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7" w:type="dxa"/>
        <w:tblInd w:w="-432" w:type="dxa"/>
        <w:tblLayout w:type="fixed"/>
        <w:tblLook w:val="0000" w:firstRow="0" w:lastRow="0" w:firstColumn="0" w:lastColumn="0" w:noHBand="0" w:noVBand="0"/>
      </w:tblPr>
      <w:tblGrid>
        <w:gridCol w:w="1831"/>
        <w:gridCol w:w="3915"/>
        <w:gridCol w:w="4061"/>
      </w:tblGrid>
      <w:tr w:rsidR="0087455A" w14:paraId="77FECF12" w14:textId="77777777" w:rsidTr="0060294D">
        <w:trPr>
          <w:trHeight w:val="708"/>
        </w:trPr>
        <w:tc>
          <w:tcPr>
            <w:tcW w:w="5746" w:type="dxa"/>
            <w:gridSpan w:val="2"/>
            <w:tcBorders>
              <w:bottom w:val="single" w:sz="18" w:space="0" w:color="auto"/>
            </w:tcBorders>
          </w:tcPr>
          <w:p w14:paraId="4284AC16" w14:textId="77777777" w:rsidR="0087455A" w:rsidRDefault="0024162E">
            <w:pPr>
              <w:rPr>
                <w:rFonts w:ascii="Univers" w:hAnsi="Univers"/>
                <w:b/>
                <w:sz w:val="28"/>
                <w:szCs w:val="28"/>
                <w:lang w:val="es-MX"/>
              </w:rPr>
            </w:pPr>
            <w:r>
              <w:rPr>
                <w:rFonts w:ascii="Univers" w:hAnsi="Univers"/>
                <w:b/>
                <w:sz w:val="28"/>
                <w:szCs w:val="28"/>
                <w:lang w:val="es-MX"/>
              </w:rPr>
              <w:t>NACIONES</w:t>
            </w:r>
          </w:p>
          <w:p w14:paraId="76CA9D1C"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061" w:type="dxa"/>
            <w:tcBorders>
              <w:bottom w:val="single" w:sz="18" w:space="0" w:color="auto"/>
            </w:tcBorders>
          </w:tcPr>
          <w:p w14:paraId="55FA2233"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1C2D22" w14:paraId="643EB16E" w14:textId="77777777" w:rsidTr="00602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3"/>
        </w:trPr>
        <w:tc>
          <w:tcPr>
            <w:tcW w:w="1831" w:type="dxa"/>
            <w:tcBorders>
              <w:top w:val="nil"/>
              <w:left w:val="nil"/>
              <w:bottom w:val="single" w:sz="36" w:space="0" w:color="auto"/>
              <w:right w:val="nil"/>
            </w:tcBorders>
          </w:tcPr>
          <w:p w14:paraId="055AEFDC" w14:textId="77777777" w:rsidR="0087455A" w:rsidRDefault="0024162E">
            <w:pPr>
              <w:spacing w:before="120"/>
            </w:pPr>
            <w:r>
              <w:rPr>
                <w:noProof/>
                <w:lang w:val="en-CA" w:eastAsia="en-CA"/>
              </w:rPr>
              <w:drawing>
                <wp:anchor distT="0" distB="0" distL="114300" distR="114300" simplePos="0" relativeHeight="251660288" behindDoc="0" locked="0" layoutInCell="1" allowOverlap="1" wp14:anchorId="01983762" wp14:editId="4DA8CD4C">
                  <wp:simplePos x="0" y="0"/>
                  <wp:positionH relativeFrom="column">
                    <wp:posOffset>15240</wp:posOffset>
                  </wp:positionH>
                  <wp:positionV relativeFrom="paragraph">
                    <wp:posOffset>887730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CA" w:eastAsia="en-CA"/>
              </w:rPr>
              <w:drawing>
                <wp:anchor distT="0" distB="0" distL="114300" distR="114300" simplePos="0" relativeHeight="251661312" behindDoc="1" locked="0" layoutInCell="0" allowOverlap="1" wp14:anchorId="2DEA216A" wp14:editId="0A10B8E7">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914" w:type="dxa"/>
            <w:tcBorders>
              <w:top w:val="nil"/>
              <w:left w:val="nil"/>
              <w:bottom w:val="single" w:sz="36" w:space="0" w:color="auto"/>
              <w:right w:val="nil"/>
            </w:tcBorders>
          </w:tcPr>
          <w:p w14:paraId="0A699B95" w14:textId="77777777" w:rsidR="001924E9" w:rsidRDefault="001924E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6BB9CC08" w14:textId="022617BF"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51D54777"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7E23841B"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339004E2"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37181C5B" w14:textId="77777777" w:rsidR="0087455A" w:rsidRDefault="0087455A">
            <w:pPr>
              <w:spacing w:before="720"/>
              <w:ind w:left="158"/>
              <w:rPr>
                <w:lang w:val="es-ES"/>
              </w:rPr>
            </w:pPr>
          </w:p>
        </w:tc>
        <w:tc>
          <w:tcPr>
            <w:tcW w:w="4061" w:type="dxa"/>
            <w:tcBorders>
              <w:top w:val="nil"/>
              <w:left w:val="nil"/>
              <w:bottom w:val="single" w:sz="36" w:space="0" w:color="auto"/>
              <w:right w:val="nil"/>
            </w:tcBorders>
          </w:tcPr>
          <w:p w14:paraId="21A7ED1C" w14:textId="77777777" w:rsidR="001924E9" w:rsidRDefault="001924E9">
            <w:pPr>
              <w:rPr>
                <w:lang w:val="es-ES"/>
              </w:rPr>
            </w:pPr>
          </w:p>
          <w:p w14:paraId="54D8F0D6" w14:textId="1054D624" w:rsidR="0087455A" w:rsidRDefault="0024162E">
            <w:pPr>
              <w:rPr>
                <w:lang w:val="es-ES"/>
              </w:rPr>
            </w:pPr>
            <w:proofErr w:type="spellStart"/>
            <w:r>
              <w:rPr>
                <w:lang w:val="es-ES"/>
              </w:rPr>
              <w:t>Distr</w:t>
            </w:r>
            <w:proofErr w:type="spellEnd"/>
            <w:r>
              <w:rPr>
                <w:lang w:val="es-ES"/>
              </w:rPr>
              <w:t>.</w:t>
            </w:r>
          </w:p>
          <w:p w14:paraId="219C3522" w14:textId="77777777" w:rsidR="0087455A" w:rsidRDefault="0024162E">
            <w:pPr>
              <w:rPr>
                <w:lang w:val="es-ES"/>
              </w:rPr>
            </w:pPr>
            <w:r>
              <w:rPr>
                <w:lang w:val="es-ES"/>
              </w:rPr>
              <w:t>GENERAL</w:t>
            </w:r>
          </w:p>
          <w:p w14:paraId="00AF28B4" w14:textId="77777777" w:rsidR="0087455A" w:rsidRDefault="0087455A">
            <w:pPr>
              <w:rPr>
                <w:lang w:val="es-ES"/>
              </w:rPr>
            </w:pPr>
          </w:p>
          <w:p w14:paraId="5AB94294" w14:textId="41282FF0" w:rsidR="0087455A" w:rsidRPr="00BF4004" w:rsidRDefault="008811AF">
            <w:pPr>
              <w:rPr>
                <w:lang w:val="pt-BR"/>
              </w:rPr>
            </w:pPr>
            <w:r>
              <w:fldChar w:fldCharType="begin"/>
            </w:r>
            <w:r w:rsidRPr="00BF4004">
              <w:rPr>
                <w:lang w:val="pt-BR"/>
              </w:rPr>
              <w:instrText xml:space="preserve"> DOCPROPERTY  "Document number"  \* MERGEFORMAT </w:instrText>
            </w:r>
            <w:r>
              <w:fldChar w:fldCharType="separate"/>
            </w:r>
            <w:r w:rsidR="0060294D">
              <w:rPr>
                <w:lang w:val="pt-BR"/>
              </w:rPr>
              <w:t>UNEP/OzL.Pro/ExCom/88/45</w:t>
            </w:r>
            <w:r>
              <w:fldChar w:fldCharType="end"/>
            </w:r>
          </w:p>
          <w:p w14:paraId="103C02A8" w14:textId="7C167FE2" w:rsidR="002959B4" w:rsidRPr="00BF4004" w:rsidRDefault="002959B4" w:rsidP="002959B4">
            <w:pPr>
              <w:rPr>
                <w:lang w:val="pt-BR"/>
              </w:rPr>
            </w:pPr>
            <w:r>
              <w:fldChar w:fldCharType="begin"/>
            </w:r>
            <w:r w:rsidRPr="00BF4004">
              <w:rPr>
                <w:lang w:val="pt-BR"/>
              </w:rPr>
              <w:instrText xml:space="preserve"> DOCPROPERTY "Revision date" \@ "d MMMM YYYY"  \* MERGEFORMAT </w:instrText>
            </w:r>
            <w:r>
              <w:fldChar w:fldCharType="separate"/>
            </w:r>
            <w:r w:rsidR="00BF4004" w:rsidRPr="00BF4004">
              <w:rPr>
                <w:lang w:val="pt-BR"/>
              </w:rPr>
              <w:t xml:space="preserve">20 </w:t>
            </w:r>
            <w:r w:rsidR="00BF4004">
              <w:rPr>
                <w:lang w:val="pt-BR"/>
              </w:rPr>
              <w:t>de</w:t>
            </w:r>
            <w:r w:rsidR="003450E5" w:rsidRPr="00BF4004">
              <w:rPr>
                <w:lang w:val="pt-BR"/>
              </w:rPr>
              <w:t xml:space="preserve"> octubre </w:t>
            </w:r>
            <w:r w:rsidR="00BF4004">
              <w:rPr>
                <w:lang w:val="pt-BR"/>
              </w:rPr>
              <w:t xml:space="preserve">de </w:t>
            </w:r>
            <w:r w:rsidR="003450E5" w:rsidRPr="00BF4004">
              <w:rPr>
                <w:lang w:val="pt-BR"/>
              </w:rPr>
              <w:t>2021</w:t>
            </w:r>
            <w:r>
              <w:fldChar w:fldCharType="end"/>
            </w:r>
          </w:p>
          <w:p w14:paraId="693EB2A2" w14:textId="77777777" w:rsidR="00114CAA" w:rsidRPr="00BF4004" w:rsidRDefault="00114CAA">
            <w:pPr>
              <w:rPr>
                <w:caps/>
                <w:lang w:val="pt-BR"/>
              </w:rPr>
            </w:pPr>
          </w:p>
          <w:p w14:paraId="2557D542" w14:textId="77777777" w:rsidR="0087455A" w:rsidRDefault="0024162E">
            <w:pPr>
              <w:rPr>
                <w:lang w:val="es-MX"/>
              </w:rPr>
            </w:pPr>
            <w:r>
              <w:rPr>
                <w:lang w:val="es-MX"/>
              </w:rPr>
              <w:t xml:space="preserve">ESPAÑOL </w:t>
            </w:r>
          </w:p>
          <w:p w14:paraId="359D07BD" w14:textId="77777777" w:rsidR="0087455A" w:rsidRDefault="0024162E">
            <w:pPr>
              <w:rPr>
                <w:lang w:val="es-ES"/>
              </w:rPr>
            </w:pPr>
            <w:r>
              <w:rPr>
                <w:lang w:val="es-ES"/>
              </w:rPr>
              <w:t xml:space="preserve">ORIGINAL: </w:t>
            </w:r>
            <w:r>
              <w:rPr>
                <w:lang w:val="es-MX"/>
              </w:rPr>
              <w:t>INGLÉS</w:t>
            </w:r>
          </w:p>
        </w:tc>
      </w:tr>
    </w:tbl>
    <w:p w14:paraId="5CC49F3B" w14:textId="77777777" w:rsidR="0087455A" w:rsidRDefault="0024162E">
      <w:pPr>
        <w:jc w:val="left"/>
        <w:rPr>
          <w:lang w:val="es-MX"/>
        </w:rPr>
      </w:pPr>
      <w:r>
        <w:rPr>
          <w:lang w:val="es-MX"/>
        </w:rPr>
        <w:t>COMITÉ EJECUTIVO DEL FONDO MULTILATERAL</w:t>
      </w:r>
      <w:r>
        <w:rPr>
          <w:lang w:val="es-MX"/>
        </w:rPr>
        <w:br/>
        <w:t xml:space="preserve">  PARA LA APLICACIÓN DEL</w:t>
      </w:r>
      <w:r>
        <w:rPr>
          <w:lang w:val="es-MX"/>
        </w:rPr>
        <w:br/>
        <w:t xml:space="preserve">  PROTOCOLO DE MONTREAL</w:t>
      </w:r>
    </w:p>
    <w:p w14:paraId="7E1D70AC" w14:textId="77777777" w:rsidR="00106F6E" w:rsidRDefault="00106F6E" w:rsidP="00344EAB">
      <w:pPr>
        <w:jc w:val="left"/>
        <w:rPr>
          <w:lang w:val="es-ES"/>
        </w:rPr>
      </w:pPr>
      <w:r w:rsidRPr="0060294D">
        <w:rPr>
          <w:lang w:val="es-ES"/>
        </w:rPr>
        <w:t xml:space="preserve">Octogésima </w:t>
      </w:r>
      <w:r w:rsidR="00344EAB" w:rsidRPr="0060294D">
        <w:rPr>
          <w:lang w:val="es-ES"/>
        </w:rPr>
        <w:t>octav</w:t>
      </w:r>
      <w:r w:rsidR="002959B4" w:rsidRPr="0060294D">
        <w:rPr>
          <w:lang w:val="es-ES"/>
        </w:rPr>
        <w:t>a</w:t>
      </w:r>
      <w:r w:rsidR="003863A4" w:rsidRPr="0060294D">
        <w:rPr>
          <w:lang w:val="es-ES"/>
        </w:rPr>
        <w:t xml:space="preserve"> Reunión</w:t>
      </w:r>
      <w:r w:rsidR="003863A4">
        <w:rPr>
          <w:lang w:val="es-ES"/>
        </w:rPr>
        <w:br/>
        <w:t xml:space="preserve">Montreal, </w:t>
      </w:r>
      <w:r w:rsidR="00344EAB">
        <w:rPr>
          <w:lang w:val="es-ES"/>
        </w:rPr>
        <w:t>15 – 19 de noviembre</w:t>
      </w:r>
      <w:r w:rsidR="002959B4">
        <w:rPr>
          <w:lang w:val="es-ES"/>
        </w:rPr>
        <w:t xml:space="preserve"> de 2021</w:t>
      </w:r>
      <w:r w:rsidR="002959B4">
        <w:rPr>
          <w:rStyle w:val="FootnoteReference"/>
          <w:lang w:val="es-ES"/>
        </w:rPr>
        <w:footnoteReference w:id="1"/>
      </w:r>
    </w:p>
    <w:p w14:paraId="4A78794F" w14:textId="77777777" w:rsidR="00106F6E" w:rsidRDefault="00106F6E" w:rsidP="00106F6E">
      <w:pPr>
        <w:jc w:val="left"/>
        <w:rPr>
          <w:lang w:val="es-ES"/>
        </w:rPr>
      </w:pPr>
    </w:p>
    <w:p w14:paraId="0AD2AB3D" w14:textId="77777777" w:rsidR="0087455A" w:rsidRDefault="0087455A">
      <w:pPr>
        <w:jc w:val="left"/>
        <w:rPr>
          <w:lang w:val="es-ES"/>
        </w:rPr>
      </w:pPr>
    </w:p>
    <w:p w14:paraId="4EFFE6FA" w14:textId="77777777" w:rsidR="0087455A" w:rsidRDefault="0087455A">
      <w:pPr>
        <w:pStyle w:val="Heading3"/>
        <w:numPr>
          <w:ilvl w:val="0"/>
          <w:numId w:val="0"/>
        </w:numPr>
        <w:spacing w:after="0"/>
        <w:rPr>
          <w:lang w:val="es-ES"/>
        </w:rPr>
      </w:pPr>
    </w:p>
    <w:p w14:paraId="6A99FBD9" w14:textId="77777777" w:rsidR="003C4F9A" w:rsidRDefault="00015724" w:rsidP="008933CC">
      <w:pPr>
        <w:jc w:val="center"/>
        <w:rPr>
          <w:b/>
          <w:lang w:val="es-ES"/>
        </w:rPr>
      </w:pPr>
      <w:r w:rsidRPr="00015724">
        <w:rPr>
          <w:b/>
          <w:lang w:val="es-ES"/>
        </w:rPr>
        <w:t xml:space="preserve">PROPUESTA DE </w:t>
      </w:r>
      <w:r w:rsidR="008933CC" w:rsidRPr="00015724">
        <w:rPr>
          <w:b/>
          <w:lang w:val="es-ES"/>
        </w:rPr>
        <w:t>PRO</w:t>
      </w:r>
      <w:r w:rsidRPr="00015724">
        <w:rPr>
          <w:b/>
          <w:lang w:val="es-ES"/>
        </w:rPr>
        <w:t>YECTO</w:t>
      </w:r>
      <w:r w:rsidR="008933CC" w:rsidRPr="00015724">
        <w:rPr>
          <w:b/>
          <w:lang w:val="es-ES"/>
        </w:rPr>
        <w:t xml:space="preserve">: </w:t>
      </w:r>
    </w:p>
    <w:p w14:paraId="3BC4F89F" w14:textId="5A17BA92" w:rsidR="008933CC" w:rsidRPr="00015724" w:rsidRDefault="00015724" w:rsidP="008933CC">
      <w:pPr>
        <w:jc w:val="center"/>
        <w:rPr>
          <w:b/>
          <w:lang w:val="es-ES"/>
        </w:rPr>
      </w:pPr>
      <w:r w:rsidRPr="00015724">
        <w:rPr>
          <w:b/>
          <w:lang w:val="es-ES"/>
        </w:rPr>
        <w:t>REPÚBLICA DEMOCRÁTICA DEL</w:t>
      </w:r>
      <w:r w:rsidR="008933CC" w:rsidRPr="00015724">
        <w:rPr>
          <w:b/>
          <w:lang w:val="es-ES"/>
        </w:rPr>
        <w:t xml:space="preserve"> CONGO</w:t>
      </w:r>
      <w:r w:rsidR="00D53D79">
        <w:rPr>
          <w:b/>
          <w:lang w:val="es-ES"/>
        </w:rPr>
        <w:t xml:space="preserve"> (LA)</w:t>
      </w:r>
    </w:p>
    <w:p w14:paraId="0E82CC7F" w14:textId="77777777" w:rsidR="008933CC" w:rsidRPr="00015724" w:rsidRDefault="008933CC" w:rsidP="008933CC">
      <w:pPr>
        <w:rPr>
          <w:lang w:val="es-ES"/>
        </w:rPr>
      </w:pPr>
    </w:p>
    <w:p w14:paraId="4AEBEAB8" w14:textId="77777777" w:rsidR="008933CC" w:rsidRPr="00015724" w:rsidRDefault="008933CC" w:rsidP="008933CC">
      <w:pPr>
        <w:rPr>
          <w:lang w:val="es-ES"/>
        </w:rPr>
      </w:pPr>
    </w:p>
    <w:p w14:paraId="579872BA" w14:textId="0074C0E1" w:rsidR="008933CC" w:rsidRPr="004A3734" w:rsidRDefault="004A3734" w:rsidP="008933CC">
      <w:pPr>
        <w:ind w:firstLine="720"/>
        <w:rPr>
          <w:lang w:val="es-ES"/>
        </w:rPr>
      </w:pPr>
      <w:r w:rsidRPr="00E94BF3">
        <w:rPr>
          <w:lang w:val="es-MX"/>
        </w:rPr>
        <w:t>Este documento consta de los comentarios y la recomendación de la Secretaría de la siguiente propuesta de proyecto</w:t>
      </w:r>
      <w:r w:rsidR="008933CC" w:rsidRPr="004A3734">
        <w:rPr>
          <w:lang w:val="es-ES"/>
        </w:rPr>
        <w:t xml:space="preserve">: </w:t>
      </w:r>
    </w:p>
    <w:p w14:paraId="0E763A44" w14:textId="77777777" w:rsidR="008933CC" w:rsidRPr="004A3734" w:rsidRDefault="008933CC" w:rsidP="008933CC">
      <w:pPr>
        <w:rPr>
          <w:lang w:val="es-ES"/>
        </w:rPr>
      </w:pPr>
    </w:p>
    <w:p w14:paraId="68A5FD5F" w14:textId="77777777" w:rsidR="008933CC" w:rsidRPr="004A3734" w:rsidRDefault="008933CC" w:rsidP="008933CC">
      <w:pPr>
        <w:rPr>
          <w:lang w:val="es-ES"/>
        </w:rPr>
      </w:pPr>
    </w:p>
    <w:p w14:paraId="42F607F8" w14:textId="1C9581A1" w:rsidR="008933CC" w:rsidRPr="001828A3" w:rsidRDefault="004A3734" w:rsidP="008933CC">
      <w:pPr>
        <w:rPr>
          <w:u w:val="single"/>
        </w:rPr>
      </w:pPr>
      <w:proofErr w:type="spellStart"/>
      <w:r>
        <w:rPr>
          <w:u w:val="single"/>
        </w:rPr>
        <w:t>E</w:t>
      </w:r>
      <w:r w:rsidR="004370FB">
        <w:rPr>
          <w:u w:val="single"/>
        </w:rPr>
        <w:t>liminación</w:t>
      </w:r>
      <w:proofErr w:type="spellEnd"/>
    </w:p>
    <w:p w14:paraId="739C827E" w14:textId="77777777" w:rsidR="008933CC" w:rsidRPr="00996241" w:rsidRDefault="008933CC" w:rsidP="008933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8933CC" w:rsidRPr="00FC2D13" w14:paraId="4767BC9C" w14:textId="77777777" w:rsidTr="001B68E7">
        <w:tc>
          <w:tcPr>
            <w:tcW w:w="6941" w:type="dxa"/>
          </w:tcPr>
          <w:p w14:paraId="56470DF7" w14:textId="1AE7073A" w:rsidR="008933CC" w:rsidRPr="000D1D77" w:rsidRDefault="000D1D77" w:rsidP="001B68E7">
            <w:pPr>
              <w:pStyle w:val="ListParagraph"/>
              <w:numPr>
                <w:ilvl w:val="0"/>
                <w:numId w:val="21"/>
              </w:numPr>
              <w:ind w:hanging="830"/>
              <w:rPr>
                <w:lang w:val="es-ES"/>
              </w:rPr>
            </w:pPr>
            <w:r w:rsidRPr="00E94BF3">
              <w:rPr>
                <w:lang w:val="es-MX"/>
              </w:rPr>
              <w:t xml:space="preserve">Plan de gestión de </w:t>
            </w:r>
            <w:r w:rsidR="00BE2D8F">
              <w:rPr>
                <w:lang w:val="es-MX"/>
              </w:rPr>
              <w:t xml:space="preserve">la </w:t>
            </w:r>
            <w:r w:rsidRPr="00E94BF3">
              <w:rPr>
                <w:lang w:val="es-MX"/>
              </w:rPr>
              <w:t xml:space="preserve">eliminación de </w:t>
            </w:r>
            <w:r w:rsidR="00BE2D8F">
              <w:rPr>
                <w:lang w:val="es-MX"/>
              </w:rPr>
              <w:t xml:space="preserve">los </w:t>
            </w:r>
            <w:r w:rsidRPr="00E94BF3">
              <w:rPr>
                <w:lang w:val="es-MX"/>
              </w:rPr>
              <w:t>HCFC</w:t>
            </w:r>
            <w:r w:rsidR="008933CC" w:rsidRPr="000D1D77">
              <w:rPr>
                <w:lang w:val="es-ES"/>
              </w:rPr>
              <w:t xml:space="preserve"> (</w:t>
            </w:r>
            <w:r>
              <w:rPr>
                <w:lang w:val="es-ES"/>
              </w:rPr>
              <w:t>etapa</w:t>
            </w:r>
            <w:r w:rsidR="008933CC" w:rsidRPr="000D1D77">
              <w:rPr>
                <w:lang w:val="es-ES"/>
              </w:rPr>
              <w:t xml:space="preserve"> II, </w:t>
            </w:r>
            <w:r>
              <w:rPr>
                <w:lang w:val="es-ES"/>
              </w:rPr>
              <w:t>primer tramo</w:t>
            </w:r>
            <w:r w:rsidR="008933CC" w:rsidRPr="000D1D77">
              <w:rPr>
                <w:lang w:val="es-ES"/>
              </w:rPr>
              <w:t>)</w:t>
            </w:r>
          </w:p>
        </w:tc>
        <w:tc>
          <w:tcPr>
            <w:tcW w:w="2409" w:type="dxa"/>
          </w:tcPr>
          <w:p w14:paraId="7EEF8FAC" w14:textId="6E0769C9" w:rsidR="008933CC" w:rsidRPr="00FC2D13" w:rsidRDefault="000D1D77" w:rsidP="001B68E7">
            <w:pPr>
              <w:jc w:val="right"/>
            </w:pPr>
            <w:r>
              <w:t>PNUMA</w:t>
            </w:r>
            <w:r w:rsidR="008933CC" w:rsidRPr="00FC2D13">
              <w:t xml:space="preserve"> </w:t>
            </w:r>
            <w:r>
              <w:t>y</w:t>
            </w:r>
            <w:r w:rsidR="008933CC" w:rsidRPr="00FC2D13">
              <w:t xml:space="preserve"> </w:t>
            </w:r>
            <w:r>
              <w:t>PNUD</w:t>
            </w:r>
          </w:p>
        </w:tc>
      </w:tr>
    </w:tbl>
    <w:p w14:paraId="71BB81B6" w14:textId="77777777" w:rsidR="008933CC" w:rsidRPr="00FC2D13" w:rsidRDefault="008933CC" w:rsidP="008933CC"/>
    <w:p w14:paraId="416C298A" w14:textId="77777777" w:rsidR="008933CC" w:rsidRPr="00FC2D13" w:rsidRDefault="008933CC" w:rsidP="008933CC"/>
    <w:p w14:paraId="6D8267E0" w14:textId="77777777" w:rsidR="008933CC" w:rsidRPr="00FC2D13" w:rsidRDefault="008933CC" w:rsidP="008933CC"/>
    <w:p w14:paraId="3ED7E6EC" w14:textId="77777777" w:rsidR="008933CC" w:rsidRPr="00FC2D13" w:rsidRDefault="008933CC" w:rsidP="008933CC">
      <w:pPr>
        <w:jc w:val="left"/>
      </w:pPr>
    </w:p>
    <w:p w14:paraId="7BC2D0F6" w14:textId="77777777" w:rsidR="008933CC" w:rsidRPr="00FC2D13" w:rsidRDefault="008933CC" w:rsidP="008933CC">
      <w:pPr>
        <w:jc w:val="left"/>
      </w:pPr>
      <w:r w:rsidRPr="00FC2D13">
        <w:br w:type="page"/>
      </w:r>
    </w:p>
    <w:p w14:paraId="1B52FFFB" w14:textId="77777777" w:rsidR="007202F5" w:rsidRPr="00E94BF3" w:rsidRDefault="007202F5" w:rsidP="0060294D">
      <w:pPr>
        <w:spacing w:after="120"/>
        <w:jc w:val="center"/>
        <w:rPr>
          <w:b/>
          <w:lang w:val="es-MX"/>
        </w:rPr>
      </w:pPr>
      <w:r w:rsidRPr="00E94BF3">
        <w:rPr>
          <w:b/>
          <w:lang w:val="es-MX"/>
        </w:rPr>
        <w:lastRenderedPageBreak/>
        <w:t>HOJA DE EVALUACIÓN DE PROYECTO – PROYECTOS PLURIANUALES</w:t>
      </w:r>
    </w:p>
    <w:p w14:paraId="1CD44E1C" w14:textId="38536EE7" w:rsidR="008933CC" w:rsidRPr="00FC2D13" w:rsidRDefault="007202F5" w:rsidP="0060294D">
      <w:pPr>
        <w:spacing w:after="120"/>
        <w:jc w:val="center"/>
        <w:rPr>
          <w:b/>
        </w:rPr>
      </w:pPr>
      <w:r>
        <w:rPr>
          <w:b/>
        </w:rPr>
        <w:t>REPÚBLICA DEMOCRÁTICA DEL</w:t>
      </w:r>
      <w:r w:rsidR="008933CC" w:rsidRPr="00FC2D13">
        <w:rPr>
          <w:b/>
        </w:rPr>
        <w:t xml:space="preserve"> CONGO</w:t>
      </w:r>
    </w:p>
    <w:p w14:paraId="17C55474" w14:textId="77777777" w:rsidR="008933CC" w:rsidRPr="00FC2D13" w:rsidRDefault="008933CC" w:rsidP="008933CC">
      <w:pPr>
        <w:jc w:val="center"/>
        <w:rPr>
          <w:sz w:val="18"/>
        </w:rPr>
      </w:pPr>
    </w:p>
    <w:tbl>
      <w:tblPr>
        <w:tblStyle w:val="TableGrid"/>
        <w:tblW w:w="5458" w:type="pct"/>
        <w:tblInd w:w="-289" w:type="dxa"/>
        <w:tblLook w:val="04A0" w:firstRow="1" w:lastRow="0" w:firstColumn="1" w:lastColumn="0" w:noHBand="0" w:noVBand="1"/>
      </w:tblPr>
      <w:tblGrid>
        <w:gridCol w:w="4695"/>
        <w:gridCol w:w="5511"/>
      </w:tblGrid>
      <w:tr w:rsidR="008933CC" w:rsidRPr="0070042A" w14:paraId="191EC8F6" w14:textId="77777777" w:rsidTr="0060294D">
        <w:trPr>
          <w:trHeight w:val="240"/>
        </w:trPr>
        <w:tc>
          <w:tcPr>
            <w:tcW w:w="2300" w:type="pct"/>
            <w:shd w:val="clear" w:color="auto" w:fill="auto"/>
          </w:tcPr>
          <w:p w14:paraId="0845962C" w14:textId="15B7A326" w:rsidR="008933CC" w:rsidRPr="0070042A" w:rsidRDefault="008933CC" w:rsidP="001B68E7">
            <w:pPr>
              <w:rPr>
                <w:b/>
                <w:sz w:val="18"/>
                <w:szCs w:val="18"/>
              </w:rPr>
            </w:pPr>
            <w:r w:rsidRPr="0070042A">
              <w:rPr>
                <w:b/>
                <w:sz w:val="18"/>
                <w:szCs w:val="18"/>
              </w:rPr>
              <w:t xml:space="preserve">I) </w:t>
            </w:r>
            <w:r w:rsidR="00922814" w:rsidRPr="0070042A">
              <w:rPr>
                <w:b/>
                <w:sz w:val="18"/>
                <w:szCs w:val="18"/>
              </w:rPr>
              <w:t>TÍTULO DEL PROYECTO</w:t>
            </w:r>
          </w:p>
        </w:tc>
        <w:tc>
          <w:tcPr>
            <w:tcW w:w="2700" w:type="pct"/>
            <w:shd w:val="clear" w:color="auto" w:fill="auto"/>
          </w:tcPr>
          <w:p w14:paraId="709EDA04" w14:textId="568B8901" w:rsidR="008933CC" w:rsidRPr="0070042A" w:rsidRDefault="00922814" w:rsidP="001B68E7">
            <w:pPr>
              <w:jc w:val="center"/>
              <w:rPr>
                <w:b/>
                <w:sz w:val="18"/>
                <w:szCs w:val="18"/>
              </w:rPr>
            </w:pPr>
            <w:r w:rsidRPr="0070042A">
              <w:rPr>
                <w:b/>
                <w:sz w:val="18"/>
                <w:szCs w:val="18"/>
              </w:rPr>
              <w:t>ORGANISMO</w:t>
            </w:r>
          </w:p>
        </w:tc>
      </w:tr>
      <w:tr w:rsidR="008933CC" w:rsidRPr="0070042A" w14:paraId="15E5987A" w14:textId="77777777" w:rsidTr="0060294D">
        <w:trPr>
          <w:trHeight w:val="103"/>
        </w:trPr>
        <w:tc>
          <w:tcPr>
            <w:tcW w:w="2300" w:type="pct"/>
            <w:shd w:val="clear" w:color="auto" w:fill="auto"/>
          </w:tcPr>
          <w:p w14:paraId="4D10426F" w14:textId="18D1658D" w:rsidR="008933CC" w:rsidRPr="0070042A" w:rsidRDefault="00922814" w:rsidP="001B68E7">
            <w:pPr>
              <w:spacing w:after="80"/>
              <w:jc w:val="center"/>
              <w:rPr>
                <w:color w:val="000000" w:themeColor="text1"/>
                <w:sz w:val="18"/>
                <w:szCs w:val="18"/>
                <w:lang w:val="es-ES"/>
              </w:rPr>
            </w:pPr>
            <w:r w:rsidRPr="0070042A">
              <w:rPr>
                <w:color w:val="000000" w:themeColor="text1"/>
                <w:sz w:val="18"/>
                <w:szCs w:val="18"/>
                <w:lang w:val="es-ES"/>
              </w:rPr>
              <w:t xml:space="preserve">Plan de </w:t>
            </w:r>
            <w:r w:rsidR="00E80FEA" w:rsidRPr="0070042A">
              <w:rPr>
                <w:color w:val="000000" w:themeColor="text1"/>
                <w:sz w:val="18"/>
                <w:szCs w:val="18"/>
                <w:lang w:val="es-ES"/>
              </w:rPr>
              <w:t>gestión</w:t>
            </w:r>
            <w:r w:rsidRPr="0070042A">
              <w:rPr>
                <w:color w:val="000000" w:themeColor="text1"/>
                <w:sz w:val="18"/>
                <w:szCs w:val="18"/>
                <w:lang w:val="es-ES"/>
              </w:rPr>
              <w:t xml:space="preserve"> de la eliminación de los </w:t>
            </w:r>
            <w:r w:rsidR="008933CC" w:rsidRPr="0070042A">
              <w:rPr>
                <w:color w:val="000000" w:themeColor="text1"/>
                <w:sz w:val="18"/>
                <w:szCs w:val="18"/>
                <w:lang w:val="es-ES"/>
              </w:rPr>
              <w:t>HCFC (</w:t>
            </w:r>
            <w:r w:rsidR="00E80FEA" w:rsidRPr="0070042A">
              <w:rPr>
                <w:color w:val="000000" w:themeColor="text1"/>
                <w:sz w:val="18"/>
                <w:szCs w:val="18"/>
                <w:lang w:val="es-ES"/>
              </w:rPr>
              <w:t>etapa</w:t>
            </w:r>
            <w:r w:rsidR="008933CC" w:rsidRPr="0070042A">
              <w:rPr>
                <w:color w:val="000000" w:themeColor="text1"/>
                <w:sz w:val="18"/>
                <w:szCs w:val="18"/>
                <w:lang w:val="es-ES"/>
              </w:rPr>
              <w:t> II)</w:t>
            </w:r>
          </w:p>
        </w:tc>
        <w:tc>
          <w:tcPr>
            <w:tcW w:w="2700" w:type="pct"/>
            <w:shd w:val="clear" w:color="auto" w:fill="auto"/>
          </w:tcPr>
          <w:p w14:paraId="03D17797" w14:textId="2C6A8DBC" w:rsidR="008933CC" w:rsidRPr="0070042A" w:rsidRDefault="00F1797C" w:rsidP="001B68E7">
            <w:pPr>
              <w:spacing w:after="80"/>
              <w:jc w:val="center"/>
              <w:rPr>
                <w:color w:val="000000" w:themeColor="text1"/>
                <w:sz w:val="18"/>
                <w:szCs w:val="18"/>
              </w:rPr>
            </w:pPr>
            <w:r w:rsidRPr="0070042A">
              <w:rPr>
                <w:color w:val="000000" w:themeColor="text1"/>
                <w:sz w:val="18"/>
                <w:szCs w:val="18"/>
              </w:rPr>
              <w:t>PNUMA</w:t>
            </w:r>
            <w:r w:rsidR="008933CC" w:rsidRPr="0070042A">
              <w:rPr>
                <w:color w:val="000000" w:themeColor="text1"/>
                <w:sz w:val="18"/>
                <w:szCs w:val="18"/>
              </w:rPr>
              <w:t xml:space="preserve"> (</w:t>
            </w:r>
            <w:r w:rsidR="00187496" w:rsidRPr="0070042A">
              <w:rPr>
                <w:color w:val="000000" w:themeColor="text1"/>
                <w:sz w:val="18"/>
                <w:szCs w:val="18"/>
              </w:rPr>
              <w:t>principal</w:t>
            </w:r>
            <w:r w:rsidR="008933CC" w:rsidRPr="0070042A">
              <w:rPr>
                <w:color w:val="000000" w:themeColor="text1"/>
                <w:sz w:val="18"/>
                <w:szCs w:val="18"/>
              </w:rPr>
              <w:t xml:space="preserve">), </w:t>
            </w:r>
            <w:r w:rsidR="00187496" w:rsidRPr="0070042A">
              <w:rPr>
                <w:color w:val="000000" w:themeColor="text1"/>
                <w:sz w:val="18"/>
                <w:szCs w:val="18"/>
              </w:rPr>
              <w:t>PNUD</w:t>
            </w:r>
          </w:p>
        </w:tc>
      </w:tr>
    </w:tbl>
    <w:p w14:paraId="241731C6" w14:textId="77777777" w:rsidR="008933CC" w:rsidRPr="0070042A" w:rsidRDefault="008933CC" w:rsidP="008933CC">
      <w:pPr>
        <w:jc w:val="center"/>
        <w:rPr>
          <w:sz w:val="18"/>
          <w:szCs w:val="18"/>
        </w:rPr>
      </w:pPr>
    </w:p>
    <w:tbl>
      <w:tblPr>
        <w:tblStyle w:val="TableGrid"/>
        <w:tblW w:w="5458" w:type="pct"/>
        <w:tblInd w:w="-289" w:type="dxa"/>
        <w:tblLook w:val="04A0" w:firstRow="1" w:lastRow="0" w:firstColumn="1" w:lastColumn="0" w:noHBand="0" w:noVBand="1"/>
      </w:tblPr>
      <w:tblGrid>
        <w:gridCol w:w="5362"/>
        <w:gridCol w:w="2427"/>
        <w:gridCol w:w="2417"/>
      </w:tblGrid>
      <w:tr w:rsidR="008933CC" w:rsidRPr="0070042A" w14:paraId="39A5F548" w14:textId="77777777" w:rsidTr="0060294D">
        <w:trPr>
          <w:trHeight w:val="195"/>
        </w:trPr>
        <w:tc>
          <w:tcPr>
            <w:tcW w:w="2627" w:type="pct"/>
            <w:shd w:val="clear" w:color="auto" w:fill="auto"/>
          </w:tcPr>
          <w:p w14:paraId="28DD4E46" w14:textId="325F14C2" w:rsidR="008933CC" w:rsidRPr="0070042A" w:rsidRDefault="008933CC" w:rsidP="001B68E7">
            <w:pPr>
              <w:spacing w:after="60"/>
              <w:jc w:val="left"/>
              <w:rPr>
                <w:b/>
                <w:sz w:val="18"/>
                <w:szCs w:val="18"/>
                <w:lang w:val="es-ES"/>
              </w:rPr>
            </w:pPr>
            <w:r w:rsidRPr="0070042A">
              <w:rPr>
                <w:b/>
                <w:sz w:val="18"/>
                <w:szCs w:val="18"/>
                <w:lang w:val="es-ES"/>
              </w:rPr>
              <w:t xml:space="preserve">II) </w:t>
            </w:r>
            <w:r w:rsidR="00CB3853" w:rsidRPr="0070042A">
              <w:rPr>
                <w:b/>
                <w:sz w:val="18"/>
                <w:szCs w:val="18"/>
                <w:lang w:val="es-ES"/>
              </w:rPr>
              <w:t>DATOS MÁS RECIENTES CON ARREGLO AL ARTÍCULO</w:t>
            </w:r>
            <w:r w:rsidRPr="0070042A">
              <w:rPr>
                <w:b/>
                <w:sz w:val="18"/>
                <w:szCs w:val="18"/>
                <w:lang w:val="es-ES"/>
              </w:rPr>
              <w:t xml:space="preserve"> 7 (</w:t>
            </w:r>
            <w:r w:rsidR="00CB3853" w:rsidRPr="0070042A">
              <w:rPr>
                <w:b/>
                <w:sz w:val="18"/>
                <w:szCs w:val="18"/>
                <w:lang w:val="es-ES"/>
              </w:rPr>
              <w:t xml:space="preserve">Grupo l </w:t>
            </w:r>
            <w:r w:rsidR="001B0027" w:rsidRPr="0070042A">
              <w:rPr>
                <w:b/>
                <w:sz w:val="18"/>
                <w:szCs w:val="18"/>
                <w:lang w:val="es-ES"/>
              </w:rPr>
              <w:t>del anexo</w:t>
            </w:r>
            <w:r w:rsidRPr="0070042A">
              <w:rPr>
                <w:b/>
                <w:sz w:val="18"/>
                <w:szCs w:val="18"/>
                <w:lang w:val="es-ES"/>
              </w:rPr>
              <w:t xml:space="preserve"> C)</w:t>
            </w:r>
          </w:p>
        </w:tc>
        <w:tc>
          <w:tcPr>
            <w:tcW w:w="1189" w:type="pct"/>
            <w:shd w:val="clear" w:color="auto" w:fill="auto"/>
          </w:tcPr>
          <w:p w14:paraId="4D10A8FF" w14:textId="35DEE82B" w:rsidR="008933CC" w:rsidRPr="0070042A" w:rsidRDefault="001B0027" w:rsidP="001B68E7">
            <w:pPr>
              <w:spacing w:after="60"/>
              <w:jc w:val="center"/>
              <w:rPr>
                <w:sz w:val="18"/>
                <w:szCs w:val="18"/>
              </w:rPr>
            </w:pPr>
            <w:proofErr w:type="spellStart"/>
            <w:r w:rsidRPr="0070042A">
              <w:rPr>
                <w:sz w:val="18"/>
                <w:szCs w:val="18"/>
              </w:rPr>
              <w:t>Año</w:t>
            </w:r>
            <w:proofErr w:type="spellEnd"/>
            <w:r w:rsidR="008933CC" w:rsidRPr="0070042A">
              <w:rPr>
                <w:sz w:val="18"/>
                <w:szCs w:val="18"/>
              </w:rPr>
              <w:t xml:space="preserve">: </w:t>
            </w:r>
            <w:r w:rsidR="008933CC" w:rsidRPr="0070042A">
              <w:rPr>
                <w:color w:val="000000" w:themeColor="text1"/>
                <w:sz w:val="18"/>
                <w:szCs w:val="18"/>
              </w:rPr>
              <w:t>2020</w:t>
            </w:r>
          </w:p>
        </w:tc>
        <w:tc>
          <w:tcPr>
            <w:tcW w:w="1184" w:type="pct"/>
            <w:shd w:val="clear" w:color="auto" w:fill="auto"/>
          </w:tcPr>
          <w:p w14:paraId="1330291D" w14:textId="1AB6C9E2" w:rsidR="008933CC" w:rsidRPr="0070042A" w:rsidRDefault="008933CC" w:rsidP="001B68E7">
            <w:pPr>
              <w:spacing w:after="60"/>
              <w:jc w:val="right"/>
              <w:rPr>
                <w:sz w:val="18"/>
                <w:szCs w:val="18"/>
              </w:rPr>
            </w:pPr>
            <w:r w:rsidRPr="0070042A">
              <w:rPr>
                <w:sz w:val="18"/>
                <w:szCs w:val="18"/>
              </w:rPr>
              <w:t>2</w:t>
            </w:r>
            <w:r w:rsidR="001B0027" w:rsidRPr="0070042A">
              <w:rPr>
                <w:sz w:val="18"/>
                <w:szCs w:val="18"/>
              </w:rPr>
              <w:t>,</w:t>
            </w:r>
            <w:r w:rsidRPr="0070042A">
              <w:rPr>
                <w:sz w:val="18"/>
                <w:szCs w:val="18"/>
              </w:rPr>
              <w:t>09 (</w:t>
            </w:r>
            <w:proofErr w:type="spellStart"/>
            <w:r w:rsidR="001B0027" w:rsidRPr="0070042A">
              <w:rPr>
                <w:sz w:val="18"/>
                <w:szCs w:val="18"/>
              </w:rPr>
              <w:t>toneladas</w:t>
            </w:r>
            <w:proofErr w:type="spellEnd"/>
            <w:r w:rsidR="001B0027" w:rsidRPr="0070042A">
              <w:rPr>
                <w:sz w:val="18"/>
                <w:szCs w:val="18"/>
              </w:rPr>
              <w:t xml:space="preserve"> PAO</w:t>
            </w:r>
            <w:r w:rsidRPr="0070042A">
              <w:rPr>
                <w:sz w:val="18"/>
                <w:szCs w:val="18"/>
              </w:rPr>
              <w:t>)</w:t>
            </w:r>
          </w:p>
        </w:tc>
      </w:tr>
    </w:tbl>
    <w:p w14:paraId="2EBFAA64" w14:textId="77777777" w:rsidR="008933CC" w:rsidRPr="0070042A" w:rsidRDefault="008933CC" w:rsidP="008933CC">
      <w:pPr>
        <w:jc w:val="center"/>
        <w:rPr>
          <w:sz w:val="18"/>
          <w:szCs w:val="18"/>
        </w:rPr>
      </w:pPr>
    </w:p>
    <w:tbl>
      <w:tblPr>
        <w:tblStyle w:val="TableGrid"/>
        <w:tblW w:w="5458" w:type="pct"/>
        <w:tblInd w:w="-289" w:type="dxa"/>
        <w:tblLook w:val="04A0" w:firstRow="1" w:lastRow="0" w:firstColumn="1" w:lastColumn="0" w:noHBand="0" w:noVBand="1"/>
      </w:tblPr>
      <w:tblGrid>
        <w:gridCol w:w="1307"/>
        <w:gridCol w:w="786"/>
        <w:gridCol w:w="866"/>
        <w:gridCol w:w="959"/>
        <w:gridCol w:w="1178"/>
        <w:gridCol w:w="1317"/>
        <w:gridCol w:w="996"/>
        <w:gridCol w:w="847"/>
        <w:gridCol w:w="474"/>
        <w:gridCol w:w="1476"/>
      </w:tblGrid>
      <w:tr w:rsidR="00971AB8" w:rsidRPr="0070042A" w14:paraId="58763B2E" w14:textId="77777777" w:rsidTr="0060294D">
        <w:trPr>
          <w:trHeight w:val="250"/>
        </w:trPr>
        <w:tc>
          <w:tcPr>
            <w:tcW w:w="4045" w:type="pct"/>
            <w:gridSpan w:val="8"/>
            <w:shd w:val="clear" w:color="auto" w:fill="auto"/>
          </w:tcPr>
          <w:p w14:paraId="09F89300" w14:textId="7909E518" w:rsidR="008933CC" w:rsidRPr="0070042A" w:rsidRDefault="008933CC" w:rsidP="001B68E7">
            <w:pPr>
              <w:jc w:val="left"/>
              <w:rPr>
                <w:b/>
                <w:sz w:val="18"/>
                <w:szCs w:val="18"/>
                <w:lang w:val="es-ES"/>
              </w:rPr>
            </w:pPr>
            <w:r w:rsidRPr="0070042A">
              <w:rPr>
                <w:b/>
                <w:sz w:val="18"/>
                <w:szCs w:val="18"/>
                <w:lang w:val="es-ES"/>
              </w:rPr>
              <w:t xml:space="preserve">III) </w:t>
            </w:r>
            <w:r w:rsidR="00916263" w:rsidRPr="0070042A">
              <w:rPr>
                <w:b/>
                <w:sz w:val="18"/>
                <w:szCs w:val="18"/>
                <w:lang w:val="es-MX"/>
              </w:rPr>
              <w:t>DATOS SECTORIALES MÁS RECIENTES DEL PROGRAMA DE PAÍS (toneladas PAO</w:t>
            </w:r>
          </w:p>
        </w:tc>
        <w:tc>
          <w:tcPr>
            <w:tcW w:w="955" w:type="pct"/>
            <w:gridSpan w:val="2"/>
            <w:shd w:val="clear" w:color="auto" w:fill="auto"/>
          </w:tcPr>
          <w:p w14:paraId="202C2438" w14:textId="5E7539B0" w:rsidR="008933CC" w:rsidRPr="0070042A" w:rsidRDefault="00971AB8" w:rsidP="001B68E7">
            <w:pPr>
              <w:spacing w:after="60"/>
              <w:jc w:val="right"/>
              <w:rPr>
                <w:b/>
                <w:sz w:val="18"/>
                <w:szCs w:val="18"/>
              </w:rPr>
            </w:pPr>
            <w:proofErr w:type="spellStart"/>
            <w:r>
              <w:rPr>
                <w:b/>
                <w:sz w:val="18"/>
                <w:szCs w:val="18"/>
              </w:rPr>
              <w:t>Año</w:t>
            </w:r>
            <w:proofErr w:type="spellEnd"/>
            <w:r w:rsidR="008933CC" w:rsidRPr="0070042A">
              <w:rPr>
                <w:b/>
                <w:sz w:val="18"/>
                <w:szCs w:val="18"/>
              </w:rPr>
              <w:t xml:space="preserve">: </w:t>
            </w:r>
            <w:r w:rsidR="008933CC" w:rsidRPr="0070042A">
              <w:rPr>
                <w:color w:val="000000" w:themeColor="text1"/>
                <w:sz w:val="18"/>
                <w:szCs w:val="18"/>
              </w:rPr>
              <w:t>2020</w:t>
            </w:r>
          </w:p>
        </w:tc>
      </w:tr>
      <w:tr w:rsidR="00A406A3" w:rsidRPr="00971AB8" w14:paraId="45C84A1E" w14:textId="77777777" w:rsidTr="0060294D">
        <w:trPr>
          <w:trHeight w:val="250"/>
        </w:trPr>
        <w:tc>
          <w:tcPr>
            <w:tcW w:w="641" w:type="pct"/>
            <w:shd w:val="clear" w:color="auto" w:fill="auto"/>
          </w:tcPr>
          <w:p w14:paraId="4AC92E73" w14:textId="3B8B33D2" w:rsidR="008933CC" w:rsidRPr="0070042A" w:rsidRDefault="00971AB8" w:rsidP="001B68E7">
            <w:pPr>
              <w:spacing w:after="60"/>
              <w:jc w:val="center"/>
              <w:rPr>
                <w:sz w:val="18"/>
                <w:szCs w:val="18"/>
              </w:rPr>
            </w:pPr>
            <w:proofErr w:type="spellStart"/>
            <w:r>
              <w:rPr>
                <w:sz w:val="18"/>
                <w:szCs w:val="18"/>
              </w:rPr>
              <w:t>Sustancia</w:t>
            </w:r>
            <w:proofErr w:type="spellEnd"/>
            <w:r>
              <w:rPr>
                <w:sz w:val="18"/>
                <w:szCs w:val="18"/>
              </w:rPr>
              <w:t xml:space="preserve"> </w:t>
            </w:r>
            <w:proofErr w:type="spellStart"/>
            <w:r>
              <w:rPr>
                <w:sz w:val="18"/>
                <w:szCs w:val="18"/>
              </w:rPr>
              <w:t>química</w:t>
            </w:r>
            <w:proofErr w:type="spellEnd"/>
          </w:p>
        </w:tc>
        <w:tc>
          <w:tcPr>
            <w:tcW w:w="385" w:type="pct"/>
            <w:shd w:val="clear" w:color="auto" w:fill="auto"/>
          </w:tcPr>
          <w:p w14:paraId="2307CA58" w14:textId="77777777" w:rsidR="008933CC" w:rsidRPr="0070042A" w:rsidRDefault="008933CC" w:rsidP="001B68E7">
            <w:pPr>
              <w:spacing w:after="60"/>
              <w:jc w:val="center"/>
              <w:rPr>
                <w:sz w:val="18"/>
                <w:szCs w:val="18"/>
              </w:rPr>
            </w:pPr>
            <w:r w:rsidRPr="0070042A">
              <w:rPr>
                <w:sz w:val="18"/>
                <w:szCs w:val="18"/>
              </w:rPr>
              <w:t>Aerosol</w:t>
            </w:r>
          </w:p>
        </w:tc>
        <w:tc>
          <w:tcPr>
            <w:tcW w:w="424" w:type="pct"/>
            <w:shd w:val="clear" w:color="auto" w:fill="auto"/>
          </w:tcPr>
          <w:p w14:paraId="7CEA6044" w14:textId="0A515909" w:rsidR="008933CC" w:rsidRPr="0070042A" w:rsidRDefault="00971AB8" w:rsidP="001B68E7">
            <w:pPr>
              <w:spacing w:after="60"/>
              <w:jc w:val="center"/>
              <w:rPr>
                <w:sz w:val="18"/>
                <w:szCs w:val="18"/>
              </w:rPr>
            </w:pPr>
            <w:proofErr w:type="spellStart"/>
            <w:r>
              <w:rPr>
                <w:sz w:val="18"/>
                <w:szCs w:val="18"/>
              </w:rPr>
              <w:t>Espumas</w:t>
            </w:r>
            <w:proofErr w:type="spellEnd"/>
          </w:p>
        </w:tc>
        <w:tc>
          <w:tcPr>
            <w:tcW w:w="470" w:type="pct"/>
            <w:shd w:val="clear" w:color="auto" w:fill="auto"/>
          </w:tcPr>
          <w:p w14:paraId="467C09CA" w14:textId="494D84A9" w:rsidR="008933CC" w:rsidRPr="0070042A" w:rsidRDefault="00971AB8" w:rsidP="001B68E7">
            <w:pPr>
              <w:spacing w:after="60"/>
              <w:jc w:val="center"/>
              <w:rPr>
                <w:sz w:val="18"/>
                <w:szCs w:val="18"/>
              </w:rPr>
            </w:pPr>
            <w:proofErr w:type="spellStart"/>
            <w:r>
              <w:rPr>
                <w:sz w:val="18"/>
                <w:szCs w:val="18"/>
              </w:rPr>
              <w:t>Lucha</w:t>
            </w:r>
            <w:proofErr w:type="spellEnd"/>
            <w:r>
              <w:rPr>
                <w:sz w:val="18"/>
                <w:szCs w:val="18"/>
              </w:rPr>
              <w:t xml:space="preserve"> contra </w:t>
            </w:r>
            <w:proofErr w:type="spellStart"/>
            <w:r>
              <w:rPr>
                <w:sz w:val="18"/>
                <w:szCs w:val="18"/>
              </w:rPr>
              <w:t>incendios</w:t>
            </w:r>
            <w:proofErr w:type="spellEnd"/>
          </w:p>
        </w:tc>
        <w:tc>
          <w:tcPr>
            <w:tcW w:w="1222" w:type="pct"/>
            <w:gridSpan w:val="2"/>
            <w:shd w:val="clear" w:color="auto" w:fill="auto"/>
          </w:tcPr>
          <w:p w14:paraId="1F90523E" w14:textId="69B877E0" w:rsidR="008933CC" w:rsidRPr="0070042A" w:rsidRDefault="008933CC" w:rsidP="001B68E7">
            <w:pPr>
              <w:spacing w:after="60"/>
              <w:jc w:val="center"/>
              <w:rPr>
                <w:sz w:val="18"/>
                <w:szCs w:val="18"/>
              </w:rPr>
            </w:pPr>
            <w:proofErr w:type="spellStart"/>
            <w:r w:rsidRPr="0070042A">
              <w:rPr>
                <w:sz w:val="18"/>
                <w:szCs w:val="18"/>
              </w:rPr>
              <w:t>Refriger</w:t>
            </w:r>
            <w:r w:rsidR="00971AB8">
              <w:rPr>
                <w:sz w:val="18"/>
                <w:szCs w:val="18"/>
              </w:rPr>
              <w:t>ación</w:t>
            </w:r>
            <w:proofErr w:type="spellEnd"/>
          </w:p>
        </w:tc>
        <w:tc>
          <w:tcPr>
            <w:tcW w:w="488" w:type="pct"/>
            <w:shd w:val="clear" w:color="auto" w:fill="auto"/>
          </w:tcPr>
          <w:p w14:paraId="7EAFCF6A" w14:textId="4D9D1366" w:rsidR="008933CC" w:rsidRPr="0070042A" w:rsidRDefault="00971AB8" w:rsidP="001B68E7">
            <w:pPr>
              <w:spacing w:after="60"/>
              <w:jc w:val="center"/>
              <w:rPr>
                <w:sz w:val="18"/>
                <w:szCs w:val="18"/>
              </w:rPr>
            </w:pPr>
            <w:proofErr w:type="spellStart"/>
            <w:r>
              <w:rPr>
                <w:sz w:val="18"/>
                <w:szCs w:val="18"/>
              </w:rPr>
              <w:t>Disolvente</w:t>
            </w:r>
            <w:proofErr w:type="spellEnd"/>
          </w:p>
        </w:tc>
        <w:tc>
          <w:tcPr>
            <w:tcW w:w="414" w:type="pct"/>
            <w:shd w:val="clear" w:color="auto" w:fill="auto"/>
          </w:tcPr>
          <w:p w14:paraId="39B50CDF" w14:textId="60BB2AF6" w:rsidR="008933CC" w:rsidRPr="0070042A" w:rsidRDefault="00971AB8" w:rsidP="001B68E7">
            <w:pPr>
              <w:spacing w:after="60"/>
              <w:jc w:val="center"/>
              <w:rPr>
                <w:sz w:val="18"/>
                <w:szCs w:val="18"/>
              </w:rPr>
            </w:pPr>
            <w:proofErr w:type="spellStart"/>
            <w:r>
              <w:rPr>
                <w:sz w:val="18"/>
                <w:szCs w:val="18"/>
              </w:rPr>
              <w:t>A</w:t>
            </w:r>
            <w:r w:rsidRPr="0070042A">
              <w:rPr>
                <w:sz w:val="18"/>
                <w:szCs w:val="18"/>
              </w:rPr>
              <w:t>gent</w:t>
            </w:r>
            <w:r>
              <w:rPr>
                <w:sz w:val="18"/>
                <w:szCs w:val="18"/>
              </w:rPr>
              <w:t>e</w:t>
            </w:r>
            <w:proofErr w:type="spellEnd"/>
            <w:r>
              <w:rPr>
                <w:sz w:val="18"/>
                <w:szCs w:val="18"/>
              </w:rPr>
              <w:t xml:space="preserve"> de</w:t>
            </w:r>
            <w:r w:rsidRPr="0070042A">
              <w:rPr>
                <w:sz w:val="18"/>
                <w:szCs w:val="18"/>
              </w:rPr>
              <w:t xml:space="preserve"> </w:t>
            </w:r>
            <w:proofErr w:type="spellStart"/>
            <w:r>
              <w:rPr>
                <w:sz w:val="18"/>
                <w:szCs w:val="18"/>
              </w:rPr>
              <w:t>p</w:t>
            </w:r>
            <w:r w:rsidR="008933CC" w:rsidRPr="0070042A">
              <w:rPr>
                <w:sz w:val="18"/>
                <w:szCs w:val="18"/>
              </w:rPr>
              <w:t>roces</w:t>
            </w:r>
            <w:r>
              <w:rPr>
                <w:sz w:val="18"/>
                <w:szCs w:val="18"/>
              </w:rPr>
              <w:t>os</w:t>
            </w:r>
            <w:proofErr w:type="spellEnd"/>
            <w:r w:rsidR="008933CC" w:rsidRPr="0070042A">
              <w:rPr>
                <w:sz w:val="18"/>
                <w:szCs w:val="18"/>
              </w:rPr>
              <w:t xml:space="preserve"> </w:t>
            </w:r>
          </w:p>
        </w:tc>
        <w:tc>
          <w:tcPr>
            <w:tcW w:w="232" w:type="pct"/>
            <w:shd w:val="clear" w:color="auto" w:fill="auto"/>
          </w:tcPr>
          <w:p w14:paraId="71BB881F" w14:textId="762DA159" w:rsidR="008933CC" w:rsidRPr="00DA28D9" w:rsidRDefault="00971AB8" w:rsidP="001B68E7">
            <w:pPr>
              <w:spacing w:after="60"/>
              <w:jc w:val="center"/>
              <w:rPr>
                <w:sz w:val="16"/>
                <w:szCs w:val="16"/>
              </w:rPr>
            </w:pPr>
            <w:proofErr w:type="spellStart"/>
            <w:r w:rsidRPr="00DA28D9">
              <w:rPr>
                <w:sz w:val="16"/>
                <w:szCs w:val="16"/>
              </w:rPr>
              <w:t>Uso</w:t>
            </w:r>
            <w:proofErr w:type="spellEnd"/>
            <w:r w:rsidRPr="00DA28D9">
              <w:rPr>
                <w:sz w:val="16"/>
                <w:szCs w:val="16"/>
              </w:rPr>
              <w:t xml:space="preserve"> </w:t>
            </w:r>
            <w:proofErr w:type="spellStart"/>
            <w:r w:rsidRPr="00DA28D9">
              <w:rPr>
                <w:sz w:val="16"/>
                <w:szCs w:val="16"/>
              </w:rPr>
              <w:t>en</w:t>
            </w:r>
            <w:proofErr w:type="spellEnd"/>
            <w:r w:rsidRPr="00DA28D9">
              <w:rPr>
                <w:sz w:val="16"/>
                <w:szCs w:val="16"/>
              </w:rPr>
              <w:t xml:space="preserve"> lab.</w:t>
            </w:r>
          </w:p>
        </w:tc>
        <w:tc>
          <w:tcPr>
            <w:tcW w:w="723" w:type="pct"/>
            <w:shd w:val="clear" w:color="auto" w:fill="auto"/>
          </w:tcPr>
          <w:p w14:paraId="4262078B" w14:textId="32AE7AFE" w:rsidR="008933CC" w:rsidRPr="00971AB8" w:rsidRDefault="00971AB8" w:rsidP="001B68E7">
            <w:pPr>
              <w:spacing w:after="60"/>
              <w:jc w:val="center"/>
              <w:rPr>
                <w:sz w:val="18"/>
                <w:szCs w:val="18"/>
                <w:lang w:val="es-ES"/>
              </w:rPr>
            </w:pPr>
            <w:r w:rsidRPr="00971AB8">
              <w:rPr>
                <w:sz w:val="18"/>
                <w:szCs w:val="18"/>
                <w:lang w:val="es-ES"/>
              </w:rPr>
              <w:t>Consumo t</w:t>
            </w:r>
            <w:r w:rsidR="008933CC" w:rsidRPr="00971AB8">
              <w:rPr>
                <w:sz w:val="18"/>
                <w:szCs w:val="18"/>
                <w:lang w:val="es-ES"/>
              </w:rPr>
              <w:t xml:space="preserve">otal </w:t>
            </w:r>
            <w:r w:rsidRPr="00971AB8">
              <w:rPr>
                <w:sz w:val="18"/>
                <w:szCs w:val="18"/>
                <w:lang w:val="es-ES"/>
              </w:rPr>
              <w:t xml:space="preserve">del </w:t>
            </w:r>
            <w:r w:rsidR="008933CC" w:rsidRPr="00971AB8">
              <w:rPr>
                <w:sz w:val="18"/>
                <w:szCs w:val="18"/>
                <w:lang w:val="es-ES"/>
              </w:rPr>
              <w:t xml:space="preserve">sector </w:t>
            </w:r>
          </w:p>
        </w:tc>
      </w:tr>
      <w:tr w:rsidR="00971AB8" w:rsidRPr="0070042A" w14:paraId="29C2BCAB" w14:textId="77777777" w:rsidTr="0060294D">
        <w:trPr>
          <w:trHeight w:val="70"/>
        </w:trPr>
        <w:tc>
          <w:tcPr>
            <w:tcW w:w="1920" w:type="pct"/>
            <w:gridSpan w:val="4"/>
            <w:shd w:val="clear" w:color="auto" w:fill="auto"/>
          </w:tcPr>
          <w:p w14:paraId="2FD04CF2" w14:textId="77777777" w:rsidR="008933CC" w:rsidRPr="00971AB8" w:rsidRDefault="008933CC" w:rsidP="001B68E7">
            <w:pPr>
              <w:spacing w:after="60"/>
              <w:jc w:val="center"/>
              <w:rPr>
                <w:sz w:val="18"/>
                <w:szCs w:val="18"/>
                <w:lang w:val="es-ES"/>
              </w:rPr>
            </w:pPr>
            <w:r w:rsidRPr="00971AB8">
              <w:rPr>
                <w:sz w:val="18"/>
                <w:szCs w:val="18"/>
                <w:lang w:val="es-ES"/>
              </w:rPr>
              <w:t xml:space="preserve"> </w:t>
            </w:r>
          </w:p>
        </w:tc>
        <w:tc>
          <w:tcPr>
            <w:tcW w:w="577" w:type="pct"/>
            <w:shd w:val="clear" w:color="auto" w:fill="auto"/>
          </w:tcPr>
          <w:p w14:paraId="6524B6E7" w14:textId="488AFA95" w:rsidR="008933CC" w:rsidRPr="0070042A" w:rsidRDefault="00DA28D9" w:rsidP="001B68E7">
            <w:pPr>
              <w:spacing w:after="60"/>
              <w:jc w:val="center"/>
              <w:rPr>
                <w:sz w:val="18"/>
                <w:szCs w:val="18"/>
              </w:rPr>
            </w:pPr>
            <w:proofErr w:type="spellStart"/>
            <w:r>
              <w:rPr>
                <w:sz w:val="18"/>
                <w:szCs w:val="18"/>
              </w:rPr>
              <w:t>Fabricación</w:t>
            </w:r>
            <w:proofErr w:type="spellEnd"/>
          </w:p>
        </w:tc>
        <w:tc>
          <w:tcPr>
            <w:tcW w:w="645" w:type="pct"/>
            <w:shd w:val="clear" w:color="auto" w:fill="auto"/>
          </w:tcPr>
          <w:p w14:paraId="4C89B7B3" w14:textId="64214B38" w:rsidR="008933CC" w:rsidRPr="0070042A" w:rsidRDefault="00DA28D9" w:rsidP="001B68E7">
            <w:pPr>
              <w:spacing w:after="60"/>
              <w:jc w:val="center"/>
              <w:rPr>
                <w:sz w:val="18"/>
                <w:szCs w:val="18"/>
              </w:rPr>
            </w:pPr>
            <w:proofErr w:type="spellStart"/>
            <w:r>
              <w:rPr>
                <w:sz w:val="18"/>
                <w:szCs w:val="18"/>
              </w:rPr>
              <w:t>Mantenimiento</w:t>
            </w:r>
            <w:proofErr w:type="spellEnd"/>
          </w:p>
        </w:tc>
        <w:tc>
          <w:tcPr>
            <w:tcW w:w="1858" w:type="pct"/>
            <w:gridSpan w:val="4"/>
            <w:shd w:val="clear" w:color="auto" w:fill="auto"/>
          </w:tcPr>
          <w:p w14:paraId="5A592A90" w14:textId="77777777" w:rsidR="008933CC" w:rsidRPr="0070042A" w:rsidRDefault="008933CC" w:rsidP="001B68E7">
            <w:pPr>
              <w:spacing w:after="60"/>
              <w:jc w:val="center"/>
              <w:rPr>
                <w:sz w:val="18"/>
                <w:szCs w:val="18"/>
              </w:rPr>
            </w:pPr>
          </w:p>
        </w:tc>
      </w:tr>
      <w:tr w:rsidR="00A406A3" w:rsidRPr="0070042A" w14:paraId="307AF70D" w14:textId="77777777" w:rsidTr="0060294D">
        <w:trPr>
          <w:trHeight w:val="250"/>
        </w:trPr>
        <w:tc>
          <w:tcPr>
            <w:tcW w:w="641" w:type="pct"/>
            <w:shd w:val="clear" w:color="auto" w:fill="auto"/>
          </w:tcPr>
          <w:p w14:paraId="2ECCA43E" w14:textId="77777777" w:rsidR="008933CC" w:rsidRPr="0070042A" w:rsidRDefault="008933CC" w:rsidP="001B68E7">
            <w:pPr>
              <w:spacing w:after="60"/>
              <w:jc w:val="left"/>
              <w:rPr>
                <w:sz w:val="18"/>
                <w:szCs w:val="18"/>
              </w:rPr>
            </w:pPr>
            <w:r w:rsidRPr="0070042A">
              <w:rPr>
                <w:color w:val="000000" w:themeColor="text1"/>
                <w:sz w:val="18"/>
                <w:szCs w:val="18"/>
              </w:rPr>
              <w:t>HCFC-22</w:t>
            </w:r>
          </w:p>
        </w:tc>
        <w:tc>
          <w:tcPr>
            <w:tcW w:w="385" w:type="pct"/>
            <w:shd w:val="clear" w:color="auto" w:fill="auto"/>
          </w:tcPr>
          <w:p w14:paraId="7BC5BA3B" w14:textId="77777777" w:rsidR="008933CC" w:rsidRPr="0070042A" w:rsidRDefault="008933CC" w:rsidP="001B68E7">
            <w:pPr>
              <w:spacing w:after="60"/>
              <w:jc w:val="right"/>
              <w:rPr>
                <w:sz w:val="18"/>
                <w:szCs w:val="18"/>
              </w:rPr>
            </w:pPr>
          </w:p>
        </w:tc>
        <w:tc>
          <w:tcPr>
            <w:tcW w:w="424" w:type="pct"/>
            <w:shd w:val="clear" w:color="auto" w:fill="auto"/>
          </w:tcPr>
          <w:p w14:paraId="6B867639" w14:textId="77777777" w:rsidR="008933CC" w:rsidRPr="0070042A" w:rsidRDefault="008933CC" w:rsidP="001B68E7">
            <w:pPr>
              <w:spacing w:after="60"/>
              <w:jc w:val="right"/>
              <w:rPr>
                <w:sz w:val="18"/>
                <w:szCs w:val="18"/>
              </w:rPr>
            </w:pPr>
          </w:p>
        </w:tc>
        <w:tc>
          <w:tcPr>
            <w:tcW w:w="470" w:type="pct"/>
            <w:shd w:val="clear" w:color="auto" w:fill="auto"/>
          </w:tcPr>
          <w:p w14:paraId="20724E3D" w14:textId="77777777" w:rsidR="008933CC" w:rsidRPr="0070042A" w:rsidRDefault="008933CC" w:rsidP="001B68E7">
            <w:pPr>
              <w:spacing w:after="60"/>
              <w:jc w:val="right"/>
              <w:rPr>
                <w:sz w:val="18"/>
                <w:szCs w:val="18"/>
              </w:rPr>
            </w:pPr>
          </w:p>
        </w:tc>
        <w:tc>
          <w:tcPr>
            <w:tcW w:w="577" w:type="pct"/>
            <w:shd w:val="clear" w:color="auto" w:fill="auto"/>
          </w:tcPr>
          <w:p w14:paraId="5C30326E" w14:textId="77777777" w:rsidR="008933CC" w:rsidRPr="0070042A" w:rsidRDefault="008933CC" w:rsidP="001B68E7">
            <w:pPr>
              <w:spacing w:after="60"/>
              <w:jc w:val="right"/>
              <w:rPr>
                <w:sz w:val="18"/>
                <w:szCs w:val="18"/>
              </w:rPr>
            </w:pPr>
          </w:p>
        </w:tc>
        <w:tc>
          <w:tcPr>
            <w:tcW w:w="645" w:type="pct"/>
            <w:shd w:val="clear" w:color="auto" w:fill="auto"/>
          </w:tcPr>
          <w:p w14:paraId="400B8F9C" w14:textId="4564AD7D" w:rsidR="008933CC" w:rsidRPr="0070042A" w:rsidRDefault="008933CC" w:rsidP="001B68E7">
            <w:pPr>
              <w:spacing w:after="60"/>
              <w:jc w:val="right"/>
              <w:rPr>
                <w:sz w:val="18"/>
                <w:szCs w:val="18"/>
              </w:rPr>
            </w:pPr>
            <w:r w:rsidRPr="0070042A">
              <w:rPr>
                <w:sz w:val="18"/>
                <w:szCs w:val="18"/>
              </w:rPr>
              <w:t>2</w:t>
            </w:r>
            <w:r w:rsidR="00DA28D9">
              <w:rPr>
                <w:sz w:val="18"/>
                <w:szCs w:val="18"/>
              </w:rPr>
              <w:t>,</w:t>
            </w:r>
            <w:r w:rsidRPr="0070042A">
              <w:rPr>
                <w:sz w:val="18"/>
                <w:szCs w:val="18"/>
              </w:rPr>
              <w:t>09</w:t>
            </w:r>
          </w:p>
        </w:tc>
        <w:tc>
          <w:tcPr>
            <w:tcW w:w="488" w:type="pct"/>
            <w:shd w:val="clear" w:color="auto" w:fill="auto"/>
          </w:tcPr>
          <w:p w14:paraId="169131DC" w14:textId="77777777" w:rsidR="008933CC" w:rsidRPr="0070042A" w:rsidRDefault="008933CC" w:rsidP="001B68E7">
            <w:pPr>
              <w:spacing w:after="60"/>
              <w:jc w:val="right"/>
              <w:rPr>
                <w:sz w:val="18"/>
                <w:szCs w:val="18"/>
              </w:rPr>
            </w:pPr>
          </w:p>
        </w:tc>
        <w:tc>
          <w:tcPr>
            <w:tcW w:w="414" w:type="pct"/>
            <w:shd w:val="clear" w:color="auto" w:fill="auto"/>
          </w:tcPr>
          <w:p w14:paraId="5B3284C2" w14:textId="77777777" w:rsidR="008933CC" w:rsidRPr="0070042A" w:rsidRDefault="008933CC" w:rsidP="001B68E7">
            <w:pPr>
              <w:spacing w:after="60"/>
              <w:jc w:val="right"/>
              <w:rPr>
                <w:sz w:val="18"/>
                <w:szCs w:val="18"/>
              </w:rPr>
            </w:pPr>
          </w:p>
        </w:tc>
        <w:tc>
          <w:tcPr>
            <w:tcW w:w="232" w:type="pct"/>
            <w:shd w:val="clear" w:color="auto" w:fill="auto"/>
          </w:tcPr>
          <w:p w14:paraId="3C1BFD63" w14:textId="77777777" w:rsidR="008933CC" w:rsidRPr="0070042A" w:rsidRDefault="008933CC" w:rsidP="001B68E7">
            <w:pPr>
              <w:spacing w:after="60"/>
              <w:jc w:val="right"/>
              <w:rPr>
                <w:sz w:val="18"/>
                <w:szCs w:val="18"/>
              </w:rPr>
            </w:pPr>
          </w:p>
        </w:tc>
        <w:tc>
          <w:tcPr>
            <w:tcW w:w="723" w:type="pct"/>
            <w:shd w:val="clear" w:color="auto" w:fill="auto"/>
          </w:tcPr>
          <w:p w14:paraId="18D4A2EC" w14:textId="09F38D99" w:rsidR="008933CC" w:rsidRPr="0070042A" w:rsidRDefault="008933CC" w:rsidP="001B68E7">
            <w:pPr>
              <w:spacing w:after="60"/>
              <w:jc w:val="right"/>
              <w:rPr>
                <w:sz w:val="18"/>
                <w:szCs w:val="18"/>
              </w:rPr>
            </w:pPr>
            <w:r w:rsidRPr="0070042A">
              <w:rPr>
                <w:color w:val="000000" w:themeColor="text1"/>
                <w:sz w:val="18"/>
                <w:szCs w:val="18"/>
              </w:rPr>
              <w:t>2</w:t>
            </w:r>
            <w:r w:rsidR="00DA28D9">
              <w:rPr>
                <w:color w:val="000000" w:themeColor="text1"/>
                <w:sz w:val="18"/>
                <w:szCs w:val="18"/>
              </w:rPr>
              <w:t>,</w:t>
            </w:r>
            <w:r w:rsidRPr="0070042A">
              <w:rPr>
                <w:color w:val="000000" w:themeColor="text1"/>
                <w:sz w:val="18"/>
                <w:szCs w:val="18"/>
              </w:rPr>
              <w:t>09</w:t>
            </w:r>
          </w:p>
        </w:tc>
      </w:tr>
    </w:tbl>
    <w:p w14:paraId="786473DA" w14:textId="77777777" w:rsidR="008933CC" w:rsidRPr="0070042A" w:rsidRDefault="008933CC" w:rsidP="008933CC">
      <w:pPr>
        <w:jc w:val="left"/>
        <w:rPr>
          <w:b/>
          <w:sz w:val="18"/>
          <w:szCs w:val="18"/>
        </w:rPr>
      </w:pPr>
    </w:p>
    <w:tbl>
      <w:tblPr>
        <w:tblStyle w:val="TableGrid"/>
        <w:tblW w:w="5458" w:type="pct"/>
        <w:tblInd w:w="-289" w:type="dxa"/>
        <w:tblLook w:val="04A0" w:firstRow="1" w:lastRow="0" w:firstColumn="1" w:lastColumn="0" w:noHBand="0" w:noVBand="1"/>
      </w:tblPr>
      <w:tblGrid>
        <w:gridCol w:w="3205"/>
        <w:gridCol w:w="806"/>
        <w:gridCol w:w="4999"/>
        <w:gridCol w:w="1196"/>
      </w:tblGrid>
      <w:tr w:rsidR="008933CC" w:rsidRPr="00D53D79" w14:paraId="3EF183C4" w14:textId="77777777" w:rsidTr="0060294D">
        <w:trPr>
          <w:trHeight w:val="289"/>
        </w:trPr>
        <w:tc>
          <w:tcPr>
            <w:tcW w:w="5000" w:type="pct"/>
            <w:gridSpan w:val="4"/>
            <w:shd w:val="clear" w:color="auto" w:fill="auto"/>
          </w:tcPr>
          <w:p w14:paraId="40BD72FF" w14:textId="46FB4FA3" w:rsidR="008933CC" w:rsidRPr="00DA28D9" w:rsidRDefault="008933CC" w:rsidP="001B68E7">
            <w:pPr>
              <w:jc w:val="left"/>
              <w:rPr>
                <w:b/>
                <w:sz w:val="18"/>
                <w:szCs w:val="18"/>
                <w:lang w:val="es-ES"/>
              </w:rPr>
            </w:pPr>
            <w:r w:rsidRPr="00DA28D9">
              <w:rPr>
                <w:b/>
                <w:sz w:val="18"/>
                <w:szCs w:val="18"/>
                <w:lang w:val="es-ES"/>
              </w:rPr>
              <w:t xml:space="preserve">IV) </w:t>
            </w:r>
            <w:r w:rsidR="00DA28D9" w:rsidRPr="00DA28D9">
              <w:rPr>
                <w:b/>
                <w:sz w:val="18"/>
                <w:szCs w:val="18"/>
                <w:lang w:val="es-ES"/>
              </w:rPr>
              <w:t>DATOS SOBRE EL CONSUMO</w:t>
            </w:r>
            <w:r w:rsidRPr="00DA28D9">
              <w:rPr>
                <w:b/>
                <w:sz w:val="18"/>
                <w:szCs w:val="18"/>
                <w:lang w:val="es-ES"/>
              </w:rPr>
              <w:t xml:space="preserve"> (</w:t>
            </w:r>
            <w:r w:rsidR="00DA28D9">
              <w:rPr>
                <w:b/>
                <w:sz w:val="18"/>
                <w:szCs w:val="18"/>
                <w:lang w:val="es-ES"/>
              </w:rPr>
              <w:t>toneladas PAO</w:t>
            </w:r>
            <w:r w:rsidRPr="00DA28D9">
              <w:rPr>
                <w:b/>
                <w:sz w:val="18"/>
                <w:szCs w:val="18"/>
                <w:lang w:val="es-ES"/>
              </w:rPr>
              <w:t>)</w:t>
            </w:r>
          </w:p>
        </w:tc>
      </w:tr>
      <w:tr w:rsidR="00C114F2" w:rsidRPr="0070042A" w14:paraId="4350586C" w14:textId="77777777" w:rsidTr="0060294D">
        <w:trPr>
          <w:trHeight w:val="289"/>
        </w:trPr>
        <w:tc>
          <w:tcPr>
            <w:tcW w:w="1570" w:type="pct"/>
            <w:shd w:val="clear" w:color="auto" w:fill="auto"/>
          </w:tcPr>
          <w:p w14:paraId="5258DBF4" w14:textId="775A8ADE" w:rsidR="00C114F2" w:rsidRPr="0070042A" w:rsidRDefault="00C114F2" w:rsidP="00C114F2">
            <w:pPr>
              <w:spacing w:after="60"/>
              <w:jc w:val="center"/>
              <w:rPr>
                <w:sz w:val="18"/>
                <w:szCs w:val="18"/>
              </w:rPr>
            </w:pPr>
            <w:proofErr w:type="spellStart"/>
            <w:r>
              <w:rPr>
                <w:sz w:val="18"/>
                <w:szCs w:val="18"/>
                <w:lang w:val="es-ES"/>
              </w:rPr>
              <w:t>Nível</w:t>
            </w:r>
            <w:proofErr w:type="spellEnd"/>
            <w:r>
              <w:rPr>
                <w:sz w:val="18"/>
                <w:szCs w:val="18"/>
                <w:lang w:val="es-ES"/>
              </w:rPr>
              <w:t xml:space="preserve"> básico </w:t>
            </w:r>
            <w:r w:rsidRPr="0070042A">
              <w:rPr>
                <w:sz w:val="18"/>
                <w:szCs w:val="18"/>
              </w:rPr>
              <w:t>2009 - 2010:</w:t>
            </w:r>
          </w:p>
        </w:tc>
        <w:tc>
          <w:tcPr>
            <w:tcW w:w="395" w:type="pct"/>
            <w:shd w:val="clear" w:color="auto" w:fill="auto"/>
          </w:tcPr>
          <w:p w14:paraId="35FB131B" w14:textId="5DB0637E" w:rsidR="00C114F2" w:rsidRPr="0070042A" w:rsidRDefault="00C114F2" w:rsidP="00C114F2">
            <w:pPr>
              <w:spacing w:after="60"/>
              <w:jc w:val="center"/>
              <w:rPr>
                <w:sz w:val="18"/>
                <w:szCs w:val="18"/>
              </w:rPr>
            </w:pPr>
            <w:r w:rsidRPr="0070042A">
              <w:rPr>
                <w:color w:val="000000" w:themeColor="text1"/>
                <w:sz w:val="18"/>
                <w:szCs w:val="18"/>
              </w:rPr>
              <w:t>66</w:t>
            </w:r>
            <w:r>
              <w:rPr>
                <w:color w:val="000000" w:themeColor="text1"/>
                <w:sz w:val="18"/>
                <w:szCs w:val="18"/>
              </w:rPr>
              <w:t>,</w:t>
            </w:r>
            <w:r w:rsidRPr="0070042A">
              <w:rPr>
                <w:color w:val="000000" w:themeColor="text1"/>
                <w:sz w:val="18"/>
                <w:szCs w:val="18"/>
              </w:rPr>
              <w:t>21</w:t>
            </w:r>
          </w:p>
        </w:tc>
        <w:tc>
          <w:tcPr>
            <w:tcW w:w="2449" w:type="pct"/>
            <w:shd w:val="clear" w:color="auto" w:fill="auto"/>
          </w:tcPr>
          <w:p w14:paraId="7C18C91F" w14:textId="3D8CAE4A" w:rsidR="00C114F2" w:rsidRPr="00C114F2" w:rsidRDefault="00C114F2" w:rsidP="00C114F2">
            <w:pPr>
              <w:spacing w:after="60"/>
              <w:jc w:val="center"/>
              <w:rPr>
                <w:sz w:val="18"/>
                <w:szCs w:val="18"/>
                <w:lang w:val="es-ES"/>
              </w:rPr>
            </w:pPr>
            <w:r w:rsidRPr="00E94BF3">
              <w:rPr>
                <w:sz w:val="18"/>
                <w:lang w:val="es-MX"/>
              </w:rPr>
              <w:t>Punto de partida para las reducciones acumulativas sostenidas:</w:t>
            </w:r>
          </w:p>
        </w:tc>
        <w:tc>
          <w:tcPr>
            <w:tcW w:w="586" w:type="pct"/>
            <w:shd w:val="clear" w:color="auto" w:fill="auto"/>
          </w:tcPr>
          <w:p w14:paraId="5DE8B40E" w14:textId="7F33347E" w:rsidR="00C114F2" w:rsidRPr="0070042A" w:rsidRDefault="00C114F2" w:rsidP="00C114F2">
            <w:pPr>
              <w:spacing w:after="60"/>
              <w:jc w:val="center"/>
              <w:rPr>
                <w:sz w:val="18"/>
                <w:szCs w:val="18"/>
              </w:rPr>
            </w:pPr>
            <w:r w:rsidRPr="0070042A">
              <w:rPr>
                <w:color w:val="000000" w:themeColor="text1"/>
                <w:sz w:val="18"/>
                <w:szCs w:val="18"/>
              </w:rPr>
              <w:t>17</w:t>
            </w:r>
            <w:r>
              <w:rPr>
                <w:color w:val="000000" w:themeColor="text1"/>
                <w:sz w:val="18"/>
                <w:szCs w:val="18"/>
              </w:rPr>
              <w:t>,</w:t>
            </w:r>
            <w:r w:rsidRPr="0070042A">
              <w:rPr>
                <w:color w:val="000000" w:themeColor="text1"/>
                <w:sz w:val="18"/>
                <w:szCs w:val="18"/>
              </w:rPr>
              <w:t>00</w:t>
            </w:r>
          </w:p>
        </w:tc>
      </w:tr>
      <w:tr w:rsidR="00C114F2" w:rsidRPr="00D53D79" w14:paraId="19690BC6" w14:textId="77777777" w:rsidTr="0060294D">
        <w:trPr>
          <w:trHeight w:val="173"/>
        </w:trPr>
        <w:tc>
          <w:tcPr>
            <w:tcW w:w="5000" w:type="pct"/>
            <w:gridSpan w:val="4"/>
            <w:shd w:val="clear" w:color="auto" w:fill="auto"/>
          </w:tcPr>
          <w:p w14:paraId="7C5D112E" w14:textId="516861D2" w:rsidR="00C114F2" w:rsidRPr="00C114F2" w:rsidRDefault="00C114F2" w:rsidP="00C114F2">
            <w:pPr>
              <w:jc w:val="center"/>
              <w:rPr>
                <w:b/>
                <w:sz w:val="18"/>
                <w:szCs w:val="18"/>
                <w:lang w:val="es-ES"/>
              </w:rPr>
            </w:pPr>
            <w:r w:rsidRPr="00C114F2">
              <w:rPr>
                <w:b/>
                <w:sz w:val="18"/>
                <w:szCs w:val="18"/>
                <w:lang w:val="es-ES"/>
              </w:rPr>
              <w:t>CONSUMO ADMISIBLE PARA LA FINANCIACIÓN (</w:t>
            </w:r>
            <w:r>
              <w:rPr>
                <w:b/>
                <w:sz w:val="18"/>
                <w:szCs w:val="18"/>
                <w:lang w:val="es-ES"/>
              </w:rPr>
              <w:t>toneladas PAO</w:t>
            </w:r>
            <w:r w:rsidRPr="00C114F2">
              <w:rPr>
                <w:b/>
                <w:sz w:val="18"/>
                <w:szCs w:val="18"/>
                <w:lang w:val="es-ES"/>
              </w:rPr>
              <w:t>)</w:t>
            </w:r>
          </w:p>
        </w:tc>
      </w:tr>
      <w:tr w:rsidR="00C114F2" w:rsidRPr="0070042A" w14:paraId="79B7AB8C" w14:textId="77777777" w:rsidTr="0060294D">
        <w:trPr>
          <w:trHeight w:val="289"/>
        </w:trPr>
        <w:tc>
          <w:tcPr>
            <w:tcW w:w="1570" w:type="pct"/>
            <w:shd w:val="clear" w:color="auto" w:fill="auto"/>
          </w:tcPr>
          <w:p w14:paraId="6DF55A5B" w14:textId="367C0E7A" w:rsidR="00C114F2" w:rsidRPr="0070042A" w:rsidRDefault="00C114F2" w:rsidP="00C114F2">
            <w:pPr>
              <w:spacing w:after="60"/>
              <w:jc w:val="center"/>
              <w:rPr>
                <w:sz w:val="18"/>
                <w:szCs w:val="18"/>
              </w:rPr>
            </w:pPr>
            <w:proofErr w:type="spellStart"/>
            <w:r>
              <w:rPr>
                <w:sz w:val="18"/>
                <w:szCs w:val="18"/>
              </w:rPr>
              <w:t>Ya</w:t>
            </w:r>
            <w:proofErr w:type="spellEnd"/>
            <w:r>
              <w:rPr>
                <w:sz w:val="18"/>
                <w:szCs w:val="18"/>
              </w:rPr>
              <w:t xml:space="preserve"> </w:t>
            </w:r>
            <w:proofErr w:type="spellStart"/>
            <w:r>
              <w:rPr>
                <w:sz w:val="18"/>
                <w:szCs w:val="18"/>
              </w:rPr>
              <w:t>aprobado</w:t>
            </w:r>
            <w:proofErr w:type="spellEnd"/>
            <w:r w:rsidRPr="0070042A">
              <w:rPr>
                <w:sz w:val="18"/>
                <w:szCs w:val="18"/>
              </w:rPr>
              <w:t>:</w:t>
            </w:r>
          </w:p>
        </w:tc>
        <w:tc>
          <w:tcPr>
            <w:tcW w:w="395" w:type="pct"/>
            <w:shd w:val="clear" w:color="auto" w:fill="auto"/>
          </w:tcPr>
          <w:p w14:paraId="7898546F" w14:textId="6290410F" w:rsidR="00C114F2" w:rsidRPr="0070042A" w:rsidRDefault="00C114F2" w:rsidP="00C114F2">
            <w:pPr>
              <w:spacing w:after="60"/>
              <w:jc w:val="center"/>
              <w:rPr>
                <w:sz w:val="18"/>
                <w:szCs w:val="18"/>
              </w:rPr>
            </w:pPr>
            <w:r w:rsidRPr="0070042A">
              <w:rPr>
                <w:color w:val="000000" w:themeColor="text1"/>
                <w:sz w:val="18"/>
                <w:szCs w:val="18"/>
              </w:rPr>
              <w:t>5</w:t>
            </w:r>
            <w:r>
              <w:rPr>
                <w:color w:val="000000" w:themeColor="text1"/>
                <w:sz w:val="18"/>
                <w:szCs w:val="18"/>
              </w:rPr>
              <w:t>,</w:t>
            </w:r>
            <w:r w:rsidRPr="0070042A">
              <w:rPr>
                <w:color w:val="000000" w:themeColor="text1"/>
                <w:sz w:val="18"/>
                <w:szCs w:val="18"/>
              </w:rPr>
              <w:t>8</w:t>
            </w:r>
          </w:p>
        </w:tc>
        <w:tc>
          <w:tcPr>
            <w:tcW w:w="2449" w:type="pct"/>
            <w:shd w:val="clear" w:color="auto" w:fill="auto"/>
          </w:tcPr>
          <w:p w14:paraId="06EC1E70" w14:textId="4B9686C6" w:rsidR="00C114F2" w:rsidRPr="0070042A" w:rsidRDefault="00C114F2" w:rsidP="00C114F2">
            <w:pPr>
              <w:spacing w:after="60"/>
              <w:jc w:val="center"/>
              <w:rPr>
                <w:sz w:val="18"/>
                <w:szCs w:val="18"/>
              </w:rPr>
            </w:pPr>
            <w:r>
              <w:rPr>
                <w:sz w:val="18"/>
                <w:szCs w:val="18"/>
              </w:rPr>
              <w:t>Restante</w:t>
            </w:r>
            <w:r w:rsidRPr="0070042A">
              <w:rPr>
                <w:sz w:val="18"/>
                <w:szCs w:val="18"/>
              </w:rPr>
              <w:t>:</w:t>
            </w:r>
          </w:p>
        </w:tc>
        <w:tc>
          <w:tcPr>
            <w:tcW w:w="586" w:type="pct"/>
            <w:shd w:val="clear" w:color="auto" w:fill="auto"/>
          </w:tcPr>
          <w:p w14:paraId="2B5868C2" w14:textId="3F1B24BE" w:rsidR="00C114F2" w:rsidRPr="0070042A" w:rsidRDefault="00C114F2" w:rsidP="00C114F2">
            <w:pPr>
              <w:spacing w:after="60"/>
              <w:jc w:val="center"/>
              <w:rPr>
                <w:sz w:val="18"/>
                <w:szCs w:val="18"/>
              </w:rPr>
            </w:pPr>
            <w:r w:rsidRPr="0070042A">
              <w:rPr>
                <w:color w:val="000000" w:themeColor="text1"/>
                <w:sz w:val="18"/>
                <w:szCs w:val="18"/>
              </w:rPr>
              <w:t>11</w:t>
            </w:r>
            <w:r w:rsidR="00BF47E1">
              <w:rPr>
                <w:color w:val="000000" w:themeColor="text1"/>
                <w:sz w:val="18"/>
                <w:szCs w:val="18"/>
              </w:rPr>
              <w:t>,</w:t>
            </w:r>
            <w:r w:rsidRPr="0070042A">
              <w:rPr>
                <w:color w:val="000000" w:themeColor="text1"/>
                <w:sz w:val="18"/>
                <w:szCs w:val="18"/>
              </w:rPr>
              <w:t>20</w:t>
            </w:r>
          </w:p>
        </w:tc>
      </w:tr>
    </w:tbl>
    <w:p w14:paraId="163D083B" w14:textId="77777777" w:rsidR="008933CC" w:rsidRPr="0070042A" w:rsidRDefault="008933CC" w:rsidP="008933CC">
      <w:pPr>
        <w:jc w:val="center"/>
        <w:rPr>
          <w:sz w:val="18"/>
          <w:szCs w:val="18"/>
        </w:rPr>
      </w:pPr>
    </w:p>
    <w:tbl>
      <w:tblPr>
        <w:tblStyle w:val="TableGrid"/>
        <w:tblW w:w="5458" w:type="pct"/>
        <w:tblInd w:w="-289" w:type="dxa"/>
        <w:tblLook w:val="04A0" w:firstRow="1" w:lastRow="0" w:firstColumn="1" w:lastColumn="0" w:noHBand="0" w:noVBand="1"/>
      </w:tblPr>
      <w:tblGrid>
        <w:gridCol w:w="1506"/>
        <w:gridCol w:w="2609"/>
        <w:gridCol w:w="1319"/>
        <w:gridCol w:w="1402"/>
        <w:gridCol w:w="1402"/>
        <w:gridCol w:w="1968"/>
      </w:tblGrid>
      <w:tr w:rsidR="008933CC" w:rsidRPr="0070042A" w14:paraId="226331F5" w14:textId="77777777" w:rsidTr="0060294D">
        <w:trPr>
          <w:trHeight w:val="258"/>
        </w:trPr>
        <w:tc>
          <w:tcPr>
            <w:tcW w:w="2015" w:type="pct"/>
            <w:gridSpan w:val="2"/>
            <w:shd w:val="clear" w:color="auto" w:fill="auto"/>
          </w:tcPr>
          <w:p w14:paraId="3E718857" w14:textId="48937E7E" w:rsidR="008933CC" w:rsidRPr="0070042A" w:rsidRDefault="008933CC" w:rsidP="001B68E7">
            <w:pPr>
              <w:spacing w:after="60"/>
              <w:jc w:val="left"/>
              <w:rPr>
                <w:b/>
                <w:sz w:val="18"/>
                <w:szCs w:val="18"/>
              </w:rPr>
            </w:pPr>
            <w:r w:rsidRPr="0070042A">
              <w:rPr>
                <w:b/>
                <w:sz w:val="18"/>
                <w:szCs w:val="18"/>
              </w:rPr>
              <w:t>V) PLAN</w:t>
            </w:r>
            <w:r w:rsidR="00BF47E1">
              <w:rPr>
                <w:b/>
                <w:sz w:val="18"/>
                <w:szCs w:val="18"/>
              </w:rPr>
              <w:t xml:space="preserve"> ADMINISTRATIVO</w:t>
            </w:r>
          </w:p>
        </w:tc>
        <w:tc>
          <w:tcPr>
            <w:tcW w:w="646" w:type="pct"/>
          </w:tcPr>
          <w:p w14:paraId="24884155" w14:textId="77777777" w:rsidR="008933CC" w:rsidRPr="0070042A" w:rsidRDefault="008933CC" w:rsidP="001B68E7">
            <w:pPr>
              <w:spacing w:after="60"/>
              <w:jc w:val="center"/>
              <w:rPr>
                <w:b/>
                <w:sz w:val="18"/>
                <w:szCs w:val="18"/>
              </w:rPr>
            </w:pPr>
            <w:r w:rsidRPr="0070042A">
              <w:rPr>
                <w:b/>
                <w:sz w:val="18"/>
                <w:szCs w:val="18"/>
              </w:rPr>
              <w:t>2021</w:t>
            </w:r>
          </w:p>
        </w:tc>
        <w:tc>
          <w:tcPr>
            <w:tcW w:w="687" w:type="pct"/>
          </w:tcPr>
          <w:p w14:paraId="1A3F178C" w14:textId="77777777" w:rsidR="008933CC" w:rsidRPr="0070042A" w:rsidRDefault="008933CC" w:rsidP="001B68E7">
            <w:pPr>
              <w:spacing w:after="60"/>
              <w:jc w:val="center"/>
              <w:rPr>
                <w:b/>
                <w:sz w:val="18"/>
                <w:szCs w:val="18"/>
              </w:rPr>
            </w:pPr>
            <w:r w:rsidRPr="0070042A">
              <w:rPr>
                <w:b/>
                <w:sz w:val="18"/>
                <w:szCs w:val="18"/>
              </w:rPr>
              <w:t>2022</w:t>
            </w:r>
          </w:p>
        </w:tc>
        <w:tc>
          <w:tcPr>
            <w:tcW w:w="687" w:type="pct"/>
          </w:tcPr>
          <w:p w14:paraId="01771C25" w14:textId="77777777" w:rsidR="008933CC" w:rsidRPr="0070042A" w:rsidRDefault="008933CC" w:rsidP="001B68E7">
            <w:pPr>
              <w:spacing w:after="60"/>
              <w:jc w:val="center"/>
              <w:rPr>
                <w:b/>
                <w:sz w:val="18"/>
                <w:szCs w:val="18"/>
              </w:rPr>
            </w:pPr>
            <w:r w:rsidRPr="0070042A">
              <w:rPr>
                <w:b/>
                <w:sz w:val="18"/>
                <w:szCs w:val="18"/>
              </w:rPr>
              <w:t>2023</w:t>
            </w:r>
          </w:p>
        </w:tc>
        <w:tc>
          <w:tcPr>
            <w:tcW w:w="965" w:type="pct"/>
            <w:shd w:val="clear" w:color="auto" w:fill="auto"/>
          </w:tcPr>
          <w:p w14:paraId="517F7974" w14:textId="77777777" w:rsidR="008933CC" w:rsidRPr="0070042A" w:rsidRDefault="008933CC" w:rsidP="001B68E7">
            <w:pPr>
              <w:spacing w:after="60"/>
              <w:jc w:val="center"/>
              <w:rPr>
                <w:b/>
                <w:sz w:val="18"/>
                <w:szCs w:val="18"/>
              </w:rPr>
            </w:pPr>
            <w:r w:rsidRPr="0070042A">
              <w:rPr>
                <w:b/>
                <w:sz w:val="18"/>
                <w:szCs w:val="18"/>
              </w:rPr>
              <w:t>Total</w:t>
            </w:r>
          </w:p>
        </w:tc>
      </w:tr>
      <w:tr w:rsidR="008933CC" w:rsidRPr="0070042A" w14:paraId="57E346A0" w14:textId="77777777" w:rsidTr="0060294D">
        <w:trPr>
          <w:trHeight w:val="258"/>
        </w:trPr>
        <w:tc>
          <w:tcPr>
            <w:tcW w:w="738" w:type="pct"/>
            <w:vMerge w:val="restart"/>
            <w:shd w:val="clear" w:color="auto" w:fill="auto"/>
          </w:tcPr>
          <w:p w14:paraId="528048A3" w14:textId="5F941230" w:rsidR="008933CC" w:rsidRPr="0070042A" w:rsidRDefault="00E21DD2" w:rsidP="001B68E7">
            <w:pPr>
              <w:spacing w:after="60"/>
              <w:jc w:val="center"/>
              <w:rPr>
                <w:sz w:val="18"/>
                <w:szCs w:val="18"/>
              </w:rPr>
            </w:pPr>
            <w:r>
              <w:rPr>
                <w:color w:val="000000" w:themeColor="text1"/>
                <w:sz w:val="18"/>
                <w:szCs w:val="18"/>
              </w:rPr>
              <w:t>PNUMA</w:t>
            </w:r>
          </w:p>
        </w:tc>
        <w:tc>
          <w:tcPr>
            <w:tcW w:w="1278" w:type="pct"/>
            <w:shd w:val="clear" w:color="auto" w:fill="auto"/>
          </w:tcPr>
          <w:p w14:paraId="1E6F7DBE" w14:textId="241CFE17" w:rsidR="008933CC" w:rsidRPr="009B04F6" w:rsidRDefault="009B04F6" w:rsidP="001B68E7">
            <w:pPr>
              <w:spacing w:after="60"/>
              <w:jc w:val="left"/>
              <w:rPr>
                <w:sz w:val="18"/>
                <w:szCs w:val="18"/>
                <w:lang w:val="es-ES"/>
              </w:rPr>
            </w:pPr>
            <w:r w:rsidRPr="009B04F6">
              <w:rPr>
                <w:sz w:val="18"/>
                <w:szCs w:val="18"/>
                <w:lang w:val="es-ES"/>
              </w:rPr>
              <w:t>Eliminación de SAO</w:t>
            </w:r>
            <w:r w:rsidR="008933CC" w:rsidRPr="009B04F6">
              <w:rPr>
                <w:sz w:val="18"/>
                <w:szCs w:val="18"/>
                <w:lang w:val="es-ES"/>
              </w:rPr>
              <w:t xml:space="preserve"> (</w:t>
            </w:r>
            <w:r w:rsidR="00920684">
              <w:rPr>
                <w:sz w:val="18"/>
                <w:szCs w:val="18"/>
                <w:lang w:val="es-ES"/>
              </w:rPr>
              <w:t>toneladas PAO</w:t>
            </w:r>
            <w:r w:rsidR="008933CC" w:rsidRPr="009B04F6">
              <w:rPr>
                <w:sz w:val="18"/>
                <w:szCs w:val="18"/>
                <w:lang w:val="es-ES"/>
              </w:rPr>
              <w:t>)</w:t>
            </w:r>
          </w:p>
        </w:tc>
        <w:tc>
          <w:tcPr>
            <w:tcW w:w="646" w:type="pct"/>
            <w:shd w:val="clear" w:color="auto" w:fill="auto"/>
          </w:tcPr>
          <w:p w14:paraId="3637A469" w14:textId="1B3CFDFD" w:rsidR="008933CC" w:rsidRPr="0070042A" w:rsidRDefault="008933CC" w:rsidP="001B68E7">
            <w:pPr>
              <w:spacing w:after="60"/>
              <w:jc w:val="right"/>
              <w:rPr>
                <w:sz w:val="18"/>
                <w:szCs w:val="18"/>
              </w:rPr>
            </w:pPr>
            <w:r w:rsidRPr="0070042A">
              <w:rPr>
                <w:sz w:val="18"/>
                <w:szCs w:val="18"/>
              </w:rPr>
              <w:t>1</w:t>
            </w:r>
            <w:r w:rsidR="007C3F42">
              <w:rPr>
                <w:sz w:val="18"/>
                <w:szCs w:val="18"/>
              </w:rPr>
              <w:t>.</w:t>
            </w:r>
            <w:r w:rsidRPr="0070042A">
              <w:rPr>
                <w:sz w:val="18"/>
                <w:szCs w:val="18"/>
              </w:rPr>
              <w:t>0</w:t>
            </w:r>
          </w:p>
        </w:tc>
        <w:tc>
          <w:tcPr>
            <w:tcW w:w="687" w:type="pct"/>
          </w:tcPr>
          <w:p w14:paraId="0FAB2770" w14:textId="2F441570" w:rsidR="008933CC" w:rsidRPr="0070042A" w:rsidRDefault="008933CC" w:rsidP="001B68E7">
            <w:pPr>
              <w:spacing w:after="60"/>
              <w:jc w:val="right"/>
              <w:rPr>
                <w:sz w:val="18"/>
                <w:szCs w:val="18"/>
              </w:rPr>
            </w:pPr>
            <w:r w:rsidRPr="0070042A">
              <w:rPr>
                <w:sz w:val="18"/>
                <w:szCs w:val="18"/>
              </w:rPr>
              <w:t>0</w:t>
            </w:r>
            <w:r w:rsidR="007C3F42">
              <w:rPr>
                <w:sz w:val="18"/>
                <w:szCs w:val="18"/>
              </w:rPr>
              <w:t>,</w:t>
            </w:r>
            <w:r w:rsidRPr="0070042A">
              <w:rPr>
                <w:sz w:val="18"/>
                <w:szCs w:val="18"/>
              </w:rPr>
              <w:t>0</w:t>
            </w:r>
          </w:p>
        </w:tc>
        <w:tc>
          <w:tcPr>
            <w:tcW w:w="687" w:type="pct"/>
            <w:shd w:val="clear" w:color="auto" w:fill="auto"/>
          </w:tcPr>
          <w:p w14:paraId="3414BE9E" w14:textId="61883605" w:rsidR="008933CC" w:rsidRPr="0070042A" w:rsidRDefault="008933CC" w:rsidP="001B68E7">
            <w:pPr>
              <w:spacing w:after="60"/>
              <w:jc w:val="right"/>
              <w:rPr>
                <w:sz w:val="18"/>
                <w:szCs w:val="18"/>
              </w:rPr>
            </w:pPr>
            <w:r w:rsidRPr="0070042A">
              <w:rPr>
                <w:sz w:val="18"/>
                <w:szCs w:val="18"/>
              </w:rPr>
              <w:t>1</w:t>
            </w:r>
            <w:r w:rsidR="007C3F42">
              <w:rPr>
                <w:sz w:val="18"/>
                <w:szCs w:val="18"/>
              </w:rPr>
              <w:t>,</w:t>
            </w:r>
            <w:r w:rsidRPr="0070042A">
              <w:rPr>
                <w:sz w:val="18"/>
                <w:szCs w:val="18"/>
              </w:rPr>
              <w:t>0</w:t>
            </w:r>
          </w:p>
        </w:tc>
        <w:tc>
          <w:tcPr>
            <w:tcW w:w="965" w:type="pct"/>
            <w:shd w:val="clear" w:color="auto" w:fill="auto"/>
          </w:tcPr>
          <w:p w14:paraId="1AE17F74" w14:textId="6612265C" w:rsidR="008933CC" w:rsidRPr="0070042A" w:rsidRDefault="008933CC" w:rsidP="001B68E7">
            <w:pPr>
              <w:spacing w:after="60"/>
              <w:jc w:val="right"/>
              <w:rPr>
                <w:sz w:val="18"/>
                <w:szCs w:val="18"/>
              </w:rPr>
            </w:pPr>
            <w:r w:rsidRPr="0070042A">
              <w:rPr>
                <w:sz w:val="18"/>
                <w:szCs w:val="18"/>
              </w:rPr>
              <w:t>2</w:t>
            </w:r>
            <w:r w:rsidR="007C3F42">
              <w:rPr>
                <w:sz w:val="18"/>
                <w:szCs w:val="18"/>
              </w:rPr>
              <w:t>,</w:t>
            </w:r>
            <w:r w:rsidRPr="0070042A">
              <w:rPr>
                <w:sz w:val="18"/>
                <w:szCs w:val="18"/>
              </w:rPr>
              <w:t>0</w:t>
            </w:r>
          </w:p>
        </w:tc>
      </w:tr>
      <w:tr w:rsidR="008933CC" w:rsidRPr="0070042A" w14:paraId="22CC3531" w14:textId="77777777" w:rsidTr="0060294D">
        <w:trPr>
          <w:trHeight w:val="258"/>
        </w:trPr>
        <w:tc>
          <w:tcPr>
            <w:tcW w:w="738" w:type="pct"/>
            <w:vMerge/>
            <w:shd w:val="clear" w:color="auto" w:fill="auto"/>
          </w:tcPr>
          <w:p w14:paraId="45195EE3" w14:textId="77777777" w:rsidR="008933CC" w:rsidRPr="0070042A" w:rsidRDefault="008933CC" w:rsidP="001B68E7">
            <w:pPr>
              <w:spacing w:after="60"/>
              <w:jc w:val="center"/>
              <w:rPr>
                <w:sz w:val="18"/>
                <w:szCs w:val="18"/>
              </w:rPr>
            </w:pPr>
          </w:p>
        </w:tc>
        <w:tc>
          <w:tcPr>
            <w:tcW w:w="1278" w:type="pct"/>
            <w:shd w:val="clear" w:color="auto" w:fill="auto"/>
          </w:tcPr>
          <w:p w14:paraId="795A007B" w14:textId="5F58FE51" w:rsidR="008933CC" w:rsidRPr="0070042A" w:rsidRDefault="008933CC" w:rsidP="001B68E7">
            <w:pPr>
              <w:spacing w:after="60"/>
              <w:jc w:val="left"/>
              <w:rPr>
                <w:sz w:val="18"/>
                <w:szCs w:val="18"/>
              </w:rPr>
            </w:pPr>
            <w:proofErr w:type="spellStart"/>
            <w:r w:rsidRPr="0070042A">
              <w:rPr>
                <w:sz w:val="18"/>
                <w:szCs w:val="18"/>
              </w:rPr>
              <w:t>F</w:t>
            </w:r>
            <w:r w:rsidR="00920684">
              <w:rPr>
                <w:sz w:val="18"/>
                <w:szCs w:val="18"/>
              </w:rPr>
              <w:t>inanciación</w:t>
            </w:r>
            <w:proofErr w:type="spellEnd"/>
            <w:r w:rsidRPr="0070042A">
              <w:rPr>
                <w:sz w:val="18"/>
                <w:szCs w:val="18"/>
              </w:rPr>
              <w:t xml:space="preserve"> ($</w:t>
            </w:r>
            <w:r w:rsidR="007C3F42">
              <w:rPr>
                <w:sz w:val="18"/>
                <w:szCs w:val="18"/>
              </w:rPr>
              <w:t>EUA</w:t>
            </w:r>
            <w:r w:rsidRPr="0070042A">
              <w:rPr>
                <w:sz w:val="18"/>
                <w:szCs w:val="18"/>
              </w:rPr>
              <w:t>)</w:t>
            </w:r>
          </w:p>
        </w:tc>
        <w:tc>
          <w:tcPr>
            <w:tcW w:w="646" w:type="pct"/>
            <w:shd w:val="clear" w:color="auto" w:fill="auto"/>
          </w:tcPr>
          <w:p w14:paraId="0CD15C9B" w14:textId="4E3AF261" w:rsidR="008933CC" w:rsidRPr="0070042A" w:rsidRDefault="008933CC" w:rsidP="001B68E7">
            <w:pPr>
              <w:spacing w:after="60"/>
              <w:jc w:val="right"/>
              <w:rPr>
                <w:sz w:val="18"/>
                <w:szCs w:val="18"/>
              </w:rPr>
            </w:pPr>
            <w:r w:rsidRPr="0070042A">
              <w:rPr>
                <w:sz w:val="18"/>
                <w:szCs w:val="18"/>
              </w:rPr>
              <w:t>21</w:t>
            </w:r>
            <w:r w:rsidR="007C3F42">
              <w:rPr>
                <w:sz w:val="18"/>
                <w:szCs w:val="18"/>
              </w:rPr>
              <w:t xml:space="preserve"> </w:t>
            </w:r>
            <w:r w:rsidRPr="0070042A">
              <w:rPr>
                <w:sz w:val="18"/>
                <w:szCs w:val="18"/>
              </w:rPr>
              <w:t>885</w:t>
            </w:r>
          </w:p>
        </w:tc>
        <w:tc>
          <w:tcPr>
            <w:tcW w:w="687" w:type="pct"/>
          </w:tcPr>
          <w:p w14:paraId="56DA6BC4" w14:textId="77777777" w:rsidR="008933CC" w:rsidRPr="0070042A" w:rsidRDefault="008933CC" w:rsidP="001B68E7">
            <w:pPr>
              <w:spacing w:after="60"/>
              <w:jc w:val="right"/>
              <w:rPr>
                <w:sz w:val="18"/>
                <w:szCs w:val="18"/>
              </w:rPr>
            </w:pPr>
            <w:r w:rsidRPr="0070042A">
              <w:rPr>
                <w:sz w:val="18"/>
                <w:szCs w:val="18"/>
              </w:rPr>
              <w:t>0</w:t>
            </w:r>
          </w:p>
        </w:tc>
        <w:tc>
          <w:tcPr>
            <w:tcW w:w="687" w:type="pct"/>
            <w:shd w:val="clear" w:color="auto" w:fill="auto"/>
          </w:tcPr>
          <w:p w14:paraId="146526A8" w14:textId="04BD9D66" w:rsidR="008933CC" w:rsidRPr="0070042A" w:rsidRDefault="008933CC" w:rsidP="001B68E7">
            <w:pPr>
              <w:spacing w:after="60"/>
              <w:jc w:val="right"/>
              <w:rPr>
                <w:sz w:val="18"/>
                <w:szCs w:val="18"/>
              </w:rPr>
            </w:pPr>
            <w:r w:rsidRPr="0070042A">
              <w:rPr>
                <w:sz w:val="18"/>
                <w:szCs w:val="18"/>
              </w:rPr>
              <w:t>21</w:t>
            </w:r>
            <w:r w:rsidR="007C3F42">
              <w:rPr>
                <w:sz w:val="18"/>
                <w:szCs w:val="18"/>
              </w:rPr>
              <w:t xml:space="preserve"> </w:t>
            </w:r>
            <w:r w:rsidRPr="0070042A">
              <w:rPr>
                <w:sz w:val="18"/>
                <w:szCs w:val="18"/>
              </w:rPr>
              <w:t>606</w:t>
            </w:r>
          </w:p>
        </w:tc>
        <w:tc>
          <w:tcPr>
            <w:tcW w:w="965" w:type="pct"/>
            <w:shd w:val="clear" w:color="auto" w:fill="auto"/>
          </w:tcPr>
          <w:p w14:paraId="0788B674" w14:textId="7201C0A8" w:rsidR="008933CC" w:rsidRPr="0070042A" w:rsidRDefault="008933CC" w:rsidP="001B68E7">
            <w:pPr>
              <w:spacing w:after="60"/>
              <w:jc w:val="right"/>
              <w:rPr>
                <w:sz w:val="18"/>
                <w:szCs w:val="18"/>
              </w:rPr>
            </w:pPr>
            <w:r w:rsidRPr="0070042A">
              <w:rPr>
                <w:sz w:val="18"/>
                <w:szCs w:val="18"/>
              </w:rPr>
              <w:t>43</w:t>
            </w:r>
            <w:r w:rsidR="007C3F42">
              <w:rPr>
                <w:sz w:val="18"/>
                <w:szCs w:val="18"/>
              </w:rPr>
              <w:t xml:space="preserve"> </w:t>
            </w:r>
            <w:r w:rsidRPr="0070042A">
              <w:rPr>
                <w:sz w:val="18"/>
                <w:szCs w:val="18"/>
              </w:rPr>
              <w:t>491</w:t>
            </w:r>
          </w:p>
        </w:tc>
      </w:tr>
      <w:tr w:rsidR="008933CC" w:rsidRPr="0070042A" w14:paraId="7DE75AC0" w14:textId="77777777" w:rsidTr="0060294D">
        <w:trPr>
          <w:trHeight w:val="258"/>
        </w:trPr>
        <w:tc>
          <w:tcPr>
            <w:tcW w:w="738" w:type="pct"/>
            <w:vMerge w:val="restart"/>
            <w:shd w:val="clear" w:color="auto" w:fill="auto"/>
          </w:tcPr>
          <w:p w14:paraId="0F21635C" w14:textId="679B97E8" w:rsidR="008933CC" w:rsidRPr="0070042A" w:rsidRDefault="00E21DD2" w:rsidP="001B68E7">
            <w:pPr>
              <w:spacing w:after="60"/>
              <w:jc w:val="center"/>
              <w:rPr>
                <w:sz w:val="18"/>
                <w:szCs w:val="18"/>
              </w:rPr>
            </w:pPr>
            <w:r>
              <w:rPr>
                <w:color w:val="000000" w:themeColor="text1"/>
                <w:sz w:val="18"/>
                <w:szCs w:val="18"/>
              </w:rPr>
              <w:t>PNUD</w:t>
            </w:r>
          </w:p>
        </w:tc>
        <w:tc>
          <w:tcPr>
            <w:tcW w:w="1278" w:type="pct"/>
            <w:shd w:val="clear" w:color="auto" w:fill="auto"/>
          </w:tcPr>
          <w:p w14:paraId="0EED69A3" w14:textId="56CE8EDE" w:rsidR="008933CC" w:rsidRPr="007C3F42" w:rsidRDefault="007C3F42" w:rsidP="001B68E7">
            <w:pPr>
              <w:spacing w:after="60"/>
              <w:jc w:val="left"/>
              <w:rPr>
                <w:sz w:val="18"/>
                <w:szCs w:val="18"/>
                <w:lang w:val="es-ES"/>
              </w:rPr>
            </w:pPr>
            <w:r w:rsidRPr="009B04F6">
              <w:rPr>
                <w:sz w:val="18"/>
                <w:szCs w:val="18"/>
                <w:lang w:val="es-ES"/>
              </w:rPr>
              <w:t>Eliminación de SAO (</w:t>
            </w:r>
            <w:r>
              <w:rPr>
                <w:sz w:val="18"/>
                <w:szCs w:val="18"/>
                <w:lang w:val="es-ES"/>
              </w:rPr>
              <w:t>toneladas PAO</w:t>
            </w:r>
            <w:r w:rsidRPr="009B04F6">
              <w:rPr>
                <w:sz w:val="18"/>
                <w:szCs w:val="18"/>
                <w:lang w:val="es-ES"/>
              </w:rPr>
              <w:t>)</w:t>
            </w:r>
          </w:p>
        </w:tc>
        <w:tc>
          <w:tcPr>
            <w:tcW w:w="646" w:type="pct"/>
            <w:shd w:val="clear" w:color="auto" w:fill="auto"/>
          </w:tcPr>
          <w:p w14:paraId="44FA41F2" w14:textId="2F353A64" w:rsidR="008933CC" w:rsidRPr="0070042A" w:rsidRDefault="008933CC" w:rsidP="001B68E7">
            <w:pPr>
              <w:spacing w:after="60"/>
              <w:jc w:val="right"/>
              <w:rPr>
                <w:sz w:val="18"/>
                <w:szCs w:val="18"/>
              </w:rPr>
            </w:pPr>
            <w:r w:rsidRPr="0070042A">
              <w:rPr>
                <w:sz w:val="18"/>
                <w:szCs w:val="18"/>
              </w:rPr>
              <w:t>0</w:t>
            </w:r>
            <w:r w:rsidR="007C3F42">
              <w:rPr>
                <w:sz w:val="18"/>
                <w:szCs w:val="18"/>
              </w:rPr>
              <w:t>,</w:t>
            </w:r>
            <w:r w:rsidRPr="0070042A">
              <w:rPr>
                <w:sz w:val="18"/>
                <w:szCs w:val="18"/>
              </w:rPr>
              <w:t>0</w:t>
            </w:r>
          </w:p>
        </w:tc>
        <w:tc>
          <w:tcPr>
            <w:tcW w:w="687" w:type="pct"/>
          </w:tcPr>
          <w:p w14:paraId="4FC0AF70" w14:textId="3887EBAF" w:rsidR="008933CC" w:rsidRPr="0070042A" w:rsidRDefault="008933CC" w:rsidP="001B68E7">
            <w:pPr>
              <w:spacing w:after="60"/>
              <w:jc w:val="right"/>
              <w:rPr>
                <w:sz w:val="18"/>
                <w:szCs w:val="18"/>
              </w:rPr>
            </w:pPr>
            <w:r w:rsidRPr="0070042A">
              <w:rPr>
                <w:sz w:val="18"/>
                <w:szCs w:val="18"/>
              </w:rPr>
              <w:t>2</w:t>
            </w:r>
            <w:r w:rsidR="007C3F42">
              <w:rPr>
                <w:sz w:val="18"/>
                <w:szCs w:val="18"/>
              </w:rPr>
              <w:t>,</w:t>
            </w:r>
            <w:r w:rsidRPr="0070042A">
              <w:rPr>
                <w:sz w:val="18"/>
                <w:szCs w:val="18"/>
              </w:rPr>
              <w:t>0</w:t>
            </w:r>
          </w:p>
        </w:tc>
        <w:tc>
          <w:tcPr>
            <w:tcW w:w="687" w:type="pct"/>
            <w:shd w:val="clear" w:color="auto" w:fill="auto"/>
          </w:tcPr>
          <w:p w14:paraId="2E174351" w14:textId="51606BD5" w:rsidR="008933CC" w:rsidRPr="0070042A" w:rsidRDefault="008933CC" w:rsidP="001B68E7">
            <w:pPr>
              <w:spacing w:after="60"/>
              <w:jc w:val="right"/>
              <w:rPr>
                <w:sz w:val="18"/>
                <w:szCs w:val="18"/>
              </w:rPr>
            </w:pPr>
            <w:r w:rsidRPr="0070042A">
              <w:rPr>
                <w:sz w:val="18"/>
                <w:szCs w:val="18"/>
              </w:rPr>
              <w:t>2</w:t>
            </w:r>
            <w:r w:rsidR="007C3F42">
              <w:rPr>
                <w:sz w:val="18"/>
                <w:szCs w:val="18"/>
              </w:rPr>
              <w:t>,</w:t>
            </w:r>
            <w:r w:rsidRPr="0070042A">
              <w:rPr>
                <w:sz w:val="18"/>
                <w:szCs w:val="18"/>
              </w:rPr>
              <w:t>0</w:t>
            </w:r>
          </w:p>
        </w:tc>
        <w:tc>
          <w:tcPr>
            <w:tcW w:w="965" w:type="pct"/>
            <w:shd w:val="clear" w:color="auto" w:fill="auto"/>
          </w:tcPr>
          <w:p w14:paraId="4D7E35EB" w14:textId="07C2B019" w:rsidR="008933CC" w:rsidRPr="0070042A" w:rsidRDefault="008933CC" w:rsidP="001B68E7">
            <w:pPr>
              <w:spacing w:after="60"/>
              <w:jc w:val="right"/>
              <w:rPr>
                <w:sz w:val="18"/>
                <w:szCs w:val="18"/>
              </w:rPr>
            </w:pPr>
            <w:r w:rsidRPr="0070042A">
              <w:rPr>
                <w:sz w:val="18"/>
                <w:szCs w:val="18"/>
              </w:rPr>
              <w:t>4</w:t>
            </w:r>
            <w:r w:rsidR="007C3F42">
              <w:rPr>
                <w:sz w:val="18"/>
                <w:szCs w:val="18"/>
              </w:rPr>
              <w:t>,</w:t>
            </w:r>
            <w:r w:rsidRPr="0070042A">
              <w:rPr>
                <w:sz w:val="18"/>
                <w:szCs w:val="18"/>
              </w:rPr>
              <w:t>0</w:t>
            </w:r>
          </w:p>
        </w:tc>
      </w:tr>
      <w:tr w:rsidR="008933CC" w:rsidRPr="0070042A" w14:paraId="44DC377A" w14:textId="77777777" w:rsidTr="0060294D">
        <w:trPr>
          <w:trHeight w:val="258"/>
        </w:trPr>
        <w:tc>
          <w:tcPr>
            <w:tcW w:w="738" w:type="pct"/>
            <w:vMerge/>
            <w:shd w:val="clear" w:color="auto" w:fill="auto"/>
          </w:tcPr>
          <w:p w14:paraId="2F91648C" w14:textId="77777777" w:rsidR="008933CC" w:rsidRPr="0070042A" w:rsidRDefault="008933CC" w:rsidP="001B68E7">
            <w:pPr>
              <w:spacing w:after="60"/>
              <w:jc w:val="center"/>
              <w:rPr>
                <w:sz w:val="18"/>
                <w:szCs w:val="18"/>
              </w:rPr>
            </w:pPr>
          </w:p>
        </w:tc>
        <w:tc>
          <w:tcPr>
            <w:tcW w:w="1278" w:type="pct"/>
            <w:shd w:val="clear" w:color="auto" w:fill="auto"/>
          </w:tcPr>
          <w:p w14:paraId="77CB1ECE" w14:textId="549684D3" w:rsidR="008933CC" w:rsidRPr="0070042A" w:rsidRDefault="007C3F42" w:rsidP="001B68E7">
            <w:pPr>
              <w:spacing w:after="60"/>
              <w:jc w:val="left"/>
              <w:rPr>
                <w:sz w:val="18"/>
                <w:szCs w:val="18"/>
              </w:rPr>
            </w:pPr>
            <w:proofErr w:type="spellStart"/>
            <w:r w:rsidRPr="0070042A">
              <w:rPr>
                <w:sz w:val="18"/>
                <w:szCs w:val="18"/>
              </w:rPr>
              <w:t>F</w:t>
            </w:r>
            <w:r>
              <w:rPr>
                <w:sz w:val="18"/>
                <w:szCs w:val="18"/>
              </w:rPr>
              <w:t>inanciación</w:t>
            </w:r>
            <w:proofErr w:type="spellEnd"/>
            <w:r w:rsidRPr="0070042A">
              <w:rPr>
                <w:sz w:val="18"/>
                <w:szCs w:val="18"/>
              </w:rPr>
              <w:t xml:space="preserve"> ($</w:t>
            </w:r>
            <w:r>
              <w:rPr>
                <w:sz w:val="18"/>
                <w:szCs w:val="18"/>
              </w:rPr>
              <w:t>EUA</w:t>
            </w:r>
            <w:r w:rsidRPr="0070042A">
              <w:rPr>
                <w:sz w:val="18"/>
                <w:szCs w:val="18"/>
              </w:rPr>
              <w:t>)</w:t>
            </w:r>
          </w:p>
        </w:tc>
        <w:tc>
          <w:tcPr>
            <w:tcW w:w="646" w:type="pct"/>
            <w:shd w:val="clear" w:color="auto" w:fill="auto"/>
          </w:tcPr>
          <w:p w14:paraId="4669BDC5" w14:textId="77777777" w:rsidR="008933CC" w:rsidRPr="0070042A" w:rsidRDefault="008933CC" w:rsidP="001B68E7">
            <w:pPr>
              <w:spacing w:after="60"/>
              <w:jc w:val="right"/>
              <w:rPr>
                <w:sz w:val="18"/>
                <w:szCs w:val="18"/>
              </w:rPr>
            </w:pPr>
            <w:r w:rsidRPr="0070042A">
              <w:rPr>
                <w:sz w:val="18"/>
                <w:szCs w:val="18"/>
              </w:rPr>
              <w:t>0</w:t>
            </w:r>
          </w:p>
        </w:tc>
        <w:tc>
          <w:tcPr>
            <w:tcW w:w="687" w:type="pct"/>
          </w:tcPr>
          <w:p w14:paraId="61A20EFF" w14:textId="050D570A" w:rsidR="008933CC" w:rsidRPr="0070042A" w:rsidRDefault="008933CC" w:rsidP="001B68E7">
            <w:pPr>
              <w:jc w:val="right"/>
              <w:rPr>
                <w:sz w:val="18"/>
                <w:szCs w:val="18"/>
              </w:rPr>
            </w:pPr>
            <w:r w:rsidRPr="0070042A">
              <w:rPr>
                <w:sz w:val="18"/>
                <w:szCs w:val="18"/>
              </w:rPr>
              <w:t>117</w:t>
            </w:r>
            <w:r w:rsidR="007C3F42">
              <w:rPr>
                <w:sz w:val="18"/>
                <w:szCs w:val="18"/>
              </w:rPr>
              <w:t xml:space="preserve"> </w:t>
            </w:r>
            <w:r w:rsidRPr="0070042A">
              <w:rPr>
                <w:sz w:val="18"/>
                <w:szCs w:val="18"/>
              </w:rPr>
              <w:t>142</w:t>
            </w:r>
          </w:p>
        </w:tc>
        <w:tc>
          <w:tcPr>
            <w:tcW w:w="687" w:type="pct"/>
            <w:shd w:val="clear" w:color="auto" w:fill="auto"/>
          </w:tcPr>
          <w:p w14:paraId="21264413" w14:textId="43942473" w:rsidR="008933CC" w:rsidRPr="0070042A" w:rsidRDefault="008933CC" w:rsidP="001B68E7">
            <w:pPr>
              <w:spacing w:after="60"/>
              <w:jc w:val="right"/>
              <w:rPr>
                <w:sz w:val="18"/>
                <w:szCs w:val="18"/>
              </w:rPr>
            </w:pPr>
            <w:r w:rsidRPr="0070042A">
              <w:rPr>
                <w:sz w:val="18"/>
                <w:szCs w:val="18"/>
              </w:rPr>
              <w:t>117</w:t>
            </w:r>
            <w:r w:rsidR="007C3F42">
              <w:rPr>
                <w:sz w:val="18"/>
                <w:szCs w:val="18"/>
              </w:rPr>
              <w:t xml:space="preserve"> </w:t>
            </w:r>
            <w:r w:rsidRPr="0070042A">
              <w:rPr>
                <w:sz w:val="18"/>
                <w:szCs w:val="18"/>
              </w:rPr>
              <w:t>142</w:t>
            </w:r>
          </w:p>
        </w:tc>
        <w:tc>
          <w:tcPr>
            <w:tcW w:w="965" w:type="pct"/>
            <w:shd w:val="clear" w:color="auto" w:fill="auto"/>
          </w:tcPr>
          <w:p w14:paraId="540E54E8" w14:textId="34E97185" w:rsidR="008933CC" w:rsidRPr="0070042A" w:rsidRDefault="008933CC" w:rsidP="001B68E7">
            <w:pPr>
              <w:spacing w:after="60"/>
              <w:jc w:val="right"/>
              <w:rPr>
                <w:sz w:val="18"/>
                <w:szCs w:val="18"/>
              </w:rPr>
            </w:pPr>
            <w:r w:rsidRPr="0070042A">
              <w:rPr>
                <w:sz w:val="18"/>
                <w:szCs w:val="18"/>
              </w:rPr>
              <w:t>234</w:t>
            </w:r>
            <w:r w:rsidR="007C3F42">
              <w:rPr>
                <w:sz w:val="18"/>
                <w:szCs w:val="18"/>
              </w:rPr>
              <w:t xml:space="preserve"> </w:t>
            </w:r>
            <w:r w:rsidRPr="0070042A">
              <w:rPr>
                <w:sz w:val="18"/>
                <w:szCs w:val="18"/>
              </w:rPr>
              <w:t>284</w:t>
            </w:r>
          </w:p>
        </w:tc>
      </w:tr>
    </w:tbl>
    <w:p w14:paraId="4F490C13" w14:textId="77777777" w:rsidR="008933CC" w:rsidRPr="0070042A" w:rsidRDefault="008933CC" w:rsidP="008933CC">
      <w:pPr>
        <w:jc w:val="center"/>
        <w:rPr>
          <w:sz w:val="18"/>
          <w:szCs w:val="18"/>
        </w:rPr>
      </w:pPr>
    </w:p>
    <w:tbl>
      <w:tblPr>
        <w:tblStyle w:val="TableGrid"/>
        <w:tblW w:w="10207" w:type="dxa"/>
        <w:tblInd w:w="-289" w:type="dxa"/>
        <w:tblLayout w:type="fixed"/>
        <w:tblCellMar>
          <w:left w:w="85" w:type="dxa"/>
          <w:right w:w="85" w:type="dxa"/>
        </w:tblCellMar>
        <w:tblLook w:val="04A0" w:firstRow="1" w:lastRow="0" w:firstColumn="1" w:lastColumn="0" w:noHBand="0" w:noVBand="1"/>
      </w:tblPr>
      <w:tblGrid>
        <w:gridCol w:w="1502"/>
        <w:gridCol w:w="821"/>
        <w:gridCol w:w="1317"/>
        <w:gridCol w:w="1096"/>
        <w:gridCol w:w="765"/>
        <w:gridCol w:w="879"/>
        <w:gridCol w:w="567"/>
        <w:gridCol w:w="850"/>
        <w:gridCol w:w="567"/>
        <w:gridCol w:w="851"/>
        <w:gridCol w:w="992"/>
      </w:tblGrid>
      <w:tr w:rsidR="005B0B54" w:rsidRPr="0070042A" w14:paraId="0B2C94FF" w14:textId="77777777" w:rsidTr="005B0B54">
        <w:tc>
          <w:tcPr>
            <w:tcW w:w="3640" w:type="dxa"/>
            <w:gridSpan w:val="3"/>
            <w:vAlign w:val="center"/>
          </w:tcPr>
          <w:p w14:paraId="40611D0E" w14:textId="7CAB088F" w:rsidR="008933CC" w:rsidRPr="0070042A" w:rsidRDefault="008933CC" w:rsidP="001B68E7">
            <w:pPr>
              <w:jc w:val="center"/>
              <w:rPr>
                <w:b/>
                <w:sz w:val="18"/>
                <w:szCs w:val="18"/>
              </w:rPr>
            </w:pPr>
            <w:r w:rsidRPr="0070042A">
              <w:rPr>
                <w:b/>
                <w:sz w:val="18"/>
                <w:szCs w:val="18"/>
              </w:rPr>
              <w:t xml:space="preserve">VI) </w:t>
            </w:r>
            <w:r w:rsidR="007C3F42">
              <w:rPr>
                <w:b/>
                <w:sz w:val="18"/>
                <w:szCs w:val="18"/>
              </w:rPr>
              <w:t xml:space="preserve">DATOS DEL </w:t>
            </w:r>
            <w:r w:rsidRPr="0070042A">
              <w:rPr>
                <w:b/>
                <w:sz w:val="18"/>
                <w:szCs w:val="18"/>
              </w:rPr>
              <w:t>PRO</w:t>
            </w:r>
            <w:r w:rsidR="007C3F42">
              <w:rPr>
                <w:b/>
                <w:sz w:val="18"/>
                <w:szCs w:val="18"/>
              </w:rPr>
              <w:t>YECTO</w:t>
            </w:r>
          </w:p>
        </w:tc>
        <w:tc>
          <w:tcPr>
            <w:tcW w:w="1096" w:type="dxa"/>
            <w:vAlign w:val="center"/>
          </w:tcPr>
          <w:p w14:paraId="68A467FE" w14:textId="77777777" w:rsidR="008933CC" w:rsidRPr="0070042A" w:rsidRDefault="008933CC" w:rsidP="001B68E7">
            <w:pPr>
              <w:jc w:val="center"/>
              <w:rPr>
                <w:b/>
                <w:sz w:val="18"/>
                <w:szCs w:val="18"/>
              </w:rPr>
            </w:pPr>
            <w:r w:rsidRPr="0070042A">
              <w:rPr>
                <w:b/>
                <w:sz w:val="18"/>
                <w:szCs w:val="18"/>
              </w:rPr>
              <w:t>2021</w:t>
            </w:r>
          </w:p>
        </w:tc>
        <w:tc>
          <w:tcPr>
            <w:tcW w:w="765" w:type="dxa"/>
            <w:vAlign w:val="center"/>
          </w:tcPr>
          <w:p w14:paraId="0636672D" w14:textId="77777777" w:rsidR="008933CC" w:rsidRPr="0070042A" w:rsidRDefault="008933CC" w:rsidP="001B68E7">
            <w:pPr>
              <w:jc w:val="center"/>
              <w:rPr>
                <w:b/>
                <w:sz w:val="18"/>
                <w:szCs w:val="18"/>
              </w:rPr>
            </w:pPr>
            <w:r w:rsidRPr="0070042A">
              <w:rPr>
                <w:b/>
                <w:sz w:val="18"/>
                <w:szCs w:val="18"/>
              </w:rPr>
              <w:t>2022 2023</w:t>
            </w:r>
          </w:p>
        </w:tc>
        <w:tc>
          <w:tcPr>
            <w:tcW w:w="879" w:type="dxa"/>
            <w:vAlign w:val="center"/>
          </w:tcPr>
          <w:p w14:paraId="7020CC09" w14:textId="77777777" w:rsidR="008933CC" w:rsidRPr="0070042A" w:rsidRDefault="008933CC" w:rsidP="001B68E7">
            <w:pPr>
              <w:jc w:val="center"/>
              <w:rPr>
                <w:b/>
                <w:sz w:val="18"/>
                <w:szCs w:val="18"/>
              </w:rPr>
            </w:pPr>
            <w:r w:rsidRPr="0070042A">
              <w:rPr>
                <w:b/>
                <w:sz w:val="18"/>
                <w:szCs w:val="18"/>
              </w:rPr>
              <w:t>2024</w:t>
            </w:r>
          </w:p>
        </w:tc>
        <w:tc>
          <w:tcPr>
            <w:tcW w:w="567" w:type="dxa"/>
            <w:vAlign w:val="center"/>
          </w:tcPr>
          <w:p w14:paraId="3540794B" w14:textId="77777777" w:rsidR="008933CC" w:rsidRPr="0070042A" w:rsidRDefault="008933CC" w:rsidP="001B68E7">
            <w:pPr>
              <w:jc w:val="center"/>
              <w:rPr>
                <w:b/>
                <w:sz w:val="18"/>
                <w:szCs w:val="18"/>
              </w:rPr>
            </w:pPr>
            <w:r w:rsidRPr="0070042A">
              <w:rPr>
                <w:b/>
                <w:sz w:val="18"/>
                <w:szCs w:val="18"/>
              </w:rPr>
              <w:t>2025 2026</w:t>
            </w:r>
          </w:p>
        </w:tc>
        <w:tc>
          <w:tcPr>
            <w:tcW w:w="850" w:type="dxa"/>
            <w:vAlign w:val="center"/>
          </w:tcPr>
          <w:p w14:paraId="057A0E30" w14:textId="77777777" w:rsidR="008933CC" w:rsidRPr="0070042A" w:rsidRDefault="008933CC" w:rsidP="001B68E7">
            <w:pPr>
              <w:jc w:val="center"/>
              <w:rPr>
                <w:b/>
                <w:sz w:val="18"/>
                <w:szCs w:val="18"/>
              </w:rPr>
            </w:pPr>
            <w:r w:rsidRPr="0070042A">
              <w:rPr>
                <w:b/>
                <w:sz w:val="18"/>
                <w:szCs w:val="18"/>
              </w:rPr>
              <w:t>2027</w:t>
            </w:r>
          </w:p>
        </w:tc>
        <w:tc>
          <w:tcPr>
            <w:tcW w:w="567" w:type="dxa"/>
            <w:vAlign w:val="center"/>
          </w:tcPr>
          <w:p w14:paraId="367EF60B" w14:textId="77777777" w:rsidR="008933CC" w:rsidRPr="0070042A" w:rsidRDefault="008933CC" w:rsidP="001B68E7">
            <w:pPr>
              <w:jc w:val="center"/>
              <w:rPr>
                <w:b/>
                <w:sz w:val="18"/>
                <w:szCs w:val="18"/>
              </w:rPr>
            </w:pPr>
            <w:r w:rsidRPr="0070042A">
              <w:rPr>
                <w:b/>
                <w:sz w:val="18"/>
                <w:szCs w:val="18"/>
              </w:rPr>
              <w:t>2028 2029</w:t>
            </w:r>
          </w:p>
        </w:tc>
        <w:tc>
          <w:tcPr>
            <w:tcW w:w="851" w:type="dxa"/>
            <w:vAlign w:val="center"/>
          </w:tcPr>
          <w:p w14:paraId="3FB1DD16" w14:textId="77777777" w:rsidR="008933CC" w:rsidRPr="0070042A" w:rsidRDefault="008933CC" w:rsidP="001B68E7">
            <w:pPr>
              <w:jc w:val="center"/>
              <w:rPr>
                <w:b/>
                <w:sz w:val="18"/>
                <w:szCs w:val="18"/>
              </w:rPr>
            </w:pPr>
            <w:r w:rsidRPr="0070042A">
              <w:rPr>
                <w:b/>
                <w:sz w:val="18"/>
                <w:szCs w:val="18"/>
              </w:rPr>
              <w:t>2030</w:t>
            </w:r>
          </w:p>
        </w:tc>
        <w:tc>
          <w:tcPr>
            <w:tcW w:w="992" w:type="dxa"/>
            <w:vAlign w:val="center"/>
          </w:tcPr>
          <w:p w14:paraId="257B6DB6" w14:textId="77777777" w:rsidR="008933CC" w:rsidRPr="0070042A" w:rsidRDefault="008933CC" w:rsidP="001B68E7">
            <w:pPr>
              <w:jc w:val="center"/>
              <w:rPr>
                <w:b/>
                <w:sz w:val="18"/>
                <w:szCs w:val="18"/>
              </w:rPr>
            </w:pPr>
            <w:r w:rsidRPr="0070042A">
              <w:rPr>
                <w:b/>
                <w:sz w:val="18"/>
                <w:szCs w:val="18"/>
              </w:rPr>
              <w:t>Total</w:t>
            </w:r>
          </w:p>
        </w:tc>
      </w:tr>
      <w:tr w:rsidR="005B0B54" w:rsidRPr="0070042A" w14:paraId="59BCD387" w14:textId="77777777" w:rsidTr="005B0B54">
        <w:tc>
          <w:tcPr>
            <w:tcW w:w="3640" w:type="dxa"/>
            <w:gridSpan w:val="3"/>
          </w:tcPr>
          <w:p w14:paraId="485C9EC1" w14:textId="759E1F30" w:rsidR="008933CC" w:rsidRPr="00A31523" w:rsidRDefault="00A31523" w:rsidP="001B68E7">
            <w:pPr>
              <w:jc w:val="left"/>
              <w:rPr>
                <w:sz w:val="18"/>
                <w:szCs w:val="18"/>
                <w:lang w:val="es-ES"/>
              </w:rPr>
            </w:pPr>
            <w:r w:rsidRPr="00E94BF3">
              <w:rPr>
                <w:sz w:val="18"/>
                <w:lang w:val="es-MX"/>
              </w:rPr>
              <w:t>Límites de consumo establecidos en el Protocolo de Montreal</w:t>
            </w:r>
          </w:p>
        </w:tc>
        <w:tc>
          <w:tcPr>
            <w:tcW w:w="1096" w:type="dxa"/>
          </w:tcPr>
          <w:p w14:paraId="24431AB9" w14:textId="4BB77342" w:rsidR="008933CC" w:rsidRPr="0070042A" w:rsidRDefault="008933CC" w:rsidP="001B68E7">
            <w:pPr>
              <w:jc w:val="right"/>
              <w:rPr>
                <w:sz w:val="18"/>
                <w:szCs w:val="18"/>
              </w:rPr>
            </w:pPr>
            <w:r w:rsidRPr="0070042A">
              <w:rPr>
                <w:sz w:val="18"/>
                <w:szCs w:val="18"/>
              </w:rPr>
              <w:t>43</w:t>
            </w:r>
            <w:r w:rsidR="00363C2A">
              <w:rPr>
                <w:sz w:val="18"/>
                <w:szCs w:val="18"/>
              </w:rPr>
              <w:t>,</w:t>
            </w:r>
            <w:r w:rsidRPr="0070042A">
              <w:rPr>
                <w:sz w:val="18"/>
                <w:szCs w:val="18"/>
              </w:rPr>
              <w:t>04</w:t>
            </w:r>
          </w:p>
        </w:tc>
        <w:tc>
          <w:tcPr>
            <w:tcW w:w="765" w:type="dxa"/>
          </w:tcPr>
          <w:p w14:paraId="3D64DF0F" w14:textId="0569B533" w:rsidR="008933CC" w:rsidRPr="0070042A" w:rsidRDefault="008933CC" w:rsidP="001B68E7">
            <w:pPr>
              <w:jc w:val="right"/>
              <w:rPr>
                <w:sz w:val="18"/>
                <w:szCs w:val="18"/>
              </w:rPr>
            </w:pPr>
            <w:r w:rsidRPr="0070042A">
              <w:rPr>
                <w:sz w:val="18"/>
                <w:szCs w:val="18"/>
              </w:rPr>
              <w:t>43</w:t>
            </w:r>
            <w:r w:rsidR="00363C2A">
              <w:rPr>
                <w:sz w:val="18"/>
                <w:szCs w:val="18"/>
              </w:rPr>
              <w:t>,</w:t>
            </w:r>
            <w:r w:rsidRPr="0070042A">
              <w:rPr>
                <w:sz w:val="18"/>
                <w:szCs w:val="18"/>
              </w:rPr>
              <w:t>04</w:t>
            </w:r>
          </w:p>
        </w:tc>
        <w:tc>
          <w:tcPr>
            <w:tcW w:w="879" w:type="dxa"/>
          </w:tcPr>
          <w:p w14:paraId="61CE1099" w14:textId="4E82719E" w:rsidR="008933CC" w:rsidRPr="0070042A" w:rsidRDefault="008933CC" w:rsidP="001B68E7">
            <w:pPr>
              <w:jc w:val="right"/>
              <w:rPr>
                <w:sz w:val="18"/>
                <w:szCs w:val="18"/>
              </w:rPr>
            </w:pPr>
            <w:r w:rsidRPr="0070042A">
              <w:rPr>
                <w:sz w:val="18"/>
                <w:szCs w:val="18"/>
              </w:rPr>
              <w:t>43</w:t>
            </w:r>
            <w:r w:rsidR="00363C2A">
              <w:rPr>
                <w:sz w:val="18"/>
                <w:szCs w:val="18"/>
              </w:rPr>
              <w:t>,</w:t>
            </w:r>
            <w:r w:rsidRPr="0070042A">
              <w:rPr>
                <w:sz w:val="18"/>
                <w:szCs w:val="18"/>
              </w:rPr>
              <w:t>04</w:t>
            </w:r>
          </w:p>
        </w:tc>
        <w:tc>
          <w:tcPr>
            <w:tcW w:w="567" w:type="dxa"/>
          </w:tcPr>
          <w:p w14:paraId="395FA8BB" w14:textId="2578EB9C" w:rsidR="008933CC" w:rsidRPr="0070042A" w:rsidRDefault="008933CC" w:rsidP="001B68E7">
            <w:pPr>
              <w:jc w:val="right"/>
              <w:rPr>
                <w:sz w:val="18"/>
                <w:szCs w:val="18"/>
              </w:rPr>
            </w:pPr>
            <w:r w:rsidRPr="0070042A">
              <w:rPr>
                <w:sz w:val="18"/>
                <w:szCs w:val="18"/>
              </w:rPr>
              <w:t>21</w:t>
            </w:r>
            <w:r w:rsidR="00363C2A">
              <w:rPr>
                <w:sz w:val="18"/>
                <w:szCs w:val="18"/>
              </w:rPr>
              <w:t>,</w:t>
            </w:r>
            <w:r w:rsidRPr="0070042A">
              <w:rPr>
                <w:sz w:val="18"/>
                <w:szCs w:val="18"/>
              </w:rPr>
              <w:t>52</w:t>
            </w:r>
          </w:p>
        </w:tc>
        <w:tc>
          <w:tcPr>
            <w:tcW w:w="850" w:type="dxa"/>
          </w:tcPr>
          <w:p w14:paraId="25D8DE09" w14:textId="59923F18" w:rsidR="008933CC" w:rsidRPr="0070042A" w:rsidRDefault="008933CC" w:rsidP="001B68E7">
            <w:pPr>
              <w:jc w:val="right"/>
              <w:rPr>
                <w:sz w:val="18"/>
                <w:szCs w:val="18"/>
              </w:rPr>
            </w:pPr>
            <w:r w:rsidRPr="0070042A">
              <w:rPr>
                <w:sz w:val="18"/>
                <w:szCs w:val="18"/>
              </w:rPr>
              <w:t>21</w:t>
            </w:r>
            <w:r w:rsidR="00363C2A">
              <w:rPr>
                <w:sz w:val="18"/>
                <w:szCs w:val="18"/>
              </w:rPr>
              <w:t>,</w:t>
            </w:r>
            <w:r w:rsidRPr="0070042A">
              <w:rPr>
                <w:sz w:val="18"/>
                <w:szCs w:val="18"/>
              </w:rPr>
              <w:t>52</w:t>
            </w:r>
          </w:p>
        </w:tc>
        <w:tc>
          <w:tcPr>
            <w:tcW w:w="567" w:type="dxa"/>
          </w:tcPr>
          <w:p w14:paraId="0BCAB96B" w14:textId="3171BD30" w:rsidR="008933CC" w:rsidRPr="0070042A" w:rsidRDefault="008933CC" w:rsidP="001B68E7">
            <w:pPr>
              <w:jc w:val="right"/>
              <w:rPr>
                <w:sz w:val="18"/>
                <w:szCs w:val="18"/>
              </w:rPr>
            </w:pPr>
            <w:r w:rsidRPr="0070042A">
              <w:rPr>
                <w:sz w:val="18"/>
                <w:szCs w:val="18"/>
              </w:rPr>
              <w:t>21</w:t>
            </w:r>
            <w:r w:rsidR="00363C2A">
              <w:rPr>
                <w:sz w:val="18"/>
                <w:szCs w:val="18"/>
              </w:rPr>
              <w:t>,</w:t>
            </w:r>
            <w:r w:rsidRPr="0070042A">
              <w:rPr>
                <w:sz w:val="18"/>
                <w:szCs w:val="18"/>
              </w:rPr>
              <w:t>52</w:t>
            </w:r>
          </w:p>
        </w:tc>
        <w:tc>
          <w:tcPr>
            <w:tcW w:w="851" w:type="dxa"/>
          </w:tcPr>
          <w:p w14:paraId="7B37EF8C" w14:textId="77777777" w:rsidR="008933CC" w:rsidRPr="0070042A" w:rsidRDefault="008933CC" w:rsidP="001B68E7">
            <w:pPr>
              <w:jc w:val="right"/>
              <w:rPr>
                <w:sz w:val="18"/>
                <w:szCs w:val="18"/>
              </w:rPr>
            </w:pPr>
            <w:r w:rsidRPr="0070042A">
              <w:rPr>
                <w:sz w:val="18"/>
                <w:szCs w:val="18"/>
              </w:rPr>
              <w:t>0</w:t>
            </w:r>
          </w:p>
        </w:tc>
        <w:tc>
          <w:tcPr>
            <w:tcW w:w="992" w:type="dxa"/>
          </w:tcPr>
          <w:p w14:paraId="2BEDB81C" w14:textId="77777777" w:rsidR="008933CC" w:rsidRPr="0070042A" w:rsidRDefault="008933CC" w:rsidP="001B68E7">
            <w:pPr>
              <w:jc w:val="right"/>
              <w:rPr>
                <w:sz w:val="18"/>
                <w:szCs w:val="18"/>
              </w:rPr>
            </w:pPr>
            <w:r w:rsidRPr="0070042A">
              <w:rPr>
                <w:sz w:val="18"/>
                <w:szCs w:val="18"/>
              </w:rPr>
              <w:t>n/a</w:t>
            </w:r>
          </w:p>
        </w:tc>
      </w:tr>
      <w:tr w:rsidR="005B0B54" w:rsidRPr="0070042A" w14:paraId="38048E1B" w14:textId="77777777" w:rsidTr="005B0B54">
        <w:tc>
          <w:tcPr>
            <w:tcW w:w="3640" w:type="dxa"/>
            <w:gridSpan w:val="3"/>
          </w:tcPr>
          <w:p w14:paraId="3C0BB537" w14:textId="0DB9EE35" w:rsidR="008933CC" w:rsidRPr="00257E3C" w:rsidRDefault="00125085" w:rsidP="001B68E7">
            <w:pPr>
              <w:jc w:val="left"/>
              <w:rPr>
                <w:sz w:val="18"/>
                <w:szCs w:val="18"/>
                <w:lang w:val="es-ES"/>
              </w:rPr>
            </w:pPr>
            <w:r w:rsidRPr="00E94BF3">
              <w:rPr>
                <w:sz w:val="18"/>
                <w:lang w:val="es-MX"/>
              </w:rPr>
              <w:t>Consumo máximo permitido (toneladas PAO)</w:t>
            </w:r>
          </w:p>
        </w:tc>
        <w:tc>
          <w:tcPr>
            <w:tcW w:w="1096" w:type="dxa"/>
          </w:tcPr>
          <w:p w14:paraId="2833CA49" w14:textId="364876F4" w:rsidR="008933CC" w:rsidRPr="0070042A" w:rsidRDefault="008933CC" w:rsidP="001B68E7">
            <w:pPr>
              <w:jc w:val="right"/>
              <w:rPr>
                <w:sz w:val="18"/>
                <w:szCs w:val="18"/>
              </w:rPr>
            </w:pPr>
            <w:r w:rsidRPr="0070042A">
              <w:rPr>
                <w:sz w:val="18"/>
                <w:szCs w:val="18"/>
              </w:rPr>
              <w:t>6</w:t>
            </w:r>
            <w:r w:rsidR="00363C2A">
              <w:rPr>
                <w:sz w:val="18"/>
                <w:szCs w:val="18"/>
              </w:rPr>
              <w:t>,</w:t>
            </w:r>
            <w:r w:rsidRPr="0070042A">
              <w:rPr>
                <w:sz w:val="18"/>
                <w:szCs w:val="18"/>
              </w:rPr>
              <w:t>00</w:t>
            </w:r>
          </w:p>
        </w:tc>
        <w:tc>
          <w:tcPr>
            <w:tcW w:w="765" w:type="dxa"/>
          </w:tcPr>
          <w:p w14:paraId="65E41B0C" w14:textId="76DA8A7F" w:rsidR="008933CC" w:rsidRPr="0070042A" w:rsidRDefault="008933CC" w:rsidP="001B68E7">
            <w:pPr>
              <w:jc w:val="right"/>
              <w:rPr>
                <w:sz w:val="18"/>
                <w:szCs w:val="18"/>
              </w:rPr>
            </w:pPr>
            <w:r w:rsidRPr="0070042A">
              <w:rPr>
                <w:sz w:val="18"/>
                <w:szCs w:val="18"/>
              </w:rPr>
              <w:t>6</w:t>
            </w:r>
            <w:r w:rsidR="00363C2A">
              <w:rPr>
                <w:sz w:val="18"/>
                <w:szCs w:val="18"/>
              </w:rPr>
              <w:t>,</w:t>
            </w:r>
            <w:r w:rsidRPr="0070042A">
              <w:rPr>
                <w:sz w:val="18"/>
                <w:szCs w:val="18"/>
              </w:rPr>
              <w:t>00</w:t>
            </w:r>
          </w:p>
        </w:tc>
        <w:tc>
          <w:tcPr>
            <w:tcW w:w="879" w:type="dxa"/>
          </w:tcPr>
          <w:p w14:paraId="7AEE94F7" w14:textId="52A5088C" w:rsidR="008933CC" w:rsidRPr="0070042A" w:rsidRDefault="008933CC" w:rsidP="001B68E7">
            <w:pPr>
              <w:jc w:val="right"/>
              <w:rPr>
                <w:sz w:val="18"/>
                <w:szCs w:val="18"/>
              </w:rPr>
            </w:pPr>
            <w:r w:rsidRPr="0070042A">
              <w:rPr>
                <w:sz w:val="18"/>
                <w:szCs w:val="18"/>
              </w:rPr>
              <w:t>6</w:t>
            </w:r>
            <w:r w:rsidR="00363C2A">
              <w:rPr>
                <w:sz w:val="18"/>
                <w:szCs w:val="18"/>
              </w:rPr>
              <w:t>,</w:t>
            </w:r>
            <w:r w:rsidRPr="0070042A">
              <w:rPr>
                <w:sz w:val="18"/>
                <w:szCs w:val="18"/>
              </w:rPr>
              <w:t>00</w:t>
            </w:r>
          </w:p>
        </w:tc>
        <w:tc>
          <w:tcPr>
            <w:tcW w:w="567" w:type="dxa"/>
          </w:tcPr>
          <w:p w14:paraId="2DD5C05E" w14:textId="2EACCD78" w:rsidR="008933CC" w:rsidRPr="0070042A" w:rsidRDefault="008933CC" w:rsidP="001B68E7">
            <w:pPr>
              <w:jc w:val="right"/>
              <w:rPr>
                <w:sz w:val="18"/>
                <w:szCs w:val="18"/>
              </w:rPr>
            </w:pPr>
            <w:r w:rsidRPr="0070042A">
              <w:rPr>
                <w:sz w:val="18"/>
                <w:szCs w:val="18"/>
              </w:rPr>
              <w:t>3</w:t>
            </w:r>
            <w:r w:rsidR="00363C2A">
              <w:rPr>
                <w:sz w:val="18"/>
                <w:szCs w:val="18"/>
              </w:rPr>
              <w:t>,</w:t>
            </w:r>
            <w:r w:rsidRPr="0070042A">
              <w:rPr>
                <w:sz w:val="18"/>
                <w:szCs w:val="18"/>
              </w:rPr>
              <w:t>00</w:t>
            </w:r>
          </w:p>
        </w:tc>
        <w:tc>
          <w:tcPr>
            <w:tcW w:w="850" w:type="dxa"/>
          </w:tcPr>
          <w:p w14:paraId="7C419AB4" w14:textId="30F2982B" w:rsidR="008933CC" w:rsidRPr="0070042A" w:rsidRDefault="008933CC" w:rsidP="001B68E7">
            <w:pPr>
              <w:jc w:val="right"/>
              <w:rPr>
                <w:sz w:val="18"/>
                <w:szCs w:val="18"/>
              </w:rPr>
            </w:pPr>
            <w:r w:rsidRPr="0070042A">
              <w:rPr>
                <w:sz w:val="18"/>
                <w:szCs w:val="18"/>
              </w:rPr>
              <w:t>3</w:t>
            </w:r>
            <w:r w:rsidR="00363C2A">
              <w:rPr>
                <w:sz w:val="18"/>
                <w:szCs w:val="18"/>
              </w:rPr>
              <w:t>,</w:t>
            </w:r>
            <w:r w:rsidRPr="0070042A">
              <w:rPr>
                <w:sz w:val="18"/>
                <w:szCs w:val="18"/>
              </w:rPr>
              <w:t>00</w:t>
            </w:r>
          </w:p>
        </w:tc>
        <w:tc>
          <w:tcPr>
            <w:tcW w:w="567" w:type="dxa"/>
          </w:tcPr>
          <w:p w14:paraId="7BD8F34F" w14:textId="3B25A362" w:rsidR="008933CC" w:rsidRPr="0070042A" w:rsidRDefault="008933CC" w:rsidP="001B68E7">
            <w:pPr>
              <w:jc w:val="right"/>
              <w:rPr>
                <w:sz w:val="18"/>
                <w:szCs w:val="18"/>
              </w:rPr>
            </w:pPr>
            <w:r w:rsidRPr="0070042A">
              <w:rPr>
                <w:sz w:val="18"/>
                <w:szCs w:val="18"/>
              </w:rPr>
              <w:t>2</w:t>
            </w:r>
            <w:r w:rsidR="00363C2A">
              <w:rPr>
                <w:sz w:val="18"/>
                <w:szCs w:val="18"/>
              </w:rPr>
              <w:t>,</w:t>
            </w:r>
            <w:r w:rsidRPr="0070042A">
              <w:rPr>
                <w:sz w:val="18"/>
                <w:szCs w:val="18"/>
              </w:rPr>
              <w:t>00</w:t>
            </w:r>
          </w:p>
        </w:tc>
        <w:tc>
          <w:tcPr>
            <w:tcW w:w="851" w:type="dxa"/>
          </w:tcPr>
          <w:p w14:paraId="4CFB0AB8" w14:textId="77777777" w:rsidR="008933CC" w:rsidRPr="0070042A" w:rsidRDefault="008933CC" w:rsidP="001B68E7">
            <w:pPr>
              <w:jc w:val="right"/>
              <w:rPr>
                <w:sz w:val="18"/>
                <w:szCs w:val="18"/>
              </w:rPr>
            </w:pPr>
            <w:r w:rsidRPr="0070042A">
              <w:rPr>
                <w:sz w:val="18"/>
                <w:szCs w:val="18"/>
              </w:rPr>
              <w:t>0</w:t>
            </w:r>
          </w:p>
        </w:tc>
        <w:tc>
          <w:tcPr>
            <w:tcW w:w="992" w:type="dxa"/>
          </w:tcPr>
          <w:p w14:paraId="55D719C5" w14:textId="77777777" w:rsidR="008933CC" w:rsidRPr="0070042A" w:rsidRDefault="008933CC" w:rsidP="001B68E7">
            <w:pPr>
              <w:jc w:val="right"/>
              <w:rPr>
                <w:sz w:val="18"/>
                <w:szCs w:val="18"/>
              </w:rPr>
            </w:pPr>
            <w:r w:rsidRPr="0070042A">
              <w:rPr>
                <w:sz w:val="18"/>
                <w:szCs w:val="18"/>
              </w:rPr>
              <w:t>n/a</w:t>
            </w:r>
          </w:p>
        </w:tc>
      </w:tr>
      <w:tr w:rsidR="00CC64BB" w:rsidRPr="0070042A" w14:paraId="14B7C0F1" w14:textId="77777777" w:rsidTr="005B0B54">
        <w:tc>
          <w:tcPr>
            <w:tcW w:w="1502" w:type="dxa"/>
            <w:vMerge w:val="restart"/>
          </w:tcPr>
          <w:p w14:paraId="21CC7F19" w14:textId="47F16617" w:rsidR="008933CC" w:rsidRPr="00363C2A" w:rsidRDefault="00363C2A" w:rsidP="001B68E7">
            <w:pPr>
              <w:jc w:val="left"/>
              <w:rPr>
                <w:sz w:val="18"/>
                <w:szCs w:val="18"/>
                <w:lang w:val="es-ES"/>
              </w:rPr>
            </w:pPr>
            <w:r w:rsidRPr="00363C2A">
              <w:rPr>
                <w:sz w:val="18"/>
                <w:szCs w:val="18"/>
                <w:lang w:val="es-ES"/>
              </w:rPr>
              <w:t>Costos de</w:t>
            </w:r>
            <w:r w:rsidR="00F65046">
              <w:rPr>
                <w:sz w:val="18"/>
                <w:szCs w:val="18"/>
                <w:lang w:val="es-ES"/>
              </w:rPr>
              <w:t>l</w:t>
            </w:r>
            <w:r w:rsidRPr="00363C2A">
              <w:rPr>
                <w:sz w:val="18"/>
                <w:szCs w:val="18"/>
                <w:lang w:val="es-ES"/>
              </w:rPr>
              <w:t xml:space="preserve"> Proyecto solicitados en principio</w:t>
            </w:r>
            <w:r w:rsidR="008933CC" w:rsidRPr="00363C2A">
              <w:rPr>
                <w:sz w:val="18"/>
                <w:szCs w:val="18"/>
                <w:lang w:val="es-ES"/>
              </w:rPr>
              <w:t xml:space="preserve"> ($</w:t>
            </w:r>
            <w:r w:rsidRPr="00363C2A">
              <w:rPr>
                <w:sz w:val="18"/>
                <w:szCs w:val="18"/>
                <w:lang w:val="es-ES"/>
              </w:rPr>
              <w:t>EUA</w:t>
            </w:r>
            <w:r w:rsidR="008933CC" w:rsidRPr="00363C2A">
              <w:rPr>
                <w:sz w:val="18"/>
                <w:szCs w:val="18"/>
                <w:lang w:val="es-ES"/>
              </w:rPr>
              <w:t>)</w:t>
            </w:r>
          </w:p>
        </w:tc>
        <w:tc>
          <w:tcPr>
            <w:tcW w:w="821" w:type="dxa"/>
            <w:vMerge w:val="restart"/>
          </w:tcPr>
          <w:p w14:paraId="3D349B07" w14:textId="462ABE8D" w:rsidR="008933CC" w:rsidRPr="0070042A" w:rsidRDefault="00363C2A" w:rsidP="001B68E7">
            <w:pPr>
              <w:rPr>
                <w:sz w:val="18"/>
                <w:szCs w:val="18"/>
              </w:rPr>
            </w:pPr>
            <w:r>
              <w:rPr>
                <w:sz w:val="18"/>
                <w:szCs w:val="18"/>
              </w:rPr>
              <w:t>PNUMA</w:t>
            </w:r>
          </w:p>
        </w:tc>
        <w:tc>
          <w:tcPr>
            <w:tcW w:w="1317" w:type="dxa"/>
          </w:tcPr>
          <w:p w14:paraId="262C372F" w14:textId="564CC652" w:rsidR="008933CC" w:rsidRPr="0070042A" w:rsidRDefault="00363C2A" w:rsidP="001B68E7">
            <w:pPr>
              <w:rPr>
                <w:sz w:val="18"/>
                <w:szCs w:val="18"/>
              </w:rPr>
            </w:pPr>
            <w:proofErr w:type="spellStart"/>
            <w:r>
              <w:rPr>
                <w:sz w:val="18"/>
                <w:szCs w:val="18"/>
              </w:rPr>
              <w:t>Costos</w:t>
            </w:r>
            <w:proofErr w:type="spellEnd"/>
            <w:r>
              <w:rPr>
                <w:sz w:val="18"/>
                <w:szCs w:val="18"/>
              </w:rPr>
              <w:t xml:space="preserve"> del </w:t>
            </w:r>
            <w:proofErr w:type="spellStart"/>
            <w:r>
              <w:rPr>
                <w:sz w:val="18"/>
                <w:szCs w:val="18"/>
              </w:rPr>
              <w:t>pr</w:t>
            </w:r>
            <w:r w:rsidR="008933CC" w:rsidRPr="0070042A">
              <w:rPr>
                <w:sz w:val="18"/>
                <w:szCs w:val="18"/>
              </w:rPr>
              <w:t>o</w:t>
            </w:r>
            <w:r>
              <w:rPr>
                <w:sz w:val="18"/>
                <w:szCs w:val="18"/>
              </w:rPr>
              <w:t>yecto</w:t>
            </w:r>
            <w:proofErr w:type="spellEnd"/>
          </w:p>
        </w:tc>
        <w:tc>
          <w:tcPr>
            <w:tcW w:w="1096" w:type="dxa"/>
          </w:tcPr>
          <w:p w14:paraId="094DBF2C" w14:textId="0B8608E5" w:rsidR="008933CC" w:rsidRPr="0070042A" w:rsidRDefault="008933CC" w:rsidP="001B68E7">
            <w:pPr>
              <w:jc w:val="right"/>
              <w:rPr>
                <w:sz w:val="18"/>
                <w:szCs w:val="18"/>
              </w:rPr>
            </w:pPr>
            <w:r w:rsidRPr="0070042A">
              <w:rPr>
                <w:sz w:val="18"/>
                <w:szCs w:val="18"/>
              </w:rPr>
              <w:t>140</w:t>
            </w:r>
            <w:r w:rsidR="00363C2A">
              <w:rPr>
                <w:sz w:val="18"/>
                <w:szCs w:val="18"/>
              </w:rPr>
              <w:t xml:space="preserve"> </w:t>
            </w:r>
            <w:r w:rsidRPr="0070042A">
              <w:rPr>
                <w:sz w:val="18"/>
                <w:szCs w:val="18"/>
              </w:rPr>
              <w:t>000</w:t>
            </w:r>
          </w:p>
        </w:tc>
        <w:tc>
          <w:tcPr>
            <w:tcW w:w="765" w:type="dxa"/>
          </w:tcPr>
          <w:p w14:paraId="06ABBE33" w14:textId="77777777" w:rsidR="008933CC" w:rsidRPr="0070042A" w:rsidRDefault="008933CC" w:rsidP="001B68E7">
            <w:pPr>
              <w:jc w:val="right"/>
              <w:rPr>
                <w:sz w:val="18"/>
                <w:szCs w:val="18"/>
              </w:rPr>
            </w:pPr>
            <w:r w:rsidRPr="0070042A">
              <w:rPr>
                <w:sz w:val="18"/>
                <w:szCs w:val="18"/>
              </w:rPr>
              <w:t>0</w:t>
            </w:r>
          </w:p>
        </w:tc>
        <w:tc>
          <w:tcPr>
            <w:tcW w:w="879" w:type="dxa"/>
          </w:tcPr>
          <w:p w14:paraId="05AC5B62" w14:textId="6E74FC3B" w:rsidR="008933CC" w:rsidRPr="0070042A" w:rsidRDefault="008933CC" w:rsidP="001B68E7">
            <w:pPr>
              <w:jc w:val="right"/>
              <w:rPr>
                <w:sz w:val="18"/>
                <w:szCs w:val="18"/>
              </w:rPr>
            </w:pPr>
            <w:r w:rsidRPr="0070042A">
              <w:rPr>
                <w:sz w:val="18"/>
                <w:szCs w:val="18"/>
              </w:rPr>
              <w:t>160</w:t>
            </w:r>
            <w:r w:rsidR="00CC64BB">
              <w:rPr>
                <w:sz w:val="18"/>
                <w:szCs w:val="18"/>
              </w:rPr>
              <w:t xml:space="preserve"> </w:t>
            </w:r>
            <w:r w:rsidRPr="0070042A">
              <w:rPr>
                <w:sz w:val="18"/>
                <w:szCs w:val="18"/>
              </w:rPr>
              <w:t>000</w:t>
            </w:r>
          </w:p>
        </w:tc>
        <w:tc>
          <w:tcPr>
            <w:tcW w:w="567" w:type="dxa"/>
          </w:tcPr>
          <w:p w14:paraId="403A8290" w14:textId="77777777" w:rsidR="008933CC" w:rsidRPr="0070042A" w:rsidRDefault="008933CC" w:rsidP="001B68E7">
            <w:pPr>
              <w:jc w:val="right"/>
              <w:rPr>
                <w:sz w:val="18"/>
                <w:szCs w:val="18"/>
              </w:rPr>
            </w:pPr>
            <w:r w:rsidRPr="0070042A">
              <w:rPr>
                <w:sz w:val="18"/>
                <w:szCs w:val="18"/>
              </w:rPr>
              <w:t>0</w:t>
            </w:r>
          </w:p>
        </w:tc>
        <w:tc>
          <w:tcPr>
            <w:tcW w:w="850" w:type="dxa"/>
          </w:tcPr>
          <w:p w14:paraId="1FAF9E7D" w14:textId="72F68224" w:rsidR="008933CC" w:rsidRPr="0070042A" w:rsidRDefault="008933CC" w:rsidP="001B68E7">
            <w:pPr>
              <w:jc w:val="right"/>
              <w:rPr>
                <w:sz w:val="18"/>
                <w:szCs w:val="18"/>
              </w:rPr>
            </w:pPr>
            <w:r w:rsidRPr="0070042A">
              <w:rPr>
                <w:sz w:val="18"/>
                <w:szCs w:val="18"/>
              </w:rPr>
              <w:t>185</w:t>
            </w:r>
            <w:r w:rsidR="00CC64BB">
              <w:rPr>
                <w:sz w:val="18"/>
                <w:szCs w:val="18"/>
              </w:rPr>
              <w:t xml:space="preserve"> </w:t>
            </w:r>
            <w:r w:rsidRPr="0070042A">
              <w:rPr>
                <w:sz w:val="18"/>
                <w:szCs w:val="18"/>
              </w:rPr>
              <w:t>000</w:t>
            </w:r>
          </w:p>
        </w:tc>
        <w:tc>
          <w:tcPr>
            <w:tcW w:w="567" w:type="dxa"/>
          </w:tcPr>
          <w:p w14:paraId="2F5FE286" w14:textId="77777777" w:rsidR="008933CC" w:rsidRPr="0070042A" w:rsidRDefault="008933CC" w:rsidP="001B68E7">
            <w:pPr>
              <w:jc w:val="right"/>
              <w:rPr>
                <w:sz w:val="18"/>
                <w:szCs w:val="18"/>
              </w:rPr>
            </w:pPr>
            <w:r w:rsidRPr="0070042A">
              <w:rPr>
                <w:sz w:val="18"/>
                <w:szCs w:val="18"/>
              </w:rPr>
              <w:t>0</w:t>
            </w:r>
          </w:p>
        </w:tc>
        <w:tc>
          <w:tcPr>
            <w:tcW w:w="851" w:type="dxa"/>
          </w:tcPr>
          <w:p w14:paraId="0C82029A" w14:textId="15647C99" w:rsidR="008933CC" w:rsidRPr="0070042A" w:rsidRDefault="008933CC" w:rsidP="001B68E7">
            <w:pPr>
              <w:jc w:val="right"/>
              <w:rPr>
                <w:sz w:val="18"/>
                <w:szCs w:val="18"/>
              </w:rPr>
            </w:pPr>
            <w:r w:rsidRPr="0070042A">
              <w:rPr>
                <w:sz w:val="18"/>
                <w:szCs w:val="18"/>
              </w:rPr>
              <w:t>115</w:t>
            </w:r>
            <w:r w:rsidR="00CC64BB">
              <w:rPr>
                <w:sz w:val="18"/>
                <w:szCs w:val="18"/>
              </w:rPr>
              <w:t xml:space="preserve"> </w:t>
            </w:r>
            <w:r w:rsidRPr="0070042A">
              <w:rPr>
                <w:sz w:val="18"/>
                <w:szCs w:val="18"/>
              </w:rPr>
              <w:t>000</w:t>
            </w:r>
          </w:p>
        </w:tc>
        <w:tc>
          <w:tcPr>
            <w:tcW w:w="992" w:type="dxa"/>
          </w:tcPr>
          <w:p w14:paraId="72AA9234" w14:textId="3FA244E7" w:rsidR="008933CC" w:rsidRPr="0070042A" w:rsidRDefault="008933CC" w:rsidP="001B68E7">
            <w:pPr>
              <w:jc w:val="right"/>
              <w:rPr>
                <w:sz w:val="18"/>
                <w:szCs w:val="18"/>
              </w:rPr>
            </w:pPr>
            <w:r w:rsidRPr="0070042A">
              <w:rPr>
                <w:sz w:val="18"/>
                <w:szCs w:val="18"/>
              </w:rPr>
              <w:t>600</w:t>
            </w:r>
            <w:r w:rsidR="00CC64BB">
              <w:rPr>
                <w:sz w:val="18"/>
                <w:szCs w:val="18"/>
              </w:rPr>
              <w:t xml:space="preserve"> </w:t>
            </w:r>
            <w:r w:rsidRPr="0070042A">
              <w:rPr>
                <w:sz w:val="18"/>
                <w:szCs w:val="18"/>
              </w:rPr>
              <w:t>000</w:t>
            </w:r>
          </w:p>
        </w:tc>
      </w:tr>
      <w:tr w:rsidR="00CC64BB" w:rsidRPr="0070042A" w14:paraId="300EDBE5" w14:textId="77777777" w:rsidTr="005B0B54">
        <w:tc>
          <w:tcPr>
            <w:tcW w:w="1502" w:type="dxa"/>
            <w:vMerge/>
          </w:tcPr>
          <w:p w14:paraId="68718E54" w14:textId="77777777" w:rsidR="008933CC" w:rsidRPr="0070042A" w:rsidRDefault="008933CC" w:rsidP="001B68E7">
            <w:pPr>
              <w:rPr>
                <w:sz w:val="18"/>
                <w:szCs w:val="18"/>
              </w:rPr>
            </w:pPr>
          </w:p>
        </w:tc>
        <w:tc>
          <w:tcPr>
            <w:tcW w:w="821" w:type="dxa"/>
            <w:vMerge/>
          </w:tcPr>
          <w:p w14:paraId="676E0FDE" w14:textId="77777777" w:rsidR="008933CC" w:rsidRPr="0070042A" w:rsidRDefault="008933CC" w:rsidP="001B68E7">
            <w:pPr>
              <w:rPr>
                <w:sz w:val="18"/>
                <w:szCs w:val="18"/>
              </w:rPr>
            </w:pPr>
          </w:p>
        </w:tc>
        <w:tc>
          <w:tcPr>
            <w:tcW w:w="1317" w:type="dxa"/>
          </w:tcPr>
          <w:p w14:paraId="0463B24F" w14:textId="0EF5AA76" w:rsidR="008933CC" w:rsidRPr="0070042A" w:rsidRDefault="00363C2A" w:rsidP="001B68E7">
            <w:pPr>
              <w:rPr>
                <w:sz w:val="18"/>
                <w:szCs w:val="18"/>
              </w:rPr>
            </w:pPr>
            <w:proofErr w:type="spellStart"/>
            <w:r>
              <w:rPr>
                <w:sz w:val="18"/>
                <w:szCs w:val="18"/>
              </w:rPr>
              <w:t>Gastos</w:t>
            </w:r>
            <w:proofErr w:type="spellEnd"/>
            <w:r>
              <w:rPr>
                <w:sz w:val="18"/>
                <w:szCs w:val="18"/>
              </w:rPr>
              <w:t xml:space="preserve"> de </w:t>
            </w:r>
            <w:proofErr w:type="spellStart"/>
            <w:r>
              <w:rPr>
                <w:sz w:val="18"/>
                <w:szCs w:val="18"/>
              </w:rPr>
              <w:t>apoyo</w:t>
            </w:r>
            <w:proofErr w:type="spellEnd"/>
          </w:p>
        </w:tc>
        <w:tc>
          <w:tcPr>
            <w:tcW w:w="1096" w:type="dxa"/>
          </w:tcPr>
          <w:p w14:paraId="7FBC416F" w14:textId="6C959DB3" w:rsidR="008933CC" w:rsidRPr="0070042A" w:rsidRDefault="008933CC" w:rsidP="001B68E7">
            <w:pPr>
              <w:jc w:val="right"/>
              <w:rPr>
                <w:sz w:val="18"/>
                <w:szCs w:val="18"/>
              </w:rPr>
            </w:pPr>
            <w:r w:rsidRPr="0070042A">
              <w:rPr>
                <w:sz w:val="18"/>
                <w:szCs w:val="18"/>
              </w:rPr>
              <w:t>17</w:t>
            </w:r>
            <w:r w:rsidR="00363C2A">
              <w:rPr>
                <w:sz w:val="18"/>
                <w:szCs w:val="18"/>
              </w:rPr>
              <w:t xml:space="preserve"> </w:t>
            </w:r>
            <w:r w:rsidRPr="0070042A">
              <w:rPr>
                <w:sz w:val="18"/>
                <w:szCs w:val="18"/>
              </w:rPr>
              <w:t>733</w:t>
            </w:r>
          </w:p>
        </w:tc>
        <w:tc>
          <w:tcPr>
            <w:tcW w:w="765" w:type="dxa"/>
          </w:tcPr>
          <w:p w14:paraId="74273D20" w14:textId="77777777" w:rsidR="008933CC" w:rsidRPr="0070042A" w:rsidRDefault="008933CC" w:rsidP="001B68E7">
            <w:pPr>
              <w:jc w:val="right"/>
              <w:rPr>
                <w:sz w:val="18"/>
                <w:szCs w:val="18"/>
              </w:rPr>
            </w:pPr>
            <w:r w:rsidRPr="0070042A">
              <w:rPr>
                <w:sz w:val="18"/>
                <w:szCs w:val="18"/>
              </w:rPr>
              <w:t>0</w:t>
            </w:r>
          </w:p>
        </w:tc>
        <w:tc>
          <w:tcPr>
            <w:tcW w:w="879" w:type="dxa"/>
          </w:tcPr>
          <w:p w14:paraId="2060F3EE" w14:textId="4B883A1A" w:rsidR="008933CC" w:rsidRPr="0070042A" w:rsidRDefault="008933CC" w:rsidP="001B68E7">
            <w:pPr>
              <w:jc w:val="right"/>
              <w:rPr>
                <w:sz w:val="18"/>
                <w:szCs w:val="18"/>
              </w:rPr>
            </w:pPr>
            <w:r w:rsidRPr="0070042A">
              <w:rPr>
                <w:sz w:val="18"/>
                <w:szCs w:val="18"/>
              </w:rPr>
              <w:t>20</w:t>
            </w:r>
            <w:r w:rsidR="00CC64BB">
              <w:rPr>
                <w:sz w:val="18"/>
                <w:szCs w:val="18"/>
              </w:rPr>
              <w:t xml:space="preserve"> </w:t>
            </w:r>
            <w:r w:rsidRPr="0070042A">
              <w:rPr>
                <w:sz w:val="18"/>
                <w:szCs w:val="18"/>
              </w:rPr>
              <w:t>267</w:t>
            </w:r>
          </w:p>
        </w:tc>
        <w:tc>
          <w:tcPr>
            <w:tcW w:w="567" w:type="dxa"/>
          </w:tcPr>
          <w:p w14:paraId="427ABC51" w14:textId="77777777" w:rsidR="008933CC" w:rsidRPr="0070042A" w:rsidRDefault="008933CC" w:rsidP="001B68E7">
            <w:pPr>
              <w:jc w:val="right"/>
              <w:rPr>
                <w:sz w:val="18"/>
                <w:szCs w:val="18"/>
              </w:rPr>
            </w:pPr>
            <w:r w:rsidRPr="0070042A">
              <w:rPr>
                <w:sz w:val="18"/>
                <w:szCs w:val="18"/>
              </w:rPr>
              <w:t>0</w:t>
            </w:r>
          </w:p>
        </w:tc>
        <w:tc>
          <w:tcPr>
            <w:tcW w:w="850" w:type="dxa"/>
          </w:tcPr>
          <w:p w14:paraId="79973482" w14:textId="6B80FC85" w:rsidR="008933CC" w:rsidRPr="0070042A" w:rsidRDefault="008933CC" w:rsidP="001B68E7">
            <w:pPr>
              <w:jc w:val="right"/>
              <w:rPr>
                <w:sz w:val="18"/>
                <w:szCs w:val="18"/>
              </w:rPr>
            </w:pPr>
            <w:r w:rsidRPr="0070042A">
              <w:rPr>
                <w:sz w:val="18"/>
                <w:szCs w:val="18"/>
              </w:rPr>
              <w:t>23</w:t>
            </w:r>
            <w:r w:rsidR="00CC64BB">
              <w:rPr>
                <w:sz w:val="18"/>
                <w:szCs w:val="18"/>
              </w:rPr>
              <w:t xml:space="preserve"> </w:t>
            </w:r>
            <w:r w:rsidRPr="0070042A">
              <w:rPr>
                <w:sz w:val="18"/>
                <w:szCs w:val="18"/>
              </w:rPr>
              <w:t>433</w:t>
            </w:r>
          </w:p>
        </w:tc>
        <w:tc>
          <w:tcPr>
            <w:tcW w:w="567" w:type="dxa"/>
          </w:tcPr>
          <w:p w14:paraId="38C64B33" w14:textId="77777777" w:rsidR="008933CC" w:rsidRPr="0070042A" w:rsidRDefault="008933CC" w:rsidP="001B68E7">
            <w:pPr>
              <w:jc w:val="right"/>
              <w:rPr>
                <w:sz w:val="18"/>
                <w:szCs w:val="18"/>
              </w:rPr>
            </w:pPr>
            <w:r w:rsidRPr="0070042A">
              <w:rPr>
                <w:sz w:val="18"/>
                <w:szCs w:val="18"/>
              </w:rPr>
              <w:t>0</w:t>
            </w:r>
          </w:p>
        </w:tc>
        <w:tc>
          <w:tcPr>
            <w:tcW w:w="851" w:type="dxa"/>
          </w:tcPr>
          <w:p w14:paraId="2A3FB3A1" w14:textId="447F7A45" w:rsidR="008933CC" w:rsidRPr="0070042A" w:rsidRDefault="008933CC" w:rsidP="001B68E7">
            <w:pPr>
              <w:jc w:val="right"/>
              <w:rPr>
                <w:sz w:val="18"/>
                <w:szCs w:val="18"/>
              </w:rPr>
            </w:pPr>
            <w:r w:rsidRPr="0070042A">
              <w:rPr>
                <w:sz w:val="18"/>
                <w:szCs w:val="18"/>
              </w:rPr>
              <w:t>14</w:t>
            </w:r>
            <w:r w:rsidR="00CC64BB">
              <w:rPr>
                <w:sz w:val="18"/>
                <w:szCs w:val="18"/>
              </w:rPr>
              <w:t xml:space="preserve"> </w:t>
            </w:r>
            <w:r w:rsidRPr="0070042A">
              <w:rPr>
                <w:sz w:val="18"/>
                <w:szCs w:val="18"/>
              </w:rPr>
              <w:t>567</w:t>
            </w:r>
          </w:p>
        </w:tc>
        <w:tc>
          <w:tcPr>
            <w:tcW w:w="992" w:type="dxa"/>
          </w:tcPr>
          <w:p w14:paraId="68DAE1A1" w14:textId="05010AE9" w:rsidR="008933CC" w:rsidRPr="0070042A" w:rsidRDefault="008933CC" w:rsidP="001B68E7">
            <w:pPr>
              <w:jc w:val="right"/>
              <w:rPr>
                <w:sz w:val="18"/>
                <w:szCs w:val="18"/>
              </w:rPr>
            </w:pPr>
            <w:r w:rsidRPr="0070042A">
              <w:rPr>
                <w:sz w:val="18"/>
                <w:szCs w:val="18"/>
              </w:rPr>
              <w:t>76</w:t>
            </w:r>
            <w:r w:rsidR="00CC64BB">
              <w:rPr>
                <w:sz w:val="18"/>
                <w:szCs w:val="18"/>
              </w:rPr>
              <w:t xml:space="preserve"> </w:t>
            </w:r>
            <w:r w:rsidRPr="0070042A">
              <w:rPr>
                <w:sz w:val="18"/>
                <w:szCs w:val="18"/>
              </w:rPr>
              <w:t>000</w:t>
            </w:r>
          </w:p>
        </w:tc>
      </w:tr>
      <w:tr w:rsidR="00CC64BB" w:rsidRPr="0070042A" w14:paraId="5C775054" w14:textId="77777777" w:rsidTr="005B0B54">
        <w:tc>
          <w:tcPr>
            <w:tcW w:w="1502" w:type="dxa"/>
            <w:vMerge/>
          </w:tcPr>
          <w:p w14:paraId="4516A414" w14:textId="77777777" w:rsidR="008933CC" w:rsidRPr="0070042A" w:rsidRDefault="008933CC" w:rsidP="001B68E7">
            <w:pPr>
              <w:rPr>
                <w:sz w:val="18"/>
                <w:szCs w:val="18"/>
              </w:rPr>
            </w:pPr>
          </w:p>
        </w:tc>
        <w:tc>
          <w:tcPr>
            <w:tcW w:w="821" w:type="dxa"/>
            <w:vMerge w:val="restart"/>
          </w:tcPr>
          <w:p w14:paraId="10A15C79" w14:textId="59BED15B" w:rsidR="008933CC" w:rsidRPr="0070042A" w:rsidRDefault="00363C2A" w:rsidP="001B68E7">
            <w:pPr>
              <w:rPr>
                <w:sz w:val="18"/>
                <w:szCs w:val="18"/>
              </w:rPr>
            </w:pPr>
            <w:r>
              <w:rPr>
                <w:sz w:val="18"/>
                <w:szCs w:val="18"/>
              </w:rPr>
              <w:t>PNUD</w:t>
            </w:r>
          </w:p>
        </w:tc>
        <w:tc>
          <w:tcPr>
            <w:tcW w:w="1317" w:type="dxa"/>
          </w:tcPr>
          <w:p w14:paraId="19655332" w14:textId="684526CC" w:rsidR="008933CC" w:rsidRPr="0070042A" w:rsidRDefault="00363C2A" w:rsidP="001B68E7">
            <w:pPr>
              <w:rPr>
                <w:sz w:val="18"/>
                <w:szCs w:val="18"/>
              </w:rPr>
            </w:pPr>
            <w:proofErr w:type="spellStart"/>
            <w:r>
              <w:rPr>
                <w:sz w:val="18"/>
                <w:szCs w:val="18"/>
              </w:rPr>
              <w:t>Costos</w:t>
            </w:r>
            <w:proofErr w:type="spellEnd"/>
            <w:r>
              <w:rPr>
                <w:sz w:val="18"/>
                <w:szCs w:val="18"/>
              </w:rPr>
              <w:t xml:space="preserve"> del </w:t>
            </w:r>
            <w:proofErr w:type="spellStart"/>
            <w:r>
              <w:rPr>
                <w:sz w:val="18"/>
                <w:szCs w:val="18"/>
              </w:rPr>
              <w:t>proyecto</w:t>
            </w:r>
            <w:proofErr w:type="spellEnd"/>
          </w:p>
        </w:tc>
        <w:tc>
          <w:tcPr>
            <w:tcW w:w="1096" w:type="dxa"/>
          </w:tcPr>
          <w:p w14:paraId="5F355258" w14:textId="36A8EA27" w:rsidR="008933CC" w:rsidRPr="0070042A" w:rsidRDefault="008933CC" w:rsidP="001B68E7">
            <w:pPr>
              <w:jc w:val="right"/>
              <w:rPr>
                <w:sz w:val="18"/>
                <w:szCs w:val="18"/>
              </w:rPr>
            </w:pPr>
            <w:r w:rsidRPr="0070042A">
              <w:rPr>
                <w:sz w:val="18"/>
                <w:szCs w:val="18"/>
              </w:rPr>
              <w:t>218</w:t>
            </w:r>
            <w:r w:rsidR="00363C2A">
              <w:rPr>
                <w:sz w:val="18"/>
                <w:szCs w:val="18"/>
              </w:rPr>
              <w:t xml:space="preserve"> </w:t>
            </w:r>
            <w:r w:rsidRPr="0070042A">
              <w:rPr>
                <w:sz w:val="18"/>
                <w:szCs w:val="18"/>
              </w:rPr>
              <w:t>000</w:t>
            </w:r>
          </w:p>
        </w:tc>
        <w:tc>
          <w:tcPr>
            <w:tcW w:w="765" w:type="dxa"/>
          </w:tcPr>
          <w:p w14:paraId="1BA4E81E" w14:textId="77777777" w:rsidR="008933CC" w:rsidRPr="0070042A" w:rsidRDefault="008933CC" w:rsidP="001B68E7">
            <w:pPr>
              <w:jc w:val="right"/>
              <w:rPr>
                <w:sz w:val="18"/>
                <w:szCs w:val="18"/>
              </w:rPr>
            </w:pPr>
            <w:r w:rsidRPr="0070042A">
              <w:rPr>
                <w:sz w:val="18"/>
                <w:szCs w:val="18"/>
              </w:rPr>
              <w:t>0</w:t>
            </w:r>
          </w:p>
        </w:tc>
        <w:tc>
          <w:tcPr>
            <w:tcW w:w="879" w:type="dxa"/>
          </w:tcPr>
          <w:p w14:paraId="20697AD3" w14:textId="110CE930" w:rsidR="008933CC" w:rsidRPr="0070042A" w:rsidRDefault="008933CC" w:rsidP="001B68E7">
            <w:pPr>
              <w:jc w:val="right"/>
              <w:rPr>
                <w:sz w:val="18"/>
                <w:szCs w:val="18"/>
              </w:rPr>
            </w:pPr>
            <w:r w:rsidRPr="0070042A">
              <w:rPr>
                <w:sz w:val="18"/>
                <w:szCs w:val="18"/>
              </w:rPr>
              <w:t>210</w:t>
            </w:r>
            <w:r w:rsidR="00CC64BB">
              <w:rPr>
                <w:sz w:val="18"/>
                <w:szCs w:val="18"/>
              </w:rPr>
              <w:t xml:space="preserve"> </w:t>
            </w:r>
            <w:r w:rsidRPr="0070042A">
              <w:rPr>
                <w:sz w:val="18"/>
                <w:szCs w:val="18"/>
              </w:rPr>
              <w:t>500</w:t>
            </w:r>
          </w:p>
        </w:tc>
        <w:tc>
          <w:tcPr>
            <w:tcW w:w="567" w:type="dxa"/>
          </w:tcPr>
          <w:p w14:paraId="0999C5C6" w14:textId="77777777" w:rsidR="008933CC" w:rsidRPr="0070042A" w:rsidRDefault="008933CC" w:rsidP="001B68E7">
            <w:pPr>
              <w:jc w:val="right"/>
              <w:rPr>
                <w:sz w:val="18"/>
                <w:szCs w:val="18"/>
              </w:rPr>
            </w:pPr>
            <w:r w:rsidRPr="0070042A">
              <w:rPr>
                <w:sz w:val="18"/>
                <w:szCs w:val="18"/>
              </w:rPr>
              <w:t>0</w:t>
            </w:r>
          </w:p>
        </w:tc>
        <w:tc>
          <w:tcPr>
            <w:tcW w:w="850" w:type="dxa"/>
          </w:tcPr>
          <w:p w14:paraId="6B44FD97" w14:textId="7BC93F95" w:rsidR="008933CC" w:rsidRPr="0070042A" w:rsidRDefault="008933CC" w:rsidP="001B68E7">
            <w:pPr>
              <w:jc w:val="right"/>
              <w:rPr>
                <w:sz w:val="18"/>
                <w:szCs w:val="18"/>
              </w:rPr>
            </w:pPr>
            <w:r w:rsidRPr="0070042A">
              <w:rPr>
                <w:sz w:val="18"/>
                <w:szCs w:val="18"/>
              </w:rPr>
              <w:t>96</w:t>
            </w:r>
            <w:r w:rsidR="00CC64BB">
              <w:rPr>
                <w:sz w:val="18"/>
                <w:szCs w:val="18"/>
              </w:rPr>
              <w:t xml:space="preserve"> </w:t>
            </w:r>
            <w:r w:rsidRPr="0070042A">
              <w:rPr>
                <w:sz w:val="18"/>
                <w:szCs w:val="18"/>
              </w:rPr>
              <w:t>500</w:t>
            </w:r>
          </w:p>
        </w:tc>
        <w:tc>
          <w:tcPr>
            <w:tcW w:w="567" w:type="dxa"/>
          </w:tcPr>
          <w:p w14:paraId="50C180B1" w14:textId="77777777" w:rsidR="008933CC" w:rsidRPr="0070042A" w:rsidRDefault="008933CC" w:rsidP="001B68E7">
            <w:pPr>
              <w:jc w:val="right"/>
              <w:rPr>
                <w:sz w:val="18"/>
                <w:szCs w:val="18"/>
              </w:rPr>
            </w:pPr>
            <w:r w:rsidRPr="0070042A">
              <w:rPr>
                <w:sz w:val="18"/>
                <w:szCs w:val="18"/>
              </w:rPr>
              <w:t>0</w:t>
            </w:r>
          </w:p>
        </w:tc>
        <w:tc>
          <w:tcPr>
            <w:tcW w:w="851" w:type="dxa"/>
          </w:tcPr>
          <w:p w14:paraId="2A72E370" w14:textId="77777777" w:rsidR="008933CC" w:rsidRPr="0070042A" w:rsidRDefault="008933CC" w:rsidP="001B68E7">
            <w:pPr>
              <w:jc w:val="right"/>
              <w:rPr>
                <w:sz w:val="18"/>
                <w:szCs w:val="18"/>
              </w:rPr>
            </w:pPr>
            <w:r w:rsidRPr="0070042A">
              <w:rPr>
                <w:sz w:val="18"/>
                <w:szCs w:val="18"/>
              </w:rPr>
              <w:t>0</w:t>
            </w:r>
          </w:p>
        </w:tc>
        <w:tc>
          <w:tcPr>
            <w:tcW w:w="992" w:type="dxa"/>
          </w:tcPr>
          <w:p w14:paraId="148C1110" w14:textId="3782DA39" w:rsidR="008933CC" w:rsidRPr="0070042A" w:rsidRDefault="008933CC" w:rsidP="001B68E7">
            <w:pPr>
              <w:jc w:val="right"/>
              <w:rPr>
                <w:sz w:val="18"/>
                <w:szCs w:val="18"/>
              </w:rPr>
            </w:pPr>
            <w:r w:rsidRPr="0070042A">
              <w:rPr>
                <w:sz w:val="18"/>
                <w:szCs w:val="18"/>
              </w:rPr>
              <w:t>525</w:t>
            </w:r>
            <w:r w:rsidR="00CC64BB">
              <w:rPr>
                <w:sz w:val="18"/>
                <w:szCs w:val="18"/>
              </w:rPr>
              <w:t xml:space="preserve"> </w:t>
            </w:r>
            <w:r w:rsidRPr="0070042A">
              <w:rPr>
                <w:sz w:val="18"/>
                <w:szCs w:val="18"/>
              </w:rPr>
              <w:t>000</w:t>
            </w:r>
          </w:p>
        </w:tc>
      </w:tr>
      <w:tr w:rsidR="00CC64BB" w:rsidRPr="0070042A" w14:paraId="66BC147B" w14:textId="77777777" w:rsidTr="005B0B54">
        <w:tc>
          <w:tcPr>
            <w:tcW w:w="1502" w:type="dxa"/>
            <w:vMerge/>
          </w:tcPr>
          <w:p w14:paraId="68518539" w14:textId="77777777" w:rsidR="008933CC" w:rsidRPr="0070042A" w:rsidRDefault="008933CC" w:rsidP="001B68E7">
            <w:pPr>
              <w:rPr>
                <w:sz w:val="18"/>
                <w:szCs w:val="18"/>
              </w:rPr>
            </w:pPr>
          </w:p>
        </w:tc>
        <w:tc>
          <w:tcPr>
            <w:tcW w:w="821" w:type="dxa"/>
            <w:vMerge/>
          </w:tcPr>
          <w:p w14:paraId="1A70CC54" w14:textId="77777777" w:rsidR="008933CC" w:rsidRPr="0070042A" w:rsidRDefault="008933CC" w:rsidP="001B68E7">
            <w:pPr>
              <w:rPr>
                <w:sz w:val="18"/>
                <w:szCs w:val="18"/>
              </w:rPr>
            </w:pPr>
          </w:p>
        </w:tc>
        <w:tc>
          <w:tcPr>
            <w:tcW w:w="1317" w:type="dxa"/>
          </w:tcPr>
          <w:p w14:paraId="745B6637" w14:textId="660461F7" w:rsidR="008933CC" w:rsidRPr="0070042A" w:rsidRDefault="00363C2A" w:rsidP="001B68E7">
            <w:pPr>
              <w:rPr>
                <w:sz w:val="18"/>
                <w:szCs w:val="18"/>
              </w:rPr>
            </w:pPr>
            <w:proofErr w:type="spellStart"/>
            <w:r>
              <w:rPr>
                <w:sz w:val="18"/>
                <w:szCs w:val="18"/>
              </w:rPr>
              <w:t>Gasto</w:t>
            </w:r>
            <w:proofErr w:type="spellEnd"/>
            <w:r>
              <w:rPr>
                <w:sz w:val="18"/>
                <w:szCs w:val="18"/>
              </w:rPr>
              <w:t xml:space="preserve"> de </w:t>
            </w:r>
            <w:proofErr w:type="spellStart"/>
            <w:r>
              <w:rPr>
                <w:sz w:val="18"/>
                <w:szCs w:val="18"/>
              </w:rPr>
              <w:t>apoyo</w:t>
            </w:r>
            <w:proofErr w:type="spellEnd"/>
          </w:p>
        </w:tc>
        <w:tc>
          <w:tcPr>
            <w:tcW w:w="1096" w:type="dxa"/>
          </w:tcPr>
          <w:p w14:paraId="716D328E" w14:textId="688C519A" w:rsidR="008933CC" w:rsidRPr="0070042A" w:rsidRDefault="008933CC" w:rsidP="001B68E7">
            <w:pPr>
              <w:jc w:val="right"/>
              <w:rPr>
                <w:sz w:val="18"/>
                <w:szCs w:val="18"/>
              </w:rPr>
            </w:pPr>
            <w:r w:rsidRPr="0070042A">
              <w:rPr>
                <w:sz w:val="18"/>
                <w:szCs w:val="18"/>
              </w:rPr>
              <w:t>15</w:t>
            </w:r>
            <w:r w:rsidR="00363C2A">
              <w:rPr>
                <w:sz w:val="18"/>
                <w:szCs w:val="18"/>
              </w:rPr>
              <w:t xml:space="preserve"> </w:t>
            </w:r>
            <w:r w:rsidRPr="0070042A">
              <w:rPr>
                <w:sz w:val="18"/>
                <w:szCs w:val="18"/>
              </w:rPr>
              <w:t>260</w:t>
            </w:r>
          </w:p>
        </w:tc>
        <w:tc>
          <w:tcPr>
            <w:tcW w:w="765" w:type="dxa"/>
          </w:tcPr>
          <w:p w14:paraId="0539650E" w14:textId="77777777" w:rsidR="008933CC" w:rsidRPr="0070042A" w:rsidRDefault="008933CC" w:rsidP="001B68E7">
            <w:pPr>
              <w:jc w:val="right"/>
              <w:rPr>
                <w:sz w:val="18"/>
                <w:szCs w:val="18"/>
              </w:rPr>
            </w:pPr>
            <w:r w:rsidRPr="0070042A">
              <w:rPr>
                <w:sz w:val="18"/>
                <w:szCs w:val="18"/>
              </w:rPr>
              <w:t>0</w:t>
            </w:r>
          </w:p>
        </w:tc>
        <w:tc>
          <w:tcPr>
            <w:tcW w:w="879" w:type="dxa"/>
          </w:tcPr>
          <w:p w14:paraId="05E67A1E" w14:textId="2ABF6146" w:rsidR="008933CC" w:rsidRPr="0070042A" w:rsidRDefault="008933CC" w:rsidP="001B68E7">
            <w:pPr>
              <w:jc w:val="right"/>
              <w:rPr>
                <w:sz w:val="18"/>
                <w:szCs w:val="18"/>
              </w:rPr>
            </w:pPr>
            <w:r w:rsidRPr="0070042A">
              <w:rPr>
                <w:sz w:val="18"/>
                <w:szCs w:val="18"/>
              </w:rPr>
              <w:t>14</w:t>
            </w:r>
            <w:r w:rsidR="00CC64BB">
              <w:rPr>
                <w:sz w:val="18"/>
                <w:szCs w:val="18"/>
              </w:rPr>
              <w:t xml:space="preserve"> </w:t>
            </w:r>
            <w:r w:rsidRPr="0070042A">
              <w:rPr>
                <w:sz w:val="18"/>
                <w:szCs w:val="18"/>
              </w:rPr>
              <w:t>735</w:t>
            </w:r>
          </w:p>
        </w:tc>
        <w:tc>
          <w:tcPr>
            <w:tcW w:w="567" w:type="dxa"/>
          </w:tcPr>
          <w:p w14:paraId="75E794EE" w14:textId="77777777" w:rsidR="008933CC" w:rsidRPr="0070042A" w:rsidRDefault="008933CC" w:rsidP="001B68E7">
            <w:pPr>
              <w:jc w:val="right"/>
              <w:rPr>
                <w:sz w:val="18"/>
                <w:szCs w:val="18"/>
              </w:rPr>
            </w:pPr>
            <w:r w:rsidRPr="0070042A">
              <w:rPr>
                <w:sz w:val="18"/>
                <w:szCs w:val="18"/>
              </w:rPr>
              <w:t>0</w:t>
            </w:r>
          </w:p>
        </w:tc>
        <w:tc>
          <w:tcPr>
            <w:tcW w:w="850" w:type="dxa"/>
          </w:tcPr>
          <w:p w14:paraId="50496BF7" w14:textId="7AD2AADC" w:rsidR="008933CC" w:rsidRPr="0070042A" w:rsidRDefault="008933CC" w:rsidP="001B68E7">
            <w:pPr>
              <w:jc w:val="right"/>
              <w:rPr>
                <w:sz w:val="18"/>
                <w:szCs w:val="18"/>
              </w:rPr>
            </w:pPr>
            <w:r w:rsidRPr="0070042A">
              <w:rPr>
                <w:sz w:val="18"/>
                <w:szCs w:val="18"/>
              </w:rPr>
              <w:t>6</w:t>
            </w:r>
            <w:r w:rsidR="00CC64BB">
              <w:rPr>
                <w:sz w:val="18"/>
                <w:szCs w:val="18"/>
              </w:rPr>
              <w:t xml:space="preserve"> </w:t>
            </w:r>
            <w:r w:rsidRPr="0070042A">
              <w:rPr>
                <w:sz w:val="18"/>
                <w:szCs w:val="18"/>
              </w:rPr>
              <w:t>755</w:t>
            </w:r>
          </w:p>
        </w:tc>
        <w:tc>
          <w:tcPr>
            <w:tcW w:w="567" w:type="dxa"/>
          </w:tcPr>
          <w:p w14:paraId="2BBFC629" w14:textId="77777777" w:rsidR="008933CC" w:rsidRPr="0070042A" w:rsidRDefault="008933CC" w:rsidP="001B68E7">
            <w:pPr>
              <w:jc w:val="right"/>
              <w:rPr>
                <w:sz w:val="18"/>
                <w:szCs w:val="18"/>
              </w:rPr>
            </w:pPr>
            <w:r w:rsidRPr="0070042A">
              <w:rPr>
                <w:sz w:val="18"/>
                <w:szCs w:val="18"/>
              </w:rPr>
              <w:t>0</w:t>
            </w:r>
          </w:p>
        </w:tc>
        <w:tc>
          <w:tcPr>
            <w:tcW w:w="851" w:type="dxa"/>
          </w:tcPr>
          <w:p w14:paraId="7721EE27" w14:textId="77777777" w:rsidR="008933CC" w:rsidRPr="0070042A" w:rsidRDefault="008933CC" w:rsidP="001B68E7">
            <w:pPr>
              <w:jc w:val="right"/>
              <w:rPr>
                <w:sz w:val="18"/>
                <w:szCs w:val="18"/>
              </w:rPr>
            </w:pPr>
            <w:r w:rsidRPr="0070042A">
              <w:rPr>
                <w:sz w:val="18"/>
                <w:szCs w:val="18"/>
              </w:rPr>
              <w:t>0</w:t>
            </w:r>
          </w:p>
        </w:tc>
        <w:tc>
          <w:tcPr>
            <w:tcW w:w="992" w:type="dxa"/>
          </w:tcPr>
          <w:p w14:paraId="6BBA5782" w14:textId="763D4137" w:rsidR="008933CC" w:rsidRPr="0070042A" w:rsidRDefault="008933CC" w:rsidP="001B68E7">
            <w:pPr>
              <w:jc w:val="right"/>
              <w:rPr>
                <w:sz w:val="18"/>
                <w:szCs w:val="18"/>
              </w:rPr>
            </w:pPr>
            <w:r w:rsidRPr="0070042A">
              <w:rPr>
                <w:sz w:val="18"/>
                <w:szCs w:val="18"/>
              </w:rPr>
              <w:t>36</w:t>
            </w:r>
            <w:r w:rsidR="00CC64BB">
              <w:rPr>
                <w:sz w:val="18"/>
                <w:szCs w:val="18"/>
              </w:rPr>
              <w:t xml:space="preserve"> </w:t>
            </w:r>
            <w:r w:rsidRPr="0070042A">
              <w:rPr>
                <w:sz w:val="18"/>
                <w:szCs w:val="18"/>
              </w:rPr>
              <w:t>750</w:t>
            </w:r>
          </w:p>
        </w:tc>
      </w:tr>
      <w:tr w:rsidR="005B0B54" w:rsidRPr="0070042A" w14:paraId="2507C146" w14:textId="77777777" w:rsidTr="005B0B54">
        <w:tc>
          <w:tcPr>
            <w:tcW w:w="3640" w:type="dxa"/>
            <w:gridSpan w:val="3"/>
          </w:tcPr>
          <w:p w14:paraId="586A8F12" w14:textId="61C4E3C5" w:rsidR="008933CC" w:rsidRPr="00F65046" w:rsidRDefault="008933CC" w:rsidP="001B68E7">
            <w:pPr>
              <w:jc w:val="left"/>
              <w:rPr>
                <w:sz w:val="18"/>
                <w:szCs w:val="18"/>
                <w:lang w:val="es-ES"/>
              </w:rPr>
            </w:pPr>
            <w:r w:rsidRPr="00F65046">
              <w:rPr>
                <w:sz w:val="18"/>
                <w:szCs w:val="18"/>
                <w:lang w:val="es-ES"/>
              </w:rPr>
              <w:t xml:space="preserve">Total </w:t>
            </w:r>
            <w:r w:rsidR="00F65046">
              <w:rPr>
                <w:sz w:val="18"/>
                <w:szCs w:val="18"/>
                <w:lang w:val="es-ES"/>
              </w:rPr>
              <w:t>de c</w:t>
            </w:r>
            <w:r w:rsidR="00F65046" w:rsidRPr="00363C2A">
              <w:rPr>
                <w:sz w:val="18"/>
                <w:szCs w:val="18"/>
                <w:lang w:val="es-ES"/>
              </w:rPr>
              <w:t>ostos solicitados en principio ($EUA)</w:t>
            </w:r>
          </w:p>
        </w:tc>
        <w:tc>
          <w:tcPr>
            <w:tcW w:w="1096" w:type="dxa"/>
          </w:tcPr>
          <w:p w14:paraId="0AFF7DF5" w14:textId="2DD63055" w:rsidR="008933CC" w:rsidRPr="0070042A" w:rsidRDefault="008933CC" w:rsidP="001B68E7">
            <w:pPr>
              <w:jc w:val="right"/>
              <w:rPr>
                <w:sz w:val="18"/>
                <w:szCs w:val="18"/>
              </w:rPr>
            </w:pPr>
            <w:r w:rsidRPr="0070042A">
              <w:rPr>
                <w:sz w:val="18"/>
                <w:szCs w:val="18"/>
              </w:rPr>
              <w:t>358</w:t>
            </w:r>
            <w:r w:rsidR="00CC64BB">
              <w:rPr>
                <w:sz w:val="18"/>
                <w:szCs w:val="18"/>
              </w:rPr>
              <w:t xml:space="preserve"> </w:t>
            </w:r>
            <w:r w:rsidRPr="0070042A">
              <w:rPr>
                <w:sz w:val="18"/>
                <w:szCs w:val="18"/>
              </w:rPr>
              <w:t>000</w:t>
            </w:r>
          </w:p>
        </w:tc>
        <w:tc>
          <w:tcPr>
            <w:tcW w:w="765" w:type="dxa"/>
          </w:tcPr>
          <w:p w14:paraId="068FE05F" w14:textId="77777777" w:rsidR="008933CC" w:rsidRPr="0070042A" w:rsidRDefault="008933CC" w:rsidP="001B68E7">
            <w:pPr>
              <w:jc w:val="right"/>
              <w:rPr>
                <w:sz w:val="18"/>
                <w:szCs w:val="18"/>
              </w:rPr>
            </w:pPr>
            <w:r w:rsidRPr="0070042A">
              <w:rPr>
                <w:sz w:val="18"/>
                <w:szCs w:val="18"/>
              </w:rPr>
              <w:t>0</w:t>
            </w:r>
          </w:p>
        </w:tc>
        <w:tc>
          <w:tcPr>
            <w:tcW w:w="879" w:type="dxa"/>
          </w:tcPr>
          <w:p w14:paraId="589F511C" w14:textId="1E17C965" w:rsidR="008933CC" w:rsidRPr="0070042A" w:rsidRDefault="008933CC" w:rsidP="001B68E7">
            <w:pPr>
              <w:jc w:val="right"/>
              <w:rPr>
                <w:sz w:val="18"/>
                <w:szCs w:val="18"/>
              </w:rPr>
            </w:pPr>
            <w:r w:rsidRPr="0070042A">
              <w:rPr>
                <w:sz w:val="18"/>
                <w:szCs w:val="18"/>
              </w:rPr>
              <w:t>370</w:t>
            </w:r>
            <w:r w:rsidR="00CC64BB">
              <w:rPr>
                <w:sz w:val="18"/>
                <w:szCs w:val="18"/>
              </w:rPr>
              <w:t xml:space="preserve"> </w:t>
            </w:r>
            <w:r w:rsidRPr="0070042A">
              <w:rPr>
                <w:sz w:val="18"/>
                <w:szCs w:val="18"/>
              </w:rPr>
              <w:t>500</w:t>
            </w:r>
          </w:p>
        </w:tc>
        <w:tc>
          <w:tcPr>
            <w:tcW w:w="567" w:type="dxa"/>
          </w:tcPr>
          <w:p w14:paraId="72F78CA4" w14:textId="77777777" w:rsidR="008933CC" w:rsidRPr="0070042A" w:rsidRDefault="008933CC" w:rsidP="001B68E7">
            <w:pPr>
              <w:jc w:val="right"/>
              <w:rPr>
                <w:sz w:val="18"/>
                <w:szCs w:val="18"/>
              </w:rPr>
            </w:pPr>
            <w:r w:rsidRPr="0070042A">
              <w:rPr>
                <w:sz w:val="18"/>
                <w:szCs w:val="18"/>
              </w:rPr>
              <w:t>0</w:t>
            </w:r>
          </w:p>
        </w:tc>
        <w:tc>
          <w:tcPr>
            <w:tcW w:w="850" w:type="dxa"/>
          </w:tcPr>
          <w:p w14:paraId="1DDB57E1" w14:textId="1C559A2A" w:rsidR="008933CC" w:rsidRPr="0070042A" w:rsidRDefault="008933CC" w:rsidP="001B68E7">
            <w:pPr>
              <w:jc w:val="right"/>
              <w:rPr>
                <w:sz w:val="18"/>
                <w:szCs w:val="18"/>
              </w:rPr>
            </w:pPr>
            <w:r w:rsidRPr="0070042A">
              <w:rPr>
                <w:sz w:val="18"/>
                <w:szCs w:val="18"/>
              </w:rPr>
              <w:t>281</w:t>
            </w:r>
            <w:r w:rsidR="00CC64BB">
              <w:rPr>
                <w:sz w:val="18"/>
                <w:szCs w:val="18"/>
              </w:rPr>
              <w:t xml:space="preserve"> </w:t>
            </w:r>
            <w:r w:rsidRPr="0070042A">
              <w:rPr>
                <w:sz w:val="18"/>
                <w:szCs w:val="18"/>
              </w:rPr>
              <w:t>500</w:t>
            </w:r>
          </w:p>
        </w:tc>
        <w:tc>
          <w:tcPr>
            <w:tcW w:w="567" w:type="dxa"/>
          </w:tcPr>
          <w:p w14:paraId="02C72696" w14:textId="77777777" w:rsidR="008933CC" w:rsidRPr="0070042A" w:rsidRDefault="008933CC" w:rsidP="001B68E7">
            <w:pPr>
              <w:jc w:val="right"/>
              <w:rPr>
                <w:sz w:val="18"/>
                <w:szCs w:val="18"/>
              </w:rPr>
            </w:pPr>
            <w:r w:rsidRPr="0070042A">
              <w:rPr>
                <w:sz w:val="18"/>
                <w:szCs w:val="18"/>
              </w:rPr>
              <w:t>0</w:t>
            </w:r>
          </w:p>
        </w:tc>
        <w:tc>
          <w:tcPr>
            <w:tcW w:w="851" w:type="dxa"/>
          </w:tcPr>
          <w:p w14:paraId="2D2005C9" w14:textId="50493FEA" w:rsidR="008933CC" w:rsidRPr="0070042A" w:rsidRDefault="008933CC" w:rsidP="001B68E7">
            <w:pPr>
              <w:jc w:val="right"/>
              <w:rPr>
                <w:sz w:val="18"/>
                <w:szCs w:val="18"/>
              </w:rPr>
            </w:pPr>
            <w:r w:rsidRPr="0070042A">
              <w:rPr>
                <w:sz w:val="18"/>
                <w:szCs w:val="18"/>
              </w:rPr>
              <w:t>115</w:t>
            </w:r>
            <w:r w:rsidR="00CC64BB">
              <w:rPr>
                <w:sz w:val="18"/>
                <w:szCs w:val="18"/>
              </w:rPr>
              <w:t xml:space="preserve"> </w:t>
            </w:r>
            <w:r w:rsidRPr="0070042A">
              <w:rPr>
                <w:sz w:val="18"/>
                <w:szCs w:val="18"/>
              </w:rPr>
              <w:t>000</w:t>
            </w:r>
          </w:p>
        </w:tc>
        <w:tc>
          <w:tcPr>
            <w:tcW w:w="992" w:type="dxa"/>
          </w:tcPr>
          <w:p w14:paraId="408AB9D4" w14:textId="53195FC4" w:rsidR="008933CC" w:rsidRPr="0070042A" w:rsidRDefault="008933CC" w:rsidP="001B68E7">
            <w:pPr>
              <w:jc w:val="right"/>
              <w:rPr>
                <w:sz w:val="18"/>
                <w:szCs w:val="18"/>
              </w:rPr>
            </w:pPr>
            <w:r w:rsidRPr="0070042A">
              <w:rPr>
                <w:sz w:val="18"/>
                <w:szCs w:val="18"/>
              </w:rPr>
              <w:t>1</w:t>
            </w:r>
            <w:r w:rsidR="00CC64BB">
              <w:rPr>
                <w:sz w:val="18"/>
                <w:szCs w:val="18"/>
              </w:rPr>
              <w:t xml:space="preserve"> </w:t>
            </w:r>
            <w:r w:rsidRPr="0070042A">
              <w:rPr>
                <w:sz w:val="18"/>
                <w:szCs w:val="18"/>
              </w:rPr>
              <w:t>125</w:t>
            </w:r>
            <w:r w:rsidR="00CC64BB">
              <w:rPr>
                <w:sz w:val="18"/>
                <w:szCs w:val="18"/>
              </w:rPr>
              <w:t xml:space="preserve"> </w:t>
            </w:r>
            <w:r w:rsidRPr="0070042A">
              <w:rPr>
                <w:sz w:val="18"/>
                <w:szCs w:val="18"/>
              </w:rPr>
              <w:t>000</w:t>
            </w:r>
          </w:p>
        </w:tc>
      </w:tr>
      <w:tr w:rsidR="005B0B54" w:rsidRPr="0070042A" w14:paraId="583BD723" w14:textId="77777777" w:rsidTr="005B0B54">
        <w:tc>
          <w:tcPr>
            <w:tcW w:w="3640" w:type="dxa"/>
            <w:gridSpan w:val="3"/>
          </w:tcPr>
          <w:p w14:paraId="358E6A4E" w14:textId="5D457130" w:rsidR="008933CC" w:rsidRPr="00F65046" w:rsidRDefault="008933CC" w:rsidP="001B68E7">
            <w:pPr>
              <w:jc w:val="left"/>
              <w:rPr>
                <w:sz w:val="18"/>
                <w:szCs w:val="18"/>
                <w:lang w:val="es-ES"/>
              </w:rPr>
            </w:pPr>
            <w:r w:rsidRPr="00F65046">
              <w:rPr>
                <w:sz w:val="18"/>
                <w:szCs w:val="18"/>
                <w:lang w:val="es-ES"/>
              </w:rPr>
              <w:t xml:space="preserve">Total </w:t>
            </w:r>
            <w:r w:rsidR="00F65046">
              <w:rPr>
                <w:sz w:val="18"/>
                <w:szCs w:val="18"/>
                <w:lang w:val="es-ES"/>
              </w:rPr>
              <w:t>de gastos de apoyo</w:t>
            </w:r>
            <w:r w:rsidR="00F65046" w:rsidRPr="00363C2A">
              <w:rPr>
                <w:sz w:val="18"/>
                <w:szCs w:val="18"/>
                <w:lang w:val="es-ES"/>
              </w:rPr>
              <w:t xml:space="preserve"> solicitados en principio ($EUA)</w:t>
            </w:r>
          </w:p>
        </w:tc>
        <w:tc>
          <w:tcPr>
            <w:tcW w:w="1096" w:type="dxa"/>
          </w:tcPr>
          <w:p w14:paraId="3390FDF1" w14:textId="2BC9EFBF" w:rsidR="008933CC" w:rsidRPr="0070042A" w:rsidRDefault="008933CC" w:rsidP="001B68E7">
            <w:pPr>
              <w:jc w:val="right"/>
              <w:rPr>
                <w:sz w:val="18"/>
                <w:szCs w:val="18"/>
              </w:rPr>
            </w:pPr>
            <w:r w:rsidRPr="0070042A">
              <w:rPr>
                <w:sz w:val="18"/>
                <w:szCs w:val="18"/>
              </w:rPr>
              <w:t>32</w:t>
            </w:r>
            <w:r w:rsidR="00CC64BB">
              <w:rPr>
                <w:sz w:val="18"/>
                <w:szCs w:val="18"/>
              </w:rPr>
              <w:t xml:space="preserve"> </w:t>
            </w:r>
            <w:r w:rsidRPr="0070042A">
              <w:rPr>
                <w:sz w:val="18"/>
                <w:szCs w:val="18"/>
              </w:rPr>
              <w:t>993</w:t>
            </w:r>
          </w:p>
        </w:tc>
        <w:tc>
          <w:tcPr>
            <w:tcW w:w="765" w:type="dxa"/>
          </w:tcPr>
          <w:p w14:paraId="5C6AC497" w14:textId="77777777" w:rsidR="008933CC" w:rsidRPr="0070042A" w:rsidRDefault="008933CC" w:rsidP="001B68E7">
            <w:pPr>
              <w:jc w:val="right"/>
              <w:rPr>
                <w:sz w:val="18"/>
                <w:szCs w:val="18"/>
              </w:rPr>
            </w:pPr>
            <w:r w:rsidRPr="0070042A">
              <w:rPr>
                <w:sz w:val="18"/>
                <w:szCs w:val="18"/>
              </w:rPr>
              <w:t>0</w:t>
            </w:r>
          </w:p>
        </w:tc>
        <w:tc>
          <w:tcPr>
            <w:tcW w:w="879" w:type="dxa"/>
          </w:tcPr>
          <w:p w14:paraId="0704BDFC" w14:textId="3F2519DA" w:rsidR="008933CC" w:rsidRPr="0070042A" w:rsidRDefault="008933CC" w:rsidP="001B68E7">
            <w:pPr>
              <w:jc w:val="right"/>
              <w:rPr>
                <w:sz w:val="18"/>
                <w:szCs w:val="18"/>
              </w:rPr>
            </w:pPr>
            <w:r w:rsidRPr="0070042A">
              <w:rPr>
                <w:sz w:val="18"/>
                <w:szCs w:val="18"/>
              </w:rPr>
              <w:t>35</w:t>
            </w:r>
            <w:r w:rsidR="00CC64BB">
              <w:rPr>
                <w:sz w:val="18"/>
                <w:szCs w:val="18"/>
              </w:rPr>
              <w:t xml:space="preserve"> </w:t>
            </w:r>
            <w:r w:rsidRPr="0070042A">
              <w:rPr>
                <w:sz w:val="18"/>
                <w:szCs w:val="18"/>
              </w:rPr>
              <w:t>002</w:t>
            </w:r>
          </w:p>
        </w:tc>
        <w:tc>
          <w:tcPr>
            <w:tcW w:w="567" w:type="dxa"/>
          </w:tcPr>
          <w:p w14:paraId="5BF919F4" w14:textId="77777777" w:rsidR="008933CC" w:rsidRPr="0070042A" w:rsidRDefault="008933CC" w:rsidP="001B68E7">
            <w:pPr>
              <w:jc w:val="right"/>
              <w:rPr>
                <w:sz w:val="18"/>
                <w:szCs w:val="18"/>
              </w:rPr>
            </w:pPr>
            <w:r w:rsidRPr="0070042A">
              <w:rPr>
                <w:sz w:val="18"/>
                <w:szCs w:val="18"/>
              </w:rPr>
              <w:t>0</w:t>
            </w:r>
          </w:p>
        </w:tc>
        <w:tc>
          <w:tcPr>
            <w:tcW w:w="850" w:type="dxa"/>
          </w:tcPr>
          <w:p w14:paraId="7E658253" w14:textId="2FE65658" w:rsidR="008933CC" w:rsidRPr="0070042A" w:rsidRDefault="008933CC" w:rsidP="001B68E7">
            <w:pPr>
              <w:jc w:val="right"/>
              <w:rPr>
                <w:sz w:val="18"/>
                <w:szCs w:val="18"/>
              </w:rPr>
            </w:pPr>
            <w:r w:rsidRPr="0070042A">
              <w:rPr>
                <w:sz w:val="18"/>
                <w:szCs w:val="18"/>
              </w:rPr>
              <w:t>30</w:t>
            </w:r>
            <w:r w:rsidR="00CC64BB">
              <w:rPr>
                <w:sz w:val="18"/>
                <w:szCs w:val="18"/>
              </w:rPr>
              <w:t xml:space="preserve"> </w:t>
            </w:r>
            <w:r w:rsidRPr="0070042A">
              <w:rPr>
                <w:sz w:val="18"/>
                <w:szCs w:val="18"/>
              </w:rPr>
              <w:t>188</w:t>
            </w:r>
          </w:p>
        </w:tc>
        <w:tc>
          <w:tcPr>
            <w:tcW w:w="567" w:type="dxa"/>
          </w:tcPr>
          <w:p w14:paraId="17459E72" w14:textId="77777777" w:rsidR="008933CC" w:rsidRPr="0070042A" w:rsidRDefault="008933CC" w:rsidP="001B68E7">
            <w:pPr>
              <w:jc w:val="right"/>
              <w:rPr>
                <w:sz w:val="18"/>
                <w:szCs w:val="18"/>
              </w:rPr>
            </w:pPr>
            <w:r w:rsidRPr="0070042A">
              <w:rPr>
                <w:sz w:val="18"/>
                <w:szCs w:val="18"/>
              </w:rPr>
              <w:t>0</w:t>
            </w:r>
          </w:p>
        </w:tc>
        <w:tc>
          <w:tcPr>
            <w:tcW w:w="851" w:type="dxa"/>
          </w:tcPr>
          <w:p w14:paraId="64DC2B4B" w14:textId="3A2DE346" w:rsidR="008933CC" w:rsidRPr="0070042A" w:rsidRDefault="008933CC" w:rsidP="001B68E7">
            <w:pPr>
              <w:jc w:val="right"/>
              <w:rPr>
                <w:sz w:val="18"/>
                <w:szCs w:val="18"/>
              </w:rPr>
            </w:pPr>
            <w:r w:rsidRPr="0070042A">
              <w:rPr>
                <w:sz w:val="18"/>
                <w:szCs w:val="18"/>
              </w:rPr>
              <w:t>14</w:t>
            </w:r>
            <w:r w:rsidR="00CC64BB">
              <w:rPr>
                <w:sz w:val="18"/>
                <w:szCs w:val="18"/>
              </w:rPr>
              <w:t xml:space="preserve"> </w:t>
            </w:r>
            <w:r w:rsidRPr="0070042A">
              <w:rPr>
                <w:sz w:val="18"/>
                <w:szCs w:val="18"/>
              </w:rPr>
              <w:t>567</w:t>
            </w:r>
          </w:p>
        </w:tc>
        <w:tc>
          <w:tcPr>
            <w:tcW w:w="992" w:type="dxa"/>
          </w:tcPr>
          <w:p w14:paraId="6D75B8B5" w14:textId="1CFD34BA" w:rsidR="008933CC" w:rsidRPr="0070042A" w:rsidRDefault="008933CC" w:rsidP="001B68E7">
            <w:pPr>
              <w:jc w:val="right"/>
              <w:rPr>
                <w:sz w:val="18"/>
                <w:szCs w:val="18"/>
              </w:rPr>
            </w:pPr>
            <w:r w:rsidRPr="0070042A">
              <w:rPr>
                <w:sz w:val="18"/>
                <w:szCs w:val="18"/>
              </w:rPr>
              <w:t>112</w:t>
            </w:r>
            <w:r w:rsidR="00CC64BB">
              <w:rPr>
                <w:sz w:val="18"/>
                <w:szCs w:val="18"/>
              </w:rPr>
              <w:t xml:space="preserve"> </w:t>
            </w:r>
            <w:r w:rsidRPr="0070042A">
              <w:rPr>
                <w:sz w:val="18"/>
                <w:szCs w:val="18"/>
              </w:rPr>
              <w:t>750</w:t>
            </w:r>
          </w:p>
        </w:tc>
      </w:tr>
      <w:tr w:rsidR="005B0B54" w:rsidRPr="0070042A" w14:paraId="66742177" w14:textId="77777777" w:rsidTr="005B0B54">
        <w:tc>
          <w:tcPr>
            <w:tcW w:w="3640" w:type="dxa"/>
            <w:gridSpan w:val="3"/>
          </w:tcPr>
          <w:p w14:paraId="0AB93C66" w14:textId="3720E9D3" w:rsidR="008933CC" w:rsidRPr="00F65046" w:rsidRDefault="008933CC" w:rsidP="001B68E7">
            <w:pPr>
              <w:jc w:val="left"/>
              <w:rPr>
                <w:sz w:val="18"/>
                <w:szCs w:val="18"/>
                <w:lang w:val="es-ES"/>
              </w:rPr>
            </w:pPr>
            <w:r w:rsidRPr="00F65046">
              <w:rPr>
                <w:sz w:val="18"/>
                <w:szCs w:val="18"/>
                <w:lang w:val="es-ES"/>
              </w:rPr>
              <w:t xml:space="preserve">Total </w:t>
            </w:r>
            <w:r w:rsidR="00F65046" w:rsidRPr="00F65046">
              <w:rPr>
                <w:sz w:val="18"/>
                <w:szCs w:val="18"/>
                <w:lang w:val="es-ES"/>
              </w:rPr>
              <w:t>de fondos solicitados en princip</w:t>
            </w:r>
            <w:r w:rsidR="00F65046">
              <w:rPr>
                <w:sz w:val="18"/>
                <w:szCs w:val="18"/>
                <w:lang w:val="es-ES"/>
              </w:rPr>
              <w:t>i</w:t>
            </w:r>
            <w:r w:rsidR="00F65046" w:rsidRPr="00F65046">
              <w:rPr>
                <w:sz w:val="18"/>
                <w:szCs w:val="18"/>
                <w:lang w:val="es-ES"/>
              </w:rPr>
              <w:t>o</w:t>
            </w:r>
            <w:r w:rsidRPr="00F65046">
              <w:rPr>
                <w:sz w:val="18"/>
                <w:szCs w:val="18"/>
                <w:lang w:val="es-ES"/>
              </w:rPr>
              <w:t xml:space="preserve"> </w:t>
            </w:r>
            <w:r w:rsidR="00F65046" w:rsidRPr="00363C2A">
              <w:rPr>
                <w:sz w:val="18"/>
                <w:szCs w:val="18"/>
                <w:lang w:val="es-ES"/>
              </w:rPr>
              <w:t>($EUA)</w:t>
            </w:r>
          </w:p>
        </w:tc>
        <w:tc>
          <w:tcPr>
            <w:tcW w:w="1096" w:type="dxa"/>
          </w:tcPr>
          <w:p w14:paraId="7F4ED0FE" w14:textId="64E34F5E" w:rsidR="008933CC" w:rsidRPr="0070042A" w:rsidRDefault="008933CC" w:rsidP="001B68E7">
            <w:pPr>
              <w:jc w:val="right"/>
              <w:rPr>
                <w:sz w:val="18"/>
                <w:szCs w:val="18"/>
              </w:rPr>
            </w:pPr>
            <w:r w:rsidRPr="0070042A">
              <w:rPr>
                <w:sz w:val="18"/>
                <w:szCs w:val="18"/>
              </w:rPr>
              <w:t>390</w:t>
            </w:r>
            <w:r w:rsidR="00CC64BB">
              <w:rPr>
                <w:sz w:val="18"/>
                <w:szCs w:val="18"/>
              </w:rPr>
              <w:t xml:space="preserve"> </w:t>
            </w:r>
            <w:r w:rsidRPr="0070042A">
              <w:rPr>
                <w:sz w:val="18"/>
                <w:szCs w:val="18"/>
              </w:rPr>
              <w:t>993</w:t>
            </w:r>
          </w:p>
        </w:tc>
        <w:tc>
          <w:tcPr>
            <w:tcW w:w="765" w:type="dxa"/>
          </w:tcPr>
          <w:p w14:paraId="0DB4AC78" w14:textId="77777777" w:rsidR="008933CC" w:rsidRPr="0070042A" w:rsidRDefault="008933CC" w:rsidP="001B68E7">
            <w:pPr>
              <w:jc w:val="right"/>
              <w:rPr>
                <w:sz w:val="18"/>
                <w:szCs w:val="18"/>
              </w:rPr>
            </w:pPr>
            <w:r w:rsidRPr="0070042A">
              <w:rPr>
                <w:sz w:val="18"/>
                <w:szCs w:val="18"/>
              </w:rPr>
              <w:t>0</w:t>
            </w:r>
          </w:p>
        </w:tc>
        <w:tc>
          <w:tcPr>
            <w:tcW w:w="879" w:type="dxa"/>
          </w:tcPr>
          <w:p w14:paraId="6749255F" w14:textId="32D4AFFA" w:rsidR="008933CC" w:rsidRPr="0070042A" w:rsidRDefault="008933CC" w:rsidP="001B68E7">
            <w:pPr>
              <w:jc w:val="right"/>
              <w:rPr>
                <w:sz w:val="18"/>
                <w:szCs w:val="18"/>
              </w:rPr>
            </w:pPr>
            <w:r w:rsidRPr="0070042A">
              <w:rPr>
                <w:sz w:val="18"/>
                <w:szCs w:val="18"/>
              </w:rPr>
              <w:t>405</w:t>
            </w:r>
            <w:r w:rsidR="00CC64BB">
              <w:rPr>
                <w:sz w:val="18"/>
                <w:szCs w:val="18"/>
              </w:rPr>
              <w:t xml:space="preserve"> </w:t>
            </w:r>
            <w:r w:rsidRPr="0070042A">
              <w:rPr>
                <w:sz w:val="18"/>
                <w:szCs w:val="18"/>
              </w:rPr>
              <w:t>502</w:t>
            </w:r>
          </w:p>
        </w:tc>
        <w:tc>
          <w:tcPr>
            <w:tcW w:w="567" w:type="dxa"/>
          </w:tcPr>
          <w:p w14:paraId="7C2BAD09" w14:textId="77777777" w:rsidR="008933CC" w:rsidRPr="0070042A" w:rsidRDefault="008933CC" w:rsidP="001B68E7">
            <w:pPr>
              <w:jc w:val="right"/>
              <w:rPr>
                <w:sz w:val="18"/>
                <w:szCs w:val="18"/>
              </w:rPr>
            </w:pPr>
            <w:r w:rsidRPr="0070042A">
              <w:rPr>
                <w:sz w:val="18"/>
                <w:szCs w:val="18"/>
              </w:rPr>
              <w:t>0</w:t>
            </w:r>
          </w:p>
        </w:tc>
        <w:tc>
          <w:tcPr>
            <w:tcW w:w="850" w:type="dxa"/>
          </w:tcPr>
          <w:p w14:paraId="329A3851" w14:textId="20DF0972" w:rsidR="008933CC" w:rsidRPr="0070042A" w:rsidRDefault="008933CC" w:rsidP="001B68E7">
            <w:pPr>
              <w:jc w:val="right"/>
              <w:rPr>
                <w:sz w:val="18"/>
                <w:szCs w:val="18"/>
              </w:rPr>
            </w:pPr>
            <w:r w:rsidRPr="0070042A">
              <w:rPr>
                <w:sz w:val="18"/>
                <w:szCs w:val="18"/>
              </w:rPr>
              <w:t>311</w:t>
            </w:r>
            <w:r w:rsidR="00CC64BB">
              <w:rPr>
                <w:sz w:val="18"/>
                <w:szCs w:val="18"/>
              </w:rPr>
              <w:t xml:space="preserve"> </w:t>
            </w:r>
            <w:r w:rsidRPr="0070042A">
              <w:rPr>
                <w:sz w:val="18"/>
                <w:szCs w:val="18"/>
              </w:rPr>
              <w:t>688</w:t>
            </w:r>
          </w:p>
        </w:tc>
        <w:tc>
          <w:tcPr>
            <w:tcW w:w="567" w:type="dxa"/>
          </w:tcPr>
          <w:p w14:paraId="616F539D" w14:textId="77777777" w:rsidR="008933CC" w:rsidRPr="0070042A" w:rsidRDefault="008933CC" w:rsidP="001B68E7">
            <w:pPr>
              <w:jc w:val="right"/>
              <w:rPr>
                <w:sz w:val="18"/>
                <w:szCs w:val="18"/>
              </w:rPr>
            </w:pPr>
            <w:r w:rsidRPr="0070042A">
              <w:rPr>
                <w:sz w:val="18"/>
                <w:szCs w:val="18"/>
              </w:rPr>
              <w:t>0</w:t>
            </w:r>
          </w:p>
        </w:tc>
        <w:tc>
          <w:tcPr>
            <w:tcW w:w="851" w:type="dxa"/>
          </w:tcPr>
          <w:p w14:paraId="06E7A639" w14:textId="5689EE2F" w:rsidR="008933CC" w:rsidRPr="0070042A" w:rsidRDefault="008933CC" w:rsidP="001B68E7">
            <w:pPr>
              <w:jc w:val="right"/>
              <w:rPr>
                <w:sz w:val="18"/>
                <w:szCs w:val="18"/>
              </w:rPr>
            </w:pPr>
            <w:r w:rsidRPr="0070042A">
              <w:rPr>
                <w:sz w:val="18"/>
                <w:szCs w:val="18"/>
              </w:rPr>
              <w:t>129</w:t>
            </w:r>
            <w:r w:rsidR="00CC64BB">
              <w:rPr>
                <w:sz w:val="18"/>
                <w:szCs w:val="18"/>
              </w:rPr>
              <w:t xml:space="preserve"> </w:t>
            </w:r>
            <w:r w:rsidRPr="0070042A">
              <w:rPr>
                <w:sz w:val="18"/>
                <w:szCs w:val="18"/>
              </w:rPr>
              <w:t>567</w:t>
            </w:r>
          </w:p>
        </w:tc>
        <w:tc>
          <w:tcPr>
            <w:tcW w:w="992" w:type="dxa"/>
          </w:tcPr>
          <w:p w14:paraId="7FE099AB" w14:textId="2A580DDD" w:rsidR="008933CC" w:rsidRPr="0070042A" w:rsidRDefault="008933CC" w:rsidP="001B68E7">
            <w:pPr>
              <w:jc w:val="right"/>
              <w:rPr>
                <w:sz w:val="18"/>
                <w:szCs w:val="18"/>
              </w:rPr>
            </w:pPr>
            <w:r w:rsidRPr="0070042A">
              <w:rPr>
                <w:sz w:val="18"/>
                <w:szCs w:val="18"/>
              </w:rPr>
              <w:t>1</w:t>
            </w:r>
            <w:r w:rsidR="00CC64BB">
              <w:rPr>
                <w:sz w:val="18"/>
                <w:szCs w:val="18"/>
              </w:rPr>
              <w:t> </w:t>
            </w:r>
            <w:r w:rsidRPr="0070042A">
              <w:rPr>
                <w:sz w:val="18"/>
                <w:szCs w:val="18"/>
              </w:rPr>
              <w:t>237</w:t>
            </w:r>
            <w:r w:rsidR="00CC64BB">
              <w:rPr>
                <w:sz w:val="18"/>
                <w:szCs w:val="18"/>
              </w:rPr>
              <w:t xml:space="preserve"> </w:t>
            </w:r>
            <w:r w:rsidRPr="0070042A">
              <w:rPr>
                <w:sz w:val="18"/>
                <w:szCs w:val="18"/>
              </w:rPr>
              <w:t>750</w:t>
            </w:r>
          </w:p>
        </w:tc>
      </w:tr>
    </w:tbl>
    <w:p w14:paraId="1034C540" w14:textId="77777777" w:rsidR="008933CC" w:rsidRPr="0070042A" w:rsidRDefault="008933CC" w:rsidP="008933CC">
      <w:pPr>
        <w:rPr>
          <w:sz w:val="18"/>
          <w:szCs w:val="18"/>
        </w:rPr>
      </w:pPr>
    </w:p>
    <w:tbl>
      <w:tblPr>
        <w:tblStyle w:val="TableGrid10"/>
        <w:tblW w:w="5458" w:type="pct"/>
        <w:tblInd w:w="-289" w:type="dxa"/>
        <w:tblLook w:val="04A0" w:firstRow="1" w:lastRow="0" w:firstColumn="1" w:lastColumn="0" w:noHBand="0" w:noVBand="1"/>
      </w:tblPr>
      <w:tblGrid>
        <w:gridCol w:w="3219"/>
        <w:gridCol w:w="3137"/>
        <w:gridCol w:w="3850"/>
      </w:tblGrid>
      <w:tr w:rsidR="008933CC" w:rsidRPr="00D53D79" w14:paraId="6A11EC44" w14:textId="77777777" w:rsidTr="0060294D">
        <w:trPr>
          <w:trHeight w:hRule="exact" w:val="227"/>
        </w:trPr>
        <w:tc>
          <w:tcPr>
            <w:tcW w:w="5000" w:type="pct"/>
            <w:gridSpan w:val="3"/>
            <w:shd w:val="clear" w:color="auto" w:fill="auto"/>
          </w:tcPr>
          <w:p w14:paraId="537FD4C2" w14:textId="70B48487" w:rsidR="008933CC" w:rsidRPr="00F65046" w:rsidRDefault="008933CC" w:rsidP="001B68E7">
            <w:pPr>
              <w:rPr>
                <w:b/>
                <w:color w:val="000000" w:themeColor="text1"/>
                <w:sz w:val="18"/>
                <w:szCs w:val="18"/>
                <w:lang w:val="es-ES"/>
              </w:rPr>
            </w:pPr>
            <w:r w:rsidRPr="00F65046">
              <w:rPr>
                <w:b/>
                <w:color w:val="000000" w:themeColor="text1"/>
                <w:sz w:val="18"/>
                <w:szCs w:val="18"/>
                <w:lang w:val="es-ES"/>
              </w:rPr>
              <w:t xml:space="preserve">VII) </w:t>
            </w:r>
            <w:r w:rsidR="00F65046" w:rsidRPr="00F65046">
              <w:rPr>
                <w:b/>
                <w:color w:val="000000" w:themeColor="text1"/>
                <w:sz w:val="18"/>
                <w:szCs w:val="18"/>
                <w:lang w:val="es-ES"/>
              </w:rPr>
              <w:t xml:space="preserve">Solicitud de financiación para </w:t>
            </w:r>
            <w:r w:rsidR="00F65046">
              <w:rPr>
                <w:b/>
                <w:color w:val="000000" w:themeColor="text1"/>
                <w:sz w:val="18"/>
                <w:szCs w:val="18"/>
                <w:lang w:val="es-ES"/>
              </w:rPr>
              <w:t>el primer tramo</w:t>
            </w:r>
            <w:r w:rsidRPr="00F65046">
              <w:rPr>
                <w:b/>
                <w:color w:val="000000" w:themeColor="text1"/>
                <w:sz w:val="18"/>
                <w:szCs w:val="18"/>
                <w:lang w:val="es-ES"/>
              </w:rPr>
              <w:t xml:space="preserve"> (2021)</w:t>
            </w:r>
          </w:p>
        </w:tc>
      </w:tr>
      <w:tr w:rsidR="008933CC" w:rsidRPr="0070042A" w14:paraId="555CAA0D" w14:textId="77777777" w:rsidTr="0060294D">
        <w:trPr>
          <w:trHeight w:hRule="exact" w:val="227"/>
        </w:trPr>
        <w:tc>
          <w:tcPr>
            <w:tcW w:w="1577" w:type="pct"/>
            <w:shd w:val="clear" w:color="auto" w:fill="auto"/>
          </w:tcPr>
          <w:p w14:paraId="4CA1EC15" w14:textId="32A076DB" w:rsidR="008933CC" w:rsidRPr="0070042A" w:rsidRDefault="000D0B2C" w:rsidP="001B68E7">
            <w:pPr>
              <w:jc w:val="center"/>
              <w:rPr>
                <w:b/>
                <w:color w:val="000000" w:themeColor="text1"/>
                <w:sz w:val="18"/>
                <w:szCs w:val="18"/>
              </w:rPr>
            </w:pPr>
            <w:proofErr w:type="spellStart"/>
            <w:r>
              <w:rPr>
                <w:b/>
                <w:color w:val="000000" w:themeColor="text1"/>
                <w:sz w:val="18"/>
                <w:szCs w:val="18"/>
              </w:rPr>
              <w:t>Organismo</w:t>
            </w:r>
            <w:proofErr w:type="spellEnd"/>
          </w:p>
        </w:tc>
        <w:tc>
          <w:tcPr>
            <w:tcW w:w="1537" w:type="pct"/>
            <w:shd w:val="clear" w:color="auto" w:fill="auto"/>
          </w:tcPr>
          <w:p w14:paraId="7AEAB35F" w14:textId="237CE2B5" w:rsidR="008933CC" w:rsidRPr="0070042A" w:rsidRDefault="007566DE" w:rsidP="001B68E7">
            <w:pPr>
              <w:jc w:val="center"/>
              <w:rPr>
                <w:b/>
                <w:color w:val="000000" w:themeColor="text1"/>
                <w:sz w:val="18"/>
                <w:szCs w:val="18"/>
              </w:rPr>
            </w:pPr>
            <w:proofErr w:type="spellStart"/>
            <w:r>
              <w:rPr>
                <w:b/>
                <w:color w:val="000000" w:themeColor="text1"/>
                <w:sz w:val="18"/>
                <w:szCs w:val="18"/>
              </w:rPr>
              <w:t>Fondos</w:t>
            </w:r>
            <w:proofErr w:type="spellEnd"/>
            <w:r>
              <w:rPr>
                <w:b/>
                <w:color w:val="000000" w:themeColor="text1"/>
                <w:sz w:val="18"/>
                <w:szCs w:val="18"/>
              </w:rPr>
              <w:t xml:space="preserve"> </w:t>
            </w:r>
            <w:proofErr w:type="spellStart"/>
            <w:r>
              <w:rPr>
                <w:b/>
                <w:color w:val="000000" w:themeColor="text1"/>
                <w:sz w:val="18"/>
                <w:szCs w:val="18"/>
              </w:rPr>
              <w:t>solicitados</w:t>
            </w:r>
            <w:proofErr w:type="spellEnd"/>
            <w:r w:rsidR="008933CC" w:rsidRPr="0070042A">
              <w:rPr>
                <w:b/>
                <w:color w:val="000000" w:themeColor="text1"/>
                <w:sz w:val="18"/>
                <w:szCs w:val="18"/>
              </w:rPr>
              <w:t xml:space="preserve"> </w:t>
            </w:r>
            <w:r>
              <w:rPr>
                <w:b/>
                <w:color w:val="000000" w:themeColor="text1"/>
                <w:sz w:val="18"/>
                <w:szCs w:val="18"/>
              </w:rPr>
              <w:t>(</w:t>
            </w:r>
            <w:r w:rsidR="008933CC" w:rsidRPr="0070042A">
              <w:rPr>
                <w:b/>
                <w:color w:val="000000" w:themeColor="text1"/>
                <w:sz w:val="18"/>
                <w:szCs w:val="18"/>
              </w:rPr>
              <w:t>$</w:t>
            </w:r>
            <w:r>
              <w:rPr>
                <w:b/>
                <w:color w:val="000000" w:themeColor="text1"/>
                <w:sz w:val="18"/>
                <w:szCs w:val="18"/>
              </w:rPr>
              <w:t>EUA</w:t>
            </w:r>
            <w:r w:rsidR="008933CC" w:rsidRPr="0070042A">
              <w:rPr>
                <w:b/>
                <w:color w:val="000000" w:themeColor="text1"/>
                <w:sz w:val="18"/>
                <w:szCs w:val="18"/>
              </w:rPr>
              <w:t>)</w:t>
            </w:r>
          </w:p>
        </w:tc>
        <w:tc>
          <w:tcPr>
            <w:tcW w:w="1886" w:type="pct"/>
            <w:shd w:val="clear" w:color="auto" w:fill="auto"/>
          </w:tcPr>
          <w:p w14:paraId="18F04A3C" w14:textId="126DCE54" w:rsidR="008933CC" w:rsidRPr="0070042A" w:rsidRDefault="007566DE" w:rsidP="001B68E7">
            <w:pPr>
              <w:jc w:val="center"/>
              <w:rPr>
                <w:b/>
                <w:color w:val="000000" w:themeColor="text1"/>
                <w:sz w:val="18"/>
                <w:szCs w:val="18"/>
              </w:rPr>
            </w:pPr>
            <w:proofErr w:type="spellStart"/>
            <w:r>
              <w:rPr>
                <w:b/>
                <w:color w:val="000000" w:themeColor="text1"/>
                <w:sz w:val="18"/>
                <w:szCs w:val="18"/>
              </w:rPr>
              <w:t>Gastos</w:t>
            </w:r>
            <w:proofErr w:type="spellEnd"/>
            <w:r>
              <w:rPr>
                <w:b/>
                <w:color w:val="000000" w:themeColor="text1"/>
                <w:sz w:val="18"/>
                <w:szCs w:val="18"/>
              </w:rPr>
              <w:t xml:space="preserve"> de </w:t>
            </w:r>
            <w:proofErr w:type="spellStart"/>
            <w:r>
              <w:rPr>
                <w:b/>
                <w:color w:val="000000" w:themeColor="text1"/>
                <w:sz w:val="18"/>
                <w:szCs w:val="18"/>
              </w:rPr>
              <w:t>apoyo</w:t>
            </w:r>
            <w:proofErr w:type="spellEnd"/>
            <w:r w:rsidR="008933CC" w:rsidRPr="0070042A">
              <w:rPr>
                <w:b/>
                <w:color w:val="000000" w:themeColor="text1"/>
                <w:sz w:val="18"/>
                <w:szCs w:val="18"/>
              </w:rPr>
              <w:t xml:space="preserve"> ($</w:t>
            </w:r>
            <w:r>
              <w:rPr>
                <w:b/>
                <w:color w:val="000000" w:themeColor="text1"/>
                <w:sz w:val="18"/>
                <w:szCs w:val="18"/>
              </w:rPr>
              <w:t>EUA</w:t>
            </w:r>
            <w:r w:rsidR="008933CC" w:rsidRPr="0070042A">
              <w:rPr>
                <w:b/>
                <w:color w:val="000000" w:themeColor="text1"/>
                <w:sz w:val="18"/>
                <w:szCs w:val="18"/>
              </w:rPr>
              <w:t>)</w:t>
            </w:r>
          </w:p>
        </w:tc>
      </w:tr>
      <w:tr w:rsidR="008933CC" w:rsidRPr="0070042A" w14:paraId="0AE97506" w14:textId="77777777" w:rsidTr="0060294D">
        <w:trPr>
          <w:trHeight w:hRule="exact" w:val="227"/>
        </w:trPr>
        <w:tc>
          <w:tcPr>
            <w:tcW w:w="1577" w:type="pct"/>
            <w:shd w:val="clear" w:color="auto" w:fill="auto"/>
          </w:tcPr>
          <w:p w14:paraId="5EF48EC9" w14:textId="5DC3D174" w:rsidR="008933CC" w:rsidRPr="0070042A" w:rsidRDefault="00F65046" w:rsidP="001B68E7">
            <w:pPr>
              <w:rPr>
                <w:color w:val="000000" w:themeColor="text1"/>
                <w:sz w:val="18"/>
                <w:szCs w:val="18"/>
              </w:rPr>
            </w:pPr>
            <w:r>
              <w:rPr>
                <w:color w:val="000000" w:themeColor="text1"/>
                <w:sz w:val="18"/>
                <w:szCs w:val="18"/>
              </w:rPr>
              <w:t>P</w:t>
            </w:r>
            <w:r w:rsidR="007566DE">
              <w:rPr>
                <w:color w:val="000000" w:themeColor="text1"/>
                <w:sz w:val="18"/>
                <w:szCs w:val="18"/>
              </w:rPr>
              <w:t>NUMA</w:t>
            </w:r>
          </w:p>
        </w:tc>
        <w:tc>
          <w:tcPr>
            <w:tcW w:w="1537" w:type="pct"/>
            <w:shd w:val="clear" w:color="auto" w:fill="auto"/>
          </w:tcPr>
          <w:p w14:paraId="67169B98" w14:textId="0FD80155" w:rsidR="008933CC" w:rsidRPr="0070042A" w:rsidRDefault="008933CC" w:rsidP="001B68E7">
            <w:pPr>
              <w:jc w:val="right"/>
              <w:rPr>
                <w:color w:val="000000" w:themeColor="text1"/>
                <w:sz w:val="18"/>
                <w:szCs w:val="18"/>
              </w:rPr>
            </w:pPr>
            <w:r w:rsidRPr="0070042A">
              <w:rPr>
                <w:color w:val="000000" w:themeColor="text1"/>
                <w:sz w:val="18"/>
                <w:szCs w:val="18"/>
              </w:rPr>
              <w:t>140</w:t>
            </w:r>
            <w:r w:rsidR="007566DE">
              <w:rPr>
                <w:color w:val="000000" w:themeColor="text1"/>
                <w:sz w:val="18"/>
                <w:szCs w:val="18"/>
              </w:rPr>
              <w:t xml:space="preserve"> </w:t>
            </w:r>
            <w:r w:rsidRPr="0070042A">
              <w:rPr>
                <w:color w:val="000000" w:themeColor="text1"/>
                <w:sz w:val="18"/>
                <w:szCs w:val="18"/>
              </w:rPr>
              <w:t>000</w:t>
            </w:r>
          </w:p>
        </w:tc>
        <w:tc>
          <w:tcPr>
            <w:tcW w:w="1886" w:type="pct"/>
            <w:shd w:val="clear" w:color="auto" w:fill="auto"/>
          </w:tcPr>
          <w:p w14:paraId="695C099B" w14:textId="725C6439" w:rsidR="008933CC" w:rsidRPr="0070042A" w:rsidRDefault="008933CC" w:rsidP="001B68E7">
            <w:pPr>
              <w:jc w:val="right"/>
              <w:rPr>
                <w:color w:val="000000" w:themeColor="text1"/>
                <w:sz w:val="18"/>
                <w:szCs w:val="18"/>
              </w:rPr>
            </w:pPr>
            <w:r w:rsidRPr="0070042A">
              <w:rPr>
                <w:color w:val="000000" w:themeColor="text1"/>
                <w:sz w:val="18"/>
                <w:szCs w:val="18"/>
              </w:rPr>
              <w:t>17</w:t>
            </w:r>
            <w:r w:rsidR="007566DE">
              <w:rPr>
                <w:color w:val="000000" w:themeColor="text1"/>
                <w:sz w:val="18"/>
                <w:szCs w:val="18"/>
              </w:rPr>
              <w:t xml:space="preserve"> </w:t>
            </w:r>
            <w:r w:rsidRPr="0070042A">
              <w:rPr>
                <w:color w:val="000000" w:themeColor="text1"/>
                <w:sz w:val="18"/>
                <w:szCs w:val="18"/>
              </w:rPr>
              <w:t>733</w:t>
            </w:r>
          </w:p>
        </w:tc>
      </w:tr>
      <w:tr w:rsidR="008933CC" w:rsidRPr="0070042A" w14:paraId="552D55FD" w14:textId="77777777" w:rsidTr="0060294D">
        <w:trPr>
          <w:trHeight w:hRule="exact" w:val="227"/>
        </w:trPr>
        <w:tc>
          <w:tcPr>
            <w:tcW w:w="1577" w:type="pct"/>
            <w:shd w:val="clear" w:color="auto" w:fill="auto"/>
          </w:tcPr>
          <w:p w14:paraId="393B285E" w14:textId="0D2B3783" w:rsidR="008933CC" w:rsidRPr="0070042A" w:rsidRDefault="007566DE" w:rsidP="001B68E7">
            <w:pPr>
              <w:rPr>
                <w:color w:val="000000" w:themeColor="text1"/>
                <w:sz w:val="18"/>
                <w:szCs w:val="18"/>
              </w:rPr>
            </w:pPr>
            <w:r>
              <w:rPr>
                <w:color w:val="000000" w:themeColor="text1"/>
                <w:sz w:val="18"/>
                <w:szCs w:val="18"/>
              </w:rPr>
              <w:t>PNUD</w:t>
            </w:r>
          </w:p>
        </w:tc>
        <w:tc>
          <w:tcPr>
            <w:tcW w:w="1537" w:type="pct"/>
            <w:shd w:val="clear" w:color="auto" w:fill="auto"/>
          </w:tcPr>
          <w:p w14:paraId="2D88790A" w14:textId="6447D6F8" w:rsidR="008933CC" w:rsidRPr="0070042A" w:rsidRDefault="008933CC" w:rsidP="001B68E7">
            <w:pPr>
              <w:jc w:val="right"/>
              <w:rPr>
                <w:color w:val="000000" w:themeColor="text1"/>
                <w:sz w:val="18"/>
                <w:szCs w:val="18"/>
              </w:rPr>
            </w:pPr>
            <w:r w:rsidRPr="0070042A">
              <w:rPr>
                <w:color w:val="000000" w:themeColor="text1"/>
                <w:sz w:val="18"/>
                <w:szCs w:val="18"/>
              </w:rPr>
              <w:t>218</w:t>
            </w:r>
            <w:r w:rsidR="007566DE">
              <w:rPr>
                <w:color w:val="000000" w:themeColor="text1"/>
                <w:sz w:val="18"/>
                <w:szCs w:val="18"/>
              </w:rPr>
              <w:t xml:space="preserve"> </w:t>
            </w:r>
            <w:r w:rsidRPr="0070042A">
              <w:rPr>
                <w:color w:val="000000" w:themeColor="text1"/>
                <w:sz w:val="18"/>
                <w:szCs w:val="18"/>
              </w:rPr>
              <w:t>000</w:t>
            </w:r>
          </w:p>
        </w:tc>
        <w:tc>
          <w:tcPr>
            <w:tcW w:w="1886" w:type="pct"/>
            <w:shd w:val="clear" w:color="auto" w:fill="auto"/>
          </w:tcPr>
          <w:p w14:paraId="679834C5" w14:textId="3FC68F03" w:rsidR="008933CC" w:rsidRPr="0070042A" w:rsidRDefault="008933CC" w:rsidP="001B68E7">
            <w:pPr>
              <w:jc w:val="right"/>
              <w:rPr>
                <w:color w:val="000000" w:themeColor="text1"/>
                <w:sz w:val="18"/>
                <w:szCs w:val="18"/>
              </w:rPr>
            </w:pPr>
            <w:r w:rsidRPr="0070042A">
              <w:rPr>
                <w:color w:val="000000" w:themeColor="text1"/>
                <w:sz w:val="18"/>
                <w:szCs w:val="18"/>
              </w:rPr>
              <w:t>15</w:t>
            </w:r>
            <w:r w:rsidR="007566DE">
              <w:rPr>
                <w:color w:val="000000" w:themeColor="text1"/>
                <w:sz w:val="18"/>
                <w:szCs w:val="18"/>
              </w:rPr>
              <w:t xml:space="preserve"> </w:t>
            </w:r>
            <w:r w:rsidRPr="0070042A">
              <w:rPr>
                <w:color w:val="000000" w:themeColor="text1"/>
                <w:sz w:val="18"/>
                <w:szCs w:val="18"/>
              </w:rPr>
              <w:t>260</w:t>
            </w:r>
          </w:p>
        </w:tc>
      </w:tr>
      <w:tr w:rsidR="008933CC" w:rsidRPr="0070042A" w14:paraId="2D37D21E" w14:textId="77777777" w:rsidTr="0060294D">
        <w:trPr>
          <w:trHeight w:hRule="exact" w:val="227"/>
        </w:trPr>
        <w:tc>
          <w:tcPr>
            <w:tcW w:w="1577" w:type="pct"/>
            <w:shd w:val="clear" w:color="auto" w:fill="auto"/>
          </w:tcPr>
          <w:p w14:paraId="47489E61" w14:textId="77777777" w:rsidR="008933CC" w:rsidRPr="0070042A" w:rsidRDefault="008933CC" w:rsidP="001B68E7">
            <w:pPr>
              <w:rPr>
                <w:color w:val="000000" w:themeColor="text1"/>
                <w:sz w:val="18"/>
                <w:szCs w:val="18"/>
              </w:rPr>
            </w:pPr>
            <w:r w:rsidRPr="0070042A">
              <w:rPr>
                <w:color w:val="000000" w:themeColor="text1"/>
                <w:sz w:val="18"/>
                <w:szCs w:val="18"/>
              </w:rPr>
              <w:t>Total</w:t>
            </w:r>
          </w:p>
        </w:tc>
        <w:tc>
          <w:tcPr>
            <w:tcW w:w="1537" w:type="pct"/>
            <w:shd w:val="clear" w:color="auto" w:fill="auto"/>
          </w:tcPr>
          <w:p w14:paraId="47F0D66A" w14:textId="58B139CE" w:rsidR="008933CC" w:rsidRPr="0070042A" w:rsidRDefault="008933CC" w:rsidP="001B68E7">
            <w:pPr>
              <w:jc w:val="right"/>
              <w:rPr>
                <w:color w:val="000000" w:themeColor="text1"/>
                <w:sz w:val="18"/>
                <w:szCs w:val="18"/>
              </w:rPr>
            </w:pPr>
            <w:r w:rsidRPr="0070042A">
              <w:rPr>
                <w:color w:val="000000" w:themeColor="text1"/>
                <w:sz w:val="18"/>
                <w:szCs w:val="18"/>
              </w:rPr>
              <w:t>358</w:t>
            </w:r>
            <w:r w:rsidR="007566DE">
              <w:rPr>
                <w:color w:val="000000" w:themeColor="text1"/>
                <w:sz w:val="18"/>
                <w:szCs w:val="18"/>
              </w:rPr>
              <w:t xml:space="preserve"> </w:t>
            </w:r>
            <w:r w:rsidRPr="0070042A">
              <w:rPr>
                <w:color w:val="000000" w:themeColor="text1"/>
                <w:sz w:val="18"/>
                <w:szCs w:val="18"/>
              </w:rPr>
              <w:t>000</w:t>
            </w:r>
          </w:p>
        </w:tc>
        <w:tc>
          <w:tcPr>
            <w:tcW w:w="1886" w:type="pct"/>
            <w:shd w:val="clear" w:color="auto" w:fill="auto"/>
          </w:tcPr>
          <w:p w14:paraId="7D5E7EEA" w14:textId="42760E44" w:rsidR="008933CC" w:rsidRPr="0070042A" w:rsidRDefault="008933CC" w:rsidP="001B68E7">
            <w:pPr>
              <w:jc w:val="right"/>
              <w:rPr>
                <w:color w:val="000000" w:themeColor="text1"/>
                <w:sz w:val="18"/>
                <w:szCs w:val="18"/>
              </w:rPr>
            </w:pPr>
            <w:r w:rsidRPr="0070042A">
              <w:rPr>
                <w:color w:val="000000" w:themeColor="text1"/>
                <w:sz w:val="18"/>
                <w:szCs w:val="18"/>
              </w:rPr>
              <w:t>32</w:t>
            </w:r>
            <w:r w:rsidR="007566DE">
              <w:rPr>
                <w:color w:val="000000" w:themeColor="text1"/>
                <w:sz w:val="18"/>
                <w:szCs w:val="18"/>
              </w:rPr>
              <w:t xml:space="preserve"> </w:t>
            </w:r>
            <w:r w:rsidRPr="0070042A">
              <w:rPr>
                <w:color w:val="000000" w:themeColor="text1"/>
                <w:sz w:val="18"/>
                <w:szCs w:val="18"/>
              </w:rPr>
              <w:t>993</w:t>
            </w:r>
          </w:p>
        </w:tc>
      </w:tr>
    </w:tbl>
    <w:p w14:paraId="51848D28" w14:textId="77777777" w:rsidR="008933CC" w:rsidRPr="0070042A" w:rsidRDefault="008933CC" w:rsidP="008933CC">
      <w:pPr>
        <w:ind w:left="-567"/>
        <w:rPr>
          <w:sz w:val="18"/>
          <w:szCs w:val="18"/>
        </w:rPr>
      </w:pPr>
    </w:p>
    <w:tbl>
      <w:tblPr>
        <w:tblStyle w:val="TableGrid"/>
        <w:tblW w:w="5458" w:type="pct"/>
        <w:tblInd w:w="-289" w:type="dxa"/>
        <w:tblLook w:val="04A0" w:firstRow="1" w:lastRow="0" w:firstColumn="1" w:lastColumn="0" w:noHBand="0" w:noVBand="1"/>
      </w:tblPr>
      <w:tblGrid>
        <w:gridCol w:w="3229"/>
        <w:gridCol w:w="6977"/>
      </w:tblGrid>
      <w:tr w:rsidR="008933CC" w:rsidRPr="0070042A" w14:paraId="54D4D6E5" w14:textId="77777777" w:rsidTr="0060294D">
        <w:trPr>
          <w:trHeight w:hRule="exact" w:val="281"/>
        </w:trPr>
        <w:tc>
          <w:tcPr>
            <w:tcW w:w="1582" w:type="pct"/>
            <w:shd w:val="clear" w:color="auto" w:fill="auto"/>
          </w:tcPr>
          <w:p w14:paraId="65282393" w14:textId="5B9FF674" w:rsidR="008933CC" w:rsidRPr="0070042A" w:rsidRDefault="007566DE" w:rsidP="001B68E7">
            <w:pPr>
              <w:jc w:val="left"/>
              <w:rPr>
                <w:b/>
                <w:color w:val="000000" w:themeColor="text1"/>
                <w:sz w:val="18"/>
                <w:szCs w:val="18"/>
              </w:rPr>
            </w:pPr>
            <w:proofErr w:type="spellStart"/>
            <w:r>
              <w:rPr>
                <w:b/>
                <w:color w:val="000000" w:themeColor="text1"/>
                <w:sz w:val="18"/>
                <w:szCs w:val="18"/>
              </w:rPr>
              <w:t>Recomendación</w:t>
            </w:r>
            <w:proofErr w:type="spellEnd"/>
            <w:r>
              <w:rPr>
                <w:b/>
                <w:color w:val="000000" w:themeColor="text1"/>
                <w:sz w:val="18"/>
                <w:szCs w:val="18"/>
              </w:rPr>
              <w:t xml:space="preserve"> de la </w:t>
            </w:r>
            <w:proofErr w:type="spellStart"/>
            <w:r w:rsidR="008933CC" w:rsidRPr="0070042A">
              <w:rPr>
                <w:b/>
                <w:color w:val="000000" w:themeColor="text1"/>
                <w:sz w:val="18"/>
                <w:szCs w:val="18"/>
              </w:rPr>
              <w:t>Secretar</w:t>
            </w:r>
            <w:r>
              <w:rPr>
                <w:b/>
                <w:color w:val="000000" w:themeColor="text1"/>
                <w:sz w:val="18"/>
                <w:szCs w:val="18"/>
              </w:rPr>
              <w:t>ía</w:t>
            </w:r>
            <w:proofErr w:type="spellEnd"/>
            <w:r w:rsidR="008933CC" w:rsidRPr="0070042A">
              <w:rPr>
                <w:b/>
                <w:color w:val="000000" w:themeColor="text1"/>
                <w:sz w:val="18"/>
                <w:szCs w:val="18"/>
              </w:rPr>
              <w:t>:</w:t>
            </w:r>
          </w:p>
        </w:tc>
        <w:tc>
          <w:tcPr>
            <w:tcW w:w="3418" w:type="pct"/>
            <w:shd w:val="clear" w:color="auto" w:fill="auto"/>
          </w:tcPr>
          <w:p w14:paraId="4FE9BBC2" w14:textId="45C4E0FB" w:rsidR="008933CC" w:rsidRPr="0070042A" w:rsidRDefault="007566DE" w:rsidP="001B68E7">
            <w:pPr>
              <w:jc w:val="center"/>
              <w:rPr>
                <w:color w:val="000000" w:themeColor="text1"/>
                <w:sz w:val="18"/>
                <w:szCs w:val="18"/>
              </w:rPr>
            </w:pPr>
            <w:r>
              <w:rPr>
                <w:color w:val="000000" w:themeColor="text1"/>
                <w:sz w:val="18"/>
                <w:szCs w:val="18"/>
              </w:rPr>
              <w:t xml:space="preserve">Para </w:t>
            </w:r>
            <w:proofErr w:type="spellStart"/>
            <w:r>
              <w:rPr>
                <w:color w:val="000000" w:themeColor="text1"/>
                <w:sz w:val="18"/>
                <w:szCs w:val="18"/>
              </w:rPr>
              <w:t>consideración</w:t>
            </w:r>
            <w:proofErr w:type="spellEnd"/>
            <w:r>
              <w:rPr>
                <w:color w:val="000000" w:themeColor="text1"/>
                <w:sz w:val="18"/>
                <w:szCs w:val="18"/>
              </w:rPr>
              <w:t xml:space="preserve"> i</w:t>
            </w:r>
            <w:r w:rsidR="008933CC" w:rsidRPr="0070042A">
              <w:rPr>
                <w:color w:val="000000" w:themeColor="text1"/>
                <w:sz w:val="18"/>
                <w:szCs w:val="18"/>
              </w:rPr>
              <w:t>ndividual</w:t>
            </w:r>
          </w:p>
        </w:tc>
      </w:tr>
    </w:tbl>
    <w:p w14:paraId="0444EBBB" w14:textId="77777777" w:rsidR="008933CC" w:rsidRPr="00FC2D13" w:rsidRDefault="008933CC" w:rsidP="008933CC">
      <w:pPr>
        <w:jc w:val="left"/>
      </w:pPr>
      <w:r w:rsidRPr="00FC2D13">
        <w:br w:type="page"/>
      </w:r>
    </w:p>
    <w:p w14:paraId="631424EC" w14:textId="4A12B5C1" w:rsidR="008933CC" w:rsidRPr="00FC2D13" w:rsidRDefault="007566DE" w:rsidP="003C1A5A">
      <w:pPr>
        <w:widowControl w:val="0"/>
        <w:tabs>
          <w:tab w:val="left" w:pos="2880"/>
          <w:tab w:val="left" w:pos="5760"/>
        </w:tabs>
        <w:spacing w:after="240"/>
        <w:jc w:val="center"/>
        <w:rPr>
          <w:b/>
        </w:rPr>
      </w:pPr>
      <w:r w:rsidRPr="00FC2D13">
        <w:rPr>
          <w:b/>
        </w:rPr>
        <w:lastRenderedPageBreak/>
        <w:t>DESCRIP</w:t>
      </w:r>
      <w:r>
        <w:rPr>
          <w:b/>
        </w:rPr>
        <w:t>CIÓ</w:t>
      </w:r>
      <w:r w:rsidRPr="00FC2D13">
        <w:rPr>
          <w:b/>
        </w:rPr>
        <w:t xml:space="preserve">N </w:t>
      </w:r>
      <w:r>
        <w:rPr>
          <w:b/>
        </w:rPr>
        <w:t xml:space="preserve">DEL </w:t>
      </w:r>
      <w:r w:rsidR="008933CC" w:rsidRPr="00FC2D13">
        <w:rPr>
          <w:b/>
        </w:rPr>
        <w:t>PRO</w:t>
      </w:r>
      <w:r>
        <w:rPr>
          <w:b/>
        </w:rPr>
        <w:t>Y</w:t>
      </w:r>
      <w:r w:rsidR="008933CC" w:rsidRPr="00FC2D13">
        <w:rPr>
          <w:b/>
        </w:rPr>
        <w:t>ECT</w:t>
      </w:r>
      <w:r>
        <w:rPr>
          <w:b/>
        </w:rPr>
        <w:t>O</w:t>
      </w:r>
      <w:r w:rsidR="008933CC" w:rsidRPr="00FC2D13">
        <w:rPr>
          <w:b/>
        </w:rPr>
        <w:t xml:space="preserve"> </w:t>
      </w:r>
    </w:p>
    <w:p w14:paraId="16D95039" w14:textId="42D3D739" w:rsidR="008933CC" w:rsidRPr="00FC2D13" w:rsidRDefault="007566DE" w:rsidP="003C1A5A">
      <w:pPr>
        <w:spacing w:after="240"/>
        <w:rPr>
          <w:b/>
        </w:rPr>
      </w:pPr>
      <w:proofErr w:type="spellStart"/>
      <w:r>
        <w:rPr>
          <w:b/>
        </w:rPr>
        <w:t>Antecedentes</w:t>
      </w:r>
      <w:proofErr w:type="spellEnd"/>
    </w:p>
    <w:p w14:paraId="29F70F84" w14:textId="2F5618B9" w:rsidR="008933CC" w:rsidRPr="00B55CA0" w:rsidRDefault="007566DE" w:rsidP="003C1A5A">
      <w:pPr>
        <w:pStyle w:val="Heading1"/>
        <w:rPr>
          <w:lang w:val="es-ES"/>
        </w:rPr>
      </w:pPr>
      <w:r w:rsidRPr="007566DE">
        <w:rPr>
          <w:lang w:val="es-ES"/>
        </w:rPr>
        <w:t>En nombre del Gobierno d</w:t>
      </w:r>
      <w:r>
        <w:rPr>
          <w:lang w:val="es-ES"/>
        </w:rPr>
        <w:t xml:space="preserve">e la República Democrática del Congo, el PNUMA, en calidad de organismo </w:t>
      </w:r>
      <w:r w:rsidR="00476B19">
        <w:rPr>
          <w:lang w:val="es-ES"/>
        </w:rPr>
        <w:t xml:space="preserve">de ejecución </w:t>
      </w:r>
      <w:r>
        <w:rPr>
          <w:lang w:val="es-ES"/>
        </w:rPr>
        <w:t xml:space="preserve">principal, </w:t>
      </w:r>
      <w:r w:rsidR="00476B19">
        <w:rPr>
          <w:lang w:val="es-ES"/>
        </w:rPr>
        <w:t>ha presentado</w:t>
      </w:r>
      <w:r>
        <w:rPr>
          <w:lang w:val="es-ES"/>
        </w:rPr>
        <w:t xml:space="preserve"> una solicitud</w:t>
      </w:r>
      <w:r w:rsidR="00476B19">
        <w:rPr>
          <w:lang w:val="es-ES"/>
        </w:rPr>
        <w:t xml:space="preserve"> para la etapa II del plan de gestión de la eliminación de</w:t>
      </w:r>
      <w:r w:rsidR="00B55CA0">
        <w:rPr>
          <w:lang w:val="es-ES"/>
        </w:rPr>
        <w:t xml:space="preserve"> </w:t>
      </w:r>
      <w:r w:rsidR="00476B19">
        <w:rPr>
          <w:lang w:val="es-ES"/>
        </w:rPr>
        <w:t>l</w:t>
      </w:r>
      <w:r w:rsidR="00B55CA0">
        <w:rPr>
          <w:lang w:val="es-ES"/>
        </w:rPr>
        <w:t>os</w:t>
      </w:r>
      <w:r w:rsidR="00476B19">
        <w:rPr>
          <w:lang w:val="es-ES"/>
        </w:rPr>
        <w:t xml:space="preserve"> HCFC (PGEH), por un monto de </w:t>
      </w:r>
      <w:r w:rsidR="00476B19" w:rsidRPr="00476B19">
        <w:rPr>
          <w:kern w:val="28"/>
          <w:lang w:val="es-ES"/>
        </w:rPr>
        <w:t>1</w:t>
      </w:r>
      <w:r w:rsidR="00476B19">
        <w:rPr>
          <w:kern w:val="28"/>
          <w:lang w:val="es-ES"/>
        </w:rPr>
        <w:t> </w:t>
      </w:r>
      <w:r w:rsidR="00476B19" w:rsidRPr="00476B19">
        <w:rPr>
          <w:kern w:val="28"/>
          <w:lang w:val="es-ES"/>
        </w:rPr>
        <w:t>237</w:t>
      </w:r>
      <w:r w:rsidR="00476B19">
        <w:rPr>
          <w:kern w:val="28"/>
          <w:lang w:val="es-ES"/>
        </w:rPr>
        <w:t xml:space="preserve"> </w:t>
      </w:r>
      <w:r w:rsidR="00476B19" w:rsidRPr="00476B19">
        <w:rPr>
          <w:kern w:val="28"/>
          <w:lang w:val="es-ES"/>
        </w:rPr>
        <w:t>750</w:t>
      </w:r>
      <w:r w:rsidR="00476B19">
        <w:rPr>
          <w:kern w:val="28"/>
          <w:lang w:val="es-ES"/>
        </w:rPr>
        <w:t xml:space="preserve"> </w:t>
      </w:r>
      <w:r w:rsidR="00476B19" w:rsidRPr="00476B19">
        <w:rPr>
          <w:lang w:val="es-ES"/>
        </w:rPr>
        <w:t>$</w:t>
      </w:r>
      <w:r w:rsidR="00476B19">
        <w:rPr>
          <w:lang w:val="es-ES"/>
        </w:rPr>
        <w:t xml:space="preserve">EUA, que comprende 600 000 </w:t>
      </w:r>
      <w:r w:rsidR="00476B19" w:rsidRPr="00476B19">
        <w:rPr>
          <w:lang w:val="es-ES"/>
        </w:rPr>
        <w:t>$</w:t>
      </w:r>
      <w:r w:rsidR="00476B19">
        <w:rPr>
          <w:lang w:val="es-ES"/>
        </w:rPr>
        <w:t>EUA, más los gastos de apoyo al organismo que asciende</w:t>
      </w:r>
      <w:r w:rsidR="00B55CA0">
        <w:rPr>
          <w:lang w:val="es-ES"/>
        </w:rPr>
        <w:t>n</w:t>
      </w:r>
      <w:r w:rsidR="00476B19">
        <w:rPr>
          <w:lang w:val="es-ES"/>
        </w:rPr>
        <w:t xml:space="preserve"> a 76 000 </w:t>
      </w:r>
      <w:r w:rsidR="00476B19" w:rsidRPr="00476B19">
        <w:rPr>
          <w:lang w:val="es-ES"/>
        </w:rPr>
        <w:t>$</w:t>
      </w:r>
      <w:r w:rsidR="00476B19">
        <w:rPr>
          <w:lang w:val="es-ES"/>
        </w:rPr>
        <w:t>EUA</w:t>
      </w:r>
      <w:r w:rsidR="00B55CA0">
        <w:rPr>
          <w:lang w:val="es-ES"/>
        </w:rPr>
        <w:t xml:space="preserve"> para el PNUMA y 525 000 </w:t>
      </w:r>
      <w:r w:rsidR="00B55CA0" w:rsidRPr="00476B19">
        <w:rPr>
          <w:lang w:val="es-ES"/>
        </w:rPr>
        <w:t>$</w:t>
      </w:r>
      <w:r w:rsidR="00B55CA0">
        <w:rPr>
          <w:lang w:val="es-ES"/>
        </w:rPr>
        <w:t>EUA, más los gastos de apoyo al organismo de 36 750 para el PNUD, tal como presentado</w:t>
      </w:r>
      <w:r w:rsidR="008933CC" w:rsidRPr="00B55CA0">
        <w:rPr>
          <w:lang w:val="es-ES"/>
        </w:rPr>
        <w:t>.</w:t>
      </w:r>
      <w:r w:rsidR="008933CC" w:rsidRPr="00FC2D13">
        <w:rPr>
          <w:vertAlign w:val="superscript"/>
        </w:rPr>
        <w:footnoteReference w:id="2"/>
      </w:r>
      <w:r w:rsidR="008933CC" w:rsidRPr="00B55CA0">
        <w:rPr>
          <w:lang w:val="es-ES"/>
        </w:rPr>
        <w:t xml:space="preserve"> </w:t>
      </w:r>
      <w:r w:rsidR="00B55CA0" w:rsidRPr="00B55CA0">
        <w:rPr>
          <w:lang w:val="es-ES"/>
        </w:rPr>
        <w:t>La ejecución de la etapa II del PGEH eliminará el consumo restante de HCFC para 2030</w:t>
      </w:r>
      <w:r w:rsidR="008933CC" w:rsidRPr="00B55CA0">
        <w:rPr>
          <w:lang w:val="es-ES"/>
        </w:rPr>
        <w:t xml:space="preserve">. </w:t>
      </w:r>
    </w:p>
    <w:p w14:paraId="061AFA0C" w14:textId="38D57923" w:rsidR="008933CC" w:rsidRPr="00B55CA0" w:rsidRDefault="00B55CA0" w:rsidP="003C1A5A">
      <w:pPr>
        <w:pStyle w:val="Heading1"/>
        <w:rPr>
          <w:lang w:val="es-ES"/>
        </w:rPr>
      </w:pPr>
      <w:r w:rsidRPr="00B55CA0">
        <w:rPr>
          <w:lang w:val="es-ES"/>
        </w:rPr>
        <w:t>El primer tramo de l</w:t>
      </w:r>
      <w:r>
        <w:rPr>
          <w:lang w:val="es-ES"/>
        </w:rPr>
        <w:t>a etapa II del PGEH que fue solicitado en esta reunión asciende a</w:t>
      </w:r>
      <w:r w:rsidR="0060294D">
        <w:rPr>
          <w:lang w:val="es-ES"/>
        </w:rPr>
        <w:t> </w:t>
      </w:r>
      <w:r w:rsidRPr="00B55CA0">
        <w:rPr>
          <w:kern w:val="28"/>
          <w:lang w:val="es-ES"/>
        </w:rPr>
        <w:t>659</w:t>
      </w:r>
      <w:r w:rsidR="0060294D">
        <w:rPr>
          <w:kern w:val="28"/>
          <w:lang w:val="es-ES"/>
        </w:rPr>
        <w:t> </w:t>
      </w:r>
      <w:r w:rsidRPr="00B55CA0">
        <w:rPr>
          <w:kern w:val="28"/>
          <w:lang w:val="es-ES"/>
        </w:rPr>
        <w:t>032</w:t>
      </w:r>
      <w:r w:rsidR="0060294D">
        <w:rPr>
          <w:kern w:val="28"/>
          <w:lang w:val="es-ES"/>
        </w:rPr>
        <w:t> </w:t>
      </w:r>
      <w:r w:rsidRPr="00B55CA0">
        <w:rPr>
          <w:lang w:val="es-ES"/>
        </w:rPr>
        <w:t>$</w:t>
      </w:r>
      <w:r>
        <w:rPr>
          <w:lang w:val="es-ES"/>
        </w:rPr>
        <w:t xml:space="preserve">EUA, que comprende 310 000 </w:t>
      </w:r>
      <w:r w:rsidRPr="00B55CA0">
        <w:rPr>
          <w:lang w:val="es-ES"/>
        </w:rPr>
        <w:t>$</w:t>
      </w:r>
      <w:r>
        <w:rPr>
          <w:lang w:val="es-ES"/>
        </w:rPr>
        <w:t xml:space="preserve">EUA, más los gastos de apoyo al organismo de 39 267 </w:t>
      </w:r>
      <w:r w:rsidRPr="00B55CA0">
        <w:rPr>
          <w:lang w:val="es-ES"/>
        </w:rPr>
        <w:t>$</w:t>
      </w:r>
      <w:r>
        <w:rPr>
          <w:lang w:val="es-ES"/>
        </w:rPr>
        <w:t xml:space="preserve">EUA para el PNUMA, y 289 500 </w:t>
      </w:r>
      <w:r w:rsidRPr="00B55CA0">
        <w:rPr>
          <w:lang w:val="es-ES"/>
        </w:rPr>
        <w:t>$</w:t>
      </w:r>
      <w:r>
        <w:rPr>
          <w:lang w:val="es-ES"/>
        </w:rPr>
        <w:t xml:space="preserve">EUA, más los gastos de apoyo al organismo de 20 265 </w:t>
      </w:r>
      <w:r w:rsidRPr="00B55CA0">
        <w:rPr>
          <w:lang w:val="es-ES"/>
        </w:rPr>
        <w:t>$</w:t>
      </w:r>
      <w:r>
        <w:rPr>
          <w:lang w:val="es-ES"/>
        </w:rPr>
        <w:t>EUA para el PNUD, tal como se presentó originalmente</w:t>
      </w:r>
      <w:r w:rsidR="008933CC" w:rsidRPr="00B55CA0">
        <w:rPr>
          <w:lang w:val="es-ES"/>
        </w:rPr>
        <w:t>.</w:t>
      </w:r>
    </w:p>
    <w:p w14:paraId="53F74F96" w14:textId="1BF2A2AA" w:rsidR="008933CC" w:rsidRPr="00F57C67" w:rsidRDefault="00F57C67" w:rsidP="003C1A5A">
      <w:pPr>
        <w:spacing w:after="240"/>
        <w:outlineLvl w:val="0"/>
        <w:rPr>
          <w:b/>
          <w:lang w:val="es-ES"/>
        </w:rPr>
      </w:pPr>
      <w:r w:rsidRPr="00F57C67">
        <w:rPr>
          <w:b/>
          <w:lang w:val="es-ES"/>
        </w:rPr>
        <w:t>Situación de la ejecución de la etapa I del PGEH</w:t>
      </w:r>
    </w:p>
    <w:p w14:paraId="51B5144B" w14:textId="127C03E0" w:rsidR="008933CC" w:rsidRPr="0089017E" w:rsidRDefault="00901916" w:rsidP="003C1A5A">
      <w:pPr>
        <w:pStyle w:val="Heading1"/>
        <w:rPr>
          <w:lang w:val="es-ES"/>
        </w:rPr>
      </w:pPr>
      <w:r w:rsidRPr="00901916">
        <w:rPr>
          <w:lang w:val="es-ES"/>
        </w:rPr>
        <w:t>La etapa I del P</w:t>
      </w:r>
      <w:r>
        <w:rPr>
          <w:lang w:val="es-ES"/>
        </w:rPr>
        <w:t>GEH de la República Democrática del Congo</w:t>
      </w:r>
      <w:r w:rsidR="00F5740D">
        <w:rPr>
          <w:lang w:val="es-ES"/>
        </w:rPr>
        <w:t xml:space="preserve"> fue originalmente aprobado </w:t>
      </w:r>
      <w:r w:rsidR="00EC34A8">
        <w:rPr>
          <w:lang w:val="es-ES"/>
        </w:rPr>
        <w:t>en la</w:t>
      </w:r>
      <w:r w:rsidR="0060294D">
        <w:rPr>
          <w:lang w:val="es-ES"/>
        </w:rPr>
        <w:t> </w:t>
      </w:r>
      <w:r w:rsidR="00EC34A8">
        <w:rPr>
          <w:lang w:val="es-ES"/>
        </w:rPr>
        <w:t>63ª</w:t>
      </w:r>
      <w:r w:rsidR="0060294D">
        <w:rPr>
          <w:lang w:val="es-ES"/>
        </w:rPr>
        <w:t> </w:t>
      </w:r>
      <w:r w:rsidR="00EC34A8">
        <w:rPr>
          <w:lang w:val="es-ES"/>
        </w:rPr>
        <w:t>reunión para la eliminación de</w:t>
      </w:r>
      <w:r w:rsidR="00AB6D59">
        <w:rPr>
          <w:lang w:val="es-ES"/>
        </w:rPr>
        <w:t xml:space="preserve"> 5,8 toneladas PAO de HCFC utilizado </w:t>
      </w:r>
      <w:r w:rsidR="00083DAE">
        <w:rPr>
          <w:lang w:val="es-ES"/>
        </w:rPr>
        <w:t>en el sector de servicio y mantenimiento</w:t>
      </w:r>
      <w:r w:rsidR="00295214">
        <w:rPr>
          <w:lang w:val="es-ES"/>
        </w:rPr>
        <w:t xml:space="preserve"> de los equipos de refrigeración y aire acondicionado</w:t>
      </w:r>
      <w:r w:rsidR="00653F12">
        <w:rPr>
          <w:lang w:val="es-ES"/>
        </w:rPr>
        <w:t xml:space="preserve"> y </w:t>
      </w:r>
      <w:r w:rsidR="0089017E">
        <w:rPr>
          <w:lang w:val="es-ES"/>
        </w:rPr>
        <w:t>alcanzar</w:t>
      </w:r>
      <w:r w:rsidR="005A2776">
        <w:rPr>
          <w:lang w:val="es-ES"/>
        </w:rPr>
        <w:t xml:space="preserve"> el objeti</w:t>
      </w:r>
      <w:r w:rsidR="00152603">
        <w:rPr>
          <w:lang w:val="es-ES"/>
        </w:rPr>
        <w:t>vo de reducción del 10 por ciento</w:t>
      </w:r>
      <w:r w:rsidR="005F3209">
        <w:rPr>
          <w:lang w:val="es-ES"/>
        </w:rPr>
        <w:t xml:space="preserve"> </w:t>
      </w:r>
      <w:r w:rsidR="00337FC1">
        <w:rPr>
          <w:lang w:val="es-ES"/>
        </w:rPr>
        <w:t xml:space="preserve">respecto </w:t>
      </w:r>
      <w:r w:rsidR="005F3209">
        <w:rPr>
          <w:lang w:val="es-ES"/>
        </w:rPr>
        <w:t>del nivel básico</w:t>
      </w:r>
      <w:r w:rsidR="00871ADC">
        <w:rPr>
          <w:lang w:val="es-ES"/>
        </w:rPr>
        <w:t xml:space="preserve"> para 2015, por un costo total de 475 000 </w:t>
      </w:r>
      <w:r w:rsidR="00871ADC" w:rsidRPr="00871ADC">
        <w:rPr>
          <w:lang w:val="es-ES"/>
        </w:rPr>
        <w:t>$E</w:t>
      </w:r>
      <w:r w:rsidR="00871ADC">
        <w:rPr>
          <w:lang w:val="es-ES"/>
        </w:rPr>
        <w:t>UA</w:t>
      </w:r>
      <w:r w:rsidR="001E5D72">
        <w:rPr>
          <w:lang w:val="es-ES"/>
        </w:rPr>
        <w:t>, más los gastos de apoyo al organismo</w:t>
      </w:r>
      <w:r w:rsidR="008933CC" w:rsidRPr="0089017E">
        <w:rPr>
          <w:lang w:val="es-ES"/>
        </w:rPr>
        <w:t>.</w:t>
      </w:r>
      <w:r w:rsidR="008933CC" w:rsidRPr="00FC2D13">
        <w:rPr>
          <w:vertAlign w:val="superscript"/>
        </w:rPr>
        <w:footnoteReference w:id="3"/>
      </w:r>
    </w:p>
    <w:p w14:paraId="2AD8632E" w14:textId="59956209" w:rsidR="008933CC" w:rsidRPr="00E4548D" w:rsidRDefault="009503EB" w:rsidP="003C1A5A">
      <w:pPr>
        <w:pStyle w:val="Heading1"/>
        <w:rPr>
          <w:lang w:val="es-ES"/>
        </w:rPr>
      </w:pPr>
      <w:r w:rsidRPr="009503EB">
        <w:rPr>
          <w:lang w:val="es-ES"/>
        </w:rPr>
        <w:t>Con base en el informe de verificación presentado a la 80ª reunión, los niveles de consumo de HCFC verificados entre 2013 y 2016</w:t>
      </w:r>
      <w:r w:rsidR="009D0ED9">
        <w:rPr>
          <w:lang w:val="es-ES"/>
        </w:rPr>
        <w:t xml:space="preserve"> </w:t>
      </w:r>
      <w:r w:rsidRPr="009503EB">
        <w:rPr>
          <w:lang w:val="es-ES"/>
        </w:rPr>
        <w:t xml:space="preserve">fueron muy inferiores al nivel </w:t>
      </w:r>
      <w:r w:rsidR="009D0ED9">
        <w:rPr>
          <w:lang w:val="es-ES"/>
        </w:rPr>
        <w:t xml:space="preserve">básico </w:t>
      </w:r>
      <w:r w:rsidRPr="009503EB">
        <w:rPr>
          <w:lang w:val="es-ES"/>
        </w:rPr>
        <w:t xml:space="preserve">de HCFC establecido para el cumplimiento; en consecuencia, el Gobierno de la República Democrática del Congo </w:t>
      </w:r>
      <w:r w:rsidR="001C3171">
        <w:rPr>
          <w:lang w:val="es-ES"/>
        </w:rPr>
        <w:t>procedió a revisar</w:t>
      </w:r>
      <w:r w:rsidRPr="009503EB">
        <w:rPr>
          <w:lang w:val="es-ES"/>
        </w:rPr>
        <w:t xml:space="preserve"> su punto de partida para las reducciones sostenidas del consumo de HCFC de 58,0 toneladas PAO a 17,0</w:t>
      </w:r>
      <w:r w:rsidR="0060294D">
        <w:rPr>
          <w:lang w:val="es-ES"/>
        </w:rPr>
        <w:t> </w:t>
      </w:r>
      <w:r w:rsidRPr="009503EB">
        <w:rPr>
          <w:lang w:val="es-ES"/>
        </w:rPr>
        <w:t>toneladas PAO.</w:t>
      </w:r>
      <w:r w:rsidR="0051083A">
        <w:rPr>
          <w:lang w:val="es-ES"/>
        </w:rPr>
        <w:t xml:space="preserve"> </w:t>
      </w:r>
      <w:r w:rsidR="0051083A" w:rsidRPr="0051083A">
        <w:rPr>
          <w:lang w:val="es-ES"/>
        </w:rPr>
        <w:t>En consecuencia, el Comité Ejecutivo aprobó un acuerdo actualizado con el Gobierno para reflejar el punto de partida revisado, observando que la financiación total aprobada en principio para la etapa I, tal como se había calculado inicialmente, había sido de 475</w:t>
      </w:r>
      <w:r w:rsidR="00CE06D6">
        <w:rPr>
          <w:lang w:val="es-ES"/>
        </w:rPr>
        <w:t xml:space="preserve"> </w:t>
      </w:r>
      <w:r w:rsidR="0051083A" w:rsidRPr="0051083A">
        <w:rPr>
          <w:lang w:val="es-ES"/>
        </w:rPr>
        <w:t xml:space="preserve">000 </w:t>
      </w:r>
      <w:r w:rsidR="00CE06D6" w:rsidRPr="00871ADC">
        <w:rPr>
          <w:lang w:val="es-ES"/>
        </w:rPr>
        <w:t>$E</w:t>
      </w:r>
      <w:r w:rsidR="00CE06D6">
        <w:rPr>
          <w:lang w:val="es-ES"/>
        </w:rPr>
        <w:t>UA</w:t>
      </w:r>
      <w:r w:rsidR="0051083A" w:rsidRPr="0051083A">
        <w:rPr>
          <w:lang w:val="es-ES"/>
        </w:rPr>
        <w:t>, en lugar de 176</w:t>
      </w:r>
      <w:r w:rsidR="0060294D">
        <w:rPr>
          <w:lang w:val="es-ES"/>
        </w:rPr>
        <w:t> </w:t>
      </w:r>
      <w:r w:rsidR="0051083A" w:rsidRPr="0051083A">
        <w:rPr>
          <w:lang w:val="es-ES"/>
        </w:rPr>
        <w:t>000</w:t>
      </w:r>
      <w:r w:rsidR="0060294D">
        <w:rPr>
          <w:lang w:val="es-ES"/>
        </w:rPr>
        <w:t> </w:t>
      </w:r>
      <w:r w:rsidR="00CE06D6" w:rsidRPr="00871ADC">
        <w:rPr>
          <w:lang w:val="es-ES"/>
        </w:rPr>
        <w:t>$E</w:t>
      </w:r>
      <w:r w:rsidR="00CE06D6">
        <w:rPr>
          <w:lang w:val="es-ES"/>
        </w:rPr>
        <w:t>UA</w:t>
      </w:r>
      <w:r w:rsidR="0051083A" w:rsidRPr="0051083A">
        <w:rPr>
          <w:lang w:val="es-ES"/>
        </w:rPr>
        <w:t xml:space="preserve">, de conformidad con la </w:t>
      </w:r>
      <w:r w:rsidR="00E86F44">
        <w:rPr>
          <w:lang w:val="es-ES"/>
        </w:rPr>
        <w:t>D</w:t>
      </w:r>
      <w:r w:rsidR="0051083A" w:rsidRPr="0051083A">
        <w:rPr>
          <w:lang w:val="es-ES"/>
        </w:rPr>
        <w:t>ecisión 60/44 f) xii); que el saldo máximo de financiación al que podía optar el país para la eliminación total de los HCFC era de 1</w:t>
      </w:r>
      <w:r w:rsidR="00E86F44">
        <w:rPr>
          <w:lang w:val="es-ES"/>
        </w:rPr>
        <w:t> </w:t>
      </w:r>
      <w:r w:rsidR="0051083A" w:rsidRPr="0051083A">
        <w:rPr>
          <w:lang w:val="es-ES"/>
        </w:rPr>
        <w:t>125</w:t>
      </w:r>
      <w:r w:rsidR="00E86F44">
        <w:rPr>
          <w:lang w:val="es-ES"/>
        </w:rPr>
        <w:t xml:space="preserve"> </w:t>
      </w:r>
      <w:r w:rsidR="0051083A" w:rsidRPr="0051083A">
        <w:rPr>
          <w:lang w:val="es-ES"/>
        </w:rPr>
        <w:t xml:space="preserve">000 </w:t>
      </w:r>
      <w:r w:rsidR="00E86F44" w:rsidRPr="00871ADC">
        <w:rPr>
          <w:lang w:val="es-ES"/>
        </w:rPr>
        <w:t>$E</w:t>
      </w:r>
      <w:r w:rsidR="00E86F44">
        <w:rPr>
          <w:lang w:val="es-ES"/>
        </w:rPr>
        <w:t>UA</w:t>
      </w:r>
      <w:r w:rsidR="0051083A" w:rsidRPr="0051083A">
        <w:rPr>
          <w:lang w:val="es-ES"/>
        </w:rPr>
        <w:t xml:space="preserve">, de conformidad con la </w:t>
      </w:r>
      <w:r w:rsidR="00E86F44">
        <w:rPr>
          <w:lang w:val="es-ES"/>
        </w:rPr>
        <w:t>D</w:t>
      </w:r>
      <w:r w:rsidR="0051083A" w:rsidRPr="0051083A">
        <w:rPr>
          <w:lang w:val="es-ES"/>
        </w:rPr>
        <w:t>ecisión 74/50</w:t>
      </w:r>
      <w:r w:rsidR="00256375">
        <w:rPr>
          <w:lang w:val="es-ES"/>
        </w:rPr>
        <w:t xml:space="preserve"> </w:t>
      </w:r>
      <w:r w:rsidR="0051083A" w:rsidRPr="0051083A">
        <w:rPr>
          <w:lang w:val="es-ES"/>
        </w:rPr>
        <w:t>c)</w:t>
      </w:r>
      <w:r w:rsidR="00256375">
        <w:rPr>
          <w:lang w:val="es-ES"/>
        </w:rPr>
        <w:t xml:space="preserve"> </w:t>
      </w:r>
      <w:r w:rsidR="0051083A" w:rsidRPr="0051083A">
        <w:rPr>
          <w:lang w:val="es-ES"/>
        </w:rPr>
        <w:t>xii); y que los ajustes de financiación necesarios se harían durante la aprobación de la etapa II del plan de gestión de la eliminación de los HCFC para el país</w:t>
      </w:r>
      <w:r w:rsidR="008933CC" w:rsidRPr="00F109EB">
        <w:rPr>
          <w:lang w:val="es-ES"/>
        </w:rPr>
        <w:t>.</w:t>
      </w:r>
      <w:r w:rsidR="008933CC" w:rsidRPr="00FC2D13">
        <w:rPr>
          <w:vertAlign w:val="superscript"/>
        </w:rPr>
        <w:footnoteReference w:id="4"/>
      </w:r>
    </w:p>
    <w:p w14:paraId="4A619EB2" w14:textId="11DDE355" w:rsidR="008933CC" w:rsidRPr="00F21B49" w:rsidRDefault="00F21B49" w:rsidP="003C1A5A">
      <w:pPr>
        <w:pStyle w:val="Heading1"/>
        <w:rPr>
          <w:lang w:val="es-ES"/>
        </w:rPr>
      </w:pPr>
      <w:r w:rsidRPr="00F21B49">
        <w:rPr>
          <w:lang w:val="es-ES"/>
        </w:rPr>
        <w:t xml:space="preserve">Posteriormente, en la 84ª reunión, el Comité Ejecutivo aprobó una solicitud presentada por el Gobierno para prorrogar la etapa I del </w:t>
      </w:r>
      <w:r w:rsidR="00752DA0">
        <w:rPr>
          <w:lang w:val="es-ES"/>
        </w:rPr>
        <w:t>PGEH</w:t>
      </w:r>
      <w:r w:rsidRPr="00F21B49">
        <w:rPr>
          <w:lang w:val="es-ES"/>
        </w:rPr>
        <w:t xml:space="preserve"> hasta el 30 de junio de 2020, a fin de permitir al PNUMA completar las actividades restantes en el sector de servicios, observando la difícil situación del paí</w:t>
      </w:r>
      <w:r w:rsidR="00752DA0">
        <w:rPr>
          <w:lang w:val="es-ES"/>
        </w:rPr>
        <w:t>s</w:t>
      </w:r>
      <w:r w:rsidR="008933CC" w:rsidRPr="00752DA0">
        <w:rPr>
          <w:lang w:val="es-ES"/>
        </w:rPr>
        <w:t>.</w:t>
      </w:r>
      <w:r w:rsidR="008933CC" w:rsidRPr="00FC2D13">
        <w:rPr>
          <w:rStyle w:val="FootnoteReference"/>
        </w:rPr>
        <w:footnoteReference w:id="5"/>
      </w:r>
    </w:p>
    <w:p w14:paraId="1E11FB57" w14:textId="6D0EE34F" w:rsidR="008933CC" w:rsidRPr="00F109EB" w:rsidRDefault="00F109EB" w:rsidP="003C1A5A">
      <w:pPr>
        <w:spacing w:after="240"/>
        <w:rPr>
          <w:lang w:val="es-ES"/>
        </w:rPr>
      </w:pPr>
      <w:r w:rsidRPr="000D4676">
        <w:rPr>
          <w:u w:val="single"/>
          <w:lang w:val="es-ES"/>
        </w:rPr>
        <w:t>Informe sobre el</w:t>
      </w:r>
      <w:r w:rsidRPr="00F109EB">
        <w:rPr>
          <w:u w:val="single"/>
          <w:lang w:val="es-ES"/>
        </w:rPr>
        <w:t xml:space="preserve"> consum</w:t>
      </w:r>
      <w:r>
        <w:rPr>
          <w:u w:val="single"/>
          <w:lang w:val="es-ES"/>
        </w:rPr>
        <w:t>o</w:t>
      </w:r>
      <w:r w:rsidRPr="00F109EB">
        <w:rPr>
          <w:u w:val="single"/>
          <w:lang w:val="es-ES"/>
        </w:rPr>
        <w:t xml:space="preserve"> de los </w:t>
      </w:r>
      <w:r w:rsidR="008933CC" w:rsidRPr="00F109EB">
        <w:rPr>
          <w:u w:val="single"/>
          <w:lang w:val="es-ES"/>
        </w:rPr>
        <w:t>HCFC</w:t>
      </w:r>
    </w:p>
    <w:p w14:paraId="71376182" w14:textId="4AD0D066" w:rsidR="008933CC" w:rsidRPr="00066AEC" w:rsidRDefault="00066AEC" w:rsidP="003C1A5A">
      <w:pPr>
        <w:widowControl w:val="0"/>
        <w:numPr>
          <w:ilvl w:val="0"/>
          <w:numId w:val="1"/>
        </w:numPr>
        <w:spacing w:after="240"/>
        <w:outlineLvl w:val="0"/>
        <w:rPr>
          <w:lang w:val="es-ES"/>
        </w:rPr>
      </w:pPr>
      <w:r w:rsidRPr="00066AEC">
        <w:rPr>
          <w:lang w:val="es-ES"/>
        </w:rPr>
        <w:t>El Gobierno de la República Democrática del Congo informó de un consumo de</w:t>
      </w:r>
      <w:r w:rsidR="0060294D">
        <w:rPr>
          <w:lang w:val="es-ES"/>
        </w:rPr>
        <w:t> </w:t>
      </w:r>
      <w:r w:rsidRPr="00066AEC">
        <w:rPr>
          <w:lang w:val="es-ES"/>
        </w:rPr>
        <w:t>2,09</w:t>
      </w:r>
      <w:r w:rsidR="0060294D">
        <w:rPr>
          <w:lang w:val="es-ES"/>
        </w:rPr>
        <w:t> </w:t>
      </w:r>
      <w:r w:rsidRPr="00066AEC">
        <w:rPr>
          <w:lang w:val="es-ES"/>
        </w:rPr>
        <w:t>toneladas</w:t>
      </w:r>
      <w:r w:rsidR="0060294D">
        <w:rPr>
          <w:lang w:val="es-ES"/>
        </w:rPr>
        <w:t> </w:t>
      </w:r>
      <w:r w:rsidRPr="00066AEC">
        <w:rPr>
          <w:lang w:val="es-ES"/>
        </w:rPr>
        <w:t xml:space="preserve">PAO de HCFC en 2020, lo que supone un 97% por debajo </w:t>
      </w:r>
      <w:r w:rsidR="007773E7">
        <w:rPr>
          <w:lang w:val="es-ES"/>
        </w:rPr>
        <w:t>del nivel básico</w:t>
      </w:r>
      <w:r w:rsidRPr="00066AEC">
        <w:rPr>
          <w:lang w:val="es-ES"/>
        </w:rPr>
        <w:t xml:space="preserve"> de HCFC para el cumplimiento y un 88% por debajo del punto de partida revisado de 17,0 toneladas PAO. El consumo de HCFC para 2016-2020 se muestra en el Cuadro 1</w:t>
      </w:r>
      <w:r w:rsidR="008933CC" w:rsidRPr="00FC2C06">
        <w:rPr>
          <w:lang w:val="es-ES"/>
        </w:rPr>
        <w:t>.</w:t>
      </w:r>
    </w:p>
    <w:p w14:paraId="74A4AA44" w14:textId="139A94F6" w:rsidR="008933CC" w:rsidRPr="00496105" w:rsidRDefault="00496105" w:rsidP="008933CC">
      <w:pPr>
        <w:keepNext/>
        <w:rPr>
          <w:b/>
          <w:lang w:val="es-ES"/>
        </w:rPr>
      </w:pPr>
      <w:r w:rsidRPr="00257E3C">
        <w:rPr>
          <w:b/>
          <w:lang w:val="es-ES"/>
        </w:rPr>
        <w:lastRenderedPageBreak/>
        <w:t>Cuadro</w:t>
      </w:r>
      <w:r w:rsidR="008933CC" w:rsidRPr="00257E3C">
        <w:rPr>
          <w:b/>
          <w:lang w:val="es-ES"/>
        </w:rPr>
        <w:t xml:space="preserve"> 1. </w:t>
      </w:r>
      <w:r w:rsidRPr="00496105">
        <w:rPr>
          <w:b/>
          <w:lang w:val="es-ES"/>
        </w:rPr>
        <w:t xml:space="preserve">Consumo de </w:t>
      </w:r>
      <w:r w:rsidR="008933CC" w:rsidRPr="00496105">
        <w:rPr>
          <w:b/>
          <w:lang w:val="es-ES"/>
        </w:rPr>
        <w:t xml:space="preserve">HCFC </w:t>
      </w:r>
      <w:r w:rsidRPr="00496105">
        <w:rPr>
          <w:b/>
          <w:lang w:val="es-ES"/>
        </w:rPr>
        <w:t>en la República Democrática del</w:t>
      </w:r>
      <w:r w:rsidR="008933CC" w:rsidRPr="00496105">
        <w:rPr>
          <w:b/>
          <w:lang w:val="es-ES"/>
        </w:rPr>
        <w:t xml:space="preserve"> Congo</w:t>
      </w:r>
      <w:r w:rsidR="008933CC" w:rsidRPr="00496105">
        <w:rPr>
          <w:lang w:val="es-ES"/>
        </w:rPr>
        <w:t xml:space="preserve"> </w:t>
      </w:r>
      <w:r w:rsidR="008933CC" w:rsidRPr="00496105">
        <w:rPr>
          <w:b/>
          <w:lang w:val="es-ES"/>
        </w:rPr>
        <w:t>(</w:t>
      </w:r>
      <w:r w:rsidRPr="00496105">
        <w:rPr>
          <w:b/>
          <w:lang w:val="es-ES"/>
        </w:rPr>
        <w:t>datos</w:t>
      </w:r>
      <w:r>
        <w:rPr>
          <w:b/>
          <w:lang w:val="es-ES"/>
        </w:rPr>
        <w:t xml:space="preserve"> de </w:t>
      </w:r>
      <w:r w:rsidR="008933CC" w:rsidRPr="00496105">
        <w:rPr>
          <w:b/>
          <w:lang w:val="es-ES"/>
        </w:rPr>
        <w:t xml:space="preserve">2016-2020 </w:t>
      </w:r>
      <w:r w:rsidR="00CB3F37">
        <w:rPr>
          <w:b/>
          <w:lang w:val="es-ES"/>
        </w:rPr>
        <w:t>con arreglo al Artículo</w:t>
      </w:r>
      <w:r w:rsidR="008933CC" w:rsidRPr="00496105">
        <w:rPr>
          <w:b/>
          <w:lang w:val="es-ES"/>
        </w:rPr>
        <w:t> 7)</w:t>
      </w:r>
    </w:p>
    <w:tbl>
      <w:tblPr>
        <w:tblW w:w="9360" w:type="dxa"/>
        <w:tblLook w:val="04A0" w:firstRow="1" w:lastRow="0" w:firstColumn="1" w:lastColumn="0" w:noHBand="0" w:noVBand="1"/>
      </w:tblPr>
      <w:tblGrid>
        <w:gridCol w:w="2315"/>
        <w:gridCol w:w="1149"/>
        <w:gridCol w:w="1151"/>
        <w:gridCol w:w="1149"/>
        <w:gridCol w:w="1151"/>
        <w:gridCol w:w="1149"/>
        <w:gridCol w:w="1296"/>
      </w:tblGrid>
      <w:tr w:rsidR="006A2201" w:rsidRPr="00FC2D13" w14:paraId="128246B9" w14:textId="77777777" w:rsidTr="001B68E7">
        <w:trPr>
          <w:trHeight w:val="248"/>
          <w:tblHeader/>
        </w:trPr>
        <w:tc>
          <w:tcPr>
            <w:tcW w:w="124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C24DE39" w14:textId="77777777" w:rsidR="008933CC" w:rsidRPr="00FC2D13" w:rsidRDefault="008933CC" w:rsidP="001B68E7">
            <w:pPr>
              <w:widowControl w:val="0"/>
              <w:jc w:val="left"/>
              <w:rPr>
                <w:b/>
                <w:color w:val="000000"/>
                <w:sz w:val="21"/>
                <w:szCs w:val="21"/>
              </w:rPr>
            </w:pPr>
            <w:r w:rsidRPr="00FC2D13">
              <w:rPr>
                <w:b/>
                <w:color w:val="000000"/>
                <w:sz w:val="21"/>
                <w:szCs w:val="21"/>
              </w:rPr>
              <w:t>HCFC-22</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D6E23B8" w14:textId="77777777" w:rsidR="008933CC" w:rsidRPr="00FC2D13" w:rsidRDefault="008933CC" w:rsidP="001B68E7">
            <w:pPr>
              <w:widowControl w:val="0"/>
              <w:jc w:val="center"/>
              <w:rPr>
                <w:b/>
                <w:color w:val="000000"/>
                <w:sz w:val="21"/>
                <w:szCs w:val="21"/>
              </w:rPr>
            </w:pPr>
            <w:r w:rsidRPr="00FC2D13">
              <w:rPr>
                <w:b/>
                <w:color w:val="000000"/>
                <w:sz w:val="21"/>
                <w:szCs w:val="21"/>
              </w:rPr>
              <w:t>2016</w:t>
            </w:r>
          </w:p>
        </w:tc>
        <w:tc>
          <w:tcPr>
            <w:tcW w:w="626" w:type="pct"/>
            <w:tcBorders>
              <w:top w:val="single" w:sz="4" w:space="0" w:color="auto"/>
              <w:left w:val="nil"/>
              <w:bottom w:val="single" w:sz="4" w:space="0" w:color="auto"/>
              <w:right w:val="single" w:sz="4" w:space="0" w:color="auto"/>
            </w:tcBorders>
          </w:tcPr>
          <w:p w14:paraId="655D4327" w14:textId="77777777" w:rsidR="008933CC" w:rsidRPr="00FC2D13" w:rsidRDefault="008933CC" w:rsidP="001B68E7">
            <w:pPr>
              <w:widowControl w:val="0"/>
              <w:jc w:val="center"/>
              <w:rPr>
                <w:b/>
                <w:color w:val="000000"/>
                <w:sz w:val="21"/>
                <w:szCs w:val="21"/>
              </w:rPr>
            </w:pPr>
            <w:r w:rsidRPr="00FC2D13">
              <w:rPr>
                <w:b/>
                <w:color w:val="000000"/>
                <w:sz w:val="21"/>
                <w:szCs w:val="21"/>
              </w:rPr>
              <w:t>2017</w:t>
            </w:r>
          </w:p>
        </w:tc>
        <w:tc>
          <w:tcPr>
            <w:tcW w:w="625" w:type="pct"/>
            <w:tcBorders>
              <w:top w:val="single" w:sz="4" w:space="0" w:color="auto"/>
              <w:left w:val="single" w:sz="4" w:space="0" w:color="auto"/>
              <w:bottom w:val="single" w:sz="4" w:space="0" w:color="auto"/>
              <w:right w:val="single" w:sz="4" w:space="0" w:color="auto"/>
            </w:tcBorders>
          </w:tcPr>
          <w:p w14:paraId="45E60BEE" w14:textId="77777777" w:rsidR="008933CC" w:rsidRPr="00FC2D13" w:rsidRDefault="008933CC" w:rsidP="001B68E7">
            <w:pPr>
              <w:widowControl w:val="0"/>
              <w:jc w:val="center"/>
              <w:rPr>
                <w:b/>
                <w:color w:val="000000"/>
                <w:sz w:val="21"/>
                <w:szCs w:val="21"/>
              </w:rPr>
            </w:pPr>
            <w:r w:rsidRPr="00FC2D13">
              <w:rPr>
                <w:b/>
                <w:color w:val="000000"/>
                <w:sz w:val="21"/>
                <w:szCs w:val="21"/>
              </w:rPr>
              <w:t>2018</w:t>
            </w:r>
          </w:p>
        </w:tc>
        <w:tc>
          <w:tcPr>
            <w:tcW w:w="626" w:type="pct"/>
            <w:tcBorders>
              <w:top w:val="single" w:sz="4" w:space="0" w:color="auto"/>
              <w:left w:val="single" w:sz="4" w:space="0" w:color="auto"/>
              <w:bottom w:val="single" w:sz="4" w:space="0" w:color="auto"/>
              <w:right w:val="single" w:sz="4" w:space="0" w:color="auto"/>
            </w:tcBorders>
          </w:tcPr>
          <w:p w14:paraId="25647E5B" w14:textId="77777777" w:rsidR="008933CC" w:rsidRPr="00FC2D13" w:rsidRDefault="008933CC" w:rsidP="001B68E7">
            <w:pPr>
              <w:widowControl w:val="0"/>
              <w:jc w:val="center"/>
              <w:rPr>
                <w:b/>
                <w:color w:val="000000"/>
                <w:sz w:val="21"/>
                <w:szCs w:val="21"/>
              </w:rPr>
            </w:pPr>
            <w:r w:rsidRPr="00FC2D13">
              <w:rPr>
                <w:b/>
                <w:color w:val="000000"/>
                <w:sz w:val="21"/>
                <w:szCs w:val="21"/>
              </w:rPr>
              <w:t>2019</w:t>
            </w:r>
          </w:p>
        </w:tc>
        <w:tc>
          <w:tcPr>
            <w:tcW w:w="625" w:type="pct"/>
            <w:tcBorders>
              <w:top w:val="single" w:sz="4" w:space="0" w:color="auto"/>
              <w:left w:val="single" w:sz="4" w:space="0" w:color="auto"/>
              <w:bottom w:val="single" w:sz="4" w:space="0" w:color="auto"/>
              <w:right w:val="single" w:sz="4" w:space="0" w:color="auto"/>
            </w:tcBorders>
            <w:vAlign w:val="center"/>
          </w:tcPr>
          <w:p w14:paraId="1B503B2F" w14:textId="77777777" w:rsidR="008933CC" w:rsidRPr="00FC2D13" w:rsidRDefault="008933CC" w:rsidP="001B68E7">
            <w:pPr>
              <w:widowControl w:val="0"/>
              <w:jc w:val="center"/>
              <w:rPr>
                <w:b/>
                <w:color w:val="000000"/>
                <w:sz w:val="21"/>
                <w:szCs w:val="21"/>
              </w:rPr>
            </w:pPr>
            <w:r w:rsidRPr="00FC2D13">
              <w:rPr>
                <w:b/>
                <w:color w:val="000000"/>
                <w:sz w:val="21"/>
                <w:szCs w:val="21"/>
              </w:rPr>
              <w:t>2020</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308B" w14:textId="74E513F2" w:rsidR="008933CC" w:rsidRPr="00FC2D13" w:rsidRDefault="00CB3F37" w:rsidP="001B68E7">
            <w:pPr>
              <w:widowControl w:val="0"/>
              <w:jc w:val="center"/>
              <w:rPr>
                <w:b/>
                <w:color w:val="000000"/>
                <w:sz w:val="21"/>
                <w:szCs w:val="21"/>
              </w:rPr>
            </w:pPr>
            <w:proofErr w:type="spellStart"/>
            <w:r>
              <w:rPr>
                <w:b/>
                <w:color w:val="000000"/>
                <w:sz w:val="21"/>
                <w:szCs w:val="21"/>
              </w:rPr>
              <w:t>Nível</w:t>
            </w:r>
            <w:proofErr w:type="spellEnd"/>
            <w:r>
              <w:rPr>
                <w:b/>
                <w:color w:val="000000"/>
                <w:sz w:val="21"/>
                <w:szCs w:val="21"/>
              </w:rPr>
              <w:t xml:space="preserve"> </w:t>
            </w:r>
            <w:proofErr w:type="spellStart"/>
            <w:r>
              <w:rPr>
                <w:b/>
                <w:color w:val="000000"/>
                <w:sz w:val="21"/>
                <w:szCs w:val="21"/>
              </w:rPr>
              <w:t>bá</w:t>
            </w:r>
            <w:r w:rsidR="006A2201">
              <w:rPr>
                <w:b/>
                <w:color w:val="000000"/>
                <w:sz w:val="21"/>
                <w:szCs w:val="21"/>
              </w:rPr>
              <w:t>sico</w:t>
            </w:r>
            <w:proofErr w:type="spellEnd"/>
          </w:p>
        </w:tc>
      </w:tr>
      <w:tr w:rsidR="006A2201" w:rsidRPr="00FC2D13" w14:paraId="39B94EA0" w14:textId="77777777" w:rsidTr="001B68E7">
        <w:trPr>
          <w:trHeight w:val="240"/>
        </w:trPr>
        <w:tc>
          <w:tcPr>
            <w:tcW w:w="1248"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ADFF55C" w14:textId="3B79C2C9" w:rsidR="008933CC" w:rsidRPr="00FC2D13" w:rsidRDefault="00CB3F37" w:rsidP="001B68E7">
            <w:pPr>
              <w:widowControl w:val="0"/>
              <w:jc w:val="left"/>
              <w:rPr>
                <w:color w:val="000000"/>
                <w:sz w:val="21"/>
                <w:szCs w:val="21"/>
              </w:rPr>
            </w:pPr>
            <w:proofErr w:type="spellStart"/>
            <w:r>
              <w:rPr>
                <w:color w:val="000000"/>
                <w:sz w:val="21"/>
                <w:szCs w:val="21"/>
              </w:rPr>
              <w:t>Toneladas</w:t>
            </w:r>
            <w:proofErr w:type="spellEnd"/>
            <w:r>
              <w:rPr>
                <w:color w:val="000000"/>
                <w:sz w:val="21"/>
                <w:szCs w:val="21"/>
              </w:rPr>
              <w:t xml:space="preserve"> </w:t>
            </w:r>
            <w:proofErr w:type="spellStart"/>
            <w:r>
              <w:rPr>
                <w:color w:val="000000"/>
                <w:sz w:val="21"/>
                <w:szCs w:val="21"/>
              </w:rPr>
              <w:t>métricas</w:t>
            </w:r>
            <w:proofErr w:type="spellEnd"/>
            <w:r w:rsidR="008933CC" w:rsidRPr="00FC2D13">
              <w:rPr>
                <w:color w:val="000000"/>
                <w:sz w:val="21"/>
                <w:szCs w:val="21"/>
              </w:rPr>
              <w:t xml:space="preserve"> (</w:t>
            </w:r>
            <w:r>
              <w:rPr>
                <w:color w:val="000000"/>
                <w:sz w:val="21"/>
                <w:szCs w:val="21"/>
              </w:rPr>
              <w:t>tm</w:t>
            </w:r>
            <w:r w:rsidR="008933CC" w:rsidRPr="00FC2D13">
              <w:rPr>
                <w:color w:val="000000"/>
                <w:sz w:val="21"/>
                <w:szCs w:val="21"/>
              </w:rPr>
              <w:t>)</w:t>
            </w:r>
          </w:p>
        </w:tc>
        <w:tc>
          <w:tcPr>
            <w:tcW w:w="625" w:type="pct"/>
            <w:tcBorders>
              <w:top w:val="nil"/>
              <w:left w:val="nil"/>
              <w:bottom w:val="single" w:sz="4" w:space="0" w:color="auto"/>
              <w:right w:val="single" w:sz="4" w:space="0" w:color="auto"/>
            </w:tcBorders>
            <w:shd w:val="clear" w:color="auto" w:fill="auto"/>
            <w:noWrap/>
            <w:tcMar>
              <w:left w:w="115" w:type="dxa"/>
              <w:right w:w="230" w:type="dxa"/>
            </w:tcMar>
          </w:tcPr>
          <w:p w14:paraId="6CD48F34" w14:textId="60032EDE" w:rsidR="008933CC" w:rsidRPr="00FC2D13" w:rsidRDefault="008933CC" w:rsidP="001B68E7">
            <w:pPr>
              <w:jc w:val="right"/>
              <w:rPr>
                <w:sz w:val="21"/>
                <w:szCs w:val="21"/>
              </w:rPr>
            </w:pPr>
            <w:r w:rsidRPr="00FC2D13">
              <w:rPr>
                <w:color w:val="000000"/>
                <w:sz w:val="21"/>
                <w:szCs w:val="21"/>
              </w:rPr>
              <w:t>170</w:t>
            </w:r>
            <w:r w:rsidR="006A2201">
              <w:rPr>
                <w:color w:val="000000"/>
                <w:sz w:val="21"/>
                <w:szCs w:val="21"/>
              </w:rPr>
              <w:t>,</w:t>
            </w:r>
            <w:r w:rsidRPr="00FC2D13">
              <w:rPr>
                <w:color w:val="000000"/>
                <w:sz w:val="21"/>
                <w:szCs w:val="21"/>
              </w:rPr>
              <w:t>00</w:t>
            </w:r>
          </w:p>
        </w:tc>
        <w:tc>
          <w:tcPr>
            <w:tcW w:w="626" w:type="pct"/>
            <w:tcBorders>
              <w:top w:val="single" w:sz="4" w:space="0" w:color="auto"/>
              <w:left w:val="nil"/>
              <w:bottom w:val="single" w:sz="4" w:space="0" w:color="auto"/>
              <w:right w:val="single" w:sz="4" w:space="0" w:color="auto"/>
            </w:tcBorders>
            <w:tcMar>
              <w:left w:w="115" w:type="dxa"/>
              <w:right w:w="230" w:type="dxa"/>
            </w:tcMar>
          </w:tcPr>
          <w:p w14:paraId="3186B45A" w14:textId="63CECE4B" w:rsidR="008933CC" w:rsidRPr="00FC2D13" w:rsidRDefault="008933CC" w:rsidP="001B68E7">
            <w:pPr>
              <w:jc w:val="right"/>
              <w:rPr>
                <w:sz w:val="21"/>
                <w:szCs w:val="21"/>
              </w:rPr>
            </w:pPr>
            <w:r w:rsidRPr="00FC2D13">
              <w:rPr>
                <w:sz w:val="21"/>
                <w:szCs w:val="21"/>
              </w:rPr>
              <w:t>110</w:t>
            </w:r>
            <w:r w:rsidR="006A2201">
              <w:rPr>
                <w:sz w:val="21"/>
                <w:szCs w:val="21"/>
              </w:rPr>
              <w:t>,</w:t>
            </w:r>
            <w:r w:rsidRPr="00FC2D13">
              <w:rPr>
                <w:sz w:val="21"/>
                <w:szCs w:val="21"/>
              </w:rPr>
              <w:t>09</w:t>
            </w:r>
          </w:p>
        </w:tc>
        <w:tc>
          <w:tcPr>
            <w:tcW w:w="625" w:type="pct"/>
            <w:tcBorders>
              <w:top w:val="nil"/>
              <w:left w:val="single" w:sz="4" w:space="0" w:color="auto"/>
              <w:bottom w:val="single" w:sz="4" w:space="0" w:color="auto"/>
              <w:right w:val="single" w:sz="4" w:space="0" w:color="auto"/>
            </w:tcBorders>
            <w:tcMar>
              <w:left w:w="115" w:type="dxa"/>
              <w:right w:w="230" w:type="dxa"/>
            </w:tcMar>
          </w:tcPr>
          <w:p w14:paraId="17C1C148" w14:textId="443A3075" w:rsidR="008933CC" w:rsidRPr="00FC2D13" w:rsidRDefault="008933CC" w:rsidP="001B68E7">
            <w:pPr>
              <w:jc w:val="right"/>
              <w:rPr>
                <w:sz w:val="21"/>
                <w:szCs w:val="21"/>
              </w:rPr>
            </w:pPr>
            <w:r w:rsidRPr="00FC2D13">
              <w:rPr>
                <w:sz w:val="21"/>
                <w:szCs w:val="21"/>
              </w:rPr>
              <w:t>111</w:t>
            </w:r>
            <w:r w:rsidR="006A2201">
              <w:rPr>
                <w:sz w:val="21"/>
                <w:szCs w:val="21"/>
              </w:rPr>
              <w:t>,</w:t>
            </w:r>
            <w:r w:rsidRPr="00FC2D13">
              <w:rPr>
                <w:sz w:val="21"/>
                <w:szCs w:val="21"/>
              </w:rPr>
              <w:t>09</w:t>
            </w:r>
          </w:p>
        </w:tc>
        <w:tc>
          <w:tcPr>
            <w:tcW w:w="626" w:type="pct"/>
            <w:tcBorders>
              <w:top w:val="nil"/>
              <w:left w:val="single" w:sz="4" w:space="0" w:color="auto"/>
              <w:bottom w:val="single" w:sz="4" w:space="0" w:color="auto"/>
              <w:right w:val="single" w:sz="4" w:space="0" w:color="auto"/>
            </w:tcBorders>
            <w:tcMar>
              <w:left w:w="115" w:type="dxa"/>
              <w:right w:w="230" w:type="dxa"/>
            </w:tcMar>
          </w:tcPr>
          <w:p w14:paraId="7F209FCC" w14:textId="4DD816C3" w:rsidR="008933CC" w:rsidRPr="00FC2D13" w:rsidRDefault="008933CC" w:rsidP="001B68E7">
            <w:pPr>
              <w:widowControl w:val="0"/>
              <w:jc w:val="right"/>
              <w:rPr>
                <w:rFonts w:eastAsiaTheme="minorHAnsi"/>
                <w:color w:val="000000"/>
                <w:sz w:val="21"/>
                <w:szCs w:val="21"/>
              </w:rPr>
            </w:pPr>
            <w:r w:rsidRPr="00FC2D13">
              <w:rPr>
                <w:sz w:val="21"/>
                <w:szCs w:val="21"/>
              </w:rPr>
              <w:t>85</w:t>
            </w:r>
            <w:r w:rsidR="006A2201">
              <w:rPr>
                <w:sz w:val="21"/>
                <w:szCs w:val="21"/>
              </w:rPr>
              <w:t>,</w:t>
            </w:r>
            <w:r w:rsidRPr="00FC2D13">
              <w:rPr>
                <w:sz w:val="21"/>
                <w:szCs w:val="21"/>
              </w:rPr>
              <w:t>00</w:t>
            </w:r>
          </w:p>
        </w:tc>
        <w:tc>
          <w:tcPr>
            <w:tcW w:w="625" w:type="pct"/>
            <w:tcBorders>
              <w:top w:val="nil"/>
              <w:left w:val="single" w:sz="4" w:space="0" w:color="auto"/>
              <w:bottom w:val="single" w:sz="4" w:space="0" w:color="auto"/>
              <w:right w:val="single" w:sz="4" w:space="0" w:color="auto"/>
            </w:tcBorders>
            <w:tcMar>
              <w:left w:w="115" w:type="dxa"/>
              <w:right w:w="230" w:type="dxa"/>
            </w:tcMar>
            <w:vAlign w:val="bottom"/>
          </w:tcPr>
          <w:p w14:paraId="219F619A" w14:textId="4A5025E1" w:rsidR="008933CC" w:rsidRPr="00FC2D13" w:rsidRDefault="008933CC" w:rsidP="001B68E7">
            <w:pPr>
              <w:jc w:val="right"/>
              <w:rPr>
                <w:color w:val="000000"/>
                <w:sz w:val="21"/>
                <w:szCs w:val="21"/>
              </w:rPr>
            </w:pPr>
            <w:r w:rsidRPr="00FC2D13">
              <w:rPr>
                <w:sz w:val="21"/>
                <w:szCs w:val="21"/>
              </w:rPr>
              <w:t>38</w:t>
            </w:r>
            <w:r w:rsidR="006A2201">
              <w:rPr>
                <w:sz w:val="21"/>
                <w:szCs w:val="21"/>
              </w:rPr>
              <w:t>,</w:t>
            </w:r>
            <w:r w:rsidRPr="00FC2D13">
              <w:rPr>
                <w:sz w:val="21"/>
                <w:szCs w:val="21"/>
              </w:rPr>
              <w:t>00</w:t>
            </w:r>
          </w:p>
        </w:tc>
        <w:tc>
          <w:tcPr>
            <w:tcW w:w="626" w:type="pct"/>
            <w:tcBorders>
              <w:top w:val="nil"/>
              <w:left w:val="single" w:sz="4" w:space="0" w:color="auto"/>
              <w:bottom w:val="single" w:sz="4" w:space="0" w:color="auto"/>
              <w:right w:val="single" w:sz="4" w:space="0" w:color="auto"/>
            </w:tcBorders>
            <w:noWrap/>
            <w:tcMar>
              <w:left w:w="115" w:type="dxa"/>
              <w:right w:w="230" w:type="dxa"/>
            </w:tcMar>
            <w:vAlign w:val="center"/>
          </w:tcPr>
          <w:p w14:paraId="7A701A99" w14:textId="06DF9644" w:rsidR="008933CC" w:rsidRPr="00FC2D13" w:rsidRDefault="008933CC" w:rsidP="001B68E7">
            <w:pPr>
              <w:widowControl w:val="0"/>
              <w:jc w:val="right"/>
              <w:rPr>
                <w:color w:val="000000"/>
                <w:sz w:val="21"/>
                <w:szCs w:val="21"/>
              </w:rPr>
            </w:pPr>
            <w:r w:rsidRPr="00FC2D13">
              <w:rPr>
                <w:color w:val="000000"/>
                <w:sz w:val="21"/>
                <w:szCs w:val="21"/>
              </w:rPr>
              <w:t>1,203</w:t>
            </w:r>
            <w:r w:rsidR="006A2201">
              <w:rPr>
                <w:color w:val="000000"/>
                <w:sz w:val="21"/>
                <w:szCs w:val="21"/>
              </w:rPr>
              <w:t>,</w:t>
            </w:r>
            <w:r w:rsidRPr="00FC2D13">
              <w:rPr>
                <w:color w:val="000000"/>
                <w:sz w:val="21"/>
                <w:szCs w:val="21"/>
              </w:rPr>
              <w:t>82</w:t>
            </w:r>
          </w:p>
        </w:tc>
      </w:tr>
      <w:tr w:rsidR="006A2201" w:rsidRPr="00FC2D13" w14:paraId="135863FB" w14:textId="77777777" w:rsidTr="001B68E7">
        <w:trPr>
          <w:trHeight w:val="40"/>
        </w:trPr>
        <w:tc>
          <w:tcPr>
            <w:tcW w:w="1248"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50A3176" w14:textId="4D8E546F" w:rsidR="008933CC" w:rsidRPr="00FC2D13" w:rsidRDefault="00CB3F37" w:rsidP="001B68E7">
            <w:pPr>
              <w:widowControl w:val="0"/>
              <w:jc w:val="left"/>
              <w:rPr>
                <w:color w:val="000000"/>
                <w:sz w:val="21"/>
                <w:szCs w:val="21"/>
              </w:rPr>
            </w:pPr>
            <w:proofErr w:type="spellStart"/>
            <w:r>
              <w:rPr>
                <w:color w:val="000000"/>
                <w:sz w:val="21"/>
                <w:szCs w:val="21"/>
              </w:rPr>
              <w:t>Toneladas</w:t>
            </w:r>
            <w:proofErr w:type="spellEnd"/>
            <w:r>
              <w:rPr>
                <w:color w:val="000000"/>
                <w:sz w:val="21"/>
                <w:szCs w:val="21"/>
              </w:rPr>
              <w:t xml:space="preserve"> PAO</w:t>
            </w:r>
          </w:p>
        </w:tc>
        <w:tc>
          <w:tcPr>
            <w:tcW w:w="625" w:type="pct"/>
            <w:tcBorders>
              <w:top w:val="single" w:sz="4" w:space="0" w:color="auto"/>
              <w:left w:val="nil"/>
              <w:bottom w:val="single" w:sz="4" w:space="0" w:color="auto"/>
              <w:right w:val="single" w:sz="4" w:space="0" w:color="auto"/>
            </w:tcBorders>
            <w:shd w:val="clear" w:color="auto" w:fill="auto"/>
            <w:noWrap/>
            <w:tcMar>
              <w:left w:w="115" w:type="dxa"/>
              <w:right w:w="230" w:type="dxa"/>
            </w:tcMar>
          </w:tcPr>
          <w:p w14:paraId="43182D78" w14:textId="3839DF63" w:rsidR="008933CC" w:rsidRPr="00FC2D13" w:rsidRDefault="008933CC" w:rsidP="001B68E7">
            <w:pPr>
              <w:jc w:val="right"/>
              <w:rPr>
                <w:sz w:val="21"/>
                <w:szCs w:val="21"/>
              </w:rPr>
            </w:pPr>
            <w:r w:rsidRPr="00FC2D13">
              <w:rPr>
                <w:color w:val="000000"/>
                <w:sz w:val="21"/>
                <w:szCs w:val="21"/>
              </w:rPr>
              <w:t>9</w:t>
            </w:r>
            <w:r w:rsidR="006A2201">
              <w:rPr>
                <w:color w:val="000000"/>
                <w:sz w:val="21"/>
                <w:szCs w:val="21"/>
              </w:rPr>
              <w:t>,</w:t>
            </w:r>
            <w:r w:rsidRPr="00FC2D13">
              <w:rPr>
                <w:color w:val="000000"/>
                <w:sz w:val="21"/>
                <w:szCs w:val="21"/>
              </w:rPr>
              <w:t>35</w:t>
            </w:r>
          </w:p>
        </w:tc>
        <w:tc>
          <w:tcPr>
            <w:tcW w:w="626" w:type="pct"/>
            <w:tcBorders>
              <w:top w:val="single" w:sz="4" w:space="0" w:color="auto"/>
              <w:left w:val="nil"/>
              <w:bottom w:val="single" w:sz="4" w:space="0" w:color="auto"/>
              <w:right w:val="single" w:sz="4" w:space="0" w:color="auto"/>
            </w:tcBorders>
            <w:tcMar>
              <w:left w:w="115" w:type="dxa"/>
              <w:right w:w="230" w:type="dxa"/>
            </w:tcMar>
          </w:tcPr>
          <w:p w14:paraId="119537E0" w14:textId="4D1CBEFA" w:rsidR="008933CC" w:rsidRPr="00FC2D13" w:rsidRDefault="008933CC" w:rsidP="001B68E7">
            <w:pPr>
              <w:jc w:val="right"/>
              <w:rPr>
                <w:sz w:val="21"/>
                <w:szCs w:val="21"/>
              </w:rPr>
            </w:pPr>
            <w:r w:rsidRPr="00FC2D13">
              <w:rPr>
                <w:sz w:val="21"/>
                <w:szCs w:val="21"/>
              </w:rPr>
              <w:t>6</w:t>
            </w:r>
            <w:r w:rsidR="006A2201">
              <w:rPr>
                <w:sz w:val="21"/>
                <w:szCs w:val="21"/>
              </w:rPr>
              <w:t>,</w:t>
            </w:r>
            <w:r w:rsidRPr="00FC2D13">
              <w:rPr>
                <w:sz w:val="21"/>
                <w:szCs w:val="21"/>
              </w:rPr>
              <w:t>11</w:t>
            </w:r>
          </w:p>
        </w:tc>
        <w:tc>
          <w:tcPr>
            <w:tcW w:w="625" w:type="pct"/>
            <w:tcBorders>
              <w:top w:val="single" w:sz="4" w:space="0" w:color="auto"/>
              <w:left w:val="single" w:sz="4" w:space="0" w:color="auto"/>
              <w:bottom w:val="single" w:sz="4" w:space="0" w:color="auto"/>
              <w:right w:val="single" w:sz="4" w:space="0" w:color="auto"/>
            </w:tcBorders>
            <w:tcMar>
              <w:left w:w="115" w:type="dxa"/>
              <w:right w:w="230" w:type="dxa"/>
            </w:tcMar>
          </w:tcPr>
          <w:p w14:paraId="248D59B4" w14:textId="7BC25071" w:rsidR="008933CC" w:rsidRPr="00FC2D13" w:rsidRDefault="008933CC" w:rsidP="001B68E7">
            <w:pPr>
              <w:jc w:val="right"/>
              <w:rPr>
                <w:sz w:val="21"/>
                <w:szCs w:val="21"/>
              </w:rPr>
            </w:pPr>
            <w:r w:rsidRPr="00FC2D13">
              <w:rPr>
                <w:sz w:val="21"/>
                <w:szCs w:val="21"/>
              </w:rPr>
              <w:t>6</w:t>
            </w:r>
            <w:r w:rsidR="006A2201">
              <w:rPr>
                <w:sz w:val="21"/>
                <w:szCs w:val="21"/>
              </w:rPr>
              <w:t>,</w:t>
            </w:r>
            <w:r w:rsidRPr="00FC2D13">
              <w:rPr>
                <w:sz w:val="21"/>
                <w:szCs w:val="21"/>
              </w:rPr>
              <w:t>11</w:t>
            </w:r>
          </w:p>
        </w:tc>
        <w:tc>
          <w:tcPr>
            <w:tcW w:w="626" w:type="pct"/>
            <w:tcBorders>
              <w:top w:val="single" w:sz="4" w:space="0" w:color="auto"/>
              <w:left w:val="single" w:sz="4" w:space="0" w:color="auto"/>
              <w:bottom w:val="single" w:sz="4" w:space="0" w:color="auto"/>
              <w:right w:val="single" w:sz="4" w:space="0" w:color="auto"/>
            </w:tcBorders>
            <w:tcMar>
              <w:left w:w="115" w:type="dxa"/>
              <w:right w:w="230" w:type="dxa"/>
            </w:tcMar>
          </w:tcPr>
          <w:p w14:paraId="5DB71340" w14:textId="344E122D" w:rsidR="008933CC" w:rsidRPr="00FC2D13" w:rsidRDefault="008933CC" w:rsidP="001B68E7">
            <w:pPr>
              <w:jc w:val="right"/>
              <w:rPr>
                <w:rFonts w:eastAsiaTheme="minorHAnsi"/>
                <w:color w:val="000000"/>
                <w:sz w:val="21"/>
                <w:szCs w:val="21"/>
              </w:rPr>
            </w:pPr>
            <w:r w:rsidRPr="00FC2D13">
              <w:rPr>
                <w:sz w:val="21"/>
                <w:szCs w:val="21"/>
              </w:rPr>
              <w:t>4</w:t>
            </w:r>
            <w:r w:rsidR="006A2201">
              <w:rPr>
                <w:sz w:val="21"/>
                <w:szCs w:val="21"/>
              </w:rPr>
              <w:t>,</w:t>
            </w:r>
            <w:r w:rsidRPr="00FC2D13">
              <w:rPr>
                <w:sz w:val="21"/>
                <w:szCs w:val="21"/>
              </w:rPr>
              <w:t>68</w:t>
            </w:r>
          </w:p>
        </w:tc>
        <w:tc>
          <w:tcPr>
            <w:tcW w:w="625" w:type="pct"/>
            <w:tcBorders>
              <w:top w:val="single" w:sz="4" w:space="0" w:color="auto"/>
              <w:left w:val="single" w:sz="4" w:space="0" w:color="auto"/>
              <w:bottom w:val="single" w:sz="4" w:space="0" w:color="auto"/>
              <w:right w:val="single" w:sz="4" w:space="0" w:color="auto"/>
            </w:tcBorders>
            <w:tcMar>
              <w:left w:w="115" w:type="dxa"/>
              <w:right w:w="230" w:type="dxa"/>
            </w:tcMar>
          </w:tcPr>
          <w:p w14:paraId="536A5551" w14:textId="7A0557E0" w:rsidR="008933CC" w:rsidRPr="00FC2D13" w:rsidRDefault="008933CC" w:rsidP="001B68E7">
            <w:pPr>
              <w:jc w:val="right"/>
              <w:rPr>
                <w:rFonts w:eastAsiaTheme="minorHAnsi"/>
                <w:color w:val="000000"/>
                <w:sz w:val="21"/>
                <w:szCs w:val="21"/>
              </w:rPr>
            </w:pPr>
            <w:r w:rsidRPr="00FC2D13">
              <w:rPr>
                <w:sz w:val="21"/>
                <w:szCs w:val="21"/>
              </w:rPr>
              <w:t>2</w:t>
            </w:r>
            <w:r w:rsidR="006A2201">
              <w:rPr>
                <w:sz w:val="21"/>
                <w:szCs w:val="21"/>
              </w:rPr>
              <w:t>,</w:t>
            </w:r>
            <w:r w:rsidRPr="00FC2D13">
              <w:rPr>
                <w:sz w:val="21"/>
                <w:szCs w:val="21"/>
              </w:rPr>
              <w:t>09</w:t>
            </w:r>
          </w:p>
        </w:tc>
        <w:tc>
          <w:tcPr>
            <w:tcW w:w="626" w:type="pct"/>
            <w:tcBorders>
              <w:top w:val="single" w:sz="4" w:space="0" w:color="auto"/>
              <w:left w:val="single" w:sz="4" w:space="0" w:color="auto"/>
              <w:bottom w:val="single" w:sz="4" w:space="0" w:color="auto"/>
              <w:right w:val="single" w:sz="4" w:space="0" w:color="auto"/>
            </w:tcBorders>
            <w:noWrap/>
            <w:tcMar>
              <w:left w:w="115" w:type="dxa"/>
              <w:right w:w="230" w:type="dxa"/>
            </w:tcMar>
            <w:vAlign w:val="center"/>
          </w:tcPr>
          <w:p w14:paraId="3157E0D0" w14:textId="0E4A8CB8" w:rsidR="008933CC" w:rsidRPr="00FC2D13" w:rsidRDefault="008933CC" w:rsidP="001B68E7">
            <w:pPr>
              <w:jc w:val="right"/>
              <w:rPr>
                <w:rFonts w:eastAsiaTheme="minorHAnsi"/>
                <w:color w:val="000000"/>
                <w:sz w:val="21"/>
                <w:szCs w:val="21"/>
              </w:rPr>
            </w:pPr>
            <w:r w:rsidRPr="00FC2D13">
              <w:rPr>
                <w:color w:val="000000"/>
                <w:sz w:val="21"/>
                <w:szCs w:val="21"/>
              </w:rPr>
              <w:t>66</w:t>
            </w:r>
            <w:r w:rsidR="006A2201">
              <w:rPr>
                <w:color w:val="000000"/>
                <w:sz w:val="21"/>
                <w:szCs w:val="21"/>
              </w:rPr>
              <w:t>,</w:t>
            </w:r>
            <w:r w:rsidRPr="00FC2D13">
              <w:rPr>
                <w:color w:val="000000"/>
                <w:sz w:val="21"/>
                <w:szCs w:val="21"/>
              </w:rPr>
              <w:t>21</w:t>
            </w:r>
          </w:p>
        </w:tc>
      </w:tr>
    </w:tbl>
    <w:p w14:paraId="0EB31A05" w14:textId="77777777" w:rsidR="00045B1A" w:rsidRDefault="00045B1A" w:rsidP="003C1A5A">
      <w:pPr>
        <w:spacing w:after="120"/>
        <w:outlineLvl w:val="0"/>
      </w:pPr>
    </w:p>
    <w:p w14:paraId="4100548C" w14:textId="22DC0DB9" w:rsidR="008933CC" w:rsidRPr="00BD66E4" w:rsidRDefault="00E43CC4" w:rsidP="003C1A5A">
      <w:pPr>
        <w:pStyle w:val="Heading1"/>
        <w:rPr>
          <w:lang w:val="es-ES"/>
        </w:rPr>
      </w:pPr>
      <w:r w:rsidRPr="00E43CC4">
        <w:rPr>
          <w:lang w:val="es-ES"/>
        </w:rPr>
        <w:t xml:space="preserve">La disminución del consumo de HCFC se debe a la aplicación del sistema de concesión de licencias y cuotas y a las actividades realizadas en los dos primeros tramos del plan de gestión de la eliminación de los HCFC. En 2020 se produjo una fuerte reducción debido al impacto de la pandemia de COVID-19 en la economía, pero se espera que, una vez que la actividad se normalice, el consumo de HCFC aumente para satisfacer la necesidad de dar mantenimiento al inventario de equipos de </w:t>
      </w:r>
      <w:r w:rsidR="006061CC">
        <w:rPr>
          <w:lang w:val="es-ES"/>
        </w:rPr>
        <w:t>refrigeración y aire acondicionado</w:t>
      </w:r>
      <w:r w:rsidRPr="00E43CC4">
        <w:rPr>
          <w:lang w:val="es-ES"/>
        </w:rPr>
        <w:t xml:space="preserve"> a base de HCFC en el país</w:t>
      </w:r>
      <w:r w:rsidR="008933CC" w:rsidRPr="00BD66E4">
        <w:rPr>
          <w:lang w:val="es-ES"/>
        </w:rPr>
        <w:t xml:space="preserve">. </w:t>
      </w:r>
    </w:p>
    <w:p w14:paraId="748B8ABD" w14:textId="77777777" w:rsidR="008E7F9F" w:rsidRPr="00E94BF3" w:rsidRDefault="008E7F9F" w:rsidP="003C1A5A">
      <w:pPr>
        <w:spacing w:after="240"/>
        <w:rPr>
          <w:i/>
          <w:lang w:val="es-MX"/>
        </w:rPr>
      </w:pPr>
      <w:r w:rsidRPr="00E94BF3">
        <w:rPr>
          <w:i/>
          <w:lang w:val="es-MX"/>
        </w:rPr>
        <w:t>Informe sobre la ejecución del programa de país</w:t>
      </w:r>
    </w:p>
    <w:p w14:paraId="6F5ABAC2" w14:textId="106304B9" w:rsidR="008933CC" w:rsidRPr="005A4B6E" w:rsidRDefault="005A4B6E" w:rsidP="003C1A5A">
      <w:pPr>
        <w:numPr>
          <w:ilvl w:val="0"/>
          <w:numId w:val="1"/>
        </w:numPr>
        <w:spacing w:after="240"/>
        <w:outlineLvl w:val="0"/>
        <w:rPr>
          <w:lang w:val="es-ES"/>
        </w:rPr>
      </w:pPr>
      <w:r w:rsidRPr="005A4B6E">
        <w:rPr>
          <w:lang w:val="es-ES"/>
        </w:rPr>
        <w:t>El Gobierno de la República Democrática del Congo comunicó los datos de consumo del sector de los HCFC en el marco del informe de ejecución del programa de país de 2020, en consonancia con los datos comunicados en virtud del artículo 7 del Protocolo de Montreal</w:t>
      </w:r>
      <w:r w:rsidR="008933CC" w:rsidRPr="005A4B6E">
        <w:rPr>
          <w:lang w:val="es-ES"/>
        </w:rPr>
        <w:t xml:space="preserve">. </w:t>
      </w:r>
    </w:p>
    <w:p w14:paraId="06BB8CC8" w14:textId="2D987640" w:rsidR="008933CC" w:rsidRPr="005A4B6E" w:rsidRDefault="00CE6FDE" w:rsidP="003C1A5A">
      <w:pPr>
        <w:spacing w:after="240"/>
        <w:outlineLvl w:val="0"/>
        <w:rPr>
          <w:u w:val="single"/>
          <w:lang w:val="es-ES"/>
        </w:rPr>
      </w:pPr>
      <w:r>
        <w:rPr>
          <w:u w:val="single"/>
          <w:lang w:val="es-ES"/>
        </w:rPr>
        <w:t>Situación de la marcha de las actividades y los desembolsos</w:t>
      </w:r>
    </w:p>
    <w:p w14:paraId="64148223" w14:textId="65344334" w:rsidR="008933CC" w:rsidRDefault="00954DC6" w:rsidP="003C1A5A">
      <w:pPr>
        <w:numPr>
          <w:ilvl w:val="0"/>
          <w:numId w:val="1"/>
        </w:numPr>
        <w:spacing w:after="240"/>
        <w:outlineLvl w:val="0"/>
        <w:rPr>
          <w:lang w:val="es-ES"/>
        </w:rPr>
      </w:pPr>
      <w:r w:rsidRPr="00954DC6">
        <w:rPr>
          <w:lang w:val="es-ES"/>
        </w:rPr>
        <w:t>El Gobierno de la República Democrática del Congo estableció y aplicó el sistema de concesión de licencias y cuotas para las importaciones de HCFC, al tiempo que reforzó la capacidad de las aduanas para controlar las importaciones de HCFC e identificar las sustancias controladas mediante la formación de 265 funcionarios de aduanas y otros funcionarios encargados de hacer cumplir la ley y el suministro de 10 identificadores de refrigerantes</w:t>
      </w:r>
      <w:r w:rsidR="008933CC" w:rsidRPr="00954DC6">
        <w:rPr>
          <w:lang w:val="es-ES"/>
        </w:rPr>
        <w:t>.</w:t>
      </w:r>
    </w:p>
    <w:p w14:paraId="01D15C60" w14:textId="6AD4893C" w:rsidR="008933CC" w:rsidRPr="00762AC2" w:rsidRDefault="002D1B7D" w:rsidP="003C1A5A">
      <w:pPr>
        <w:numPr>
          <w:ilvl w:val="0"/>
          <w:numId w:val="1"/>
        </w:numPr>
        <w:spacing w:after="240"/>
        <w:outlineLvl w:val="0"/>
        <w:rPr>
          <w:lang w:val="es-ES"/>
        </w:rPr>
      </w:pPr>
      <w:r w:rsidRPr="002D1B7D">
        <w:rPr>
          <w:lang w:val="es-ES"/>
        </w:rPr>
        <w:t xml:space="preserve">En el sector de </w:t>
      </w:r>
      <w:r w:rsidR="00735363">
        <w:rPr>
          <w:lang w:val="es-ES"/>
        </w:rPr>
        <w:t xml:space="preserve">servicio y </w:t>
      </w:r>
      <w:r w:rsidRPr="002D1B7D">
        <w:rPr>
          <w:lang w:val="es-ES"/>
        </w:rPr>
        <w:t xml:space="preserve">mantenimiento de </w:t>
      </w:r>
      <w:r w:rsidR="00735363">
        <w:rPr>
          <w:lang w:val="es-ES"/>
        </w:rPr>
        <w:t>equipos de</w:t>
      </w:r>
      <w:r w:rsidRPr="002D1B7D">
        <w:rPr>
          <w:lang w:val="es-ES"/>
        </w:rPr>
        <w:t xml:space="preserve"> refrigeración, 25 formadores y 289 técnicos de refrigeración recibieron formación sobre buenas prácticas de mantenimiento, incluido el uso seguro de refrigerantes inflamables, mientras que siete institutos de formación y la asociación de refrigeración</w:t>
      </w:r>
      <w:r>
        <w:rPr>
          <w:lang w:val="es-ES"/>
        </w:rPr>
        <w:t xml:space="preserve"> </w:t>
      </w:r>
      <w:r w:rsidR="00C42F37" w:rsidRPr="00C42F37">
        <w:rPr>
          <w:lang w:val="es-ES"/>
        </w:rPr>
        <w:t>(ACOPROF)</w:t>
      </w:r>
      <w:r w:rsidR="00C42F37" w:rsidRPr="00FC2D13">
        <w:rPr>
          <w:rStyle w:val="FootnoteReference"/>
        </w:rPr>
        <w:footnoteReference w:id="6"/>
      </w:r>
      <w:r w:rsidR="00C42F37" w:rsidRPr="00C42F37">
        <w:rPr>
          <w:lang w:val="es-ES"/>
        </w:rPr>
        <w:t xml:space="preserve"> </w:t>
      </w:r>
      <w:r w:rsidRPr="002D1B7D">
        <w:rPr>
          <w:lang w:val="es-ES"/>
        </w:rPr>
        <w:t>fueron reforzados con equipos y kits de herramientas que contenían unidades de recuperación, bombas de vacío, kits de reciclaje, cilindros, colectores, mangueras, herramientas de perforación, balanzas y accesorios de protección. ACOPROF también recibió asistencia para registrar formalmente y realizar reuniones con técnicos para concienciar sobre la eliminación de los HCFC y las mejores prácticas en refrigeración</w:t>
      </w:r>
      <w:r w:rsidR="00762AC2">
        <w:rPr>
          <w:lang w:val="es-ES"/>
        </w:rPr>
        <w:t>.</w:t>
      </w:r>
    </w:p>
    <w:p w14:paraId="3538F074" w14:textId="41D9CAF5" w:rsidR="0051588D" w:rsidRPr="0051588D" w:rsidRDefault="0051588D" w:rsidP="003C1A5A">
      <w:pPr>
        <w:numPr>
          <w:ilvl w:val="0"/>
          <w:numId w:val="1"/>
        </w:numPr>
        <w:spacing w:after="240"/>
        <w:outlineLvl w:val="0"/>
        <w:rPr>
          <w:lang w:val="es-ES"/>
        </w:rPr>
      </w:pPr>
      <w:r w:rsidRPr="0051588D">
        <w:rPr>
          <w:lang w:val="es-ES"/>
        </w:rPr>
        <w:t>El marco del PGEH, e</w:t>
      </w:r>
      <w:r>
        <w:rPr>
          <w:lang w:val="es-ES"/>
        </w:rPr>
        <w:t xml:space="preserve">l Gobierno realizó actividades de </w:t>
      </w:r>
      <w:r w:rsidR="003704B8">
        <w:rPr>
          <w:lang w:val="es-ES"/>
        </w:rPr>
        <w:t>sensibilización</w:t>
      </w:r>
      <w:r w:rsidR="009070B5">
        <w:rPr>
          <w:lang w:val="es-ES"/>
        </w:rPr>
        <w:t xml:space="preserve"> mediante artículos, la televisión, la radio y</w:t>
      </w:r>
      <w:r w:rsidR="00D451EE">
        <w:rPr>
          <w:lang w:val="es-ES"/>
        </w:rPr>
        <w:t xml:space="preserve"> folletos inform</w:t>
      </w:r>
      <w:r w:rsidR="009F0B10">
        <w:rPr>
          <w:lang w:val="es-ES"/>
        </w:rPr>
        <w:t>a</w:t>
      </w:r>
      <w:r w:rsidR="00D451EE">
        <w:rPr>
          <w:lang w:val="es-ES"/>
        </w:rPr>
        <w:t xml:space="preserve">tivos dirigidos al público en general sobre la protección de la capa de ozono y sobre el papel que desempeñan todos los usuarios de </w:t>
      </w:r>
      <w:r w:rsidR="00650624">
        <w:rPr>
          <w:lang w:val="es-ES"/>
        </w:rPr>
        <w:t xml:space="preserve">equipos de </w:t>
      </w:r>
      <w:r w:rsidR="00D451EE">
        <w:rPr>
          <w:lang w:val="es-ES"/>
        </w:rPr>
        <w:t>refrigeración.</w:t>
      </w:r>
    </w:p>
    <w:p w14:paraId="191B640C" w14:textId="59BE0BC3" w:rsidR="008933CC" w:rsidRPr="00D173B7" w:rsidRDefault="00545CB3" w:rsidP="003C1A5A">
      <w:pPr>
        <w:numPr>
          <w:ilvl w:val="0"/>
          <w:numId w:val="1"/>
        </w:numPr>
        <w:spacing w:after="240"/>
        <w:outlineLvl w:val="0"/>
        <w:rPr>
          <w:lang w:val="es-ES"/>
        </w:rPr>
      </w:pPr>
      <w:r w:rsidRPr="00545CB3">
        <w:rPr>
          <w:lang w:val="es-ES"/>
        </w:rPr>
        <w:t>De conformidad con la Decisión 84/15</w:t>
      </w:r>
      <w:r w:rsidR="00D173B7">
        <w:rPr>
          <w:lang w:val="es-ES"/>
        </w:rPr>
        <w:t xml:space="preserve"> </w:t>
      </w:r>
      <w:r w:rsidRPr="00545CB3">
        <w:rPr>
          <w:lang w:val="es-ES"/>
        </w:rPr>
        <w:t>c), todos los tramos de la fase I se completaron operativamente antes del 30 de junio de 2020 y el informe de finalización del proyecto se presentó al Fondo Multilateral el 20 de septiembre de 2021</w:t>
      </w:r>
      <w:r w:rsidR="008933CC" w:rsidRPr="00D173B7">
        <w:rPr>
          <w:lang w:val="es-ES"/>
        </w:rPr>
        <w:t>.</w:t>
      </w:r>
    </w:p>
    <w:p w14:paraId="4AD9E9F0" w14:textId="1617A4A5" w:rsidR="008933CC" w:rsidRPr="000D0B2C" w:rsidRDefault="00D173B7" w:rsidP="003C1A5A">
      <w:pPr>
        <w:autoSpaceDE w:val="0"/>
        <w:autoSpaceDN w:val="0"/>
        <w:adjustRightInd w:val="0"/>
        <w:spacing w:after="240"/>
        <w:rPr>
          <w:b/>
          <w:lang w:val="es-ES"/>
        </w:rPr>
      </w:pPr>
      <w:r w:rsidRPr="000D0B2C">
        <w:rPr>
          <w:b/>
          <w:lang w:val="es-ES"/>
        </w:rPr>
        <w:t>Etapa</w:t>
      </w:r>
      <w:r w:rsidR="008933CC" w:rsidRPr="000D0B2C">
        <w:rPr>
          <w:b/>
          <w:lang w:val="es-ES"/>
        </w:rPr>
        <w:t xml:space="preserve"> II </w:t>
      </w:r>
      <w:r w:rsidRPr="000D0B2C">
        <w:rPr>
          <w:b/>
          <w:lang w:val="es-ES"/>
        </w:rPr>
        <w:t>del PGEH</w:t>
      </w:r>
    </w:p>
    <w:p w14:paraId="3A0EE3A5" w14:textId="27285D6A" w:rsidR="008933CC" w:rsidRPr="000D0B2C" w:rsidRDefault="000D0B2C" w:rsidP="003C1A5A">
      <w:pPr>
        <w:spacing w:after="240"/>
        <w:outlineLvl w:val="0"/>
        <w:rPr>
          <w:u w:val="single"/>
          <w:lang w:val="es-ES"/>
        </w:rPr>
      </w:pPr>
      <w:r w:rsidRPr="000D0B2C">
        <w:rPr>
          <w:u w:val="single"/>
          <w:lang w:val="es-ES"/>
        </w:rPr>
        <w:t xml:space="preserve">Consumo </w:t>
      </w:r>
      <w:r w:rsidR="00EA74FA">
        <w:rPr>
          <w:u w:val="single"/>
          <w:lang w:val="es-ES"/>
        </w:rPr>
        <w:t>remanente</w:t>
      </w:r>
      <w:r w:rsidRPr="000D0B2C">
        <w:rPr>
          <w:u w:val="single"/>
          <w:lang w:val="es-ES"/>
        </w:rPr>
        <w:t xml:space="preserve"> admisible para la</w:t>
      </w:r>
      <w:r>
        <w:rPr>
          <w:u w:val="single"/>
          <w:lang w:val="es-ES"/>
        </w:rPr>
        <w:t xml:space="preserve"> financiación</w:t>
      </w:r>
    </w:p>
    <w:p w14:paraId="683FFA98" w14:textId="430A651A" w:rsidR="008933CC" w:rsidRPr="005069F3" w:rsidRDefault="005069F3" w:rsidP="003C1A5A">
      <w:pPr>
        <w:widowControl w:val="0"/>
        <w:numPr>
          <w:ilvl w:val="0"/>
          <w:numId w:val="1"/>
        </w:numPr>
        <w:tabs>
          <w:tab w:val="clear" w:pos="0"/>
        </w:tabs>
        <w:spacing w:after="240"/>
        <w:outlineLvl w:val="0"/>
        <w:rPr>
          <w:u w:val="single"/>
          <w:lang w:val="es-ES"/>
        </w:rPr>
      </w:pPr>
      <w:r w:rsidRPr="005069F3">
        <w:rPr>
          <w:lang w:val="es-ES"/>
        </w:rPr>
        <w:t xml:space="preserve">Una vez deducidas 5,80 toneladas de HCFC asociadas a la fase I del </w:t>
      </w:r>
      <w:r w:rsidR="006C4F4A">
        <w:rPr>
          <w:lang w:val="es-ES"/>
        </w:rPr>
        <w:t>PGEH</w:t>
      </w:r>
      <w:r w:rsidRPr="005069F3">
        <w:rPr>
          <w:lang w:val="es-ES"/>
        </w:rPr>
        <w:t xml:space="preserve">, el consumo </w:t>
      </w:r>
      <w:r w:rsidR="00EA74FA">
        <w:rPr>
          <w:lang w:val="es-ES"/>
        </w:rPr>
        <w:t>remanente</w:t>
      </w:r>
      <w:r w:rsidRPr="005069F3">
        <w:rPr>
          <w:lang w:val="es-ES"/>
        </w:rPr>
        <w:t xml:space="preserve"> admisible para su financiación en la fase II asciende </w:t>
      </w:r>
      <w:r w:rsidR="0013241B">
        <w:rPr>
          <w:lang w:val="es-ES"/>
        </w:rPr>
        <w:t xml:space="preserve">a </w:t>
      </w:r>
      <w:r w:rsidRPr="005069F3">
        <w:rPr>
          <w:lang w:val="es-ES"/>
        </w:rPr>
        <w:t>11,20 toneladas de HCFC 22</w:t>
      </w:r>
      <w:r w:rsidR="008933CC" w:rsidRPr="005069F3">
        <w:rPr>
          <w:lang w:val="es-ES"/>
        </w:rPr>
        <w:t>.</w:t>
      </w:r>
    </w:p>
    <w:p w14:paraId="797D8842" w14:textId="224B40C1" w:rsidR="008933CC" w:rsidRPr="00BE2184" w:rsidRDefault="00A65BF5" w:rsidP="003C1A5A">
      <w:pPr>
        <w:widowControl w:val="0"/>
        <w:spacing w:after="240"/>
        <w:outlineLvl w:val="0"/>
        <w:rPr>
          <w:u w:val="single"/>
          <w:lang w:val="es-ES"/>
        </w:rPr>
      </w:pPr>
      <w:r>
        <w:rPr>
          <w:u w:val="single"/>
          <w:lang w:val="es-ES"/>
        </w:rPr>
        <w:lastRenderedPageBreak/>
        <w:t>Di</w:t>
      </w:r>
      <w:r w:rsidR="008933CC" w:rsidRPr="00BE2184">
        <w:rPr>
          <w:u w:val="single"/>
          <w:lang w:val="es-ES"/>
        </w:rPr>
        <w:t>strib</w:t>
      </w:r>
      <w:r w:rsidR="00BE2184" w:rsidRPr="00BE2184">
        <w:rPr>
          <w:u w:val="single"/>
          <w:lang w:val="es-ES"/>
        </w:rPr>
        <w:t>uci</w:t>
      </w:r>
      <w:r w:rsidR="00BE2184">
        <w:rPr>
          <w:u w:val="single"/>
          <w:lang w:val="es-ES"/>
        </w:rPr>
        <w:t>ón</w:t>
      </w:r>
      <w:r w:rsidR="008933CC" w:rsidRPr="00BE2184">
        <w:rPr>
          <w:u w:val="single"/>
          <w:lang w:val="es-ES"/>
        </w:rPr>
        <w:t xml:space="preserve"> </w:t>
      </w:r>
      <w:r w:rsidR="00BE2184">
        <w:rPr>
          <w:u w:val="single"/>
          <w:lang w:val="es-ES"/>
        </w:rPr>
        <w:t>de</w:t>
      </w:r>
      <w:r w:rsidR="008933CC" w:rsidRPr="00BE2184">
        <w:rPr>
          <w:u w:val="single"/>
          <w:lang w:val="es-ES"/>
        </w:rPr>
        <w:t xml:space="preserve"> </w:t>
      </w:r>
      <w:r>
        <w:rPr>
          <w:u w:val="single"/>
          <w:lang w:val="es-ES"/>
        </w:rPr>
        <w:t xml:space="preserve">los </w:t>
      </w:r>
      <w:r w:rsidR="008933CC" w:rsidRPr="00BE2184">
        <w:rPr>
          <w:u w:val="single"/>
          <w:lang w:val="es-ES"/>
        </w:rPr>
        <w:t>HCF</w:t>
      </w:r>
      <w:r>
        <w:rPr>
          <w:u w:val="single"/>
          <w:lang w:val="es-ES"/>
        </w:rPr>
        <w:t>C por sectores</w:t>
      </w:r>
    </w:p>
    <w:p w14:paraId="5FE15385" w14:textId="11310BA0" w:rsidR="008933CC" w:rsidRPr="00F911BA" w:rsidRDefault="005B058B" w:rsidP="003C1A5A">
      <w:pPr>
        <w:pStyle w:val="Heading1"/>
        <w:widowControl w:val="0"/>
        <w:rPr>
          <w:lang w:val="pt-BR"/>
        </w:rPr>
      </w:pPr>
      <w:r w:rsidRPr="00DA5B0D">
        <w:rPr>
          <w:lang w:val="es-ES"/>
        </w:rPr>
        <w:t>Existen aproximadamente 2</w:t>
      </w:r>
      <w:r w:rsidR="00DA5B0D">
        <w:rPr>
          <w:lang w:val="es-ES"/>
        </w:rPr>
        <w:t xml:space="preserve"> </w:t>
      </w:r>
      <w:r w:rsidRPr="00DA5B0D">
        <w:rPr>
          <w:lang w:val="es-ES"/>
        </w:rPr>
        <w:t>900 talleres de refrigeración y 29</w:t>
      </w:r>
      <w:r w:rsidR="00DA5B0D">
        <w:rPr>
          <w:lang w:val="es-ES"/>
        </w:rPr>
        <w:t xml:space="preserve"> </w:t>
      </w:r>
      <w:r w:rsidRPr="00DA5B0D">
        <w:rPr>
          <w:lang w:val="es-ES"/>
        </w:rPr>
        <w:t>500 técnicos en el país, de los cuales cerca de 6</w:t>
      </w:r>
      <w:r w:rsidR="00DA5B0D">
        <w:rPr>
          <w:lang w:val="es-ES"/>
        </w:rPr>
        <w:t xml:space="preserve"> </w:t>
      </w:r>
      <w:r w:rsidRPr="00DA5B0D">
        <w:rPr>
          <w:lang w:val="es-ES"/>
        </w:rPr>
        <w:t>000 han recibido formación técnica en refrigeración. El HCFC-22 sigue consumiéndose exclusivamente en el sector de servicio</w:t>
      </w:r>
      <w:r w:rsidR="00DA5B0D">
        <w:rPr>
          <w:lang w:val="es-ES"/>
        </w:rPr>
        <w:t xml:space="preserve"> y mantenimiento de equipos</w:t>
      </w:r>
      <w:r w:rsidRPr="00DA5B0D">
        <w:rPr>
          <w:lang w:val="es-ES"/>
        </w:rPr>
        <w:t xml:space="preserve"> de refrigeración para el mantenimiento de unidades de aire acondicionado doméstico, </w:t>
      </w:r>
      <w:r w:rsidR="00DA5B0D">
        <w:rPr>
          <w:lang w:val="es-ES"/>
        </w:rPr>
        <w:t>aire acondicionado</w:t>
      </w:r>
      <w:r w:rsidRPr="00DA5B0D">
        <w:rPr>
          <w:lang w:val="es-ES"/>
        </w:rPr>
        <w:t xml:space="preserve"> centralizado (de techo, </w:t>
      </w:r>
      <w:r w:rsidR="005726B7">
        <w:rPr>
          <w:lang w:val="es-ES"/>
        </w:rPr>
        <w:t>de condensador separado</w:t>
      </w:r>
      <w:r w:rsidRPr="00DA5B0D">
        <w:rPr>
          <w:lang w:val="es-ES"/>
        </w:rPr>
        <w:t xml:space="preserve">, </w:t>
      </w:r>
      <w:r w:rsidR="00434114">
        <w:rPr>
          <w:lang w:val="es-ES"/>
        </w:rPr>
        <w:t>enfriadores</w:t>
      </w:r>
      <w:r w:rsidRPr="00DA5B0D">
        <w:rPr>
          <w:lang w:val="es-ES"/>
        </w:rPr>
        <w:t>), y una gran variedad de instalaciones de refrigeración comercial (autónomas, unidades de condensación, transporte y algunas instalaciones industriales), como se muestra en la Cuadro 2. Tanto los equipos nuevos como los usados a base de HCFC pueden importarse al país</w:t>
      </w:r>
      <w:r w:rsidR="008933CC" w:rsidRPr="00DA5B0D">
        <w:rPr>
          <w:lang w:val="es-ES"/>
        </w:rPr>
        <w:t xml:space="preserve">. </w:t>
      </w:r>
      <w:r w:rsidR="00434114" w:rsidRPr="00434114">
        <w:rPr>
          <w:lang w:val="es-ES"/>
        </w:rPr>
        <w:t xml:space="preserve">El </w:t>
      </w:r>
      <w:r w:rsidR="008933CC" w:rsidRPr="00434114">
        <w:rPr>
          <w:lang w:val="es-ES"/>
        </w:rPr>
        <w:t>HCFC</w:t>
      </w:r>
      <w:r w:rsidR="008933CC" w:rsidRPr="00434114">
        <w:rPr>
          <w:lang w:val="es-ES"/>
        </w:rPr>
        <w:noBreakHyphen/>
        <w:t>22 represent</w:t>
      </w:r>
      <w:r w:rsidR="00434114" w:rsidRPr="00434114">
        <w:rPr>
          <w:lang w:val="es-ES"/>
        </w:rPr>
        <w:t>a el</w:t>
      </w:r>
      <w:r w:rsidR="008933CC" w:rsidRPr="00434114">
        <w:rPr>
          <w:lang w:val="es-ES"/>
        </w:rPr>
        <w:t xml:space="preserve"> 29 </w:t>
      </w:r>
      <w:r w:rsidR="00434114" w:rsidRPr="00434114">
        <w:rPr>
          <w:lang w:val="es-ES"/>
        </w:rPr>
        <w:t>por ciento de los refrigerantes utilizados</w:t>
      </w:r>
      <w:r w:rsidR="00434114">
        <w:rPr>
          <w:lang w:val="es-ES"/>
        </w:rPr>
        <w:t xml:space="preserve"> en el sector de servicio y mantenimiento</w:t>
      </w:r>
      <w:r w:rsidR="008D51ED">
        <w:rPr>
          <w:lang w:val="es-ES"/>
        </w:rPr>
        <w:t xml:space="preserve">, seguido del </w:t>
      </w:r>
      <w:r w:rsidR="008933CC" w:rsidRPr="00434114">
        <w:rPr>
          <w:lang w:val="es-ES"/>
        </w:rPr>
        <w:t>HFC-134a (21 p</w:t>
      </w:r>
      <w:r w:rsidR="008D51ED">
        <w:rPr>
          <w:lang w:val="es-ES"/>
        </w:rPr>
        <w:t>o</w:t>
      </w:r>
      <w:r w:rsidR="008933CC" w:rsidRPr="00434114">
        <w:rPr>
          <w:lang w:val="es-ES"/>
        </w:rPr>
        <w:t>r c</w:t>
      </w:r>
      <w:r w:rsidR="008D51ED">
        <w:rPr>
          <w:lang w:val="es-ES"/>
        </w:rPr>
        <w:t>iento</w:t>
      </w:r>
      <w:r w:rsidR="008933CC" w:rsidRPr="00434114">
        <w:rPr>
          <w:lang w:val="es-ES"/>
        </w:rPr>
        <w:t xml:space="preserve">). </w:t>
      </w:r>
      <w:r w:rsidR="00F22943">
        <w:rPr>
          <w:lang w:val="pt-BR"/>
        </w:rPr>
        <w:t>Entre los otros refrigerantes se enumeran los</w:t>
      </w:r>
      <w:r w:rsidR="008933CC" w:rsidRPr="00F911BA">
        <w:rPr>
          <w:lang w:val="pt-BR"/>
        </w:rPr>
        <w:t xml:space="preserve"> R</w:t>
      </w:r>
      <w:r w:rsidR="008933CC" w:rsidRPr="00F911BA">
        <w:rPr>
          <w:lang w:val="pt-BR"/>
        </w:rPr>
        <w:noBreakHyphen/>
        <w:t>410A, R-404A, R-407C, R</w:t>
      </w:r>
      <w:r w:rsidR="008933CC" w:rsidRPr="00F911BA">
        <w:rPr>
          <w:lang w:val="pt-BR"/>
        </w:rPr>
        <w:noBreakHyphen/>
        <w:t xml:space="preserve">717, R-600a, </w:t>
      </w:r>
      <w:r w:rsidR="00F22943">
        <w:rPr>
          <w:lang w:val="pt-BR"/>
        </w:rPr>
        <w:t>y</w:t>
      </w:r>
      <w:r w:rsidR="008933CC" w:rsidRPr="00F911BA">
        <w:rPr>
          <w:lang w:val="pt-BR"/>
        </w:rPr>
        <w:t xml:space="preserve"> R-290. </w:t>
      </w:r>
    </w:p>
    <w:p w14:paraId="624E05C8" w14:textId="6A1A5246" w:rsidR="008933CC" w:rsidRPr="002D6330" w:rsidRDefault="00F22943" w:rsidP="008933CC">
      <w:pPr>
        <w:keepNext/>
        <w:keepLines/>
        <w:outlineLvl w:val="0"/>
        <w:rPr>
          <w:b/>
          <w:w w:val="98"/>
          <w:lang w:val="es-ES"/>
        </w:rPr>
      </w:pPr>
      <w:r w:rsidRPr="00257E3C">
        <w:rPr>
          <w:b/>
          <w:w w:val="98"/>
          <w:lang w:val="es-ES"/>
        </w:rPr>
        <w:t>Cuadro</w:t>
      </w:r>
      <w:r w:rsidR="008933CC" w:rsidRPr="00257E3C">
        <w:rPr>
          <w:b/>
          <w:w w:val="98"/>
          <w:lang w:val="es-ES"/>
        </w:rPr>
        <w:t xml:space="preserve"> 2. </w:t>
      </w:r>
      <w:r w:rsidR="006C5D58">
        <w:rPr>
          <w:b/>
          <w:w w:val="98"/>
          <w:lang w:val="es-ES"/>
        </w:rPr>
        <w:t>D</w:t>
      </w:r>
      <w:r w:rsidR="008933CC" w:rsidRPr="002D6330">
        <w:rPr>
          <w:b/>
          <w:w w:val="98"/>
          <w:lang w:val="es-ES"/>
        </w:rPr>
        <w:t>istri</w:t>
      </w:r>
      <w:r w:rsidRPr="002D6330">
        <w:rPr>
          <w:b/>
          <w:w w:val="98"/>
          <w:lang w:val="es-ES"/>
        </w:rPr>
        <w:t>bución</w:t>
      </w:r>
      <w:r w:rsidR="008933CC" w:rsidRPr="002D6330">
        <w:rPr>
          <w:b/>
          <w:w w:val="98"/>
          <w:lang w:val="es-ES"/>
        </w:rPr>
        <w:t xml:space="preserve"> </w:t>
      </w:r>
      <w:r w:rsidR="00693BA1">
        <w:rPr>
          <w:b/>
          <w:w w:val="98"/>
          <w:lang w:val="es-ES"/>
        </w:rPr>
        <w:t xml:space="preserve">sectorial </w:t>
      </w:r>
      <w:r w:rsidR="0005037A" w:rsidRPr="002D6330">
        <w:rPr>
          <w:b/>
          <w:w w:val="98"/>
          <w:lang w:val="es-ES"/>
        </w:rPr>
        <w:t>de</w:t>
      </w:r>
      <w:r w:rsidR="002D6330" w:rsidRPr="002D6330">
        <w:rPr>
          <w:b/>
          <w:w w:val="98"/>
          <w:lang w:val="es-ES"/>
        </w:rPr>
        <w:t>l consum</w:t>
      </w:r>
      <w:r w:rsidR="00693BA1">
        <w:rPr>
          <w:b/>
          <w:w w:val="98"/>
          <w:lang w:val="es-ES"/>
        </w:rPr>
        <w:t>o</w:t>
      </w:r>
      <w:r w:rsidR="002D6330" w:rsidRPr="002D6330">
        <w:rPr>
          <w:b/>
          <w:w w:val="98"/>
          <w:lang w:val="es-ES"/>
        </w:rPr>
        <w:t xml:space="preserve"> de los</w:t>
      </w:r>
      <w:r w:rsidR="008933CC" w:rsidRPr="002D6330">
        <w:rPr>
          <w:b/>
          <w:w w:val="98"/>
          <w:lang w:val="es-ES"/>
        </w:rPr>
        <w:t xml:space="preserve"> HCFC-22 </w:t>
      </w:r>
      <w:r w:rsidR="002D6330" w:rsidRPr="002D6330">
        <w:rPr>
          <w:b/>
          <w:w w:val="98"/>
          <w:lang w:val="es-ES"/>
        </w:rPr>
        <w:t>en</w:t>
      </w:r>
      <w:r w:rsidR="002D6330">
        <w:rPr>
          <w:b/>
          <w:w w:val="98"/>
          <w:lang w:val="es-ES"/>
        </w:rPr>
        <w:t xml:space="preserve"> la República Democrática del </w:t>
      </w:r>
      <w:r w:rsidR="008933CC" w:rsidRPr="002D6330">
        <w:rPr>
          <w:b/>
          <w:w w:val="98"/>
          <w:lang w:val="es-ES"/>
        </w:rPr>
        <w:t xml:space="preserve">Congo </w:t>
      </w:r>
      <w:r w:rsidR="002D6330">
        <w:rPr>
          <w:b/>
          <w:w w:val="98"/>
          <w:lang w:val="es-ES"/>
        </w:rPr>
        <w:t>e</w:t>
      </w:r>
      <w:r w:rsidR="008933CC" w:rsidRPr="002D6330">
        <w:rPr>
          <w:b/>
          <w:w w:val="98"/>
          <w:lang w:val="es-ES"/>
        </w:rPr>
        <w:t>n 2020</w:t>
      </w:r>
    </w:p>
    <w:tbl>
      <w:tblPr>
        <w:tblW w:w="5000" w:type="pct"/>
        <w:tblLook w:val="04A0" w:firstRow="1" w:lastRow="0" w:firstColumn="1" w:lastColumn="0" w:noHBand="0" w:noVBand="1"/>
      </w:tblPr>
      <w:tblGrid>
        <w:gridCol w:w="4296"/>
        <w:gridCol w:w="1530"/>
        <w:gridCol w:w="1762"/>
        <w:gridCol w:w="1762"/>
      </w:tblGrid>
      <w:tr w:rsidR="008933CC" w:rsidRPr="00FC2D13" w14:paraId="47EBB7CA" w14:textId="77777777" w:rsidTr="001B68E7">
        <w:trPr>
          <w:tblHeader/>
        </w:trPr>
        <w:tc>
          <w:tcPr>
            <w:tcW w:w="2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0BC25" w14:textId="38EEA170" w:rsidR="008933CC" w:rsidRPr="00FC2D13" w:rsidRDefault="008933CC" w:rsidP="001B68E7">
            <w:pPr>
              <w:keepNext/>
              <w:keepLines/>
              <w:jc w:val="center"/>
              <w:rPr>
                <w:b/>
                <w:sz w:val="20"/>
              </w:rPr>
            </w:pPr>
            <w:r w:rsidRPr="00FC2D13">
              <w:rPr>
                <w:b/>
                <w:sz w:val="20"/>
              </w:rPr>
              <w:t>Sector/</w:t>
            </w:r>
            <w:proofErr w:type="spellStart"/>
            <w:r w:rsidRPr="00FC2D13">
              <w:rPr>
                <w:b/>
                <w:sz w:val="20"/>
              </w:rPr>
              <w:t>Ap</w:t>
            </w:r>
            <w:r w:rsidR="002D6330">
              <w:rPr>
                <w:b/>
                <w:sz w:val="20"/>
              </w:rPr>
              <w:t>licaciones</w:t>
            </w:r>
            <w:proofErr w:type="spellEnd"/>
          </w:p>
        </w:tc>
        <w:tc>
          <w:tcPr>
            <w:tcW w:w="817"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C7EC642" w14:textId="557568F1" w:rsidR="008933CC" w:rsidRPr="00FC2D13" w:rsidRDefault="0010288C" w:rsidP="001B68E7">
            <w:pPr>
              <w:keepNext/>
              <w:keepLines/>
              <w:jc w:val="center"/>
              <w:rPr>
                <w:b/>
                <w:sz w:val="20"/>
              </w:rPr>
            </w:pPr>
            <w:proofErr w:type="spellStart"/>
            <w:r>
              <w:rPr>
                <w:b/>
                <w:sz w:val="20"/>
              </w:rPr>
              <w:t>Inventario</w:t>
            </w:r>
            <w:proofErr w:type="spellEnd"/>
            <w:r>
              <w:rPr>
                <w:b/>
                <w:sz w:val="20"/>
              </w:rPr>
              <w:t xml:space="preserve"> de </w:t>
            </w:r>
            <w:proofErr w:type="spellStart"/>
            <w:r>
              <w:rPr>
                <w:b/>
                <w:sz w:val="20"/>
              </w:rPr>
              <w:t>equipos</w:t>
            </w:r>
            <w:proofErr w:type="spellEnd"/>
          </w:p>
        </w:tc>
        <w:tc>
          <w:tcPr>
            <w:tcW w:w="1884" w:type="pct"/>
            <w:gridSpan w:val="2"/>
            <w:tcBorders>
              <w:top w:val="single" w:sz="4" w:space="0" w:color="auto"/>
              <w:left w:val="nil"/>
              <w:bottom w:val="single" w:sz="4" w:space="0" w:color="auto"/>
              <w:right w:val="single" w:sz="4" w:space="0" w:color="auto"/>
            </w:tcBorders>
            <w:tcMar>
              <w:left w:w="0" w:type="dxa"/>
              <w:right w:w="0" w:type="dxa"/>
            </w:tcMar>
            <w:vAlign w:val="center"/>
          </w:tcPr>
          <w:p w14:paraId="0688C49F" w14:textId="3E610870" w:rsidR="008933CC" w:rsidRPr="00FC2D13" w:rsidRDefault="0010288C" w:rsidP="001B68E7">
            <w:pPr>
              <w:keepNext/>
              <w:keepLines/>
              <w:jc w:val="center"/>
              <w:rPr>
                <w:b/>
                <w:color w:val="000000"/>
                <w:sz w:val="20"/>
              </w:rPr>
            </w:pPr>
            <w:proofErr w:type="spellStart"/>
            <w:r>
              <w:rPr>
                <w:b/>
                <w:color w:val="000000"/>
                <w:sz w:val="20"/>
              </w:rPr>
              <w:t>Consumo</w:t>
            </w:r>
            <w:proofErr w:type="spellEnd"/>
            <w:r>
              <w:rPr>
                <w:b/>
                <w:color w:val="000000"/>
                <w:sz w:val="20"/>
              </w:rPr>
              <w:t xml:space="preserve"> </w:t>
            </w:r>
            <w:proofErr w:type="spellStart"/>
            <w:r>
              <w:rPr>
                <w:b/>
                <w:color w:val="000000"/>
                <w:sz w:val="20"/>
              </w:rPr>
              <w:t>e</w:t>
            </w:r>
            <w:r w:rsidR="008933CC" w:rsidRPr="00FC2D13">
              <w:rPr>
                <w:b/>
                <w:color w:val="000000"/>
                <w:sz w:val="20"/>
              </w:rPr>
              <w:t>stim</w:t>
            </w:r>
            <w:r>
              <w:rPr>
                <w:b/>
                <w:color w:val="000000"/>
                <w:sz w:val="20"/>
              </w:rPr>
              <w:t>ado</w:t>
            </w:r>
            <w:proofErr w:type="spellEnd"/>
            <w:r w:rsidR="008933CC" w:rsidRPr="00FC2D13">
              <w:rPr>
                <w:b/>
                <w:color w:val="000000"/>
                <w:sz w:val="20"/>
              </w:rPr>
              <w:t>*</w:t>
            </w:r>
          </w:p>
        </w:tc>
      </w:tr>
      <w:tr w:rsidR="008933CC" w:rsidRPr="00FC2D13" w14:paraId="4E2F12DB" w14:textId="77777777" w:rsidTr="001B68E7">
        <w:trPr>
          <w:tblHeader/>
        </w:trPr>
        <w:tc>
          <w:tcPr>
            <w:tcW w:w="2298" w:type="pct"/>
            <w:tcBorders>
              <w:top w:val="single" w:sz="4" w:space="0" w:color="auto"/>
              <w:left w:val="single" w:sz="4" w:space="0" w:color="auto"/>
              <w:bottom w:val="single" w:sz="4" w:space="0" w:color="auto"/>
              <w:right w:val="single" w:sz="4" w:space="0" w:color="auto"/>
            </w:tcBorders>
            <w:shd w:val="clear" w:color="auto" w:fill="auto"/>
            <w:vAlign w:val="center"/>
          </w:tcPr>
          <w:p w14:paraId="38F6AAC8" w14:textId="77777777" w:rsidR="008933CC" w:rsidRPr="00FC2D13" w:rsidRDefault="008933CC" w:rsidP="001B68E7">
            <w:pPr>
              <w:keepNext/>
              <w:keepLines/>
              <w:jc w:val="center"/>
              <w:rPr>
                <w:b/>
                <w:sz w:val="20"/>
              </w:rPr>
            </w:pPr>
          </w:p>
        </w:tc>
        <w:tc>
          <w:tcPr>
            <w:tcW w:w="817"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A0291CC" w14:textId="77777777" w:rsidR="008933CC" w:rsidRPr="00FC2D13" w:rsidRDefault="008933CC" w:rsidP="001B68E7">
            <w:pPr>
              <w:keepNext/>
              <w:keepLines/>
              <w:jc w:val="center"/>
              <w:rPr>
                <w:b/>
                <w:sz w:val="20"/>
              </w:rPr>
            </w:pPr>
          </w:p>
        </w:tc>
        <w:tc>
          <w:tcPr>
            <w:tcW w:w="942" w:type="pct"/>
            <w:tcBorders>
              <w:top w:val="single" w:sz="4" w:space="0" w:color="auto"/>
              <w:left w:val="nil"/>
              <w:bottom w:val="single" w:sz="4" w:space="0" w:color="auto"/>
              <w:right w:val="single" w:sz="4" w:space="0" w:color="auto"/>
            </w:tcBorders>
            <w:tcMar>
              <w:left w:w="0" w:type="dxa"/>
              <w:right w:w="0" w:type="dxa"/>
            </w:tcMar>
            <w:vAlign w:val="center"/>
          </w:tcPr>
          <w:p w14:paraId="7FA02276" w14:textId="3C25F226" w:rsidR="008933CC" w:rsidRPr="00FC2D13" w:rsidRDefault="008933CC" w:rsidP="001B68E7">
            <w:pPr>
              <w:keepNext/>
              <w:keepLines/>
              <w:jc w:val="center"/>
              <w:rPr>
                <w:b/>
                <w:color w:val="000000"/>
                <w:sz w:val="20"/>
              </w:rPr>
            </w:pPr>
            <w:r w:rsidRPr="00FC2D13">
              <w:rPr>
                <w:b/>
                <w:color w:val="000000"/>
                <w:sz w:val="20"/>
              </w:rPr>
              <w:t>t</w:t>
            </w:r>
            <w:r w:rsidR="005B4941">
              <w:rPr>
                <w:b/>
                <w:color w:val="000000"/>
                <w:sz w:val="20"/>
              </w:rPr>
              <w:t>m</w:t>
            </w:r>
          </w:p>
        </w:tc>
        <w:tc>
          <w:tcPr>
            <w:tcW w:w="942" w:type="pct"/>
            <w:tcBorders>
              <w:top w:val="single" w:sz="4" w:space="0" w:color="auto"/>
              <w:left w:val="nil"/>
              <w:bottom w:val="single" w:sz="4" w:space="0" w:color="auto"/>
              <w:right w:val="single" w:sz="4" w:space="0" w:color="auto"/>
            </w:tcBorders>
          </w:tcPr>
          <w:p w14:paraId="3D570386" w14:textId="32B23CA2" w:rsidR="008933CC" w:rsidRPr="00FC2D13" w:rsidRDefault="005B4941" w:rsidP="001B68E7">
            <w:pPr>
              <w:keepNext/>
              <w:keepLines/>
              <w:jc w:val="center"/>
              <w:rPr>
                <w:b/>
                <w:color w:val="000000"/>
                <w:sz w:val="20"/>
              </w:rPr>
            </w:pPr>
            <w:proofErr w:type="spellStart"/>
            <w:r>
              <w:rPr>
                <w:b/>
                <w:color w:val="000000"/>
                <w:sz w:val="20"/>
              </w:rPr>
              <w:t>Toneladas</w:t>
            </w:r>
            <w:proofErr w:type="spellEnd"/>
            <w:r>
              <w:rPr>
                <w:b/>
                <w:color w:val="000000"/>
                <w:sz w:val="20"/>
              </w:rPr>
              <w:t xml:space="preserve"> PAO</w:t>
            </w:r>
          </w:p>
        </w:tc>
      </w:tr>
      <w:tr w:rsidR="008933CC" w:rsidRPr="00FC2D13" w14:paraId="11B8AC60" w14:textId="77777777" w:rsidTr="001B68E7">
        <w:tc>
          <w:tcPr>
            <w:tcW w:w="2298" w:type="pct"/>
            <w:tcBorders>
              <w:top w:val="nil"/>
              <w:left w:val="single" w:sz="4" w:space="0" w:color="auto"/>
              <w:bottom w:val="single" w:sz="4" w:space="0" w:color="auto"/>
              <w:right w:val="single" w:sz="4" w:space="0" w:color="auto"/>
            </w:tcBorders>
            <w:shd w:val="clear" w:color="auto" w:fill="auto"/>
            <w:hideMark/>
          </w:tcPr>
          <w:p w14:paraId="7EF339F7" w14:textId="423E5122" w:rsidR="008933CC" w:rsidRPr="00FF4E26" w:rsidRDefault="008933CC" w:rsidP="001B68E7">
            <w:pPr>
              <w:jc w:val="left"/>
              <w:rPr>
                <w:sz w:val="20"/>
                <w:lang w:val="es-ES"/>
              </w:rPr>
            </w:pPr>
            <w:r w:rsidRPr="00FF4E26">
              <w:rPr>
                <w:sz w:val="20"/>
                <w:lang w:val="es-ES"/>
              </w:rPr>
              <w:t>AC</w:t>
            </w:r>
            <w:r w:rsidR="0010288C" w:rsidRPr="00FF4E26">
              <w:rPr>
                <w:sz w:val="20"/>
                <w:lang w:val="es-ES"/>
              </w:rPr>
              <w:t xml:space="preserve"> para habitaciones</w:t>
            </w:r>
            <w:r w:rsidRPr="00FF4E26">
              <w:rPr>
                <w:sz w:val="20"/>
                <w:lang w:val="es-ES"/>
              </w:rPr>
              <w:t xml:space="preserve"> (</w:t>
            </w:r>
            <w:r w:rsidR="00FF4E26">
              <w:rPr>
                <w:sz w:val="20"/>
                <w:lang w:val="es-ES"/>
              </w:rPr>
              <w:t>unitario</w:t>
            </w:r>
            <w:r w:rsidR="00EC0FFD">
              <w:rPr>
                <w:sz w:val="20"/>
                <w:lang w:val="es-ES"/>
              </w:rPr>
              <w:t xml:space="preserve"> y de </w:t>
            </w:r>
            <w:r w:rsidR="00C313BB">
              <w:rPr>
                <w:sz w:val="20"/>
                <w:lang w:val="es-ES"/>
              </w:rPr>
              <w:t>condensador</w:t>
            </w:r>
            <w:r w:rsidRPr="00FF4E26">
              <w:rPr>
                <w:sz w:val="20"/>
                <w:lang w:val="es-ES"/>
              </w:rPr>
              <w:t>)</w:t>
            </w:r>
          </w:p>
        </w:tc>
        <w:tc>
          <w:tcPr>
            <w:tcW w:w="817" w:type="pct"/>
            <w:tcBorders>
              <w:top w:val="nil"/>
              <w:left w:val="nil"/>
              <w:bottom w:val="single" w:sz="4" w:space="0" w:color="auto"/>
              <w:right w:val="single" w:sz="4" w:space="0" w:color="auto"/>
            </w:tcBorders>
            <w:shd w:val="clear" w:color="auto" w:fill="auto"/>
            <w:tcMar>
              <w:left w:w="115" w:type="dxa"/>
              <w:right w:w="216" w:type="dxa"/>
            </w:tcMar>
          </w:tcPr>
          <w:p w14:paraId="5403B3D6" w14:textId="6208D6E2" w:rsidR="008933CC" w:rsidRPr="00FC2D13" w:rsidRDefault="008933CC" w:rsidP="001B68E7">
            <w:pPr>
              <w:jc w:val="right"/>
              <w:rPr>
                <w:sz w:val="20"/>
              </w:rPr>
            </w:pPr>
            <w:r w:rsidRPr="00FC2D13">
              <w:rPr>
                <w:sz w:val="20"/>
              </w:rPr>
              <w:t>950</w:t>
            </w:r>
            <w:r w:rsidR="005B4941">
              <w:rPr>
                <w:sz w:val="20"/>
              </w:rPr>
              <w:t xml:space="preserve"> </w:t>
            </w:r>
            <w:r w:rsidRPr="00FC2D13">
              <w:rPr>
                <w:sz w:val="20"/>
              </w:rPr>
              <w:t>000</w:t>
            </w:r>
          </w:p>
        </w:tc>
        <w:tc>
          <w:tcPr>
            <w:tcW w:w="942" w:type="pct"/>
            <w:tcBorders>
              <w:top w:val="nil"/>
              <w:left w:val="nil"/>
              <w:bottom w:val="single" w:sz="4" w:space="0" w:color="auto"/>
              <w:right w:val="single" w:sz="4" w:space="0" w:color="auto"/>
            </w:tcBorders>
            <w:tcMar>
              <w:left w:w="115" w:type="dxa"/>
              <w:right w:w="216" w:type="dxa"/>
            </w:tcMar>
          </w:tcPr>
          <w:p w14:paraId="2D17035E" w14:textId="77777777" w:rsidR="008933CC" w:rsidRPr="00FC2D13" w:rsidRDefault="008933CC" w:rsidP="001B68E7">
            <w:pPr>
              <w:jc w:val="right"/>
              <w:rPr>
                <w:color w:val="000000"/>
                <w:sz w:val="20"/>
              </w:rPr>
            </w:pPr>
            <w:r w:rsidRPr="00FC2D13">
              <w:rPr>
                <w:color w:val="000000"/>
                <w:sz w:val="20"/>
              </w:rPr>
              <w:t>14</w:t>
            </w:r>
          </w:p>
        </w:tc>
        <w:tc>
          <w:tcPr>
            <w:tcW w:w="942" w:type="pct"/>
            <w:tcBorders>
              <w:top w:val="nil"/>
              <w:left w:val="nil"/>
              <w:bottom w:val="single" w:sz="4" w:space="0" w:color="auto"/>
              <w:right w:val="single" w:sz="4" w:space="0" w:color="auto"/>
            </w:tcBorders>
          </w:tcPr>
          <w:p w14:paraId="66E8F2D4" w14:textId="2B62AD00" w:rsidR="008933CC" w:rsidRPr="00FC2D13" w:rsidRDefault="008933CC" w:rsidP="001B68E7">
            <w:pPr>
              <w:jc w:val="right"/>
              <w:rPr>
                <w:color w:val="000000"/>
                <w:sz w:val="20"/>
              </w:rPr>
            </w:pPr>
            <w:r w:rsidRPr="00FC2D13">
              <w:rPr>
                <w:color w:val="000000"/>
                <w:sz w:val="20"/>
              </w:rPr>
              <w:t>0</w:t>
            </w:r>
            <w:r w:rsidR="005B4941">
              <w:rPr>
                <w:color w:val="000000"/>
                <w:sz w:val="20"/>
              </w:rPr>
              <w:t>,</w:t>
            </w:r>
            <w:r w:rsidRPr="00FC2D13">
              <w:rPr>
                <w:color w:val="000000"/>
                <w:sz w:val="20"/>
              </w:rPr>
              <w:t>77</w:t>
            </w:r>
          </w:p>
        </w:tc>
      </w:tr>
      <w:tr w:rsidR="008933CC" w:rsidRPr="00FC2D13" w14:paraId="652BC74B" w14:textId="77777777" w:rsidTr="001B68E7">
        <w:tc>
          <w:tcPr>
            <w:tcW w:w="2298" w:type="pct"/>
            <w:tcBorders>
              <w:top w:val="nil"/>
              <w:left w:val="single" w:sz="4" w:space="0" w:color="auto"/>
              <w:bottom w:val="single" w:sz="4" w:space="0" w:color="auto"/>
              <w:right w:val="single" w:sz="4" w:space="0" w:color="auto"/>
            </w:tcBorders>
            <w:shd w:val="clear" w:color="auto" w:fill="auto"/>
            <w:hideMark/>
          </w:tcPr>
          <w:p w14:paraId="74B98DED" w14:textId="1E013EBD" w:rsidR="008933CC" w:rsidRPr="008877FD" w:rsidRDefault="00EC0FFD" w:rsidP="001B68E7">
            <w:pPr>
              <w:jc w:val="left"/>
              <w:rPr>
                <w:sz w:val="20"/>
                <w:lang w:val="es-ES"/>
              </w:rPr>
            </w:pPr>
            <w:r w:rsidRPr="008877FD">
              <w:rPr>
                <w:sz w:val="20"/>
                <w:lang w:val="es-ES"/>
              </w:rPr>
              <w:t>AC c</w:t>
            </w:r>
            <w:r w:rsidR="008933CC" w:rsidRPr="008877FD">
              <w:rPr>
                <w:sz w:val="20"/>
                <w:lang w:val="es-ES"/>
              </w:rPr>
              <w:t>entraliz</w:t>
            </w:r>
            <w:r w:rsidRPr="008877FD">
              <w:rPr>
                <w:sz w:val="20"/>
                <w:lang w:val="es-ES"/>
              </w:rPr>
              <w:t>ado</w:t>
            </w:r>
            <w:r w:rsidR="008933CC" w:rsidRPr="008877FD">
              <w:rPr>
                <w:sz w:val="20"/>
                <w:lang w:val="es-ES"/>
              </w:rPr>
              <w:t xml:space="preserve"> (</w:t>
            </w:r>
            <w:r w:rsidR="008877FD" w:rsidRPr="008877FD">
              <w:rPr>
                <w:sz w:val="20"/>
                <w:lang w:val="es-ES"/>
              </w:rPr>
              <w:t>de techo</w:t>
            </w:r>
            <w:r w:rsidR="008933CC" w:rsidRPr="008877FD">
              <w:rPr>
                <w:sz w:val="20"/>
                <w:lang w:val="es-ES"/>
              </w:rPr>
              <w:t xml:space="preserve">, </w:t>
            </w:r>
            <w:r w:rsidR="00192352">
              <w:rPr>
                <w:sz w:val="20"/>
                <w:lang w:val="es-ES"/>
              </w:rPr>
              <w:t>de condensador separado</w:t>
            </w:r>
            <w:r w:rsidR="008933CC" w:rsidRPr="008877FD">
              <w:rPr>
                <w:sz w:val="20"/>
                <w:lang w:val="es-ES"/>
              </w:rPr>
              <w:t xml:space="preserve">, </w:t>
            </w:r>
            <w:r w:rsidR="005B4941">
              <w:rPr>
                <w:sz w:val="20"/>
                <w:lang w:val="es-ES"/>
              </w:rPr>
              <w:t>enfriadores</w:t>
            </w:r>
            <w:r w:rsidR="008933CC" w:rsidRPr="008877FD">
              <w:rPr>
                <w:sz w:val="20"/>
                <w:lang w:val="es-ES"/>
              </w:rPr>
              <w:t>)</w:t>
            </w:r>
          </w:p>
        </w:tc>
        <w:tc>
          <w:tcPr>
            <w:tcW w:w="817" w:type="pct"/>
            <w:tcBorders>
              <w:top w:val="nil"/>
              <w:left w:val="nil"/>
              <w:bottom w:val="single" w:sz="4" w:space="0" w:color="auto"/>
              <w:right w:val="single" w:sz="4" w:space="0" w:color="auto"/>
            </w:tcBorders>
            <w:shd w:val="clear" w:color="auto" w:fill="auto"/>
            <w:tcMar>
              <w:left w:w="115" w:type="dxa"/>
              <w:right w:w="216" w:type="dxa"/>
            </w:tcMar>
          </w:tcPr>
          <w:p w14:paraId="0D86C000" w14:textId="150D5B89" w:rsidR="008933CC" w:rsidRPr="00FC2D13" w:rsidRDefault="008933CC" w:rsidP="001B68E7">
            <w:pPr>
              <w:jc w:val="right"/>
              <w:rPr>
                <w:sz w:val="20"/>
              </w:rPr>
            </w:pPr>
            <w:r w:rsidRPr="00FC2D13">
              <w:rPr>
                <w:sz w:val="20"/>
              </w:rPr>
              <w:t>15</w:t>
            </w:r>
            <w:r w:rsidR="005B4941">
              <w:rPr>
                <w:sz w:val="20"/>
              </w:rPr>
              <w:t xml:space="preserve"> </w:t>
            </w:r>
            <w:r w:rsidRPr="00FC2D13">
              <w:rPr>
                <w:sz w:val="20"/>
              </w:rPr>
              <w:t>000</w:t>
            </w:r>
          </w:p>
        </w:tc>
        <w:tc>
          <w:tcPr>
            <w:tcW w:w="942" w:type="pct"/>
            <w:tcBorders>
              <w:top w:val="nil"/>
              <w:left w:val="nil"/>
              <w:bottom w:val="single" w:sz="4" w:space="0" w:color="auto"/>
              <w:right w:val="single" w:sz="4" w:space="0" w:color="auto"/>
            </w:tcBorders>
            <w:tcMar>
              <w:left w:w="115" w:type="dxa"/>
              <w:right w:w="216" w:type="dxa"/>
            </w:tcMar>
          </w:tcPr>
          <w:p w14:paraId="05808011" w14:textId="77777777" w:rsidR="008933CC" w:rsidRPr="00FC2D13" w:rsidRDefault="008933CC" w:rsidP="001B68E7">
            <w:pPr>
              <w:jc w:val="right"/>
              <w:rPr>
                <w:color w:val="000000"/>
                <w:sz w:val="20"/>
              </w:rPr>
            </w:pPr>
            <w:r w:rsidRPr="00FC2D13">
              <w:rPr>
                <w:color w:val="000000"/>
                <w:sz w:val="20"/>
              </w:rPr>
              <w:t>8</w:t>
            </w:r>
          </w:p>
        </w:tc>
        <w:tc>
          <w:tcPr>
            <w:tcW w:w="942" w:type="pct"/>
            <w:tcBorders>
              <w:top w:val="nil"/>
              <w:left w:val="nil"/>
              <w:bottom w:val="single" w:sz="4" w:space="0" w:color="auto"/>
              <w:right w:val="single" w:sz="4" w:space="0" w:color="auto"/>
            </w:tcBorders>
          </w:tcPr>
          <w:p w14:paraId="2DBDCB44" w14:textId="68CC8155" w:rsidR="008933CC" w:rsidRPr="00FC2D13" w:rsidRDefault="008933CC" w:rsidP="001B68E7">
            <w:pPr>
              <w:jc w:val="right"/>
              <w:rPr>
                <w:color w:val="000000"/>
                <w:sz w:val="20"/>
              </w:rPr>
            </w:pPr>
            <w:r w:rsidRPr="00FC2D13">
              <w:rPr>
                <w:color w:val="000000"/>
                <w:sz w:val="20"/>
              </w:rPr>
              <w:t>0</w:t>
            </w:r>
            <w:r w:rsidR="005B4941">
              <w:rPr>
                <w:color w:val="000000"/>
                <w:sz w:val="20"/>
              </w:rPr>
              <w:t>,</w:t>
            </w:r>
            <w:r w:rsidRPr="00FC2D13">
              <w:rPr>
                <w:color w:val="000000"/>
                <w:sz w:val="20"/>
              </w:rPr>
              <w:t>44</w:t>
            </w:r>
          </w:p>
        </w:tc>
      </w:tr>
      <w:tr w:rsidR="008933CC" w:rsidRPr="00FC2D13" w14:paraId="7A65C77E" w14:textId="77777777" w:rsidTr="001B68E7">
        <w:tc>
          <w:tcPr>
            <w:tcW w:w="2298" w:type="pct"/>
            <w:tcBorders>
              <w:top w:val="nil"/>
              <w:left w:val="single" w:sz="4" w:space="0" w:color="auto"/>
              <w:bottom w:val="single" w:sz="4" w:space="0" w:color="auto"/>
              <w:right w:val="single" w:sz="4" w:space="0" w:color="auto"/>
            </w:tcBorders>
            <w:shd w:val="clear" w:color="auto" w:fill="auto"/>
            <w:hideMark/>
          </w:tcPr>
          <w:p w14:paraId="5B896F0C" w14:textId="19304199" w:rsidR="008933CC" w:rsidRPr="00FC2D13" w:rsidRDefault="005B4941" w:rsidP="001B68E7">
            <w:pPr>
              <w:jc w:val="left"/>
              <w:rPr>
                <w:sz w:val="20"/>
              </w:rPr>
            </w:pPr>
            <w:proofErr w:type="spellStart"/>
            <w:r>
              <w:rPr>
                <w:sz w:val="20"/>
              </w:rPr>
              <w:t>Refrigeración</w:t>
            </w:r>
            <w:proofErr w:type="spellEnd"/>
            <w:r>
              <w:rPr>
                <w:sz w:val="20"/>
              </w:rPr>
              <w:t xml:space="preserve"> </w:t>
            </w:r>
            <w:proofErr w:type="spellStart"/>
            <w:r>
              <w:rPr>
                <w:sz w:val="20"/>
              </w:rPr>
              <w:t>c</w:t>
            </w:r>
            <w:r w:rsidR="008933CC" w:rsidRPr="00FC2D13">
              <w:rPr>
                <w:sz w:val="20"/>
              </w:rPr>
              <w:t>omercial</w:t>
            </w:r>
            <w:proofErr w:type="spellEnd"/>
            <w:r w:rsidR="008933CC" w:rsidRPr="00FC2D13">
              <w:rPr>
                <w:sz w:val="20"/>
              </w:rPr>
              <w:t xml:space="preserve"> </w:t>
            </w:r>
            <w:r w:rsidR="003C1A5A">
              <w:rPr>
                <w:sz w:val="20"/>
              </w:rPr>
              <w:t xml:space="preserve">e </w:t>
            </w:r>
            <w:r w:rsidR="003C1A5A" w:rsidRPr="00FC2D13">
              <w:rPr>
                <w:sz w:val="20"/>
              </w:rPr>
              <w:t>industrial</w:t>
            </w:r>
          </w:p>
        </w:tc>
        <w:tc>
          <w:tcPr>
            <w:tcW w:w="817" w:type="pct"/>
            <w:tcBorders>
              <w:top w:val="nil"/>
              <w:left w:val="nil"/>
              <w:bottom w:val="single" w:sz="4" w:space="0" w:color="auto"/>
              <w:right w:val="single" w:sz="4" w:space="0" w:color="auto"/>
            </w:tcBorders>
            <w:shd w:val="clear" w:color="auto" w:fill="auto"/>
            <w:tcMar>
              <w:left w:w="115" w:type="dxa"/>
              <w:right w:w="216" w:type="dxa"/>
            </w:tcMar>
          </w:tcPr>
          <w:p w14:paraId="4276014A" w14:textId="2C70F1C0" w:rsidR="008933CC" w:rsidRPr="00FC2D13" w:rsidRDefault="008933CC" w:rsidP="001B68E7">
            <w:pPr>
              <w:jc w:val="right"/>
              <w:rPr>
                <w:sz w:val="20"/>
              </w:rPr>
            </w:pPr>
            <w:r w:rsidRPr="00FC2D13">
              <w:rPr>
                <w:sz w:val="20"/>
              </w:rPr>
              <w:t>30</w:t>
            </w:r>
            <w:r w:rsidR="005B4941">
              <w:rPr>
                <w:sz w:val="20"/>
              </w:rPr>
              <w:t xml:space="preserve"> </w:t>
            </w:r>
            <w:r w:rsidRPr="00FC2D13">
              <w:rPr>
                <w:sz w:val="20"/>
              </w:rPr>
              <w:t>000</w:t>
            </w:r>
          </w:p>
        </w:tc>
        <w:tc>
          <w:tcPr>
            <w:tcW w:w="942" w:type="pct"/>
            <w:tcBorders>
              <w:top w:val="nil"/>
              <w:left w:val="nil"/>
              <w:bottom w:val="single" w:sz="4" w:space="0" w:color="auto"/>
              <w:right w:val="single" w:sz="4" w:space="0" w:color="auto"/>
            </w:tcBorders>
            <w:tcMar>
              <w:left w:w="115" w:type="dxa"/>
              <w:right w:w="216" w:type="dxa"/>
            </w:tcMar>
          </w:tcPr>
          <w:p w14:paraId="441C5D3B" w14:textId="77777777" w:rsidR="008933CC" w:rsidRPr="00FC2D13" w:rsidRDefault="008933CC" w:rsidP="001B68E7">
            <w:pPr>
              <w:jc w:val="right"/>
              <w:rPr>
                <w:color w:val="000000"/>
                <w:sz w:val="20"/>
              </w:rPr>
            </w:pPr>
            <w:r w:rsidRPr="00FC2D13">
              <w:rPr>
                <w:color w:val="000000"/>
                <w:sz w:val="20"/>
              </w:rPr>
              <w:t>15</w:t>
            </w:r>
          </w:p>
        </w:tc>
        <w:tc>
          <w:tcPr>
            <w:tcW w:w="942" w:type="pct"/>
            <w:tcBorders>
              <w:top w:val="nil"/>
              <w:left w:val="nil"/>
              <w:bottom w:val="single" w:sz="4" w:space="0" w:color="auto"/>
              <w:right w:val="single" w:sz="4" w:space="0" w:color="auto"/>
            </w:tcBorders>
          </w:tcPr>
          <w:p w14:paraId="0F31891D" w14:textId="465A5F6A" w:rsidR="008933CC" w:rsidRPr="00FC2D13" w:rsidRDefault="008933CC" w:rsidP="001B68E7">
            <w:pPr>
              <w:jc w:val="right"/>
              <w:rPr>
                <w:color w:val="000000"/>
                <w:sz w:val="20"/>
              </w:rPr>
            </w:pPr>
            <w:r w:rsidRPr="00FC2D13">
              <w:rPr>
                <w:color w:val="000000"/>
                <w:sz w:val="20"/>
              </w:rPr>
              <w:t>0</w:t>
            </w:r>
            <w:r w:rsidR="005B4941">
              <w:rPr>
                <w:color w:val="000000"/>
                <w:sz w:val="20"/>
              </w:rPr>
              <w:t>,</w:t>
            </w:r>
            <w:r w:rsidRPr="00FC2D13">
              <w:rPr>
                <w:color w:val="000000"/>
                <w:sz w:val="20"/>
              </w:rPr>
              <w:t>83</w:t>
            </w:r>
          </w:p>
        </w:tc>
      </w:tr>
      <w:tr w:rsidR="008933CC" w:rsidRPr="00FC2D13" w14:paraId="12E7B92E" w14:textId="77777777" w:rsidTr="001B68E7">
        <w:tc>
          <w:tcPr>
            <w:tcW w:w="3116" w:type="pct"/>
            <w:gridSpan w:val="2"/>
            <w:tcBorders>
              <w:top w:val="nil"/>
              <w:left w:val="single" w:sz="4" w:space="0" w:color="auto"/>
              <w:bottom w:val="single" w:sz="4" w:space="0" w:color="auto"/>
              <w:right w:val="single" w:sz="4" w:space="0" w:color="auto"/>
            </w:tcBorders>
            <w:shd w:val="clear" w:color="auto" w:fill="auto"/>
            <w:hideMark/>
          </w:tcPr>
          <w:p w14:paraId="2DA32230" w14:textId="77777777" w:rsidR="008933CC" w:rsidRPr="00FC2D13" w:rsidRDefault="008933CC" w:rsidP="001B68E7">
            <w:pPr>
              <w:jc w:val="left"/>
              <w:rPr>
                <w:b/>
                <w:color w:val="000000"/>
                <w:sz w:val="20"/>
              </w:rPr>
            </w:pPr>
            <w:r w:rsidRPr="00FC2D13">
              <w:rPr>
                <w:b/>
                <w:sz w:val="20"/>
              </w:rPr>
              <w:t xml:space="preserve">Total </w:t>
            </w:r>
          </w:p>
        </w:tc>
        <w:tc>
          <w:tcPr>
            <w:tcW w:w="942" w:type="pct"/>
            <w:tcBorders>
              <w:top w:val="nil"/>
              <w:left w:val="nil"/>
              <w:bottom w:val="single" w:sz="4" w:space="0" w:color="auto"/>
              <w:right w:val="single" w:sz="4" w:space="0" w:color="auto"/>
            </w:tcBorders>
            <w:tcMar>
              <w:left w:w="115" w:type="dxa"/>
              <w:right w:w="216" w:type="dxa"/>
            </w:tcMar>
          </w:tcPr>
          <w:p w14:paraId="66635730" w14:textId="77777777" w:rsidR="008933CC" w:rsidRPr="00FC2D13" w:rsidRDefault="008933CC" w:rsidP="001B68E7">
            <w:pPr>
              <w:jc w:val="right"/>
              <w:rPr>
                <w:b/>
                <w:color w:val="000000"/>
                <w:sz w:val="20"/>
              </w:rPr>
            </w:pPr>
            <w:r w:rsidRPr="00FC2D13">
              <w:rPr>
                <w:b/>
                <w:color w:val="000000"/>
                <w:sz w:val="20"/>
              </w:rPr>
              <w:t>37</w:t>
            </w:r>
          </w:p>
        </w:tc>
        <w:tc>
          <w:tcPr>
            <w:tcW w:w="942" w:type="pct"/>
            <w:tcBorders>
              <w:top w:val="nil"/>
              <w:left w:val="nil"/>
              <w:bottom w:val="single" w:sz="4" w:space="0" w:color="auto"/>
              <w:right w:val="single" w:sz="4" w:space="0" w:color="auto"/>
            </w:tcBorders>
          </w:tcPr>
          <w:p w14:paraId="0C14BEC8" w14:textId="10981357" w:rsidR="008933CC" w:rsidRPr="00FC2D13" w:rsidRDefault="008933CC" w:rsidP="001B68E7">
            <w:pPr>
              <w:jc w:val="right"/>
              <w:rPr>
                <w:b/>
                <w:color w:val="000000"/>
                <w:sz w:val="20"/>
              </w:rPr>
            </w:pPr>
            <w:r w:rsidRPr="00FC2D13">
              <w:rPr>
                <w:b/>
                <w:color w:val="000000"/>
                <w:sz w:val="20"/>
              </w:rPr>
              <w:t>2</w:t>
            </w:r>
            <w:r w:rsidR="005B4941">
              <w:rPr>
                <w:b/>
                <w:color w:val="000000"/>
                <w:sz w:val="20"/>
              </w:rPr>
              <w:t>,</w:t>
            </w:r>
            <w:r w:rsidRPr="00FC2D13">
              <w:rPr>
                <w:b/>
                <w:color w:val="000000"/>
                <w:sz w:val="20"/>
              </w:rPr>
              <w:t>04</w:t>
            </w:r>
          </w:p>
        </w:tc>
      </w:tr>
    </w:tbl>
    <w:p w14:paraId="5EB7C7DD" w14:textId="18413B7F" w:rsidR="008933CC" w:rsidRPr="00F9288B" w:rsidRDefault="008933CC" w:rsidP="008933CC">
      <w:pPr>
        <w:rPr>
          <w:sz w:val="18"/>
          <w:szCs w:val="18"/>
          <w:lang w:val="es-ES"/>
        </w:rPr>
      </w:pPr>
      <w:r w:rsidRPr="00F9288B">
        <w:rPr>
          <w:sz w:val="18"/>
          <w:szCs w:val="18"/>
          <w:lang w:val="es-ES"/>
        </w:rPr>
        <w:t xml:space="preserve">* </w:t>
      </w:r>
      <w:r w:rsidR="00F9288B" w:rsidRPr="00F9288B">
        <w:rPr>
          <w:sz w:val="18"/>
          <w:szCs w:val="18"/>
          <w:lang w:val="es-ES"/>
        </w:rPr>
        <w:t>Debido a la pandemia de COVID 19, las importaciones de HCFC y la cantidad de equipos que recibieron mantenimiento fueron inusualmente bajas. Por lo tanto, la distribución estimada del consumo entre los subsectores se basó en el nivel de consumo observado en años anteriores</w:t>
      </w:r>
      <w:r w:rsidRPr="00F9288B">
        <w:rPr>
          <w:sz w:val="18"/>
          <w:szCs w:val="18"/>
          <w:lang w:val="es-ES"/>
        </w:rPr>
        <w:t>.</w:t>
      </w:r>
    </w:p>
    <w:p w14:paraId="4B7B654B" w14:textId="77777777" w:rsidR="008933CC" w:rsidRPr="00F9288B" w:rsidRDefault="008933CC" w:rsidP="008933CC">
      <w:pPr>
        <w:rPr>
          <w:b/>
          <w:lang w:val="es-ES"/>
        </w:rPr>
      </w:pPr>
    </w:p>
    <w:p w14:paraId="57E9B953" w14:textId="7BD4CE43" w:rsidR="008933CC" w:rsidRPr="00A2065C" w:rsidRDefault="00A2065C" w:rsidP="003C1A5A">
      <w:pPr>
        <w:spacing w:after="240"/>
        <w:rPr>
          <w:b/>
          <w:lang w:val="es-ES"/>
        </w:rPr>
      </w:pPr>
      <w:r w:rsidRPr="00A2065C">
        <w:rPr>
          <w:u w:val="single"/>
          <w:lang w:val="es-ES"/>
        </w:rPr>
        <w:t xml:space="preserve">Estrategia de eliminación en la etapa </w:t>
      </w:r>
      <w:r w:rsidR="008933CC" w:rsidRPr="00A2065C">
        <w:rPr>
          <w:u w:val="single"/>
          <w:lang w:val="es-ES"/>
        </w:rPr>
        <w:t xml:space="preserve">II </w:t>
      </w:r>
      <w:r>
        <w:rPr>
          <w:u w:val="single"/>
          <w:lang w:val="es-ES"/>
        </w:rPr>
        <w:t xml:space="preserve">del </w:t>
      </w:r>
      <w:r w:rsidR="00235FEF">
        <w:rPr>
          <w:u w:val="single"/>
          <w:lang w:val="es-ES"/>
        </w:rPr>
        <w:t xml:space="preserve">plan de gestión de la </w:t>
      </w:r>
      <w:r w:rsidR="00B82A7B">
        <w:rPr>
          <w:u w:val="single"/>
          <w:lang w:val="es-ES"/>
        </w:rPr>
        <w:t>eliminación de los HCFC</w:t>
      </w:r>
    </w:p>
    <w:p w14:paraId="3C777F24" w14:textId="4CDE5CD5" w:rsidR="008933CC" w:rsidRPr="005A789B" w:rsidRDefault="00EA60B4" w:rsidP="003C1A5A">
      <w:pPr>
        <w:pStyle w:val="Heading1"/>
        <w:rPr>
          <w:lang w:val="es-ES"/>
        </w:rPr>
      </w:pPr>
      <w:r w:rsidRPr="00EA60B4">
        <w:rPr>
          <w:lang w:val="es-ES"/>
        </w:rPr>
        <w:t xml:space="preserve">La etapa II del plan de gestión de la eliminación de los HCFC tiene por objeto lograr una reducción del 100% del consumo </w:t>
      </w:r>
      <w:r w:rsidR="00516BB6">
        <w:rPr>
          <w:lang w:val="es-ES"/>
        </w:rPr>
        <w:t>de referencia</w:t>
      </w:r>
      <w:r w:rsidR="004D7CAB">
        <w:rPr>
          <w:lang w:val="es-ES"/>
        </w:rPr>
        <w:t xml:space="preserve"> </w:t>
      </w:r>
      <w:r w:rsidRPr="00EA60B4">
        <w:rPr>
          <w:lang w:val="es-ES"/>
        </w:rPr>
        <w:t xml:space="preserve">de HCFC para 2030 mediante la introducción de refrigerantes de bajo potencial de calentamiento </w:t>
      </w:r>
      <w:r w:rsidR="004237A9">
        <w:rPr>
          <w:lang w:val="es-ES"/>
        </w:rPr>
        <w:t>atmosférico</w:t>
      </w:r>
      <w:r w:rsidR="000B765A">
        <w:rPr>
          <w:lang w:val="es-ES"/>
        </w:rPr>
        <w:t xml:space="preserve">, </w:t>
      </w:r>
      <w:r w:rsidRPr="00EA60B4">
        <w:rPr>
          <w:lang w:val="es-ES"/>
        </w:rPr>
        <w:t xml:space="preserve">bajo consumo energético </w:t>
      </w:r>
      <w:r w:rsidR="000B765A">
        <w:rPr>
          <w:lang w:val="es-ES"/>
        </w:rPr>
        <w:t xml:space="preserve">y </w:t>
      </w:r>
      <w:r w:rsidR="00E56C22">
        <w:rPr>
          <w:lang w:val="es-ES"/>
        </w:rPr>
        <w:t xml:space="preserve">sin </w:t>
      </w:r>
      <w:r w:rsidR="00791A67">
        <w:rPr>
          <w:lang w:val="es-ES"/>
        </w:rPr>
        <w:t xml:space="preserve">PAO </w:t>
      </w:r>
      <w:r w:rsidRPr="00EA60B4">
        <w:rPr>
          <w:lang w:val="es-ES"/>
        </w:rPr>
        <w:t>en el sector de los</w:t>
      </w:r>
      <w:r w:rsidR="00791A67">
        <w:rPr>
          <w:lang w:val="es-ES"/>
        </w:rPr>
        <w:t xml:space="preserve"> refrigerantes y a</w:t>
      </w:r>
      <w:r w:rsidR="005A789B">
        <w:rPr>
          <w:lang w:val="es-ES"/>
        </w:rPr>
        <w:t>ire acondicionado</w:t>
      </w:r>
      <w:r w:rsidRPr="00EA60B4">
        <w:rPr>
          <w:lang w:val="es-ES"/>
        </w:rPr>
        <w:t xml:space="preserve">. Las lecciones aprendidas y la infraestructura establecida durante la ejecución de la etapa I del </w:t>
      </w:r>
      <w:r w:rsidR="005A789B">
        <w:rPr>
          <w:lang w:val="es-ES"/>
        </w:rPr>
        <w:t>PGEH</w:t>
      </w:r>
      <w:r w:rsidRPr="00EA60B4">
        <w:rPr>
          <w:lang w:val="es-ES"/>
        </w:rPr>
        <w:t xml:space="preserve"> se utilizarán en la etapa</w:t>
      </w:r>
      <w:r>
        <w:rPr>
          <w:lang w:val="es-ES"/>
        </w:rPr>
        <w:t xml:space="preserve"> </w:t>
      </w:r>
      <w:r w:rsidR="008933CC" w:rsidRPr="005A789B">
        <w:rPr>
          <w:lang w:val="es-ES"/>
        </w:rPr>
        <w:t xml:space="preserve">II. </w:t>
      </w:r>
    </w:p>
    <w:p w14:paraId="4F5567B0" w14:textId="6DAD4B5B" w:rsidR="008933CC" w:rsidRPr="005C218F" w:rsidRDefault="005C218F" w:rsidP="003C1A5A">
      <w:pPr>
        <w:spacing w:after="240"/>
        <w:rPr>
          <w:u w:val="single"/>
          <w:lang w:val="es-ES"/>
        </w:rPr>
      </w:pPr>
      <w:r w:rsidRPr="005C218F">
        <w:rPr>
          <w:u w:val="single"/>
          <w:lang w:val="es-ES"/>
        </w:rPr>
        <w:t xml:space="preserve">Actividades propuestas en la etapa </w:t>
      </w:r>
      <w:r w:rsidR="008933CC" w:rsidRPr="005C218F">
        <w:rPr>
          <w:u w:val="single"/>
          <w:lang w:val="es-ES"/>
        </w:rPr>
        <w:t xml:space="preserve">II </w:t>
      </w:r>
      <w:r>
        <w:rPr>
          <w:u w:val="single"/>
          <w:lang w:val="es-ES"/>
        </w:rPr>
        <w:t xml:space="preserve">del </w:t>
      </w:r>
      <w:r w:rsidR="00145660">
        <w:rPr>
          <w:u w:val="single"/>
          <w:lang w:val="es-ES"/>
        </w:rPr>
        <w:t>PGEH</w:t>
      </w:r>
    </w:p>
    <w:p w14:paraId="79ABC6F7" w14:textId="38854263" w:rsidR="008933CC" w:rsidRPr="00BD2DB7" w:rsidRDefault="00B81937" w:rsidP="003C1A5A">
      <w:pPr>
        <w:numPr>
          <w:ilvl w:val="0"/>
          <w:numId w:val="1"/>
        </w:numPr>
        <w:spacing w:after="240"/>
        <w:outlineLvl w:val="0"/>
        <w:rPr>
          <w:lang w:val="es-ES"/>
        </w:rPr>
      </w:pPr>
      <w:r w:rsidRPr="00BD2DB7">
        <w:rPr>
          <w:lang w:val="es-ES"/>
        </w:rPr>
        <w:t>La etapa</w:t>
      </w:r>
      <w:r w:rsidR="008933CC" w:rsidRPr="00BD2DB7">
        <w:rPr>
          <w:lang w:val="es-ES"/>
        </w:rPr>
        <w:t xml:space="preserve"> II </w:t>
      </w:r>
      <w:r w:rsidRPr="00BD2DB7">
        <w:rPr>
          <w:lang w:val="es-ES"/>
        </w:rPr>
        <w:t>propone las siguientes</w:t>
      </w:r>
      <w:r w:rsidR="00980ABC" w:rsidRPr="00BD2DB7">
        <w:rPr>
          <w:lang w:val="es-ES"/>
        </w:rPr>
        <w:t xml:space="preserve"> actividades</w:t>
      </w:r>
      <w:r w:rsidR="008933CC" w:rsidRPr="00BD2DB7">
        <w:rPr>
          <w:lang w:val="es-ES"/>
        </w:rPr>
        <w:t>:</w:t>
      </w:r>
    </w:p>
    <w:p w14:paraId="4DFCDCCD" w14:textId="2E774707" w:rsidR="008933CC" w:rsidRPr="00DD1D22" w:rsidRDefault="00BD2DB7" w:rsidP="003C1A5A">
      <w:pPr>
        <w:pStyle w:val="Heading2"/>
        <w:rPr>
          <w:lang w:val="es-ES"/>
        </w:rPr>
      </w:pPr>
      <w:r w:rsidRPr="00DD1D22">
        <w:rPr>
          <w:i/>
          <w:lang w:val="es-ES"/>
        </w:rPr>
        <w:t>Fortalecimiento de la supervisión y aplicación de las medidas de control y creación de capacidad de los funcionarios encargados de la aplicación de la ley</w:t>
      </w:r>
      <w:r w:rsidR="001F5BD4" w:rsidRPr="00DD1D22">
        <w:rPr>
          <w:i/>
          <w:lang w:val="es-ES"/>
        </w:rPr>
        <w:t xml:space="preserve"> </w:t>
      </w:r>
      <w:r w:rsidR="008933CC" w:rsidRPr="00DD1D22">
        <w:rPr>
          <w:lang w:val="es-ES"/>
        </w:rPr>
        <w:t>(</w:t>
      </w:r>
      <w:r w:rsidR="001F5BD4" w:rsidRPr="00DD1D22">
        <w:rPr>
          <w:lang w:val="es-ES"/>
        </w:rPr>
        <w:t>PNUMA</w:t>
      </w:r>
      <w:r w:rsidR="008933CC" w:rsidRPr="00DD1D22">
        <w:rPr>
          <w:lang w:val="es-ES"/>
        </w:rPr>
        <w:t>) (210</w:t>
      </w:r>
      <w:r w:rsidR="001F5BD4" w:rsidRPr="00DD1D22">
        <w:rPr>
          <w:lang w:val="es-ES"/>
        </w:rPr>
        <w:t> </w:t>
      </w:r>
      <w:r w:rsidR="008933CC" w:rsidRPr="00DD1D22">
        <w:rPr>
          <w:lang w:val="es-ES"/>
        </w:rPr>
        <w:t>000</w:t>
      </w:r>
      <w:r w:rsidR="001F5BD4" w:rsidRPr="00DD1D22">
        <w:rPr>
          <w:lang w:val="es-ES"/>
        </w:rPr>
        <w:t xml:space="preserve"> $EUA</w:t>
      </w:r>
      <w:r w:rsidR="008933CC" w:rsidRPr="00DD1D22">
        <w:rPr>
          <w:lang w:val="es-ES"/>
        </w:rPr>
        <w:t xml:space="preserve">): </w:t>
      </w:r>
      <w:r w:rsidR="008C062D" w:rsidRPr="00DD1D22">
        <w:rPr>
          <w:lang w:val="es-ES"/>
        </w:rPr>
        <w:t>Revisión del plan de estudios de formación en aduanas; formación de 450 funcionarios de aduanas y otros funcionarios encargados de hacer cumplir la ley ( ampliad</w:t>
      </w:r>
      <w:r w:rsidR="007504D5">
        <w:rPr>
          <w:lang w:val="es-ES"/>
        </w:rPr>
        <w:t>a</w:t>
      </w:r>
      <w:r w:rsidR="008C062D" w:rsidRPr="00DD1D22">
        <w:rPr>
          <w:lang w:val="es-ES"/>
        </w:rPr>
        <w:t xml:space="preserve"> a 1</w:t>
      </w:r>
      <w:r w:rsidR="007504D5">
        <w:rPr>
          <w:lang w:val="es-ES"/>
        </w:rPr>
        <w:t xml:space="preserve"> </w:t>
      </w:r>
      <w:r w:rsidR="008C062D" w:rsidRPr="00DD1D22">
        <w:rPr>
          <w:lang w:val="es-ES"/>
        </w:rPr>
        <w:t>000 tras la discusión con la Secretaría) sobre</w:t>
      </w:r>
      <w:r w:rsidR="00D701F4">
        <w:rPr>
          <w:lang w:val="es-ES"/>
        </w:rPr>
        <w:t xml:space="preserve"> el marco </w:t>
      </w:r>
      <w:r w:rsidR="00526A46">
        <w:rPr>
          <w:lang w:val="es-ES"/>
        </w:rPr>
        <w:t xml:space="preserve">normativo </w:t>
      </w:r>
      <w:r w:rsidR="008C062D" w:rsidRPr="00DD1D22">
        <w:rPr>
          <w:lang w:val="es-ES"/>
        </w:rPr>
        <w:t>de las SAO, la supervisión y la prevención del comercio ilegal de SAO; suministro de seis identificadores de refrigerantes a los puntos de entrada en las aduanas; y facilitación del intercambio de información con los países vecinos sobre la entrada de HCFC a través de las fronteras</w:t>
      </w:r>
      <w:r w:rsidR="008933CC" w:rsidRPr="00DD1D22">
        <w:rPr>
          <w:lang w:val="es-ES"/>
        </w:rPr>
        <w:t>;</w:t>
      </w:r>
    </w:p>
    <w:p w14:paraId="321F8176" w14:textId="100BE6BD" w:rsidR="00EF511F" w:rsidRPr="00EF511F" w:rsidRDefault="00B91C15" w:rsidP="003C1A5A">
      <w:pPr>
        <w:pStyle w:val="Heading2"/>
        <w:rPr>
          <w:lang w:val="es-ES"/>
        </w:rPr>
      </w:pPr>
      <w:r w:rsidRPr="00EF511F">
        <w:rPr>
          <w:i/>
          <w:lang w:val="es-ES"/>
        </w:rPr>
        <w:t>Creación de capacidad de los técnicos de mantenimiento de</w:t>
      </w:r>
      <w:r w:rsidR="00CF1D59">
        <w:rPr>
          <w:i/>
          <w:lang w:val="es-ES"/>
        </w:rPr>
        <w:t xml:space="preserve"> refrigeración y aire acondicionado </w:t>
      </w:r>
      <w:r w:rsidRPr="00EF511F">
        <w:rPr>
          <w:i/>
          <w:lang w:val="es-ES"/>
        </w:rPr>
        <w:t>y establecimiento de un sistema de certificación</w:t>
      </w:r>
      <w:r w:rsidR="00CF1D59">
        <w:rPr>
          <w:i/>
          <w:lang w:val="es-ES"/>
        </w:rPr>
        <w:t xml:space="preserve"> en</w:t>
      </w:r>
      <w:r w:rsidR="00F67E59">
        <w:rPr>
          <w:i/>
          <w:lang w:val="es-ES"/>
        </w:rPr>
        <w:t xml:space="preserve"> refrigeración y aire acondicionado </w:t>
      </w:r>
      <w:r w:rsidRPr="00EF511F">
        <w:rPr>
          <w:i/>
          <w:lang w:val="es-ES"/>
        </w:rPr>
        <w:t>(PNUMA)</w:t>
      </w:r>
      <w:r w:rsidR="008933CC" w:rsidRPr="00EF511F">
        <w:rPr>
          <w:i/>
          <w:lang w:val="es-ES"/>
        </w:rPr>
        <w:t xml:space="preserve"> </w:t>
      </w:r>
      <w:r w:rsidR="008933CC" w:rsidRPr="00EF511F">
        <w:rPr>
          <w:lang w:val="es-ES"/>
        </w:rPr>
        <w:t>(340</w:t>
      </w:r>
      <w:r w:rsidRPr="00EF511F">
        <w:rPr>
          <w:lang w:val="es-ES"/>
        </w:rPr>
        <w:t xml:space="preserve"> </w:t>
      </w:r>
      <w:r w:rsidR="008933CC" w:rsidRPr="00EF511F">
        <w:rPr>
          <w:lang w:val="es-ES"/>
        </w:rPr>
        <w:t>000</w:t>
      </w:r>
      <w:r w:rsidRPr="00EF511F">
        <w:rPr>
          <w:lang w:val="es-ES"/>
        </w:rPr>
        <w:t xml:space="preserve"> $EUA</w:t>
      </w:r>
      <w:r w:rsidR="008933CC" w:rsidRPr="00EF511F">
        <w:rPr>
          <w:lang w:val="es-ES"/>
        </w:rPr>
        <w:t>):</w:t>
      </w:r>
      <w:r w:rsidR="008933CC" w:rsidRPr="00EF511F">
        <w:rPr>
          <w:i/>
          <w:lang w:val="es-ES"/>
        </w:rPr>
        <w:t xml:space="preserve"> </w:t>
      </w:r>
      <w:r w:rsidR="00EF511F" w:rsidRPr="00EF511F">
        <w:rPr>
          <w:lang w:val="es-ES"/>
        </w:rPr>
        <w:t>Formación de 720 técnicos (aumentada a 6</w:t>
      </w:r>
      <w:r w:rsidR="00D55FC0">
        <w:rPr>
          <w:lang w:val="es-ES"/>
        </w:rPr>
        <w:t xml:space="preserve"> </w:t>
      </w:r>
      <w:r w:rsidR="00EF511F" w:rsidRPr="00EF511F">
        <w:rPr>
          <w:lang w:val="es-ES"/>
        </w:rPr>
        <w:t xml:space="preserve">400 tras </w:t>
      </w:r>
      <w:r w:rsidR="00626E75">
        <w:rPr>
          <w:lang w:val="es-ES"/>
        </w:rPr>
        <w:t>haber discutido</w:t>
      </w:r>
      <w:r w:rsidR="00EF511F" w:rsidRPr="00EF511F">
        <w:rPr>
          <w:lang w:val="es-ES"/>
        </w:rPr>
        <w:t xml:space="preserve"> con la Secretaría) </w:t>
      </w:r>
      <w:r w:rsidR="00A04085">
        <w:rPr>
          <w:lang w:val="es-ES"/>
        </w:rPr>
        <w:t>sobre las</w:t>
      </w:r>
      <w:r w:rsidR="00EF511F" w:rsidRPr="00EF511F">
        <w:rPr>
          <w:lang w:val="es-ES"/>
        </w:rPr>
        <w:t xml:space="preserve"> prácticas </w:t>
      </w:r>
      <w:r w:rsidR="00A04085">
        <w:rPr>
          <w:lang w:val="es-ES"/>
        </w:rPr>
        <w:t xml:space="preserve">idóneas </w:t>
      </w:r>
      <w:r w:rsidR="00EF511F" w:rsidRPr="00EF511F">
        <w:rPr>
          <w:lang w:val="es-ES"/>
        </w:rPr>
        <w:t>de mantenimiento; establecimiento de un plan de certificación de técnicos (y certificación de 3</w:t>
      </w:r>
      <w:r w:rsidR="00626E75">
        <w:rPr>
          <w:lang w:val="es-ES"/>
        </w:rPr>
        <w:t xml:space="preserve"> </w:t>
      </w:r>
      <w:r w:rsidR="00EF511F" w:rsidRPr="00EF511F">
        <w:rPr>
          <w:lang w:val="es-ES"/>
        </w:rPr>
        <w:t xml:space="preserve">500 técnicos tras </w:t>
      </w:r>
      <w:r w:rsidR="00626E75">
        <w:rPr>
          <w:lang w:val="es-ES"/>
        </w:rPr>
        <w:t xml:space="preserve">un </w:t>
      </w:r>
      <w:r w:rsidR="00EF511F" w:rsidRPr="00EF511F">
        <w:rPr>
          <w:lang w:val="es-ES"/>
        </w:rPr>
        <w:t xml:space="preserve"> debate con la Secretaría); actualización de los códigos de conducta nacionales para los técnicos de refrigeración y revisión del plan de estudios nacional de formación en </w:t>
      </w:r>
      <w:r w:rsidR="00EF511F" w:rsidRPr="00EF511F">
        <w:rPr>
          <w:lang w:val="es-ES"/>
        </w:rPr>
        <w:lastRenderedPageBreak/>
        <w:t xml:space="preserve">refrigeración; concienciación de los usuarios finales sobre la necesidad de eliminar los HCFC y adoptar tecnologías de bajo potencial de calentamiento atmosférico; y apoyo continuado a </w:t>
      </w:r>
      <w:r w:rsidR="00562834">
        <w:rPr>
          <w:lang w:val="es-ES"/>
        </w:rPr>
        <w:t xml:space="preserve"> la </w:t>
      </w:r>
      <w:r w:rsidR="00EF511F" w:rsidRPr="00EF511F">
        <w:rPr>
          <w:lang w:val="es-ES"/>
        </w:rPr>
        <w:t>ACOPROF y a los institutos de formación; y</w:t>
      </w:r>
    </w:p>
    <w:p w14:paraId="02CF2F3C" w14:textId="26D8CA4D" w:rsidR="008933CC" w:rsidRPr="00D30C55" w:rsidRDefault="00965A7C" w:rsidP="003C1A5A">
      <w:pPr>
        <w:pStyle w:val="Heading2"/>
        <w:rPr>
          <w:lang w:val="es-ES"/>
        </w:rPr>
      </w:pPr>
      <w:r w:rsidRPr="00965A7C">
        <w:rPr>
          <w:lang w:val="es-ES"/>
        </w:rPr>
        <w:t>Apoyo a la industria de mantenimiento y a los institutos técnicos (PNUD) (525</w:t>
      </w:r>
      <w:r w:rsidR="00F521B4">
        <w:rPr>
          <w:lang w:val="es-ES"/>
        </w:rPr>
        <w:t xml:space="preserve"> </w:t>
      </w:r>
      <w:r w:rsidRPr="00965A7C">
        <w:rPr>
          <w:lang w:val="es-ES"/>
        </w:rPr>
        <w:t xml:space="preserve">000 </w:t>
      </w:r>
      <w:r w:rsidR="00F521B4" w:rsidRPr="00EF511F">
        <w:rPr>
          <w:lang w:val="es-ES"/>
        </w:rPr>
        <w:t>$EUA</w:t>
      </w:r>
      <w:r w:rsidRPr="00965A7C">
        <w:rPr>
          <w:lang w:val="es-ES"/>
        </w:rPr>
        <w:t>): Adquisición y distribución de herramientas y equipos</w:t>
      </w:r>
      <w:r w:rsidR="00F5743F" w:rsidRPr="00FC2D13">
        <w:rPr>
          <w:rStyle w:val="FootnoteReference"/>
        </w:rPr>
        <w:footnoteReference w:id="7"/>
      </w:r>
      <w:r w:rsidR="00F5743F" w:rsidRPr="00F5743F">
        <w:rPr>
          <w:lang w:val="es-ES"/>
        </w:rPr>
        <w:t xml:space="preserve"> </w:t>
      </w:r>
      <w:r w:rsidRPr="00965A7C">
        <w:rPr>
          <w:lang w:val="es-ES"/>
        </w:rPr>
        <w:t>complementarios para siete centros de formación que recibieron ayuda en la fase I; creación de un nuevo centro de formación principal; y establecimiento de un sistema de recuperación y reciclaje, incluidos dos centros de reciclaje</w:t>
      </w:r>
      <w:r w:rsidR="008933CC" w:rsidRPr="00D30C55">
        <w:rPr>
          <w:lang w:val="es-ES"/>
        </w:rPr>
        <w:t>.</w:t>
      </w:r>
      <w:r w:rsidR="008933CC" w:rsidRPr="00FC2D13">
        <w:rPr>
          <w:rStyle w:val="FootnoteReference"/>
        </w:rPr>
        <w:footnoteReference w:id="8"/>
      </w:r>
    </w:p>
    <w:p w14:paraId="6153BDFA" w14:textId="67E35CEE" w:rsidR="008933CC" w:rsidRPr="00FC2D13" w:rsidRDefault="00D30C55" w:rsidP="003C1A5A">
      <w:pPr>
        <w:keepNext/>
        <w:spacing w:after="240"/>
        <w:rPr>
          <w:i/>
        </w:rPr>
      </w:pPr>
      <w:proofErr w:type="spellStart"/>
      <w:r>
        <w:rPr>
          <w:i/>
        </w:rPr>
        <w:t>Supervisión</w:t>
      </w:r>
      <w:proofErr w:type="spellEnd"/>
      <w:r>
        <w:rPr>
          <w:i/>
        </w:rPr>
        <w:t xml:space="preserve"> de</w:t>
      </w:r>
      <w:r w:rsidR="00E8551E">
        <w:rPr>
          <w:i/>
        </w:rPr>
        <w:t>l</w:t>
      </w:r>
      <w:r>
        <w:rPr>
          <w:i/>
        </w:rPr>
        <w:t xml:space="preserve"> </w:t>
      </w:r>
      <w:proofErr w:type="spellStart"/>
      <w:r>
        <w:rPr>
          <w:i/>
        </w:rPr>
        <w:t>proyecto</w:t>
      </w:r>
      <w:proofErr w:type="spellEnd"/>
    </w:p>
    <w:p w14:paraId="37A0AE06" w14:textId="54AEA89F" w:rsidR="008933CC" w:rsidRPr="00023179" w:rsidRDefault="00947681" w:rsidP="003C1A5A">
      <w:pPr>
        <w:keepNext/>
        <w:numPr>
          <w:ilvl w:val="0"/>
          <w:numId w:val="1"/>
        </w:numPr>
        <w:tabs>
          <w:tab w:val="clear" w:pos="0"/>
        </w:tabs>
        <w:spacing w:after="240"/>
        <w:outlineLvl w:val="0"/>
        <w:rPr>
          <w:lang w:val="es-ES"/>
        </w:rPr>
      </w:pPr>
      <w:r w:rsidRPr="00947681">
        <w:rPr>
          <w:lang w:val="es-ES"/>
        </w:rPr>
        <w:t xml:space="preserve">El sistema establecido en la etapa I del plan de gestión de la eliminación de los HCFC continuará en la etapa II, en la que la </w:t>
      </w:r>
      <w:r>
        <w:rPr>
          <w:lang w:val="es-ES"/>
        </w:rPr>
        <w:t>D</w:t>
      </w:r>
      <w:r w:rsidRPr="00947681">
        <w:rPr>
          <w:lang w:val="es-ES"/>
        </w:rPr>
        <w:t xml:space="preserve">ependencia </w:t>
      </w:r>
      <w:r>
        <w:rPr>
          <w:lang w:val="es-ES"/>
        </w:rPr>
        <w:t>N</w:t>
      </w:r>
      <w:r w:rsidRPr="00947681">
        <w:rPr>
          <w:lang w:val="es-ES"/>
        </w:rPr>
        <w:t xml:space="preserve">acional del </w:t>
      </w:r>
      <w:r>
        <w:rPr>
          <w:lang w:val="es-ES"/>
        </w:rPr>
        <w:t>O</w:t>
      </w:r>
      <w:r w:rsidRPr="00947681">
        <w:rPr>
          <w:lang w:val="es-ES"/>
        </w:rPr>
        <w:t>zono</w:t>
      </w:r>
      <w:r w:rsidR="00B872AE">
        <w:rPr>
          <w:lang w:val="es-ES"/>
        </w:rPr>
        <w:t xml:space="preserve"> </w:t>
      </w:r>
      <w:r w:rsidRPr="00947681">
        <w:rPr>
          <w:lang w:val="es-ES"/>
        </w:rPr>
        <w:t>brindará asistencia en la ejecución, la supervisión y la presentación de informes de las actividades, y no se establecerá una dependencia separada de ejecución y supervisión del proyecto. El costo para el PNUMA asciende a 50</w:t>
      </w:r>
      <w:r w:rsidR="00B872AE">
        <w:rPr>
          <w:lang w:val="es-ES"/>
        </w:rPr>
        <w:t xml:space="preserve"> </w:t>
      </w:r>
      <w:r w:rsidRPr="00947681">
        <w:rPr>
          <w:lang w:val="es-ES"/>
        </w:rPr>
        <w:t xml:space="preserve">000 </w:t>
      </w:r>
      <w:r w:rsidR="00B872AE" w:rsidRPr="00EF511F">
        <w:rPr>
          <w:lang w:val="es-ES"/>
        </w:rPr>
        <w:t>$EUA</w:t>
      </w:r>
      <w:r w:rsidRPr="00947681">
        <w:rPr>
          <w:lang w:val="es-ES"/>
        </w:rPr>
        <w:t>, e incluye el personal y los consultores del proyecto (25</w:t>
      </w:r>
      <w:r w:rsidR="00B872AE">
        <w:rPr>
          <w:lang w:val="es-ES"/>
        </w:rPr>
        <w:t xml:space="preserve"> </w:t>
      </w:r>
      <w:r w:rsidRPr="00947681">
        <w:rPr>
          <w:lang w:val="es-ES"/>
        </w:rPr>
        <w:t xml:space="preserve">000 </w:t>
      </w:r>
      <w:r w:rsidR="00B872AE" w:rsidRPr="00EF511F">
        <w:rPr>
          <w:lang w:val="es-ES"/>
        </w:rPr>
        <w:t>$EUA</w:t>
      </w:r>
      <w:r w:rsidRPr="00947681">
        <w:rPr>
          <w:lang w:val="es-ES"/>
        </w:rPr>
        <w:t>), los viajes nacionales (20</w:t>
      </w:r>
      <w:r w:rsidR="00B872AE">
        <w:rPr>
          <w:lang w:val="es-ES"/>
        </w:rPr>
        <w:t xml:space="preserve"> </w:t>
      </w:r>
      <w:r w:rsidRPr="00947681">
        <w:rPr>
          <w:lang w:val="es-ES"/>
        </w:rPr>
        <w:t xml:space="preserve">000 </w:t>
      </w:r>
      <w:r w:rsidR="00B872AE" w:rsidRPr="00EF511F">
        <w:rPr>
          <w:lang w:val="es-ES"/>
        </w:rPr>
        <w:t>$EUA</w:t>
      </w:r>
      <w:r w:rsidRPr="00947681">
        <w:rPr>
          <w:lang w:val="es-ES"/>
        </w:rPr>
        <w:t>) y las reuniones y talleres (5</w:t>
      </w:r>
      <w:r w:rsidR="00B872AE">
        <w:rPr>
          <w:lang w:val="es-ES"/>
        </w:rPr>
        <w:t xml:space="preserve"> </w:t>
      </w:r>
      <w:r w:rsidRPr="00947681">
        <w:rPr>
          <w:lang w:val="es-ES"/>
        </w:rPr>
        <w:t xml:space="preserve">000 </w:t>
      </w:r>
      <w:r w:rsidR="00B872AE" w:rsidRPr="00EF511F">
        <w:rPr>
          <w:lang w:val="es-ES"/>
        </w:rPr>
        <w:t>$EUA</w:t>
      </w:r>
      <w:r w:rsidRPr="00947681">
        <w:rPr>
          <w:lang w:val="es-ES"/>
        </w:rPr>
        <w:t>)</w:t>
      </w:r>
      <w:r w:rsidR="008933CC" w:rsidRPr="00023179">
        <w:rPr>
          <w:lang w:val="es-ES"/>
        </w:rPr>
        <w:t>.</w:t>
      </w:r>
    </w:p>
    <w:p w14:paraId="2A40E83C" w14:textId="3F6B6A7D" w:rsidR="008933CC" w:rsidRPr="00023179" w:rsidRDefault="00023179" w:rsidP="003C1A5A">
      <w:pPr>
        <w:widowControl w:val="0"/>
        <w:spacing w:after="240"/>
        <w:outlineLvl w:val="0"/>
        <w:rPr>
          <w:i/>
          <w:lang w:val="es-ES"/>
        </w:rPr>
      </w:pPr>
      <w:r w:rsidRPr="00023179">
        <w:rPr>
          <w:i/>
          <w:lang w:val="es-ES"/>
        </w:rPr>
        <w:t>Ejecución de una política de género</w:t>
      </w:r>
      <w:r w:rsidR="008933CC" w:rsidRPr="00B23DC6">
        <w:rPr>
          <w:i/>
          <w:vertAlign w:val="superscript"/>
        </w:rPr>
        <w:footnoteReference w:id="9"/>
      </w:r>
    </w:p>
    <w:p w14:paraId="171A0749" w14:textId="5AEB3AF5" w:rsidR="008933CC" w:rsidRPr="00750CF9" w:rsidRDefault="000C483A" w:rsidP="003C1A5A">
      <w:pPr>
        <w:pStyle w:val="Heading1"/>
        <w:rPr>
          <w:lang w:val="es-ES"/>
        </w:rPr>
      </w:pPr>
      <w:r w:rsidRPr="000C483A">
        <w:rPr>
          <w:lang w:val="es-ES"/>
        </w:rPr>
        <w:t>La igualdad de género se integrará en los componentes de la fase II del plan de gestión de la eliminación de los HCFC, proporcionando oportunidades para la participación igualitaria y significativa de mujeres y hombres en las actividades del proyecto. Los datos desglosados por género se utilizarán para supervisar el rendimiento del proyecto y evaluar su impacto. Se llevarán a cabo actividades de divulgación, incluyendo foros públicos y sesiones informativas. La D</w:t>
      </w:r>
      <w:r>
        <w:rPr>
          <w:lang w:val="es-ES"/>
        </w:rPr>
        <w:t>ependencia Nacional del Ozono</w:t>
      </w:r>
      <w:r w:rsidRPr="000C483A">
        <w:rPr>
          <w:lang w:val="es-ES"/>
        </w:rPr>
        <w:t xml:space="preserve"> se asegurará de que se tengan en cuenta las disposiciones específicas de género de la estrategia nacional de desarrollo, la política de educación y formación, así como la política nacional de género. Además, en las reuniones y sesiones de formación se intentará incorporar sesiones sobre género para sensibilizar aún más a los participantes sobre la importancia de la integración de la perspectiva de género. Las actividades de comunicación y concienciación estarán orientadas a este fin, dirigidas a las mujeres como grupo de audiencia específico. La publicación del PNUD sobre el género y el Protocolo de Montreal también se utilizará como </w:t>
      </w:r>
      <w:r w:rsidR="00750CF9" w:rsidRPr="000F6274">
        <w:rPr>
          <w:lang w:val="es-ES"/>
        </w:rPr>
        <w:t>recurso</w:t>
      </w:r>
      <w:r w:rsidRPr="000C483A">
        <w:rPr>
          <w:lang w:val="es-ES"/>
        </w:rPr>
        <w:t xml:space="preserve"> en este proceso</w:t>
      </w:r>
      <w:r w:rsidR="008933CC" w:rsidRPr="00750CF9">
        <w:rPr>
          <w:lang w:val="es-ES"/>
        </w:rPr>
        <w:t>.</w:t>
      </w:r>
    </w:p>
    <w:p w14:paraId="5C964BEB" w14:textId="237E07C1" w:rsidR="008933CC" w:rsidRPr="00750CF9" w:rsidRDefault="00750CF9" w:rsidP="003C1A5A">
      <w:pPr>
        <w:spacing w:after="240"/>
        <w:outlineLvl w:val="0"/>
        <w:rPr>
          <w:u w:val="single"/>
          <w:lang w:val="es-ES"/>
        </w:rPr>
      </w:pPr>
      <w:r w:rsidRPr="00750CF9">
        <w:rPr>
          <w:u w:val="single"/>
          <w:lang w:val="es-ES"/>
        </w:rPr>
        <w:t>Costo t</w:t>
      </w:r>
      <w:r w:rsidR="008933CC" w:rsidRPr="00750CF9">
        <w:rPr>
          <w:u w:val="single"/>
          <w:lang w:val="es-ES"/>
        </w:rPr>
        <w:t xml:space="preserve">otal </w:t>
      </w:r>
      <w:r w:rsidRPr="00750CF9">
        <w:rPr>
          <w:u w:val="single"/>
          <w:lang w:val="es-ES"/>
        </w:rPr>
        <w:t>de la etapa</w:t>
      </w:r>
      <w:r w:rsidR="008933CC" w:rsidRPr="00750CF9">
        <w:rPr>
          <w:u w:val="single"/>
          <w:lang w:val="es-ES"/>
        </w:rPr>
        <w:t xml:space="preserve"> II </w:t>
      </w:r>
      <w:r>
        <w:rPr>
          <w:u w:val="single"/>
          <w:lang w:val="es-ES"/>
        </w:rPr>
        <w:t xml:space="preserve">del </w:t>
      </w:r>
      <w:r w:rsidR="003839AA">
        <w:rPr>
          <w:u w:val="single"/>
          <w:lang w:val="es-ES"/>
        </w:rPr>
        <w:t>plan de gestión de la eliminación de los HCFC</w:t>
      </w:r>
    </w:p>
    <w:p w14:paraId="0CEB4C64" w14:textId="4C75CC70" w:rsidR="008933CC" w:rsidRPr="00FD6FE3" w:rsidRDefault="00FD6FE3" w:rsidP="003C1A5A">
      <w:pPr>
        <w:pStyle w:val="Heading1"/>
        <w:rPr>
          <w:lang w:val="es-ES"/>
        </w:rPr>
      </w:pPr>
      <w:r w:rsidRPr="00FD6FE3">
        <w:rPr>
          <w:lang w:val="es-ES"/>
        </w:rPr>
        <w:t>El costo total de la etapa II del plan de gestión de la eliminación de los HCFC para la República Democrática del Congo se ha estimado en 1</w:t>
      </w:r>
      <w:r>
        <w:rPr>
          <w:lang w:val="es-ES"/>
        </w:rPr>
        <w:t> </w:t>
      </w:r>
      <w:r w:rsidRPr="00FD6FE3">
        <w:rPr>
          <w:lang w:val="es-ES"/>
        </w:rPr>
        <w:t>125</w:t>
      </w:r>
      <w:r>
        <w:rPr>
          <w:lang w:val="es-ES"/>
        </w:rPr>
        <w:t xml:space="preserve"> </w:t>
      </w:r>
      <w:r w:rsidRPr="00FD6FE3">
        <w:rPr>
          <w:lang w:val="es-ES"/>
        </w:rPr>
        <w:t xml:space="preserve">000 </w:t>
      </w:r>
      <w:r w:rsidRPr="00EF511F">
        <w:rPr>
          <w:lang w:val="es-ES"/>
        </w:rPr>
        <w:t>$EUA</w:t>
      </w:r>
      <w:r w:rsidRPr="00FD6FE3">
        <w:rPr>
          <w:lang w:val="es-ES"/>
        </w:rPr>
        <w:t xml:space="preserve"> (más los gastos de apoyo al organismo), como se presentó originalmente, para lograr una reducción del 100% de su consumo de </w:t>
      </w:r>
      <w:r w:rsidR="00B2491C">
        <w:rPr>
          <w:lang w:val="es-ES"/>
        </w:rPr>
        <w:t xml:space="preserve">referencia </w:t>
      </w:r>
      <w:r w:rsidRPr="00FD6FE3">
        <w:rPr>
          <w:lang w:val="es-ES"/>
        </w:rPr>
        <w:t>de HCFC para 2030. Las actividades propuestas y el desglose de cost</w:t>
      </w:r>
      <w:r w:rsidR="003839AA">
        <w:rPr>
          <w:lang w:val="es-ES"/>
        </w:rPr>
        <w:t>o</w:t>
      </w:r>
      <w:r w:rsidRPr="00FD6FE3">
        <w:rPr>
          <w:lang w:val="es-ES"/>
        </w:rPr>
        <w:t>s se resumen en</w:t>
      </w:r>
      <w:r w:rsidR="008933CC" w:rsidRPr="00FD6FE3">
        <w:rPr>
          <w:lang w:val="es-ES"/>
        </w:rPr>
        <w:t xml:space="preserve"> </w:t>
      </w:r>
      <w:r>
        <w:rPr>
          <w:lang w:val="es-ES"/>
        </w:rPr>
        <w:t>el Cuadro</w:t>
      </w:r>
      <w:r w:rsidR="008933CC" w:rsidRPr="00FD6FE3">
        <w:rPr>
          <w:lang w:val="es-ES"/>
        </w:rPr>
        <w:t xml:space="preserve"> 3. </w:t>
      </w:r>
    </w:p>
    <w:p w14:paraId="39DE5FE3" w14:textId="2589327B" w:rsidR="008933CC" w:rsidRPr="0090558B" w:rsidRDefault="005D072D" w:rsidP="003C1A5A">
      <w:pPr>
        <w:keepNext/>
        <w:keepLines/>
        <w:widowControl w:val="0"/>
        <w:rPr>
          <w:b/>
          <w:lang w:val="es-ES"/>
        </w:rPr>
      </w:pPr>
      <w:r w:rsidRPr="00257E3C">
        <w:rPr>
          <w:b/>
          <w:lang w:val="es-ES"/>
        </w:rPr>
        <w:lastRenderedPageBreak/>
        <w:t>Cuadro</w:t>
      </w:r>
      <w:r w:rsidR="008933CC" w:rsidRPr="00257E3C">
        <w:rPr>
          <w:b/>
          <w:lang w:val="es-ES"/>
        </w:rPr>
        <w:t xml:space="preserve"> 3. </w:t>
      </w:r>
      <w:r w:rsidRPr="0090558B">
        <w:rPr>
          <w:b/>
          <w:lang w:val="es-ES"/>
        </w:rPr>
        <w:t>Costo t</w:t>
      </w:r>
      <w:r w:rsidR="008933CC" w:rsidRPr="0090558B">
        <w:rPr>
          <w:b/>
          <w:lang w:val="es-ES"/>
        </w:rPr>
        <w:t xml:space="preserve">otal </w:t>
      </w:r>
      <w:r w:rsidRPr="0090558B">
        <w:rPr>
          <w:b/>
          <w:lang w:val="es-ES"/>
        </w:rPr>
        <w:t>de la etapa</w:t>
      </w:r>
      <w:r w:rsidR="008933CC" w:rsidRPr="0090558B">
        <w:rPr>
          <w:b/>
          <w:lang w:val="es-ES"/>
        </w:rPr>
        <w:t xml:space="preserve"> II </w:t>
      </w:r>
      <w:r w:rsidRPr="0090558B">
        <w:rPr>
          <w:b/>
          <w:lang w:val="es-ES"/>
        </w:rPr>
        <w:t>del PGEH</w:t>
      </w:r>
      <w:r w:rsidR="008933CC" w:rsidRPr="0090558B">
        <w:rPr>
          <w:b/>
          <w:lang w:val="es-ES"/>
        </w:rPr>
        <w:t xml:space="preserve"> </w:t>
      </w:r>
      <w:r w:rsidR="0090558B" w:rsidRPr="0090558B">
        <w:rPr>
          <w:b/>
          <w:lang w:val="es-ES"/>
        </w:rPr>
        <w:t>para la R</w:t>
      </w:r>
      <w:r w:rsidR="0090558B">
        <w:rPr>
          <w:b/>
          <w:lang w:val="es-ES"/>
        </w:rPr>
        <w:t>epública Democrática del</w:t>
      </w:r>
      <w:r w:rsidR="008933CC" w:rsidRPr="0090558B">
        <w:rPr>
          <w:b/>
          <w:lang w:val="es-ES"/>
        </w:rPr>
        <w:t xml:space="preserve"> Congo </w:t>
      </w:r>
      <w:r w:rsidR="0090558B">
        <w:rPr>
          <w:b/>
          <w:lang w:val="es-ES"/>
        </w:rPr>
        <w:t>tal como se presentó</w:t>
      </w:r>
      <w:r w:rsidR="008933CC" w:rsidRPr="0090558B">
        <w:rPr>
          <w:b/>
          <w:lang w:val="es-ES"/>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1421"/>
      </w:tblGrid>
      <w:tr w:rsidR="008933CC" w:rsidRPr="00DF7799" w14:paraId="70718AC4" w14:textId="77777777" w:rsidTr="0090558B">
        <w:trPr>
          <w:trHeight w:val="251"/>
        </w:trPr>
        <w:tc>
          <w:tcPr>
            <w:tcW w:w="3560" w:type="pct"/>
            <w:shd w:val="clear" w:color="auto" w:fill="auto"/>
            <w:vAlign w:val="center"/>
            <w:hideMark/>
          </w:tcPr>
          <w:p w14:paraId="23114CDA" w14:textId="38E2F3B0" w:rsidR="008933CC" w:rsidRPr="00DF7799" w:rsidRDefault="008933CC" w:rsidP="003C1A5A">
            <w:pPr>
              <w:keepNext/>
              <w:keepLines/>
              <w:widowControl w:val="0"/>
              <w:jc w:val="center"/>
              <w:rPr>
                <w:b/>
                <w:color w:val="000000"/>
                <w:sz w:val="20"/>
                <w:szCs w:val="20"/>
              </w:rPr>
            </w:pPr>
            <w:proofErr w:type="spellStart"/>
            <w:r w:rsidRPr="00DF7799">
              <w:rPr>
                <w:b/>
                <w:color w:val="000000"/>
                <w:sz w:val="20"/>
                <w:szCs w:val="20"/>
              </w:rPr>
              <w:t>Activi</w:t>
            </w:r>
            <w:r w:rsidR="0090558B">
              <w:rPr>
                <w:b/>
                <w:color w:val="000000"/>
                <w:sz w:val="20"/>
                <w:szCs w:val="20"/>
              </w:rPr>
              <w:t>dad</w:t>
            </w:r>
            <w:proofErr w:type="spellEnd"/>
          </w:p>
        </w:tc>
        <w:tc>
          <w:tcPr>
            <w:tcW w:w="681" w:type="pct"/>
          </w:tcPr>
          <w:p w14:paraId="69BE0250" w14:textId="0A825B0B" w:rsidR="008933CC" w:rsidRPr="00DF7799" w:rsidRDefault="0090558B" w:rsidP="003C1A5A">
            <w:pPr>
              <w:keepNext/>
              <w:keepLines/>
              <w:widowControl w:val="0"/>
              <w:jc w:val="center"/>
              <w:rPr>
                <w:b/>
                <w:color w:val="000000"/>
                <w:sz w:val="20"/>
                <w:szCs w:val="20"/>
              </w:rPr>
            </w:pPr>
            <w:proofErr w:type="spellStart"/>
            <w:r>
              <w:rPr>
                <w:b/>
                <w:color w:val="000000"/>
                <w:sz w:val="20"/>
                <w:szCs w:val="20"/>
              </w:rPr>
              <w:t>Organismo</w:t>
            </w:r>
            <w:proofErr w:type="spellEnd"/>
          </w:p>
        </w:tc>
        <w:tc>
          <w:tcPr>
            <w:tcW w:w="759" w:type="pct"/>
            <w:shd w:val="clear" w:color="auto" w:fill="auto"/>
            <w:vAlign w:val="center"/>
            <w:hideMark/>
          </w:tcPr>
          <w:p w14:paraId="396B9CF7" w14:textId="3990A29B" w:rsidR="008933CC" w:rsidRPr="00DF7799" w:rsidRDefault="008933CC" w:rsidP="003C1A5A">
            <w:pPr>
              <w:keepNext/>
              <w:keepLines/>
              <w:widowControl w:val="0"/>
              <w:jc w:val="center"/>
              <w:rPr>
                <w:b/>
                <w:color w:val="000000"/>
                <w:sz w:val="20"/>
                <w:szCs w:val="20"/>
              </w:rPr>
            </w:pPr>
            <w:proofErr w:type="spellStart"/>
            <w:r w:rsidRPr="00DF7799">
              <w:rPr>
                <w:b/>
                <w:color w:val="000000"/>
                <w:sz w:val="20"/>
                <w:szCs w:val="20"/>
              </w:rPr>
              <w:t>Cos</w:t>
            </w:r>
            <w:r w:rsidR="0090558B">
              <w:rPr>
                <w:b/>
                <w:color w:val="000000"/>
                <w:sz w:val="20"/>
                <w:szCs w:val="20"/>
              </w:rPr>
              <w:t>to</w:t>
            </w:r>
            <w:proofErr w:type="spellEnd"/>
            <w:r w:rsidRPr="00DF7799">
              <w:rPr>
                <w:b/>
                <w:color w:val="000000"/>
                <w:sz w:val="20"/>
                <w:szCs w:val="20"/>
              </w:rPr>
              <w:t xml:space="preserve"> ($</w:t>
            </w:r>
            <w:r w:rsidR="0090558B">
              <w:rPr>
                <w:b/>
                <w:color w:val="000000"/>
                <w:sz w:val="20"/>
                <w:szCs w:val="20"/>
              </w:rPr>
              <w:t>EUA</w:t>
            </w:r>
            <w:r w:rsidRPr="00DF7799">
              <w:rPr>
                <w:b/>
                <w:color w:val="000000"/>
                <w:sz w:val="20"/>
                <w:szCs w:val="20"/>
              </w:rPr>
              <w:t>)</w:t>
            </w:r>
          </w:p>
        </w:tc>
      </w:tr>
      <w:tr w:rsidR="008933CC" w:rsidRPr="00DF7799" w14:paraId="0D39A695" w14:textId="77777777" w:rsidTr="0090558B">
        <w:tc>
          <w:tcPr>
            <w:tcW w:w="3560" w:type="pct"/>
            <w:shd w:val="clear" w:color="auto" w:fill="auto"/>
            <w:noWrap/>
          </w:tcPr>
          <w:p w14:paraId="4EE575A4" w14:textId="085EDA2E" w:rsidR="008933CC" w:rsidRPr="00F50194" w:rsidRDefault="00F50194" w:rsidP="003C1A5A">
            <w:pPr>
              <w:keepNext/>
              <w:keepLines/>
              <w:widowControl w:val="0"/>
              <w:jc w:val="left"/>
              <w:rPr>
                <w:color w:val="000000"/>
                <w:sz w:val="20"/>
                <w:szCs w:val="20"/>
                <w:lang w:val="es-ES"/>
              </w:rPr>
            </w:pPr>
            <w:r w:rsidRPr="00F50194">
              <w:rPr>
                <w:sz w:val="20"/>
                <w:szCs w:val="20"/>
                <w:lang w:val="es-ES"/>
              </w:rPr>
              <w:t>Fortalecimiento de</w:t>
            </w:r>
            <w:r w:rsidR="00FC6B1C">
              <w:rPr>
                <w:sz w:val="20"/>
                <w:szCs w:val="20"/>
                <w:lang w:val="es-ES"/>
              </w:rPr>
              <w:t xml:space="preserve"> la supervisión </w:t>
            </w:r>
            <w:r w:rsidRPr="00F50194">
              <w:rPr>
                <w:sz w:val="20"/>
                <w:szCs w:val="20"/>
                <w:lang w:val="es-ES"/>
              </w:rPr>
              <w:t>y la aplicación de las medidas de control y desarrollo de la capacidad de los funcionarios encargados de su aplicación</w:t>
            </w:r>
          </w:p>
        </w:tc>
        <w:tc>
          <w:tcPr>
            <w:tcW w:w="681" w:type="pct"/>
          </w:tcPr>
          <w:p w14:paraId="53DEF8E8" w14:textId="17A98846" w:rsidR="008933CC" w:rsidRPr="006836E1" w:rsidRDefault="0090558B" w:rsidP="003C1A5A">
            <w:pPr>
              <w:keepNext/>
              <w:keepLines/>
              <w:widowControl w:val="0"/>
              <w:jc w:val="center"/>
              <w:rPr>
                <w:sz w:val="20"/>
                <w:szCs w:val="20"/>
              </w:rPr>
            </w:pPr>
            <w:r>
              <w:rPr>
                <w:sz w:val="20"/>
                <w:szCs w:val="20"/>
              </w:rPr>
              <w:t>PNUMA</w:t>
            </w:r>
          </w:p>
        </w:tc>
        <w:tc>
          <w:tcPr>
            <w:tcW w:w="759" w:type="pct"/>
            <w:shd w:val="clear" w:color="auto" w:fill="auto"/>
          </w:tcPr>
          <w:p w14:paraId="2BFFBE70" w14:textId="0A582EBC" w:rsidR="008933CC" w:rsidRPr="00DF7799" w:rsidRDefault="008933CC" w:rsidP="003C1A5A">
            <w:pPr>
              <w:keepNext/>
              <w:keepLines/>
              <w:widowControl w:val="0"/>
              <w:jc w:val="right"/>
              <w:rPr>
                <w:color w:val="000000"/>
                <w:sz w:val="20"/>
                <w:szCs w:val="20"/>
              </w:rPr>
            </w:pPr>
            <w:r w:rsidRPr="00DF7799">
              <w:rPr>
                <w:color w:val="000000"/>
                <w:sz w:val="20"/>
                <w:szCs w:val="20"/>
              </w:rPr>
              <w:t>210</w:t>
            </w:r>
            <w:r w:rsidR="0090558B">
              <w:rPr>
                <w:color w:val="000000"/>
                <w:sz w:val="20"/>
                <w:szCs w:val="20"/>
              </w:rPr>
              <w:t xml:space="preserve"> </w:t>
            </w:r>
            <w:r w:rsidRPr="00DF7799">
              <w:rPr>
                <w:color w:val="000000"/>
                <w:sz w:val="20"/>
                <w:szCs w:val="20"/>
              </w:rPr>
              <w:t>000</w:t>
            </w:r>
          </w:p>
        </w:tc>
      </w:tr>
      <w:tr w:rsidR="008933CC" w:rsidRPr="00DF7799" w14:paraId="6F423643" w14:textId="77777777" w:rsidTr="0090558B">
        <w:tc>
          <w:tcPr>
            <w:tcW w:w="3560" w:type="pct"/>
            <w:shd w:val="clear" w:color="auto" w:fill="auto"/>
            <w:noWrap/>
          </w:tcPr>
          <w:p w14:paraId="77B85813" w14:textId="7E798892" w:rsidR="008933CC" w:rsidRPr="00A21D73" w:rsidRDefault="00A21D73" w:rsidP="001B68E7">
            <w:pPr>
              <w:jc w:val="left"/>
              <w:rPr>
                <w:color w:val="000000"/>
                <w:sz w:val="20"/>
                <w:szCs w:val="20"/>
                <w:lang w:val="es-ES"/>
              </w:rPr>
            </w:pPr>
            <w:r w:rsidRPr="00A21D73">
              <w:rPr>
                <w:sz w:val="20"/>
                <w:szCs w:val="20"/>
                <w:lang w:val="es-ES"/>
              </w:rPr>
              <w:t xml:space="preserve">Creación de capacidad de los técnicos de mantenimiento </w:t>
            </w:r>
            <w:r w:rsidR="001A3570">
              <w:rPr>
                <w:sz w:val="20"/>
                <w:szCs w:val="20"/>
                <w:lang w:val="es-ES"/>
              </w:rPr>
              <w:t>en refrigeración y aire acondicionado</w:t>
            </w:r>
            <w:r w:rsidRPr="00A21D73">
              <w:rPr>
                <w:sz w:val="20"/>
                <w:szCs w:val="20"/>
                <w:lang w:val="es-ES"/>
              </w:rPr>
              <w:t xml:space="preserve"> y establecimiento de un sistema de certificación </w:t>
            </w:r>
            <w:r w:rsidR="001A3570">
              <w:rPr>
                <w:sz w:val="20"/>
                <w:szCs w:val="20"/>
                <w:lang w:val="es-ES"/>
              </w:rPr>
              <w:t>en refrigeración y aire acondicionado</w:t>
            </w:r>
          </w:p>
        </w:tc>
        <w:tc>
          <w:tcPr>
            <w:tcW w:w="681" w:type="pct"/>
          </w:tcPr>
          <w:p w14:paraId="7617C8B6" w14:textId="2BDB86A0" w:rsidR="008933CC" w:rsidRPr="006836E1" w:rsidRDefault="0090558B" w:rsidP="001B68E7">
            <w:pPr>
              <w:jc w:val="center"/>
              <w:rPr>
                <w:sz w:val="20"/>
                <w:szCs w:val="20"/>
              </w:rPr>
            </w:pPr>
            <w:r>
              <w:rPr>
                <w:sz w:val="20"/>
                <w:szCs w:val="20"/>
              </w:rPr>
              <w:t>PNUMA</w:t>
            </w:r>
          </w:p>
        </w:tc>
        <w:tc>
          <w:tcPr>
            <w:tcW w:w="759" w:type="pct"/>
            <w:shd w:val="clear" w:color="auto" w:fill="auto"/>
          </w:tcPr>
          <w:p w14:paraId="097BD90B" w14:textId="16A2CF58" w:rsidR="008933CC" w:rsidRPr="00DF7799" w:rsidRDefault="008933CC" w:rsidP="001B68E7">
            <w:pPr>
              <w:jc w:val="right"/>
              <w:rPr>
                <w:color w:val="000000"/>
                <w:sz w:val="20"/>
                <w:szCs w:val="20"/>
              </w:rPr>
            </w:pPr>
            <w:r w:rsidRPr="00DF7799">
              <w:rPr>
                <w:color w:val="000000"/>
                <w:sz w:val="20"/>
                <w:szCs w:val="20"/>
              </w:rPr>
              <w:t>340</w:t>
            </w:r>
            <w:r w:rsidR="0090558B">
              <w:rPr>
                <w:color w:val="000000"/>
                <w:sz w:val="20"/>
                <w:szCs w:val="20"/>
              </w:rPr>
              <w:t xml:space="preserve"> </w:t>
            </w:r>
            <w:r w:rsidRPr="00DF7799">
              <w:rPr>
                <w:color w:val="000000"/>
                <w:sz w:val="20"/>
                <w:szCs w:val="20"/>
              </w:rPr>
              <w:t>000</w:t>
            </w:r>
          </w:p>
        </w:tc>
      </w:tr>
      <w:tr w:rsidR="008933CC" w:rsidRPr="00DF7799" w14:paraId="079340A5" w14:textId="77777777" w:rsidTr="0090558B">
        <w:trPr>
          <w:trHeight w:val="188"/>
        </w:trPr>
        <w:tc>
          <w:tcPr>
            <w:tcW w:w="3560" w:type="pct"/>
            <w:shd w:val="clear" w:color="auto" w:fill="auto"/>
            <w:noWrap/>
          </w:tcPr>
          <w:p w14:paraId="5A289C2D" w14:textId="5C62CA63" w:rsidR="008933CC" w:rsidRPr="006035BC" w:rsidRDefault="006035BC" w:rsidP="001B68E7">
            <w:pPr>
              <w:tabs>
                <w:tab w:val="left" w:pos="360"/>
              </w:tabs>
              <w:jc w:val="left"/>
              <w:rPr>
                <w:color w:val="000000"/>
                <w:sz w:val="20"/>
                <w:szCs w:val="20"/>
                <w:lang w:val="es-ES"/>
              </w:rPr>
            </w:pPr>
            <w:r w:rsidRPr="006035BC">
              <w:rPr>
                <w:sz w:val="20"/>
                <w:szCs w:val="20"/>
                <w:lang w:val="es-ES"/>
              </w:rPr>
              <w:t xml:space="preserve">Apoyo a la industria de </w:t>
            </w:r>
            <w:r w:rsidR="003300F0">
              <w:rPr>
                <w:sz w:val="20"/>
                <w:szCs w:val="20"/>
                <w:lang w:val="es-ES"/>
              </w:rPr>
              <w:t>servicio y mantenimiento</w:t>
            </w:r>
            <w:r w:rsidRPr="006035BC">
              <w:rPr>
                <w:sz w:val="20"/>
                <w:szCs w:val="20"/>
                <w:lang w:val="es-ES"/>
              </w:rPr>
              <w:t xml:space="preserve"> y a las escuel</w:t>
            </w:r>
            <w:r w:rsidR="003300F0">
              <w:rPr>
                <w:sz w:val="20"/>
                <w:szCs w:val="20"/>
                <w:lang w:val="es-ES"/>
              </w:rPr>
              <w:t xml:space="preserve">as </w:t>
            </w:r>
            <w:r w:rsidRPr="006035BC">
              <w:rPr>
                <w:sz w:val="20"/>
                <w:szCs w:val="20"/>
                <w:lang w:val="es-ES"/>
              </w:rPr>
              <w:t>técnicas</w:t>
            </w:r>
          </w:p>
        </w:tc>
        <w:tc>
          <w:tcPr>
            <w:tcW w:w="681" w:type="pct"/>
          </w:tcPr>
          <w:p w14:paraId="62FC63A8" w14:textId="320CF53F" w:rsidR="008933CC" w:rsidRPr="006836E1" w:rsidRDefault="0090558B" w:rsidP="001B68E7">
            <w:pPr>
              <w:jc w:val="center"/>
              <w:rPr>
                <w:sz w:val="20"/>
                <w:szCs w:val="20"/>
              </w:rPr>
            </w:pPr>
            <w:r>
              <w:rPr>
                <w:sz w:val="20"/>
                <w:szCs w:val="20"/>
              </w:rPr>
              <w:t>PNUD</w:t>
            </w:r>
          </w:p>
        </w:tc>
        <w:tc>
          <w:tcPr>
            <w:tcW w:w="759" w:type="pct"/>
            <w:shd w:val="clear" w:color="auto" w:fill="auto"/>
            <w:tcMar>
              <w:left w:w="115" w:type="dxa"/>
              <w:right w:w="432" w:type="dxa"/>
            </w:tcMar>
          </w:tcPr>
          <w:p w14:paraId="078800CC" w14:textId="36AAD065" w:rsidR="008933CC" w:rsidRPr="00DF7799" w:rsidRDefault="008933CC" w:rsidP="001B68E7">
            <w:pPr>
              <w:ind w:right="-297"/>
              <w:jc w:val="right"/>
              <w:rPr>
                <w:color w:val="000000"/>
                <w:sz w:val="20"/>
                <w:szCs w:val="20"/>
              </w:rPr>
            </w:pPr>
            <w:r w:rsidRPr="00DF7799">
              <w:rPr>
                <w:color w:val="000000"/>
                <w:sz w:val="20"/>
                <w:szCs w:val="20"/>
              </w:rPr>
              <w:t>525</w:t>
            </w:r>
            <w:r w:rsidR="0090558B">
              <w:rPr>
                <w:color w:val="000000"/>
                <w:sz w:val="20"/>
                <w:szCs w:val="20"/>
              </w:rPr>
              <w:t xml:space="preserve"> </w:t>
            </w:r>
            <w:r w:rsidRPr="00DF7799">
              <w:rPr>
                <w:color w:val="000000"/>
                <w:sz w:val="20"/>
                <w:szCs w:val="20"/>
              </w:rPr>
              <w:t>000</w:t>
            </w:r>
          </w:p>
        </w:tc>
      </w:tr>
      <w:tr w:rsidR="008933CC" w:rsidRPr="00DF7799" w14:paraId="68D7F1F4" w14:textId="77777777" w:rsidTr="0090558B">
        <w:trPr>
          <w:trHeight w:val="188"/>
        </w:trPr>
        <w:tc>
          <w:tcPr>
            <w:tcW w:w="3560" w:type="pct"/>
            <w:shd w:val="clear" w:color="auto" w:fill="auto"/>
            <w:noWrap/>
          </w:tcPr>
          <w:p w14:paraId="3723A5B3" w14:textId="26F77421" w:rsidR="008933CC" w:rsidRPr="00DF7799" w:rsidRDefault="006035BC" w:rsidP="001B68E7">
            <w:pPr>
              <w:tabs>
                <w:tab w:val="left" w:pos="360"/>
              </w:tabs>
              <w:jc w:val="left"/>
              <w:rPr>
                <w:color w:val="000000"/>
                <w:sz w:val="20"/>
                <w:szCs w:val="20"/>
              </w:rPr>
            </w:pPr>
            <w:proofErr w:type="spellStart"/>
            <w:r>
              <w:rPr>
                <w:color w:val="000000"/>
                <w:sz w:val="20"/>
                <w:szCs w:val="20"/>
              </w:rPr>
              <w:t>Supervisión</w:t>
            </w:r>
            <w:proofErr w:type="spellEnd"/>
            <w:r>
              <w:rPr>
                <w:color w:val="000000"/>
                <w:sz w:val="20"/>
                <w:szCs w:val="20"/>
              </w:rPr>
              <w:t xml:space="preserve"> y </w:t>
            </w:r>
            <w:proofErr w:type="spellStart"/>
            <w:r>
              <w:rPr>
                <w:color w:val="000000"/>
                <w:sz w:val="20"/>
                <w:szCs w:val="20"/>
              </w:rPr>
              <w:t>comunicación</w:t>
            </w:r>
            <w:proofErr w:type="spellEnd"/>
          </w:p>
        </w:tc>
        <w:tc>
          <w:tcPr>
            <w:tcW w:w="681" w:type="pct"/>
          </w:tcPr>
          <w:p w14:paraId="6D98A0DC" w14:textId="030F0D5A" w:rsidR="008933CC" w:rsidRPr="006836E1" w:rsidRDefault="0090558B" w:rsidP="001B68E7">
            <w:pPr>
              <w:jc w:val="center"/>
              <w:rPr>
                <w:sz w:val="20"/>
                <w:szCs w:val="20"/>
              </w:rPr>
            </w:pPr>
            <w:r>
              <w:rPr>
                <w:sz w:val="20"/>
                <w:szCs w:val="20"/>
              </w:rPr>
              <w:t>PNUMA</w:t>
            </w:r>
          </w:p>
        </w:tc>
        <w:tc>
          <w:tcPr>
            <w:tcW w:w="759" w:type="pct"/>
            <w:shd w:val="clear" w:color="auto" w:fill="auto"/>
            <w:noWrap/>
            <w:tcMar>
              <w:left w:w="115" w:type="dxa"/>
              <w:right w:w="432" w:type="dxa"/>
            </w:tcMar>
          </w:tcPr>
          <w:p w14:paraId="13601A26" w14:textId="52419C03" w:rsidR="008933CC" w:rsidRPr="00DF7799" w:rsidRDefault="008933CC" w:rsidP="001B68E7">
            <w:pPr>
              <w:ind w:right="-297"/>
              <w:jc w:val="right"/>
              <w:rPr>
                <w:color w:val="000000"/>
                <w:sz w:val="20"/>
                <w:szCs w:val="20"/>
              </w:rPr>
            </w:pPr>
            <w:r w:rsidRPr="00DF7799">
              <w:rPr>
                <w:color w:val="000000"/>
                <w:sz w:val="20"/>
                <w:szCs w:val="20"/>
              </w:rPr>
              <w:t>50</w:t>
            </w:r>
            <w:r w:rsidR="0090558B">
              <w:rPr>
                <w:color w:val="000000"/>
                <w:sz w:val="20"/>
                <w:szCs w:val="20"/>
              </w:rPr>
              <w:t xml:space="preserve"> </w:t>
            </w:r>
            <w:r w:rsidRPr="00DF7799">
              <w:rPr>
                <w:color w:val="000000"/>
                <w:sz w:val="20"/>
                <w:szCs w:val="20"/>
              </w:rPr>
              <w:t>000</w:t>
            </w:r>
          </w:p>
        </w:tc>
      </w:tr>
      <w:tr w:rsidR="008933CC" w:rsidRPr="00DF7799" w14:paraId="14D487D8" w14:textId="77777777" w:rsidTr="0090558B">
        <w:trPr>
          <w:trHeight w:val="43"/>
        </w:trPr>
        <w:tc>
          <w:tcPr>
            <w:tcW w:w="3560" w:type="pct"/>
            <w:shd w:val="clear" w:color="auto" w:fill="auto"/>
            <w:noWrap/>
            <w:vAlign w:val="center"/>
            <w:hideMark/>
          </w:tcPr>
          <w:p w14:paraId="3F6A08CA" w14:textId="77777777" w:rsidR="008933CC" w:rsidRPr="00DF7799" w:rsidRDefault="008933CC" w:rsidP="001B68E7">
            <w:pPr>
              <w:jc w:val="left"/>
              <w:rPr>
                <w:b/>
                <w:color w:val="000000"/>
                <w:sz w:val="20"/>
                <w:szCs w:val="20"/>
              </w:rPr>
            </w:pPr>
            <w:r w:rsidRPr="00DF7799">
              <w:rPr>
                <w:b/>
                <w:color w:val="000000"/>
                <w:sz w:val="20"/>
                <w:szCs w:val="20"/>
              </w:rPr>
              <w:t xml:space="preserve">Total </w:t>
            </w:r>
          </w:p>
        </w:tc>
        <w:tc>
          <w:tcPr>
            <w:tcW w:w="681" w:type="pct"/>
          </w:tcPr>
          <w:p w14:paraId="61DFFD7B" w14:textId="77777777" w:rsidR="008933CC" w:rsidRPr="00DF7799" w:rsidRDefault="008933CC" w:rsidP="001B68E7">
            <w:pPr>
              <w:ind w:right="-297"/>
              <w:jc w:val="right"/>
              <w:rPr>
                <w:b/>
                <w:color w:val="000000"/>
                <w:sz w:val="20"/>
                <w:szCs w:val="20"/>
              </w:rPr>
            </w:pPr>
          </w:p>
        </w:tc>
        <w:tc>
          <w:tcPr>
            <w:tcW w:w="759" w:type="pct"/>
            <w:shd w:val="clear" w:color="auto" w:fill="auto"/>
            <w:tcMar>
              <w:left w:w="115" w:type="dxa"/>
              <w:right w:w="432" w:type="dxa"/>
            </w:tcMar>
            <w:hideMark/>
          </w:tcPr>
          <w:p w14:paraId="690C3830" w14:textId="40FCDFFE" w:rsidR="008933CC" w:rsidRPr="00DF7799" w:rsidRDefault="008933CC" w:rsidP="001B68E7">
            <w:pPr>
              <w:ind w:right="-297"/>
              <w:jc w:val="right"/>
              <w:rPr>
                <w:b/>
                <w:color w:val="000000"/>
                <w:sz w:val="20"/>
                <w:szCs w:val="20"/>
              </w:rPr>
            </w:pPr>
            <w:r w:rsidRPr="00DF7799">
              <w:rPr>
                <w:b/>
                <w:color w:val="000000"/>
                <w:sz w:val="20"/>
                <w:szCs w:val="20"/>
              </w:rPr>
              <w:t>1</w:t>
            </w:r>
            <w:r w:rsidR="0090558B">
              <w:rPr>
                <w:b/>
                <w:color w:val="000000"/>
                <w:sz w:val="20"/>
                <w:szCs w:val="20"/>
              </w:rPr>
              <w:t> </w:t>
            </w:r>
            <w:r w:rsidRPr="00DF7799">
              <w:rPr>
                <w:b/>
                <w:color w:val="000000"/>
                <w:sz w:val="20"/>
                <w:szCs w:val="20"/>
              </w:rPr>
              <w:t>125</w:t>
            </w:r>
            <w:r w:rsidR="0090558B">
              <w:rPr>
                <w:b/>
                <w:color w:val="000000"/>
                <w:sz w:val="20"/>
                <w:szCs w:val="20"/>
              </w:rPr>
              <w:t xml:space="preserve"> </w:t>
            </w:r>
            <w:r w:rsidRPr="00DF7799">
              <w:rPr>
                <w:b/>
                <w:color w:val="000000"/>
                <w:sz w:val="20"/>
                <w:szCs w:val="20"/>
              </w:rPr>
              <w:t>000</w:t>
            </w:r>
          </w:p>
        </w:tc>
      </w:tr>
    </w:tbl>
    <w:p w14:paraId="681D3428" w14:textId="77777777" w:rsidR="000A6011" w:rsidRDefault="000A6011" w:rsidP="003C1A5A">
      <w:pPr>
        <w:widowControl w:val="0"/>
        <w:spacing w:after="120"/>
        <w:rPr>
          <w:u w:val="single"/>
        </w:rPr>
      </w:pPr>
    </w:p>
    <w:p w14:paraId="2914C544" w14:textId="179AA546" w:rsidR="008933CC" w:rsidRPr="000A6011" w:rsidRDefault="000A6011" w:rsidP="003C1A5A">
      <w:pPr>
        <w:widowControl w:val="0"/>
        <w:spacing w:after="240"/>
        <w:rPr>
          <w:u w:val="single"/>
          <w:lang w:val="es-ES"/>
        </w:rPr>
      </w:pPr>
      <w:r w:rsidRPr="000A6011">
        <w:rPr>
          <w:u w:val="single"/>
          <w:lang w:val="es-ES"/>
        </w:rPr>
        <w:t xml:space="preserve">Actividades </w:t>
      </w:r>
      <w:r w:rsidR="00B14FA2">
        <w:rPr>
          <w:u w:val="single"/>
          <w:lang w:val="es-ES"/>
        </w:rPr>
        <w:t>planeadas</w:t>
      </w:r>
      <w:r w:rsidRPr="000A6011">
        <w:rPr>
          <w:u w:val="single"/>
          <w:lang w:val="es-ES"/>
        </w:rPr>
        <w:t xml:space="preserve"> para el primer tramo de la etapa II</w:t>
      </w:r>
    </w:p>
    <w:p w14:paraId="1CE086F0" w14:textId="18C7BFC6" w:rsidR="008933CC" w:rsidRPr="003B6AAC" w:rsidRDefault="003B6AAC" w:rsidP="003C1A5A">
      <w:pPr>
        <w:pStyle w:val="Heading1"/>
        <w:rPr>
          <w:lang w:val="es-ES"/>
        </w:rPr>
      </w:pPr>
      <w:r w:rsidRPr="003B6AAC">
        <w:rPr>
          <w:lang w:val="es-ES"/>
        </w:rPr>
        <w:t>El primer tramo de financiación de la etapa II del plan de gestión de la eliminación de los HCFC, por un importe total de 599</w:t>
      </w:r>
      <w:r>
        <w:rPr>
          <w:lang w:val="es-ES"/>
        </w:rPr>
        <w:t xml:space="preserve"> </w:t>
      </w:r>
      <w:r w:rsidRPr="003B6AAC">
        <w:rPr>
          <w:lang w:val="es-ES"/>
        </w:rPr>
        <w:t xml:space="preserve">500 </w:t>
      </w:r>
      <w:r w:rsidRPr="00EF511F">
        <w:rPr>
          <w:lang w:val="es-ES"/>
        </w:rPr>
        <w:t>$EUA</w:t>
      </w:r>
      <w:r w:rsidRPr="003B6AAC">
        <w:rPr>
          <w:lang w:val="es-ES"/>
        </w:rPr>
        <w:t>, se ejecutará entre enero de 2022 y diciembre de 2024 e incluirá las siguientes actividades</w:t>
      </w:r>
      <w:r w:rsidR="008933CC" w:rsidRPr="003B6AAC">
        <w:rPr>
          <w:lang w:val="es-ES"/>
        </w:rPr>
        <w:t xml:space="preserve">: </w:t>
      </w:r>
    </w:p>
    <w:p w14:paraId="6CA578BB" w14:textId="585AC075" w:rsidR="008933CC" w:rsidRPr="00D75DAB" w:rsidRDefault="0095210E" w:rsidP="003C1A5A">
      <w:pPr>
        <w:pStyle w:val="Heading2"/>
        <w:rPr>
          <w:lang w:val="es-ES"/>
        </w:rPr>
      </w:pPr>
      <w:r w:rsidRPr="00A43287">
        <w:rPr>
          <w:i/>
          <w:lang w:val="es-ES"/>
        </w:rPr>
        <w:t>Fortalecimiento de</w:t>
      </w:r>
      <w:r w:rsidR="00F971C5" w:rsidRPr="00A43287">
        <w:rPr>
          <w:i/>
          <w:lang w:val="es-ES"/>
        </w:rPr>
        <w:t xml:space="preserve"> las actividades de </w:t>
      </w:r>
      <w:r w:rsidR="00D75DAB" w:rsidRPr="00A43287">
        <w:rPr>
          <w:i/>
          <w:lang w:val="es-ES"/>
        </w:rPr>
        <w:t>supervisión</w:t>
      </w:r>
      <w:r w:rsidR="00F971C5" w:rsidRPr="00A43287">
        <w:rPr>
          <w:i/>
          <w:lang w:val="es-ES"/>
        </w:rPr>
        <w:t xml:space="preserve"> </w:t>
      </w:r>
      <w:r w:rsidRPr="00A43287">
        <w:rPr>
          <w:i/>
          <w:lang w:val="es-ES"/>
        </w:rPr>
        <w:t>y la aplicación de la normativa sobre SAO y las políticas conexas</w:t>
      </w:r>
      <w:r w:rsidR="008933CC" w:rsidRPr="00A43287">
        <w:rPr>
          <w:i/>
          <w:lang w:val="es-ES"/>
        </w:rPr>
        <w:t>:</w:t>
      </w:r>
      <w:r w:rsidR="008933CC" w:rsidRPr="00A43287">
        <w:rPr>
          <w:lang w:val="es-ES"/>
        </w:rPr>
        <w:t xml:space="preserve"> </w:t>
      </w:r>
      <w:r w:rsidR="00A43287" w:rsidRPr="00A43287">
        <w:rPr>
          <w:lang w:val="es-ES"/>
        </w:rPr>
        <w:t>Revisión del plan de estudios de formación en aduanas; formación de 210 funcionarios de aduanas y otros funcionarios encargados de hacer cumplir la ley sobre las medidas de control de los HCFC y el control del comercio ilegal; adquisición de seis identificadores de refrigerantes para los puntos de entrada de las aduanas y facilitación de los diálogos fronterizos</w:t>
      </w:r>
      <w:r w:rsidR="00D75DAB">
        <w:rPr>
          <w:lang w:val="es-ES"/>
        </w:rPr>
        <w:t xml:space="preserve"> (PNUMA)</w:t>
      </w:r>
      <w:r w:rsidR="008933CC" w:rsidRPr="00D75DAB">
        <w:rPr>
          <w:lang w:val="es-ES"/>
        </w:rPr>
        <w:t xml:space="preserve"> (120</w:t>
      </w:r>
      <w:r w:rsidR="00D75DAB">
        <w:rPr>
          <w:lang w:val="es-ES"/>
        </w:rPr>
        <w:t xml:space="preserve"> </w:t>
      </w:r>
      <w:r w:rsidR="008933CC" w:rsidRPr="00D75DAB">
        <w:rPr>
          <w:lang w:val="es-ES"/>
        </w:rPr>
        <w:t>000</w:t>
      </w:r>
      <w:r w:rsidR="00D75DAB">
        <w:rPr>
          <w:lang w:val="es-ES"/>
        </w:rPr>
        <w:t xml:space="preserve"> </w:t>
      </w:r>
      <w:r w:rsidR="00D75DAB" w:rsidRPr="00D75DAB">
        <w:rPr>
          <w:lang w:val="es-ES"/>
        </w:rPr>
        <w:t>$</w:t>
      </w:r>
      <w:r w:rsidR="00D75DAB">
        <w:rPr>
          <w:lang w:val="es-ES"/>
        </w:rPr>
        <w:t>EUA</w:t>
      </w:r>
      <w:r w:rsidR="008933CC" w:rsidRPr="00D75DAB">
        <w:rPr>
          <w:lang w:val="es-ES"/>
        </w:rPr>
        <w:t>);</w:t>
      </w:r>
    </w:p>
    <w:p w14:paraId="23158C15" w14:textId="5CA4BCE5" w:rsidR="008933CC" w:rsidRPr="00B204B0" w:rsidRDefault="002858B0" w:rsidP="003C1A5A">
      <w:pPr>
        <w:pStyle w:val="Heading2"/>
        <w:rPr>
          <w:lang w:val="es-ES"/>
        </w:rPr>
      </w:pPr>
      <w:r w:rsidRPr="00EC2A27">
        <w:rPr>
          <w:i/>
          <w:lang w:val="es-ES"/>
        </w:rPr>
        <w:t xml:space="preserve">Capacitación de los técnicos </w:t>
      </w:r>
      <w:r w:rsidR="00EC2A27" w:rsidRPr="00EC2A27">
        <w:rPr>
          <w:i/>
          <w:lang w:val="es-ES"/>
        </w:rPr>
        <w:t xml:space="preserve">de </w:t>
      </w:r>
      <w:r w:rsidR="00EC2A27">
        <w:rPr>
          <w:i/>
          <w:lang w:val="es-ES"/>
        </w:rPr>
        <w:t>refrigerantes y aire acondicionado</w:t>
      </w:r>
      <w:r w:rsidRPr="00EC2A27">
        <w:rPr>
          <w:i/>
          <w:lang w:val="es-ES"/>
        </w:rPr>
        <w:t xml:space="preserve"> y establecimiento de un sistema de certificación</w:t>
      </w:r>
      <w:r w:rsidR="008933CC" w:rsidRPr="00EC2A27">
        <w:rPr>
          <w:i/>
          <w:lang w:val="es-ES"/>
        </w:rPr>
        <w:t>:</w:t>
      </w:r>
      <w:r w:rsidR="008933CC" w:rsidRPr="00EC2A27">
        <w:rPr>
          <w:lang w:val="es-ES"/>
        </w:rPr>
        <w:t xml:space="preserve"> </w:t>
      </w:r>
      <w:r w:rsidR="002F2216" w:rsidRPr="002F2216">
        <w:rPr>
          <w:lang w:val="es-ES"/>
        </w:rPr>
        <w:t xml:space="preserve">Contratación de un experto para facilitar el establecimiento del sistema de certificación de técnicos; consultas con las partes interesadas sobre la formulación del sistema de certificación; creación de capacidad en las instituciones seleccionadas para participar en el proceso de certificación; formación de 390 técnicos en buenas prácticas de mantenimiento; actualización del plan de estudios nacional de formación en refrigeración y del código de conducta nacional para los técnicos de refrigeración; realización de un taller de formación para los usuarios finales sobre la necesidad de eliminar los HCFC y adoptar tecnologías de bajo potencial de calentamiento atmosférico; y fortalecimiento de las asociaciones de </w:t>
      </w:r>
      <w:r w:rsidR="00B204B0">
        <w:rPr>
          <w:lang w:val="es-ES"/>
        </w:rPr>
        <w:t>refrigeración y aire acondicionado</w:t>
      </w:r>
      <w:r w:rsidR="002F2216" w:rsidRPr="002F2216">
        <w:rPr>
          <w:lang w:val="es-ES"/>
        </w:rPr>
        <w:t xml:space="preserve"> mediante el auspicio de sus reuniones, actividades de sensibilización y sesiones de formación</w:t>
      </w:r>
      <w:r w:rsidR="008933CC" w:rsidRPr="00B204B0">
        <w:rPr>
          <w:lang w:val="es-ES"/>
        </w:rPr>
        <w:t xml:space="preserve"> (</w:t>
      </w:r>
      <w:r w:rsidR="00B204B0">
        <w:rPr>
          <w:lang w:val="es-ES"/>
        </w:rPr>
        <w:t>PNUMA</w:t>
      </w:r>
      <w:r w:rsidR="008933CC" w:rsidRPr="00B204B0">
        <w:rPr>
          <w:lang w:val="es-ES"/>
        </w:rPr>
        <w:t>) (175</w:t>
      </w:r>
      <w:r w:rsidR="00B204B0">
        <w:rPr>
          <w:lang w:val="es-ES"/>
        </w:rPr>
        <w:t> </w:t>
      </w:r>
      <w:r w:rsidR="008933CC" w:rsidRPr="00B204B0">
        <w:rPr>
          <w:lang w:val="es-ES"/>
        </w:rPr>
        <w:t>000</w:t>
      </w:r>
      <w:r w:rsidR="00B204B0">
        <w:rPr>
          <w:lang w:val="es-ES"/>
        </w:rPr>
        <w:t xml:space="preserve"> </w:t>
      </w:r>
      <w:r w:rsidR="00B204B0" w:rsidRPr="00B204B0">
        <w:rPr>
          <w:lang w:val="es-ES"/>
        </w:rPr>
        <w:t>$</w:t>
      </w:r>
      <w:r w:rsidR="00B204B0">
        <w:rPr>
          <w:lang w:val="es-ES"/>
        </w:rPr>
        <w:t>EUA</w:t>
      </w:r>
      <w:r w:rsidR="008933CC" w:rsidRPr="00B204B0">
        <w:rPr>
          <w:lang w:val="es-ES"/>
        </w:rPr>
        <w:t>);</w:t>
      </w:r>
    </w:p>
    <w:p w14:paraId="0CABB5B5" w14:textId="1D1B13BA" w:rsidR="008933CC" w:rsidRPr="002C0142" w:rsidRDefault="00CE48F5" w:rsidP="003C1A5A">
      <w:pPr>
        <w:pStyle w:val="Heading2"/>
        <w:rPr>
          <w:lang w:val="es-ES"/>
        </w:rPr>
      </w:pPr>
      <w:r w:rsidRPr="002C0142">
        <w:rPr>
          <w:i/>
          <w:lang w:val="es-ES"/>
        </w:rPr>
        <w:t xml:space="preserve">Asistencia a la industria y a los institutos técnicos mediante el suministro de equipos y herramientas de mantenimiento y la creación de dos centros de recuperación y </w:t>
      </w:r>
      <w:r w:rsidR="00921784">
        <w:rPr>
          <w:i/>
          <w:lang w:val="es-ES"/>
        </w:rPr>
        <w:t>reciclado</w:t>
      </w:r>
      <w:r w:rsidR="008933CC" w:rsidRPr="002C0142">
        <w:rPr>
          <w:i/>
          <w:lang w:val="es-ES"/>
        </w:rPr>
        <w:t>:</w:t>
      </w:r>
      <w:r w:rsidR="008933CC" w:rsidRPr="002C0142">
        <w:rPr>
          <w:lang w:val="es-ES"/>
        </w:rPr>
        <w:t xml:space="preserve"> </w:t>
      </w:r>
      <w:r w:rsidR="002C0142" w:rsidRPr="002C0142">
        <w:rPr>
          <w:lang w:val="es-ES"/>
        </w:rPr>
        <w:t xml:space="preserve">identificación de las necesidades de equipos por parte de los institutos de formación técnica y adquisición y distribución de herramientas y equipos complementarios; asistencia técnica para determinar y empezar a construir la infraestructura de recuperación y </w:t>
      </w:r>
      <w:r w:rsidR="002109F2">
        <w:rPr>
          <w:lang w:val="es-ES"/>
        </w:rPr>
        <w:t>reciclado</w:t>
      </w:r>
      <w:r w:rsidR="002C0142" w:rsidRPr="002C0142">
        <w:rPr>
          <w:lang w:val="es-ES"/>
        </w:rPr>
        <w:t xml:space="preserve"> y la creación de un centro de </w:t>
      </w:r>
      <w:r w:rsidR="002109F2">
        <w:rPr>
          <w:lang w:val="es-ES"/>
        </w:rPr>
        <w:t>reciclado</w:t>
      </w:r>
      <w:r w:rsidR="002C0142" w:rsidRPr="002C0142">
        <w:rPr>
          <w:lang w:val="es-ES"/>
        </w:rPr>
        <w:t xml:space="preserve"> </w:t>
      </w:r>
      <w:r w:rsidR="008933CC" w:rsidRPr="002C0142">
        <w:rPr>
          <w:lang w:val="es-ES"/>
        </w:rPr>
        <w:t>(</w:t>
      </w:r>
      <w:r w:rsidR="002C0142">
        <w:rPr>
          <w:lang w:val="es-ES"/>
        </w:rPr>
        <w:t>PNUD</w:t>
      </w:r>
      <w:r w:rsidR="008933CC" w:rsidRPr="002C0142">
        <w:rPr>
          <w:lang w:val="es-ES"/>
        </w:rPr>
        <w:t>) (289</w:t>
      </w:r>
      <w:r w:rsidR="002C0142">
        <w:rPr>
          <w:lang w:val="es-ES"/>
        </w:rPr>
        <w:t> </w:t>
      </w:r>
      <w:r w:rsidR="008933CC" w:rsidRPr="002C0142">
        <w:rPr>
          <w:lang w:val="es-ES"/>
        </w:rPr>
        <w:t>500</w:t>
      </w:r>
      <w:r w:rsidR="002C0142">
        <w:rPr>
          <w:lang w:val="es-ES"/>
        </w:rPr>
        <w:t xml:space="preserve"> </w:t>
      </w:r>
      <w:r w:rsidR="002C0142" w:rsidRPr="002C0142">
        <w:rPr>
          <w:lang w:val="es-ES"/>
        </w:rPr>
        <w:t>$</w:t>
      </w:r>
      <w:r w:rsidR="002C0142">
        <w:rPr>
          <w:lang w:val="es-ES"/>
        </w:rPr>
        <w:t>EUA</w:t>
      </w:r>
      <w:r w:rsidR="008933CC" w:rsidRPr="002C0142">
        <w:rPr>
          <w:lang w:val="es-ES"/>
        </w:rPr>
        <w:t xml:space="preserve">); </w:t>
      </w:r>
      <w:r w:rsidR="002C0142">
        <w:rPr>
          <w:lang w:val="es-ES"/>
        </w:rPr>
        <w:t>y</w:t>
      </w:r>
    </w:p>
    <w:p w14:paraId="32669D72" w14:textId="4675FF39" w:rsidR="008933CC" w:rsidRPr="007332C9" w:rsidRDefault="00C523A8" w:rsidP="003C1A5A">
      <w:pPr>
        <w:pStyle w:val="Heading2"/>
        <w:rPr>
          <w:lang w:val="es-ES"/>
        </w:rPr>
      </w:pPr>
      <w:r w:rsidRPr="007332C9">
        <w:rPr>
          <w:i/>
          <w:iCs/>
          <w:lang w:val="es-ES"/>
        </w:rPr>
        <w:t>Supervisión de</w:t>
      </w:r>
      <w:r w:rsidR="009E661F">
        <w:rPr>
          <w:i/>
          <w:iCs/>
          <w:lang w:val="es-ES"/>
        </w:rPr>
        <w:t xml:space="preserve">l </w:t>
      </w:r>
      <w:r w:rsidRPr="007332C9">
        <w:rPr>
          <w:i/>
          <w:iCs/>
          <w:lang w:val="es-ES"/>
        </w:rPr>
        <w:t xml:space="preserve">proyecto </w:t>
      </w:r>
      <w:r w:rsidR="008933CC" w:rsidRPr="007332C9">
        <w:rPr>
          <w:lang w:val="es-ES"/>
        </w:rPr>
        <w:t>(</w:t>
      </w:r>
      <w:r w:rsidRPr="007332C9">
        <w:rPr>
          <w:lang w:val="es-ES"/>
        </w:rPr>
        <w:t>PNUMA</w:t>
      </w:r>
      <w:r w:rsidR="008933CC" w:rsidRPr="007332C9">
        <w:rPr>
          <w:lang w:val="es-ES"/>
        </w:rPr>
        <w:t>) (15</w:t>
      </w:r>
      <w:r w:rsidR="00AA6646" w:rsidRPr="007332C9">
        <w:rPr>
          <w:lang w:val="es-ES"/>
        </w:rPr>
        <w:t> </w:t>
      </w:r>
      <w:r w:rsidR="008933CC" w:rsidRPr="007332C9">
        <w:rPr>
          <w:lang w:val="es-ES"/>
        </w:rPr>
        <w:t>000</w:t>
      </w:r>
      <w:r w:rsidR="00AA6646" w:rsidRPr="007332C9">
        <w:rPr>
          <w:lang w:val="es-ES"/>
        </w:rPr>
        <w:t xml:space="preserve"> $EUA</w:t>
      </w:r>
      <w:r w:rsidR="008933CC" w:rsidRPr="007332C9">
        <w:rPr>
          <w:lang w:val="es-ES"/>
        </w:rPr>
        <w:t xml:space="preserve">), </w:t>
      </w:r>
      <w:r w:rsidR="007332C9" w:rsidRPr="007332C9">
        <w:rPr>
          <w:lang w:val="es-ES"/>
        </w:rPr>
        <w:t>que consiste en personal y consultores del proyecto (7</w:t>
      </w:r>
      <w:r w:rsidR="007332C9">
        <w:rPr>
          <w:lang w:val="es-ES"/>
        </w:rPr>
        <w:t xml:space="preserve"> </w:t>
      </w:r>
      <w:r w:rsidR="007332C9" w:rsidRPr="007332C9">
        <w:rPr>
          <w:lang w:val="es-ES"/>
        </w:rPr>
        <w:t xml:space="preserve">500 </w:t>
      </w:r>
      <w:r w:rsidR="007332C9" w:rsidRPr="002C0142">
        <w:rPr>
          <w:lang w:val="es-ES"/>
        </w:rPr>
        <w:t>$</w:t>
      </w:r>
      <w:r w:rsidR="007332C9">
        <w:rPr>
          <w:lang w:val="es-ES"/>
        </w:rPr>
        <w:t>EUA</w:t>
      </w:r>
      <w:r w:rsidR="007332C9" w:rsidRPr="007332C9">
        <w:rPr>
          <w:lang w:val="es-ES"/>
        </w:rPr>
        <w:t>), viajes nacionales (5</w:t>
      </w:r>
      <w:r w:rsidR="007332C9">
        <w:rPr>
          <w:lang w:val="es-ES"/>
        </w:rPr>
        <w:t xml:space="preserve"> </w:t>
      </w:r>
      <w:r w:rsidR="007332C9" w:rsidRPr="007332C9">
        <w:rPr>
          <w:lang w:val="es-ES"/>
        </w:rPr>
        <w:t xml:space="preserve">000 </w:t>
      </w:r>
      <w:r w:rsidR="007332C9" w:rsidRPr="002C0142">
        <w:rPr>
          <w:lang w:val="es-ES"/>
        </w:rPr>
        <w:t>$</w:t>
      </w:r>
      <w:r w:rsidR="007332C9">
        <w:rPr>
          <w:lang w:val="es-ES"/>
        </w:rPr>
        <w:t>EUA</w:t>
      </w:r>
      <w:r w:rsidR="007332C9" w:rsidRPr="007332C9">
        <w:rPr>
          <w:lang w:val="es-ES"/>
        </w:rPr>
        <w:t>) y reuniones y talleres (2</w:t>
      </w:r>
      <w:r w:rsidR="007332C9">
        <w:rPr>
          <w:lang w:val="es-ES"/>
        </w:rPr>
        <w:t xml:space="preserve"> </w:t>
      </w:r>
      <w:r w:rsidR="007332C9" w:rsidRPr="007332C9">
        <w:rPr>
          <w:lang w:val="es-ES"/>
        </w:rPr>
        <w:t xml:space="preserve">500 </w:t>
      </w:r>
      <w:r w:rsidR="007332C9" w:rsidRPr="002C0142">
        <w:rPr>
          <w:lang w:val="es-ES"/>
        </w:rPr>
        <w:t>$</w:t>
      </w:r>
      <w:r w:rsidR="007332C9">
        <w:rPr>
          <w:lang w:val="es-ES"/>
        </w:rPr>
        <w:t>EUA</w:t>
      </w:r>
      <w:r w:rsidR="007332C9" w:rsidRPr="007332C9">
        <w:rPr>
          <w:lang w:val="es-ES"/>
        </w:rPr>
        <w:t>)</w:t>
      </w:r>
      <w:r w:rsidR="008933CC" w:rsidRPr="007332C9">
        <w:rPr>
          <w:lang w:val="es-ES"/>
        </w:rPr>
        <w:t>.</w:t>
      </w:r>
    </w:p>
    <w:p w14:paraId="003BD529" w14:textId="77777777" w:rsidR="0087521F" w:rsidRPr="00E94BF3" w:rsidRDefault="0087521F" w:rsidP="003C1A5A">
      <w:pPr>
        <w:keepNext/>
        <w:keepLines/>
        <w:widowControl w:val="0"/>
        <w:spacing w:after="240"/>
        <w:jc w:val="center"/>
        <w:rPr>
          <w:b/>
          <w:lang w:val="es-MX"/>
        </w:rPr>
      </w:pPr>
      <w:r w:rsidRPr="00E94BF3">
        <w:rPr>
          <w:b/>
          <w:lang w:val="es-MX"/>
        </w:rPr>
        <w:lastRenderedPageBreak/>
        <w:t>OBSERVACIONES Y RECOMENDACIÓN DE LA SECRETARÍA</w:t>
      </w:r>
    </w:p>
    <w:p w14:paraId="5EA85EC0" w14:textId="7FD14F1F" w:rsidR="008933CC" w:rsidRPr="00996241" w:rsidRDefault="0087521F" w:rsidP="003C1A5A">
      <w:pPr>
        <w:keepNext/>
        <w:keepLines/>
        <w:widowControl w:val="0"/>
        <w:spacing w:after="240"/>
        <w:rPr>
          <w:b/>
        </w:rPr>
      </w:pPr>
      <w:r w:rsidRPr="00E94BF3">
        <w:rPr>
          <w:b/>
          <w:lang w:val="es-MX"/>
        </w:rPr>
        <w:t>OBSERVACIONES</w:t>
      </w:r>
    </w:p>
    <w:p w14:paraId="7C47C1B0" w14:textId="46277317" w:rsidR="008933CC" w:rsidRPr="00056A33" w:rsidRDefault="0001337D" w:rsidP="003C1A5A">
      <w:pPr>
        <w:keepNext/>
        <w:keepLines/>
        <w:widowControl w:val="0"/>
        <w:numPr>
          <w:ilvl w:val="0"/>
          <w:numId w:val="1"/>
        </w:numPr>
        <w:spacing w:after="240"/>
        <w:outlineLvl w:val="0"/>
        <w:rPr>
          <w:lang w:val="es-ES"/>
        </w:rPr>
      </w:pPr>
      <w:r w:rsidRPr="0001337D">
        <w:rPr>
          <w:lang w:val="es-ES"/>
        </w:rPr>
        <w:t>La Secretaría revisó la etapa II del plan de gestión de la eliminación de los HCFC a la luz de la etapa I, las políticas y directrices del Fondo Multilateral, incluidos los criterios para financiar la eliminación de los HCFC en el sector del consumo para la etapa II de los planes de gestión de la eliminación de los HCFC (</w:t>
      </w:r>
      <w:r w:rsidR="00056A33">
        <w:rPr>
          <w:lang w:val="es-ES"/>
        </w:rPr>
        <w:t>D</w:t>
      </w:r>
      <w:r w:rsidRPr="0001337D">
        <w:rPr>
          <w:lang w:val="es-ES"/>
        </w:rPr>
        <w:t xml:space="preserve">ecisión 74/50), y el plan </w:t>
      </w:r>
      <w:r w:rsidR="00056A33">
        <w:rPr>
          <w:lang w:val="es-ES"/>
        </w:rPr>
        <w:t xml:space="preserve">administrativo </w:t>
      </w:r>
      <w:r w:rsidRPr="0001337D">
        <w:rPr>
          <w:lang w:val="es-ES"/>
        </w:rPr>
        <w:t>2021-2023 del Fondo Multilateral</w:t>
      </w:r>
      <w:r w:rsidR="008933CC" w:rsidRPr="00056A33">
        <w:rPr>
          <w:lang w:val="es-ES"/>
        </w:rPr>
        <w:t xml:space="preserve">. </w:t>
      </w:r>
    </w:p>
    <w:p w14:paraId="67DE8A40" w14:textId="094679A4" w:rsidR="008933CC" w:rsidRPr="00996241" w:rsidRDefault="00832853" w:rsidP="003C1A5A">
      <w:pPr>
        <w:spacing w:after="240"/>
        <w:rPr>
          <w:u w:val="single"/>
        </w:rPr>
      </w:pPr>
      <w:proofErr w:type="spellStart"/>
      <w:r>
        <w:rPr>
          <w:u w:val="single"/>
        </w:rPr>
        <w:t>Estrategia</w:t>
      </w:r>
      <w:proofErr w:type="spellEnd"/>
      <w:r>
        <w:rPr>
          <w:u w:val="single"/>
        </w:rPr>
        <w:t xml:space="preserve"> </w:t>
      </w:r>
      <w:r w:rsidR="00D92751">
        <w:rPr>
          <w:u w:val="single"/>
        </w:rPr>
        <w:t>general</w:t>
      </w:r>
    </w:p>
    <w:p w14:paraId="50FA83DC" w14:textId="4D8BD642" w:rsidR="00B668CA" w:rsidRDefault="00441626" w:rsidP="003C1A5A">
      <w:pPr>
        <w:pStyle w:val="Heading1"/>
        <w:rPr>
          <w:lang w:val="es-ES"/>
        </w:rPr>
      </w:pPr>
      <w:r w:rsidRPr="00441626">
        <w:rPr>
          <w:lang w:val="es-ES"/>
        </w:rPr>
        <w:t>El Gobierno de la República Democrática del Congo propone cumplir con la reducción del 100% de su consumo de referencia de HCFC para 2030, y mantener un consumo anual máximo de HCFC en el período de 2030 a 2040, en consonancia con el</w:t>
      </w:r>
      <w:r>
        <w:rPr>
          <w:lang w:val="es-ES"/>
        </w:rPr>
        <w:t xml:space="preserve"> </w:t>
      </w:r>
      <w:r w:rsidR="0076519D">
        <w:rPr>
          <w:lang w:val="es-ES"/>
        </w:rPr>
        <w:t>apartado</w:t>
      </w:r>
      <w:r w:rsidR="00E00AA3">
        <w:rPr>
          <w:lang w:val="es-ES"/>
        </w:rPr>
        <w:t xml:space="preserve"> </w:t>
      </w:r>
      <w:r w:rsidR="000A0DAA">
        <w:rPr>
          <w:lang w:val="es-ES"/>
        </w:rPr>
        <w:t>8 ter) e)</w:t>
      </w:r>
      <w:r w:rsidR="000A5AFE">
        <w:rPr>
          <w:lang w:val="es-ES"/>
        </w:rPr>
        <w:t xml:space="preserve"> i)</w:t>
      </w:r>
      <w:r w:rsidR="000A0DAA">
        <w:rPr>
          <w:lang w:val="es-ES"/>
        </w:rPr>
        <w:t xml:space="preserve"> del </w:t>
      </w:r>
      <w:r w:rsidR="008933CC" w:rsidRPr="000A0DAA">
        <w:rPr>
          <w:lang w:val="es-ES"/>
        </w:rPr>
        <w:t>Art</w:t>
      </w:r>
      <w:r w:rsidR="00840A6D" w:rsidRPr="000A0DAA">
        <w:rPr>
          <w:lang w:val="es-ES"/>
        </w:rPr>
        <w:t>ículo</w:t>
      </w:r>
      <w:r w:rsidR="008933CC" w:rsidRPr="000A0DAA">
        <w:rPr>
          <w:lang w:val="es-ES"/>
        </w:rPr>
        <w:t xml:space="preserve"> 5</w:t>
      </w:r>
      <w:r w:rsidR="000A0DAA">
        <w:rPr>
          <w:lang w:val="es-ES"/>
        </w:rPr>
        <w:t xml:space="preserve"> </w:t>
      </w:r>
      <w:r w:rsidR="000A1601" w:rsidRPr="000A1601">
        <w:rPr>
          <w:lang w:val="es-ES"/>
        </w:rPr>
        <w:t>del Protocolo de Montreal</w:t>
      </w:r>
      <w:r w:rsidR="008933CC" w:rsidRPr="00441626">
        <w:rPr>
          <w:lang w:val="es-ES"/>
        </w:rPr>
        <w:t>.</w:t>
      </w:r>
      <w:r w:rsidR="008933CC" w:rsidRPr="009C41DE">
        <w:rPr>
          <w:vertAlign w:val="superscript"/>
        </w:rPr>
        <w:footnoteReference w:id="10"/>
      </w:r>
      <w:r w:rsidR="008933CC" w:rsidRPr="00441626">
        <w:rPr>
          <w:lang w:val="es-ES"/>
        </w:rPr>
        <w:t xml:space="preserve"> </w:t>
      </w:r>
      <w:r w:rsidR="00336AF6" w:rsidRPr="00336AF6">
        <w:rPr>
          <w:lang w:val="es-ES"/>
        </w:rPr>
        <w:t xml:space="preserve">Basándose en el consumo histórico de HCFC, la Secretaría considera que sería poco probable que el consumo entre 2030 y 2040 sea superior a cero. Sin embargo, el PNUMA afirmó </w:t>
      </w:r>
      <w:r w:rsidR="003C1A5A" w:rsidRPr="00336AF6">
        <w:rPr>
          <w:lang w:val="es-ES"/>
        </w:rPr>
        <w:t>que,</w:t>
      </w:r>
      <w:r w:rsidR="00336AF6" w:rsidRPr="00336AF6">
        <w:rPr>
          <w:lang w:val="es-ES"/>
        </w:rPr>
        <w:t xml:space="preserve"> aunque el consumo fue bajo en los últimos años, dado el tamaño del país y una gran cantidad de equipos en funcionamiento, podría haber un consumo muy bajo entre 2030 y 2040 para dar mantenimiento a los equipos restantes a base de HCFC. La eliminación anticipada de los HCFC no se consideró una opción viable por la misma razón, es decir, para permitir que una gran cantidad de equipos llegue al final de su vida útil. El Gobierno continuará ejecutando el sistema de concesión y cuotas hasta el 1 de enero de 2030, fecha en la que no se autorizarán más cuotas, excepto la asignación </w:t>
      </w:r>
      <w:r w:rsidR="00DA2640">
        <w:rPr>
          <w:lang w:val="es-ES"/>
        </w:rPr>
        <w:t>destinada a la reserva de mantenimiento</w:t>
      </w:r>
      <w:r w:rsidR="00336AF6" w:rsidRPr="00336AF6">
        <w:rPr>
          <w:lang w:val="es-ES"/>
        </w:rPr>
        <w:t xml:space="preserve"> entre 2030 y 2040, en consonancia con las disposiciones del Protocolo de Montreal</w:t>
      </w:r>
      <w:r w:rsidR="00B668CA">
        <w:rPr>
          <w:lang w:val="es-ES"/>
        </w:rPr>
        <w:t>.</w:t>
      </w:r>
    </w:p>
    <w:p w14:paraId="4A4037ED" w14:textId="55DEB623" w:rsidR="00D20DE5" w:rsidRPr="00B668CA" w:rsidRDefault="00BA3698" w:rsidP="003C1A5A">
      <w:pPr>
        <w:pStyle w:val="Heading1"/>
        <w:rPr>
          <w:lang w:val="es-ES"/>
        </w:rPr>
      </w:pPr>
      <w:r w:rsidRPr="00B668CA">
        <w:rPr>
          <w:lang w:val="es-ES"/>
        </w:rPr>
        <w:t xml:space="preserve">En consonancia con la </w:t>
      </w:r>
      <w:r w:rsidR="00907595">
        <w:rPr>
          <w:lang w:val="es-ES"/>
        </w:rPr>
        <w:t>D</w:t>
      </w:r>
      <w:r w:rsidRPr="00B668CA">
        <w:rPr>
          <w:lang w:val="es-ES"/>
        </w:rPr>
        <w:t xml:space="preserve">ecisión 86/51, para permitir el examen del tramo final de su plan de gestión de la eliminación de los HCFC, el Gobierno de la República Democrática del Congo acordó presentar una descripción detallada del marco normativo y de políticas en vigor para la ejecución de las medidas destinadas a garantizar que el consumo de HCFC se ajuste a lo dispuesto en el </w:t>
      </w:r>
      <w:r w:rsidR="0076519D">
        <w:rPr>
          <w:lang w:val="es-ES"/>
        </w:rPr>
        <w:t>apartado</w:t>
      </w:r>
      <w:r w:rsidR="000A5AFE">
        <w:rPr>
          <w:lang w:val="es-ES"/>
        </w:rPr>
        <w:t xml:space="preserve"> 8 ter) e) i) del </w:t>
      </w:r>
      <w:r w:rsidR="000A5AFE" w:rsidRPr="000A0DAA">
        <w:rPr>
          <w:lang w:val="es-ES"/>
        </w:rPr>
        <w:t>Artículo 5</w:t>
      </w:r>
      <w:r w:rsidR="000A5AFE">
        <w:rPr>
          <w:lang w:val="es-ES"/>
        </w:rPr>
        <w:t xml:space="preserve"> </w:t>
      </w:r>
      <w:r w:rsidRPr="00B668CA">
        <w:rPr>
          <w:lang w:val="es-ES"/>
        </w:rPr>
        <w:t xml:space="preserve">del Protocolo de Montreal para el período 2030-2040, así como el consumo anual de HCFC previsto en la República Democrática del Congo para el período 2030-2040. </w:t>
      </w:r>
    </w:p>
    <w:p w14:paraId="21AD7492" w14:textId="46EF9B95" w:rsidR="008933CC" w:rsidRPr="00257E3C" w:rsidRDefault="00630B22" w:rsidP="003C1A5A">
      <w:pPr>
        <w:spacing w:after="240"/>
        <w:rPr>
          <w:u w:val="single"/>
          <w:lang w:val="es-ES"/>
        </w:rPr>
      </w:pPr>
      <w:r w:rsidRPr="00257E3C">
        <w:rPr>
          <w:u w:val="single"/>
          <w:lang w:val="es-ES"/>
        </w:rPr>
        <w:t xml:space="preserve">Objetivos de consumo anual durante la fase </w:t>
      </w:r>
      <w:r w:rsidR="008933CC" w:rsidRPr="00257E3C">
        <w:rPr>
          <w:u w:val="single"/>
          <w:lang w:val="es-ES"/>
        </w:rPr>
        <w:t>II</w:t>
      </w:r>
    </w:p>
    <w:p w14:paraId="27DDAAB3" w14:textId="353FC089" w:rsidR="008933CC" w:rsidRPr="00D93D75" w:rsidRDefault="00D93D75" w:rsidP="003C1A5A">
      <w:pPr>
        <w:pStyle w:val="Heading1"/>
        <w:rPr>
          <w:lang w:val="es-ES"/>
        </w:rPr>
      </w:pPr>
      <w:r w:rsidRPr="00D93D75">
        <w:rPr>
          <w:lang w:val="es-ES"/>
        </w:rPr>
        <w:t>El Gobierno de la República Democrática del Congo y los organismos de ejecución decidieron preparar la etapa II del plan de gestión de eliminación de HCFC para la eliminación de los HCFC en 2030 en lugar de apuntar a un objetivo intermedio en 2025, basándose en la experiencia adquirida durante la etapa I del plan de gestión de eliminación de HCFC, que demostró que el proceso de toma de decisiones, el proceso de lanzamiento de una nueva etapa y el ritmo de ejecución de las actividades en el país fueron más lentos de lo previsto inicialmente. Por lo tanto, las actividades de la etapa II, como el establecimiento del sistema de certificación de técnicos de refrigeración y la infraestructura para la recuperación de refrigerantes, están previstas hasta 2030, ya que tardarán varios años en ponerse en marcha y producir resultados. Una etapa corta, que se extendiera hasta 2025, dividiría estas actividades en proyectos separados y generaría una carga innecesaria de preparación y lanzamiento de una etapa posterior, consistente en la continuación de las mismas actividades</w:t>
      </w:r>
      <w:r w:rsidR="008933CC" w:rsidRPr="00D93D75">
        <w:rPr>
          <w:lang w:val="es-ES"/>
        </w:rPr>
        <w:t>.</w:t>
      </w:r>
    </w:p>
    <w:p w14:paraId="7DEA619A" w14:textId="247CEB6B" w:rsidR="008933CC" w:rsidRPr="00DD0F7B" w:rsidRDefault="00DD0F7B" w:rsidP="003C1A5A">
      <w:pPr>
        <w:pStyle w:val="Heading1"/>
        <w:rPr>
          <w:lang w:val="es-ES"/>
        </w:rPr>
      </w:pPr>
      <w:r w:rsidRPr="00DD0F7B">
        <w:rPr>
          <w:lang w:val="es-ES"/>
        </w:rPr>
        <w:t xml:space="preserve">En la etapa II, tal como se presentó, se propuso un consumo máximo permitido de 11,05 toneladas PAO para los años 2021 a 2024, y de 5,53 toneladas PAO para los años 2025 a 2029. Observando que el consumo de HCFC durante los últimos cinco años ya ha estado por debajo de estos objetivos de consumo, el Gobierno acordó comprometerse con objetivos de consumo más bajos, como sigue 6,00 toneladas PAO de 2021 a 2024; 3,00 toneladas PAO de 2025 a 2027; y 2,00 toneladas PAO en 2028 y 2029. La Secretaría </w:t>
      </w:r>
      <w:r w:rsidRPr="00DD0F7B">
        <w:rPr>
          <w:lang w:val="es-ES"/>
        </w:rPr>
        <w:lastRenderedPageBreak/>
        <w:t>observa que este compromiso representa una reducción con respecto al último objetivo de consumo fijado en la etapa I (16,00 toneladas PAO en 2017), y permitirá al país seguir prestando mantenimiento a los equipos a base de HCFC-22 que aún están en funcionamiento una vez que la economía se reactive tras la pandemia de COVID 19 y las importaciones aumenten con respecto al nivel de 2020</w:t>
      </w:r>
      <w:r w:rsidR="008933CC" w:rsidRPr="00DD0F7B">
        <w:rPr>
          <w:lang w:val="es-ES"/>
        </w:rPr>
        <w:t xml:space="preserve">. </w:t>
      </w:r>
    </w:p>
    <w:p w14:paraId="23AF4337" w14:textId="215C8610" w:rsidR="008933CC" w:rsidRPr="008B4C76" w:rsidRDefault="008B4C76" w:rsidP="003C1A5A">
      <w:pPr>
        <w:widowControl w:val="0"/>
        <w:spacing w:after="240"/>
        <w:rPr>
          <w:u w:val="single"/>
          <w:lang w:val="es-ES"/>
        </w:rPr>
      </w:pPr>
      <w:r w:rsidRPr="008B4C76">
        <w:rPr>
          <w:u w:val="single"/>
          <w:lang w:val="es-ES"/>
        </w:rPr>
        <w:t>Cuestiones técnicas y relativas a</w:t>
      </w:r>
      <w:r>
        <w:rPr>
          <w:u w:val="single"/>
          <w:lang w:val="es-ES"/>
        </w:rPr>
        <w:t xml:space="preserve"> los costos</w:t>
      </w:r>
    </w:p>
    <w:p w14:paraId="15B2489C" w14:textId="602C34DB" w:rsidR="008933CC" w:rsidRPr="00AF49CD" w:rsidRDefault="008B78A8" w:rsidP="003C1A5A">
      <w:pPr>
        <w:spacing w:after="240"/>
        <w:rPr>
          <w:i/>
          <w:iCs/>
          <w:lang w:val="es-ES"/>
        </w:rPr>
      </w:pPr>
      <w:r w:rsidRPr="00AF49CD">
        <w:rPr>
          <w:i/>
          <w:iCs/>
          <w:lang w:val="es-ES"/>
        </w:rPr>
        <w:t>Fortalecimiento de la supervisión y la aplicación de las medidas de control y desarrollo de la capacidad de los funcionarios encargados de su aplicación</w:t>
      </w:r>
    </w:p>
    <w:p w14:paraId="6B2EC76E" w14:textId="4AEDEAA5" w:rsidR="00D27199" w:rsidRPr="00D27199" w:rsidRDefault="00D27199" w:rsidP="003C1A5A">
      <w:pPr>
        <w:pStyle w:val="Heading1"/>
        <w:rPr>
          <w:lang w:val="es-ES"/>
        </w:rPr>
      </w:pPr>
      <w:r w:rsidRPr="00D27199">
        <w:rPr>
          <w:lang w:val="es-ES"/>
        </w:rPr>
        <w:t xml:space="preserve">Al observar que el marco normativo de los HCFC en la República Democrática del Congo no se ha actualizado en los últimos años, el PNUMA acordó incluir </w:t>
      </w:r>
      <w:r w:rsidR="00D50978">
        <w:rPr>
          <w:lang w:val="es-ES"/>
        </w:rPr>
        <w:t>la</w:t>
      </w:r>
      <w:r w:rsidR="00A157B1">
        <w:rPr>
          <w:lang w:val="es-ES"/>
        </w:rPr>
        <w:t xml:space="preserve">s actividades de </w:t>
      </w:r>
      <w:r w:rsidRPr="00D27199">
        <w:rPr>
          <w:lang w:val="es-ES"/>
        </w:rPr>
        <w:t>asistencia para actualizar la normativa. El 1 de enero de 2024 entrarán en vigor la prohibición de importar equipos basados en HCFC y las medidas reguladoras para controlar las emisiones previstas de refrigerante durante la instalación, el mantenimiento y el desmantelamiento. Además, se desarrollarán políticas basadas en las deficiencias identificadas y en la necesidad de apoyar la eliminación del HCFC</w:t>
      </w:r>
      <w:r w:rsidR="00A157B1">
        <w:rPr>
          <w:lang w:val="es-ES"/>
        </w:rPr>
        <w:t>-</w:t>
      </w:r>
      <w:r w:rsidRPr="00D27199">
        <w:rPr>
          <w:lang w:val="es-ES"/>
        </w:rPr>
        <w:t>22, incluyendo la prohibición del uso de HCFC-141b para el lavado de los equipos de refrigeración durante el mantenimiento (como medida preventiva para evitar la introducción de esta práctica) y de las importaciones de equipos de segunda mano basados en HCFC para el 1 de enero de 2025; así como la notificación obligatoria de las importaciones reales a la Dependencia Nacional del Ozono por parte de los importadores y exportadores de HCFC para cotejarlas con los datos aduaneros para el 1 de enero de 2024.</w:t>
      </w:r>
    </w:p>
    <w:p w14:paraId="3325A585" w14:textId="62F29B44" w:rsidR="008933CC" w:rsidRPr="00AF49CD" w:rsidRDefault="00AF49CD" w:rsidP="003C1A5A">
      <w:pPr>
        <w:pStyle w:val="Heading1"/>
        <w:rPr>
          <w:lang w:val="es-ES"/>
        </w:rPr>
      </w:pPr>
      <w:r w:rsidRPr="00AF49CD">
        <w:rPr>
          <w:lang w:val="es-ES"/>
        </w:rPr>
        <w:t>Teniendo en cuenta los fondos disponibles y el número de funcionarios de aduanas en el país (estimado en 6</w:t>
      </w:r>
      <w:r>
        <w:rPr>
          <w:lang w:val="es-ES"/>
        </w:rPr>
        <w:t xml:space="preserve"> </w:t>
      </w:r>
      <w:r w:rsidRPr="00AF49CD">
        <w:rPr>
          <w:lang w:val="es-ES"/>
        </w:rPr>
        <w:t>400), de los cuales sólo 265 recibieron formación en la fase I, el PNUMA acordó aumentar el número de funcionarios de aduanas a ser capacitados en la fase II a 1</w:t>
      </w:r>
      <w:r>
        <w:rPr>
          <w:lang w:val="es-ES"/>
        </w:rPr>
        <w:t xml:space="preserve"> </w:t>
      </w:r>
      <w:r w:rsidRPr="00AF49CD">
        <w:rPr>
          <w:lang w:val="es-ES"/>
        </w:rPr>
        <w:t>000, con el mismo nivel de financiación</w:t>
      </w:r>
      <w:r w:rsidR="008933CC" w:rsidRPr="00AF49CD">
        <w:rPr>
          <w:lang w:val="es-ES"/>
        </w:rPr>
        <w:t>.</w:t>
      </w:r>
    </w:p>
    <w:p w14:paraId="464BAE5E" w14:textId="082ABDB5" w:rsidR="008933CC" w:rsidRPr="00C5320F" w:rsidRDefault="00C5320F" w:rsidP="003C1A5A">
      <w:pPr>
        <w:pStyle w:val="Heading2"/>
        <w:numPr>
          <w:ilvl w:val="0"/>
          <w:numId w:val="0"/>
        </w:numPr>
        <w:rPr>
          <w:i/>
          <w:iCs/>
          <w:lang w:val="es-ES"/>
        </w:rPr>
      </w:pPr>
      <w:r w:rsidRPr="00C5320F">
        <w:rPr>
          <w:i/>
          <w:iCs/>
          <w:lang w:val="es-ES"/>
        </w:rPr>
        <w:t>Creación de capacidad de los técnicos de mantenimiento en refrigeración y aire acondicionado y establecimiento de un sistema de certificación en refrigeración y aire acondicionado</w:t>
      </w:r>
      <w:r w:rsidR="008933CC" w:rsidRPr="00C5320F">
        <w:rPr>
          <w:i/>
          <w:iCs/>
          <w:lang w:val="es-ES"/>
        </w:rPr>
        <w:t xml:space="preserve">: </w:t>
      </w:r>
    </w:p>
    <w:p w14:paraId="021EFBDE" w14:textId="5E170A37" w:rsidR="00147784" w:rsidRPr="00147784" w:rsidRDefault="00147784" w:rsidP="003C1A5A">
      <w:pPr>
        <w:pStyle w:val="Heading1"/>
        <w:spacing w:after="120"/>
        <w:rPr>
          <w:lang w:val="es-ES"/>
        </w:rPr>
      </w:pPr>
      <w:r w:rsidRPr="00147784">
        <w:rPr>
          <w:lang w:val="es-ES"/>
        </w:rPr>
        <w:t>En respuesta a una solicitud de aclaración, el PNUMA confirmó que el Gobierno pretende poner en marcha el sistema de certificación para finales de 2023. Para ello, será necesario llevar a cabo una serie de actividades, incluyendo la introducción de un marco normativo de apoyo y la determinación de un mecanismo y una institución local para operar el sistema de manera autosuficiente. Con el fin de optimizar la asistencia para la eliminación de los HCFC en el país, el Gobierno y el PNUMA también acordaron establecer un objetivo para certificar a unos 500 técnicos al año, lo que supone un total estimado de</w:t>
      </w:r>
      <w:r w:rsidR="003C1A5A">
        <w:rPr>
          <w:lang w:val="es-ES"/>
        </w:rPr>
        <w:t> </w:t>
      </w:r>
      <w:r w:rsidRPr="00147784">
        <w:rPr>
          <w:lang w:val="es-ES"/>
        </w:rPr>
        <w:t>3</w:t>
      </w:r>
      <w:r w:rsidR="003C1A5A">
        <w:rPr>
          <w:lang w:val="es-ES"/>
        </w:rPr>
        <w:t> </w:t>
      </w:r>
      <w:r w:rsidRPr="00147784">
        <w:rPr>
          <w:lang w:val="es-ES"/>
        </w:rPr>
        <w:t>500</w:t>
      </w:r>
      <w:r w:rsidR="003C1A5A">
        <w:rPr>
          <w:lang w:val="es-ES"/>
        </w:rPr>
        <w:t> </w:t>
      </w:r>
      <w:r w:rsidRPr="00147784">
        <w:rPr>
          <w:lang w:val="es-ES"/>
        </w:rPr>
        <w:t>técnicos durante la fase II</w:t>
      </w:r>
      <w:r w:rsidR="00DD213D">
        <w:rPr>
          <w:lang w:val="es-ES"/>
        </w:rPr>
        <w:t>.</w:t>
      </w:r>
    </w:p>
    <w:p w14:paraId="129AFD58" w14:textId="47A6A1C1" w:rsidR="00C72CF1" w:rsidRPr="00C72CF1" w:rsidRDefault="00C72CF1" w:rsidP="003C1A5A">
      <w:pPr>
        <w:pStyle w:val="Heading1"/>
        <w:spacing w:after="120"/>
        <w:rPr>
          <w:lang w:val="es-ES"/>
        </w:rPr>
      </w:pPr>
      <w:r w:rsidRPr="00C72CF1">
        <w:rPr>
          <w:lang w:val="es-ES"/>
        </w:rPr>
        <w:t xml:space="preserve">Teniendo en cuenta el número de técnicos en el país, los fondos solicitados para esta actividad, la duración del </w:t>
      </w:r>
      <w:r w:rsidR="00942D0E">
        <w:rPr>
          <w:lang w:val="es-ES"/>
        </w:rPr>
        <w:t>PGEH</w:t>
      </w:r>
      <w:r w:rsidRPr="00C72CF1">
        <w:rPr>
          <w:lang w:val="es-ES"/>
        </w:rPr>
        <w:t xml:space="preserve"> y la participación de entre siete y diez institutos de formación reforzados con formación y equipamiento durante las etapas I y II del </w:t>
      </w:r>
      <w:r w:rsidR="00942D0E">
        <w:rPr>
          <w:lang w:val="es-ES"/>
        </w:rPr>
        <w:t>PGEH</w:t>
      </w:r>
      <w:r w:rsidRPr="00C72CF1">
        <w:rPr>
          <w:lang w:val="es-ES"/>
        </w:rPr>
        <w:t>, el PNUMA acordó aumentar el número de técnicos a capacitar de 720 a 6</w:t>
      </w:r>
      <w:r w:rsidR="00942D0E">
        <w:rPr>
          <w:lang w:val="es-ES"/>
        </w:rPr>
        <w:t xml:space="preserve"> </w:t>
      </w:r>
      <w:r w:rsidRPr="00C72CF1">
        <w:rPr>
          <w:lang w:val="es-ES"/>
        </w:rPr>
        <w:t>400 para garantizar un mayor impacto de esta actividad en el sector. Con el fin de conseguirlo con el presupuesto disponible, los fondos inicialmente asignados a la sensibilización de los usuarios finales se reasignaron a la formación de técnicos</w:t>
      </w:r>
      <w:r w:rsidR="00942D0E">
        <w:rPr>
          <w:lang w:val="es-ES"/>
        </w:rPr>
        <w:t>.</w:t>
      </w:r>
    </w:p>
    <w:p w14:paraId="7F59FC2E" w14:textId="67E404BC" w:rsidR="008933CC" w:rsidRPr="003300F0" w:rsidRDefault="003300F0" w:rsidP="003C1A5A">
      <w:pPr>
        <w:pStyle w:val="Heading2"/>
        <w:numPr>
          <w:ilvl w:val="0"/>
          <w:numId w:val="0"/>
        </w:numPr>
        <w:spacing w:after="120"/>
        <w:rPr>
          <w:i/>
          <w:iCs/>
          <w:lang w:val="es-ES"/>
        </w:rPr>
      </w:pPr>
      <w:r w:rsidRPr="003300F0">
        <w:rPr>
          <w:i/>
          <w:iCs/>
          <w:lang w:val="es-ES"/>
        </w:rPr>
        <w:t>Apoyo a la industria de servicio y mantenimiento y a las escuelas técnicas</w:t>
      </w:r>
    </w:p>
    <w:p w14:paraId="3A2C6B38" w14:textId="68D67FD0" w:rsidR="008933CC" w:rsidRPr="00710F01" w:rsidRDefault="00710F01" w:rsidP="003C1A5A">
      <w:pPr>
        <w:pStyle w:val="Heading1"/>
        <w:rPr>
          <w:lang w:val="es-ES"/>
        </w:rPr>
      </w:pPr>
      <w:r w:rsidRPr="00710F01">
        <w:rPr>
          <w:lang w:val="es-ES"/>
        </w:rPr>
        <w:t xml:space="preserve">La propuesta contemplaba la creación de dos centros de </w:t>
      </w:r>
      <w:r w:rsidR="001302D0">
        <w:rPr>
          <w:lang w:val="es-ES"/>
        </w:rPr>
        <w:t>reciclado</w:t>
      </w:r>
      <w:r w:rsidRPr="00710F01">
        <w:rPr>
          <w:lang w:val="es-ES"/>
        </w:rPr>
        <w:t xml:space="preserve">. Teniendo en cuenta el tamaño y la población de Kinshasa (más de 13 millones de habitantes), el funcionamiento de un centro de </w:t>
      </w:r>
      <w:r w:rsidR="001302D0">
        <w:rPr>
          <w:lang w:val="es-ES"/>
        </w:rPr>
        <w:t>reciclado</w:t>
      </w:r>
      <w:r w:rsidRPr="00710F01">
        <w:rPr>
          <w:lang w:val="es-ES"/>
        </w:rPr>
        <w:t xml:space="preserve"> podría ser posible, aunque habría que analizar numerosas variables (por ejemplo, la densidad de población, </w:t>
      </w:r>
      <w:r w:rsidR="001017AF">
        <w:rPr>
          <w:lang w:val="es-ES"/>
        </w:rPr>
        <w:t>el nivel</w:t>
      </w:r>
      <w:r w:rsidRPr="00710F01">
        <w:rPr>
          <w:lang w:val="es-ES"/>
        </w:rPr>
        <w:t xml:space="preserve"> de electrificación y el uso de equipos </w:t>
      </w:r>
      <w:r w:rsidR="001017AF">
        <w:rPr>
          <w:lang w:val="es-ES"/>
        </w:rPr>
        <w:t>de refrigeración y aire acondicionado</w:t>
      </w:r>
      <w:r w:rsidRPr="00710F01">
        <w:rPr>
          <w:lang w:val="es-ES"/>
        </w:rPr>
        <w:t>, las partes interesadas disponibles para llevar a cabo la operación, el precio de los refrigerantes, la logística y los modelos de negocio) para hacerlo económicamente viable</w:t>
      </w:r>
      <w:r w:rsidR="008933CC" w:rsidRPr="00710F01">
        <w:rPr>
          <w:lang w:val="es-ES"/>
        </w:rPr>
        <w:t xml:space="preserve">. </w:t>
      </w:r>
    </w:p>
    <w:p w14:paraId="551A1C95" w14:textId="3023AA40" w:rsidR="008933CC" w:rsidRPr="009C0054" w:rsidRDefault="009C0054" w:rsidP="003C1A5A">
      <w:pPr>
        <w:pStyle w:val="Heading1"/>
        <w:keepNext/>
        <w:keepLines/>
        <w:widowControl w:val="0"/>
        <w:rPr>
          <w:lang w:val="es-ES"/>
        </w:rPr>
      </w:pPr>
      <w:r w:rsidRPr="009C0054">
        <w:rPr>
          <w:lang w:val="es-ES"/>
        </w:rPr>
        <w:lastRenderedPageBreak/>
        <w:t xml:space="preserve">El PNUD explicó que su propuesta de establecer dos centros de </w:t>
      </w:r>
      <w:r w:rsidR="00944E47">
        <w:rPr>
          <w:lang w:val="es-ES"/>
        </w:rPr>
        <w:t>reciclado</w:t>
      </w:r>
      <w:r w:rsidRPr="009C0054">
        <w:rPr>
          <w:lang w:val="es-ES"/>
        </w:rPr>
        <w:t xml:space="preserve"> (uno en Kinshasa y otro en Lubumbashi) se había basado en las necesidades expresadas a nivel nacional y en experiencias similares </w:t>
      </w:r>
      <w:r>
        <w:rPr>
          <w:lang w:val="es-ES"/>
        </w:rPr>
        <w:t>vi</w:t>
      </w:r>
      <w:r w:rsidR="005F67CD">
        <w:rPr>
          <w:lang w:val="es-ES"/>
        </w:rPr>
        <w:t xml:space="preserve">vidas </w:t>
      </w:r>
      <w:r w:rsidRPr="009C0054">
        <w:rPr>
          <w:lang w:val="es-ES"/>
        </w:rPr>
        <w:t xml:space="preserve">en otros países. El principio del sistema consistiría en ofrecer el refrigerante recuperado a un precio inferior al del refrigerante virgen, pero lo suficientemente alto como para que el operador que lo recupera obtenga beneficios. Durante el primer tramo, el PNUD llevará a cabo un estudio de viabilidad para ultimar el modelo de negocio y la logística, necesarios antes de establecer cualquier centro de </w:t>
      </w:r>
      <w:r w:rsidR="006F0774">
        <w:rPr>
          <w:lang w:val="es-ES"/>
        </w:rPr>
        <w:t>reciclado</w:t>
      </w:r>
      <w:r w:rsidRPr="009C0054">
        <w:rPr>
          <w:lang w:val="es-ES"/>
        </w:rPr>
        <w:t>. Por lo tanto, en el primer tramo no se solicita ningún equipo para la recuperación y la recogida. El PNUD también ha acordado incluir en el informe de situación del primer tramo el resultado del estudio de viabilidad para el establecimiento del sistema de recuperación y valorización, incluyendo el modelo de negocio, las cantidades de refrigerante que se espera recuperar y los operadores más adecuados</w:t>
      </w:r>
      <w:r w:rsidR="008933CC" w:rsidRPr="009C0054">
        <w:rPr>
          <w:lang w:val="es-ES"/>
        </w:rPr>
        <w:t>.</w:t>
      </w:r>
    </w:p>
    <w:p w14:paraId="65C766C7" w14:textId="5CC14E38" w:rsidR="008933CC" w:rsidRPr="00EB7EE0" w:rsidRDefault="00EB7EE0" w:rsidP="003C1A5A">
      <w:pPr>
        <w:pStyle w:val="Heading1"/>
        <w:rPr>
          <w:lang w:val="es-ES"/>
        </w:rPr>
      </w:pPr>
      <w:r w:rsidRPr="00EB7EE0">
        <w:rPr>
          <w:lang w:val="es-ES"/>
        </w:rPr>
        <w:t xml:space="preserve">En lo que respecta al equipo de recuperación </w:t>
      </w:r>
      <w:r w:rsidR="00C8085E">
        <w:rPr>
          <w:lang w:val="es-ES"/>
        </w:rPr>
        <w:t xml:space="preserve">y reciclado </w:t>
      </w:r>
      <w:r w:rsidRPr="00EB7EE0">
        <w:rPr>
          <w:lang w:val="es-ES"/>
        </w:rPr>
        <w:t>de refrigerantes propuesto en el marco del proyecto, el PNUD confirmó que también sería adecuado para operar con otros refrigerantes, incluidos el HFC</w:t>
      </w:r>
      <w:r>
        <w:rPr>
          <w:lang w:val="es-ES"/>
        </w:rPr>
        <w:t>-</w:t>
      </w:r>
      <w:r w:rsidRPr="00EB7EE0">
        <w:rPr>
          <w:lang w:val="es-ES"/>
        </w:rPr>
        <w:t>134a, el R</w:t>
      </w:r>
      <w:r>
        <w:rPr>
          <w:lang w:val="es-ES"/>
        </w:rPr>
        <w:t>-</w:t>
      </w:r>
      <w:r w:rsidRPr="00EB7EE0">
        <w:rPr>
          <w:lang w:val="es-ES"/>
        </w:rPr>
        <w:t>410A, el R</w:t>
      </w:r>
      <w:r w:rsidR="000A7663">
        <w:rPr>
          <w:lang w:val="es-ES"/>
        </w:rPr>
        <w:t>-</w:t>
      </w:r>
      <w:r w:rsidRPr="00EB7EE0">
        <w:rPr>
          <w:lang w:val="es-ES"/>
        </w:rPr>
        <w:t>404A y el R</w:t>
      </w:r>
      <w:r w:rsidR="000A7663">
        <w:rPr>
          <w:lang w:val="es-ES"/>
        </w:rPr>
        <w:t>-</w:t>
      </w:r>
      <w:r w:rsidRPr="00EB7EE0">
        <w:rPr>
          <w:lang w:val="es-ES"/>
        </w:rPr>
        <w:t xml:space="preserve">407C. Con objeto de reducir la inversión y el costo operativo de los centros de recuperación, el PNUD sustituyó el uso de costosos equipos de laboratorio (cromatógrafo de gases y prueba de humedad Karl Fisher) por un método más sencillo que requeriría un número reducido de material de vidrio de laboratorio (tubos y recipientes, incluido </w:t>
      </w:r>
      <w:r w:rsidRPr="00F36218">
        <w:rPr>
          <w:lang w:val="es-ES"/>
        </w:rPr>
        <w:t xml:space="preserve">un tubo </w:t>
      </w:r>
      <w:proofErr w:type="spellStart"/>
      <w:r w:rsidRPr="00F36218">
        <w:rPr>
          <w:lang w:val="es-ES"/>
        </w:rPr>
        <w:t>Goetz</w:t>
      </w:r>
      <w:proofErr w:type="spellEnd"/>
      <w:r w:rsidRPr="00EB7EE0">
        <w:rPr>
          <w:lang w:val="es-ES"/>
        </w:rPr>
        <w:t xml:space="preserve"> para comprobar los residuos) y accesorios, como una balanza de precisión. Un procedimiento de certificación propuesto implica la verificación de los principales parámetros según el </w:t>
      </w:r>
      <w:r w:rsidRPr="00F36218">
        <w:rPr>
          <w:lang w:val="es-ES"/>
        </w:rPr>
        <w:t>AHRI</w:t>
      </w:r>
      <w:r w:rsidR="000A7663" w:rsidRPr="00F36218">
        <w:rPr>
          <w:lang w:val="es-ES"/>
        </w:rPr>
        <w:t>-</w:t>
      </w:r>
      <w:r w:rsidRPr="00F36218">
        <w:rPr>
          <w:lang w:val="es-ES"/>
        </w:rPr>
        <w:t>700</w:t>
      </w:r>
      <w:r w:rsidRPr="00EB7EE0">
        <w:rPr>
          <w:lang w:val="es-ES"/>
        </w:rPr>
        <w:t xml:space="preserve">, lo que permite conseguir un refrigerante recuperado (HCFC-22 en el marco del </w:t>
      </w:r>
      <w:r w:rsidR="0033110A">
        <w:rPr>
          <w:lang w:val="es-ES"/>
        </w:rPr>
        <w:t>PGEH</w:t>
      </w:r>
      <w:r w:rsidRPr="00EB7EE0">
        <w:rPr>
          <w:lang w:val="es-ES"/>
        </w:rPr>
        <w:t>) de un nivel de calidad similar al certificado por el AHRI</w:t>
      </w:r>
      <w:r w:rsidR="003C1A5A">
        <w:rPr>
          <w:lang w:val="es-ES"/>
        </w:rPr>
        <w:noBreakHyphen/>
      </w:r>
      <w:r w:rsidRPr="00EB7EE0">
        <w:rPr>
          <w:lang w:val="es-ES"/>
        </w:rPr>
        <w:t>700, pero con menos requisitos para los equipos avanzados</w:t>
      </w:r>
      <w:r w:rsidR="008933CC" w:rsidRPr="00EB7EE0">
        <w:rPr>
          <w:lang w:val="es-ES"/>
        </w:rPr>
        <w:t xml:space="preserve">. </w:t>
      </w:r>
    </w:p>
    <w:p w14:paraId="2DBEDAA7" w14:textId="3C2DCAAD" w:rsidR="008933CC" w:rsidRPr="00996241" w:rsidRDefault="0033110A" w:rsidP="003C1A5A">
      <w:pPr>
        <w:widowControl w:val="0"/>
        <w:spacing w:after="240"/>
        <w:outlineLvl w:val="0"/>
        <w:rPr>
          <w:u w:val="single"/>
        </w:rPr>
      </w:pPr>
      <w:proofErr w:type="spellStart"/>
      <w:r>
        <w:rPr>
          <w:u w:val="single"/>
        </w:rPr>
        <w:t>Costo</w:t>
      </w:r>
      <w:proofErr w:type="spellEnd"/>
      <w:r>
        <w:rPr>
          <w:u w:val="single"/>
        </w:rPr>
        <w:t xml:space="preserve"> t</w:t>
      </w:r>
      <w:r w:rsidR="008933CC" w:rsidRPr="00996241">
        <w:rPr>
          <w:u w:val="single"/>
        </w:rPr>
        <w:t xml:space="preserve">otal </w:t>
      </w:r>
      <w:r>
        <w:rPr>
          <w:u w:val="single"/>
        </w:rPr>
        <w:t xml:space="preserve">del </w:t>
      </w:r>
      <w:proofErr w:type="spellStart"/>
      <w:r>
        <w:rPr>
          <w:u w:val="single"/>
        </w:rPr>
        <w:t>proyecto</w:t>
      </w:r>
      <w:proofErr w:type="spellEnd"/>
    </w:p>
    <w:p w14:paraId="0DD703E6" w14:textId="29829A64" w:rsidR="008933CC" w:rsidRPr="00F36218" w:rsidRDefault="0033110A" w:rsidP="003C1A5A">
      <w:pPr>
        <w:pStyle w:val="Heading1"/>
        <w:keepNext/>
        <w:rPr>
          <w:lang w:val="es-ES"/>
        </w:rPr>
      </w:pPr>
      <w:r w:rsidRPr="00A7336B">
        <w:rPr>
          <w:lang w:val="es-ES"/>
        </w:rPr>
        <w:t>El costo total para la etapa II del P</w:t>
      </w:r>
      <w:r w:rsidR="005E7930" w:rsidRPr="00A7336B">
        <w:rPr>
          <w:lang w:val="es-ES"/>
        </w:rPr>
        <w:t xml:space="preserve">GEH asciende a </w:t>
      </w:r>
      <w:r w:rsidR="008933CC" w:rsidRPr="00A7336B">
        <w:rPr>
          <w:kern w:val="28"/>
          <w:lang w:val="es-ES"/>
        </w:rPr>
        <w:t>1</w:t>
      </w:r>
      <w:r w:rsidR="005E7930" w:rsidRPr="00A7336B">
        <w:rPr>
          <w:kern w:val="28"/>
          <w:lang w:val="es-ES"/>
        </w:rPr>
        <w:t xml:space="preserve"> </w:t>
      </w:r>
      <w:r w:rsidR="008933CC" w:rsidRPr="00A7336B">
        <w:rPr>
          <w:kern w:val="28"/>
          <w:lang w:val="es-ES"/>
        </w:rPr>
        <w:t>125</w:t>
      </w:r>
      <w:r w:rsidR="005E7930" w:rsidRPr="00A7336B">
        <w:rPr>
          <w:kern w:val="28"/>
          <w:lang w:val="es-ES"/>
        </w:rPr>
        <w:t> </w:t>
      </w:r>
      <w:r w:rsidR="008933CC" w:rsidRPr="00A7336B">
        <w:rPr>
          <w:kern w:val="28"/>
          <w:lang w:val="es-ES"/>
        </w:rPr>
        <w:t>000</w:t>
      </w:r>
      <w:r w:rsidR="005E7930" w:rsidRPr="00A7336B">
        <w:rPr>
          <w:kern w:val="28"/>
          <w:lang w:val="es-ES"/>
        </w:rPr>
        <w:t xml:space="preserve"> </w:t>
      </w:r>
      <w:r w:rsidR="005E7930" w:rsidRPr="00A7336B">
        <w:rPr>
          <w:lang w:val="es-ES"/>
        </w:rPr>
        <w:t>$EUA</w:t>
      </w:r>
      <w:r w:rsidR="008933CC" w:rsidRPr="00A7336B">
        <w:rPr>
          <w:lang w:val="es-ES"/>
        </w:rPr>
        <w:t>,</w:t>
      </w:r>
      <w:r w:rsidR="008933CC" w:rsidRPr="00A7336B">
        <w:rPr>
          <w:color w:val="000000"/>
          <w:sz w:val="24"/>
          <w:lang w:val="es-ES"/>
        </w:rPr>
        <w:t xml:space="preserve"> </w:t>
      </w:r>
      <w:r w:rsidR="000C06F4" w:rsidRPr="00A7336B">
        <w:rPr>
          <w:color w:val="000000"/>
          <w:sz w:val="24"/>
          <w:lang w:val="es-ES"/>
        </w:rPr>
        <w:t>en consonancia con la D</w:t>
      </w:r>
      <w:r w:rsidR="008933CC" w:rsidRPr="00A7336B">
        <w:rPr>
          <w:color w:val="000000"/>
          <w:sz w:val="24"/>
          <w:lang w:val="es-ES"/>
        </w:rPr>
        <w:t>ecisi</w:t>
      </w:r>
      <w:r w:rsidR="00B521A0" w:rsidRPr="00A7336B">
        <w:rPr>
          <w:color w:val="000000"/>
          <w:sz w:val="24"/>
          <w:lang w:val="es-ES"/>
        </w:rPr>
        <w:t>ó</w:t>
      </w:r>
      <w:r w:rsidR="008933CC" w:rsidRPr="00A7336B">
        <w:rPr>
          <w:color w:val="000000"/>
          <w:sz w:val="24"/>
          <w:lang w:val="es-ES"/>
        </w:rPr>
        <w:t xml:space="preserve">n 80/67 </w:t>
      </w:r>
      <w:r w:rsidR="00B521A0" w:rsidRPr="00A7336B">
        <w:rPr>
          <w:color w:val="000000"/>
          <w:sz w:val="24"/>
          <w:lang w:val="es-ES"/>
        </w:rPr>
        <w:t>y basado en la D</w:t>
      </w:r>
      <w:r w:rsidR="008933CC" w:rsidRPr="00A7336B">
        <w:rPr>
          <w:lang w:val="es-ES"/>
        </w:rPr>
        <w:t>ecisi</w:t>
      </w:r>
      <w:r w:rsidR="009073EB" w:rsidRPr="00A7336B">
        <w:rPr>
          <w:lang w:val="es-ES"/>
        </w:rPr>
        <w:t>ó</w:t>
      </w:r>
      <w:r w:rsidR="008933CC" w:rsidRPr="00A7336B">
        <w:rPr>
          <w:lang w:val="es-ES"/>
        </w:rPr>
        <w:t>n 74/50</w:t>
      </w:r>
      <w:r w:rsidR="009073EB" w:rsidRPr="00A7336B">
        <w:rPr>
          <w:lang w:val="es-ES"/>
        </w:rPr>
        <w:t xml:space="preserve"> </w:t>
      </w:r>
      <w:r w:rsidR="008933CC" w:rsidRPr="00A7336B">
        <w:rPr>
          <w:lang w:val="es-ES"/>
        </w:rPr>
        <w:t>c)</w:t>
      </w:r>
      <w:r w:rsidR="009073EB" w:rsidRPr="00A7336B">
        <w:rPr>
          <w:lang w:val="es-ES"/>
        </w:rPr>
        <w:t xml:space="preserve"> </w:t>
      </w:r>
      <w:r w:rsidR="008933CC" w:rsidRPr="00A7336B">
        <w:rPr>
          <w:lang w:val="es-ES"/>
        </w:rPr>
        <w:t xml:space="preserve">xii) </w:t>
      </w:r>
      <w:r w:rsidR="00A7336B" w:rsidRPr="00A7336B">
        <w:rPr>
          <w:lang w:val="es-ES"/>
        </w:rPr>
        <w:t>sobr</w:t>
      </w:r>
      <w:r w:rsidR="00A7336B">
        <w:rPr>
          <w:lang w:val="es-ES"/>
        </w:rPr>
        <w:t xml:space="preserve">e el nivel de financiación admisible para </w:t>
      </w:r>
      <w:r w:rsidR="00A7336B" w:rsidRPr="00F36218">
        <w:rPr>
          <w:lang w:val="es-ES"/>
        </w:rPr>
        <w:t xml:space="preserve">un país </w:t>
      </w:r>
      <w:r w:rsidR="00B64321" w:rsidRPr="00F36218">
        <w:rPr>
          <w:lang w:val="es-ES"/>
        </w:rPr>
        <w:t>de bajo consumo</w:t>
      </w:r>
      <w:r w:rsidR="008933CC" w:rsidRPr="00F36218">
        <w:rPr>
          <w:lang w:val="es-ES"/>
        </w:rPr>
        <w:t xml:space="preserve">. </w:t>
      </w:r>
    </w:p>
    <w:p w14:paraId="0CBD501F" w14:textId="551983B8" w:rsidR="008933CC" w:rsidRPr="00AE5A73" w:rsidRDefault="00AE5A73" w:rsidP="003C1A5A">
      <w:pPr>
        <w:pStyle w:val="Heading1"/>
        <w:rPr>
          <w:lang w:val="es-ES"/>
        </w:rPr>
      </w:pPr>
      <w:r w:rsidRPr="00AE5A73">
        <w:rPr>
          <w:lang w:val="es-ES"/>
        </w:rPr>
        <w:t>Con la finalización de la etapa I antes del 30 de junio de 2020, la Secretaría considera que es necesario iniciar la etapa II lo antes posible para garantizar la continuidad de las actividades en el país. El</w:t>
      </w:r>
      <w:r w:rsidR="003C1A5A">
        <w:rPr>
          <w:lang w:val="es-ES"/>
        </w:rPr>
        <w:t> </w:t>
      </w:r>
      <w:r w:rsidRPr="00AE5A73">
        <w:rPr>
          <w:lang w:val="es-ES"/>
        </w:rPr>
        <w:t xml:space="preserve">plan presentado había asignado cerca del 50% de los fondos al primer tramo. Teniendo en cuenta que la etapa tiene una duración de nueve años, que muchas actividades se llevarán a cabo sistemáticamente a lo largo del período de ejecución (por ejemplo, la formación de funcionarios de aduanas y técnicos de refrigeración) y que algunos equipos sólo se adquirirán durante el segundo tramo, la Secretaría y los organismos de ejecución acordaron una distribución de tramos más equilibrada, tal como se presenta en </w:t>
      </w:r>
      <w:r>
        <w:rPr>
          <w:lang w:val="es-ES"/>
        </w:rPr>
        <w:t>el Cuadro</w:t>
      </w:r>
      <w:r w:rsidR="008933CC" w:rsidRPr="00AE5A73">
        <w:rPr>
          <w:lang w:val="es-ES"/>
        </w:rPr>
        <w:t xml:space="preserve"> 4.</w:t>
      </w:r>
    </w:p>
    <w:p w14:paraId="55B76644" w14:textId="608781DB" w:rsidR="008933CC" w:rsidRPr="00FA6A5F" w:rsidRDefault="00AE5A73" w:rsidP="008933CC">
      <w:pPr>
        <w:pStyle w:val="Heading1"/>
        <w:keepNext/>
        <w:numPr>
          <w:ilvl w:val="0"/>
          <w:numId w:val="0"/>
        </w:numPr>
        <w:spacing w:after="0"/>
        <w:rPr>
          <w:b/>
          <w:w w:val="97"/>
          <w:lang w:val="es-ES"/>
        </w:rPr>
      </w:pPr>
      <w:r w:rsidRPr="00257E3C">
        <w:rPr>
          <w:b/>
          <w:w w:val="97"/>
          <w:lang w:val="es-ES"/>
        </w:rPr>
        <w:t>Cuadro</w:t>
      </w:r>
      <w:r w:rsidR="008933CC" w:rsidRPr="00257E3C">
        <w:rPr>
          <w:b/>
          <w:w w:val="97"/>
          <w:lang w:val="es-ES"/>
        </w:rPr>
        <w:t xml:space="preserve"> 4. </w:t>
      </w:r>
      <w:r w:rsidR="003251EE" w:rsidRPr="00FA6A5F">
        <w:rPr>
          <w:b/>
          <w:w w:val="97"/>
          <w:lang w:val="es-ES"/>
        </w:rPr>
        <w:t xml:space="preserve">Distribución </w:t>
      </w:r>
      <w:r w:rsidR="00DE34DD" w:rsidRPr="0002285F">
        <w:rPr>
          <w:b/>
          <w:w w:val="97"/>
          <w:lang w:val="es-ES"/>
        </w:rPr>
        <w:t>de</w:t>
      </w:r>
      <w:r w:rsidR="00563A14" w:rsidRPr="0002285F">
        <w:rPr>
          <w:b/>
          <w:w w:val="97"/>
          <w:lang w:val="es-ES"/>
        </w:rPr>
        <w:t xml:space="preserve"> los</w:t>
      </w:r>
      <w:r w:rsidR="00DE34DD" w:rsidRPr="0002285F">
        <w:rPr>
          <w:b/>
          <w:w w:val="97"/>
          <w:lang w:val="es-ES"/>
        </w:rPr>
        <w:t xml:space="preserve"> tramo</w:t>
      </w:r>
      <w:r w:rsidR="00563A14" w:rsidRPr="0002285F">
        <w:rPr>
          <w:b/>
          <w:w w:val="97"/>
          <w:lang w:val="es-ES"/>
        </w:rPr>
        <w:t>s</w:t>
      </w:r>
      <w:r w:rsidR="00DE34DD" w:rsidRPr="00FA6A5F">
        <w:rPr>
          <w:b/>
          <w:w w:val="97"/>
          <w:lang w:val="es-ES"/>
        </w:rPr>
        <w:t xml:space="preserve"> acordad</w:t>
      </w:r>
      <w:r w:rsidR="00FA6A5F" w:rsidRPr="00FA6A5F">
        <w:rPr>
          <w:b/>
          <w:w w:val="97"/>
          <w:lang w:val="es-ES"/>
        </w:rPr>
        <w:t>a</w:t>
      </w:r>
      <w:r w:rsidR="00DE34DD" w:rsidRPr="00FA6A5F">
        <w:rPr>
          <w:b/>
          <w:w w:val="97"/>
          <w:lang w:val="es-ES"/>
        </w:rPr>
        <w:t xml:space="preserve"> para </w:t>
      </w:r>
      <w:r w:rsidR="00FA6A5F" w:rsidRPr="00FA6A5F">
        <w:rPr>
          <w:b/>
          <w:w w:val="97"/>
          <w:lang w:val="es-ES"/>
        </w:rPr>
        <w:t>la</w:t>
      </w:r>
      <w:r w:rsidR="00FA6A5F">
        <w:rPr>
          <w:b/>
          <w:w w:val="97"/>
          <w:lang w:val="es-ES"/>
        </w:rPr>
        <w:t xml:space="preserve"> fase II d</w:t>
      </w:r>
      <w:r w:rsidR="00DE34DD" w:rsidRPr="00FA6A5F">
        <w:rPr>
          <w:b/>
          <w:w w:val="97"/>
          <w:lang w:val="es-ES"/>
        </w:rPr>
        <w:t>el PGEH de la República Democrática del Congo</w:t>
      </w:r>
      <w:r w:rsidR="003251EE" w:rsidRPr="00FA6A5F">
        <w:rPr>
          <w:b/>
          <w:w w:val="97"/>
          <w:lang w:val="es-ES"/>
        </w:rPr>
        <w:t xml:space="preserve"> </w:t>
      </w:r>
    </w:p>
    <w:tbl>
      <w:tblPr>
        <w:tblStyle w:val="TableGrid"/>
        <w:tblW w:w="5000" w:type="pct"/>
        <w:tblLayout w:type="fixed"/>
        <w:tblLook w:val="04A0" w:firstRow="1" w:lastRow="0" w:firstColumn="1" w:lastColumn="0" w:noHBand="0" w:noVBand="1"/>
      </w:tblPr>
      <w:tblGrid>
        <w:gridCol w:w="1396"/>
        <w:gridCol w:w="794"/>
        <w:gridCol w:w="794"/>
        <w:gridCol w:w="795"/>
        <w:gridCol w:w="797"/>
        <w:gridCol w:w="795"/>
        <w:gridCol w:w="795"/>
        <w:gridCol w:w="797"/>
        <w:gridCol w:w="795"/>
        <w:gridCol w:w="795"/>
        <w:gridCol w:w="797"/>
      </w:tblGrid>
      <w:tr w:rsidR="008933CC" w:rsidRPr="004B0AEB" w14:paraId="68F534F4" w14:textId="77777777" w:rsidTr="001B68E7">
        <w:trPr>
          <w:tblHeader/>
        </w:trPr>
        <w:tc>
          <w:tcPr>
            <w:tcW w:w="747" w:type="pct"/>
            <w:vAlign w:val="center"/>
          </w:tcPr>
          <w:p w14:paraId="77DB1099" w14:textId="77777777" w:rsidR="008933CC" w:rsidRPr="00FA6A5F" w:rsidRDefault="008933CC" w:rsidP="001B68E7">
            <w:pPr>
              <w:keepNext/>
              <w:jc w:val="left"/>
              <w:outlineLvl w:val="0"/>
              <w:rPr>
                <w:b/>
                <w:sz w:val="20"/>
                <w:szCs w:val="20"/>
                <w:lang w:val="es-ES"/>
              </w:rPr>
            </w:pPr>
          </w:p>
        </w:tc>
        <w:tc>
          <w:tcPr>
            <w:tcW w:w="425" w:type="pct"/>
            <w:tcMar>
              <w:left w:w="0" w:type="dxa"/>
              <w:right w:w="43" w:type="dxa"/>
            </w:tcMar>
            <w:vAlign w:val="center"/>
          </w:tcPr>
          <w:p w14:paraId="2A18ABE1" w14:textId="77777777" w:rsidR="008933CC" w:rsidRPr="004B0AEB" w:rsidRDefault="008933CC" w:rsidP="001B68E7">
            <w:pPr>
              <w:keepNext/>
              <w:jc w:val="center"/>
              <w:outlineLvl w:val="0"/>
              <w:rPr>
                <w:b/>
                <w:sz w:val="20"/>
                <w:szCs w:val="20"/>
              </w:rPr>
            </w:pPr>
            <w:r w:rsidRPr="004B0AEB">
              <w:rPr>
                <w:b/>
                <w:sz w:val="20"/>
                <w:szCs w:val="20"/>
              </w:rPr>
              <w:t>2021</w:t>
            </w:r>
          </w:p>
        </w:tc>
        <w:tc>
          <w:tcPr>
            <w:tcW w:w="425" w:type="pct"/>
            <w:tcMar>
              <w:left w:w="0" w:type="dxa"/>
              <w:right w:w="43" w:type="dxa"/>
            </w:tcMar>
            <w:vAlign w:val="center"/>
          </w:tcPr>
          <w:p w14:paraId="0F86989B" w14:textId="77777777" w:rsidR="008933CC" w:rsidRPr="004B0AEB" w:rsidRDefault="008933CC" w:rsidP="001B68E7">
            <w:pPr>
              <w:keepNext/>
              <w:jc w:val="center"/>
              <w:outlineLvl w:val="0"/>
              <w:rPr>
                <w:b/>
                <w:sz w:val="20"/>
                <w:szCs w:val="20"/>
              </w:rPr>
            </w:pPr>
            <w:r w:rsidRPr="004B0AEB">
              <w:rPr>
                <w:b/>
                <w:sz w:val="20"/>
                <w:szCs w:val="20"/>
              </w:rPr>
              <w:t>2022</w:t>
            </w:r>
          </w:p>
        </w:tc>
        <w:tc>
          <w:tcPr>
            <w:tcW w:w="425" w:type="pct"/>
            <w:tcMar>
              <w:left w:w="0" w:type="dxa"/>
              <w:right w:w="43" w:type="dxa"/>
            </w:tcMar>
            <w:vAlign w:val="center"/>
          </w:tcPr>
          <w:p w14:paraId="399918D3" w14:textId="77777777" w:rsidR="008933CC" w:rsidRPr="004B0AEB" w:rsidRDefault="008933CC" w:rsidP="001B68E7">
            <w:pPr>
              <w:keepNext/>
              <w:jc w:val="center"/>
              <w:outlineLvl w:val="0"/>
              <w:rPr>
                <w:b/>
                <w:sz w:val="20"/>
                <w:szCs w:val="20"/>
              </w:rPr>
            </w:pPr>
            <w:r w:rsidRPr="004B0AEB">
              <w:rPr>
                <w:b/>
                <w:sz w:val="20"/>
                <w:szCs w:val="20"/>
              </w:rPr>
              <w:t>2023</w:t>
            </w:r>
          </w:p>
        </w:tc>
        <w:tc>
          <w:tcPr>
            <w:tcW w:w="426" w:type="pct"/>
            <w:tcMar>
              <w:left w:w="0" w:type="dxa"/>
              <w:right w:w="43" w:type="dxa"/>
            </w:tcMar>
            <w:vAlign w:val="center"/>
          </w:tcPr>
          <w:p w14:paraId="415A1811" w14:textId="77777777" w:rsidR="008933CC" w:rsidRPr="004B0AEB" w:rsidRDefault="008933CC" w:rsidP="001B68E7">
            <w:pPr>
              <w:keepNext/>
              <w:jc w:val="center"/>
              <w:outlineLvl w:val="0"/>
              <w:rPr>
                <w:b/>
                <w:sz w:val="20"/>
                <w:szCs w:val="20"/>
              </w:rPr>
            </w:pPr>
            <w:r w:rsidRPr="004B0AEB">
              <w:rPr>
                <w:b/>
                <w:sz w:val="20"/>
                <w:szCs w:val="20"/>
              </w:rPr>
              <w:t>2024</w:t>
            </w:r>
          </w:p>
        </w:tc>
        <w:tc>
          <w:tcPr>
            <w:tcW w:w="425" w:type="pct"/>
            <w:tcMar>
              <w:left w:w="0" w:type="dxa"/>
              <w:right w:w="43" w:type="dxa"/>
            </w:tcMar>
            <w:vAlign w:val="center"/>
          </w:tcPr>
          <w:p w14:paraId="385A0D9B" w14:textId="77777777" w:rsidR="008933CC" w:rsidRPr="004B0AEB" w:rsidRDefault="008933CC" w:rsidP="001B68E7">
            <w:pPr>
              <w:keepNext/>
              <w:jc w:val="center"/>
              <w:outlineLvl w:val="0"/>
              <w:rPr>
                <w:b/>
                <w:sz w:val="20"/>
                <w:szCs w:val="20"/>
              </w:rPr>
            </w:pPr>
            <w:r w:rsidRPr="004B0AEB">
              <w:rPr>
                <w:b/>
                <w:sz w:val="20"/>
                <w:szCs w:val="20"/>
              </w:rPr>
              <w:t>2025</w:t>
            </w:r>
          </w:p>
        </w:tc>
        <w:tc>
          <w:tcPr>
            <w:tcW w:w="425" w:type="pct"/>
            <w:tcMar>
              <w:left w:w="0" w:type="dxa"/>
              <w:right w:w="43" w:type="dxa"/>
            </w:tcMar>
            <w:vAlign w:val="center"/>
          </w:tcPr>
          <w:p w14:paraId="71C8CD72" w14:textId="77777777" w:rsidR="008933CC" w:rsidRPr="004B0AEB" w:rsidRDefault="008933CC" w:rsidP="001B68E7">
            <w:pPr>
              <w:keepNext/>
              <w:jc w:val="center"/>
              <w:outlineLvl w:val="0"/>
              <w:rPr>
                <w:b/>
                <w:sz w:val="20"/>
                <w:szCs w:val="20"/>
              </w:rPr>
            </w:pPr>
            <w:r w:rsidRPr="004B0AEB">
              <w:rPr>
                <w:b/>
                <w:sz w:val="20"/>
                <w:szCs w:val="20"/>
              </w:rPr>
              <w:t>2026</w:t>
            </w:r>
          </w:p>
        </w:tc>
        <w:tc>
          <w:tcPr>
            <w:tcW w:w="426" w:type="pct"/>
            <w:tcMar>
              <w:left w:w="0" w:type="dxa"/>
              <w:right w:w="43" w:type="dxa"/>
            </w:tcMar>
            <w:vAlign w:val="center"/>
          </w:tcPr>
          <w:p w14:paraId="3F7E7BF6" w14:textId="77777777" w:rsidR="008933CC" w:rsidRPr="004B0AEB" w:rsidRDefault="008933CC" w:rsidP="001B68E7">
            <w:pPr>
              <w:keepNext/>
              <w:jc w:val="center"/>
              <w:outlineLvl w:val="0"/>
              <w:rPr>
                <w:sz w:val="20"/>
                <w:szCs w:val="20"/>
              </w:rPr>
            </w:pPr>
            <w:r w:rsidRPr="004B0AEB">
              <w:rPr>
                <w:b/>
                <w:sz w:val="20"/>
                <w:szCs w:val="20"/>
              </w:rPr>
              <w:t>2027</w:t>
            </w:r>
          </w:p>
        </w:tc>
        <w:tc>
          <w:tcPr>
            <w:tcW w:w="425" w:type="pct"/>
            <w:tcMar>
              <w:left w:w="0" w:type="dxa"/>
              <w:right w:w="43" w:type="dxa"/>
            </w:tcMar>
            <w:vAlign w:val="center"/>
          </w:tcPr>
          <w:p w14:paraId="7266556B" w14:textId="77777777" w:rsidR="008933CC" w:rsidRPr="004B0AEB" w:rsidRDefault="008933CC" w:rsidP="001B68E7">
            <w:pPr>
              <w:keepNext/>
              <w:jc w:val="center"/>
              <w:outlineLvl w:val="0"/>
              <w:rPr>
                <w:b/>
                <w:sz w:val="20"/>
                <w:szCs w:val="20"/>
              </w:rPr>
            </w:pPr>
            <w:r w:rsidRPr="004B0AEB">
              <w:rPr>
                <w:b/>
                <w:sz w:val="20"/>
                <w:szCs w:val="20"/>
              </w:rPr>
              <w:t>2028</w:t>
            </w:r>
          </w:p>
        </w:tc>
        <w:tc>
          <w:tcPr>
            <w:tcW w:w="425" w:type="pct"/>
            <w:tcMar>
              <w:left w:w="0" w:type="dxa"/>
              <w:right w:w="43" w:type="dxa"/>
            </w:tcMar>
            <w:vAlign w:val="center"/>
          </w:tcPr>
          <w:p w14:paraId="5AE7EDE5" w14:textId="77777777" w:rsidR="008933CC" w:rsidRPr="004B0AEB" w:rsidRDefault="008933CC" w:rsidP="001B68E7">
            <w:pPr>
              <w:keepNext/>
              <w:jc w:val="center"/>
              <w:outlineLvl w:val="0"/>
              <w:rPr>
                <w:b/>
                <w:sz w:val="20"/>
                <w:szCs w:val="20"/>
              </w:rPr>
            </w:pPr>
            <w:r w:rsidRPr="004B0AEB">
              <w:rPr>
                <w:b/>
                <w:sz w:val="20"/>
                <w:szCs w:val="20"/>
              </w:rPr>
              <w:t>2029</w:t>
            </w:r>
          </w:p>
        </w:tc>
        <w:tc>
          <w:tcPr>
            <w:tcW w:w="426" w:type="pct"/>
            <w:tcMar>
              <w:left w:w="0" w:type="dxa"/>
              <w:right w:w="43" w:type="dxa"/>
            </w:tcMar>
            <w:vAlign w:val="center"/>
          </w:tcPr>
          <w:p w14:paraId="0E9E4622" w14:textId="77777777" w:rsidR="008933CC" w:rsidRPr="004B0AEB" w:rsidRDefault="008933CC" w:rsidP="001B68E7">
            <w:pPr>
              <w:keepNext/>
              <w:jc w:val="center"/>
              <w:outlineLvl w:val="0"/>
              <w:rPr>
                <w:b/>
                <w:sz w:val="20"/>
                <w:szCs w:val="20"/>
              </w:rPr>
            </w:pPr>
            <w:r w:rsidRPr="004B0AEB">
              <w:rPr>
                <w:b/>
                <w:sz w:val="20"/>
                <w:szCs w:val="20"/>
              </w:rPr>
              <w:t>2030</w:t>
            </w:r>
          </w:p>
        </w:tc>
      </w:tr>
      <w:tr w:rsidR="008933CC" w:rsidRPr="004B0AEB" w14:paraId="135B9570" w14:textId="77777777" w:rsidTr="001B68E7">
        <w:trPr>
          <w:tblHeader/>
        </w:trPr>
        <w:tc>
          <w:tcPr>
            <w:tcW w:w="5000" w:type="pct"/>
            <w:gridSpan w:val="11"/>
            <w:vAlign w:val="center"/>
          </w:tcPr>
          <w:p w14:paraId="21FD7419" w14:textId="0C29EBC5" w:rsidR="008933CC" w:rsidRPr="004B0AEB" w:rsidRDefault="009C25FC" w:rsidP="001B68E7">
            <w:pPr>
              <w:keepNext/>
              <w:jc w:val="left"/>
              <w:outlineLvl w:val="0"/>
              <w:rPr>
                <w:b/>
                <w:sz w:val="20"/>
                <w:szCs w:val="20"/>
              </w:rPr>
            </w:pPr>
            <w:r>
              <w:rPr>
                <w:b/>
                <w:sz w:val="20"/>
                <w:szCs w:val="20"/>
              </w:rPr>
              <w:t xml:space="preserve">Como </w:t>
            </w:r>
            <w:proofErr w:type="spellStart"/>
            <w:r>
              <w:rPr>
                <w:b/>
                <w:sz w:val="20"/>
                <w:szCs w:val="20"/>
              </w:rPr>
              <w:t>presentado</w:t>
            </w:r>
            <w:proofErr w:type="spellEnd"/>
          </w:p>
        </w:tc>
      </w:tr>
      <w:tr w:rsidR="008933CC" w:rsidRPr="004B0AEB" w14:paraId="5488EE54" w14:textId="77777777" w:rsidTr="001B68E7">
        <w:tc>
          <w:tcPr>
            <w:tcW w:w="747" w:type="pct"/>
          </w:tcPr>
          <w:p w14:paraId="3B809F90" w14:textId="76FD0528" w:rsidR="008933CC" w:rsidRPr="004B0AEB" w:rsidRDefault="009C25FC" w:rsidP="001B68E7">
            <w:pPr>
              <w:outlineLvl w:val="0"/>
              <w:rPr>
                <w:sz w:val="20"/>
                <w:szCs w:val="20"/>
              </w:rPr>
            </w:pPr>
            <w:r>
              <w:rPr>
                <w:sz w:val="20"/>
                <w:szCs w:val="20"/>
              </w:rPr>
              <w:t>PNUMA</w:t>
            </w:r>
          </w:p>
        </w:tc>
        <w:tc>
          <w:tcPr>
            <w:tcW w:w="425" w:type="pct"/>
            <w:tcMar>
              <w:left w:w="0" w:type="dxa"/>
              <w:right w:w="43" w:type="dxa"/>
            </w:tcMar>
          </w:tcPr>
          <w:p w14:paraId="507621CA" w14:textId="7357AC01" w:rsidR="008933CC" w:rsidRPr="004B0AEB" w:rsidRDefault="008933CC" w:rsidP="001B68E7">
            <w:pPr>
              <w:jc w:val="right"/>
              <w:outlineLvl w:val="0"/>
              <w:rPr>
                <w:sz w:val="20"/>
                <w:szCs w:val="20"/>
              </w:rPr>
            </w:pPr>
            <w:r w:rsidRPr="004B0AEB">
              <w:rPr>
                <w:sz w:val="20"/>
                <w:szCs w:val="20"/>
              </w:rPr>
              <w:t>310</w:t>
            </w:r>
            <w:r w:rsidR="009C25FC">
              <w:rPr>
                <w:sz w:val="20"/>
                <w:szCs w:val="20"/>
              </w:rPr>
              <w:t xml:space="preserve"> </w:t>
            </w:r>
            <w:r w:rsidRPr="004B0AEB">
              <w:rPr>
                <w:sz w:val="20"/>
                <w:szCs w:val="20"/>
              </w:rPr>
              <w:t>000</w:t>
            </w:r>
          </w:p>
        </w:tc>
        <w:tc>
          <w:tcPr>
            <w:tcW w:w="425" w:type="pct"/>
            <w:tcMar>
              <w:left w:w="0" w:type="dxa"/>
              <w:right w:w="43" w:type="dxa"/>
            </w:tcMar>
          </w:tcPr>
          <w:p w14:paraId="5EFB315A" w14:textId="77777777" w:rsidR="008933CC" w:rsidRPr="004B0AEB" w:rsidRDefault="008933CC" w:rsidP="001B68E7">
            <w:pPr>
              <w:jc w:val="right"/>
              <w:outlineLvl w:val="0"/>
              <w:rPr>
                <w:sz w:val="20"/>
                <w:szCs w:val="20"/>
              </w:rPr>
            </w:pPr>
            <w:r>
              <w:rPr>
                <w:sz w:val="20"/>
                <w:szCs w:val="20"/>
              </w:rPr>
              <w:t>0</w:t>
            </w:r>
          </w:p>
        </w:tc>
        <w:tc>
          <w:tcPr>
            <w:tcW w:w="425" w:type="pct"/>
            <w:tcMar>
              <w:left w:w="0" w:type="dxa"/>
              <w:right w:w="43" w:type="dxa"/>
            </w:tcMar>
          </w:tcPr>
          <w:p w14:paraId="65A123E8" w14:textId="77777777" w:rsidR="008933CC" w:rsidRPr="004B0AEB" w:rsidRDefault="008933CC" w:rsidP="001B68E7">
            <w:pPr>
              <w:jc w:val="right"/>
              <w:outlineLvl w:val="0"/>
              <w:rPr>
                <w:sz w:val="20"/>
                <w:szCs w:val="20"/>
              </w:rPr>
            </w:pPr>
            <w:r>
              <w:rPr>
                <w:sz w:val="20"/>
                <w:szCs w:val="20"/>
              </w:rPr>
              <w:t>0</w:t>
            </w:r>
          </w:p>
        </w:tc>
        <w:tc>
          <w:tcPr>
            <w:tcW w:w="426" w:type="pct"/>
            <w:tcMar>
              <w:left w:w="0" w:type="dxa"/>
              <w:right w:w="43" w:type="dxa"/>
            </w:tcMar>
          </w:tcPr>
          <w:p w14:paraId="71EB6FCB" w14:textId="77777777" w:rsidR="008933CC" w:rsidRPr="004B0AEB" w:rsidRDefault="008933CC" w:rsidP="001B68E7">
            <w:pPr>
              <w:jc w:val="right"/>
              <w:outlineLvl w:val="0"/>
              <w:rPr>
                <w:sz w:val="20"/>
                <w:szCs w:val="20"/>
              </w:rPr>
            </w:pPr>
            <w:r>
              <w:rPr>
                <w:sz w:val="20"/>
                <w:szCs w:val="20"/>
              </w:rPr>
              <w:t>0</w:t>
            </w:r>
          </w:p>
        </w:tc>
        <w:tc>
          <w:tcPr>
            <w:tcW w:w="425" w:type="pct"/>
            <w:tcMar>
              <w:left w:w="0" w:type="dxa"/>
              <w:right w:w="43" w:type="dxa"/>
            </w:tcMar>
          </w:tcPr>
          <w:p w14:paraId="702CA9E4" w14:textId="28D16B1C" w:rsidR="008933CC" w:rsidRPr="004B0AEB" w:rsidRDefault="008933CC" w:rsidP="001B68E7">
            <w:pPr>
              <w:jc w:val="right"/>
              <w:outlineLvl w:val="0"/>
              <w:rPr>
                <w:sz w:val="20"/>
                <w:szCs w:val="20"/>
              </w:rPr>
            </w:pPr>
            <w:r w:rsidRPr="004B0AEB">
              <w:rPr>
                <w:sz w:val="20"/>
                <w:szCs w:val="20"/>
              </w:rPr>
              <w:t>180</w:t>
            </w:r>
            <w:r w:rsidR="009C25FC">
              <w:rPr>
                <w:sz w:val="20"/>
                <w:szCs w:val="20"/>
              </w:rPr>
              <w:t xml:space="preserve"> </w:t>
            </w:r>
            <w:r w:rsidRPr="004B0AEB">
              <w:rPr>
                <w:sz w:val="20"/>
                <w:szCs w:val="20"/>
              </w:rPr>
              <w:t>000</w:t>
            </w:r>
          </w:p>
        </w:tc>
        <w:tc>
          <w:tcPr>
            <w:tcW w:w="425" w:type="pct"/>
            <w:tcMar>
              <w:left w:w="0" w:type="dxa"/>
              <w:right w:w="43" w:type="dxa"/>
            </w:tcMar>
          </w:tcPr>
          <w:p w14:paraId="7C7E8670" w14:textId="77777777" w:rsidR="008933CC" w:rsidRPr="004B0AEB" w:rsidRDefault="008933CC" w:rsidP="001B68E7">
            <w:pPr>
              <w:jc w:val="right"/>
              <w:outlineLvl w:val="0"/>
              <w:rPr>
                <w:sz w:val="20"/>
                <w:szCs w:val="20"/>
              </w:rPr>
            </w:pPr>
            <w:r>
              <w:rPr>
                <w:sz w:val="20"/>
                <w:szCs w:val="20"/>
              </w:rPr>
              <w:t>0</w:t>
            </w:r>
          </w:p>
        </w:tc>
        <w:tc>
          <w:tcPr>
            <w:tcW w:w="426" w:type="pct"/>
            <w:tcMar>
              <w:left w:w="0" w:type="dxa"/>
              <w:right w:w="43" w:type="dxa"/>
            </w:tcMar>
          </w:tcPr>
          <w:p w14:paraId="1CF86536" w14:textId="77777777" w:rsidR="008933CC" w:rsidRPr="004B0AEB" w:rsidRDefault="008933CC" w:rsidP="001B68E7">
            <w:pPr>
              <w:jc w:val="right"/>
              <w:outlineLvl w:val="0"/>
              <w:rPr>
                <w:sz w:val="20"/>
                <w:szCs w:val="20"/>
              </w:rPr>
            </w:pPr>
            <w:r>
              <w:rPr>
                <w:sz w:val="20"/>
                <w:szCs w:val="20"/>
              </w:rPr>
              <w:t>0</w:t>
            </w:r>
          </w:p>
        </w:tc>
        <w:tc>
          <w:tcPr>
            <w:tcW w:w="425" w:type="pct"/>
            <w:tcMar>
              <w:left w:w="0" w:type="dxa"/>
              <w:right w:w="43" w:type="dxa"/>
            </w:tcMar>
          </w:tcPr>
          <w:p w14:paraId="004F791A" w14:textId="0D0E532E" w:rsidR="008933CC" w:rsidRPr="004B0AEB" w:rsidRDefault="008933CC" w:rsidP="001B68E7">
            <w:pPr>
              <w:jc w:val="right"/>
              <w:outlineLvl w:val="0"/>
              <w:rPr>
                <w:sz w:val="20"/>
                <w:szCs w:val="20"/>
              </w:rPr>
            </w:pPr>
            <w:r w:rsidRPr="004B0AEB">
              <w:rPr>
                <w:sz w:val="20"/>
                <w:szCs w:val="20"/>
              </w:rPr>
              <w:t>70</w:t>
            </w:r>
            <w:r w:rsidR="009C25FC">
              <w:rPr>
                <w:sz w:val="20"/>
                <w:szCs w:val="20"/>
              </w:rPr>
              <w:t xml:space="preserve"> </w:t>
            </w:r>
            <w:r w:rsidRPr="004B0AEB">
              <w:rPr>
                <w:sz w:val="20"/>
                <w:szCs w:val="20"/>
              </w:rPr>
              <w:t>000</w:t>
            </w:r>
          </w:p>
        </w:tc>
        <w:tc>
          <w:tcPr>
            <w:tcW w:w="425" w:type="pct"/>
            <w:tcMar>
              <w:left w:w="0" w:type="dxa"/>
              <w:right w:w="43" w:type="dxa"/>
            </w:tcMar>
          </w:tcPr>
          <w:p w14:paraId="03E57B91" w14:textId="77777777" w:rsidR="008933CC" w:rsidRPr="004B0AEB" w:rsidRDefault="008933CC" w:rsidP="001B68E7">
            <w:pPr>
              <w:jc w:val="right"/>
              <w:outlineLvl w:val="0"/>
              <w:rPr>
                <w:sz w:val="20"/>
                <w:szCs w:val="20"/>
              </w:rPr>
            </w:pPr>
            <w:r>
              <w:rPr>
                <w:sz w:val="20"/>
                <w:szCs w:val="20"/>
              </w:rPr>
              <w:t>0</w:t>
            </w:r>
          </w:p>
        </w:tc>
        <w:tc>
          <w:tcPr>
            <w:tcW w:w="426" w:type="pct"/>
            <w:tcMar>
              <w:left w:w="0" w:type="dxa"/>
              <w:right w:w="43" w:type="dxa"/>
            </w:tcMar>
          </w:tcPr>
          <w:p w14:paraId="15C22818" w14:textId="5A5958AB" w:rsidR="008933CC" w:rsidRPr="004B0AEB" w:rsidRDefault="008933CC" w:rsidP="001B68E7">
            <w:pPr>
              <w:jc w:val="right"/>
              <w:outlineLvl w:val="0"/>
              <w:rPr>
                <w:sz w:val="20"/>
                <w:szCs w:val="20"/>
              </w:rPr>
            </w:pPr>
            <w:r w:rsidRPr="004B0AEB">
              <w:rPr>
                <w:sz w:val="20"/>
                <w:szCs w:val="20"/>
              </w:rPr>
              <w:t>40</w:t>
            </w:r>
            <w:r w:rsidR="009C25FC">
              <w:rPr>
                <w:sz w:val="20"/>
                <w:szCs w:val="20"/>
              </w:rPr>
              <w:t xml:space="preserve"> </w:t>
            </w:r>
            <w:r w:rsidRPr="004B0AEB">
              <w:rPr>
                <w:sz w:val="20"/>
                <w:szCs w:val="20"/>
              </w:rPr>
              <w:t>000</w:t>
            </w:r>
          </w:p>
        </w:tc>
      </w:tr>
      <w:tr w:rsidR="008933CC" w:rsidRPr="004B0AEB" w14:paraId="1F8C7435" w14:textId="77777777" w:rsidTr="001B68E7">
        <w:tc>
          <w:tcPr>
            <w:tcW w:w="747" w:type="pct"/>
          </w:tcPr>
          <w:p w14:paraId="242BFCB9" w14:textId="2F48C55D" w:rsidR="008933CC" w:rsidRPr="004B0AEB" w:rsidRDefault="009C25FC" w:rsidP="001B68E7">
            <w:pPr>
              <w:outlineLvl w:val="0"/>
              <w:rPr>
                <w:sz w:val="20"/>
                <w:szCs w:val="20"/>
              </w:rPr>
            </w:pPr>
            <w:r>
              <w:rPr>
                <w:sz w:val="20"/>
                <w:szCs w:val="20"/>
              </w:rPr>
              <w:t>PNUD</w:t>
            </w:r>
          </w:p>
        </w:tc>
        <w:tc>
          <w:tcPr>
            <w:tcW w:w="425" w:type="pct"/>
            <w:tcMar>
              <w:left w:w="0" w:type="dxa"/>
              <w:right w:w="43" w:type="dxa"/>
            </w:tcMar>
          </w:tcPr>
          <w:p w14:paraId="468B0C17" w14:textId="0042A7B8" w:rsidR="008933CC" w:rsidRPr="004B0AEB" w:rsidRDefault="008933CC" w:rsidP="001B68E7">
            <w:pPr>
              <w:jc w:val="right"/>
              <w:outlineLvl w:val="0"/>
              <w:rPr>
                <w:sz w:val="20"/>
                <w:szCs w:val="20"/>
              </w:rPr>
            </w:pPr>
            <w:r w:rsidRPr="004B0AEB">
              <w:rPr>
                <w:sz w:val="20"/>
                <w:szCs w:val="20"/>
              </w:rPr>
              <w:t>289</w:t>
            </w:r>
            <w:r w:rsidR="009C25FC">
              <w:rPr>
                <w:sz w:val="20"/>
                <w:szCs w:val="20"/>
              </w:rPr>
              <w:t xml:space="preserve"> </w:t>
            </w:r>
            <w:r w:rsidRPr="004B0AEB">
              <w:rPr>
                <w:sz w:val="20"/>
                <w:szCs w:val="20"/>
              </w:rPr>
              <w:t>500</w:t>
            </w:r>
          </w:p>
        </w:tc>
        <w:tc>
          <w:tcPr>
            <w:tcW w:w="425" w:type="pct"/>
            <w:tcMar>
              <w:left w:w="0" w:type="dxa"/>
              <w:right w:w="43" w:type="dxa"/>
            </w:tcMar>
          </w:tcPr>
          <w:p w14:paraId="5F5BA1C0" w14:textId="77777777" w:rsidR="008933CC" w:rsidRPr="004B0AEB" w:rsidRDefault="008933CC" w:rsidP="001B68E7">
            <w:pPr>
              <w:jc w:val="right"/>
              <w:outlineLvl w:val="0"/>
              <w:rPr>
                <w:sz w:val="20"/>
                <w:szCs w:val="20"/>
              </w:rPr>
            </w:pPr>
            <w:r>
              <w:rPr>
                <w:sz w:val="20"/>
                <w:szCs w:val="20"/>
              </w:rPr>
              <w:t>0</w:t>
            </w:r>
          </w:p>
        </w:tc>
        <w:tc>
          <w:tcPr>
            <w:tcW w:w="425" w:type="pct"/>
            <w:tcMar>
              <w:left w:w="0" w:type="dxa"/>
              <w:right w:w="43" w:type="dxa"/>
            </w:tcMar>
          </w:tcPr>
          <w:p w14:paraId="595922F5" w14:textId="77777777" w:rsidR="008933CC" w:rsidRPr="004B0AEB" w:rsidRDefault="008933CC" w:rsidP="001B68E7">
            <w:pPr>
              <w:jc w:val="right"/>
              <w:outlineLvl w:val="0"/>
              <w:rPr>
                <w:sz w:val="20"/>
                <w:szCs w:val="20"/>
              </w:rPr>
            </w:pPr>
            <w:r>
              <w:rPr>
                <w:sz w:val="20"/>
                <w:szCs w:val="20"/>
              </w:rPr>
              <w:t>0</w:t>
            </w:r>
          </w:p>
        </w:tc>
        <w:tc>
          <w:tcPr>
            <w:tcW w:w="426" w:type="pct"/>
            <w:tcMar>
              <w:left w:w="0" w:type="dxa"/>
              <w:right w:w="43" w:type="dxa"/>
            </w:tcMar>
          </w:tcPr>
          <w:p w14:paraId="4B9EF389" w14:textId="77777777" w:rsidR="008933CC" w:rsidRPr="004B0AEB" w:rsidRDefault="008933CC" w:rsidP="001B68E7">
            <w:pPr>
              <w:jc w:val="right"/>
              <w:outlineLvl w:val="0"/>
              <w:rPr>
                <w:sz w:val="20"/>
                <w:szCs w:val="20"/>
              </w:rPr>
            </w:pPr>
            <w:r>
              <w:rPr>
                <w:sz w:val="20"/>
                <w:szCs w:val="20"/>
              </w:rPr>
              <w:t>0</w:t>
            </w:r>
          </w:p>
        </w:tc>
        <w:tc>
          <w:tcPr>
            <w:tcW w:w="425" w:type="pct"/>
            <w:tcMar>
              <w:left w:w="0" w:type="dxa"/>
              <w:right w:w="43" w:type="dxa"/>
            </w:tcMar>
          </w:tcPr>
          <w:p w14:paraId="2BF1A324" w14:textId="75A0A1B1" w:rsidR="008933CC" w:rsidRPr="004B0AEB" w:rsidRDefault="008933CC" w:rsidP="001B68E7">
            <w:pPr>
              <w:jc w:val="right"/>
              <w:outlineLvl w:val="0"/>
              <w:rPr>
                <w:sz w:val="20"/>
                <w:szCs w:val="20"/>
              </w:rPr>
            </w:pPr>
            <w:r w:rsidRPr="004B0AEB">
              <w:rPr>
                <w:sz w:val="20"/>
                <w:szCs w:val="20"/>
              </w:rPr>
              <w:t>154</w:t>
            </w:r>
            <w:r w:rsidR="009C25FC">
              <w:rPr>
                <w:sz w:val="20"/>
                <w:szCs w:val="20"/>
              </w:rPr>
              <w:t xml:space="preserve"> </w:t>
            </w:r>
            <w:r w:rsidRPr="004B0AEB">
              <w:rPr>
                <w:sz w:val="20"/>
                <w:szCs w:val="20"/>
              </w:rPr>
              <w:t>000</w:t>
            </w:r>
          </w:p>
        </w:tc>
        <w:tc>
          <w:tcPr>
            <w:tcW w:w="425" w:type="pct"/>
            <w:tcMar>
              <w:left w:w="0" w:type="dxa"/>
              <w:right w:w="43" w:type="dxa"/>
            </w:tcMar>
          </w:tcPr>
          <w:p w14:paraId="700C63C8" w14:textId="77777777" w:rsidR="008933CC" w:rsidRPr="004B0AEB" w:rsidRDefault="008933CC" w:rsidP="001B68E7">
            <w:pPr>
              <w:jc w:val="right"/>
              <w:outlineLvl w:val="0"/>
              <w:rPr>
                <w:sz w:val="20"/>
                <w:szCs w:val="20"/>
              </w:rPr>
            </w:pPr>
            <w:r>
              <w:rPr>
                <w:sz w:val="20"/>
                <w:szCs w:val="20"/>
              </w:rPr>
              <w:t>0</w:t>
            </w:r>
          </w:p>
        </w:tc>
        <w:tc>
          <w:tcPr>
            <w:tcW w:w="426" w:type="pct"/>
            <w:tcMar>
              <w:left w:w="0" w:type="dxa"/>
              <w:right w:w="43" w:type="dxa"/>
            </w:tcMar>
          </w:tcPr>
          <w:p w14:paraId="265CE957" w14:textId="77777777" w:rsidR="008933CC" w:rsidRPr="004B0AEB" w:rsidRDefault="008933CC" w:rsidP="001B68E7">
            <w:pPr>
              <w:jc w:val="right"/>
              <w:outlineLvl w:val="0"/>
              <w:rPr>
                <w:sz w:val="20"/>
                <w:szCs w:val="20"/>
              </w:rPr>
            </w:pPr>
            <w:r>
              <w:rPr>
                <w:sz w:val="20"/>
                <w:szCs w:val="20"/>
              </w:rPr>
              <w:t>0</w:t>
            </w:r>
          </w:p>
        </w:tc>
        <w:tc>
          <w:tcPr>
            <w:tcW w:w="425" w:type="pct"/>
            <w:tcMar>
              <w:left w:w="0" w:type="dxa"/>
              <w:right w:w="43" w:type="dxa"/>
            </w:tcMar>
          </w:tcPr>
          <w:p w14:paraId="557087D8" w14:textId="1A2307CB" w:rsidR="008933CC" w:rsidRPr="004B0AEB" w:rsidRDefault="008933CC" w:rsidP="001B68E7">
            <w:pPr>
              <w:jc w:val="right"/>
              <w:outlineLvl w:val="0"/>
              <w:rPr>
                <w:sz w:val="20"/>
                <w:szCs w:val="20"/>
              </w:rPr>
            </w:pPr>
            <w:r w:rsidRPr="004B0AEB">
              <w:rPr>
                <w:sz w:val="20"/>
                <w:szCs w:val="20"/>
              </w:rPr>
              <w:t>76</w:t>
            </w:r>
            <w:r w:rsidR="009C25FC">
              <w:rPr>
                <w:sz w:val="20"/>
                <w:szCs w:val="20"/>
              </w:rPr>
              <w:t xml:space="preserve"> </w:t>
            </w:r>
            <w:r w:rsidRPr="004B0AEB">
              <w:rPr>
                <w:sz w:val="20"/>
                <w:szCs w:val="20"/>
              </w:rPr>
              <w:t>500</w:t>
            </w:r>
          </w:p>
        </w:tc>
        <w:tc>
          <w:tcPr>
            <w:tcW w:w="425" w:type="pct"/>
            <w:tcMar>
              <w:left w:w="0" w:type="dxa"/>
              <w:right w:w="43" w:type="dxa"/>
            </w:tcMar>
          </w:tcPr>
          <w:p w14:paraId="5918501F" w14:textId="77777777" w:rsidR="008933CC" w:rsidRPr="004B0AEB" w:rsidRDefault="008933CC" w:rsidP="001B68E7">
            <w:pPr>
              <w:jc w:val="right"/>
              <w:outlineLvl w:val="0"/>
              <w:rPr>
                <w:sz w:val="20"/>
                <w:szCs w:val="20"/>
              </w:rPr>
            </w:pPr>
            <w:r>
              <w:rPr>
                <w:sz w:val="20"/>
                <w:szCs w:val="20"/>
              </w:rPr>
              <w:t>0</w:t>
            </w:r>
          </w:p>
        </w:tc>
        <w:tc>
          <w:tcPr>
            <w:tcW w:w="426" w:type="pct"/>
            <w:tcMar>
              <w:left w:w="0" w:type="dxa"/>
              <w:right w:w="43" w:type="dxa"/>
            </w:tcMar>
          </w:tcPr>
          <w:p w14:paraId="14C68942" w14:textId="5C214604" w:rsidR="008933CC" w:rsidRPr="004B0AEB" w:rsidRDefault="008933CC" w:rsidP="001B68E7">
            <w:pPr>
              <w:jc w:val="right"/>
              <w:outlineLvl w:val="0"/>
              <w:rPr>
                <w:sz w:val="20"/>
                <w:szCs w:val="20"/>
              </w:rPr>
            </w:pPr>
            <w:r w:rsidRPr="004B0AEB">
              <w:rPr>
                <w:sz w:val="20"/>
                <w:szCs w:val="20"/>
              </w:rPr>
              <w:t>5</w:t>
            </w:r>
            <w:r w:rsidR="00125CE4">
              <w:rPr>
                <w:sz w:val="20"/>
                <w:szCs w:val="20"/>
              </w:rPr>
              <w:t xml:space="preserve"> </w:t>
            </w:r>
            <w:r w:rsidRPr="004B0AEB">
              <w:rPr>
                <w:sz w:val="20"/>
                <w:szCs w:val="20"/>
              </w:rPr>
              <w:t>000</w:t>
            </w:r>
          </w:p>
        </w:tc>
      </w:tr>
      <w:tr w:rsidR="008933CC" w:rsidRPr="004B0AEB" w14:paraId="3BC2AD2D" w14:textId="77777777" w:rsidTr="001B68E7">
        <w:tc>
          <w:tcPr>
            <w:tcW w:w="747" w:type="pct"/>
          </w:tcPr>
          <w:p w14:paraId="6A52D6D0" w14:textId="77777777" w:rsidR="008933CC" w:rsidRPr="00403BFA" w:rsidRDefault="008933CC" w:rsidP="001B68E7">
            <w:pPr>
              <w:outlineLvl w:val="0"/>
              <w:rPr>
                <w:b/>
                <w:sz w:val="20"/>
                <w:szCs w:val="20"/>
              </w:rPr>
            </w:pPr>
            <w:r w:rsidRPr="00403BFA">
              <w:rPr>
                <w:b/>
                <w:sz w:val="20"/>
                <w:szCs w:val="20"/>
              </w:rPr>
              <w:t>Total</w:t>
            </w:r>
          </w:p>
        </w:tc>
        <w:tc>
          <w:tcPr>
            <w:tcW w:w="425" w:type="pct"/>
            <w:tcMar>
              <w:left w:w="0" w:type="dxa"/>
              <w:right w:w="43" w:type="dxa"/>
            </w:tcMar>
          </w:tcPr>
          <w:p w14:paraId="0707E74C" w14:textId="7725F84B" w:rsidR="008933CC" w:rsidRPr="006836E1" w:rsidRDefault="008933CC" w:rsidP="001B68E7">
            <w:pPr>
              <w:jc w:val="right"/>
              <w:outlineLvl w:val="0"/>
              <w:rPr>
                <w:b/>
                <w:sz w:val="20"/>
                <w:szCs w:val="20"/>
              </w:rPr>
            </w:pPr>
            <w:r w:rsidRPr="006836E1">
              <w:rPr>
                <w:b/>
                <w:sz w:val="20"/>
                <w:szCs w:val="20"/>
              </w:rPr>
              <w:t>599</w:t>
            </w:r>
            <w:r w:rsidR="009C25FC">
              <w:rPr>
                <w:b/>
                <w:sz w:val="20"/>
                <w:szCs w:val="20"/>
              </w:rPr>
              <w:t xml:space="preserve"> </w:t>
            </w:r>
            <w:r w:rsidRPr="006836E1">
              <w:rPr>
                <w:b/>
                <w:sz w:val="20"/>
                <w:szCs w:val="20"/>
              </w:rPr>
              <w:t>500</w:t>
            </w:r>
          </w:p>
        </w:tc>
        <w:tc>
          <w:tcPr>
            <w:tcW w:w="425" w:type="pct"/>
            <w:tcMar>
              <w:left w:w="0" w:type="dxa"/>
              <w:right w:w="43" w:type="dxa"/>
            </w:tcMar>
          </w:tcPr>
          <w:p w14:paraId="5540FA24" w14:textId="77777777" w:rsidR="008933CC" w:rsidRPr="006836E1" w:rsidRDefault="008933CC" w:rsidP="001B68E7">
            <w:pPr>
              <w:jc w:val="right"/>
              <w:outlineLvl w:val="0"/>
              <w:rPr>
                <w:b/>
                <w:sz w:val="20"/>
                <w:szCs w:val="20"/>
              </w:rPr>
            </w:pPr>
            <w:r w:rsidRPr="006836E1">
              <w:rPr>
                <w:b/>
                <w:sz w:val="20"/>
                <w:szCs w:val="20"/>
              </w:rPr>
              <w:t>0</w:t>
            </w:r>
          </w:p>
        </w:tc>
        <w:tc>
          <w:tcPr>
            <w:tcW w:w="425" w:type="pct"/>
            <w:tcMar>
              <w:left w:w="0" w:type="dxa"/>
              <w:right w:w="43" w:type="dxa"/>
            </w:tcMar>
          </w:tcPr>
          <w:p w14:paraId="38C92560" w14:textId="77777777" w:rsidR="008933CC" w:rsidRPr="006836E1" w:rsidRDefault="008933CC" w:rsidP="001B68E7">
            <w:pPr>
              <w:jc w:val="right"/>
              <w:outlineLvl w:val="0"/>
              <w:rPr>
                <w:b/>
                <w:sz w:val="20"/>
                <w:szCs w:val="20"/>
              </w:rPr>
            </w:pPr>
            <w:r w:rsidRPr="006836E1">
              <w:rPr>
                <w:b/>
                <w:sz w:val="20"/>
                <w:szCs w:val="20"/>
              </w:rPr>
              <w:t>0</w:t>
            </w:r>
          </w:p>
        </w:tc>
        <w:tc>
          <w:tcPr>
            <w:tcW w:w="426" w:type="pct"/>
            <w:tcMar>
              <w:left w:w="0" w:type="dxa"/>
              <w:right w:w="43" w:type="dxa"/>
            </w:tcMar>
          </w:tcPr>
          <w:p w14:paraId="17AB95BD" w14:textId="77777777" w:rsidR="008933CC" w:rsidRPr="006836E1" w:rsidRDefault="008933CC" w:rsidP="001B68E7">
            <w:pPr>
              <w:jc w:val="right"/>
              <w:outlineLvl w:val="0"/>
              <w:rPr>
                <w:b/>
                <w:sz w:val="20"/>
                <w:szCs w:val="20"/>
              </w:rPr>
            </w:pPr>
            <w:r w:rsidRPr="006836E1">
              <w:rPr>
                <w:b/>
                <w:sz w:val="20"/>
                <w:szCs w:val="20"/>
              </w:rPr>
              <w:t>0</w:t>
            </w:r>
          </w:p>
        </w:tc>
        <w:tc>
          <w:tcPr>
            <w:tcW w:w="425" w:type="pct"/>
            <w:tcMar>
              <w:left w:w="0" w:type="dxa"/>
              <w:right w:w="43" w:type="dxa"/>
            </w:tcMar>
          </w:tcPr>
          <w:p w14:paraId="2C9C408A" w14:textId="63282DFA" w:rsidR="008933CC" w:rsidRPr="006836E1" w:rsidRDefault="008933CC" w:rsidP="001B68E7">
            <w:pPr>
              <w:jc w:val="right"/>
              <w:outlineLvl w:val="0"/>
              <w:rPr>
                <w:b/>
                <w:sz w:val="20"/>
                <w:szCs w:val="20"/>
              </w:rPr>
            </w:pPr>
            <w:r w:rsidRPr="006836E1">
              <w:rPr>
                <w:b/>
                <w:sz w:val="20"/>
                <w:szCs w:val="20"/>
              </w:rPr>
              <w:t>334</w:t>
            </w:r>
            <w:r w:rsidR="009C25FC">
              <w:rPr>
                <w:b/>
                <w:sz w:val="20"/>
                <w:szCs w:val="20"/>
              </w:rPr>
              <w:t xml:space="preserve"> </w:t>
            </w:r>
            <w:r w:rsidRPr="006836E1">
              <w:rPr>
                <w:b/>
                <w:sz w:val="20"/>
                <w:szCs w:val="20"/>
              </w:rPr>
              <w:t>000</w:t>
            </w:r>
          </w:p>
        </w:tc>
        <w:tc>
          <w:tcPr>
            <w:tcW w:w="425" w:type="pct"/>
            <w:tcMar>
              <w:left w:w="0" w:type="dxa"/>
              <w:right w:w="43" w:type="dxa"/>
            </w:tcMar>
          </w:tcPr>
          <w:p w14:paraId="0164AF8D" w14:textId="77777777" w:rsidR="008933CC" w:rsidRPr="006836E1" w:rsidRDefault="008933CC" w:rsidP="001B68E7">
            <w:pPr>
              <w:jc w:val="right"/>
              <w:outlineLvl w:val="0"/>
              <w:rPr>
                <w:b/>
                <w:sz w:val="20"/>
                <w:szCs w:val="20"/>
              </w:rPr>
            </w:pPr>
            <w:r w:rsidRPr="006836E1">
              <w:rPr>
                <w:b/>
                <w:sz w:val="20"/>
                <w:szCs w:val="20"/>
              </w:rPr>
              <w:t>0</w:t>
            </w:r>
          </w:p>
        </w:tc>
        <w:tc>
          <w:tcPr>
            <w:tcW w:w="426" w:type="pct"/>
            <w:tcMar>
              <w:left w:w="0" w:type="dxa"/>
              <w:right w:w="43" w:type="dxa"/>
            </w:tcMar>
          </w:tcPr>
          <w:p w14:paraId="0EAF574B" w14:textId="77777777" w:rsidR="008933CC" w:rsidRPr="006836E1" w:rsidRDefault="008933CC" w:rsidP="001B68E7">
            <w:pPr>
              <w:jc w:val="right"/>
              <w:outlineLvl w:val="0"/>
              <w:rPr>
                <w:b/>
                <w:sz w:val="20"/>
                <w:szCs w:val="20"/>
              </w:rPr>
            </w:pPr>
            <w:r w:rsidRPr="006836E1">
              <w:rPr>
                <w:b/>
                <w:sz w:val="20"/>
                <w:szCs w:val="20"/>
              </w:rPr>
              <w:t>0</w:t>
            </w:r>
          </w:p>
        </w:tc>
        <w:tc>
          <w:tcPr>
            <w:tcW w:w="425" w:type="pct"/>
            <w:tcMar>
              <w:left w:w="0" w:type="dxa"/>
              <w:right w:w="43" w:type="dxa"/>
            </w:tcMar>
          </w:tcPr>
          <w:p w14:paraId="77B48C05" w14:textId="0F411725" w:rsidR="008933CC" w:rsidRPr="006836E1" w:rsidRDefault="008933CC" w:rsidP="001B68E7">
            <w:pPr>
              <w:jc w:val="right"/>
              <w:outlineLvl w:val="0"/>
              <w:rPr>
                <w:b/>
                <w:sz w:val="20"/>
                <w:szCs w:val="20"/>
              </w:rPr>
            </w:pPr>
            <w:r w:rsidRPr="006836E1">
              <w:rPr>
                <w:b/>
                <w:sz w:val="20"/>
                <w:szCs w:val="20"/>
              </w:rPr>
              <w:t>146</w:t>
            </w:r>
            <w:r w:rsidR="009C25FC">
              <w:rPr>
                <w:b/>
                <w:sz w:val="20"/>
                <w:szCs w:val="20"/>
              </w:rPr>
              <w:t xml:space="preserve"> </w:t>
            </w:r>
            <w:r w:rsidRPr="006836E1">
              <w:rPr>
                <w:b/>
                <w:sz w:val="20"/>
                <w:szCs w:val="20"/>
              </w:rPr>
              <w:t>500</w:t>
            </w:r>
          </w:p>
        </w:tc>
        <w:tc>
          <w:tcPr>
            <w:tcW w:w="425" w:type="pct"/>
            <w:tcMar>
              <w:left w:w="0" w:type="dxa"/>
              <w:right w:w="43" w:type="dxa"/>
            </w:tcMar>
          </w:tcPr>
          <w:p w14:paraId="646C94DC" w14:textId="77777777" w:rsidR="008933CC" w:rsidRPr="006836E1" w:rsidRDefault="008933CC" w:rsidP="001B68E7">
            <w:pPr>
              <w:jc w:val="right"/>
              <w:outlineLvl w:val="0"/>
              <w:rPr>
                <w:b/>
                <w:sz w:val="20"/>
                <w:szCs w:val="20"/>
              </w:rPr>
            </w:pPr>
            <w:r w:rsidRPr="006836E1">
              <w:rPr>
                <w:b/>
                <w:sz w:val="20"/>
                <w:szCs w:val="20"/>
              </w:rPr>
              <w:t>0</w:t>
            </w:r>
          </w:p>
        </w:tc>
        <w:tc>
          <w:tcPr>
            <w:tcW w:w="426" w:type="pct"/>
            <w:tcMar>
              <w:left w:w="0" w:type="dxa"/>
              <w:right w:w="43" w:type="dxa"/>
            </w:tcMar>
          </w:tcPr>
          <w:p w14:paraId="3497B9E1" w14:textId="124A6459" w:rsidR="008933CC" w:rsidRPr="006836E1" w:rsidRDefault="008933CC" w:rsidP="001B68E7">
            <w:pPr>
              <w:jc w:val="right"/>
              <w:outlineLvl w:val="0"/>
              <w:rPr>
                <w:b/>
                <w:sz w:val="20"/>
                <w:szCs w:val="20"/>
              </w:rPr>
            </w:pPr>
            <w:r w:rsidRPr="006836E1">
              <w:rPr>
                <w:b/>
                <w:sz w:val="20"/>
                <w:szCs w:val="20"/>
              </w:rPr>
              <w:t>45</w:t>
            </w:r>
            <w:r w:rsidR="00125CE4">
              <w:rPr>
                <w:b/>
                <w:sz w:val="20"/>
                <w:szCs w:val="20"/>
              </w:rPr>
              <w:t xml:space="preserve"> </w:t>
            </w:r>
            <w:r w:rsidRPr="006836E1">
              <w:rPr>
                <w:b/>
                <w:sz w:val="20"/>
                <w:szCs w:val="20"/>
              </w:rPr>
              <w:t>000</w:t>
            </w:r>
          </w:p>
        </w:tc>
      </w:tr>
      <w:tr w:rsidR="008933CC" w:rsidRPr="004B0AEB" w14:paraId="138B8225" w14:textId="77777777" w:rsidTr="001B68E7">
        <w:tc>
          <w:tcPr>
            <w:tcW w:w="5000" w:type="pct"/>
            <w:gridSpan w:val="11"/>
          </w:tcPr>
          <w:p w14:paraId="367A7948" w14:textId="50551928" w:rsidR="008933CC" w:rsidRPr="004B0AEB" w:rsidRDefault="009C25FC" w:rsidP="001B68E7">
            <w:pPr>
              <w:jc w:val="left"/>
              <w:outlineLvl w:val="0"/>
              <w:rPr>
                <w:b/>
                <w:sz w:val="20"/>
                <w:szCs w:val="20"/>
              </w:rPr>
            </w:pPr>
            <w:r>
              <w:rPr>
                <w:b/>
                <w:sz w:val="20"/>
                <w:szCs w:val="20"/>
              </w:rPr>
              <w:t xml:space="preserve">Como </w:t>
            </w:r>
            <w:proofErr w:type="spellStart"/>
            <w:r>
              <w:rPr>
                <w:b/>
                <w:sz w:val="20"/>
                <w:szCs w:val="20"/>
              </w:rPr>
              <w:t>acordado</w:t>
            </w:r>
            <w:proofErr w:type="spellEnd"/>
          </w:p>
        </w:tc>
      </w:tr>
      <w:tr w:rsidR="009C25FC" w:rsidRPr="004B0AEB" w14:paraId="6C27C369" w14:textId="77777777" w:rsidTr="001B68E7">
        <w:tc>
          <w:tcPr>
            <w:tcW w:w="747" w:type="pct"/>
          </w:tcPr>
          <w:p w14:paraId="6A0C87C0" w14:textId="0BAA77A6" w:rsidR="009C25FC" w:rsidRPr="004B0AEB" w:rsidRDefault="009C25FC" w:rsidP="009C25FC">
            <w:pPr>
              <w:jc w:val="left"/>
              <w:outlineLvl w:val="0"/>
              <w:rPr>
                <w:sz w:val="20"/>
                <w:szCs w:val="20"/>
              </w:rPr>
            </w:pPr>
            <w:r>
              <w:rPr>
                <w:sz w:val="20"/>
                <w:szCs w:val="20"/>
              </w:rPr>
              <w:t>PNUMA</w:t>
            </w:r>
          </w:p>
        </w:tc>
        <w:tc>
          <w:tcPr>
            <w:tcW w:w="425"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vAlign w:val="center"/>
          </w:tcPr>
          <w:p w14:paraId="7DC0C76F" w14:textId="28825AD8" w:rsidR="009C25FC" w:rsidRPr="004B0AEB" w:rsidRDefault="009C25FC" w:rsidP="009C25FC">
            <w:pPr>
              <w:jc w:val="right"/>
              <w:outlineLvl w:val="0"/>
              <w:rPr>
                <w:sz w:val="20"/>
                <w:szCs w:val="20"/>
              </w:rPr>
            </w:pPr>
            <w:r w:rsidRPr="004B0AEB">
              <w:rPr>
                <w:sz w:val="20"/>
                <w:szCs w:val="20"/>
              </w:rPr>
              <w:t>140</w:t>
            </w:r>
            <w:r>
              <w:rPr>
                <w:sz w:val="20"/>
                <w:szCs w:val="20"/>
              </w:rPr>
              <w:t xml:space="preserve"> </w:t>
            </w:r>
            <w:r w:rsidRPr="004B0AEB">
              <w:rPr>
                <w:sz w:val="20"/>
                <w:szCs w:val="20"/>
              </w:rPr>
              <w:t>000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67AFE2BC" w14:textId="77777777" w:rsidR="009C25FC" w:rsidRPr="004B0AEB" w:rsidRDefault="009C25FC" w:rsidP="009C25FC">
            <w:pPr>
              <w:jc w:val="right"/>
              <w:outlineLvl w:val="0"/>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619A3869" w14:textId="77777777" w:rsidR="009C25FC" w:rsidRPr="004B0AEB" w:rsidRDefault="009C25FC" w:rsidP="009C25FC">
            <w:pPr>
              <w:jc w:val="right"/>
              <w:outlineLvl w:val="0"/>
              <w:rPr>
                <w:sz w:val="20"/>
                <w:szCs w:val="20"/>
              </w:rPr>
            </w:pPr>
            <w:r>
              <w:rPr>
                <w:sz w:val="20"/>
                <w:szCs w:val="20"/>
              </w:rPr>
              <w:t>0</w:t>
            </w:r>
          </w:p>
        </w:tc>
        <w:tc>
          <w:tcPr>
            <w:tcW w:w="426" w:type="pct"/>
            <w:tcBorders>
              <w:top w:val="single" w:sz="4" w:space="0" w:color="auto"/>
              <w:left w:val="nil"/>
              <w:bottom w:val="single" w:sz="4" w:space="0" w:color="auto"/>
              <w:right w:val="single" w:sz="4" w:space="0" w:color="auto"/>
            </w:tcBorders>
            <w:shd w:val="clear" w:color="auto" w:fill="auto"/>
            <w:tcMar>
              <w:left w:w="0" w:type="dxa"/>
              <w:right w:w="43" w:type="dxa"/>
            </w:tcMar>
            <w:vAlign w:val="center"/>
          </w:tcPr>
          <w:p w14:paraId="7473067B" w14:textId="5C984735" w:rsidR="009C25FC" w:rsidRPr="004B0AEB" w:rsidRDefault="009C25FC" w:rsidP="009C25FC">
            <w:pPr>
              <w:jc w:val="right"/>
              <w:outlineLvl w:val="0"/>
              <w:rPr>
                <w:sz w:val="20"/>
                <w:szCs w:val="20"/>
                <w:highlight w:val="yellow"/>
              </w:rPr>
            </w:pPr>
            <w:r w:rsidRPr="004B0AEB">
              <w:rPr>
                <w:sz w:val="20"/>
                <w:szCs w:val="20"/>
              </w:rPr>
              <w:t>160</w:t>
            </w:r>
            <w:r>
              <w:rPr>
                <w:sz w:val="20"/>
                <w:szCs w:val="20"/>
              </w:rPr>
              <w:t xml:space="preserve"> </w:t>
            </w:r>
            <w:r w:rsidRPr="004B0AEB">
              <w:rPr>
                <w:sz w:val="20"/>
                <w:szCs w:val="20"/>
              </w:rPr>
              <w:t>000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7BCCA3ED" w14:textId="77777777" w:rsidR="009C25FC" w:rsidRPr="004B0AEB" w:rsidRDefault="009C25FC" w:rsidP="009C25FC">
            <w:pPr>
              <w:jc w:val="right"/>
              <w:outlineLvl w:val="0"/>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tcMar>
              <w:left w:w="0" w:type="dxa"/>
              <w:right w:w="43" w:type="dxa"/>
            </w:tcMar>
          </w:tcPr>
          <w:p w14:paraId="74B9B60D" w14:textId="77777777" w:rsidR="009C25FC" w:rsidRPr="004B0AEB" w:rsidRDefault="009C25FC" w:rsidP="009C25FC">
            <w:pPr>
              <w:jc w:val="right"/>
              <w:outlineLvl w:val="0"/>
              <w:rPr>
                <w:sz w:val="20"/>
                <w:szCs w:val="20"/>
              </w:rPr>
            </w:pPr>
            <w:r>
              <w:rPr>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vAlign w:val="center"/>
          </w:tcPr>
          <w:p w14:paraId="138A13C6" w14:textId="35E0181D" w:rsidR="009C25FC" w:rsidRPr="004B0AEB" w:rsidRDefault="009C25FC" w:rsidP="009C25FC">
            <w:pPr>
              <w:jc w:val="right"/>
              <w:outlineLvl w:val="0"/>
              <w:rPr>
                <w:sz w:val="20"/>
                <w:szCs w:val="20"/>
              </w:rPr>
            </w:pPr>
            <w:r w:rsidRPr="004B0AEB">
              <w:rPr>
                <w:sz w:val="20"/>
                <w:szCs w:val="20"/>
              </w:rPr>
              <w:t>185</w:t>
            </w:r>
            <w:r w:rsidR="00125CE4">
              <w:rPr>
                <w:sz w:val="20"/>
                <w:szCs w:val="20"/>
              </w:rPr>
              <w:t xml:space="preserve"> </w:t>
            </w:r>
            <w:r w:rsidRPr="004B0AEB">
              <w:rPr>
                <w:sz w:val="20"/>
                <w:szCs w:val="20"/>
              </w:rPr>
              <w:t>000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332560EE" w14:textId="77777777" w:rsidR="009C25FC" w:rsidRPr="004B0AEB" w:rsidRDefault="009C25FC" w:rsidP="009C25FC">
            <w:pPr>
              <w:jc w:val="right"/>
              <w:outlineLvl w:val="0"/>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3C0467AC" w14:textId="77777777" w:rsidR="009C25FC" w:rsidRPr="004B0AEB" w:rsidRDefault="009C25FC" w:rsidP="009C25FC">
            <w:pPr>
              <w:jc w:val="right"/>
              <w:outlineLvl w:val="0"/>
              <w:rPr>
                <w:sz w:val="20"/>
                <w:szCs w:val="20"/>
                <w:highlight w:val="yellow"/>
              </w:rPr>
            </w:pPr>
            <w:r>
              <w:rPr>
                <w:sz w:val="20"/>
                <w:szCs w:val="20"/>
              </w:rPr>
              <w:t>0</w:t>
            </w:r>
          </w:p>
        </w:tc>
        <w:tc>
          <w:tcPr>
            <w:tcW w:w="426" w:type="pct"/>
            <w:tcBorders>
              <w:top w:val="single" w:sz="4" w:space="0" w:color="auto"/>
              <w:left w:val="nil"/>
              <w:bottom w:val="single" w:sz="4" w:space="0" w:color="auto"/>
              <w:right w:val="single" w:sz="4" w:space="0" w:color="auto"/>
            </w:tcBorders>
            <w:shd w:val="clear" w:color="auto" w:fill="auto"/>
            <w:tcMar>
              <w:left w:w="0" w:type="dxa"/>
              <w:right w:w="43" w:type="dxa"/>
            </w:tcMar>
            <w:vAlign w:val="center"/>
          </w:tcPr>
          <w:p w14:paraId="100A09D4" w14:textId="4B6F47D9" w:rsidR="009C25FC" w:rsidRPr="004B0AEB" w:rsidRDefault="009C25FC" w:rsidP="009C25FC">
            <w:pPr>
              <w:jc w:val="right"/>
              <w:outlineLvl w:val="0"/>
              <w:rPr>
                <w:sz w:val="20"/>
                <w:szCs w:val="20"/>
              </w:rPr>
            </w:pPr>
            <w:r w:rsidRPr="004B0AEB">
              <w:rPr>
                <w:sz w:val="20"/>
                <w:szCs w:val="20"/>
              </w:rPr>
              <w:t>115</w:t>
            </w:r>
            <w:r w:rsidR="00125CE4">
              <w:rPr>
                <w:sz w:val="20"/>
                <w:szCs w:val="20"/>
              </w:rPr>
              <w:t xml:space="preserve"> </w:t>
            </w:r>
            <w:r w:rsidRPr="004B0AEB">
              <w:rPr>
                <w:sz w:val="20"/>
                <w:szCs w:val="20"/>
              </w:rPr>
              <w:t>000</w:t>
            </w:r>
          </w:p>
        </w:tc>
      </w:tr>
      <w:tr w:rsidR="009C25FC" w:rsidRPr="004B0AEB" w14:paraId="4A529CFD" w14:textId="77777777" w:rsidTr="001B68E7">
        <w:tc>
          <w:tcPr>
            <w:tcW w:w="747" w:type="pct"/>
          </w:tcPr>
          <w:p w14:paraId="4C80723A" w14:textId="5A18C083" w:rsidR="009C25FC" w:rsidRPr="004B0AEB" w:rsidRDefault="009C25FC" w:rsidP="009C25FC">
            <w:pPr>
              <w:jc w:val="left"/>
              <w:outlineLvl w:val="0"/>
              <w:rPr>
                <w:sz w:val="20"/>
                <w:szCs w:val="20"/>
              </w:rPr>
            </w:pPr>
            <w:r>
              <w:rPr>
                <w:sz w:val="20"/>
                <w:szCs w:val="20"/>
              </w:rPr>
              <w:t>PNUD</w:t>
            </w:r>
          </w:p>
        </w:tc>
        <w:tc>
          <w:tcPr>
            <w:tcW w:w="425"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vAlign w:val="center"/>
          </w:tcPr>
          <w:p w14:paraId="76AB083D" w14:textId="60675877" w:rsidR="009C25FC" w:rsidRPr="004B0AEB" w:rsidRDefault="009C25FC" w:rsidP="009C25FC">
            <w:pPr>
              <w:jc w:val="right"/>
              <w:outlineLvl w:val="0"/>
              <w:rPr>
                <w:sz w:val="20"/>
                <w:szCs w:val="20"/>
              </w:rPr>
            </w:pPr>
            <w:r w:rsidRPr="004B0AEB">
              <w:rPr>
                <w:sz w:val="20"/>
                <w:szCs w:val="20"/>
              </w:rPr>
              <w:t>218</w:t>
            </w:r>
            <w:r>
              <w:rPr>
                <w:sz w:val="20"/>
                <w:szCs w:val="20"/>
              </w:rPr>
              <w:t xml:space="preserve"> </w:t>
            </w:r>
            <w:r w:rsidRPr="004B0AEB">
              <w:rPr>
                <w:sz w:val="20"/>
                <w:szCs w:val="20"/>
              </w:rPr>
              <w:t>000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1A67FEF4" w14:textId="77777777" w:rsidR="009C25FC" w:rsidRPr="004B0AEB" w:rsidRDefault="009C25FC" w:rsidP="009C25FC">
            <w:pPr>
              <w:jc w:val="right"/>
              <w:outlineLvl w:val="0"/>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22AC949C" w14:textId="77777777" w:rsidR="009C25FC" w:rsidRPr="004B0AEB" w:rsidRDefault="009C25FC" w:rsidP="009C25FC">
            <w:pPr>
              <w:jc w:val="right"/>
              <w:outlineLvl w:val="0"/>
              <w:rPr>
                <w:sz w:val="20"/>
                <w:szCs w:val="20"/>
              </w:rPr>
            </w:pPr>
            <w:r>
              <w:rPr>
                <w:sz w:val="20"/>
                <w:szCs w:val="20"/>
              </w:rPr>
              <w:t>0</w:t>
            </w:r>
          </w:p>
        </w:tc>
        <w:tc>
          <w:tcPr>
            <w:tcW w:w="426" w:type="pct"/>
            <w:tcBorders>
              <w:top w:val="single" w:sz="4" w:space="0" w:color="auto"/>
              <w:left w:val="nil"/>
              <w:bottom w:val="single" w:sz="4" w:space="0" w:color="auto"/>
              <w:right w:val="single" w:sz="4" w:space="0" w:color="auto"/>
            </w:tcBorders>
            <w:shd w:val="clear" w:color="auto" w:fill="auto"/>
            <w:tcMar>
              <w:left w:w="0" w:type="dxa"/>
              <w:right w:w="43" w:type="dxa"/>
            </w:tcMar>
            <w:vAlign w:val="center"/>
          </w:tcPr>
          <w:p w14:paraId="51CDE077" w14:textId="25107679" w:rsidR="009C25FC" w:rsidRPr="004B0AEB" w:rsidRDefault="009C25FC" w:rsidP="009C25FC">
            <w:pPr>
              <w:jc w:val="right"/>
              <w:outlineLvl w:val="0"/>
              <w:rPr>
                <w:sz w:val="20"/>
                <w:szCs w:val="20"/>
                <w:highlight w:val="yellow"/>
              </w:rPr>
            </w:pPr>
            <w:r w:rsidRPr="004B0AEB">
              <w:rPr>
                <w:sz w:val="20"/>
                <w:szCs w:val="20"/>
              </w:rPr>
              <w:t>210</w:t>
            </w:r>
            <w:r>
              <w:rPr>
                <w:sz w:val="20"/>
                <w:szCs w:val="20"/>
              </w:rPr>
              <w:t xml:space="preserve"> </w:t>
            </w:r>
            <w:r w:rsidRPr="004B0AEB">
              <w:rPr>
                <w:sz w:val="20"/>
                <w:szCs w:val="20"/>
              </w:rPr>
              <w:t>500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62290D1F" w14:textId="77777777" w:rsidR="009C25FC" w:rsidRPr="004B0AEB" w:rsidRDefault="009C25FC" w:rsidP="009C25FC">
            <w:pPr>
              <w:jc w:val="right"/>
              <w:outlineLvl w:val="0"/>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tcMar>
              <w:left w:w="0" w:type="dxa"/>
              <w:right w:w="43" w:type="dxa"/>
            </w:tcMar>
          </w:tcPr>
          <w:p w14:paraId="5BE93A92" w14:textId="77777777" w:rsidR="009C25FC" w:rsidRPr="004B0AEB" w:rsidRDefault="009C25FC" w:rsidP="009C25FC">
            <w:pPr>
              <w:jc w:val="right"/>
              <w:outlineLvl w:val="0"/>
              <w:rPr>
                <w:sz w:val="20"/>
                <w:szCs w:val="20"/>
              </w:rPr>
            </w:pPr>
            <w:r>
              <w:rPr>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vAlign w:val="center"/>
          </w:tcPr>
          <w:p w14:paraId="1D78EADA" w14:textId="21D094D0" w:rsidR="009C25FC" w:rsidRPr="004B0AEB" w:rsidRDefault="009C25FC" w:rsidP="009C25FC">
            <w:pPr>
              <w:jc w:val="right"/>
              <w:outlineLvl w:val="0"/>
              <w:rPr>
                <w:sz w:val="20"/>
                <w:szCs w:val="20"/>
              </w:rPr>
            </w:pPr>
            <w:r w:rsidRPr="004B0AEB">
              <w:rPr>
                <w:sz w:val="20"/>
                <w:szCs w:val="20"/>
              </w:rPr>
              <w:t>96</w:t>
            </w:r>
            <w:r w:rsidR="00125CE4">
              <w:rPr>
                <w:sz w:val="20"/>
                <w:szCs w:val="20"/>
              </w:rPr>
              <w:t xml:space="preserve"> </w:t>
            </w:r>
            <w:r w:rsidRPr="004B0AEB">
              <w:rPr>
                <w:sz w:val="20"/>
                <w:szCs w:val="20"/>
              </w:rPr>
              <w:t>500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42D671AE" w14:textId="77777777" w:rsidR="009C25FC" w:rsidRPr="004B0AEB" w:rsidRDefault="009C25FC" w:rsidP="009C25FC">
            <w:pPr>
              <w:jc w:val="right"/>
              <w:outlineLvl w:val="0"/>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37D3FACD" w14:textId="77777777" w:rsidR="009C25FC" w:rsidRPr="004B0AEB" w:rsidRDefault="009C25FC" w:rsidP="009C25FC">
            <w:pPr>
              <w:jc w:val="right"/>
              <w:outlineLvl w:val="0"/>
              <w:rPr>
                <w:sz w:val="20"/>
                <w:szCs w:val="20"/>
                <w:highlight w:val="yellow"/>
              </w:rPr>
            </w:pPr>
            <w:r>
              <w:rPr>
                <w:sz w:val="20"/>
                <w:szCs w:val="20"/>
              </w:rPr>
              <w:t>0</w:t>
            </w:r>
          </w:p>
        </w:tc>
        <w:tc>
          <w:tcPr>
            <w:tcW w:w="426" w:type="pct"/>
            <w:tcBorders>
              <w:top w:val="single" w:sz="4" w:space="0" w:color="auto"/>
              <w:left w:val="nil"/>
              <w:bottom w:val="single" w:sz="4" w:space="0" w:color="auto"/>
              <w:right w:val="single" w:sz="4" w:space="0" w:color="auto"/>
            </w:tcBorders>
            <w:shd w:val="clear" w:color="auto" w:fill="auto"/>
            <w:tcMar>
              <w:left w:w="0" w:type="dxa"/>
              <w:right w:w="43" w:type="dxa"/>
            </w:tcMar>
            <w:vAlign w:val="center"/>
          </w:tcPr>
          <w:p w14:paraId="5A49551A" w14:textId="77777777" w:rsidR="009C25FC" w:rsidRPr="004B0AEB" w:rsidRDefault="009C25FC" w:rsidP="009C25FC">
            <w:pPr>
              <w:jc w:val="right"/>
              <w:outlineLvl w:val="0"/>
              <w:rPr>
                <w:sz w:val="20"/>
                <w:szCs w:val="20"/>
              </w:rPr>
            </w:pPr>
            <w:r w:rsidRPr="004B0AEB">
              <w:rPr>
                <w:sz w:val="20"/>
                <w:szCs w:val="20"/>
              </w:rPr>
              <w:t>0</w:t>
            </w:r>
          </w:p>
        </w:tc>
      </w:tr>
      <w:tr w:rsidR="008933CC" w:rsidRPr="004B0AEB" w14:paraId="4E14203F" w14:textId="77777777" w:rsidTr="001B68E7">
        <w:tc>
          <w:tcPr>
            <w:tcW w:w="747" w:type="pct"/>
          </w:tcPr>
          <w:p w14:paraId="5E5D67E1" w14:textId="77777777" w:rsidR="008933CC" w:rsidRPr="00403BFA" w:rsidRDefault="008933CC" w:rsidP="001B68E7">
            <w:pPr>
              <w:jc w:val="left"/>
              <w:outlineLvl w:val="0"/>
              <w:rPr>
                <w:b/>
                <w:sz w:val="20"/>
                <w:szCs w:val="20"/>
              </w:rPr>
            </w:pPr>
            <w:r w:rsidRPr="00403BFA">
              <w:rPr>
                <w:b/>
                <w:sz w:val="20"/>
                <w:szCs w:val="20"/>
              </w:rPr>
              <w:t>Total</w:t>
            </w:r>
          </w:p>
        </w:tc>
        <w:tc>
          <w:tcPr>
            <w:tcW w:w="425"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vAlign w:val="center"/>
          </w:tcPr>
          <w:p w14:paraId="40671800" w14:textId="2C4D610B" w:rsidR="008933CC" w:rsidRPr="006836E1" w:rsidRDefault="008933CC" w:rsidP="001B68E7">
            <w:pPr>
              <w:jc w:val="right"/>
              <w:outlineLvl w:val="0"/>
              <w:rPr>
                <w:b/>
                <w:sz w:val="20"/>
                <w:szCs w:val="20"/>
              </w:rPr>
            </w:pPr>
            <w:r w:rsidRPr="006836E1">
              <w:rPr>
                <w:b/>
                <w:sz w:val="20"/>
                <w:szCs w:val="20"/>
              </w:rPr>
              <w:t>358</w:t>
            </w:r>
            <w:r w:rsidR="009C25FC">
              <w:rPr>
                <w:b/>
                <w:sz w:val="20"/>
                <w:szCs w:val="20"/>
              </w:rPr>
              <w:t xml:space="preserve"> </w:t>
            </w:r>
            <w:r w:rsidRPr="006836E1">
              <w:rPr>
                <w:b/>
                <w:sz w:val="20"/>
                <w:szCs w:val="20"/>
              </w:rPr>
              <w:t>000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4E109C1B" w14:textId="77777777" w:rsidR="008933CC" w:rsidRPr="006836E1" w:rsidRDefault="008933CC" w:rsidP="001B68E7">
            <w:pPr>
              <w:jc w:val="right"/>
              <w:outlineLvl w:val="0"/>
              <w:rPr>
                <w:b/>
                <w:sz w:val="20"/>
                <w:szCs w:val="20"/>
              </w:rPr>
            </w:pPr>
            <w:r w:rsidRPr="006836E1">
              <w:rPr>
                <w:b/>
                <w:sz w:val="20"/>
                <w:szCs w:val="20"/>
              </w:rPr>
              <w:t>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6E41850F" w14:textId="77777777" w:rsidR="008933CC" w:rsidRPr="006836E1" w:rsidRDefault="008933CC" w:rsidP="001B68E7">
            <w:pPr>
              <w:jc w:val="right"/>
              <w:outlineLvl w:val="0"/>
              <w:rPr>
                <w:b/>
                <w:sz w:val="20"/>
                <w:szCs w:val="20"/>
              </w:rPr>
            </w:pPr>
            <w:r w:rsidRPr="006836E1">
              <w:rPr>
                <w:b/>
                <w:sz w:val="20"/>
                <w:szCs w:val="20"/>
              </w:rPr>
              <w:t>0</w:t>
            </w:r>
          </w:p>
        </w:tc>
        <w:tc>
          <w:tcPr>
            <w:tcW w:w="426" w:type="pct"/>
            <w:tcBorders>
              <w:top w:val="single" w:sz="4" w:space="0" w:color="auto"/>
              <w:left w:val="nil"/>
              <w:bottom w:val="single" w:sz="4" w:space="0" w:color="auto"/>
              <w:right w:val="single" w:sz="4" w:space="0" w:color="auto"/>
            </w:tcBorders>
            <w:shd w:val="clear" w:color="auto" w:fill="auto"/>
            <w:tcMar>
              <w:left w:w="0" w:type="dxa"/>
              <w:right w:w="43" w:type="dxa"/>
            </w:tcMar>
            <w:vAlign w:val="center"/>
          </w:tcPr>
          <w:p w14:paraId="629A74B4" w14:textId="56FBD856" w:rsidR="008933CC" w:rsidRPr="006836E1" w:rsidRDefault="008933CC" w:rsidP="001B68E7">
            <w:pPr>
              <w:jc w:val="right"/>
              <w:outlineLvl w:val="0"/>
              <w:rPr>
                <w:b/>
                <w:sz w:val="20"/>
                <w:szCs w:val="20"/>
                <w:highlight w:val="yellow"/>
              </w:rPr>
            </w:pPr>
            <w:r w:rsidRPr="006836E1">
              <w:rPr>
                <w:b/>
                <w:sz w:val="20"/>
                <w:szCs w:val="20"/>
              </w:rPr>
              <w:t>370</w:t>
            </w:r>
            <w:r w:rsidR="009C25FC">
              <w:rPr>
                <w:b/>
                <w:sz w:val="20"/>
                <w:szCs w:val="20"/>
              </w:rPr>
              <w:t xml:space="preserve"> </w:t>
            </w:r>
            <w:r w:rsidRPr="006836E1">
              <w:rPr>
                <w:b/>
                <w:sz w:val="20"/>
                <w:szCs w:val="20"/>
              </w:rPr>
              <w:t>500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5A7BF8BA" w14:textId="77777777" w:rsidR="008933CC" w:rsidRPr="006836E1" w:rsidRDefault="008933CC" w:rsidP="001B68E7">
            <w:pPr>
              <w:jc w:val="right"/>
              <w:outlineLvl w:val="0"/>
              <w:rPr>
                <w:b/>
                <w:sz w:val="20"/>
                <w:szCs w:val="20"/>
              </w:rPr>
            </w:pPr>
            <w:r w:rsidRPr="006836E1">
              <w:rPr>
                <w:b/>
                <w:sz w:val="20"/>
                <w:szCs w:val="20"/>
              </w:rPr>
              <w:t>0</w:t>
            </w:r>
          </w:p>
        </w:tc>
        <w:tc>
          <w:tcPr>
            <w:tcW w:w="425" w:type="pct"/>
            <w:tcBorders>
              <w:top w:val="single" w:sz="4" w:space="0" w:color="auto"/>
              <w:left w:val="nil"/>
              <w:bottom w:val="single" w:sz="4" w:space="0" w:color="auto"/>
              <w:right w:val="single" w:sz="4" w:space="0" w:color="auto"/>
            </w:tcBorders>
            <w:tcMar>
              <w:left w:w="0" w:type="dxa"/>
              <w:right w:w="43" w:type="dxa"/>
            </w:tcMar>
          </w:tcPr>
          <w:p w14:paraId="6101E184" w14:textId="77777777" w:rsidR="008933CC" w:rsidRPr="006836E1" w:rsidRDefault="008933CC" w:rsidP="001B68E7">
            <w:pPr>
              <w:jc w:val="right"/>
              <w:outlineLvl w:val="0"/>
              <w:rPr>
                <w:b/>
                <w:sz w:val="20"/>
                <w:szCs w:val="20"/>
              </w:rPr>
            </w:pPr>
            <w:r w:rsidRPr="006836E1">
              <w:rPr>
                <w:b/>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0" w:type="dxa"/>
              <w:right w:w="43" w:type="dxa"/>
            </w:tcMar>
            <w:vAlign w:val="center"/>
          </w:tcPr>
          <w:p w14:paraId="20357F03" w14:textId="73D88006" w:rsidR="008933CC" w:rsidRPr="006836E1" w:rsidRDefault="008933CC" w:rsidP="001B68E7">
            <w:pPr>
              <w:jc w:val="right"/>
              <w:outlineLvl w:val="0"/>
              <w:rPr>
                <w:b/>
                <w:sz w:val="20"/>
                <w:szCs w:val="20"/>
              </w:rPr>
            </w:pPr>
            <w:r w:rsidRPr="006836E1">
              <w:rPr>
                <w:b/>
                <w:sz w:val="20"/>
                <w:szCs w:val="20"/>
              </w:rPr>
              <w:t>281</w:t>
            </w:r>
            <w:r w:rsidR="00125CE4">
              <w:rPr>
                <w:b/>
                <w:sz w:val="20"/>
                <w:szCs w:val="20"/>
              </w:rPr>
              <w:t xml:space="preserve"> </w:t>
            </w:r>
            <w:r w:rsidRPr="006836E1">
              <w:rPr>
                <w:b/>
                <w:sz w:val="20"/>
                <w:szCs w:val="20"/>
              </w:rPr>
              <w:t>500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3F566BCF" w14:textId="77777777" w:rsidR="008933CC" w:rsidRPr="006836E1" w:rsidRDefault="008933CC" w:rsidP="001B68E7">
            <w:pPr>
              <w:jc w:val="right"/>
              <w:outlineLvl w:val="0"/>
              <w:rPr>
                <w:b/>
                <w:sz w:val="20"/>
                <w:szCs w:val="20"/>
              </w:rPr>
            </w:pPr>
            <w:r w:rsidRPr="006836E1">
              <w:rPr>
                <w:b/>
                <w:sz w:val="20"/>
                <w:szCs w:val="20"/>
              </w:rPr>
              <w:t>0</w:t>
            </w:r>
          </w:p>
        </w:tc>
        <w:tc>
          <w:tcPr>
            <w:tcW w:w="425" w:type="pct"/>
            <w:tcBorders>
              <w:top w:val="single" w:sz="4" w:space="0" w:color="auto"/>
              <w:left w:val="nil"/>
              <w:bottom w:val="single" w:sz="4" w:space="0" w:color="auto"/>
              <w:right w:val="single" w:sz="4" w:space="0" w:color="auto"/>
            </w:tcBorders>
            <w:shd w:val="clear" w:color="auto" w:fill="auto"/>
            <w:tcMar>
              <w:left w:w="0" w:type="dxa"/>
              <w:right w:w="43" w:type="dxa"/>
            </w:tcMar>
          </w:tcPr>
          <w:p w14:paraId="7172B63E" w14:textId="77777777" w:rsidR="008933CC" w:rsidRPr="006836E1" w:rsidRDefault="008933CC" w:rsidP="001B68E7">
            <w:pPr>
              <w:jc w:val="right"/>
              <w:outlineLvl w:val="0"/>
              <w:rPr>
                <w:b/>
                <w:sz w:val="20"/>
                <w:szCs w:val="20"/>
              </w:rPr>
            </w:pPr>
            <w:r w:rsidRPr="006836E1">
              <w:rPr>
                <w:b/>
                <w:sz w:val="20"/>
                <w:szCs w:val="20"/>
              </w:rPr>
              <w:t>0</w:t>
            </w:r>
          </w:p>
        </w:tc>
        <w:tc>
          <w:tcPr>
            <w:tcW w:w="426" w:type="pct"/>
            <w:tcBorders>
              <w:top w:val="single" w:sz="4" w:space="0" w:color="auto"/>
              <w:left w:val="nil"/>
              <w:bottom w:val="single" w:sz="4" w:space="0" w:color="auto"/>
              <w:right w:val="single" w:sz="4" w:space="0" w:color="auto"/>
            </w:tcBorders>
            <w:shd w:val="clear" w:color="auto" w:fill="auto"/>
            <w:tcMar>
              <w:left w:w="0" w:type="dxa"/>
              <w:right w:w="43" w:type="dxa"/>
            </w:tcMar>
            <w:vAlign w:val="center"/>
          </w:tcPr>
          <w:p w14:paraId="58C664C1" w14:textId="1106612B" w:rsidR="008933CC" w:rsidRPr="006836E1" w:rsidRDefault="008933CC" w:rsidP="001B68E7">
            <w:pPr>
              <w:jc w:val="right"/>
              <w:outlineLvl w:val="0"/>
              <w:rPr>
                <w:b/>
                <w:sz w:val="20"/>
                <w:szCs w:val="20"/>
              </w:rPr>
            </w:pPr>
            <w:r w:rsidRPr="006836E1">
              <w:rPr>
                <w:b/>
                <w:sz w:val="20"/>
                <w:szCs w:val="20"/>
              </w:rPr>
              <w:t>115</w:t>
            </w:r>
            <w:r w:rsidR="00125CE4">
              <w:rPr>
                <w:b/>
                <w:sz w:val="20"/>
                <w:szCs w:val="20"/>
              </w:rPr>
              <w:t xml:space="preserve"> </w:t>
            </w:r>
            <w:r w:rsidRPr="006836E1">
              <w:rPr>
                <w:b/>
                <w:sz w:val="20"/>
                <w:szCs w:val="20"/>
              </w:rPr>
              <w:t>000</w:t>
            </w:r>
          </w:p>
        </w:tc>
      </w:tr>
    </w:tbl>
    <w:p w14:paraId="7525EC72" w14:textId="77777777" w:rsidR="008933CC" w:rsidRDefault="008933CC" w:rsidP="003C1A5A">
      <w:pPr>
        <w:pStyle w:val="Heading1"/>
        <w:numPr>
          <w:ilvl w:val="0"/>
          <w:numId w:val="0"/>
        </w:numPr>
        <w:spacing w:after="120"/>
      </w:pPr>
    </w:p>
    <w:p w14:paraId="4AECD044" w14:textId="01D64806" w:rsidR="008933CC" w:rsidRPr="00EC24BA" w:rsidRDefault="00EC24BA" w:rsidP="003C1A5A">
      <w:pPr>
        <w:pStyle w:val="Heading1"/>
        <w:rPr>
          <w:lang w:val="es-ES"/>
        </w:rPr>
      </w:pPr>
      <w:r w:rsidRPr="00EC24BA">
        <w:rPr>
          <w:lang w:val="es-ES"/>
        </w:rPr>
        <w:t xml:space="preserve">Tras la revisión de la </w:t>
      </w:r>
      <w:r w:rsidRPr="0002285F">
        <w:rPr>
          <w:lang w:val="es-ES"/>
        </w:rPr>
        <w:t>distribución de los tramos</w:t>
      </w:r>
      <w:r w:rsidRPr="00EC24BA">
        <w:rPr>
          <w:lang w:val="es-ES"/>
        </w:rPr>
        <w:t>, el primer tramo se ajustó de la siguiente manera: fortalecimiento del seguimiento y la aplicación de los reglamentos sobre las SAO y las políticas conexas (50</w:t>
      </w:r>
      <w:r>
        <w:rPr>
          <w:lang w:val="es-ES"/>
        </w:rPr>
        <w:t xml:space="preserve"> </w:t>
      </w:r>
      <w:r w:rsidRPr="00EC24BA">
        <w:rPr>
          <w:lang w:val="es-ES"/>
        </w:rPr>
        <w:t>000</w:t>
      </w:r>
      <w:r>
        <w:rPr>
          <w:lang w:val="es-ES"/>
        </w:rPr>
        <w:t xml:space="preserve"> </w:t>
      </w:r>
      <w:r w:rsidRPr="00A7336B">
        <w:rPr>
          <w:lang w:val="es-ES"/>
        </w:rPr>
        <w:t>$EUA</w:t>
      </w:r>
      <w:r w:rsidRPr="00EC24BA">
        <w:rPr>
          <w:lang w:val="es-ES"/>
        </w:rPr>
        <w:t xml:space="preserve">); desarrollo de la capacidad de los técnicos </w:t>
      </w:r>
      <w:r w:rsidR="00F95F5C">
        <w:rPr>
          <w:lang w:val="es-ES"/>
        </w:rPr>
        <w:t>de refrigeración y aire acondicionado</w:t>
      </w:r>
      <w:r w:rsidRPr="00EC24BA">
        <w:rPr>
          <w:lang w:val="es-ES"/>
        </w:rPr>
        <w:t xml:space="preserve"> y establecimiento de un sistema de certificación (125</w:t>
      </w:r>
      <w:r w:rsidR="00F95F5C">
        <w:rPr>
          <w:lang w:val="es-ES"/>
        </w:rPr>
        <w:t xml:space="preserve"> </w:t>
      </w:r>
      <w:r w:rsidRPr="00EC24BA">
        <w:rPr>
          <w:lang w:val="es-ES"/>
        </w:rPr>
        <w:t xml:space="preserve">000 </w:t>
      </w:r>
      <w:r w:rsidR="00F95F5C" w:rsidRPr="00A7336B">
        <w:rPr>
          <w:lang w:val="es-ES"/>
        </w:rPr>
        <w:t>$EUA</w:t>
      </w:r>
      <w:r w:rsidRPr="00EC24BA">
        <w:rPr>
          <w:lang w:val="es-ES"/>
        </w:rPr>
        <w:t xml:space="preserve">); apoyo a la industria y a las escuelas </w:t>
      </w:r>
      <w:r w:rsidRPr="00EC24BA">
        <w:rPr>
          <w:lang w:val="es-ES"/>
        </w:rPr>
        <w:lastRenderedPageBreak/>
        <w:t xml:space="preserve">técnicas mediante el suministro de equipos de mantenimiento y conjuntos de herramientas y el establecimiento de dos centros de recuperación y regeneración </w:t>
      </w:r>
      <w:r w:rsidR="008933CC" w:rsidRPr="00EC24BA">
        <w:rPr>
          <w:lang w:val="es-ES"/>
        </w:rPr>
        <w:t>(218</w:t>
      </w:r>
      <w:r w:rsidR="00F95F5C">
        <w:rPr>
          <w:lang w:val="es-ES"/>
        </w:rPr>
        <w:t xml:space="preserve"> </w:t>
      </w:r>
      <w:r w:rsidR="008933CC" w:rsidRPr="00EC24BA">
        <w:rPr>
          <w:lang w:val="es-ES"/>
        </w:rPr>
        <w:t>000</w:t>
      </w:r>
      <w:r w:rsidR="00F95F5C">
        <w:rPr>
          <w:lang w:val="es-ES"/>
        </w:rPr>
        <w:t xml:space="preserve"> </w:t>
      </w:r>
      <w:r w:rsidR="00F95F5C" w:rsidRPr="00A7336B">
        <w:rPr>
          <w:lang w:val="es-ES"/>
        </w:rPr>
        <w:t>$EUA</w:t>
      </w:r>
      <w:r w:rsidR="008933CC" w:rsidRPr="00EC24BA">
        <w:rPr>
          <w:lang w:val="es-ES"/>
        </w:rPr>
        <w:t xml:space="preserve">); </w:t>
      </w:r>
      <w:r>
        <w:rPr>
          <w:lang w:val="es-ES"/>
        </w:rPr>
        <w:t>y supervisión del proyecto</w:t>
      </w:r>
      <w:r w:rsidR="008933CC" w:rsidRPr="00EC24BA">
        <w:rPr>
          <w:lang w:val="es-ES"/>
        </w:rPr>
        <w:t xml:space="preserve"> (10</w:t>
      </w:r>
      <w:r w:rsidR="00F95F5C">
        <w:rPr>
          <w:lang w:val="es-ES"/>
        </w:rPr>
        <w:t> </w:t>
      </w:r>
      <w:r w:rsidR="008933CC" w:rsidRPr="00EC24BA">
        <w:rPr>
          <w:lang w:val="es-ES"/>
        </w:rPr>
        <w:t>000</w:t>
      </w:r>
      <w:r w:rsidR="00F95F5C">
        <w:rPr>
          <w:lang w:val="es-ES"/>
        </w:rPr>
        <w:t xml:space="preserve"> </w:t>
      </w:r>
      <w:r w:rsidR="00F95F5C" w:rsidRPr="00A7336B">
        <w:rPr>
          <w:lang w:val="es-ES"/>
        </w:rPr>
        <w:t>$EUA</w:t>
      </w:r>
      <w:r w:rsidR="008933CC" w:rsidRPr="00EC24BA">
        <w:rPr>
          <w:lang w:val="es-ES"/>
        </w:rPr>
        <w:t>).</w:t>
      </w:r>
    </w:p>
    <w:p w14:paraId="79FEAE78" w14:textId="03621CCA" w:rsidR="008933CC" w:rsidRPr="007F1BCA" w:rsidRDefault="007F1BCA" w:rsidP="003C1A5A">
      <w:pPr>
        <w:pStyle w:val="Heading1"/>
        <w:rPr>
          <w:lang w:val="es-ES"/>
        </w:rPr>
      </w:pPr>
      <w:r w:rsidRPr="007F1BCA">
        <w:rPr>
          <w:lang w:val="es-ES"/>
        </w:rPr>
        <w:t xml:space="preserve">Con la asignación de fondos revisada para el primer tramo, el PNUMA y el PNUD tratarán de alcanzar los siguientes objetivos específicos en cada uno de los componentes principales de la etapa II: formar a 125 funcionarios de aduanas y otros funcionarios encargados de hacer cumplir la ley; emprender una revisión de la normativa existente; establecer el plan de certificación de técnicos para finales de 2023 y certificar a los primeros 125 técnicos; capacitar a 525 técnicos; adquirir y distribuir herramientas y equipos a los centros de formación; y completar el estudio de viabilidad para el establecimiento de los centros de </w:t>
      </w:r>
      <w:r w:rsidR="0002285F">
        <w:rPr>
          <w:lang w:val="es-ES"/>
        </w:rPr>
        <w:t>reciclado</w:t>
      </w:r>
      <w:r w:rsidR="008933CC" w:rsidRPr="007F1BCA">
        <w:rPr>
          <w:lang w:val="es-ES"/>
        </w:rPr>
        <w:t>.</w:t>
      </w:r>
    </w:p>
    <w:p w14:paraId="3A7835C5" w14:textId="61FECFEF" w:rsidR="008933CC" w:rsidRPr="00891582" w:rsidRDefault="008933CC" w:rsidP="003C1A5A">
      <w:pPr>
        <w:spacing w:after="240"/>
        <w:rPr>
          <w:u w:val="single"/>
          <w:lang w:val="es-ES"/>
        </w:rPr>
      </w:pPr>
      <w:r w:rsidRPr="00891582">
        <w:rPr>
          <w:u w:val="single"/>
          <w:lang w:val="es-ES"/>
        </w:rPr>
        <w:t>Condi</w:t>
      </w:r>
      <w:r w:rsidR="00891582" w:rsidRPr="00891582">
        <w:rPr>
          <w:u w:val="single"/>
          <w:lang w:val="es-ES"/>
        </w:rPr>
        <w:t xml:space="preserve">ciones para la ejecución de la etapa </w:t>
      </w:r>
      <w:r w:rsidRPr="00891582">
        <w:rPr>
          <w:u w:val="single"/>
          <w:lang w:val="es-ES"/>
        </w:rPr>
        <w:t>II</w:t>
      </w:r>
    </w:p>
    <w:p w14:paraId="72BF2E40" w14:textId="6988C661" w:rsidR="008933CC" w:rsidRPr="009D3851" w:rsidRDefault="009D3851" w:rsidP="003C1A5A">
      <w:pPr>
        <w:pStyle w:val="Heading1"/>
        <w:rPr>
          <w:lang w:val="es-ES"/>
        </w:rPr>
      </w:pPr>
      <w:r w:rsidRPr="009D3851">
        <w:rPr>
          <w:lang w:val="es-ES"/>
        </w:rPr>
        <w:t xml:space="preserve">La Secretaría y los organismos de ejecución deliberaron sobre las condiciones para dar inicio y ejecutar sin demora la etapa II, habida cuenta de los retrasos anteriores </w:t>
      </w:r>
      <w:r w:rsidR="005720CC">
        <w:rPr>
          <w:lang w:val="es-ES"/>
        </w:rPr>
        <w:t>que sufrió</w:t>
      </w:r>
      <w:r w:rsidRPr="009D3851">
        <w:rPr>
          <w:lang w:val="es-ES"/>
        </w:rPr>
        <w:t xml:space="preserve"> la ejecución de la etapa I y de la situación actual provocada por la pandemia del COVID-19. El PNUMA explicó que los problemas que habían afectado a la ejecución en el pasado estaban relacionados con los cambios en el gobierno y el cambio de la Dependencia Nacional del Ozono. Aunque estas cuestiones están fuera del control del proyecto, el PNUMA informó a la Secretaría de que trabaja con el gobierno para garantizar la continuidad de la Dependencia Nacional del Ozono a fin de evitar futuros retrasos</w:t>
      </w:r>
      <w:r w:rsidR="008933CC" w:rsidRPr="009D3851">
        <w:rPr>
          <w:lang w:val="es-ES"/>
        </w:rPr>
        <w:t>.</w:t>
      </w:r>
    </w:p>
    <w:p w14:paraId="2B5E2F55" w14:textId="50A89D07" w:rsidR="008933CC" w:rsidRPr="00C9552C" w:rsidRDefault="00C9552C" w:rsidP="003C1A5A">
      <w:pPr>
        <w:pStyle w:val="Heading1"/>
        <w:rPr>
          <w:lang w:val="es-ES"/>
        </w:rPr>
      </w:pPr>
      <w:r w:rsidRPr="00C9552C">
        <w:rPr>
          <w:lang w:val="es-ES"/>
        </w:rPr>
        <w:t xml:space="preserve">Al proporcionar comentarios sobre las medidas que los organismos han adoptado para facilitar la ejecución segura de los proyectos durante la pandemia de COVID-19, el PNUMA informó a la Secretaría de que se habían reducido al mínimo las misiones y se había animado a las partes interesadas a seguir las políticas y recomendaciones del Gobierno. Actividades como los informes de verificación se realizaron a distancia, y el PNUD ha agilizado los procesos de adquisición de equipos mediante acuerdos a largo plazo con los proveedores de equipos de refrigeración. La Dependencia Nacional del Ozono y la Oficina del PNUD en el país utilizan este proceso acelerado para respaldar la ejecución. El Gobierno y los organismos de ejecución consideran que las actividades propuestas y sus respectivos calendarios pueden ejecutarse a pesar de las limitaciones en la ejecución debidas a la pandemia. Los únicos cambios previstos en la ejecución son algunos retrasos y un menor número de participantes en los talleres durante el inicio de la etapa </w:t>
      </w:r>
      <w:r w:rsidR="008933CC" w:rsidRPr="00C9552C">
        <w:rPr>
          <w:lang w:val="es-ES"/>
        </w:rPr>
        <w:t xml:space="preserve">II. </w:t>
      </w:r>
    </w:p>
    <w:p w14:paraId="574AA0E0" w14:textId="1C90D8A1" w:rsidR="008933CC" w:rsidRPr="00996241" w:rsidRDefault="008933CC" w:rsidP="003C1A5A">
      <w:pPr>
        <w:keepNext/>
        <w:spacing w:after="240"/>
        <w:rPr>
          <w:u w:val="single"/>
        </w:rPr>
      </w:pPr>
      <w:proofErr w:type="spellStart"/>
      <w:r w:rsidRPr="00996241">
        <w:rPr>
          <w:u w:val="single"/>
        </w:rPr>
        <w:t>Impact</w:t>
      </w:r>
      <w:r w:rsidR="00CE32C2">
        <w:rPr>
          <w:u w:val="single"/>
        </w:rPr>
        <w:t>o</w:t>
      </w:r>
      <w:proofErr w:type="spellEnd"/>
      <w:r w:rsidRPr="00996241">
        <w:rPr>
          <w:u w:val="single"/>
        </w:rPr>
        <w:t xml:space="preserve"> </w:t>
      </w:r>
      <w:proofErr w:type="spellStart"/>
      <w:r w:rsidR="00CE32C2">
        <w:rPr>
          <w:u w:val="single"/>
        </w:rPr>
        <w:t>en</w:t>
      </w:r>
      <w:proofErr w:type="spellEnd"/>
      <w:r w:rsidR="00CE32C2">
        <w:rPr>
          <w:u w:val="single"/>
        </w:rPr>
        <w:t xml:space="preserve"> el </w:t>
      </w:r>
      <w:proofErr w:type="spellStart"/>
      <w:r w:rsidR="00CE32C2">
        <w:rPr>
          <w:u w:val="single"/>
        </w:rPr>
        <w:t>clima</w:t>
      </w:r>
      <w:proofErr w:type="spellEnd"/>
    </w:p>
    <w:p w14:paraId="650A98C6" w14:textId="57CF0BFC" w:rsidR="008933CC" w:rsidRDefault="00986E51" w:rsidP="003C1A5A">
      <w:pPr>
        <w:pStyle w:val="Heading1"/>
        <w:widowControl w:val="0"/>
        <w:rPr>
          <w:lang w:val="es-ES"/>
        </w:rPr>
      </w:pPr>
      <w:r w:rsidRPr="00986E51">
        <w:rPr>
          <w:lang w:val="es-ES"/>
        </w:rPr>
        <w:t xml:space="preserve">Las actividades propuestas en el sector del mantenimiento, que incluyen un mejor </w:t>
      </w:r>
      <w:r w:rsidR="001D7C4A">
        <w:rPr>
          <w:lang w:val="es-ES"/>
        </w:rPr>
        <w:t>confinamiento</w:t>
      </w:r>
      <w:r w:rsidRPr="00986E51">
        <w:rPr>
          <w:lang w:val="es-ES"/>
        </w:rPr>
        <w:t xml:space="preserve"> de los refrigerantes mediante la formación y el suministro de equipos, reducirán la cantidad de HCFC</w:t>
      </w:r>
      <w:r w:rsidR="003447A1">
        <w:rPr>
          <w:lang w:val="es-ES"/>
        </w:rPr>
        <w:t>-</w:t>
      </w:r>
      <w:r w:rsidRPr="00986E51">
        <w:rPr>
          <w:lang w:val="es-ES"/>
        </w:rPr>
        <w:t xml:space="preserve">22 utilizada para el mantenimiento </w:t>
      </w:r>
      <w:r w:rsidR="00EC4FB4">
        <w:rPr>
          <w:lang w:val="es-ES"/>
        </w:rPr>
        <w:t>equipos de refrigeración y aire acondicionado</w:t>
      </w:r>
      <w:r w:rsidRPr="00986E51">
        <w:rPr>
          <w:lang w:val="es-ES"/>
        </w:rPr>
        <w:t xml:space="preserve">. Cada kilogramo de HCFC-22 no emitido gracias a </w:t>
      </w:r>
      <w:r w:rsidR="001B4655">
        <w:rPr>
          <w:lang w:val="es-ES"/>
        </w:rPr>
        <w:t xml:space="preserve">la aplicación de </w:t>
      </w:r>
      <w:r w:rsidRPr="00986E51">
        <w:rPr>
          <w:lang w:val="es-ES"/>
        </w:rPr>
        <w:t xml:space="preserve">las mejores prácticas de refrigeración </w:t>
      </w:r>
      <w:r w:rsidR="00A5456E">
        <w:rPr>
          <w:lang w:val="es-ES"/>
        </w:rPr>
        <w:t>supo</w:t>
      </w:r>
      <w:r w:rsidR="00055239">
        <w:rPr>
          <w:lang w:val="es-ES"/>
        </w:rPr>
        <w:t>ndrá</w:t>
      </w:r>
      <w:r w:rsidRPr="00986E51">
        <w:rPr>
          <w:lang w:val="es-ES"/>
        </w:rPr>
        <w:t xml:space="preserve"> un ahorro de aproximadamente 1,8 toneladas equivalentes de </w:t>
      </w:r>
      <w:r w:rsidR="008933CC" w:rsidRPr="00986E51">
        <w:rPr>
          <w:lang w:val="es-ES"/>
        </w:rPr>
        <w:t>CO</w:t>
      </w:r>
      <w:r w:rsidR="008933CC" w:rsidRPr="00986E51">
        <w:rPr>
          <w:vertAlign w:val="subscript"/>
          <w:lang w:val="es-ES"/>
        </w:rPr>
        <w:t>2</w:t>
      </w:r>
      <w:r w:rsidR="008933CC" w:rsidRPr="00986E51">
        <w:rPr>
          <w:lang w:val="es-ES"/>
        </w:rPr>
        <w:t xml:space="preserve">. </w:t>
      </w:r>
      <w:r w:rsidR="00314CB6" w:rsidRPr="00314CB6">
        <w:rPr>
          <w:lang w:val="es-ES"/>
        </w:rPr>
        <w:t xml:space="preserve">En el plan de gestión de </w:t>
      </w:r>
      <w:r w:rsidR="00E01AAC">
        <w:rPr>
          <w:lang w:val="es-ES"/>
        </w:rPr>
        <w:t>eliminación de los HCFC</w:t>
      </w:r>
      <w:r w:rsidR="00314CB6" w:rsidRPr="00314CB6">
        <w:rPr>
          <w:lang w:val="es-ES"/>
        </w:rPr>
        <w:t xml:space="preserve"> se ha </w:t>
      </w:r>
      <w:r w:rsidR="00316927">
        <w:rPr>
          <w:lang w:val="es-ES"/>
        </w:rPr>
        <w:t>incluido</w:t>
      </w:r>
      <w:r w:rsidR="00314CB6" w:rsidRPr="00314CB6">
        <w:rPr>
          <w:lang w:val="es-ES"/>
        </w:rPr>
        <w:t xml:space="preserve"> un cálculo del impacto en el clima. Las actividades previstas por la República Democrática del Congo, incluidos sus esfuerzos por promover alternativas de bajo potencial de calentamiento atmosférico, así como la recuperación y reutilización de refrigerantes, indican que la ejecución del plan de gestión de la eliminación de los HCFC reducirá la emisión de refrigerantes a la atmósfera, lo que redundará en beneficios para el clima</w:t>
      </w:r>
      <w:r w:rsidR="008933CC" w:rsidRPr="00314CB6">
        <w:rPr>
          <w:lang w:val="es-ES"/>
        </w:rPr>
        <w:t xml:space="preserve">. </w:t>
      </w:r>
    </w:p>
    <w:p w14:paraId="6293D73E" w14:textId="1682A32F" w:rsidR="008933CC" w:rsidRPr="007A2166" w:rsidRDefault="008933CC" w:rsidP="003C1A5A">
      <w:pPr>
        <w:pStyle w:val="Heading1"/>
        <w:widowControl w:val="0"/>
        <w:numPr>
          <w:ilvl w:val="0"/>
          <w:numId w:val="0"/>
        </w:numPr>
        <w:rPr>
          <w:b/>
        </w:rPr>
      </w:pPr>
      <w:proofErr w:type="spellStart"/>
      <w:r w:rsidRPr="007A2166">
        <w:rPr>
          <w:b/>
        </w:rPr>
        <w:t>Co</w:t>
      </w:r>
      <w:r w:rsidR="005A35F6">
        <w:rPr>
          <w:b/>
        </w:rPr>
        <w:t>financiación</w:t>
      </w:r>
      <w:proofErr w:type="spellEnd"/>
    </w:p>
    <w:p w14:paraId="5CB55444" w14:textId="5D650718" w:rsidR="008933CC" w:rsidRPr="004640FD" w:rsidRDefault="004640FD" w:rsidP="003C1A5A">
      <w:pPr>
        <w:pStyle w:val="Heading1"/>
        <w:widowControl w:val="0"/>
        <w:rPr>
          <w:lang w:val="es-ES"/>
        </w:rPr>
      </w:pPr>
      <w:r w:rsidRPr="004640FD">
        <w:rPr>
          <w:lang w:val="es-ES"/>
        </w:rPr>
        <w:t xml:space="preserve">El Gobierno de la República Democrática del Congo </w:t>
      </w:r>
      <w:r w:rsidR="00313331">
        <w:rPr>
          <w:lang w:val="es-ES"/>
        </w:rPr>
        <w:t>proporcionará</w:t>
      </w:r>
      <w:r w:rsidRPr="004640FD">
        <w:rPr>
          <w:lang w:val="es-ES"/>
        </w:rPr>
        <w:t xml:space="preserve"> una contribución en especie con apoyo logístico y de personal según sea necesario durante la ejecución del proyecto</w:t>
      </w:r>
      <w:r w:rsidR="008933CC" w:rsidRPr="004640FD">
        <w:rPr>
          <w:lang w:val="es-ES"/>
        </w:rPr>
        <w:t>.</w:t>
      </w:r>
    </w:p>
    <w:p w14:paraId="336EA060" w14:textId="38180CCD" w:rsidR="008933CC" w:rsidRPr="00B6576D" w:rsidRDefault="00474914" w:rsidP="003C1A5A">
      <w:pPr>
        <w:keepNext/>
        <w:keepLines/>
        <w:widowControl w:val="0"/>
        <w:spacing w:after="240"/>
        <w:outlineLvl w:val="0"/>
        <w:rPr>
          <w:b/>
          <w:lang w:val="es-ES"/>
        </w:rPr>
      </w:pPr>
      <w:r w:rsidRPr="00B6576D">
        <w:rPr>
          <w:b/>
          <w:lang w:val="es-ES"/>
        </w:rPr>
        <w:lastRenderedPageBreak/>
        <w:t xml:space="preserve">Proyecto de plan </w:t>
      </w:r>
      <w:proofErr w:type="spellStart"/>
      <w:r w:rsidRPr="00B6576D">
        <w:rPr>
          <w:b/>
          <w:lang w:val="es-ES"/>
        </w:rPr>
        <w:t>administrative</w:t>
      </w:r>
      <w:proofErr w:type="spellEnd"/>
      <w:r w:rsidRPr="00B6576D">
        <w:rPr>
          <w:b/>
          <w:lang w:val="es-ES"/>
        </w:rPr>
        <w:t xml:space="preserve"> </w:t>
      </w:r>
      <w:r w:rsidR="009C346E" w:rsidRPr="00B6576D">
        <w:rPr>
          <w:b/>
          <w:lang w:val="es-ES"/>
        </w:rPr>
        <w:t xml:space="preserve">del Fondo Multilateral para </w:t>
      </w:r>
      <w:r w:rsidR="008933CC" w:rsidRPr="00B6576D">
        <w:rPr>
          <w:b/>
          <w:lang w:val="es-ES"/>
        </w:rPr>
        <w:t xml:space="preserve">2021-2023 </w:t>
      </w:r>
    </w:p>
    <w:p w14:paraId="360B5D64" w14:textId="031A7837" w:rsidR="008933CC" w:rsidRPr="00144A82" w:rsidRDefault="00144A82" w:rsidP="003C1A5A">
      <w:pPr>
        <w:keepNext/>
        <w:keepLines/>
        <w:widowControl w:val="0"/>
        <w:numPr>
          <w:ilvl w:val="0"/>
          <w:numId w:val="1"/>
        </w:numPr>
        <w:spacing w:after="240"/>
        <w:outlineLvl w:val="0"/>
        <w:rPr>
          <w:lang w:val="es-ES"/>
        </w:rPr>
      </w:pPr>
      <w:r w:rsidRPr="00144A82">
        <w:rPr>
          <w:lang w:val="es-ES"/>
        </w:rPr>
        <w:t>El PNUMA y el PNUD solicitan 1</w:t>
      </w:r>
      <w:r w:rsidR="00DC433E">
        <w:rPr>
          <w:lang w:val="es-ES"/>
        </w:rPr>
        <w:t> </w:t>
      </w:r>
      <w:r w:rsidRPr="00144A82">
        <w:rPr>
          <w:lang w:val="es-ES"/>
        </w:rPr>
        <w:t>125</w:t>
      </w:r>
      <w:r w:rsidR="00DC433E">
        <w:rPr>
          <w:lang w:val="es-ES"/>
        </w:rPr>
        <w:t xml:space="preserve"> </w:t>
      </w:r>
      <w:r w:rsidRPr="00144A82">
        <w:rPr>
          <w:lang w:val="es-ES"/>
        </w:rPr>
        <w:t xml:space="preserve">000 </w:t>
      </w:r>
      <w:r w:rsidR="00DC433E" w:rsidRPr="00B204B0">
        <w:rPr>
          <w:lang w:val="es-ES"/>
        </w:rPr>
        <w:t>$</w:t>
      </w:r>
      <w:r w:rsidR="00DC433E">
        <w:rPr>
          <w:lang w:val="es-ES"/>
        </w:rPr>
        <w:t>EUA</w:t>
      </w:r>
      <w:r w:rsidRPr="00144A82">
        <w:rPr>
          <w:lang w:val="es-ES"/>
        </w:rPr>
        <w:t xml:space="preserve">, más los </w:t>
      </w:r>
      <w:r w:rsidR="00DC433E">
        <w:rPr>
          <w:lang w:val="es-ES"/>
        </w:rPr>
        <w:t>gasto</w:t>
      </w:r>
      <w:r w:rsidR="001F4F17">
        <w:rPr>
          <w:lang w:val="es-ES"/>
        </w:rPr>
        <w:t>s</w:t>
      </w:r>
      <w:r w:rsidRPr="00144A82">
        <w:rPr>
          <w:lang w:val="es-ES"/>
        </w:rPr>
        <w:t xml:space="preserve"> de apoyo </w:t>
      </w:r>
      <w:r w:rsidR="00DC433E">
        <w:rPr>
          <w:lang w:val="es-ES"/>
        </w:rPr>
        <w:t>al</w:t>
      </w:r>
      <w:r w:rsidRPr="00144A82">
        <w:rPr>
          <w:lang w:val="es-ES"/>
        </w:rPr>
        <w:t xml:space="preserve"> organismo, para la ejecución de la etapa II del plan de gestión de la eliminación de los HCFC para la República Democrática del Congo. El valor total solicitado de 390</w:t>
      </w:r>
      <w:r w:rsidR="001F4F17">
        <w:rPr>
          <w:lang w:val="es-ES"/>
        </w:rPr>
        <w:t xml:space="preserve"> </w:t>
      </w:r>
      <w:r w:rsidRPr="00144A82">
        <w:rPr>
          <w:lang w:val="es-ES"/>
        </w:rPr>
        <w:t xml:space="preserve">993 </w:t>
      </w:r>
      <w:r w:rsidR="001F4F17" w:rsidRPr="00B204B0">
        <w:rPr>
          <w:lang w:val="es-ES"/>
        </w:rPr>
        <w:t>$</w:t>
      </w:r>
      <w:r w:rsidR="001F4F17">
        <w:rPr>
          <w:lang w:val="es-ES"/>
        </w:rPr>
        <w:t>EUA</w:t>
      </w:r>
      <w:r w:rsidRPr="00144A82">
        <w:rPr>
          <w:lang w:val="es-ES"/>
        </w:rPr>
        <w:t xml:space="preserve">, incluidos los </w:t>
      </w:r>
      <w:r w:rsidR="001F4F17">
        <w:rPr>
          <w:lang w:val="es-ES"/>
        </w:rPr>
        <w:t>gasto</w:t>
      </w:r>
      <w:r w:rsidR="00E45921">
        <w:rPr>
          <w:lang w:val="es-ES"/>
        </w:rPr>
        <w:t>s</w:t>
      </w:r>
      <w:r w:rsidRPr="00144A82">
        <w:rPr>
          <w:lang w:val="es-ES"/>
        </w:rPr>
        <w:t xml:space="preserve"> de apoyo </w:t>
      </w:r>
      <w:r w:rsidR="001F4F17">
        <w:rPr>
          <w:lang w:val="es-ES"/>
        </w:rPr>
        <w:t>al</w:t>
      </w:r>
      <w:r w:rsidRPr="00144A82">
        <w:rPr>
          <w:lang w:val="es-ES"/>
        </w:rPr>
        <w:t xml:space="preserve"> organismo </w:t>
      </w:r>
      <w:r w:rsidR="001F4F17">
        <w:rPr>
          <w:lang w:val="es-ES"/>
        </w:rPr>
        <w:t>correspondiente a</w:t>
      </w:r>
      <w:r w:rsidRPr="00144A82">
        <w:rPr>
          <w:lang w:val="es-ES"/>
        </w:rPr>
        <w:t>l período 2021-2023, es superior en 113</w:t>
      </w:r>
      <w:r w:rsidR="001F4F17">
        <w:rPr>
          <w:lang w:val="es-ES"/>
        </w:rPr>
        <w:t xml:space="preserve"> </w:t>
      </w:r>
      <w:r w:rsidRPr="00144A82">
        <w:rPr>
          <w:lang w:val="es-ES"/>
        </w:rPr>
        <w:t xml:space="preserve">118 </w:t>
      </w:r>
      <w:r w:rsidR="005B27E9" w:rsidRPr="00B204B0">
        <w:rPr>
          <w:lang w:val="es-ES"/>
        </w:rPr>
        <w:t>$</w:t>
      </w:r>
      <w:r w:rsidR="005B27E9">
        <w:rPr>
          <w:lang w:val="es-ES"/>
        </w:rPr>
        <w:t>EUA</w:t>
      </w:r>
      <w:r w:rsidR="005B27E9" w:rsidRPr="00144A82">
        <w:rPr>
          <w:lang w:val="es-ES"/>
        </w:rPr>
        <w:t xml:space="preserve"> </w:t>
      </w:r>
      <w:r w:rsidRPr="00144A82">
        <w:rPr>
          <w:lang w:val="es-ES"/>
        </w:rPr>
        <w:t>a</w:t>
      </w:r>
      <w:r w:rsidR="005B27E9">
        <w:rPr>
          <w:lang w:val="es-ES"/>
        </w:rPr>
        <w:t xml:space="preserve"> </w:t>
      </w:r>
      <w:r w:rsidRPr="00144A82">
        <w:rPr>
          <w:lang w:val="es-ES"/>
        </w:rPr>
        <w:t xml:space="preserve">la cantidad prevista en el plan </w:t>
      </w:r>
      <w:r>
        <w:rPr>
          <w:lang w:val="es-ES"/>
        </w:rPr>
        <w:t>administrativo</w:t>
      </w:r>
      <w:r w:rsidR="008933CC" w:rsidRPr="00144A82">
        <w:rPr>
          <w:lang w:val="es-ES"/>
        </w:rPr>
        <w:t>.</w:t>
      </w:r>
    </w:p>
    <w:p w14:paraId="6D0A88FC" w14:textId="718E5820" w:rsidR="008933CC" w:rsidRPr="00472B69" w:rsidRDefault="00472B69" w:rsidP="003C1A5A">
      <w:pPr>
        <w:spacing w:after="240"/>
        <w:outlineLvl w:val="0"/>
        <w:rPr>
          <w:b/>
          <w:lang w:val="es-ES"/>
        </w:rPr>
      </w:pPr>
      <w:r w:rsidRPr="00472B69">
        <w:rPr>
          <w:b/>
          <w:lang w:val="es-ES"/>
        </w:rPr>
        <w:t xml:space="preserve">Proyecto de </w:t>
      </w:r>
      <w:r>
        <w:rPr>
          <w:b/>
          <w:lang w:val="es-ES"/>
        </w:rPr>
        <w:t>a</w:t>
      </w:r>
      <w:r w:rsidRPr="00472B69">
        <w:rPr>
          <w:b/>
          <w:lang w:val="es-ES"/>
        </w:rPr>
        <w:t>cuerdo</w:t>
      </w:r>
    </w:p>
    <w:p w14:paraId="48362C93" w14:textId="3C0B954B" w:rsidR="008933CC" w:rsidRPr="00623172" w:rsidRDefault="00623172" w:rsidP="003C1A5A">
      <w:pPr>
        <w:pStyle w:val="Heading1"/>
        <w:rPr>
          <w:lang w:val="es-ES"/>
        </w:rPr>
      </w:pPr>
      <w:r w:rsidRPr="00623172">
        <w:rPr>
          <w:lang w:val="es-ES"/>
        </w:rPr>
        <w:t>En el Anexo I al presente documento figura un proyecto de Acuerdo entre el Gobierno de la República Democrática del Congo y el Comité Ejecutivo para la eliminación de los HCFC en la etapa II del</w:t>
      </w:r>
      <w:r>
        <w:rPr>
          <w:lang w:val="es-ES"/>
        </w:rPr>
        <w:t xml:space="preserve"> plan de gestión de la eliminación de los HCFC.</w:t>
      </w:r>
    </w:p>
    <w:p w14:paraId="6158D526" w14:textId="345D1C73" w:rsidR="008933CC" w:rsidRPr="00996241" w:rsidRDefault="008933CC" w:rsidP="003C1A5A">
      <w:pPr>
        <w:widowControl w:val="0"/>
        <w:autoSpaceDE w:val="0"/>
        <w:autoSpaceDN w:val="0"/>
        <w:adjustRightInd w:val="0"/>
        <w:spacing w:after="240"/>
        <w:outlineLvl w:val="0"/>
        <w:rPr>
          <w:b/>
        </w:rPr>
      </w:pPr>
      <w:r w:rsidRPr="00996241">
        <w:rPr>
          <w:b/>
        </w:rPr>
        <w:t>RECOMENDA</w:t>
      </w:r>
      <w:r w:rsidR="008E02C7">
        <w:rPr>
          <w:b/>
        </w:rPr>
        <w:t>CIÓ</w:t>
      </w:r>
      <w:r w:rsidRPr="00996241">
        <w:rPr>
          <w:b/>
        </w:rPr>
        <w:t>N</w:t>
      </w:r>
    </w:p>
    <w:p w14:paraId="27F5F32A" w14:textId="255AA9AD" w:rsidR="008933CC" w:rsidRPr="00465BB0" w:rsidRDefault="008E02C7" w:rsidP="003C1A5A">
      <w:pPr>
        <w:pStyle w:val="Heading1"/>
        <w:widowControl w:val="0"/>
        <w:rPr>
          <w:b/>
          <w:lang w:val="es-ES"/>
        </w:rPr>
      </w:pPr>
      <w:r w:rsidRPr="00465BB0">
        <w:rPr>
          <w:lang w:val="es-ES"/>
        </w:rPr>
        <w:t>El Comité Ejecutivo podría considerar op</w:t>
      </w:r>
      <w:r w:rsidR="00773BE5" w:rsidRPr="00465BB0">
        <w:rPr>
          <w:lang w:val="es-ES"/>
        </w:rPr>
        <w:t>ortuno</w:t>
      </w:r>
      <w:r w:rsidR="008933CC" w:rsidRPr="00465BB0">
        <w:rPr>
          <w:lang w:val="es-ES"/>
        </w:rPr>
        <w:t>:</w:t>
      </w:r>
    </w:p>
    <w:p w14:paraId="217E5C5D" w14:textId="3B60526C" w:rsidR="008933CC" w:rsidRPr="00465BB0" w:rsidRDefault="00465BB0" w:rsidP="003C1A5A">
      <w:pPr>
        <w:widowControl w:val="0"/>
        <w:numPr>
          <w:ilvl w:val="1"/>
          <w:numId w:val="23"/>
        </w:numPr>
        <w:spacing w:after="240"/>
        <w:outlineLvl w:val="1"/>
        <w:rPr>
          <w:lang w:val="es-ES"/>
        </w:rPr>
      </w:pPr>
      <w:r w:rsidRPr="00465BB0">
        <w:rPr>
          <w:lang w:val="es-ES"/>
        </w:rPr>
        <w:t xml:space="preserve">Aprobar, en principio, la fase II del plan de gestión de la eliminación de los HCFC (HPMP) para la República Democrática del Congo correspondiente al período comprendido entre 2021 y 2030 </w:t>
      </w:r>
      <w:r w:rsidR="00E77A70">
        <w:rPr>
          <w:lang w:val="es-ES"/>
        </w:rPr>
        <w:t>a fin de terminar</w:t>
      </w:r>
      <w:r w:rsidRPr="00465BB0">
        <w:rPr>
          <w:lang w:val="es-ES"/>
        </w:rPr>
        <w:t xml:space="preserve"> la eliminación del consumo de HCFC, por un </w:t>
      </w:r>
      <w:r w:rsidR="00F756A3">
        <w:rPr>
          <w:lang w:val="es-ES"/>
        </w:rPr>
        <w:t>monto</w:t>
      </w:r>
      <w:r w:rsidRPr="00465BB0">
        <w:rPr>
          <w:lang w:val="es-ES"/>
        </w:rPr>
        <w:t xml:space="preserve"> de 1</w:t>
      </w:r>
      <w:r w:rsidR="003C1A5A">
        <w:rPr>
          <w:lang w:val="es-ES"/>
        </w:rPr>
        <w:t> </w:t>
      </w:r>
      <w:r w:rsidRPr="00465BB0">
        <w:rPr>
          <w:lang w:val="es-ES"/>
        </w:rPr>
        <w:t>237</w:t>
      </w:r>
      <w:r w:rsidR="003C1A5A">
        <w:rPr>
          <w:lang w:val="es-ES"/>
        </w:rPr>
        <w:t> </w:t>
      </w:r>
      <w:r w:rsidRPr="00465BB0">
        <w:rPr>
          <w:lang w:val="es-ES"/>
        </w:rPr>
        <w:t xml:space="preserve">750 </w:t>
      </w:r>
      <w:r w:rsidR="00DA77EE" w:rsidRPr="00B204B0">
        <w:rPr>
          <w:lang w:val="es-ES"/>
        </w:rPr>
        <w:t>$</w:t>
      </w:r>
      <w:r w:rsidR="00DA77EE">
        <w:rPr>
          <w:lang w:val="es-ES"/>
        </w:rPr>
        <w:t>EUA</w:t>
      </w:r>
      <w:r w:rsidRPr="00465BB0">
        <w:rPr>
          <w:lang w:val="es-ES"/>
        </w:rPr>
        <w:t xml:space="preserve">, </w:t>
      </w:r>
      <w:r w:rsidR="00DB741B">
        <w:rPr>
          <w:lang w:val="es-ES"/>
        </w:rPr>
        <w:t xml:space="preserve"> que se desglosa en</w:t>
      </w:r>
      <w:r w:rsidRPr="00465BB0">
        <w:rPr>
          <w:lang w:val="es-ES"/>
        </w:rPr>
        <w:t xml:space="preserve"> 600</w:t>
      </w:r>
      <w:r w:rsidR="00DA77EE">
        <w:rPr>
          <w:lang w:val="es-ES"/>
        </w:rPr>
        <w:t xml:space="preserve"> </w:t>
      </w:r>
      <w:r w:rsidRPr="00465BB0">
        <w:rPr>
          <w:lang w:val="es-ES"/>
        </w:rPr>
        <w:t xml:space="preserve">000 </w:t>
      </w:r>
      <w:r w:rsidR="00DA77EE" w:rsidRPr="00B204B0">
        <w:rPr>
          <w:lang w:val="es-ES"/>
        </w:rPr>
        <w:t>$</w:t>
      </w:r>
      <w:r w:rsidR="00DA77EE">
        <w:rPr>
          <w:lang w:val="es-ES"/>
        </w:rPr>
        <w:t>EUA</w:t>
      </w:r>
      <w:r w:rsidRPr="00465BB0">
        <w:rPr>
          <w:lang w:val="es-ES"/>
        </w:rPr>
        <w:t xml:space="preserve">, más los </w:t>
      </w:r>
      <w:r w:rsidR="00DB741B">
        <w:rPr>
          <w:lang w:val="es-ES"/>
        </w:rPr>
        <w:t>gastos</w:t>
      </w:r>
      <w:r w:rsidRPr="00465BB0">
        <w:rPr>
          <w:lang w:val="es-ES"/>
        </w:rPr>
        <w:t xml:space="preserve"> de apoyo </w:t>
      </w:r>
      <w:r w:rsidR="00DA77EE">
        <w:rPr>
          <w:lang w:val="es-ES"/>
        </w:rPr>
        <w:t>al organismo</w:t>
      </w:r>
      <w:r w:rsidRPr="00465BB0">
        <w:rPr>
          <w:lang w:val="es-ES"/>
        </w:rPr>
        <w:t xml:space="preserve">, </w:t>
      </w:r>
      <w:r w:rsidR="00DB741B">
        <w:rPr>
          <w:lang w:val="es-ES"/>
        </w:rPr>
        <w:t>para</w:t>
      </w:r>
      <w:r w:rsidRPr="00465BB0">
        <w:rPr>
          <w:lang w:val="es-ES"/>
        </w:rPr>
        <w:t xml:space="preserve"> </w:t>
      </w:r>
      <w:r w:rsidR="00DB741B">
        <w:rPr>
          <w:lang w:val="es-ES"/>
        </w:rPr>
        <w:t>e</w:t>
      </w:r>
      <w:r w:rsidRPr="00465BB0">
        <w:rPr>
          <w:lang w:val="es-ES"/>
        </w:rPr>
        <w:t xml:space="preserve">l PNUMA, y </w:t>
      </w:r>
      <w:r w:rsidR="00DB741B">
        <w:rPr>
          <w:lang w:val="es-ES"/>
        </w:rPr>
        <w:t xml:space="preserve">en </w:t>
      </w:r>
      <w:r w:rsidRPr="00465BB0">
        <w:rPr>
          <w:lang w:val="es-ES"/>
        </w:rPr>
        <w:t>525</w:t>
      </w:r>
      <w:r w:rsidR="00DA77EE">
        <w:rPr>
          <w:lang w:val="es-ES"/>
        </w:rPr>
        <w:t xml:space="preserve"> </w:t>
      </w:r>
      <w:r w:rsidRPr="00465BB0">
        <w:rPr>
          <w:lang w:val="es-ES"/>
        </w:rPr>
        <w:t xml:space="preserve">000 </w:t>
      </w:r>
      <w:r w:rsidR="00DA77EE" w:rsidRPr="00B204B0">
        <w:rPr>
          <w:lang w:val="es-ES"/>
        </w:rPr>
        <w:t>$</w:t>
      </w:r>
      <w:r w:rsidR="00DA77EE">
        <w:rPr>
          <w:lang w:val="es-ES"/>
        </w:rPr>
        <w:t>EUA</w:t>
      </w:r>
      <w:r w:rsidRPr="00465BB0">
        <w:rPr>
          <w:lang w:val="es-ES"/>
        </w:rPr>
        <w:t xml:space="preserve">, más los </w:t>
      </w:r>
      <w:r w:rsidR="00DB741B">
        <w:rPr>
          <w:lang w:val="es-ES"/>
        </w:rPr>
        <w:t>gastos</w:t>
      </w:r>
      <w:r w:rsidRPr="00465BB0">
        <w:rPr>
          <w:lang w:val="es-ES"/>
        </w:rPr>
        <w:t xml:space="preserve"> de apoyo </w:t>
      </w:r>
      <w:r w:rsidR="00DA77EE">
        <w:rPr>
          <w:lang w:val="es-ES"/>
        </w:rPr>
        <w:t>organismo</w:t>
      </w:r>
      <w:r w:rsidRPr="00465BB0">
        <w:rPr>
          <w:lang w:val="es-ES"/>
        </w:rPr>
        <w:t xml:space="preserve">, </w:t>
      </w:r>
      <w:r w:rsidR="00DB741B">
        <w:rPr>
          <w:lang w:val="es-ES"/>
        </w:rPr>
        <w:t>para e</w:t>
      </w:r>
      <w:r w:rsidRPr="00465BB0">
        <w:rPr>
          <w:lang w:val="es-ES"/>
        </w:rPr>
        <w:t xml:space="preserve">l PNUD, </w:t>
      </w:r>
      <w:r w:rsidR="00315D8D">
        <w:rPr>
          <w:lang w:val="es-ES"/>
        </w:rPr>
        <w:t>a condición de que el Fondo Multilateral</w:t>
      </w:r>
      <w:r w:rsidRPr="00465BB0">
        <w:rPr>
          <w:lang w:val="es-ES"/>
        </w:rPr>
        <w:t xml:space="preserve"> no se proporcion</w:t>
      </w:r>
      <w:r w:rsidR="0005205F">
        <w:rPr>
          <w:lang w:val="es-ES"/>
        </w:rPr>
        <w:t>e</w:t>
      </w:r>
      <w:r w:rsidRPr="00465BB0">
        <w:rPr>
          <w:lang w:val="es-ES"/>
        </w:rPr>
        <w:t xml:space="preserve"> más financiación</w:t>
      </w:r>
      <w:r w:rsidR="0005205F">
        <w:rPr>
          <w:lang w:val="es-ES"/>
        </w:rPr>
        <w:t xml:space="preserve"> </w:t>
      </w:r>
      <w:r w:rsidRPr="00465BB0">
        <w:rPr>
          <w:lang w:val="es-ES"/>
        </w:rPr>
        <w:t>para elimina</w:t>
      </w:r>
      <w:r w:rsidR="0005205F">
        <w:rPr>
          <w:lang w:val="es-ES"/>
        </w:rPr>
        <w:t>r</w:t>
      </w:r>
      <w:r w:rsidRPr="00465BB0">
        <w:rPr>
          <w:lang w:val="es-ES"/>
        </w:rPr>
        <w:t xml:space="preserve"> </w:t>
      </w:r>
      <w:r w:rsidR="0005205F">
        <w:rPr>
          <w:lang w:val="es-ES"/>
        </w:rPr>
        <w:t>los</w:t>
      </w:r>
      <w:r w:rsidRPr="00465BB0">
        <w:rPr>
          <w:lang w:val="es-ES"/>
        </w:rPr>
        <w:t xml:space="preserve"> </w:t>
      </w:r>
      <w:r w:rsidR="008933CC" w:rsidRPr="00465BB0">
        <w:rPr>
          <w:lang w:val="es-ES"/>
        </w:rPr>
        <w:t xml:space="preserve">HCFC; </w:t>
      </w:r>
    </w:p>
    <w:p w14:paraId="07AA27EB" w14:textId="0340A561" w:rsidR="008933CC" w:rsidRPr="00A11A47" w:rsidRDefault="00A11A47" w:rsidP="003C1A5A">
      <w:pPr>
        <w:pStyle w:val="Heading2"/>
        <w:rPr>
          <w:lang w:val="es-ES"/>
        </w:rPr>
      </w:pPr>
      <w:r w:rsidRPr="00A11A47">
        <w:rPr>
          <w:lang w:val="es-ES"/>
        </w:rPr>
        <w:t xml:space="preserve">Tomar nota del compromiso del Gobierno de la República Democrática del </w:t>
      </w:r>
      <w:r w:rsidR="008933CC" w:rsidRPr="00A11A47">
        <w:rPr>
          <w:lang w:val="es-ES"/>
        </w:rPr>
        <w:t>Congo:</w:t>
      </w:r>
    </w:p>
    <w:p w14:paraId="25CA0477" w14:textId="795C5E45" w:rsidR="008933CC" w:rsidRPr="00194244" w:rsidRDefault="00194244" w:rsidP="003C1A5A">
      <w:pPr>
        <w:pStyle w:val="Heading3"/>
        <w:rPr>
          <w:lang w:val="es-ES"/>
        </w:rPr>
      </w:pPr>
      <w:r w:rsidRPr="00194244">
        <w:rPr>
          <w:lang w:val="es-ES"/>
        </w:rPr>
        <w:t xml:space="preserve">Eliminar completamente los HCFC para el 1 de enero de 2030 y prohibir la importación de HCFC para el 1 de enero de 2030, excepto los permitidos para una </w:t>
      </w:r>
      <w:r w:rsidR="00F47605">
        <w:rPr>
          <w:lang w:val="es-ES"/>
        </w:rPr>
        <w:t>reserva de mantenimiento</w:t>
      </w:r>
      <w:r w:rsidRPr="00194244">
        <w:rPr>
          <w:lang w:val="es-ES"/>
        </w:rPr>
        <w:t xml:space="preserve"> entre 2030 y 2040, </w:t>
      </w:r>
      <w:r w:rsidR="000047D6">
        <w:rPr>
          <w:lang w:val="es-ES"/>
        </w:rPr>
        <w:t>donde se requiera</w:t>
      </w:r>
      <w:r w:rsidRPr="00194244">
        <w:rPr>
          <w:lang w:val="es-ES"/>
        </w:rPr>
        <w:t>, de conformidad con las disposiciones del Protocolo de Montreal</w:t>
      </w:r>
      <w:r w:rsidR="008933CC" w:rsidRPr="00194244">
        <w:rPr>
          <w:lang w:val="es-ES"/>
        </w:rPr>
        <w:t>;</w:t>
      </w:r>
    </w:p>
    <w:p w14:paraId="521A1582" w14:textId="1E7DD926" w:rsidR="008933CC" w:rsidRPr="00941D6A" w:rsidRDefault="00941D6A" w:rsidP="003C1A5A">
      <w:pPr>
        <w:pStyle w:val="Heading3"/>
        <w:rPr>
          <w:lang w:val="es-ES"/>
        </w:rPr>
      </w:pPr>
      <w:r w:rsidRPr="00941D6A">
        <w:rPr>
          <w:lang w:val="es-ES"/>
        </w:rPr>
        <w:t xml:space="preserve">Prohibir la importación de equipos </w:t>
      </w:r>
      <w:r w:rsidR="005465FC">
        <w:rPr>
          <w:lang w:val="es-ES"/>
        </w:rPr>
        <w:t>que utilizan</w:t>
      </w:r>
      <w:r w:rsidRPr="00941D6A">
        <w:rPr>
          <w:lang w:val="es-ES"/>
        </w:rPr>
        <w:t xml:space="preserve"> HCFC </w:t>
      </w:r>
      <w:r w:rsidR="005465FC">
        <w:rPr>
          <w:lang w:val="es-ES"/>
        </w:rPr>
        <w:t xml:space="preserve">para </w:t>
      </w:r>
      <w:r w:rsidRPr="00941D6A">
        <w:rPr>
          <w:lang w:val="es-ES"/>
        </w:rPr>
        <w:t>el 1 de enero de 2024</w:t>
      </w:r>
      <w:r w:rsidR="008933CC" w:rsidRPr="00941D6A">
        <w:rPr>
          <w:lang w:val="es-ES"/>
        </w:rPr>
        <w:t>;</w:t>
      </w:r>
    </w:p>
    <w:p w14:paraId="4DB7F29E" w14:textId="6AA56F84" w:rsidR="008933CC" w:rsidRPr="001F5DC4" w:rsidRDefault="001F5DC4" w:rsidP="003C1A5A">
      <w:pPr>
        <w:pStyle w:val="Heading3"/>
        <w:rPr>
          <w:lang w:val="es-ES"/>
        </w:rPr>
      </w:pPr>
      <w:r w:rsidRPr="001F5DC4">
        <w:rPr>
          <w:lang w:val="es-ES"/>
        </w:rPr>
        <w:t xml:space="preserve">Establecer medidas reglamentarias para controlar las emisiones previstas de refrigerante durante la instalación, el mantenimiento y el desmantelamiento de las instalaciones </w:t>
      </w:r>
      <w:r w:rsidR="002110C6">
        <w:rPr>
          <w:lang w:val="es-ES"/>
        </w:rPr>
        <w:t xml:space="preserve">para </w:t>
      </w:r>
      <w:r w:rsidRPr="001F5DC4">
        <w:rPr>
          <w:lang w:val="es-ES"/>
        </w:rPr>
        <w:t>el 1 de enero de 2024</w:t>
      </w:r>
      <w:r w:rsidR="008933CC" w:rsidRPr="001F5DC4">
        <w:rPr>
          <w:lang w:val="es-ES"/>
        </w:rPr>
        <w:t>;</w:t>
      </w:r>
    </w:p>
    <w:p w14:paraId="24E381CC" w14:textId="3EEAC890" w:rsidR="008933CC" w:rsidRPr="00A32D83" w:rsidRDefault="002110C6" w:rsidP="003C1A5A">
      <w:pPr>
        <w:pStyle w:val="Heading2"/>
        <w:rPr>
          <w:lang w:val="es-ES"/>
        </w:rPr>
      </w:pPr>
      <w:r>
        <w:rPr>
          <w:lang w:val="es-ES"/>
        </w:rPr>
        <w:t>Descontar</w:t>
      </w:r>
      <w:r w:rsidR="00A32D83" w:rsidRPr="00A32D83">
        <w:rPr>
          <w:lang w:val="es-ES"/>
        </w:rPr>
        <w:t xml:space="preserve"> 11,20 toneladas PAO de HCFC del consumo </w:t>
      </w:r>
      <w:r w:rsidR="00003C30">
        <w:rPr>
          <w:lang w:val="es-ES"/>
        </w:rPr>
        <w:t>remanente</w:t>
      </w:r>
      <w:r w:rsidR="00A32D83" w:rsidRPr="00A32D83">
        <w:rPr>
          <w:lang w:val="es-ES"/>
        </w:rPr>
        <w:t xml:space="preserve"> de HCFC admisible para su financiación</w:t>
      </w:r>
      <w:r w:rsidR="008933CC" w:rsidRPr="00A32D83">
        <w:rPr>
          <w:lang w:val="es-ES"/>
        </w:rPr>
        <w:t>;</w:t>
      </w:r>
    </w:p>
    <w:p w14:paraId="46F74640" w14:textId="49419175" w:rsidR="008933CC" w:rsidRPr="00DA486D" w:rsidRDefault="00DA486D" w:rsidP="003C1A5A">
      <w:pPr>
        <w:widowControl w:val="0"/>
        <w:numPr>
          <w:ilvl w:val="1"/>
          <w:numId w:val="1"/>
        </w:numPr>
        <w:spacing w:after="240"/>
        <w:outlineLvl w:val="1"/>
        <w:rPr>
          <w:lang w:val="es-ES"/>
        </w:rPr>
      </w:pPr>
      <w:r w:rsidRPr="00DA486D">
        <w:rPr>
          <w:lang w:val="es-ES"/>
        </w:rPr>
        <w:t xml:space="preserve">Aprobar el proyecto de </w:t>
      </w:r>
      <w:r w:rsidR="00003C30">
        <w:rPr>
          <w:lang w:val="es-ES"/>
        </w:rPr>
        <w:t>a</w:t>
      </w:r>
      <w:r w:rsidRPr="00DA486D">
        <w:rPr>
          <w:lang w:val="es-ES"/>
        </w:rPr>
        <w:t>cuerdo entre el Gobierno de la República Democrática del Congo y el Comité Ejecutivo para la reducción del consumo de HCFC, con arreglo a lo previsto en la etapa II del plan de gestión de la eliminación de los HCFC, que figura en el Anexo</w:t>
      </w:r>
      <w:r w:rsidR="003C1A5A">
        <w:rPr>
          <w:lang w:val="es-ES"/>
        </w:rPr>
        <w:t> </w:t>
      </w:r>
      <w:r w:rsidRPr="00DA486D">
        <w:rPr>
          <w:lang w:val="es-ES"/>
        </w:rPr>
        <w:t>I</w:t>
      </w:r>
      <w:r w:rsidR="003C1A5A">
        <w:rPr>
          <w:lang w:val="es-ES"/>
        </w:rPr>
        <w:t> </w:t>
      </w:r>
      <w:r w:rsidRPr="00DA486D">
        <w:rPr>
          <w:lang w:val="es-ES"/>
        </w:rPr>
        <w:t>al presente documento</w:t>
      </w:r>
      <w:r w:rsidR="008933CC" w:rsidRPr="00DA486D">
        <w:rPr>
          <w:lang w:val="es-ES"/>
        </w:rPr>
        <w:t xml:space="preserve">; </w:t>
      </w:r>
    </w:p>
    <w:p w14:paraId="174EE89C" w14:textId="1AD92A09" w:rsidR="008933CC" w:rsidRPr="00077F00" w:rsidRDefault="00077F00" w:rsidP="003C1A5A">
      <w:pPr>
        <w:pStyle w:val="Heading2"/>
        <w:rPr>
          <w:lang w:val="es-ES"/>
        </w:rPr>
      </w:pPr>
      <w:r w:rsidRPr="00077F00">
        <w:rPr>
          <w:lang w:val="es-ES"/>
        </w:rPr>
        <w:t xml:space="preserve">Que, para permitir el examen del tramo final de su plan de gestión de la eliminación de los HCFC, el Gobierno de la República Democrática del Congo </w:t>
      </w:r>
      <w:r w:rsidR="00A63EA9">
        <w:rPr>
          <w:lang w:val="es-ES"/>
        </w:rPr>
        <w:t>debería presentar</w:t>
      </w:r>
      <w:r w:rsidR="008933CC" w:rsidRPr="00077F00">
        <w:rPr>
          <w:lang w:val="es-ES"/>
        </w:rPr>
        <w:t>:</w:t>
      </w:r>
    </w:p>
    <w:p w14:paraId="493E569A" w14:textId="30906588" w:rsidR="008933CC" w:rsidRPr="00A00A8A" w:rsidRDefault="00A00A8A" w:rsidP="003C1A5A">
      <w:pPr>
        <w:widowControl w:val="0"/>
        <w:numPr>
          <w:ilvl w:val="2"/>
          <w:numId w:val="1"/>
        </w:numPr>
        <w:spacing w:after="240"/>
        <w:outlineLvl w:val="2"/>
        <w:rPr>
          <w:lang w:val="es-ES"/>
        </w:rPr>
      </w:pPr>
      <w:r w:rsidRPr="00A00A8A">
        <w:rPr>
          <w:lang w:val="es-ES"/>
        </w:rPr>
        <w:t xml:space="preserve">Una descripción detallada del marco </w:t>
      </w:r>
      <w:r w:rsidR="00A63EA9">
        <w:rPr>
          <w:lang w:val="es-ES"/>
        </w:rPr>
        <w:t>reglamentario</w:t>
      </w:r>
      <w:r w:rsidRPr="00A00A8A">
        <w:rPr>
          <w:lang w:val="es-ES"/>
        </w:rPr>
        <w:t xml:space="preserve"> y </w:t>
      </w:r>
      <w:r w:rsidR="00B64B68">
        <w:rPr>
          <w:lang w:val="es-ES"/>
        </w:rPr>
        <w:t>normativo</w:t>
      </w:r>
      <w:r w:rsidRPr="00A00A8A">
        <w:rPr>
          <w:lang w:val="es-ES"/>
        </w:rPr>
        <w:t xml:space="preserve"> vigente para la aplicación de medidas que garanticen que el consumo de HCFC se ajusta a lo dispuesto en el </w:t>
      </w:r>
      <w:r w:rsidR="0076519D">
        <w:rPr>
          <w:lang w:val="es-ES"/>
        </w:rPr>
        <w:t>apartado</w:t>
      </w:r>
      <w:r w:rsidR="001544CD" w:rsidRPr="00270229">
        <w:rPr>
          <w:lang w:val="es-ES"/>
        </w:rPr>
        <w:t xml:space="preserve"> 8 ter e) i) </w:t>
      </w:r>
      <w:r w:rsidRPr="00270229">
        <w:rPr>
          <w:lang w:val="es-ES"/>
        </w:rPr>
        <w:t xml:space="preserve">del </w:t>
      </w:r>
      <w:r w:rsidR="001544CD" w:rsidRPr="00270229">
        <w:rPr>
          <w:lang w:val="es-ES"/>
        </w:rPr>
        <w:t>A</w:t>
      </w:r>
      <w:r w:rsidRPr="00270229">
        <w:rPr>
          <w:lang w:val="es-ES"/>
        </w:rPr>
        <w:t>rtículo 5</w:t>
      </w:r>
      <w:r w:rsidRPr="00A00A8A">
        <w:rPr>
          <w:lang w:val="es-ES"/>
        </w:rPr>
        <w:t xml:space="preserve"> del Protocolo de Montreal para el período 2030 2040</w:t>
      </w:r>
      <w:r w:rsidR="008933CC" w:rsidRPr="00A00A8A">
        <w:rPr>
          <w:lang w:val="es-ES"/>
        </w:rPr>
        <w:t xml:space="preserve">; </w:t>
      </w:r>
    </w:p>
    <w:p w14:paraId="778D390B" w14:textId="4F0B7831" w:rsidR="008933CC" w:rsidRPr="00E63816" w:rsidRDefault="00E63816" w:rsidP="003C1A5A">
      <w:pPr>
        <w:pStyle w:val="Heading3"/>
        <w:rPr>
          <w:lang w:val="es-ES"/>
        </w:rPr>
      </w:pPr>
      <w:r w:rsidRPr="00E63816">
        <w:rPr>
          <w:lang w:val="es-ES"/>
        </w:rPr>
        <w:lastRenderedPageBreak/>
        <w:t xml:space="preserve">El consumo anual </w:t>
      </w:r>
      <w:r w:rsidR="00847455">
        <w:rPr>
          <w:lang w:val="es-ES"/>
        </w:rPr>
        <w:t xml:space="preserve">previsto de los </w:t>
      </w:r>
      <w:r w:rsidRPr="00E63816">
        <w:rPr>
          <w:lang w:val="es-ES"/>
        </w:rPr>
        <w:t xml:space="preserve">HCFC en la República Democrática del Congo para el período 2030-2040; y </w:t>
      </w:r>
    </w:p>
    <w:p w14:paraId="7FD258CC" w14:textId="71DD1E73" w:rsidR="008933CC" w:rsidRPr="00EA684E" w:rsidRDefault="00EA684E" w:rsidP="003C1A5A">
      <w:pPr>
        <w:widowControl w:val="0"/>
        <w:numPr>
          <w:ilvl w:val="1"/>
          <w:numId w:val="1"/>
        </w:numPr>
        <w:spacing w:after="240"/>
        <w:outlineLvl w:val="1"/>
        <w:rPr>
          <w:lang w:val="es-ES"/>
        </w:rPr>
      </w:pPr>
      <w:r w:rsidRPr="00EA684E">
        <w:rPr>
          <w:lang w:val="es-ES"/>
        </w:rPr>
        <w:t>Aprobar el primer tramo de la etapa II del plan de gestión de la eliminación de los HCFC para la República Democrática del Congo, y los correspondientes planes de ejecución de los tramos, por un monto de 390</w:t>
      </w:r>
      <w:r w:rsidR="00663805">
        <w:rPr>
          <w:lang w:val="es-ES"/>
        </w:rPr>
        <w:t xml:space="preserve"> </w:t>
      </w:r>
      <w:r w:rsidRPr="00EA684E">
        <w:rPr>
          <w:lang w:val="es-ES"/>
        </w:rPr>
        <w:t xml:space="preserve">993 </w:t>
      </w:r>
      <w:r w:rsidR="00663805" w:rsidRPr="00B204B0">
        <w:rPr>
          <w:lang w:val="es-ES"/>
        </w:rPr>
        <w:t>$</w:t>
      </w:r>
      <w:r w:rsidR="00663805">
        <w:rPr>
          <w:lang w:val="es-ES"/>
        </w:rPr>
        <w:t>EUA</w:t>
      </w:r>
      <w:r w:rsidRPr="00EA684E">
        <w:rPr>
          <w:lang w:val="es-ES"/>
        </w:rPr>
        <w:t xml:space="preserve">, que </w:t>
      </w:r>
      <w:r w:rsidR="00663805">
        <w:rPr>
          <w:lang w:val="es-ES"/>
        </w:rPr>
        <w:t>comprende</w:t>
      </w:r>
      <w:r w:rsidRPr="00EA684E">
        <w:rPr>
          <w:lang w:val="es-ES"/>
        </w:rPr>
        <w:t xml:space="preserve"> 140</w:t>
      </w:r>
      <w:r w:rsidR="00663805">
        <w:rPr>
          <w:lang w:val="es-ES"/>
        </w:rPr>
        <w:t xml:space="preserve"> </w:t>
      </w:r>
      <w:r w:rsidRPr="00EA684E">
        <w:rPr>
          <w:lang w:val="es-ES"/>
        </w:rPr>
        <w:t xml:space="preserve">000 </w:t>
      </w:r>
      <w:r w:rsidR="00663805" w:rsidRPr="00B204B0">
        <w:rPr>
          <w:lang w:val="es-ES"/>
        </w:rPr>
        <w:t>$</w:t>
      </w:r>
      <w:r w:rsidR="00663805">
        <w:rPr>
          <w:lang w:val="es-ES"/>
        </w:rPr>
        <w:t>EUA</w:t>
      </w:r>
      <w:r w:rsidRPr="00EA684E">
        <w:rPr>
          <w:lang w:val="es-ES"/>
        </w:rPr>
        <w:t xml:space="preserve">, más </w:t>
      </w:r>
      <w:r w:rsidR="00663805">
        <w:rPr>
          <w:lang w:val="es-ES"/>
        </w:rPr>
        <w:t xml:space="preserve">los </w:t>
      </w:r>
      <w:r w:rsidRPr="00EA684E">
        <w:rPr>
          <w:lang w:val="es-ES"/>
        </w:rPr>
        <w:t xml:space="preserve">gastos de apoyo </w:t>
      </w:r>
      <w:r w:rsidR="00663805">
        <w:rPr>
          <w:lang w:val="es-ES"/>
        </w:rPr>
        <w:t xml:space="preserve">al organismo </w:t>
      </w:r>
      <w:r w:rsidR="003F49BC">
        <w:rPr>
          <w:lang w:val="es-ES"/>
        </w:rPr>
        <w:t>d</w:t>
      </w:r>
      <w:r w:rsidRPr="00EA684E">
        <w:rPr>
          <w:lang w:val="es-ES"/>
        </w:rPr>
        <w:t>e 17</w:t>
      </w:r>
      <w:r w:rsidR="003F49BC">
        <w:rPr>
          <w:lang w:val="es-ES"/>
        </w:rPr>
        <w:t xml:space="preserve"> </w:t>
      </w:r>
      <w:r w:rsidRPr="00EA684E">
        <w:rPr>
          <w:lang w:val="es-ES"/>
        </w:rPr>
        <w:t xml:space="preserve">733 </w:t>
      </w:r>
      <w:r w:rsidR="003F49BC" w:rsidRPr="00B204B0">
        <w:rPr>
          <w:lang w:val="es-ES"/>
        </w:rPr>
        <w:t>$</w:t>
      </w:r>
      <w:r w:rsidR="003F49BC">
        <w:rPr>
          <w:lang w:val="es-ES"/>
        </w:rPr>
        <w:t>EUA</w:t>
      </w:r>
      <w:r w:rsidR="003F49BC" w:rsidRPr="00EA684E">
        <w:rPr>
          <w:lang w:val="es-ES"/>
        </w:rPr>
        <w:t xml:space="preserve"> </w:t>
      </w:r>
      <w:r w:rsidRPr="00EA684E">
        <w:rPr>
          <w:lang w:val="es-ES"/>
        </w:rPr>
        <w:t>para el PNUMA, y 218</w:t>
      </w:r>
      <w:r w:rsidR="003F49BC">
        <w:rPr>
          <w:lang w:val="es-ES"/>
        </w:rPr>
        <w:t> </w:t>
      </w:r>
      <w:r w:rsidRPr="00EA684E">
        <w:rPr>
          <w:lang w:val="es-ES"/>
        </w:rPr>
        <w:t>000</w:t>
      </w:r>
      <w:r w:rsidR="003F49BC">
        <w:rPr>
          <w:lang w:val="es-ES"/>
        </w:rPr>
        <w:t xml:space="preserve"> </w:t>
      </w:r>
      <w:r w:rsidR="003F49BC" w:rsidRPr="00B204B0">
        <w:rPr>
          <w:lang w:val="es-ES"/>
        </w:rPr>
        <w:t>$</w:t>
      </w:r>
      <w:r w:rsidR="003F49BC">
        <w:rPr>
          <w:lang w:val="es-ES"/>
        </w:rPr>
        <w:t>EUA</w:t>
      </w:r>
      <w:r w:rsidRPr="00EA684E">
        <w:rPr>
          <w:lang w:val="es-ES"/>
        </w:rPr>
        <w:t xml:space="preserve">, más </w:t>
      </w:r>
      <w:r w:rsidR="003F49BC">
        <w:rPr>
          <w:lang w:val="es-ES"/>
        </w:rPr>
        <w:t xml:space="preserve">los </w:t>
      </w:r>
      <w:r w:rsidRPr="00EA684E">
        <w:rPr>
          <w:lang w:val="es-ES"/>
        </w:rPr>
        <w:t xml:space="preserve">gastos de apoyo </w:t>
      </w:r>
      <w:r w:rsidR="003F49BC">
        <w:rPr>
          <w:lang w:val="es-ES"/>
        </w:rPr>
        <w:t>al organismo</w:t>
      </w:r>
      <w:r w:rsidRPr="00EA684E">
        <w:rPr>
          <w:lang w:val="es-ES"/>
        </w:rPr>
        <w:t xml:space="preserve"> de 15</w:t>
      </w:r>
      <w:r w:rsidR="003F49BC">
        <w:rPr>
          <w:lang w:val="es-ES"/>
        </w:rPr>
        <w:t xml:space="preserve"> </w:t>
      </w:r>
      <w:r w:rsidRPr="00EA684E">
        <w:rPr>
          <w:lang w:val="es-ES"/>
        </w:rPr>
        <w:t xml:space="preserve">260 </w:t>
      </w:r>
      <w:r w:rsidR="003F49BC" w:rsidRPr="00B204B0">
        <w:rPr>
          <w:lang w:val="es-ES"/>
        </w:rPr>
        <w:t>$</w:t>
      </w:r>
      <w:r w:rsidR="003F49BC">
        <w:rPr>
          <w:lang w:val="es-ES"/>
        </w:rPr>
        <w:t>EUA</w:t>
      </w:r>
      <w:r w:rsidR="003F49BC" w:rsidRPr="00EA684E">
        <w:rPr>
          <w:lang w:val="es-ES"/>
        </w:rPr>
        <w:t xml:space="preserve"> </w:t>
      </w:r>
      <w:r w:rsidRPr="00EA684E">
        <w:rPr>
          <w:lang w:val="es-ES"/>
        </w:rPr>
        <w:t xml:space="preserve">para el PNUD, en el entendimiento de que el PNUD incluirá en el informe de situación asociado a la ejecución del primer tramo de la etapa II del plan de gestión de la eliminación de los HCFC, el resultado del estudio de viabilidad para el establecimiento del sistema de recuperación y </w:t>
      </w:r>
      <w:r w:rsidR="000D6E1A">
        <w:rPr>
          <w:lang w:val="es-ES"/>
        </w:rPr>
        <w:t>reciclado</w:t>
      </w:r>
      <w:r w:rsidRPr="00EA684E">
        <w:rPr>
          <w:lang w:val="es-ES"/>
        </w:rPr>
        <w:t xml:space="preserve"> en la República Democrática del Congo, incluido el modelo de negocio, las cantidades de refrigerante que se espera recuperar, y una indicación de la institución más idónea para operar los centros de </w:t>
      </w:r>
      <w:r w:rsidR="00112C30">
        <w:rPr>
          <w:lang w:val="es-ES"/>
        </w:rPr>
        <w:t>reciclado</w:t>
      </w:r>
      <w:r w:rsidR="008933CC" w:rsidRPr="00EA684E">
        <w:rPr>
          <w:lang w:val="es-ES"/>
        </w:rPr>
        <w:t>.</w:t>
      </w:r>
      <w:r w:rsidR="003F49BC">
        <w:rPr>
          <w:lang w:val="es-ES"/>
        </w:rPr>
        <w:t xml:space="preserve"> </w:t>
      </w:r>
    </w:p>
    <w:p w14:paraId="4282F477" w14:textId="77777777" w:rsidR="0087455A" w:rsidRPr="00EA684E" w:rsidRDefault="0087455A" w:rsidP="003C1A5A">
      <w:pPr>
        <w:pStyle w:val="StyleHeader4Para4Left0Firstline0"/>
        <w:numPr>
          <w:ilvl w:val="0"/>
          <w:numId w:val="0"/>
        </w:numPr>
        <w:rPr>
          <w:lang w:val="es-ES"/>
        </w:rPr>
      </w:pPr>
    </w:p>
    <w:p w14:paraId="34E958FD" w14:textId="77777777" w:rsidR="0087455A" w:rsidRPr="00EA684E" w:rsidRDefault="0024162E" w:rsidP="003C1A5A">
      <w:pPr>
        <w:pStyle w:val="StyleHeader4Para4Left0Firstline0"/>
        <w:numPr>
          <w:ilvl w:val="0"/>
          <w:numId w:val="0"/>
        </w:numPr>
        <w:rPr>
          <w:lang w:val="es-ES"/>
        </w:rPr>
      </w:pPr>
      <w:r w:rsidRPr="00EA684E">
        <w:rPr>
          <w:lang w:val="es-ES"/>
        </w:rPr>
        <w:br w:type="page"/>
      </w:r>
    </w:p>
    <w:p w14:paraId="7707C0FE" w14:textId="77777777" w:rsidR="0087455A" w:rsidRPr="00EA684E" w:rsidRDefault="0087455A">
      <w:pPr>
        <w:rPr>
          <w:lang w:val="es-ES"/>
        </w:rPr>
        <w:sectPr w:rsidR="0087455A" w:rsidRPr="00EA684E">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F137892" w14:textId="77777777" w:rsidR="00257E3C" w:rsidRDefault="00257E3C" w:rsidP="00554167">
      <w:pPr>
        <w:jc w:val="center"/>
        <w:rPr>
          <w:b/>
          <w:bCs/>
          <w:lang w:val="es-ES"/>
        </w:rPr>
      </w:pPr>
      <w:r>
        <w:rPr>
          <w:b/>
          <w:bCs/>
          <w:lang w:val="es-ES"/>
        </w:rPr>
        <w:lastRenderedPageBreak/>
        <w:t>Anexo I</w:t>
      </w:r>
    </w:p>
    <w:p w14:paraId="290585AE" w14:textId="77777777" w:rsidR="00257E3C" w:rsidRDefault="00257E3C" w:rsidP="00554167">
      <w:pPr>
        <w:jc w:val="center"/>
        <w:rPr>
          <w:b/>
          <w:bCs/>
          <w:lang w:val="es-ES"/>
        </w:rPr>
      </w:pPr>
    </w:p>
    <w:p w14:paraId="53E63BCD" w14:textId="3D39FB72" w:rsidR="00257E3C" w:rsidRDefault="00257E3C" w:rsidP="003C4F9A">
      <w:pPr>
        <w:jc w:val="center"/>
        <w:rPr>
          <w:b/>
          <w:bCs/>
          <w:lang w:val="es-ES"/>
        </w:rPr>
      </w:pPr>
      <w:r>
        <w:rPr>
          <w:b/>
          <w:bCs/>
          <w:lang w:val="es-ES"/>
        </w:rPr>
        <w:t xml:space="preserve">PROYECTO DE ACUERDO ENTRE EL GOBIERNO DE </w:t>
      </w:r>
      <w:r w:rsidRPr="001B45D7">
        <w:rPr>
          <w:b/>
          <w:bCs/>
          <w:lang w:val="es-ES"/>
        </w:rPr>
        <w:t xml:space="preserve">LA </w:t>
      </w:r>
      <w:r w:rsidR="003C4F9A" w:rsidRPr="00015724">
        <w:rPr>
          <w:b/>
          <w:lang w:val="es-ES"/>
        </w:rPr>
        <w:t xml:space="preserve">REPÚBLICA DEMOCRÁTICA </w:t>
      </w:r>
      <w:r w:rsidRPr="001B45D7">
        <w:rPr>
          <w:b/>
          <w:bCs/>
          <w:lang w:val="es-ES"/>
        </w:rPr>
        <w:t>DEL</w:t>
      </w:r>
      <w:r>
        <w:rPr>
          <w:b/>
          <w:lang w:val="es-AR"/>
        </w:rPr>
        <w:t xml:space="preserve"> CONGO </w:t>
      </w:r>
      <w:r>
        <w:rPr>
          <w:b/>
          <w:bCs/>
          <w:lang w:val="es-ES"/>
        </w:rPr>
        <w:t>Y EL COMITÉ EJECUTIVO DEL FONDO MULTILATERAL PARA LA REDUCCIÓN DEL CONSUMO DE HIDROCLOROFLUOROCARBONOS EN EL MARCO DE LA ETAPA II DEL PLAN DE GESTIÓN DE ELIMINACIÓN DE LOS HCFC</w:t>
      </w:r>
    </w:p>
    <w:p w14:paraId="42910E46" w14:textId="77777777" w:rsidR="00257E3C" w:rsidRDefault="00257E3C" w:rsidP="00554167">
      <w:pPr>
        <w:jc w:val="center"/>
        <w:rPr>
          <w:b/>
          <w:bCs/>
          <w:lang w:val="es-ES"/>
        </w:rPr>
      </w:pPr>
    </w:p>
    <w:p w14:paraId="51DD755C" w14:textId="77777777" w:rsidR="00257E3C" w:rsidRDefault="00257E3C" w:rsidP="00554167">
      <w:pPr>
        <w:rPr>
          <w:b/>
          <w:lang w:val="es-ES"/>
        </w:rPr>
      </w:pPr>
      <w:r>
        <w:rPr>
          <w:b/>
          <w:bCs/>
          <w:lang w:val="es-ES"/>
        </w:rPr>
        <w:t>Finalidad</w:t>
      </w:r>
    </w:p>
    <w:p w14:paraId="37EC33C6" w14:textId="77777777" w:rsidR="00257E3C" w:rsidRDefault="00257E3C" w:rsidP="00554167">
      <w:pPr>
        <w:rPr>
          <w:lang w:val="es-ES"/>
        </w:rPr>
      </w:pPr>
    </w:p>
    <w:p w14:paraId="7B8AF53D" w14:textId="77777777" w:rsidR="00257E3C" w:rsidRPr="00257E3C" w:rsidRDefault="00257E3C" w:rsidP="00257E3C">
      <w:pPr>
        <w:pStyle w:val="Heading1"/>
        <w:numPr>
          <w:ilvl w:val="0"/>
          <w:numId w:val="36"/>
        </w:numPr>
        <w:rPr>
          <w:lang w:val="es-ES"/>
        </w:rPr>
      </w:pPr>
      <w:r w:rsidRPr="00257E3C">
        <w:rPr>
          <w:lang w:val="es-ES"/>
        </w:rPr>
        <w:t>El presente Acuerdo representa el entendimiento a que han llegado el Gobierno de República Democrática del Congo (el “País”) y el Comité Ejecutivo con respecto a la reducción del uso controlado de las sustancias que agotan la capa de ozono (SAO) indicadas en el Apéndice 1</w:t>
      </w:r>
      <w:r w:rsidRPr="00257E3C">
        <w:rPr>
          <w:lang w:val="es-ES"/>
        </w:rPr>
        <w:noBreakHyphen/>
        <w:t xml:space="preserve">A (las “Sustancias”) hasta un nivel sostenido de cero toneladas PAO antes del 1 de enero de 2030 en cumplimiento del calendario del Protocolo de Montreal. </w:t>
      </w:r>
    </w:p>
    <w:p w14:paraId="1CEF1BD9" w14:textId="77777777" w:rsidR="00257E3C" w:rsidRDefault="00257E3C" w:rsidP="00554167">
      <w:pPr>
        <w:numPr>
          <w:ilvl w:val="0"/>
          <w:numId w:val="1"/>
        </w:numPr>
        <w:spacing w:after="240"/>
        <w:outlineLvl w:val="0"/>
        <w:rPr>
          <w:lang w:val="es-ES"/>
        </w:rPr>
      </w:pPr>
      <w:r>
        <w:rPr>
          <w:lang w:val="es-ES"/>
        </w:rPr>
        <w:t>El País conviene en cumplir con los límites anuales de consumo de las Sustancias tal como se establecen en la fila 1.2 del Apéndice 2</w:t>
      </w:r>
      <w:r>
        <w:rPr>
          <w:lang w:val="es-ES"/>
        </w:rPr>
        <w:noBreakHyphen/>
        <w:t>A (“Los Objetivos y la Financiación”) del presente Acuerdo, así como en el calendario de reducción del Protocolo de Montreal para todas las Sustancias mencionadas en el Apéndice 1</w:t>
      </w:r>
      <w:r>
        <w:rPr>
          <w:lang w:val="es-ES"/>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Pr>
          <w:lang w:val="es-ES"/>
        </w:rPr>
        <w:noBreakHyphen/>
        <w:t>A como medida de reducción final conforme a este Acuerdo para todas las Sustancias especificadas en el Apéndice 1</w:t>
      </w:r>
      <w:r>
        <w:rPr>
          <w:lang w:val="es-ES"/>
        </w:rPr>
        <w:noBreakHyphen/>
        <w:t>A y en relación con cualquier consumo de cada una de las Sustancias que supere el nivel definido en la fila</w:t>
      </w:r>
      <w:r>
        <w:rPr>
          <w:b/>
          <w:lang w:val="es-AR"/>
        </w:rPr>
        <w:t xml:space="preserve"> </w:t>
      </w:r>
      <w:r>
        <w:rPr>
          <w:lang w:val="es-ES"/>
        </w:rPr>
        <w:t> 4.1.3 (consumo restante admisible para la financiación).</w:t>
      </w:r>
    </w:p>
    <w:p w14:paraId="1C0C22E2" w14:textId="77777777" w:rsidR="00257E3C" w:rsidRDefault="00257E3C" w:rsidP="00554167">
      <w:pPr>
        <w:numPr>
          <w:ilvl w:val="0"/>
          <w:numId w:val="1"/>
        </w:numPr>
        <w:spacing w:after="240"/>
        <w:outlineLvl w:val="0"/>
        <w:rPr>
          <w:lang w:val="es-ES"/>
        </w:rPr>
      </w:pPr>
      <w:r>
        <w:rPr>
          <w:lang w:val="es-ES"/>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Pr>
          <w:lang w:val="es-ES"/>
        </w:rPr>
        <w:noBreakHyphen/>
        <w:t>A (“Calendario de Aprobación de la Financiación”).</w:t>
      </w:r>
    </w:p>
    <w:p w14:paraId="18A303C8" w14:textId="77777777" w:rsidR="00257E3C" w:rsidRDefault="00257E3C" w:rsidP="00554167">
      <w:pPr>
        <w:numPr>
          <w:ilvl w:val="0"/>
          <w:numId w:val="1"/>
        </w:numPr>
        <w:spacing w:after="240"/>
        <w:outlineLvl w:val="0"/>
        <w:rPr>
          <w:lang w:val="es-ES"/>
        </w:rPr>
      </w:pPr>
      <w:r>
        <w:rPr>
          <w:lang w:val="es-ES"/>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40D4D4AA" w14:textId="77777777" w:rsidR="00257E3C" w:rsidRDefault="00257E3C" w:rsidP="00554167">
      <w:pPr>
        <w:spacing w:after="240"/>
        <w:outlineLvl w:val="0"/>
        <w:rPr>
          <w:b/>
          <w:lang w:val="es-ES"/>
        </w:rPr>
      </w:pPr>
      <w:r>
        <w:rPr>
          <w:b/>
          <w:lang w:val="es-ES"/>
        </w:rPr>
        <w:t>Condiciones para la liberación de los fondos</w:t>
      </w:r>
    </w:p>
    <w:p w14:paraId="3FEF62C3" w14:textId="77777777" w:rsidR="00257E3C" w:rsidRDefault="00257E3C" w:rsidP="00554167">
      <w:pPr>
        <w:numPr>
          <w:ilvl w:val="0"/>
          <w:numId w:val="1"/>
        </w:numPr>
        <w:spacing w:after="240"/>
        <w:outlineLvl w:val="0"/>
        <w:rPr>
          <w:lang w:val="es-ES"/>
        </w:rPr>
      </w:pPr>
      <w:r>
        <w:rPr>
          <w:lang w:val="es-ES"/>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5DACA6FC" w14:textId="77777777" w:rsidR="00257E3C" w:rsidRDefault="00257E3C" w:rsidP="00554167">
      <w:pPr>
        <w:widowControl w:val="0"/>
        <w:numPr>
          <w:ilvl w:val="1"/>
          <w:numId w:val="1"/>
        </w:numPr>
        <w:spacing w:after="240"/>
        <w:outlineLvl w:val="1"/>
        <w:rPr>
          <w:lang w:val="es-ES"/>
        </w:rPr>
      </w:pPr>
      <w:r>
        <w:rPr>
          <w:lang w:val="es-ES"/>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438EEAB6" w14:textId="77777777" w:rsidR="00257E3C" w:rsidRDefault="00257E3C" w:rsidP="00B10609">
      <w:pPr>
        <w:keepNext/>
        <w:keepLines/>
        <w:widowControl w:val="0"/>
        <w:numPr>
          <w:ilvl w:val="1"/>
          <w:numId w:val="1"/>
        </w:numPr>
        <w:spacing w:after="240"/>
        <w:outlineLvl w:val="1"/>
        <w:rPr>
          <w:lang w:val="es-ES"/>
        </w:rPr>
      </w:pPr>
      <w:r>
        <w:rPr>
          <w:lang w:val="es-ES"/>
        </w:rPr>
        <w:lastRenderedPageBreak/>
        <w:t>Que el cumplimiento de estos Objetivos haya sido verificado independientemente para todos los años pertinentes, a menos que el Comité Ejecutivo decidiese que no se requiere dicha verificación;</w:t>
      </w:r>
    </w:p>
    <w:p w14:paraId="5CCF27CD" w14:textId="77777777" w:rsidR="00257E3C" w:rsidRDefault="00257E3C" w:rsidP="00554167">
      <w:pPr>
        <w:keepNext/>
        <w:keepLines/>
        <w:widowControl w:val="0"/>
        <w:numPr>
          <w:ilvl w:val="1"/>
          <w:numId w:val="1"/>
        </w:numPr>
        <w:spacing w:after="240"/>
        <w:outlineLvl w:val="1"/>
        <w:rPr>
          <w:lang w:val="es-ES"/>
        </w:rPr>
      </w:pPr>
      <w:r>
        <w:rPr>
          <w:lang w:val="es-ES"/>
        </w:rPr>
        <w:t>Que el País haya presentado un Informe de Ejecución de Tramos en el formulario del Apéndice 4</w:t>
      </w:r>
      <w:r>
        <w:rPr>
          <w:lang w:val="es-ES"/>
        </w:rPr>
        <w:noBreakHyphen/>
        <w:t>A (“Formato de informes y planes de ejecución de tramos”) que cubra cada año civil anterior; que haya logrado un nivel importante de ejecución de las actividades iniciadas con tramos aprobados anteriormente; y que la tasa de desembolso de financiación disponible del tramo aprobado anterior sea de más del 20 por ciento; y</w:t>
      </w:r>
    </w:p>
    <w:p w14:paraId="1236BB97" w14:textId="77777777" w:rsidR="00257E3C" w:rsidRDefault="00257E3C" w:rsidP="00554167">
      <w:pPr>
        <w:widowControl w:val="0"/>
        <w:numPr>
          <w:ilvl w:val="1"/>
          <w:numId w:val="1"/>
        </w:numPr>
        <w:spacing w:after="240"/>
        <w:outlineLvl w:val="1"/>
        <w:rPr>
          <w:lang w:val="es-ES"/>
        </w:rPr>
      </w:pPr>
      <w:r>
        <w:rPr>
          <w:lang w:val="es-ES"/>
        </w:rPr>
        <w:t>Que el País haya presentado un Plan de Ejecución de Tramos en el formulario del Apéndice 4</w:t>
      </w:r>
      <w:r>
        <w:rPr>
          <w:lang w:val="es-ES"/>
        </w:rPr>
        <w:noBreakHyphen/>
        <w:t>A para cada año civil hasta el año en que el calendario de financiación prevea la presentación del tramo siguiente, dicho año inclusive o, en el caso del último tramo, hasta que se hayan completado todas las actividades previstas.</w:t>
      </w:r>
    </w:p>
    <w:p w14:paraId="58C75AB5" w14:textId="77777777" w:rsidR="00257E3C" w:rsidRDefault="00257E3C" w:rsidP="00554167">
      <w:pPr>
        <w:widowControl w:val="0"/>
        <w:spacing w:after="240"/>
        <w:outlineLvl w:val="1"/>
        <w:rPr>
          <w:b/>
          <w:lang w:val="es-ES"/>
        </w:rPr>
      </w:pPr>
      <w:r>
        <w:rPr>
          <w:b/>
          <w:lang w:val="es-ES"/>
        </w:rPr>
        <w:t>Supervisión</w:t>
      </w:r>
    </w:p>
    <w:p w14:paraId="72EFBD33" w14:textId="77777777" w:rsidR="00257E3C" w:rsidRDefault="00257E3C" w:rsidP="00554167">
      <w:pPr>
        <w:numPr>
          <w:ilvl w:val="0"/>
          <w:numId w:val="1"/>
        </w:numPr>
        <w:spacing w:after="240"/>
        <w:outlineLvl w:val="0"/>
        <w:rPr>
          <w:lang w:val="es-ES"/>
        </w:rPr>
      </w:pPr>
      <w:r>
        <w:rPr>
          <w:lang w:val="es-ES"/>
        </w:rPr>
        <w:t>El País garantizará que realiza una supervisión precisa de sus actividades en virtud del presente Acuerdo. Las instituciones indicadas en el Apéndice 5</w:t>
      </w:r>
      <w:r>
        <w:rPr>
          <w:lang w:val="es-ES"/>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723A397F" w14:textId="77777777" w:rsidR="00257E3C" w:rsidRDefault="00257E3C" w:rsidP="00554167">
      <w:pPr>
        <w:spacing w:after="240"/>
        <w:outlineLvl w:val="0"/>
        <w:rPr>
          <w:b/>
          <w:lang w:val="es-ES"/>
        </w:rPr>
      </w:pPr>
      <w:r>
        <w:rPr>
          <w:b/>
          <w:lang w:val="es-ES"/>
        </w:rPr>
        <w:t>Flexibilidad para reasignación de fondos</w:t>
      </w:r>
    </w:p>
    <w:p w14:paraId="3EBCB399" w14:textId="77777777" w:rsidR="00257E3C" w:rsidRDefault="00257E3C" w:rsidP="00554167">
      <w:pPr>
        <w:numPr>
          <w:ilvl w:val="0"/>
          <w:numId w:val="1"/>
        </w:numPr>
        <w:spacing w:after="240"/>
        <w:outlineLvl w:val="0"/>
        <w:rPr>
          <w:lang w:val="es-ES"/>
        </w:rPr>
      </w:pPr>
      <w:r>
        <w:rPr>
          <w:lang w:val="es-ES"/>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Pr>
          <w:lang w:val="es-ES"/>
        </w:rPr>
        <w:noBreakHyphen/>
        <w:t>A:</w:t>
      </w:r>
    </w:p>
    <w:p w14:paraId="6842D52A" w14:textId="77777777" w:rsidR="00257E3C" w:rsidRDefault="00257E3C" w:rsidP="00554167">
      <w:pPr>
        <w:widowControl w:val="0"/>
        <w:numPr>
          <w:ilvl w:val="1"/>
          <w:numId w:val="1"/>
        </w:numPr>
        <w:spacing w:after="240"/>
        <w:outlineLvl w:val="1"/>
        <w:rPr>
          <w:lang w:val="es-ES"/>
        </w:rPr>
      </w:pPr>
      <w:r>
        <w:rPr>
          <w:lang w:val="es-ES"/>
        </w:rPr>
        <w:t>Las reasignaciones que se consideren cambios importantes deberán documentarse por adelantado, ya sea en un Plan de Ejecución de Tramo según lo descrito en el inciso 5 d) supra, o bien como una revisión de un Plan de Ejecución de Tramo existente a presentarse ocho semanas antes de cualquier reunión del Comité Ejecutivo para su aprobación. Los cambios importantes se relacionarían con:</w:t>
      </w:r>
    </w:p>
    <w:p w14:paraId="66F88B44" w14:textId="77777777" w:rsidR="00257E3C" w:rsidRDefault="00257E3C" w:rsidP="00554167">
      <w:pPr>
        <w:widowControl w:val="0"/>
        <w:numPr>
          <w:ilvl w:val="2"/>
          <w:numId w:val="1"/>
        </w:numPr>
        <w:spacing w:after="240"/>
        <w:outlineLvl w:val="2"/>
        <w:rPr>
          <w:lang w:val="es-ES"/>
        </w:rPr>
      </w:pPr>
      <w:r>
        <w:rPr>
          <w:lang w:val="es-ES"/>
        </w:rPr>
        <w:t xml:space="preserve">Asuntos que pudieran afectar al reglamento y las políticas del Fondo Multilateral; </w:t>
      </w:r>
    </w:p>
    <w:p w14:paraId="680395D4" w14:textId="77777777" w:rsidR="00257E3C" w:rsidRDefault="00257E3C" w:rsidP="00554167">
      <w:pPr>
        <w:widowControl w:val="0"/>
        <w:numPr>
          <w:ilvl w:val="2"/>
          <w:numId w:val="1"/>
        </w:numPr>
        <w:spacing w:after="240"/>
        <w:outlineLvl w:val="2"/>
        <w:rPr>
          <w:lang w:val="es-ES"/>
        </w:rPr>
      </w:pPr>
      <w:r>
        <w:rPr>
          <w:lang w:val="es-ES"/>
        </w:rPr>
        <w:t xml:space="preserve">Cambios que modificarían cualquier cláusula de este Acuerdo; </w:t>
      </w:r>
    </w:p>
    <w:p w14:paraId="6C97D5F5" w14:textId="77777777" w:rsidR="00257E3C" w:rsidRDefault="00257E3C" w:rsidP="00554167">
      <w:pPr>
        <w:widowControl w:val="0"/>
        <w:numPr>
          <w:ilvl w:val="2"/>
          <w:numId w:val="1"/>
        </w:numPr>
        <w:spacing w:after="240"/>
        <w:outlineLvl w:val="2"/>
        <w:rPr>
          <w:lang w:val="es-ES"/>
        </w:rPr>
      </w:pPr>
      <w:r>
        <w:rPr>
          <w:lang w:val="es-ES"/>
        </w:rPr>
        <w:t xml:space="preserve">Cambios en los niveles anuales de financiación asignados a organismos bilaterales o de ejecución individuales para los diferentes tramos; </w:t>
      </w:r>
    </w:p>
    <w:p w14:paraId="17F80015" w14:textId="77777777" w:rsidR="00257E3C" w:rsidRDefault="00257E3C" w:rsidP="00554167">
      <w:pPr>
        <w:widowControl w:val="0"/>
        <w:numPr>
          <w:ilvl w:val="2"/>
          <w:numId w:val="1"/>
        </w:numPr>
        <w:spacing w:after="240"/>
        <w:outlineLvl w:val="2"/>
        <w:rPr>
          <w:lang w:val="es-ES"/>
        </w:rPr>
      </w:pPr>
      <w:r>
        <w:rPr>
          <w:lang w:val="es-ES"/>
        </w:rPr>
        <w:t>Suministro de financiación para programas o actividades no incluidos en el Plan de Ejecución de Tramos avalado actual, o supresión de una actividad incluida en el Plan de Ejecución de Tramo, cuyo costo exceda el 30 por ciento del costo total del último tramo aprobado; y</w:t>
      </w:r>
    </w:p>
    <w:p w14:paraId="2027E4A5" w14:textId="77777777" w:rsidR="00257E3C" w:rsidRDefault="00257E3C" w:rsidP="00554167">
      <w:pPr>
        <w:widowControl w:val="0"/>
        <w:numPr>
          <w:ilvl w:val="2"/>
          <w:numId w:val="1"/>
        </w:numPr>
        <w:spacing w:after="240"/>
        <w:outlineLvl w:val="2"/>
        <w:rPr>
          <w:lang w:val="es-ES"/>
        </w:rPr>
      </w:pPr>
      <w:r>
        <w:rPr>
          <w:lang w:val="es-ES"/>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357B5E91" w14:textId="77777777" w:rsidR="00257E3C" w:rsidRDefault="00257E3C" w:rsidP="00B10609">
      <w:pPr>
        <w:keepNext/>
        <w:keepLines/>
        <w:widowControl w:val="0"/>
        <w:numPr>
          <w:ilvl w:val="1"/>
          <w:numId w:val="1"/>
        </w:numPr>
        <w:spacing w:after="240"/>
        <w:outlineLvl w:val="1"/>
        <w:rPr>
          <w:lang w:val="es-ES"/>
        </w:rPr>
      </w:pPr>
      <w:r>
        <w:rPr>
          <w:lang w:val="es-ES"/>
        </w:rPr>
        <w:lastRenderedPageBreak/>
        <w:t xml:space="preserve">Las reasignaciones no clasificadas como cambios importantes pueden incorporarse al Plan de Ejecución de Tramo aprobado que esté en curso de ejecución en esa fecha, y notificarse al Comité Ejecutivo en el Informe de Ejecución de Tramo subsiguiente; </w:t>
      </w:r>
    </w:p>
    <w:p w14:paraId="58E7A53C" w14:textId="77777777" w:rsidR="00257E3C" w:rsidRDefault="00257E3C" w:rsidP="00554167">
      <w:pPr>
        <w:pStyle w:val="Heading2"/>
        <w:tabs>
          <w:tab w:val="clear" w:pos="0"/>
          <w:tab w:val="num" w:pos="-720"/>
        </w:tabs>
        <w:rPr>
          <w:lang w:val="es-ES"/>
        </w:rPr>
      </w:pPr>
      <w:r>
        <w:rPr>
          <w:lang w:val="es-ES"/>
        </w:rPr>
        <w:t>El País acuerda, en casos en que se hayan elegido las tecnologías con HFC como una alternativa para los HCFC, y tomando en consideración las circunstancias nacionales relacionadas a la salud y la seguridad: supervisar la disponibilidad de los sucedáneos y alternativas que reducen al mínimo aún más los impactos en el clima; considerar, al examinar las reglamentaciones, normas e incentivos, estipulaciones adecuadas para incentivos que fomenten la instrucción de dichas alternativas; y considerar el potencial para adopción de alternativas eficaces en función de los costos que reduzcan al mínimo el impacto en el clima al ejecutar el plan de gestión de eliminación de los HCFC, cuando proceda, e informar en consecuencia al Comité Ejecutivo sobre el progreso realizado en los informes de ejecución de tramos; y</w:t>
      </w:r>
    </w:p>
    <w:p w14:paraId="49BAD05A" w14:textId="77777777" w:rsidR="00257E3C" w:rsidRDefault="00257E3C" w:rsidP="00554167">
      <w:pPr>
        <w:widowControl w:val="0"/>
        <w:numPr>
          <w:ilvl w:val="1"/>
          <w:numId w:val="1"/>
        </w:numPr>
        <w:spacing w:after="240"/>
        <w:outlineLvl w:val="1"/>
        <w:rPr>
          <w:lang w:val="es-ES"/>
        </w:rPr>
      </w:pPr>
      <w:r>
        <w:rPr>
          <w:lang w:val="es-ES"/>
        </w:rPr>
        <w:t xml:space="preserve">Los fondos remanentes que conserven los organismos bilaterales o de ejecución o el país en virtud del Plan serán devueltos al Fondo Multilateral al concluirse el último tramo previsto conforme a este Acuerdo. </w:t>
      </w:r>
    </w:p>
    <w:p w14:paraId="1ED7F992" w14:textId="77777777" w:rsidR="00257E3C" w:rsidRDefault="00257E3C" w:rsidP="00554167">
      <w:pPr>
        <w:widowControl w:val="0"/>
        <w:spacing w:after="240"/>
        <w:outlineLvl w:val="1"/>
        <w:rPr>
          <w:b/>
          <w:lang w:val="es-ES"/>
        </w:rPr>
      </w:pPr>
      <w:r>
        <w:rPr>
          <w:b/>
          <w:lang w:val="es-ES"/>
        </w:rPr>
        <w:t>Consideraciones para el sector de servicio y mantenimiento de equipos de refrigeración</w:t>
      </w:r>
    </w:p>
    <w:p w14:paraId="5E8E0697" w14:textId="77777777" w:rsidR="00257E3C" w:rsidRDefault="00257E3C" w:rsidP="00554167">
      <w:pPr>
        <w:numPr>
          <w:ilvl w:val="0"/>
          <w:numId w:val="1"/>
        </w:numPr>
        <w:spacing w:after="240"/>
        <w:outlineLvl w:val="0"/>
        <w:rPr>
          <w:lang w:val="es-ES"/>
        </w:rPr>
      </w:pPr>
      <w:r>
        <w:rPr>
          <w:lang w:val="es-ES"/>
        </w:rPr>
        <w:t>Se prestará especial atención a la ejecución de las actividades en el subsector de servicio y mantenimiento de equipos de refrigeración incluidas en el Plan, en particular:</w:t>
      </w:r>
    </w:p>
    <w:p w14:paraId="099FC3AC" w14:textId="77777777" w:rsidR="00257E3C" w:rsidRDefault="00257E3C" w:rsidP="00554167">
      <w:pPr>
        <w:widowControl w:val="0"/>
        <w:numPr>
          <w:ilvl w:val="1"/>
          <w:numId w:val="1"/>
        </w:numPr>
        <w:spacing w:after="240"/>
        <w:outlineLvl w:val="1"/>
        <w:rPr>
          <w:lang w:val="es-ES"/>
        </w:rPr>
      </w:pPr>
      <w:r>
        <w:rPr>
          <w:lang w:val="es-ES"/>
        </w:rPr>
        <w:t>El País utilizaría la flexibilidad disponible conforme a este Acuerdo para atender a las necesidades específicas que pudieran presentarse durante la ejecución del proyecto; y</w:t>
      </w:r>
    </w:p>
    <w:p w14:paraId="512257C7" w14:textId="77777777" w:rsidR="00257E3C" w:rsidRDefault="00257E3C" w:rsidP="00554167">
      <w:pPr>
        <w:widowControl w:val="0"/>
        <w:numPr>
          <w:ilvl w:val="1"/>
          <w:numId w:val="1"/>
        </w:numPr>
        <w:spacing w:after="240"/>
        <w:outlineLvl w:val="1"/>
        <w:rPr>
          <w:strike/>
          <w:lang w:val="es-ES"/>
        </w:rPr>
      </w:pPr>
      <w:r>
        <w:rPr>
          <w:lang w:val="es-ES"/>
        </w:rPr>
        <w:t>El País y los organismos bilaterales y/o de ejecución pertinentes tomarían en consideración las decisiones pertinentes sobre el sector de servicio y mantenimiento de equipos de refrigeración durante la ejecución del Plan.</w:t>
      </w:r>
    </w:p>
    <w:p w14:paraId="2D8E5346" w14:textId="77777777" w:rsidR="00257E3C" w:rsidRDefault="00257E3C" w:rsidP="00554167">
      <w:pPr>
        <w:widowControl w:val="0"/>
        <w:spacing w:after="240"/>
        <w:outlineLvl w:val="1"/>
        <w:rPr>
          <w:b/>
          <w:strike/>
          <w:lang w:val="es-ES"/>
        </w:rPr>
      </w:pPr>
      <w:r>
        <w:rPr>
          <w:b/>
          <w:lang w:val="es-ES"/>
        </w:rPr>
        <w:t>Organismos bilaterales y de ejecución</w:t>
      </w:r>
    </w:p>
    <w:p w14:paraId="481D6013" w14:textId="77777777" w:rsidR="00257E3C" w:rsidRDefault="00257E3C" w:rsidP="00554167">
      <w:pPr>
        <w:pStyle w:val="Heading1"/>
        <w:rPr>
          <w:lang w:val="es-ES"/>
        </w:rPr>
      </w:pPr>
      <w:r>
        <w:rPr>
          <w:lang w:val="es-ES"/>
        </w:rPr>
        <w:t>El País conviene en asumir la responsabilidad general por la gestión y aplicación de este Acuerdo y de todas las actividades emprendidas por el País o en su nombre en cumplimiento de las obligaciones en virtud del presente Acuerdo. El PNUMA acordó ser el “Organismo de Ejecución Principal” y el PNUD acordó ser el “Organismo de Ejecución Cooperante” bajo la dirección del Organismo de Ejecución Principal en lo relativo a las actividades del País en virtud de este Acuerdo. El País acepta que se lleven a cabo evaluaciones, que podrían realizarse en el marco de los programas de trabajo de supervisión y evaluación del Fondo Multilateral o en el marco del programa de evaluación del Organismo de Ejecución Principal y/o el Organismo de Ejecución Cooperante que participa en este Acuerdo.</w:t>
      </w:r>
    </w:p>
    <w:p w14:paraId="29FB82DC" w14:textId="77777777" w:rsidR="00257E3C" w:rsidRDefault="00257E3C" w:rsidP="00554167">
      <w:pPr>
        <w:pStyle w:val="Heading1"/>
        <w:rPr>
          <w:lang w:val="es-ES"/>
        </w:rPr>
      </w:pPr>
      <w:r>
        <w:rPr>
          <w:lang w:val="es-ES"/>
        </w:rPr>
        <w:t>El Organismo de Ejecución Principal tendrá la responsabilidad de garantizar la planificación, ejecución y presentación de informes coordinadas de todas las actividades comprendidas en el presente Acuerdo, incluida entre otras cosas y sin limitaciones la verificación independiente a realizarse conforme al inciso 5 b). El Organismo de Ejecución Cooperante apoyará al Organismo de Ejecución Principal ejecutando el Plan bajo la coordinación general del Organismo de Ejecución Principal. Las funciones del Organismo de Ejecución Principal y del Organismo de Ejecución Cooperante se especifican en el Apéndice 6-A y el Apéndice 6-B, respectivamente El Comité Ejecutivo acuerda, en principio, otorgar al Organismo de Ejecución Principal y al Organismo de Ejecución Cooperante los honorarios estipulados en las filas 2.2 y 2.4 del Apéndice 2</w:t>
      </w:r>
      <w:r>
        <w:rPr>
          <w:lang w:val="es-ES"/>
        </w:rPr>
        <w:noBreakHyphen/>
        <w:t>A.</w:t>
      </w:r>
    </w:p>
    <w:p w14:paraId="4776B2F8" w14:textId="77777777" w:rsidR="00B10609" w:rsidRDefault="00B10609">
      <w:pPr>
        <w:jc w:val="left"/>
        <w:rPr>
          <w:b/>
          <w:lang w:val="es-ES"/>
        </w:rPr>
      </w:pPr>
      <w:r>
        <w:rPr>
          <w:b/>
          <w:lang w:val="es-ES"/>
        </w:rPr>
        <w:br w:type="page"/>
      </w:r>
    </w:p>
    <w:p w14:paraId="30D7F01D" w14:textId="2186B266" w:rsidR="00257E3C" w:rsidRDefault="00257E3C" w:rsidP="00554167">
      <w:pPr>
        <w:spacing w:after="240"/>
        <w:outlineLvl w:val="0"/>
        <w:rPr>
          <w:b/>
          <w:lang w:val="es-ES"/>
        </w:rPr>
      </w:pPr>
      <w:r>
        <w:rPr>
          <w:b/>
          <w:lang w:val="es-ES"/>
        </w:rPr>
        <w:lastRenderedPageBreak/>
        <w:t>Incumplimiento del Acuerdo</w:t>
      </w:r>
    </w:p>
    <w:p w14:paraId="6723593B" w14:textId="77777777" w:rsidR="00257E3C" w:rsidRDefault="00257E3C" w:rsidP="00257E3C">
      <w:pPr>
        <w:pStyle w:val="Heading1"/>
        <w:numPr>
          <w:ilvl w:val="0"/>
          <w:numId w:val="34"/>
        </w:numPr>
        <w:rPr>
          <w:lang w:val="es-ES"/>
        </w:rPr>
      </w:pPr>
      <w:r>
        <w:rPr>
          <w:lang w:val="es-ES"/>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las decisiones, el caso específico de incumplimiento de este Acuerdo no constituirá un impedimento para el suministro de financiación para los tramos siguientes conforme al párrafo 5 </w:t>
      </w:r>
      <w:r>
        <w:rPr>
          <w:i/>
          <w:iCs/>
          <w:lang w:val="es-ES"/>
        </w:rPr>
        <w:t>supra</w:t>
      </w:r>
      <w:r>
        <w:rPr>
          <w:lang w:val="es-ES"/>
        </w:rPr>
        <w:t>.</w:t>
      </w:r>
    </w:p>
    <w:p w14:paraId="52231E53" w14:textId="77777777" w:rsidR="00257E3C" w:rsidRDefault="00257E3C" w:rsidP="00554167">
      <w:pPr>
        <w:numPr>
          <w:ilvl w:val="0"/>
          <w:numId w:val="1"/>
        </w:numPr>
        <w:spacing w:after="240"/>
        <w:outlineLvl w:val="0"/>
        <w:rPr>
          <w:lang w:val="es-ES"/>
        </w:rPr>
      </w:pPr>
      <w:r>
        <w:rPr>
          <w:lang w:val="es-ES"/>
        </w:rPr>
        <w:t>No se modificará la Financiación del presente Acuerdo en virtud de decisiones futuras del Comité Ejecutivo que pudieran afectar a la financiación de cualquier otro proyecto en el sector de consumo o de otras actividades afines en el País.</w:t>
      </w:r>
    </w:p>
    <w:p w14:paraId="284F3397" w14:textId="77777777" w:rsidR="00257E3C" w:rsidRDefault="00257E3C" w:rsidP="00554167">
      <w:pPr>
        <w:pStyle w:val="Heading1"/>
        <w:rPr>
          <w:lang w:val="es-ES"/>
        </w:rPr>
      </w:pPr>
      <w:r>
        <w:rPr>
          <w:lang w:val="es-ES"/>
        </w:rPr>
        <w:t xml:space="preserve">El País satisfará cualquier solicitud razonable del Comité Ejecutivo, el Organismo de Ejecución Principal </w:t>
      </w:r>
      <w:r>
        <w:rPr>
          <w:lang w:val="es-AR"/>
        </w:rPr>
        <w:t>y</w:t>
      </w:r>
      <w:r>
        <w:rPr>
          <w:b/>
          <w:lang w:val="es-AR"/>
        </w:rPr>
        <w:t xml:space="preserve"> </w:t>
      </w:r>
      <w:r>
        <w:rPr>
          <w:lang w:val="es-ES"/>
        </w:rPr>
        <w:t xml:space="preserve">el Organismo de Ejecución Cooperante para facilitar la aplicación del presente Acuerdo. En particular, proporcionará al Organismo de Ejecución Principal </w:t>
      </w:r>
      <w:r>
        <w:rPr>
          <w:lang w:val="es-AR"/>
        </w:rPr>
        <w:t>y</w:t>
      </w:r>
      <w:r>
        <w:rPr>
          <w:b/>
          <w:lang w:val="es-AR"/>
        </w:rPr>
        <w:t xml:space="preserve"> </w:t>
      </w:r>
      <w:r>
        <w:rPr>
          <w:lang w:val="es-AR"/>
        </w:rPr>
        <w:t>a</w:t>
      </w:r>
      <w:r>
        <w:rPr>
          <w:lang w:val="es-ES"/>
        </w:rPr>
        <w:t>l Organismo de Ejecución Cooperante el acceso a la información necesaria para verificar el cumplimiento del presente Acuerdo.</w:t>
      </w:r>
    </w:p>
    <w:p w14:paraId="017AEEBE" w14:textId="77777777" w:rsidR="00257E3C" w:rsidRDefault="00257E3C" w:rsidP="00554167">
      <w:pPr>
        <w:spacing w:after="240"/>
        <w:outlineLvl w:val="0"/>
        <w:rPr>
          <w:b/>
          <w:lang w:val="es-ES"/>
        </w:rPr>
      </w:pPr>
      <w:r>
        <w:rPr>
          <w:b/>
          <w:lang w:val="es-ES"/>
        </w:rPr>
        <w:t>Fecha de terminación</w:t>
      </w:r>
    </w:p>
    <w:p w14:paraId="64259C0E" w14:textId="77777777" w:rsidR="00257E3C" w:rsidRDefault="00257E3C" w:rsidP="00554167">
      <w:pPr>
        <w:numPr>
          <w:ilvl w:val="0"/>
          <w:numId w:val="1"/>
        </w:numPr>
        <w:spacing w:after="240"/>
        <w:outlineLvl w:val="0"/>
        <w:rPr>
          <w:lang w:val="es-ES"/>
        </w:rPr>
      </w:pPr>
      <w:r>
        <w:rPr>
          <w:lang w:val="es-ES"/>
        </w:rPr>
        <w:t>La terminación del Plan y el Acuerdo conexo concluirán al final del año siguiente al último año para el que se haya especificado un nivel de consumo total máximo permitido en el Apéndice 2</w:t>
      </w:r>
      <w:r>
        <w:rPr>
          <w:lang w:val="es-ES"/>
        </w:rPr>
        <w:noBreakHyphen/>
        <w:t>A. En el caso de que para ese entonces hubiera actividades aún pendientes que estuvieran previstas en el último Plan de Ejecución de Tramo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Pr>
          <w:lang w:val="es-ES"/>
        </w:rPr>
        <w:noBreakHyphen/>
        <w:t>A continuarán vigentes hasta la conclusión del Plan, a menos que el Comité Ejecutivo estipule otra cosa.</w:t>
      </w:r>
    </w:p>
    <w:p w14:paraId="11E0A54C" w14:textId="77777777" w:rsidR="00257E3C" w:rsidRDefault="00257E3C" w:rsidP="00554167">
      <w:pPr>
        <w:keepNext/>
        <w:keepLines/>
        <w:spacing w:after="240"/>
        <w:outlineLvl w:val="0"/>
        <w:rPr>
          <w:b/>
          <w:lang w:val="es-ES"/>
        </w:rPr>
      </w:pPr>
      <w:r>
        <w:rPr>
          <w:b/>
          <w:lang w:val="es-ES"/>
        </w:rPr>
        <w:t>Validez</w:t>
      </w:r>
    </w:p>
    <w:p w14:paraId="72321C3D" w14:textId="77777777" w:rsidR="00257E3C" w:rsidRDefault="00257E3C" w:rsidP="00554167">
      <w:pPr>
        <w:keepNext/>
        <w:keepLines/>
        <w:numPr>
          <w:ilvl w:val="0"/>
          <w:numId w:val="1"/>
        </w:numPr>
        <w:spacing w:after="240"/>
        <w:outlineLvl w:val="0"/>
        <w:rPr>
          <w:lang w:val="es-ES"/>
        </w:rPr>
      </w:pPr>
      <w:r>
        <w:rPr>
          <w:lang w:val="es-ES"/>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077242E1" w14:textId="77777777" w:rsidR="00257E3C" w:rsidRDefault="00257E3C" w:rsidP="00554167">
      <w:pPr>
        <w:numPr>
          <w:ilvl w:val="0"/>
          <w:numId w:val="1"/>
        </w:numPr>
        <w:spacing w:after="240"/>
        <w:outlineLvl w:val="0"/>
        <w:rPr>
          <w:lang w:val="es-ES"/>
        </w:rPr>
      </w:pPr>
      <w:r>
        <w:rPr>
          <w:lang w:val="es-ES"/>
        </w:rPr>
        <w:t>Este Acuerdo puede modificarse o rescindirse únicamente por un acuerdo mutuo escrito del País y del Comité Ejecutivo del Fondo Multilateral.</w:t>
      </w:r>
    </w:p>
    <w:p w14:paraId="5F5B88B5" w14:textId="77777777" w:rsidR="000D334C" w:rsidRDefault="000D334C">
      <w:pPr>
        <w:jc w:val="left"/>
        <w:rPr>
          <w:b/>
          <w:bCs/>
          <w:lang w:val="es-ES"/>
        </w:rPr>
      </w:pPr>
      <w:r>
        <w:rPr>
          <w:b/>
          <w:bCs/>
          <w:lang w:val="es-ES"/>
        </w:rPr>
        <w:br w:type="page"/>
      </w:r>
    </w:p>
    <w:p w14:paraId="457C68D0" w14:textId="53AAED39" w:rsidR="00257E3C" w:rsidRPr="005746AE" w:rsidRDefault="00257E3C" w:rsidP="00554167">
      <w:pPr>
        <w:keepNext/>
        <w:keepLines/>
        <w:jc w:val="left"/>
        <w:rPr>
          <w:b/>
          <w:bCs/>
          <w:lang w:val="es-ES"/>
        </w:rPr>
      </w:pPr>
      <w:r w:rsidRPr="005746AE">
        <w:rPr>
          <w:b/>
          <w:bCs/>
          <w:lang w:val="es-ES"/>
        </w:rPr>
        <w:lastRenderedPageBreak/>
        <w:t xml:space="preserve">APÉNDICES </w:t>
      </w:r>
    </w:p>
    <w:p w14:paraId="50CDBA72" w14:textId="77777777" w:rsidR="00257E3C" w:rsidRPr="005746AE" w:rsidRDefault="00257E3C" w:rsidP="00554167">
      <w:pPr>
        <w:keepNext/>
        <w:keepLines/>
        <w:rPr>
          <w:b/>
          <w:lang w:val="es-ES"/>
        </w:rPr>
      </w:pPr>
    </w:p>
    <w:p w14:paraId="4F75A30C" w14:textId="6C61F18F" w:rsidR="00257E3C" w:rsidRPr="005746AE" w:rsidRDefault="00257E3C" w:rsidP="005746AE">
      <w:pPr>
        <w:keepNext/>
        <w:keepLines/>
        <w:rPr>
          <w:b/>
          <w:bCs/>
          <w:lang w:val="es-ES"/>
        </w:rPr>
      </w:pPr>
      <w:r w:rsidRPr="005746AE">
        <w:rPr>
          <w:b/>
          <w:bCs/>
          <w:lang w:val="es-ES"/>
        </w:rPr>
        <w:t>APÉNDICE 1-A: LAS SUSTANCIAS</w:t>
      </w:r>
    </w:p>
    <w:p w14:paraId="047CEA39" w14:textId="77777777" w:rsidR="005746AE" w:rsidRPr="005746AE" w:rsidRDefault="005746AE" w:rsidP="005746AE">
      <w:pPr>
        <w:keepNext/>
        <w:keepLines/>
        <w:rPr>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9"/>
        <w:gridCol w:w="1092"/>
        <w:gridCol w:w="2899"/>
      </w:tblGrid>
      <w:tr w:rsidR="005746AE" w:rsidRPr="00D53D79" w14:paraId="396C6C49" w14:textId="77777777" w:rsidTr="00554167">
        <w:trPr>
          <w:trHeight w:val="413"/>
        </w:trPr>
        <w:tc>
          <w:tcPr>
            <w:tcW w:w="2262" w:type="pct"/>
            <w:shd w:val="clear" w:color="auto" w:fill="auto"/>
          </w:tcPr>
          <w:p w14:paraId="41F3B289" w14:textId="14CE4784" w:rsidR="005746AE" w:rsidRPr="005746AE" w:rsidRDefault="005746AE" w:rsidP="005746AE">
            <w:pPr>
              <w:keepNext/>
              <w:jc w:val="center"/>
              <w:rPr>
                <w:sz w:val="20"/>
                <w:szCs w:val="20"/>
              </w:rPr>
            </w:pPr>
            <w:r w:rsidRPr="005746AE">
              <w:rPr>
                <w:sz w:val="20"/>
                <w:szCs w:val="20"/>
                <w:lang w:val="es-ES"/>
              </w:rPr>
              <w:t>Sustancia</w:t>
            </w:r>
          </w:p>
        </w:tc>
        <w:tc>
          <w:tcPr>
            <w:tcW w:w="604" w:type="pct"/>
            <w:shd w:val="clear" w:color="auto" w:fill="auto"/>
          </w:tcPr>
          <w:p w14:paraId="3D14FC53" w14:textId="64473C34" w:rsidR="005746AE" w:rsidRPr="005746AE" w:rsidRDefault="005746AE" w:rsidP="005746AE">
            <w:pPr>
              <w:keepNext/>
              <w:jc w:val="center"/>
              <w:rPr>
                <w:sz w:val="20"/>
                <w:szCs w:val="20"/>
              </w:rPr>
            </w:pPr>
            <w:r w:rsidRPr="005746AE">
              <w:rPr>
                <w:sz w:val="20"/>
                <w:szCs w:val="20"/>
                <w:lang w:val="es-ES"/>
              </w:rPr>
              <w:t>Anexo</w:t>
            </w:r>
          </w:p>
        </w:tc>
        <w:tc>
          <w:tcPr>
            <w:tcW w:w="584" w:type="pct"/>
            <w:shd w:val="clear" w:color="auto" w:fill="auto"/>
          </w:tcPr>
          <w:p w14:paraId="6920CBB9" w14:textId="1E50AD06" w:rsidR="005746AE" w:rsidRPr="005746AE" w:rsidRDefault="005746AE" w:rsidP="005746AE">
            <w:pPr>
              <w:keepNext/>
              <w:jc w:val="center"/>
              <w:rPr>
                <w:sz w:val="20"/>
                <w:szCs w:val="20"/>
              </w:rPr>
            </w:pPr>
            <w:r w:rsidRPr="005746AE">
              <w:rPr>
                <w:sz w:val="20"/>
                <w:szCs w:val="20"/>
                <w:lang w:val="es-ES"/>
              </w:rPr>
              <w:t>Grupo</w:t>
            </w:r>
          </w:p>
        </w:tc>
        <w:tc>
          <w:tcPr>
            <w:tcW w:w="1550" w:type="pct"/>
            <w:shd w:val="clear" w:color="auto" w:fill="auto"/>
          </w:tcPr>
          <w:p w14:paraId="2A3474AA" w14:textId="65BD731B" w:rsidR="005746AE" w:rsidRPr="005746AE" w:rsidRDefault="005746AE" w:rsidP="005746AE">
            <w:pPr>
              <w:keepNext/>
              <w:jc w:val="center"/>
              <w:rPr>
                <w:sz w:val="20"/>
                <w:szCs w:val="20"/>
                <w:lang w:val="es-ES"/>
              </w:rPr>
            </w:pPr>
            <w:r w:rsidRPr="005746AE">
              <w:rPr>
                <w:sz w:val="20"/>
                <w:szCs w:val="20"/>
                <w:lang w:val="es-ES"/>
              </w:rPr>
              <w:t>Punto de partida para las reducciones acumulativas del consumo (toneladas PAO)</w:t>
            </w:r>
          </w:p>
        </w:tc>
      </w:tr>
      <w:tr w:rsidR="00CA0038" w:rsidRPr="00B375EA" w14:paraId="1D4792C7" w14:textId="77777777" w:rsidTr="00554167">
        <w:tc>
          <w:tcPr>
            <w:tcW w:w="2262" w:type="pct"/>
            <w:shd w:val="clear" w:color="auto" w:fill="auto"/>
          </w:tcPr>
          <w:p w14:paraId="0F82EDC9" w14:textId="77777777" w:rsidR="00CA0038" w:rsidRPr="00B375EA" w:rsidRDefault="00CA0038" w:rsidP="00554167">
            <w:pPr>
              <w:keepNext/>
              <w:rPr>
                <w:sz w:val="20"/>
                <w:szCs w:val="20"/>
              </w:rPr>
            </w:pPr>
            <w:r w:rsidRPr="00B375EA">
              <w:rPr>
                <w:sz w:val="20"/>
                <w:szCs w:val="20"/>
              </w:rPr>
              <w:t>HCFC-22</w:t>
            </w:r>
          </w:p>
        </w:tc>
        <w:tc>
          <w:tcPr>
            <w:tcW w:w="604" w:type="pct"/>
            <w:shd w:val="clear" w:color="auto" w:fill="auto"/>
          </w:tcPr>
          <w:p w14:paraId="2CE8F384" w14:textId="77777777" w:rsidR="00CA0038" w:rsidRPr="00B375EA" w:rsidRDefault="00CA0038" w:rsidP="00554167">
            <w:pPr>
              <w:keepNext/>
              <w:rPr>
                <w:sz w:val="20"/>
                <w:szCs w:val="20"/>
              </w:rPr>
            </w:pPr>
            <w:r w:rsidRPr="00B375EA">
              <w:rPr>
                <w:sz w:val="20"/>
                <w:szCs w:val="20"/>
              </w:rPr>
              <w:t>C</w:t>
            </w:r>
          </w:p>
        </w:tc>
        <w:tc>
          <w:tcPr>
            <w:tcW w:w="584" w:type="pct"/>
            <w:shd w:val="clear" w:color="auto" w:fill="auto"/>
          </w:tcPr>
          <w:p w14:paraId="7FD2CAF8" w14:textId="77777777" w:rsidR="00CA0038" w:rsidRPr="001E10F5" w:rsidRDefault="00CA0038" w:rsidP="00554167">
            <w:pPr>
              <w:keepNext/>
              <w:rPr>
                <w:sz w:val="20"/>
                <w:szCs w:val="20"/>
              </w:rPr>
            </w:pPr>
            <w:r w:rsidRPr="001E10F5">
              <w:rPr>
                <w:sz w:val="20"/>
                <w:szCs w:val="20"/>
              </w:rPr>
              <w:t>I</w:t>
            </w:r>
          </w:p>
        </w:tc>
        <w:tc>
          <w:tcPr>
            <w:tcW w:w="1550" w:type="pct"/>
            <w:shd w:val="clear" w:color="auto" w:fill="auto"/>
          </w:tcPr>
          <w:p w14:paraId="54C178E4" w14:textId="77777777" w:rsidR="00CA0038" w:rsidRPr="001E10F5" w:rsidRDefault="00CA0038" w:rsidP="00554167">
            <w:pPr>
              <w:keepNext/>
              <w:jc w:val="center"/>
              <w:rPr>
                <w:sz w:val="20"/>
                <w:szCs w:val="20"/>
              </w:rPr>
            </w:pPr>
            <w:r w:rsidRPr="001E10F5">
              <w:rPr>
                <w:sz w:val="20"/>
                <w:szCs w:val="20"/>
              </w:rPr>
              <w:t>17</w:t>
            </w:r>
          </w:p>
        </w:tc>
      </w:tr>
    </w:tbl>
    <w:p w14:paraId="5DD6AEDD" w14:textId="77777777" w:rsidR="00CA0038" w:rsidRPr="00B375EA" w:rsidRDefault="00CA0038" w:rsidP="00CA0038">
      <w:pPr>
        <w:pStyle w:val="Heading1"/>
        <w:numPr>
          <w:ilvl w:val="0"/>
          <w:numId w:val="0"/>
        </w:numPr>
        <w:spacing w:after="0"/>
      </w:pPr>
    </w:p>
    <w:p w14:paraId="4D034F7C" w14:textId="432FBC47" w:rsidR="005746AE" w:rsidRPr="005746AE" w:rsidRDefault="005746AE" w:rsidP="005746AE">
      <w:pPr>
        <w:rPr>
          <w:b/>
          <w:bCs/>
          <w:lang w:val="es-ES"/>
        </w:rPr>
      </w:pPr>
      <w:r w:rsidRPr="005746AE">
        <w:rPr>
          <w:b/>
          <w:bCs/>
          <w:lang w:val="es-ES"/>
        </w:rPr>
        <w:t>APÉNDICE 2-A: LOS OBJETIVOS Y LA FINANCIACIÓN</w:t>
      </w:r>
    </w:p>
    <w:p w14:paraId="1956BE78" w14:textId="77777777" w:rsidR="005746AE" w:rsidRPr="005746AE" w:rsidRDefault="005746AE" w:rsidP="005746AE">
      <w:pPr>
        <w:rPr>
          <w:b/>
          <w:bCs/>
          <w:lang w:val="es-ES"/>
        </w:rPr>
      </w:pPr>
    </w:p>
    <w:tbl>
      <w:tblPr>
        <w:tblW w:w="5000" w:type="pct"/>
        <w:jc w:val="center"/>
        <w:tblLayout w:type="fixed"/>
        <w:tblLook w:val="04A0" w:firstRow="1" w:lastRow="0" w:firstColumn="1" w:lastColumn="0" w:noHBand="0" w:noVBand="1"/>
      </w:tblPr>
      <w:tblGrid>
        <w:gridCol w:w="616"/>
        <w:gridCol w:w="2192"/>
        <w:gridCol w:w="789"/>
        <w:gridCol w:w="789"/>
        <w:gridCol w:w="789"/>
        <w:gridCol w:w="789"/>
        <w:gridCol w:w="789"/>
        <w:gridCol w:w="789"/>
        <w:gridCol w:w="793"/>
        <w:gridCol w:w="1015"/>
      </w:tblGrid>
      <w:tr w:rsidR="005746AE" w:rsidRPr="005746AE" w14:paraId="5195AF43" w14:textId="77777777" w:rsidTr="005746AE">
        <w:trPr>
          <w:trHeight w:val="98"/>
          <w:tblHeader/>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4C90882D" w14:textId="57AEF534" w:rsidR="005746AE" w:rsidRPr="005746AE" w:rsidRDefault="005746AE" w:rsidP="005746AE">
            <w:pPr>
              <w:keepNext/>
              <w:keepLines/>
              <w:jc w:val="center"/>
              <w:rPr>
                <w:b/>
                <w:bCs/>
                <w:sz w:val="20"/>
                <w:szCs w:val="20"/>
                <w:lang w:eastAsia="en-CA"/>
              </w:rPr>
            </w:pPr>
            <w:r w:rsidRPr="005746AE">
              <w:rPr>
                <w:b/>
                <w:bCs/>
                <w:sz w:val="18"/>
                <w:szCs w:val="18"/>
                <w:lang w:val="es-MX"/>
              </w:rPr>
              <w:t>Fila</w:t>
            </w:r>
          </w:p>
        </w:tc>
        <w:tc>
          <w:tcPr>
            <w:tcW w:w="1172" w:type="pct"/>
            <w:tcBorders>
              <w:top w:val="single" w:sz="4" w:space="0" w:color="auto"/>
              <w:left w:val="nil"/>
              <w:bottom w:val="single" w:sz="4" w:space="0" w:color="auto"/>
              <w:right w:val="single" w:sz="4" w:space="0" w:color="auto"/>
            </w:tcBorders>
            <w:shd w:val="clear" w:color="auto" w:fill="auto"/>
            <w:hideMark/>
          </w:tcPr>
          <w:p w14:paraId="5FC4F698" w14:textId="50D26202" w:rsidR="005746AE" w:rsidRPr="005746AE" w:rsidRDefault="005746AE" w:rsidP="005746AE">
            <w:pPr>
              <w:keepNext/>
              <w:keepLines/>
              <w:jc w:val="center"/>
              <w:rPr>
                <w:b/>
                <w:bCs/>
                <w:sz w:val="20"/>
                <w:szCs w:val="20"/>
                <w:lang w:eastAsia="en-CA"/>
              </w:rPr>
            </w:pPr>
            <w:r w:rsidRPr="005746AE">
              <w:rPr>
                <w:b/>
                <w:bCs/>
                <w:sz w:val="18"/>
                <w:szCs w:val="18"/>
                <w:lang w:val="es-MX"/>
              </w:rPr>
              <w:t>Detalles</w:t>
            </w:r>
          </w:p>
        </w:tc>
        <w:tc>
          <w:tcPr>
            <w:tcW w:w="422"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223513AA"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2021</w:t>
            </w:r>
          </w:p>
        </w:tc>
        <w:tc>
          <w:tcPr>
            <w:tcW w:w="422"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6940308E"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2022 2023</w:t>
            </w:r>
          </w:p>
        </w:tc>
        <w:tc>
          <w:tcPr>
            <w:tcW w:w="422"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5E93A295"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2024</w:t>
            </w:r>
          </w:p>
        </w:tc>
        <w:tc>
          <w:tcPr>
            <w:tcW w:w="422"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60D116A7"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2025 2026</w:t>
            </w:r>
          </w:p>
        </w:tc>
        <w:tc>
          <w:tcPr>
            <w:tcW w:w="422"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505EED6B"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2027</w:t>
            </w:r>
          </w:p>
        </w:tc>
        <w:tc>
          <w:tcPr>
            <w:tcW w:w="422" w:type="pct"/>
            <w:tcBorders>
              <w:top w:val="single" w:sz="4" w:space="0" w:color="auto"/>
              <w:left w:val="nil"/>
              <w:bottom w:val="single" w:sz="4" w:space="0" w:color="auto"/>
              <w:right w:val="single" w:sz="4" w:space="0" w:color="auto"/>
            </w:tcBorders>
            <w:tcMar>
              <w:left w:w="0" w:type="dxa"/>
              <w:right w:w="58" w:type="dxa"/>
            </w:tcMar>
            <w:vAlign w:val="center"/>
          </w:tcPr>
          <w:p w14:paraId="64C6F929"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2028 2029</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vAlign w:val="center"/>
          </w:tcPr>
          <w:p w14:paraId="40518B30"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2030</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57C7E" w14:textId="77777777" w:rsidR="005746AE" w:rsidRPr="005746AE" w:rsidRDefault="005746AE" w:rsidP="005746AE">
            <w:pPr>
              <w:keepNext/>
              <w:keepLines/>
              <w:jc w:val="center"/>
              <w:rPr>
                <w:b/>
                <w:bCs/>
                <w:sz w:val="20"/>
                <w:szCs w:val="20"/>
                <w:lang w:eastAsia="en-CA"/>
              </w:rPr>
            </w:pPr>
            <w:r w:rsidRPr="005746AE">
              <w:rPr>
                <w:b/>
                <w:bCs/>
                <w:sz w:val="20"/>
                <w:szCs w:val="20"/>
                <w:lang w:eastAsia="en-CA"/>
              </w:rPr>
              <w:t>Total</w:t>
            </w:r>
          </w:p>
        </w:tc>
      </w:tr>
      <w:tr w:rsidR="005746AE" w:rsidRPr="005746AE" w14:paraId="38AE1EE5" w14:textId="77777777" w:rsidTr="005746AE">
        <w:trPr>
          <w:trHeight w:val="408"/>
          <w:jc w:val="center"/>
        </w:trPr>
        <w:tc>
          <w:tcPr>
            <w:tcW w:w="329" w:type="pct"/>
            <w:tcBorders>
              <w:top w:val="nil"/>
              <w:left w:val="single" w:sz="4" w:space="0" w:color="auto"/>
              <w:bottom w:val="single" w:sz="4" w:space="0" w:color="auto"/>
              <w:right w:val="single" w:sz="4" w:space="0" w:color="auto"/>
            </w:tcBorders>
            <w:shd w:val="clear" w:color="auto" w:fill="auto"/>
            <w:hideMark/>
          </w:tcPr>
          <w:p w14:paraId="76716DBC" w14:textId="77777777" w:rsidR="005746AE" w:rsidRPr="005746AE" w:rsidRDefault="005746AE" w:rsidP="005746AE">
            <w:pPr>
              <w:keepNext/>
              <w:keepLines/>
              <w:jc w:val="left"/>
              <w:rPr>
                <w:sz w:val="20"/>
                <w:szCs w:val="20"/>
                <w:lang w:eastAsia="en-CA"/>
              </w:rPr>
            </w:pPr>
            <w:r w:rsidRPr="005746AE">
              <w:rPr>
                <w:sz w:val="20"/>
                <w:szCs w:val="20"/>
                <w:lang w:eastAsia="en-CA"/>
              </w:rPr>
              <w:t>1.1</w:t>
            </w:r>
          </w:p>
        </w:tc>
        <w:tc>
          <w:tcPr>
            <w:tcW w:w="1172" w:type="pct"/>
            <w:tcBorders>
              <w:top w:val="nil"/>
              <w:left w:val="nil"/>
              <w:bottom w:val="single" w:sz="4" w:space="0" w:color="auto"/>
              <w:right w:val="single" w:sz="4" w:space="0" w:color="auto"/>
            </w:tcBorders>
            <w:shd w:val="clear" w:color="auto" w:fill="auto"/>
            <w:hideMark/>
          </w:tcPr>
          <w:p w14:paraId="788BC1AD" w14:textId="615757A5" w:rsidR="005746AE" w:rsidRPr="005746AE" w:rsidRDefault="005746AE" w:rsidP="005746AE">
            <w:pPr>
              <w:keepNext/>
              <w:keepLines/>
              <w:jc w:val="left"/>
              <w:rPr>
                <w:sz w:val="20"/>
                <w:szCs w:val="20"/>
                <w:lang w:val="es-ES" w:eastAsia="en-CA"/>
              </w:rPr>
            </w:pPr>
            <w:r w:rsidRPr="005746AE">
              <w:rPr>
                <w:sz w:val="18"/>
                <w:szCs w:val="18"/>
                <w:lang w:val="es-MX"/>
              </w:rPr>
              <w:t>Calendario de reducción del Protocolo de Montreal para las sustancias del Anexo C, Grupo I (toneladas PAO)</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2491F7C5" w14:textId="77777777" w:rsidR="005746AE" w:rsidRPr="005746AE" w:rsidRDefault="005746AE" w:rsidP="005746AE">
            <w:pPr>
              <w:keepNext/>
              <w:keepLines/>
              <w:jc w:val="right"/>
              <w:rPr>
                <w:sz w:val="20"/>
                <w:szCs w:val="20"/>
                <w:lang w:eastAsia="en-CA"/>
              </w:rPr>
            </w:pPr>
            <w:r w:rsidRPr="005746AE">
              <w:rPr>
                <w:sz w:val="20"/>
                <w:szCs w:val="20"/>
                <w:lang w:eastAsia="en-CA"/>
              </w:rPr>
              <w:t>43.04</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EDB0607" w14:textId="77777777" w:rsidR="005746AE" w:rsidRPr="005746AE" w:rsidRDefault="005746AE" w:rsidP="005746AE">
            <w:pPr>
              <w:keepNext/>
              <w:keepLines/>
              <w:jc w:val="right"/>
              <w:rPr>
                <w:sz w:val="20"/>
                <w:szCs w:val="20"/>
                <w:lang w:eastAsia="en-CA"/>
              </w:rPr>
            </w:pPr>
            <w:r w:rsidRPr="005746AE">
              <w:rPr>
                <w:sz w:val="20"/>
                <w:szCs w:val="20"/>
                <w:lang w:eastAsia="en-CA"/>
              </w:rPr>
              <w:t>43.04</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382FCA2" w14:textId="77777777" w:rsidR="005746AE" w:rsidRPr="005746AE" w:rsidRDefault="005746AE" w:rsidP="005746AE">
            <w:pPr>
              <w:keepNext/>
              <w:keepLines/>
              <w:jc w:val="right"/>
              <w:rPr>
                <w:sz w:val="20"/>
                <w:szCs w:val="20"/>
                <w:lang w:eastAsia="en-CA"/>
              </w:rPr>
            </w:pPr>
            <w:r w:rsidRPr="005746AE">
              <w:rPr>
                <w:sz w:val="20"/>
                <w:szCs w:val="20"/>
                <w:lang w:eastAsia="en-CA"/>
              </w:rPr>
              <w:t>43.04</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53228E45" w14:textId="77777777" w:rsidR="005746AE" w:rsidRPr="005746AE" w:rsidRDefault="005746AE" w:rsidP="005746AE">
            <w:pPr>
              <w:keepNext/>
              <w:keepLines/>
              <w:jc w:val="right"/>
              <w:rPr>
                <w:sz w:val="20"/>
                <w:szCs w:val="20"/>
                <w:lang w:eastAsia="en-CA"/>
              </w:rPr>
            </w:pPr>
            <w:r w:rsidRPr="005746AE">
              <w:rPr>
                <w:sz w:val="20"/>
                <w:szCs w:val="20"/>
                <w:lang w:eastAsia="en-CA"/>
              </w:rPr>
              <w:t>21.52</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FB8C87A" w14:textId="77777777" w:rsidR="005746AE" w:rsidRPr="005746AE" w:rsidRDefault="005746AE" w:rsidP="005746AE">
            <w:pPr>
              <w:keepNext/>
              <w:keepLines/>
              <w:jc w:val="right"/>
              <w:rPr>
                <w:sz w:val="20"/>
                <w:szCs w:val="20"/>
                <w:lang w:eastAsia="en-CA"/>
              </w:rPr>
            </w:pPr>
            <w:r w:rsidRPr="005746AE">
              <w:rPr>
                <w:sz w:val="20"/>
                <w:szCs w:val="20"/>
                <w:lang w:eastAsia="en-CA"/>
              </w:rPr>
              <w:t>21.52</w:t>
            </w:r>
          </w:p>
        </w:tc>
        <w:tc>
          <w:tcPr>
            <w:tcW w:w="422" w:type="pct"/>
            <w:tcBorders>
              <w:top w:val="single" w:sz="4" w:space="0" w:color="auto"/>
              <w:left w:val="nil"/>
              <w:bottom w:val="single" w:sz="4" w:space="0" w:color="auto"/>
              <w:right w:val="single" w:sz="4" w:space="0" w:color="auto"/>
            </w:tcBorders>
            <w:tcMar>
              <w:left w:w="0" w:type="dxa"/>
              <w:right w:w="58" w:type="dxa"/>
            </w:tcMar>
          </w:tcPr>
          <w:p w14:paraId="1EEFE13D" w14:textId="77777777" w:rsidR="005746AE" w:rsidRPr="005746AE" w:rsidRDefault="005746AE" w:rsidP="005746AE">
            <w:pPr>
              <w:keepNext/>
              <w:keepLines/>
              <w:jc w:val="right"/>
              <w:rPr>
                <w:sz w:val="20"/>
                <w:szCs w:val="20"/>
                <w:lang w:eastAsia="en-CA"/>
              </w:rPr>
            </w:pPr>
            <w:r w:rsidRPr="005746AE">
              <w:rPr>
                <w:sz w:val="20"/>
                <w:szCs w:val="20"/>
                <w:lang w:eastAsia="en-CA"/>
              </w:rPr>
              <w:t>21.52</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73A0B0CE" w14:textId="77777777" w:rsidR="005746AE" w:rsidRPr="005746AE" w:rsidRDefault="005746AE" w:rsidP="005746AE">
            <w:pPr>
              <w:keepNext/>
              <w:keepLines/>
              <w:jc w:val="right"/>
              <w:rPr>
                <w:sz w:val="20"/>
                <w:szCs w:val="20"/>
                <w:lang w:eastAsia="en-CA"/>
              </w:rPr>
            </w:pPr>
            <w:r w:rsidRPr="005746AE">
              <w:rPr>
                <w:sz w:val="20"/>
                <w:szCs w:val="20"/>
                <w:lang w:eastAsia="en-CA"/>
              </w:rPr>
              <w:t>0</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6ABD242" w14:textId="77777777" w:rsidR="005746AE" w:rsidRPr="005746AE" w:rsidRDefault="005746AE" w:rsidP="005746AE">
            <w:pPr>
              <w:keepNext/>
              <w:keepLines/>
              <w:jc w:val="right"/>
              <w:rPr>
                <w:sz w:val="20"/>
                <w:szCs w:val="20"/>
                <w:lang w:eastAsia="en-CA"/>
              </w:rPr>
            </w:pPr>
            <w:r w:rsidRPr="005746AE">
              <w:rPr>
                <w:sz w:val="20"/>
                <w:szCs w:val="20"/>
                <w:lang w:eastAsia="en-CA"/>
              </w:rPr>
              <w:t>n/a</w:t>
            </w:r>
          </w:p>
        </w:tc>
      </w:tr>
      <w:tr w:rsidR="005746AE" w:rsidRPr="005746AE" w14:paraId="51D19648" w14:textId="77777777" w:rsidTr="005746AE">
        <w:trPr>
          <w:trHeight w:val="408"/>
          <w:jc w:val="center"/>
        </w:trPr>
        <w:tc>
          <w:tcPr>
            <w:tcW w:w="329" w:type="pct"/>
            <w:tcBorders>
              <w:top w:val="nil"/>
              <w:left w:val="single" w:sz="4" w:space="0" w:color="auto"/>
              <w:bottom w:val="single" w:sz="4" w:space="0" w:color="auto"/>
              <w:right w:val="single" w:sz="4" w:space="0" w:color="auto"/>
            </w:tcBorders>
            <w:shd w:val="clear" w:color="auto" w:fill="auto"/>
            <w:hideMark/>
          </w:tcPr>
          <w:p w14:paraId="0AE406D8" w14:textId="77777777" w:rsidR="005746AE" w:rsidRPr="005746AE" w:rsidRDefault="005746AE" w:rsidP="005746AE">
            <w:pPr>
              <w:jc w:val="left"/>
              <w:rPr>
                <w:sz w:val="20"/>
                <w:szCs w:val="20"/>
                <w:lang w:eastAsia="en-CA"/>
              </w:rPr>
            </w:pPr>
            <w:r w:rsidRPr="005746AE">
              <w:rPr>
                <w:sz w:val="20"/>
                <w:szCs w:val="20"/>
                <w:lang w:eastAsia="en-CA"/>
              </w:rPr>
              <w:t>1.2</w:t>
            </w:r>
          </w:p>
        </w:tc>
        <w:tc>
          <w:tcPr>
            <w:tcW w:w="1172" w:type="pct"/>
            <w:tcBorders>
              <w:top w:val="nil"/>
              <w:left w:val="nil"/>
              <w:bottom w:val="single" w:sz="4" w:space="0" w:color="auto"/>
              <w:right w:val="single" w:sz="4" w:space="0" w:color="auto"/>
            </w:tcBorders>
            <w:shd w:val="clear" w:color="auto" w:fill="auto"/>
            <w:hideMark/>
          </w:tcPr>
          <w:p w14:paraId="68E7432A" w14:textId="61B5CF2F" w:rsidR="005746AE" w:rsidRPr="005746AE" w:rsidRDefault="005746AE" w:rsidP="005746AE">
            <w:pPr>
              <w:jc w:val="left"/>
              <w:rPr>
                <w:sz w:val="20"/>
                <w:szCs w:val="20"/>
                <w:lang w:val="es-ES" w:eastAsia="en-CA"/>
              </w:rPr>
            </w:pPr>
            <w:r w:rsidRPr="005746AE">
              <w:rPr>
                <w:sz w:val="18"/>
                <w:szCs w:val="18"/>
                <w:lang w:val="es-MX"/>
              </w:rPr>
              <w:t>Consumo total permisible máximo para las substancias incluidas en el Anexo C, Grupo I (toneladas PAO)</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B089307" w14:textId="77777777" w:rsidR="005746AE" w:rsidRPr="005746AE" w:rsidRDefault="005746AE" w:rsidP="005746AE">
            <w:pPr>
              <w:jc w:val="right"/>
              <w:rPr>
                <w:sz w:val="20"/>
                <w:szCs w:val="20"/>
                <w:lang w:eastAsia="en-CA"/>
              </w:rPr>
            </w:pPr>
            <w:r w:rsidRPr="005746AE">
              <w:rPr>
                <w:sz w:val="20"/>
                <w:szCs w:val="20"/>
                <w:lang w:eastAsia="en-CA"/>
              </w:rPr>
              <w:t>6.00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2FD352E" w14:textId="77777777" w:rsidR="005746AE" w:rsidRPr="005746AE" w:rsidRDefault="005746AE" w:rsidP="005746AE">
            <w:pPr>
              <w:jc w:val="right"/>
              <w:rPr>
                <w:sz w:val="20"/>
                <w:szCs w:val="20"/>
                <w:lang w:eastAsia="en-CA"/>
              </w:rPr>
            </w:pPr>
            <w:r w:rsidRPr="005746AE">
              <w:rPr>
                <w:sz w:val="20"/>
                <w:szCs w:val="20"/>
                <w:lang w:eastAsia="en-CA"/>
              </w:rPr>
              <w:t>6.00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26EE040C" w14:textId="77777777" w:rsidR="005746AE" w:rsidRPr="005746AE" w:rsidRDefault="005746AE" w:rsidP="005746AE">
            <w:pPr>
              <w:jc w:val="right"/>
              <w:rPr>
                <w:sz w:val="20"/>
                <w:szCs w:val="20"/>
                <w:lang w:eastAsia="en-CA"/>
              </w:rPr>
            </w:pPr>
            <w:r w:rsidRPr="005746AE">
              <w:rPr>
                <w:sz w:val="20"/>
                <w:szCs w:val="20"/>
                <w:lang w:eastAsia="en-CA"/>
              </w:rPr>
              <w:t>6.00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141E0E23" w14:textId="77777777" w:rsidR="005746AE" w:rsidRPr="005746AE" w:rsidRDefault="005746AE" w:rsidP="005746AE">
            <w:pPr>
              <w:jc w:val="right"/>
              <w:rPr>
                <w:sz w:val="20"/>
                <w:szCs w:val="20"/>
                <w:lang w:eastAsia="en-CA"/>
              </w:rPr>
            </w:pPr>
            <w:r w:rsidRPr="005746AE">
              <w:rPr>
                <w:sz w:val="20"/>
                <w:szCs w:val="20"/>
                <w:lang w:eastAsia="en-CA"/>
              </w:rPr>
              <w:t>3.00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0111D05" w14:textId="77777777" w:rsidR="005746AE" w:rsidRPr="005746AE" w:rsidRDefault="005746AE" w:rsidP="005746AE">
            <w:pPr>
              <w:jc w:val="right"/>
              <w:rPr>
                <w:sz w:val="20"/>
                <w:szCs w:val="20"/>
                <w:lang w:eastAsia="en-CA"/>
              </w:rPr>
            </w:pPr>
            <w:r w:rsidRPr="005746AE">
              <w:rPr>
                <w:sz w:val="20"/>
                <w:szCs w:val="20"/>
                <w:lang w:eastAsia="en-CA"/>
              </w:rPr>
              <w:t>3.00</w:t>
            </w:r>
          </w:p>
        </w:tc>
        <w:tc>
          <w:tcPr>
            <w:tcW w:w="422" w:type="pct"/>
            <w:tcBorders>
              <w:top w:val="single" w:sz="4" w:space="0" w:color="auto"/>
              <w:left w:val="nil"/>
              <w:bottom w:val="single" w:sz="4" w:space="0" w:color="auto"/>
              <w:right w:val="single" w:sz="4" w:space="0" w:color="auto"/>
            </w:tcBorders>
            <w:tcMar>
              <w:left w:w="0" w:type="dxa"/>
              <w:right w:w="58" w:type="dxa"/>
            </w:tcMar>
          </w:tcPr>
          <w:p w14:paraId="0B932D86" w14:textId="77777777" w:rsidR="005746AE" w:rsidRPr="005746AE" w:rsidRDefault="005746AE" w:rsidP="005746AE">
            <w:pPr>
              <w:jc w:val="right"/>
              <w:rPr>
                <w:sz w:val="20"/>
                <w:szCs w:val="20"/>
                <w:lang w:eastAsia="en-CA"/>
              </w:rPr>
            </w:pPr>
            <w:r w:rsidRPr="005746AE">
              <w:rPr>
                <w:sz w:val="20"/>
                <w:szCs w:val="20"/>
                <w:lang w:eastAsia="en-CA"/>
              </w:rPr>
              <w:t>2.00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284625F4" w14:textId="77777777" w:rsidR="005746AE" w:rsidRPr="005746AE" w:rsidRDefault="005746AE" w:rsidP="005746AE">
            <w:pPr>
              <w:jc w:val="right"/>
              <w:rPr>
                <w:sz w:val="20"/>
                <w:szCs w:val="20"/>
                <w:lang w:eastAsia="en-CA"/>
              </w:rPr>
            </w:pPr>
            <w:r w:rsidRPr="005746AE">
              <w:rPr>
                <w:sz w:val="20"/>
                <w:szCs w:val="20"/>
                <w:lang w:eastAsia="en-CA"/>
              </w:rPr>
              <w:t>0</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262AC4EE" w14:textId="77777777" w:rsidR="005746AE" w:rsidRPr="005746AE" w:rsidRDefault="005746AE" w:rsidP="005746AE">
            <w:pPr>
              <w:jc w:val="right"/>
              <w:rPr>
                <w:sz w:val="20"/>
                <w:szCs w:val="20"/>
                <w:lang w:eastAsia="en-CA"/>
              </w:rPr>
            </w:pPr>
            <w:r w:rsidRPr="005746AE">
              <w:rPr>
                <w:sz w:val="20"/>
                <w:szCs w:val="20"/>
                <w:lang w:eastAsia="en-CA"/>
              </w:rPr>
              <w:t>n/a</w:t>
            </w:r>
          </w:p>
        </w:tc>
      </w:tr>
      <w:tr w:rsidR="005746AE" w:rsidRPr="005746AE" w14:paraId="481B27D2" w14:textId="77777777" w:rsidTr="005746AE">
        <w:trPr>
          <w:trHeight w:val="116"/>
          <w:jc w:val="center"/>
        </w:trPr>
        <w:tc>
          <w:tcPr>
            <w:tcW w:w="329" w:type="pct"/>
            <w:tcBorders>
              <w:top w:val="nil"/>
              <w:left w:val="single" w:sz="4" w:space="0" w:color="auto"/>
              <w:bottom w:val="single" w:sz="4" w:space="0" w:color="auto"/>
              <w:right w:val="single" w:sz="4" w:space="0" w:color="auto"/>
            </w:tcBorders>
            <w:shd w:val="clear" w:color="auto" w:fill="auto"/>
            <w:hideMark/>
          </w:tcPr>
          <w:p w14:paraId="707F2E5B" w14:textId="77777777" w:rsidR="005746AE" w:rsidRPr="005746AE" w:rsidRDefault="005746AE" w:rsidP="005746AE">
            <w:pPr>
              <w:jc w:val="left"/>
              <w:rPr>
                <w:sz w:val="20"/>
                <w:szCs w:val="20"/>
                <w:lang w:eastAsia="en-CA"/>
              </w:rPr>
            </w:pPr>
            <w:r w:rsidRPr="005746AE">
              <w:rPr>
                <w:sz w:val="20"/>
                <w:szCs w:val="20"/>
                <w:lang w:eastAsia="en-CA"/>
              </w:rPr>
              <w:t>2.1</w:t>
            </w:r>
          </w:p>
        </w:tc>
        <w:tc>
          <w:tcPr>
            <w:tcW w:w="1172" w:type="pct"/>
            <w:tcBorders>
              <w:top w:val="nil"/>
              <w:left w:val="nil"/>
              <w:bottom w:val="single" w:sz="4" w:space="0" w:color="auto"/>
              <w:right w:val="single" w:sz="4" w:space="0" w:color="auto"/>
            </w:tcBorders>
            <w:shd w:val="clear" w:color="auto" w:fill="auto"/>
            <w:hideMark/>
          </w:tcPr>
          <w:p w14:paraId="5A224FF8" w14:textId="7E667BD1" w:rsidR="005746AE" w:rsidRPr="005746AE" w:rsidRDefault="005746AE" w:rsidP="005746AE">
            <w:pPr>
              <w:jc w:val="left"/>
              <w:rPr>
                <w:sz w:val="20"/>
                <w:szCs w:val="20"/>
                <w:lang w:val="es-ES" w:eastAsia="en-CA"/>
              </w:rPr>
            </w:pPr>
            <w:r w:rsidRPr="005746AE">
              <w:rPr>
                <w:sz w:val="18"/>
                <w:szCs w:val="18"/>
                <w:lang w:val="es-MX"/>
              </w:rPr>
              <w:t>Financiación convenida para el organismo de ejecución principal (PNUMA)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7162C11F" w14:textId="77777777" w:rsidR="005746AE" w:rsidRPr="005746AE" w:rsidRDefault="005746AE" w:rsidP="005746AE">
            <w:pPr>
              <w:jc w:val="right"/>
              <w:rPr>
                <w:sz w:val="20"/>
                <w:szCs w:val="20"/>
                <w:lang w:eastAsia="en-CA"/>
              </w:rPr>
            </w:pPr>
            <w:r w:rsidRPr="005746AE">
              <w:rPr>
                <w:sz w:val="20"/>
                <w:szCs w:val="20"/>
                <w:lang w:eastAsia="en-CA"/>
              </w:rPr>
              <w:t>140,000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7497AEE8"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7A1DE2CE" w14:textId="77777777" w:rsidR="005746AE" w:rsidRPr="005746AE" w:rsidRDefault="005746AE" w:rsidP="005746AE">
            <w:pPr>
              <w:jc w:val="right"/>
              <w:rPr>
                <w:sz w:val="20"/>
                <w:szCs w:val="20"/>
                <w:lang w:eastAsia="en-CA"/>
              </w:rPr>
            </w:pPr>
            <w:r w:rsidRPr="005746AE">
              <w:rPr>
                <w:sz w:val="20"/>
                <w:szCs w:val="20"/>
                <w:lang w:eastAsia="en-CA"/>
              </w:rPr>
              <w:t>160,000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792E1A9"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8E7EEBC" w14:textId="77777777" w:rsidR="005746AE" w:rsidRPr="005746AE" w:rsidRDefault="005746AE" w:rsidP="005746AE">
            <w:pPr>
              <w:jc w:val="right"/>
              <w:rPr>
                <w:sz w:val="20"/>
                <w:szCs w:val="20"/>
                <w:lang w:eastAsia="en-CA"/>
              </w:rPr>
            </w:pPr>
            <w:r w:rsidRPr="005746AE">
              <w:rPr>
                <w:sz w:val="20"/>
                <w:szCs w:val="20"/>
                <w:lang w:eastAsia="en-CA"/>
              </w:rPr>
              <w:t>185,000</w:t>
            </w:r>
          </w:p>
        </w:tc>
        <w:tc>
          <w:tcPr>
            <w:tcW w:w="422" w:type="pct"/>
            <w:tcBorders>
              <w:top w:val="single" w:sz="4" w:space="0" w:color="auto"/>
              <w:left w:val="nil"/>
              <w:bottom w:val="single" w:sz="4" w:space="0" w:color="auto"/>
              <w:right w:val="single" w:sz="4" w:space="0" w:color="auto"/>
            </w:tcBorders>
            <w:tcMar>
              <w:left w:w="0" w:type="dxa"/>
              <w:right w:w="58" w:type="dxa"/>
            </w:tcMar>
          </w:tcPr>
          <w:p w14:paraId="44BE49B6"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531E936C" w14:textId="77777777" w:rsidR="005746AE" w:rsidRPr="005746AE" w:rsidRDefault="005746AE" w:rsidP="005746AE">
            <w:pPr>
              <w:jc w:val="right"/>
              <w:rPr>
                <w:sz w:val="20"/>
                <w:szCs w:val="20"/>
                <w:lang w:eastAsia="en-CA"/>
              </w:rPr>
            </w:pPr>
            <w:r w:rsidRPr="005746AE">
              <w:rPr>
                <w:sz w:val="20"/>
                <w:szCs w:val="20"/>
                <w:lang w:eastAsia="en-CA"/>
              </w:rPr>
              <w:t>115,000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70A7AF0" w14:textId="77777777" w:rsidR="005746AE" w:rsidRPr="005746AE" w:rsidRDefault="005746AE" w:rsidP="005746AE">
            <w:pPr>
              <w:jc w:val="right"/>
              <w:rPr>
                <w:sz w:val="20"/>
                <w:szCs w:val="20"/>
                <w:lang w:eastAsia="en-CA"/>
              </w:rPr>
            </w:pPr>
            <w:r w:rsidRPr="005746AE">
              <w:rPr>
                <w:sz w:val="20"/>
                <w:szCs w:val="20"/>
                <w:lang w:eastAsia="en-CA"/>
              </w:rPr>
              <w:t>600,000</w:t>
            </w:r>
          </w:p>
        </w:tc>
      </w:tr>
      <w:tr w:rsidR="005746AE" w:rsidRPr="005746AE" w14:paraId="14270CD3" w14:textId="77777777" w:rsidTr="005746AE">
        <w:trPr>
          <w:trHeight w:val="56"/>
          <w:jc w:val="center"/>
        </w:trPr>
        <w:tc>
          <w:tcPr>
            <w:tcW w:w="329" w:type="pct"/>
            <w:tcBorders>
              <w:top w:val="nil"/>
              <w:left w:val="single" w:sz="4" w:space="0" w:color="auto"/>
              <w:bottom w:val="single" w:sz="4" w:space="0" w:color="auto"/>
              <w:right w:val="single" w:sz="4" w:space="0" w:color="auto"/>
            </w:tcBorders>
            <w:shd w:val="clear" w:color="auto" w:fill="auto"/>
            <w:hideMark/>
          </w:tcPr>
          <w:p w14:paraId="54D38CF0" w14:textId="77777777" w:rsidR="005746AE" w:rsidRPr="005746AE" w:rsidRDefault="005746AE" w:rsidP="005746AE">
            <w:pPr>
              <w:jc w:val="left"/>
              <w:rPr>
                <w:sz w:val="20"/>
                <w:szCs w:val="20"/>
                <w:lang w:eastAsia="en-CA"/>
              </w:rPr>
            </w:pPr>
            <w:r w:rsidRPr="005746AE">
              <w:rPr>
                <w:sz w:val="20"/>
                <w:szCs w:val="20"/>
                <w:lang w:eastAsia="en-CA"/>
              </w:rPr>
              <w:t>2.2</w:t>
            </w:r>
          </w:p>
        </w:tc>
        <w:tc>
          <w:tcPr>
            <w:tcW w:w="1172" w:type="pct"/>
            <w:tcBorders>
              <w:top w:val="nil"/>
              <w:left w:val="nil"/>
              <w:bottom w:val="single" w:sz="4" w:space="0" w:color="auto"/>
              <w:right w:val="single" w:sz="4" w:space="0" w:color="auto"/>
            </w:tcBorders>
            <w:shd w:val="clear" w:color="auto" w:fill="auto"/>
            <w:hideMark/>
          </w:tcPr>
          <w:p w14:paraId="52D2B15F" w14:textId="7B381503" w:rsidR="005746AE" w:rsidRPr="005746AE" w:rsidRDefault="005746AE" w:rsidP="005746AE">
            <w:pPr>
              <w:jc w:val="left"/>
              <w:rPr>
                <w:sz w:val="20"/>
                <w:szCs w:val="20"/>
                <w:lang w:val="es-ES" w:eastAsia="en-CA"/>
              </w:rPr>
            </w:pPr>
            <w:r w:rsidRPr="005746AE">
              <w:rPr>
                <w:sz w:val="18"/>
                <w:szCs w:val="18"/>
                <w:lang w:val="es-MX"/>
              </w:rPr>
              <w:t>Gastos de apoyo para el organismo de ejecución principal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77EB6FB6" w14:textId="77777777" w:rsidR="005746AE" w:rsidRPr="005746AE" w:rsidRDefault="005746AE" w:rsidP="005746AE">
            <w:pPr>
              <w:jc w:val="right"/>
              <w:rPr>
                <w:sz w:val="20"/>
                <w:szCs w:val="20"/>
                <w:lang w:eastAsia="en-CA"/>
              </w:rPr>
            </w:pPr>
            <w:r w:rsidRPr="005746AE">
              <w:rPr>
                <w:sz w:val="20"/>
                <w:szCs w:val="20"/>
                <w:lang w:eastAsia="en-CA"/>
              </w:rPr>
              <w:t>17,733</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1E299008"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3B874093" w14:textId="77777777" w:rsidR="005746AE" w:rsidRPr="005746AE" w:rsidRDefault="005746AE" w:rsidP="005746AE">
            <w:pPr>
              <w:jc w:val="right"/>
              <w:rPr>
                <w:sz w:val="20"/>
                <w:szCs w:val="20"/>
                <w:lang w:eastAsia="en-CA"/>
              </w:rPr>
            </w:pPr>
            <w:r w:rsidRPr="005746AE">
              <w:rPr>
                <w:sz w:val="20"/>
                <w:szCs w:val="20"/>
                <w:lang w:eastAsia="en-CA"/>
              </w:rPr>
              <w:t>20,267</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4EC50DAF"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78AADAF2" w14:textId="77777777" w:rsidR="005746AE" w:rsidRPr="005746AE" w:rsidRDefault="005746AE" w:rsidP="005746AE">
            <w:pPr>
              <w:jc w:val="right"/>
              <w:rPr>
                <w:sz w:val="20"/>
                <w:szCs w:val="20"/>
                <w:lang w:eastAsia="en-CA"/>
              </w:rPr>
            </w:pPr>
            <w:r w:rsidRPr="005746AE">
              <w:rPr>
                <w:sz w:val="20"/>
                <w:szCs w:val="20"/>
                <w:lang w:eastAsia="en-CA"/>
              </w:rPr>
              <w:t>23,433</w:t>
            </w:r>
          </w:p>
        </w:tc>
        <w:tc>
          <w:tcPr>
            <w:tcW w:w="422" w:type="pct"/>
            <w:tcBorders>
              <w:top w:val="single" w:sz="4" w:space="0" w:color="auto"/>
              <w:left w:val="nil"/>
              <w:bottom w:val="single" w:sz="4" w:space="0" w:color="auto"/>
              <w:right w:val="single" w:sz="4" w:space="0" w:color="auto"/>
            </w:tcBorders>
            <w:tcMar>
              <w:left w:w="0" w:type="dxa"/>
              <w:right w:w="58" w:type="dxa"/>
            </w:tcMar>
          </w:tcPr>
          <w:p w14:paraId="4D9E7717"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534B8CE3" w14:textId="77777777" w:rsidR="005746AE" w:rsidRPr="005746AE" w:rsidRDefault="005746AE" w:rsidP="005746AE">
            <w:pPr>
              <w:jc w:val="right"/>
              <w:rPr>
                <w:sz w:val="20"/>
                <w:szCs w:val="20"/>
                <w:lang w:eastAsia="en-CA"/>
              </w:rPr>
            </w:pPr>
            <w:r w:rsidRPr="005746AE">
              <w:rPr>
                <w:sz w:val="20"/>
                <w:szCs w:val="20"/>
                <w:lang w:eastAsia="en-CA"/>
              </w:rPr>
              <w:t>14,567</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468D103" w14:textId="77777777" w:rsidR="005746AE" w:rsidRPr="005746AE" w:rsidRDefault="005746AE" w:rsidP="005746AE">
            <w:pPr>
              <w:jc w:val="right"/>
              <w:rPr>
                <w:sz w:val="20"/>
                <w:szCs w:val="20"/>
                <w:lang w:eastAsia="en-CA"/>
              </w:rPr>
            </w:pPr>
            <w:r w:rsidRPr="005746AE">
              <w:rPr>
                <w:sz w:val="20"/>
                <w:szCs w:val="20"/>
                <w:lang w:eastAsia="en-CA"/>
              </w:rPr>
              <w:t>76,000</w:t>
            </w:r>
          </w:p>
        </w:tc>
      </w:tr>
      <w:tr w:rsidR="005746AE" w:rsidRPr="005746AE" w14:paraId="194843C2" w14:textId="77777777" w:rsidTr="005746AE">
        <w:trPr>
          <w:trHeight w:val="161"/>
          <w:jc w:val="center"/>
        </w:trPr>
        <w:tc>
          <w:tcPr>
            <w:tcW w:w="329" w:type="pct"/>
            <w:tcBorders>
              <w:top w:val="nil"/>
              <w:left w:val="single" w:sz="4" w:space="0" w:color="auto"/>
              <w:bottom w:val="single" w:sz="4" w:space="0" w:color="auto"/>
              <w:right w:val="single" w:sz="4" w:space="0" w:color="auto"/>
            </w:tcBorders>
            <w:shd w:val="clear" w:color="auto" w:fill="auto"/>
            <w:hideMark/>
          </w:tcPr>
          <w:p w14:paraId="3923BEFD" w14:textId="77777777" w:rsidR="005746AE" w:rsidRPr="005746AE" w:rsidRDefault="005746AE" w:rsidP="005746AE">
            <w:pPr>
              <w:jc w:val="left"/>
              <w:rPr>
                <w:sz w:val="20"/>
                <w:szCs w:val="20"/>
                <w:lang w:eastAsia="en-CA"/>
              </w:rPr>
            </w:pPr>
            <w:r w:rsidRPr="005746AE">
              <w:rPr>
                <w:sz w:val="20"/>
                <w:szCs w:val="20"/>
                <w:lang w:eastAsia="en-CA"/>
              </w:rPr>
              <w:t>2.3</w:t>
            </w:r>
          </w:p>
        </w:tc>
        <w:tc>
          <w:tcPr>
            <w:tcW w:w="1172" w:type="pct"/>
            <w:tcBorders>
              <w:top w:val="nil"/>
              <w:left w:val="nil"/>
              <w:bottom w:val="single" w:sz="4" w:space="0" w:color="auto"/>
              <w:right w:val="single" w:sz="4" w:space="0" w:color="auto"/>
            </w:tcBorders>
            <w:shd w:val="clear" w:color="auto" w:fill="auto"/>
            <w:hideMark/>
          </w:tcPr>
          <w:p w14:paraId="2B62BC90" w14:textId="419C7DDF" w:rsidR="005746AE" w:rsidRPr="005746AE" w:rsidRDefault="005746AE" w:rsidP="005746AE">
            <w:pPr>
              <w:jc w:val="left"/>
              <w:rPr>
                <w:sz w:val="20"/>
                <w:szCs w:val="20"/>
                <w:lang w:val="es-ES" w:eastAsia="en-CA"/>
              </w:rPr>
            </w:pPr>
            <w:r w:rsidRPr="005746AE">
              <w:rPr>
                <w:sz w:val="18"/>
                <w:szCs w:val="18"/>
                <w:lang w:val="es-MX"/>
              </w:rPr>
              <w:t>Financiación convenida para organismo de ejecución cooperante (PNUD)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5E8B330" w14:textId="77777777" w:rsidR="005746AE" w:rsidRPr="005746AE" w:rsidRDefault="005746AE" w:rsidP="005746AE">
            <w:pPr>
              <w:jc w:val="right"/>
              <w:rPr>
                <w:sz w:val="20"/>
                <w:szCs w:val="20"/>
                <w:lang w:eastAsia="en-CA"/>
              </w:rPr>
            </w:pPr>
            <w:r w:rsidRPr="005746AE">
              <w:rPr>
                <w:sz w:val="20"/>
                <w:szCs w:val="20"/>
                <w:lang w:eastAsia="en-CA"/>
              </w:rPr>
              <w:t>218,000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4B2EE7DE"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18208A9" w14:textId="77777777" w:rsidR="005746AE" w:rsidRPr="005746AE" w:rsidRDefault="005746AE" w:rsidP="005746AE">
            <w:pPr>
              <w:jc w:val="right"/>
              <w:rPr>
                <w:sz w:val="20"/>
                <w:szCs w:val="20"/>
                <w:lang w:eastAsia="en-CA"/>
              </w:rPr>
            </w:pPr>
            <w:r w:rsidRPr="005746AE">
              <w:rPr>
                <w:sz w:val="20"/>
                <w:szCs w:val="20"/>
                <w:lang w:eastAsia="en-CA"/>
              </w:rPr>
              <w:t>210,500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54933381"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2E2BBC39" w14:textId="77777777" w:rsidR="005746AE" w:rsidRPr="005746AE" w:rsidRDefault="005746AE" w:rsidP="005746AE">
            <w:pPr>
              <w:jc w:val="right"/>
              <w:rPr>
                <w:sz w:val="20"/>
                <w:szCs w:val="20"/>
                <w:lang w:eastAsia="en-CA"/>
              </w:rPr>
            </w:pPr>
            <w:r w:rsidRPr="005746AE">
              <w:rPr>
                <w:sz w:val="20"/>
                <w:szCs w:val="20"/>
                <w:lang w:eastAsia="en-CA"/>
              </w:rPr>
              <w:t>96,500</w:t>
            </w:r>
          </w:p>
        </w:tc>
        <w:tc>
          <w:tcPr>
            <w:tcW w:w="422" w:type="pct"/>
            <w:tcBorders>
              <w:top w:val="single" w:sz="4" w:space="0" w:color="auto"/>
              <w:left w:val="nil"/>
              <w:bottom w:val="single" w:sz="4" w:space="0" w:color="auto"/>
              <w:right w:val="single" w:sz="4" w:space="0" w:color="auto"/>
            </w:tcBorders>
            <w:tcMar>
              <w:left w:w="0" w:type="dxa"/>
              <w:right w:w="58" w:type="dxa"/>
            </w:tcMar>
          </w:tcPr>
          <w:p w14:paraId="5EE0A0CF"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6A8617B0" w14:textId="77777777" w:rsidR="005746AE" w:rsidRPr="005746AE" w:rsidRDefault="005746AE" w:rsidP="005746AE">
            <w:pPr>
              <w:jc w:val="right"/>
              <w:rPr>
                <w:sz w:val="20"/>
                <w:szCs w:val="20"/>
                <w:lang w:eastAsia="en-CA"/>
              </w:rPr>
            </w:pPr>
            <w:r w:rsidRPr="005746AE">
              <w:rPr>
                <w:sz w:val="20"/>
                <w:szCs w:val="20"/>
                <w:lang w:eastAsia="en-CA"/>
              </w:rPr>
              <w:t>0</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3547A9C2" w14:textId="77777777" w:rsidR="005746AE" w:rsidRPr="005746AE" w:rsidRDefault="005746AE" w:rsidP="005746AE">
            <w:pPr>
              <w:jc w:val="right"/>
              <w:rPr>
                <w:sz w:val="20"/>
                <w:szCs w:val="20"/>
                <w:lang w:eastAsia="en-CA"/>
              </w:rPr>
            </w:pPr>
            <w:r w:rsidRPr="005746AE">
              <w:rPr>
                <w:sz w:val="20"/>
                <w:szCs w:val="20"/>
                <w:lang w:eastAsia="en-CA"/>
              </w:rPr>
              <w:t>525,000</w:t>
            </w:r>
          </w:p>
        </w:tc>
      </w:tr>
      <w:tr w:rsidR="005746AE" w:rsidRPr="005746AE" w14:paraId="278CC8A2" w14:textId="77777777" w:rsidTr="005746AE">
        <w:trPr>
          <w:trHeight w:val="60"/>
          <w:jc w:val="center"/>
        </w:trPr>
        <w:tc>
          <w:tcPr>
            <w:tcW w:w="329" w:type="pct"/>
            <w:tcBorders>
              <w:top w:val="nil"/>
              <w:left w:val="single" w:sz="4" w:space="0" w:color="auto"/>
              <w:bottom w:val="single" w:sz="4" w:space="0" w:color="auto"/>
              <w:right w:val="single" w:sz="4" w:space="0" w:color="auto"/>
            </w:tcBorders>
            <w:shd w:val="clear" w:color="auto" w:fill="auto"/>
            <w:hideMark/>
          </w:tcPr>
          <w:p w14:paraId="045C1982" w14:textId="77777777" w:rsidR="005746AE" w:rsidRPr="005746AE" w:rsidRDefault="005746AE" w:rsidP="005746AE">
            <w:pPr>
              <w:jc w:val="left"/>
              <w:rPr>
                <w:sz w:val="20"/>
                <w:szCs w:val="20"/>
                <w:lang w:eastAsia="en-CA"/>
              </w:rPr>
            </w:pPr>
            <w:r w:rsidRPr="005746AE">
              <w:rPr>
                <w:sz w:val="20"/>
                <w:szCs w:val="20"/>
                <w:lang w:eastAsia="en-CA"/>
              </w:rPr>
              <w:t>2.4</w:t>
            </w:r>
          </w:p>
        </w:tc>
        <w:tc>
          <w:tcPr>
            <w:tcW w:w="1172" w:type="pct"/>
            <w:tcBorders>
              <w:top w:val="nil"/>
              <w:left w:val="nil"/>
              <w:bottom w:val="single" w:sz="4" w:space="0" w:color="auto"/>
              <w:right w:val="single" w:sz="4" w:space="0" w:color="auto"/>
            </w:tcBorders>
            <w:shd w:val="clear" w:color="auto" w:fill="auto"/>
            <w:hideMark/>
          </w:tcPr>
          <w:p w14:paraId="5C4B5443" w14:textId="31DF34BA" w:rsidR="005746AE" w:rsidRPr="005746AE" w:rsidRDefault="005746AE" w:rsidP="005746AE">
            <w:pPr>
              <w:jc w:val="left"/>
              <w:rPr>
                <w:sz w:val="20"/>
                <w:szCs w:val="20"/>
                <w:lang w:val="es-ES" w:eastAsia="en-CA"/>
              </w:rPr>
            </w:pPr>
            <w:r w:rsidRPr="005746AE">
              <w:rPr>
                <w:sz w:val="18"/>
                <w:szCs w:val="18"/>
                <w:lang w:val="es-MX"/>
              </w:rPr>
              <w:t>Gastos de apoyo para el organismo de ejecución cooperante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50EC657B" w14:textId="77777777" w:rsidR="005746AE" w:rsidRPr="005746AE" w:rsidRDefault="005746AE" w:rsidP="005746AE">
            <w:pPr>
              <w:jc w:val="right"/>
              <w:rPr>
                <w:sz w:val="20"/>
                <w:szCs w:val="20"/>
                <w:lang w:eastAsia="en-CA"/>
              </w:rPr>
            </w:pPr>
            <w:r w:rsidRPr="005746AE">
              <w:rPr>
                <w:sz w:val="20"/>
                <w:szCs w:val="20"/>
                <w:lang w:eastAsia="en-CA"/>
              </w:rPr>
              <w:t>15,260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17FE030B"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6C76AEE" w14:textId="77777777" w:rsidR="005746AE" w:rsidRPr="005746AE" w:rsidRDefault="005746AE" w:rsidP="005746AE">
            <w:pPr>
              <w:jc w:val="right"/>
              <w:rPr>
                <w:sz w:val="20"/>
                <w:szCs w:val="20"/>
                <w:lang w:eastAsia="en-CA"/>
              </w:rPr>
            </w:pPr>
            <w:r w:rsidRPr="005746AE">
              <w:rPr>
                <w:sz w:val="20"/>
                <w:szCs w:val="20"/>
                <w:lang w:eastAsia="en-CA"/>
              </w:rPr>
              <w:t>14,735</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2B5DED33"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4D6194F8" w14:textId="77777777" w:rsidR="005746AE" w:rsidRPr="005746AE" w:rsidRDefault="005746AE" w:rsidP="005746AE">
            <w:pPr>
              <w:jc w:val="right"/>
              <w:rPr>
                <w:sz w:val="20"/>
                <w:szCs w:val="20"/>
                <w:lang w:eastAsia="en-CA"/>
              </w:rPr>
            </w:pPr>
            <w:r w:rsidRPr="005746AE">
              <w:rPr>
                <w:sz w:val="20"/>
                <w:szCs w:val="20"/>
                <w:lang w:eastAsia="en-CA"/>
              </w:rPr>
              <w:t>6,755</w:t>
            </w:r>
          </w:p>
        </w:tc>
        <w:tc>
          <w:tcPr>
            <w:tcW w:w="422" w:type="pct"/>
            <w:tcBorders>
              <w:top w:val="single" w:sz="4" w:space="0" w:color="auto"/>
              <w:left w:val="nil"/>
              <w:bottom w:val="single" w:sz="4" w:space="0" w:color="auto"/>
              <w:right w:val="single" w:sz="4" w:space="0" w:color="auto"/>
            </w:tcBorders>
            <w:tcMar>
              <w:left w:w="0" w:type="dxa"/>
              <w:right w:w="58" w:type="dxa"/>
            </w:tcMar>
          </w:tcPr>
          <w:p w14:paraId="339CC6F6"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20898F2E" w14:textId="77777777" w:rsidR="005746AE" w:rsidRPr="005746AE" w:rsidRDefault="005746AE" w:rsidP="005746AE">
            <w:pPr>
              <w:jc w:val="right"/>
              <w:rPr>
                <w:sz w:val="20"/>
                <w:szCs w:val="20"/>
                <w:lang w:eastAsia="en-CA"/>
              </w:rPr>
            </w:pPr>
            <w:r w:rsidRPr="005746AE">
              <w:rPr>
                <w:sz w:val="20"/>
                <w:szCs w:val="20"/>
                <w:lang w:eastAsia="en-CA"/>
              </w:rPr>
              <w:t>0</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84699F2" w14:textId="77777777" w:rsidR="005746AE" w:rsidRPr="005746AE" w:rsidRDefault="005746AE" w:rsidP="005746AE">
            <w:pPr>
              <w:jc w:val="right"/>
              <w:rPr>
                <w:sz w:val="20"/>
                <w:szCs w:val="20"/>
                <w:lang w:eastAsia="en-CA"/>
              </w:rPr>
            </w:pPr>
            <w:r w:rsidRPr="005746AE">
              <w:rPr>
                <w:sz w:val="20"/>
                <w:szCs w:val="20"/>
                <w:lang w:eastAsia="en-CA"/>
              </w:rPr>
              <w:t>36,750</w:t>
            </w:r>
          </w:p>
        </w:tc>
      </w:tr>
      <w:tr w:rsidR="005746AE" w:rsidRPr="005746AE" w14:paraId="681B16C7" w14:textId="77777777" w:rsidTr="005746AE">
        <w:trPr>
          <w:trHeight w:val="62"/>
          <w:jc w:val="center"/>
        </w:trPr>
        <w:tc>
          <w:tcPr>
            <w:tcW w:w="329" w:type="pct"/>
            <w:tcBorders>
              <w:top w:val="nil"/>
              <w:left w:val="single" w:sz="4" w:space="0" w:color="auto"/>
              <w:bottom w:val="single" w:sz="4" w:space="0" w:color="auto"/>
              <w:right w:val="single" w:sz="4" w:space="0" w:color="auto"/>
            </w:tcBorders>
            <w:shd w:val="clear" w:color="auto" w:fill="auto"/>
            <w:hideMark/>
          </w:tcPr>
          <w:p w14:paraId="5EF9C205" w14:textId="77777777" w:rsidR="005746AE" w:rsidRPr="005746AE" w:rsidRDefault="005746AE" w:rsidP="005746AE">
            <w:pPr>
              <w:jc w:val="left"/>
              <w:rPr>
                <w:sz w:val="20"/>
                <w:szCs w:val="20"/>
                <w:lang w:eastAsia="en-CA"/>
              </w:rPr>
            </w:pPr>
            <w:r w:rsidRPr="005746AE">
              <w:rPr>
                <w:sz w:val="20"/>
                <w:szCs w:val="20"/>
                <w:lang w:eastAsia="en-CA"/>
              </w:rPr>
              <w:t>3.1</w:t>
            </w:r>
          </w:p>
        </w:tc>
        <w:tc>
          <w:tcPr>
            <w:tcW w:w="1172" w:type="pct"/>
            <w:tcBorders>
              <w:top w:val="nil"/>
              <w:left w:val="nil"/>
              <w:bottom w:val="single" w:sz="4" w:space="0" w:color="auto"/>
              <w:right w:val="single" w:sz="4" w:space="0" w:color="auto"/>
            </w:tcBorders>
            <w:shd w:val="clear" w:color="auto" w:fill="auto"/>
            <w:hideMark/>
          </w:tcPr>
          <w:p w14:paraId="2E952B7C" w14:textId="3F8C1324" w:rsidR="005746AE" w:rsidRPr="005746AE" w:rsidRDefault="005746AE" w:rsidP="005746AE">
            <w:pPr>
              <w:jc w:val="left"/>
              <w:rPr>
                <w:sz w:val="20"/>
                <w:szCs w:val="20"/>
                <w:lang w:eastAsia="en-CA"/>
              </w:rPr>
            </w:pPr>
            <w:r w:rsidRPr="005746AE">
              <w:rPr>
                <w:sz w:val="18"/>
                <w:szCs w:val="18"/>
                <w:lang w:val="es-MX"/>
              </w:rPr>
              <w:t>Financiación total convenida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2BB1FC94" w14:textId="77777777" w:rsidR="005746AE" w:rsidRPr="005746AE" w:rsidRDefault="005746AE" w:rsidP="005746AE">
            <w:pPr>
              <w:jc w:val="right"/>
              <w:rPr>
                <w:sz w:val="20"/>
                <w:szCs w:val="20"/>
                <w:lang w:eastAsia="en-CA"/>
              </w:rPr>
            </w:pPr>
            <w:r w:rsidRPr="005746AE">
              <w:rPr>
                <w:sz w:val="20"/>
                <w:szCs w:val="20"/>
                <w:lang w:eastAsia="en-CA"/>
              </w:rPr>
              <w:t>358,000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6338D02"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2B57E5C" w14:textId="77777777" w:rsidR="005746AE" w:rsidRPr="005746AE" w:rsidRDefault="005746AE" w:rsidP="005746AE">
            <w:pPr>
              <w:jc w:val="right"/>
              <w:rPr>
                <w:sz w:val="20"/>
                <w:szCs w:val="20"/>
                <w:lang w:eastAsia="en-CA"/>
              </w:rPr>
            </w:pPr>
            <w:r w:rsidRPr="005746AE">
              <w:rPr>
                <w:sz w:val="20"/>
                <w:szCs w:val="20"/>
                <w:lang w:eastAsia="en-CA"/>
              </w:rPr>
              <w:t>370,500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7BD7A31"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B05A3C8" w14:textId="77777777" w:rsidR="005746AE" w:rsidRPr="005746AE" w:rsidRDefault="005746AE" w:rsidP="005746AE">
            <w:pPr>
              <w:jc w:val="right"/>
              <w:rPr>
                <w:sz w:val="20"/>
                <w:szCs w:val="20"/>
                <w:lang w:eastAsia="en-CA"/>
              </w:rPr>
            </w:pPr>
            <w:r w:rsidRPr="005746AE">
              <w:rPr>
                <w:sz w:val="20"/>
                <w:szCs w:val="20"/>
                <w:lang w:eastAsia="en-CA"/>
              </w:rPr>
              <w:t>281,500</w:t>
            </w:r>
          </w:p>
        </w:tc>
        <w:tc>
          <w:tcPr>
            <w:tcW w:w="422" w:type="pct"/>
            <w:tcBorders>
              <w:top w:val="single" w:sz="4" w:space="0" w:color="auto"/>
              <w:left w:val="nil"/>
              <w:bottom w:val="single" w:sz="4" w:space="0" w:color="auto"/>
              <w:right w:val="single" w:sz="4" w:space="0" w:color="auto"/>
            </w:tcBorders>
            <w:tcMar>
              <w:left w:w="0" w:type="dxa"/>
              <w:right w:w="58" w:type="dxa"/>
            </w:tcMar>
          </w:tcPr>
          <w:p w14:paraId="526924C5"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26B46FD0" w14:textId="77777777" w:rsidR="005746AE" w:rsidRPr="005746AE" w:rsidRDefault="005746AE" w:rsidP="005746AE">
            <w:pPr>
              <w:jc w:val="right"/>
              <w:rPr>
                <w:sz w:val="20"/>
                <w:szCs w:val="20"/>
                <w:lang w:eastAsia="en-CA"/>
              </w:rPr>
            </w:pPr>
            <w:r w:rsidRPr="005746AE">
              <w:rPr>
                <w:sz w:val="20"/>
                <w:szCs w:val="20"/>
                <w:lang w:eastAsia="en-CA"/>
              </w:rPr>
              <w:t>115,000</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33234A8" w14:textId="77777777" w:rsidR="005746AE" w:rsidRPr="005746AE" w:rsidRDefault="005746AE" w:rsidP="005746AE">
            <w:pPr>
              <w:jc w:val="right"/>
              <w:rPr>
                <w:sz w:val="20"/>
                <w:szCs w:val="20"/>
                <w:lang w:eastAsia="en-CA"/>
              </w:rPr>
            </w:pPr>
            <w:r w:rsidRPr="005746AE">
              <w:rPr>
                <w:sz w:val="20"/>
                <w:szCs w:val="20"/>
                <w:lang w:eastAsia="en-CA"/>
              </w:rPr>
              <w:t>1,125,000</w:t>
            </w:r>
          </w:p>
        </w:tc>
      </w:tr>
      <w:tr w:rsidR="005746AE" w:rsidRPr="005746AE" w14:paraId="05B3CC97" w14:textId="77777777" w:rsidTr="005746AE">
        <w:trPr>
          <w:trHeight w:val="62"/>
          <w:jc w:val="center"/>
        </w:trPr>
        <w:tc>
          <w:tcPr>
            <w:tcW w:w="329" w:type="pct"/>
            <w:tcBorders>
              <w:top w:val="nil"/>
              <w:left w:val="single" w:sz="4" w:space="0" w:color="auto"/>
              <w:bottom w:val="single" w:sz="4" w:space="0" w:color="auto"/>
              <w:right w:val="single" w:sz="4" w:space="0" w:color="auto"/>
            </w:tcBorders>
            <w:shd w:val="clear" w:color="auto" w:fill="auto"/>
            <w:hideMark/>
          </w:tcPr>
          <w:p w14:paraId="7245B2F9" w14:textId="77777777" w:rsidR="005746AE" w:rsidRPr="005746AE" w:rsidRDefault="005746AE" w:rsidP="005746AE">
            <w:pPr>
              <w:jc w:val="left"/>
              <w:rPr>
                <w:sz w:val="20"/>
                <w:szCs w:val="20"/>
                <w:lang w:eastAsia="en-CA"/>
              </w:rPr>
            </w:pPr>
            <w:r w:rsidRPr="005746AE">
              <w:rPr>
                <w:sz w:val="20"/>
                <w:szCs w:val="20"/>
                <w:lang w:eastAsia="en-CA"/>
              </w:rPr>
              <w:t>3.2</w:t>
            </w:r>
          </w:p>
        </w:tc>
        <w:tc>
          <w:tcPr>
            <w:tcW w:w="1172" w:type="pct"/>
            <w:tcBorders>
              <w:top w:val="nil"/>
              <w:left w:val="nil"/>
              <w:bottom w:val="single" w:sz="4" w:space="0" w:color="auto"/>
              <w:right w:val="single" w:sz="4" w:space="0" w:color="auto"/>
            </w:tcBorders>
            <w:shd w:val="clear" w:color="auto" w:fill="auto"/>
            <w:hideMark/>
          </w:tcPr>
          <w:p w14:paraId="76EFDCC3" w14:textId="1F3ABA3F" w:rsidR="005746AE" w:rsidRPr="005746AE" w:rsidRDefault="005746AE" w:rsidP="005746AE">
            <w:pPr>
              <w:jc w:val="left"/>
              <w:rPr>
                <w:sz w:val="20"/>
                <w:szCs w:val="20"/>
                <w:lang w:val="es-ES" w:eastAsia="en-CA"/>
              </w:rPr>
            </w:pPr>
            <w:r w:rsidRPr="005746AE">
              <w:rPr>
                <w:sz w:val="18"/>
                <w:szCs w:val="18"/>
                <w:lang w:val="es-MX"/>
              </w:rPr>
              <w:t>Total gastos de apoyo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AF50AAA" w14:textId="77777777" w:rsidR="005746AE" w:rsidRPr="005746AE" w:rsidRDefault="005746AE" w:rsidP="005746AE">
            <w:pPr>
              <w:jc w:val="right"/>
              <w:rPr>
                <w:sz w:val="20"/>
                <w:szCs w:val="20"/>
                <w:lang w:eastAsia="en-CA"/>
              </w:rPr>
            </w:pPr>
            <w:r w:rsidRPr="005746AE">
              <w:rPr>
                <w:sz w:val="20"/>
                <w:szCs w:val="20"/>
                <w:lang w:eastAsia="en-CA"/>
              </w:rPr>
              <w:t>32,993</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55A71644"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060E07F2" w14:textId="77777777" w:rsidR="005746AE" w:rsidRPr="005746AE" w:rsidRDefault="005746AE" w:rsidP="005746AE">
            <w:pPr>
              <w:jc w:val="right"/>
              <w:rPr>
                <w:sz w:val="20"/>
                <w:szCs w:val="20"/>
                <w:lang w:eastAsia="en-CA"/>
              </w:rPr>
            </w:pPr>
            <w:r w:rsidRPr="005746AE">
              <w:rPr>
                <w:sz w:val="20"/>
                <w:szCs w:val="20"/>
                <w:lang w:eastAsia="en-CA"/>
              </w:rPr>
              <w:t>35,002</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3538F33"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17A991E3" w14:textId="77777777" w:rsidR="005746AE" w:rsidRPr="005746AE" w:rsidRDefault="005746AE" w:rsidP="005746AE">
            <w:pPr>
              <w:jc w:val="right"/>
              <w:rPr>
                <w:sz w:val="20"/>
                <w:szCs w:val="20"/>
                <w:lang w:eastAsia="en-CA"/>
              </w:rPr>
            </w:pPr>
            <w:r w:rsidRPr="005746AE">
              <w:rPr>
                <w:sz w:val="20"/>
                <w:szCs w:val="20"/>
                <w:lang w:eastAsia="en-CA"/>
              </w:rPr>
              <w:t>30,188</w:t>
            </w:r>
          </w:p>
        </w:tc>
        <w:tc>
          <w:tcPr>
            <w:tcW w:w="422" w:type="pct"/>
            <w:tcBorders>
              <w:top w:val="single" w:sz="4" w:space="0" w:color="auto"/>
              <w:left w:val="nil"/>
              <w:bottom w:val="single" w:sz="4" w:space="0" w:color="auto"/>
              <w:right w:val="single" w:sz="4" w:space="0" w:color="auto"/>
            </w:tcBorders>
            <w:tcMar>
              <w:left w:w="0" w:type="dxa"/>
              <w:right w:w="58" w:type="dxa"/>
            </w:tcMar>
          </w:tcPr>
          <w:p w14:paraId="5F4E7CB1"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61127A3A" w14:textId="77777777" w:rsidR="005746AE" w:rsidRPr="005746AE" w:rsidRDefault="005746AE" w:rsidP="005746AE">
            <w:pPr>
              <w:jc w:val="right"/>
              <w:rPr>
                <w:sz w:val="20"/>
                <w:szCs w:val="20"/>
                <w:lang w:eastAsia="en-CA"/>
              </w:rPr>
            </w:pPr>
            <w:r w:rsidRPr="005746AE">
              <w:rPr>
                <w:sz w:val="20"/>
                <w:szCs w:val="20"/>
                <w:lang w:eastAsia="en-CA"/>
              </w:rPr>
              <w:t>14,567</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1CE7DA70" w14:textId="77777777" w:rsidR="005746AE" w:rsidRPr="005746AE" w:rsidRDefault="005746AE" w:rsidP="005746AE">
            <w:pPr>
              <w:jc w:val="right"/>
              <w:rPr>
                <w:sz w:val="20"/>
                <w:szCs w:val="20"/>
                <w:lang w:eastAsia="en-CA"/>
              </w:rPr>
            </w:pPr>
            <w:r w:rsidRPr="005746AE">
              <w:rPr>
                <w:sz w:val="20"/>
                <w:szCs w:val="20"/>
                <w:lang w:eastAsia="en-CA"/>
              </w:rPr>
              <w:t>112,750</w:t>
            </w:r>
          </w:p>
        </w:tc>
      </w:tr>
      <w:tr w:rsidR="005746AE" w:rsidRPr="005746AE" w14:paraId="10B6CB9B" w14:textId="77777777" w:rsidTr="005746AE">
        <w:trPr>
          <w:trHeight w:val="53"/>
          <w:jc w:val="center"/>
        </w:trPr>
        <w:tc>
          <w:tcPr>
            <w:tcW w:w="329" w:type="pct"/>
            <w:tcBorders>
              <w:top w:val="nil"/>
              <w:left w:val="single" w:sz="4" w:space="0" w:color="auto"/>
              <w:bottom w:val="single" w:sz="4" w:space="0" w:color="auto"/>
              <w:right w:val="single" w:sz="4" w:space="0" w:color="auto"/>
            </w:tcBorders>
            <w:shd w:val="clear" w:color="auto" w:fill="auto"/>
            <w:hideMark/>
          </w:tcPr>
          <w:p w14:paraId="5DBC5E6C" w14:textId="77777777" w:rsidR="005746AE" w:rsidRPr="005746AE" w:rsidRDefault="005746AE" w:rsidP="005746AE">
            <w:pPr>
              <w:jc w:val="left"/>
              <w:rPr>
                <w:sz w:val="20"/>
                <w:szCs w:val="20"/>
                <w:lang w:eastAsia="en-CA"/>
              </w:rPr>
            </w:pPr>
            <w:r w:rsidRPr="005746AE">
              <w:rPr>
                <w:sz w:val="20"/>
                <w:szCs w:val="20"/>
                <w:lang w:eastAsia="en-CA"/>
              </w:rPr>
              <w:t>3.3</w:t>
            </w:r>
          </w:p>
        </w:tc>
        <w:tc>
          <w:tcPr>
            <w:tcW w:w="1172" w:type="pct"/>
            <w:tcBorders>
              <w:top w:val="nil"/>
              <w:left w:val="nil"/>
              <w:bottom w:val="single" w:sz="4" w:space="0" w:color="auto"/>
              <w:right w:val="single" w:sz="4" w:space="0" w:color="auto"/>
            </w:tcBorders>
            <w:shd w:val="clear" w:color="auto" w:fill="auto"/>
            <w:hideMark/>
          </w:tcPr>
          <w:p w14:paraId="1E7F3D76" w14:textId="662A6E92" w:rsidR="005746AE" w:rsidRPr="005746AE" w:rsidRDefault="005746AE" w:rsidP="005746AE">
            <w:pPr>
              <w:jc w:val="left"/>
              <w:rPr>
                <w:sz w:val="20"/>
                <w:szCs w:val="20"/>
                <w:lang w:val="es-ES" w:eastAsia="en-CA"/>
              </w:rPr>
            </w:pPr>
            <w:r w:rsidRPr="005746AE">
              <w:rPr>
                <w:sz w:val="18"/>
                <w:szCs w:val="18"/>
                <w:lang w:val="es-MX"/>
              </w:rPr>
              <w:t>Total de costos convenidos ($EUA)</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1265A4BF" w14:textId="77777777" w:rsidR="005746AE" w:rsidRPr="005746AE" w:rsidRDefault="005746AE" w:rsidP="005746AE">
            <w:pPr>
              <w:jc w:val="right"/>
              <w:rPr>
                <w:sz w:val="20"/>
                <w:szCs w:val="20"/>
                <w:lang w:eastAsia="en-CA"/>
              </w:rPr>
            </w:pPr>
            <w:r w:rsidRPr="005746AE">
              <w:rPr>
                <w:sz w:val="20"/>
                <w:szCs w:val="20"/>
                <w:lang w:eastAsia="en-CA"/>
              </w:rPr>
              <w:t>390,993</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606DF4CC"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755525E6" w14:textId="77777777" w:rsidR="005746AE" w:rsidRPr="005746AE" w:rsidRDefault="005746AE" w:rsidP="005746AE">
            <w:pPr>
              <w:jc w:val="right"/>
              <w:rPr>
                <w:sz w:val="20"/>
                <w:szCs w:val="20"/>
                <w:lang w:eastAsia="en-CA"/>
              </w:rPr>
            </w:pPr>
            <w:r w:rsidRPr="005746AE">
              <w:rPr>
                <w:sz w:val="20"/>
                <w:szCs w:val="20"/>
                <w:lang w:eastAsia="en-CA"/>
              </w:rPr>
              <w:t>405,502</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5E9BE90E" w14:textId="77777777" w:rsidR="005746AE" w:rsidRPr="005746AE" w:rsidRDefault="005746AE" w:rsidP="005746AE">
            <w:pPr>
              <w:jc w:val="right"/>
              <w:rPr>
                <w:sz w:val="20"/>
                <w:szCs w:val="20"/>
                <w:lang w:eastAsia="en-CA"/>
              </w:rPr>
            </w:pPr>
            <w:r w:rsidRPr="005746AE">
              <w:rPr>
                <w:sz w:val="20"/>
                <w:szCs w:val="20"/>
                <w:lang w:eastAsia="en-CA"/>
              </w:rPr>
              <w:t>0</w:t>
            </w:r>
          </w:p>
        </w:tc>
        <w:tc>
          <w:tcPr>
            <w:tcW w:w="422" w:type="pct"/>
            <w:tcBorders>
              <w:top w:val="nil"/>
              <w:left w:val="nil"/>
              <w:bottom w:val="single" w:sz="4" w:space="0" w:color="auto"/>
              <w:right w:val="single" w:sz="4" w:space="0" w:color="auto"/>
            </w:tcBorders>
            <w:shd w:val="clear" w:color="auto" w:fill="auto"/>
            <w:tcMar>
              <w:left w:w="0" w:type="dxa"/>
              <w:right w:w="58" w:type="dxa"/>
            </w:tcMar>
          </w:tcPr>
          <w:p w14:paraId="1E48ABB5" w14:textId="77777777" w:rsidR="005746AE" w:rsidRPr="005746AE" w:rsidRDefault="005746AE" w:rsidP="005746AE">
            <w:pPr>
              <w:jc w:val="right"/>
              <w:rPr>
                <w:sz w:val="20"/>
                <w:szCs w:val="20"/>
                <w:lang w:eastAsia="en-CA"/>
              </w:rPr>
            </w:pPr>
            <w:r w:rsidRPr="005746AE">
              <w:rPr>
                <w:sz w:val="20"/>
                <w:szCs w:val="20"/>
                <w:lang w:eastAsia="en-CA"/>
              </w:rPr>
              <w:t>311,688</w:t>
            </w:r>
          </w:p>
        </w:tc>
        <w:tc>
          <w:tcPr>
            <w:tcW w:w="422" w:type="pct"/>
            <w:tcBorders>
              <w:top w:val="single" w:sz="4" w:space="0" w:color="auto"/>
              <w:left w:val="nil"/>
              <w:bottom w:val="single" w:sz="4" w:space="0" w:color="auto"/>
              <w:right w:val="single" w:sz="4" w:space="0" w:color="auto"/>
            </w:tcBorders>
            <w:tcMar>
              <w:left w:w="0" w:type="dxa"/>
              <w:right w:w="58" w:type="dxa"/>
            </w:tcMar>
          </w:tcPr>
          <w:p w14:paraId="64F00EA0" w14:textId="77777777" w:rsidR="005746AE" w:rsidRPr="005746AE" w:rsidRDefault="005746AE" w:rsidP="005746AE">
            <w:pPr>
              <w:jc w:val="right"/>
              <w:rPr>
                <w:sz w:val="20"/>
                <w:szCs w:val="20"/>
                <w:lang w:eastAsia="en-CA"/>
              </w:rPr>
            </w:pPr>
            <w:r w:rsidRPr="005746AE">
              <w:rPr>
                <w:sz w:val="20"/>
                <w:szCs w:val="20"/>
                <w:lang w:eastAsia="en-CA"/>
              </w:rPr>
              <w:t>0</w:t>
            </w:r>
          </w:p>
        </w:tc>
        <w:tc>
          <w:tcPr>
            <w:tcW w:w="424" w:type="pct"/>
            <w:tcBorders>
              <w:top w:val="single" w:sz="4" w:space="0" w:color="auto"/>
              <w:left w:val="single" w:sz="4" w:space="0" w:color="auto"/>
              <w:bottom w:val="single" w:sz="4" w:space="0" w:color="auto"/>
              <w:right w:val="single" w:sz="4" w:space="0" w:color="auto"/>
            </w:tcBorders>
            <w:tcMar>
              <w:left w:w="0" w:type="dxa"/>
              <w:right w:w="58" w:type="dxa"/>
            </w:tcMar>
          </w:tcPr>
          <w:p w14:paraId="686E0217" w14:textId="77777777" w:rsidR="005746AE" w:rsidRPr="005746AE" w:rsidRDefault="005746AE" w:rsidP="005746AE">
            <w:pPr>
              <w:jc w:val="right"/>
              <w:rPr>
                <w:sz w:val="20"/>
                <w:szCs w:val="20"/>
                <w:lang w:eastAsia="en-CA"/>
              </w:rPr>
            </w:pPr>
            <w:r w:rsidRPr="005746AE">
              <w:rPr>
                <w:sz w:val="20"/>
                <w:szCs w:val="20"/>
                <w:lang w:eastAsia="en-CA"/>
              </w:rPr>
              <w:t>129,567</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F5310C2" w14:textId="77777777" w:rsidR="005746AE" w:rsidRPr="005746AE" w:rsidRDefault="005746AE" w:rsidP="005746AE">
            <w:pPr>
              <w:jc w:val="right"/>
              <w:rPr>
                <w:sz w:val="20"/>
                <w:szCs w:val="20"/>
                <w:lang w:eastAsia="en-CA"/>
              </w:rPr>
            </w:pPr>
            <w:r w:rsidRPr="005746AE">
              <w:rPr>
                <w:sz w:val="20"/>
                <w:szCs w:val="20"/>
                <w:lang w:eastAsia="en-CA"/>
              </w:rPr>
              <w:t>1,237,750</w:t>
            </w:r>
          </w:p>
        </w:tc>
      </w:tr>
      <w:tr w:rsidR="005746AE" w:rsidRPr="005746AE" w14:paraId="5E14431A" w14:textId="77777777" w:rsidTr="005746AE">
        <w:trPr>
          <w:trHeight w:val="53"/>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4FADA6B7" w14:textId="77777777" w:rsidR="005746AE" w:rsidRPr="005746AE" w:rsidRDefault="005746AE" w:rsidP="005746AE">
            <w:pPr>
              <w:jc w:val="left"/>
              <w:rPr>
                <w:sz w:val="20"/>
                <w:szCs w:val="20"/>
                <w:lang w:eastAsia="en-CA"/>
              </w:rPr>
            </w:pPr>
            <w:r w:rsidRPr="005746AE">
              <w:rPr>
                <w:sz w:val="20"/>
                <w:szCs w:val="20"/>
                <w:lang w:eastAsia="en-CA"/>
              </w:rPr>
              <w:t>4.1.1</w:t>
            </w:r>
          </w:p>
        </w:tc>
        <w:tc>
          <w:tcPr>
            <w:tcW w:w="4128" w:type="pct"/>
            <w:gridSpan w:val="8"/>
            <w:tcBorders>
              <w:top w:val="single" w:sz="4" w:space="0" w:color="auto"/>
              <w:left w:val="nil"/>
              <w:bottom w:val="single" w:sz="4" w:space="0" w:color="auto"/>
              <w:right w:val="single" w:sz="4" w:space="0" w:color="auto"/>
            </w:tcBorders>
            <w:shd w:val="clear" w:color="auto" w:fill="auto"/>
            <w:hideMark/>
          </w:tcPr>
          <w:p w14:paraId="53E1972A" w14:textId="475E8C2E" w:rsidR="005746AE" w:rsidRPr="005746AE" w:rsidRDefault="005746AE" w:rsidP="005746AE">
            <w:pPr>
              <w:jc w:val="left"/>
              <w:rPr>
                <w:sz w:val="20"/>
                <w:szCs w:val="20"/>
                <w:lang w:val="es-ES" w:eastAsia="en-CA"/>
              </w:rPr>
            </w:pPr>
            <w:r w:rsidRPr="005746AE">
              <w:rPr>
                <w:sz w:val="18"/>
                <w:szCs w:val="18"/>
                <w:lang w:val="es-MX"/>
              </w:rPr>
              <w:t>Eliminación total convenida de HCFC-22 por lograr conforme a este Acuerdo (toneladas PAO)</w:t>
            </w:r>
          </w:p>
        </w:tc>
        <w:tc>
          <w:tcPr>
            <w:tcW w:w="543" w:type="pct"/>
            <w:tcBorders>
              <w:top w:val="single" w:sz="4" w:space="0" w:color="auto"/>
              <w:left w:val="single" w:sz="4" w:space="0" w:color="auto"/>
              <w:bottom w:val="single" w:sz="4" w:space="0" w:color="auto"/>
              <w:right w:val="single" w:sz="4" w:space="0" w:color="auto"/>
            </w:tcBorders>
          </w:tcPr>
          <w:p w14:paraId="10711A8D" w14:textId="77777777" w:rsidR="005746AE" w:rsidRPr="005746AE" w:rsidRDefault="005746AE" w:rsidP="005746AE">
            <w:pPr>
              <w:jc w:val="right"/>
              <w:rPr>
                <w:sz w:val="20"/>
                <w:szCs w:val="20"/>
                <w:lang w:eastAsia="en-CA"/>
              </w:rPr>
            </w:pPr>
            <w:r w:rsidRPr="005746AE">
              <w:rPr>
                <w:sz w:val="20"/>
                <w:szCs w:val="20"/>
                <w:lang w:eastAsia="en-CA"/>
              </w:rPr>
              <w:t>11.2</w:t>
            </w:r>
          </w:p>
        </w:tc>
      </w:tr>
      <w:tr w:rsidR="005746AE" w:rsidRPr="005746AE" w14:paraId="510BAA1F" w14:textId="77777777" w:rsidTr="005746AE">
        <w:trPr>
          <w:trHeight w:val="116"/>
          <w:jc w:val="center"/>
        </w:trPr>
        <w:tc>
          <w:tcPr>
            <w:tcW w:w="329" w:type="pct"/>
            <w:tcBorders>
              <w:top w:val="nil"/>
              <w:left w:val="single" w:sz="4" w:space="0" w:color="auto"/>
              <w:bottom w:val="single" w:sz="4" w:space="0" w:color="auto"/>
              <w:right w:val="single" w:sz="4" w:space="0" w:color="auto"/>
            </w:tcBorders>
            <w:shd w:val="clear" w:color="auto" w:fill="auto"/>
            <w:hideMark/>
          </w:tcPr>
          <w:p w14:paraId="4A5F18E8" w14:textId="77777777" w:rsidR="005746AE" w:rsidRPr="005746AE" w:rsidRDefault="005746AE" w:rsidP="005746AE">
            <w:pPr>
              <w:jc w:val="left"/>
              <w:rPr>
                <w:sz w:val="20"/>
                <w:szCs w:val="20"/>
                <w:lang w:eastAsia="en-CA"/>
              </w:rPr>
            </w:pPr>
            <w:r w:rsidRPr="005746AE">
              <w:rPr>
                <w:sz w:val="20"/>
                <w:szCs w:val="20"/>
                <w:lang w:eastAsia="en-CA"/>
              </w:rPr>
              <w:t>4.1.2</w:t>
            </w:r>
          </w:p>
        </w:tc>
        <w:tc>
          <w:tcPr>
            <w:tcW w:w="4128" w:type="pct"/>
            <w:gridSpan w:val="8"/>
            <w:tcBorders>
              <w:top w:val="single" w:sz="4" w:space="0" w:color="auto"/>
              <w:left w:val="nil"/>
              <w:bottom w:val="single" w:sz="4" w:space="0" w:color="auto"/>
              <w:right w:val="single" w:sz="4" w:space="0" w:color="auto"/>
            </w:tcBorders>
            <w:shd w:val="clear" w:color="auto" w:fill="auto"/>
            <w:hideMark/>
          </w:tcPr>
          <w:p w14:paraId="3D4B5BAA" w14:textId="2C0B2E86" w:rsidR="005746AE" w:rsidRPr="005746AE" w:rsidRDefault="005746AE" w:rsidP="005746AE">
            <w:pPr>
              <w:jc w:val="left"/>
              <w:rPr>
                <w:sz w:val="20"/>
                <w:szCs w:val="20"/>
                <w:lang w:val="es-ES" w:eastAsia="en-CA"/>
              </w:rPr>
            </w:pPr>
            <w:r w:rsidRPr="005746AE">
              <w:rPr>
                <w:sz w:val="18"/>
                <w:szCs w:val="18"/>
                <w:lang w:val="es-MX"/>
              </w:rPr>
              <w:t>Eliminación de HCFC-22 por lograr en la etapa previa (toneladas PAO)</w:t>
            </w:r>
          </w:p>
        </w:tc>
        <w:tc>
          <w:tcPr>
            <w:tcW w:w="543" w:type="pct"/>
            <w:tcBorders>
              <w:top w:val="single" w:sz="4" w:space="0" w:color="auto"/>
              <w:left w:val="single" w:sz="4" w:space="0" w:color="auto"/>
              <w:bottom w:val="single" w:sz="4" w:space="0" w:color="auto"/>
              <w:right w:val="single" w:sz="4" w:space="0" w:color="auto"/>
            </w:tcBorders>
          </w:tcPr>
          <w:p w14:paraId="0F086B5E" w14:textId="77777777" w:rsidR="005746AE" w:rsidRPr="005746AE" w:rsidRDefault="005746AE" w:rsidP="005746AE">
            <w:pPr>
              <w:jc w:val="right"/>
              <w:rPr>
                <w:sz w:val="20"/>
                <w:szCs w:val="20"/>
                <w:lang w:eastAsia="en-CA"/>
              </w:rPr>
            </w:pPr>
            <w:r w:rsidRPr="005746AE">
              <w:rPr>
                <w:sz w:val="20"/>
                <w:szCs w:val="20"/>
                <w:lang w:eastAsia="en-CA"/>
              </w:rPr>
              <w:t>5.8</w:t>
            </w:r>
          </w:p>
        </w:tc>
      </w:tr>
      <w:tr w:rsidR="005746AE" w:rsidRPr="005746AE" w14:paraId="64422CB3" w14:textId="77777777" w:rsidTr="005746AE">
        <w:trPr>
          <w:trHeight w:val="98"/>
          <w:jc w:val="center"/>
        </w:trPr>
        <w:tc>
          <w:tcPr>
            <w:tcW w:w="329" w:type="pct"/>
            <w:tcBorders>
              <w:top w:val="nil"/>
              <w:left w:val="single" w:sz="4" w:space="0" w:color="auto"/>
              <w:bottom w:val="single" w:sz="4" w:space="0" w:color="auto"/>
              <w:right w:val="single" w:sz="4" w:space="0" w:color="auto"/>
            </w:tcBorders>
            <w:shd w:val="clear" w:color="auto" w:fill="auto"/>
            <w:hideMark/>
          </w:tcPr>
          <w:p w14:paraId="478A5136" w14:textId="77777777" w:rsidR="005746AE" w:rsidRPr="005746AE" w:rsidRDefault="005746AE" w:rsidP="005746AE">
            <w:pPr>
              <w:jc w:val="left"/>
              <w:rPr>
                <w:sz w:val="20"/>
                <w:szCs w:val="20"/>
                <w:lang w:eastAsia="en-CA"/>
              </w:rPr>
            </w:pPr>
            <w:r w:rsidRPr="005746AE">
              <w:rPr>
                <w:sz w:val="20"/>
                <w:szCs w:val="20"/>
                <w:lang w:eastAsia="en-CA"/>
              </w:rPr>
              <w:t>4.1.3</w:t>
            </w:r>
          </w:p>
        </w:tc>
        <w:tc>
          <w:tcPr>
            <w:tcW w:w="4128" w:type="pct"/>
            <w:gridSpan w:val="8"/>
            <w:tcBorders>
              <w:top w:val="single" w:sz="4" w:space="0" w:color="auto"/>
              <w:left w:val="nil"/>
              <w:bottom w:val="single" w:sz="4" w:space="0" w:color="auto"/>
              <w:right w:val="single" w:sz="4" w:space="0" w:color="auto"/>
            </w:tcBorders>
            <w:shd w:val="clear" w:color="auto" w:fill="auto"/>
            <w:hideMark/>
          </w:tcPr>
          <w:p w14:paraId="205A5850" w14:textId="7DBB9B6E" w:rsidR="005746AE" w:rsidRPr="005746AE" w:rsidRDefault="005746AE" w:rsidP="005746AE">
            <w:pPr>
              <w:jc w:val="left"/>
              <w:rPr>
                <w:sz w:val="20"/>
                <w:szCs w:val="20"/>
                <w:lang w:val="es-ES" w:eastAsia="en-CA"/>
              </w:rPr>
            </w:pPr>
            <w:r w:rsidRPr="005746AE">
              <w:rPr>
                <w:sz w:val="18"/>
                <w:szCs w:val="18"/>
                <w:lang w:val="es-MX"/>
              </w:rPr>
              <w:t>Consumo admisible remanente de HCFC-22 (toneladas PAO)</w:t>
            </w:r>
          </w:p>
        </w:tc>
        <w:tc>
          <w:tcPr>
            <w:tcW w:w="543" w:type="pct"/>
            <w:tcBorders>
              <w:top w:val="single" w:sz="4" w:space="0" w:color="auto"/>
              <w:left w:val="single" w:sz="4" w:space="0" w:color="auto"/>
              <w:bottom w:val="single" w:sz="4" w:space="0" w:color="auto"/>
              <w:right w:val="single" w:sz="4" w:space="0" w:color="auto"/>
            </w:tcBorders>
          </w:tcPr>
          <w:p w14:paraId="44FACAC8" w14:textId="77777777" w:rsidR="005746AE" w:rsidRPr="005746AE" w:rsidRDefault="005746AE" w:rsidP="005746AE">
            <w:pPr>
              <w:jc w:val="right"/>
              <w:rPr>
                <w:sz w:val="20"/>
                <w:szCs w:val="20"/>
                <w:lang w:eastAsia="en-CA"/>
              </w:rPr>
            </w:pPr>
            <w:r w:rsidRPr="005746AE">
              <w:rPr>
                <w:sz w:val="20"/>
                <w:szCs w:val="20"/>
                <w:lang w:eastAsia="en-CA"/>
              </w:rPr>
              <w:t>0</w:t>
            </w:r>
          </w:p>
        </w:tc>
      </w:tr>
    </w:tbl>
    <w:p w14:paraId="59B9CB42" w14:textId="44B7EEC2" w:rsidR="00CA0038" w:rsidRPr="005746AE" w:rsidRDefault="00CA0038" w:rsidP="005746AE">
      <w:pPr>
        <w:pStyle w:val="Heading1"/>
        <w:numPr>
          <w:ilvl w:val="0"/>
          <w:numId w:val="0"/>
        </w:numPr>
        <w:rPr>
          <w:sz w:val="18"/>
          <w:szCs w:val="18"/>
          <w:lang w:val="es-ES"/>
        </w:rPr>
      </w:pPr>
      <w:r w:rsidRPr="005746AE">
        <w:rPr>
          <w:sz w:val="18"/>
          <w:szCs w:val="18"/>
          <w:lang w:val="es-ES"/>
        </w:rPr>
        <w:t>*</w:t>
      </w:r>
      <w:r w:rsidR="005746AE" w:rsidRPr="005746AE">
        <w:rPr>
          <w:sz w:val="16"/>
          <w:szCs w:val="16"/>
          <w:lang w:val="es-AR"/>
        </w:rPr>
        <w:t xml:space="preserve"> Fecha de terminación de la etapa I, conforme al Acuerdo sobre la etapa I:</w:t>
      </w:r>
      <w:r w:rsidRPr="005746AE">
        <w:rPr>
          <w:sz w:val="18"/>
          <w:szCs w:val="18"/>
          <w:lang w:val="es-ES"/>
        </w:rPr>
        <w:t xml:space="preserve"> 30 </w:t>
      </w:r>
      <w:r w:rsidR="005746AE" w:rsidRPr="005746AE">
        <w:rPr>
          <w:sz w:val="18"/>
          <w:szCs w:val="18"/>
          <w:lang w:val="es-ES"/>
        </w:rPr>
        <w:t xml:space="preserve">de junio de </w:t>
      </w:r>
      <w:r w:rsidRPr="005746AE">
        <w:rPr>
          <w:sz w:val="18"/>
          <w:szCs w:val="18"/>
          <w:lang w:val="es-ES"/>
        </w:rPr>
        <w:t>2020</w:t>
      </w:r>
    </w:p>
    <w:p w14:paraId="05794E82" w14:textId="77777777" w:rsidR="00257E3C" w:rsidRPr="005746AE" w:rsidRDefault="00257E3C" w:rsidP="00554167">
      <w:pPr>
        <w:rPr>
          <w:bCs/>
          <w:lang w:val="es-AR"/>
        </w:rPr>
      </w:pPr>
    </w:p>
    <w:p w14:paraId="19C581B5" w14:textId="77777777" w:rsidR="00257E3C" w:rsidRPr="005746AE" w:rsidRDefault="00257E3C" w:rsidP="00554167">
      <w:pPr>
        <w:widowControl w:val="0"/>
        <w:rPr>
          <w:b/>
          <w:lang w:val="es-ES"/>
        </w:rPr>
      </w:pPr>
      <w:r w:rsidRPr="005746AE">
        <w:rPr>
          <w:b/>
          <w:bCs/>
          <w:lang w:val="es-ES"/>
        </w:rPr>
        <w:t>APÉNDICE 3-A: CALENDARIO DE APROBACIÓN DE LA FINANCIACIÓN</w:t>
      </w:r>
    </w:p>
    <w:p w14:paraId="490DC43C" w14:textId="77777777" w:rsidR="00257E3C" w:rsidRPr="005746AE" w:rsidRDefault="00257E3C" w:rsidP="00554167">
      <w:pPr>
        <w:widowControl w:val="0"/>
        <w:rPr>
          <w:lang w:val="es-ES"/>
        </w:rPr>
      </w:pPr>
    </w:p>
    <w:p w14:paraId="302E1694" w14:textId="77777777" w:rsidR="00257E3C" w:rsidRPr="005746AE" w:rsidRDefault="00257E3C" w:rsidP="00257E3C">
      <w:pPr>
        <w:pStyle w:val="Heading1"/>
        <w:widowControl w:val="0"/>
        <w:numPr>
          <w:ilvl w:val="0"/>
          <w:numId w:val="37"/>
        </w:numPr>
        <w:rPr>
          <w:lang w:val="es-ES"/>
        </w:rPr>
      </w:pPr>
      <w:r w:rsidRPr="005746AE">
        <w:rPr>
          <w:lang w:val="es-ES"/>
        </w:rPr>
        <w:t>La financiación para los tramos futuros se considerará para aprobación en la primera</w:t>
      </w:r>
      <w:r w:rsidRPr="005746AE">
        <w:rPr>
          <w:lang w:val="es-AR"/>
        </w:rPr>
        <w:t xml:space="preserve"> </w:t>
      </w:r>
      <w:r w:rsidRPr="005746AE">
        <w:rPr>
          <w:lang w:val="es-ES"/>
        </w:rPr>
        <w:t>reunión del año especificado en el Apéndice 2</w:t>
      </w:r>
      <w:r w:rsidRPr="005746AE">
        <w:rPr>
          <w:lang w:val="es-ES"/>
        </w:rPr>
        <w:noBreakHyphen/>
        <w:t>A.</w:t>
      </w:r>
    </w:p>
    <w:p w14:paraId="7324EB01" w14:textId="77777777" w:rsidR="00257E3C" w:rsidRDefault="00257E3C" w:rsidP="00554167">
      <w:pPr>
        <w:widowControl w:val="0"/>
        <w:rPr>
          <w:lang w:val="es-ES"/>
        </w:rPr>
      </w:pPr>
    </w:p>
    <w:p w14:paraId="6A586AE4" w14:textId="77777777" w:rsidR="00257E3C" w:rsidRDefault="00257E3C" w:rsidP="00554167">
      <w:pPr>
        <w:keepNext/>
        <w:keepLines/>
        <w:widowControl w:val="0"/>
        <w:rPr>
          <w:b/>
          <w:lang w:val="es-ES"/>
        </w:rPr>
      </w:pPr>
      <w:r>
        <w:rPr>
          <w:b/>
          <w:bCs/>
          <w:lang w:val="es-ES"/>
        </w:rPr>
        <w:lastRenderedPageBreak/>
        <w:t>APÉNDICE 4-A: FORMATO DE LOS INFORMES Y PLANES DE EJECUCIÓN DE TRAMOS</w:t>
      </w:r>
    </w:p>
    <w:p w14:paraId="5D098B76" w14:textId="77777777" w:rsidR="00257E3C" w:rsidRDefault="00257E3C" w:rsidP="00554167">
      <w:pPr>
        <w:keepNext/>
        <w:keepLines/>
        <w:widowControl w:val="0"/>
        <w:rPr>
          <w:lang w:val="es-ES"/>
        </w:rPr>
      </w:pPr>
    </w:p>
    <w:p w14:paraId="52381784" w14:textId="77777777" w:rsidR="00257E3C" w:rsidRPr="00257E3C" w:rsidRDefault="00257E3C" w:rsidP="00257E3C">
      <w:pPr>
        <w:pStyle w:val="Heading1"/>
        <w:keepNext/>
        <w:keepLines/>
        <w:widowControl w:val="0"/>
        <w:numPr>
          <w:ilvl w:val="0"/>
          <w:numId w:val="38"/>
        </w:numPr>
        <w:rPr>
          <w:lang w:val="es-ES"/>
        </w:rPr>
      </w:pPr>
      <w:r w:rsidRPr="00257E3C">
        <w:rPr>
          <w:lang w:val="es-ES"/>
        </w:rPr>
        <w:t>La presentación del Informe de Ejecución de Tramo y de los Planes para cada tramo solicitado constará de cinco partes:</w:t>
      </w:r>
    </w:p>
    <w:p w14:paraId="4CEB0123" w14:textId="77777777" w:rsidR="00257E3C" w:rsidRDefault="00257E3C" w:rsidP="00554167">
      <w:pPr>
        <w:keepNext/>
        <w:keepLines/>
        <w:widowControl w:val="0"/>
        <w:numPr>
          <w:ilvl w:val="1"/>
          <w:numId w:val="1"/>
        </w:numPr>
        <w:spacing w:after="240"/>
        <w:outlineLvl w:val="1"/>
        <w:rPr>
          <w:lang w:val="es-ES"/>
        </w:rPr>
      </w:pPr>
      <w:r>
        <w:rPr>
          <w:lang w:val="es-ES"/>
        </w:rPr>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y dificultades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 presentado/s anteriormente, tales como demoras, uso de la flexibilidad para reasignar fondos durante la ejecución de un tramo, como se estipula en el párrafo 7 de este Acuerdo, u otros cambios; </w:t>
      </w:r>
    </w:p>
    <w:p w14:paraId="6E9781EA" w14:textId="77777777" w:rsidR="00257E3C" w:rsidRDefault="00257E3C" w:rsidP="00554167">
      <w:pPr>
        <w:keepNext/>
        <w:keepLines/>
        <w:widowControl w:val="0"/>
        <w:numPr>
          <w:ilvl w:val="1"/>
          <w:numId w:val="1"/>
        </w:numPr>
        <w:spacing w:after="240"/>
        <w:outlineLvl w:val="1"/>
        <w:rPr>
          <w:lang w:val="es-ES"/>
        </w:rPr>
      </w:pPr>
      <w:r>
        <w:rPr>
          <w:lang w:val="es-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455FE4EB" w14:textId="77777777" w:rsidR="00257E3C" w:rsidRDefault="00257E3C" w:rsidP="00554167">
      <w:pPr>
        <w:widowControl w:val="0"/>
        <w:numPr>
          <w:ilvl w:val="1"/>
          <w:numId w:val="1"/>
        </w:numPr>
        <w:spacing w:after="240"/>
        <w:outlineLvl w:val="1"/>
        <w:rPr>
          <w:lang w:val="es-ES"/>
        </w:rPr>
      </w:pPr>
      <w:r>
        <w:rPr>
          <w:lang w:val="es-ES"/>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Igualmente, la descripción debería especificar y explicar en detalles tales cambios al plan general. La descripción de las actividades futuras se puede presentar como parte del mismo documento donde figure el informe descriptivo previsto en el inciso b) </w:t>
      </w:r>
      <w:r>
        <w:rPr>
          <w:i/>
          <w:iCs/>
          <w:lang w:val="es-ES"/>
        </w:rPr>
        <w:t>supra</w:t>
      </w:r>
      <w:r>
        <w:rPr>
          <w:lang w:val="es-ES"/>
        </w:rPr>
        <w:t xml:space="preserve">; </w:t>
      </w:r>
    </w:p>
    <w:p w14:paraId="0ADDEF67" w14:textId="77777777" w:rsidR="00257E3C" w:rsidRDefault="00257E3C" w:rsidP="00554167">
      <w:pPr>
        <w:keepNext/>
        <w:keepLines/>
        <w:widowControl w:val="0"/>
        <w:numPr>
          <w:ilvl w:val="1"/>
          <w:numId w:val="1"/>
        </w:numPr>
        <w:spacing w:after="240"/>
        <w:outlineLvl w:val="1"/>
        <w:rPr>
          <w:lang w:val="es-ES"/>
        </w:rPr>
      </w:pPr>
      <w:r>
        <w:rPr>
          <w:lang w:val="es-ES"/>
        </w:rPr>
        <w:t>Un conjunto de información cuantitativa para todos los Informes y Planes de Ejecución de Tramos, presentada a través de una base de datos en Internet; y</w:t>
      </w:r>
    </w:p>
    <w:p w14:paraId="7F3608B2" w14:textId="77777777" w:rsidR="00257E3C" w:rsidRDefault="00257E3C" w:rsidP="00554167">
      <w:pPr>
        <w:widowControl w:val="0"/>
        <w:numPr>
          <w:ilvl w:val="1"/>
          <w:numId w:val="1"/>
        </w:numPr>
        <w:spacing w:after="240"/>
        <w:outlineLvl w:val="1"/>
        <w:rPr>
          <w:lang w:val="es-ES"/>
        </w:rPr>
      </w:pPr>
      <w:r>
        <w:rPr>
          <w:lang w:val="es-ES"/>
        </w:rPr>
        <w:t xml:space="preserve">Un Resumen Ejecutivo de unos cinco párrafos con una síntesis de la información estipulada en los incisos 1 a) a 1 d) </w:t>
      </w:r>
      <w:r>
        <w:rPr>
          <w:i/>
          <w:iCs/>
          <w:lang w:val="es-ES"/>
        </w:rPr>
        <w:t>supra</w:t>
      </w:r>
      <w:r>
        <w:rPr>
          <w:lang w:val="es-ES"/>
        </w:rPr>
        <w:t xml:space="preserve">. </w:t>
      </w:r>
    </w:p>
    <w:p w14:paraId="56F8A367" w14:textId="77777777" w:rsidR="00257E3C" w:rsidRDefault="00257E3C" w:rsidP="00554167">
      <w:pPr>
        <w:numPr>
          <w:ilvl w:val="0"/>
          <w:numId w:val="1"/>
        </w:numPr>
        <w:spacing w:after="240"/>
        <w:outlineLvl w:val="0"/>
        <w:rPr>
          <w:lang w:val="es-ES"/>
        </w:rPr>
      </w:pPr>
      <w:r>
        <w:rPr>
          <w:lang w:val="es-ES"/>
        </w:rPr>
        <w:t>En el caso en que en un año en particular se ejecute de forma paralela dos etapas del plan de gestión de eliminación de los HCFC, deberían tenerse en cuenta las siguientes consideraciones al elaborar los Informes y Planes de Ejecución de Tramos:</w:t>
      </w:r>
    </w:p>
    <w:p w14:paraId="1BA1814F" w14:textId="77777777" w:rsidR="00257E3C" w:rsidRDefault="00257E3C" w:rsidP="00554167">
      <w:pPr>
        <w:widowControl w:val="0"/>
        <w:numPr>
          <w:ilvl w:val="1"/>
          <w:numId w:val="1"/>
        </w:numPr>
        <w:spacing w:after="240"/>
        <w:outlineLvl w:val="1"/>
        <w:rPr>
          <w:lang w:val="es-ES"/>
        </w:rPr>
      </w:pPr>
      <w:r>
        <w:rPr>
          <w:lang w:val="es-ES"/>
        </w:rPr>
        <w:t>Los Informes y Planes de Ejecución de Tramos a los que se haga referencia como parte de este Acuerdo harán referencia exclusivamente a las actividades y fondos cubiertos por este Acuerdo; y</w:t>
      </w:r>
    </w:p>
    <w:p w14:paraId="1DEA73D7" w14:textId="77777777" w:rsidR="00257E3C" w:rsidRDefault="00257E3C" w:rsidP="00554167">
      <w:pPr>
        <w:widowControl w:val="0"/>
        <w:numPr>
          <w:ilvl w:val="1"/>
          <w:numId w:val="1"/>
        </w:numPr>
        <w:spacing w:after="240"/>
        <w:outlineLvl w:val="1"/>
        <w:rPr>
          <w:lang w:val="es-ES"/>
        </w:rPr>
      </w:pPr>
      <w:r>
        <w:rPr>
          <w:lang w:val="es-ES"/>
        </w:rPr>
        <w:t xml:space="preserve">Si las etapas en curso de ejecución tuvieran diferentes objetivos de eliminación de consumo de HCFC bajo el Apéndice 2-A de cada Acuerdo en un año en particular, el objetivo de </w:t>
      </w:r>
      <w:r>
        <w:rPr>
          <w:lang w:val="es-ES"/>
        </w:rPr>
        <w:lastRenderedPageBreak/>
        <w:t>consumo más bajo se utilizará como referencia para los fines del cumplimiento de esos Acuerdos y servirá de base para la verificación independiente.</w:t>
      </w:r>
    </w:p>
    <w:p w14:paraId="466AC52A" w14:textId="77777777" w:rsidR="00257E3C" w:rsidRDefault="00257E3C" w:rsidP="00554167">
      <w:pPr>
        <w:rPr>
          <w:lang w:val="es-ES"/>
        </w:rPr>
      </w:pPr>
    </w:p>
    <w:p w14:paraId="091AAFBB" w14:textId="77777777" w:rsidR="00257E3C" w:rsidRDefault="00257E3C" w:rsidP="00554167">
      <w:pPr>
        <w:rPr>
          <w:lang w:val="es-ES"/>
        </w:rPr>
      </w:pPr>
      <w:r>
        <w:rPr>
          <w:b/>
          <w:bCs/>
          <w:lang w:val="es-ES"/>
        </w:rPr>
        <w:t>APÉNDICE 5-A: INSTITUCIONES DE SUPERVISIÓN Y FUNCIONES</w:t>
      </w:r>
      <w:r>
        <w:rPr>
          <w:bCs/>
          <w:lang w:val="es-ES"/>
        </w:rPr>
        <w:t xml:space="preserve"> </w:t>
      </w:r>
    </w:p>
    <w:p w14:paraId="5FD459BF" w14:textId="77777777" w:rsidR="00257E3C" w:rsidRDefault="00257E3C" w:rsidP="00554167">
      <w:pPr>
        <w:rPr>
          <w:lang w:val="es-ES"/>
        </w:rPr>
      </w:pPr>
    </w:p>
    <w:p w14:paraId="2307BB75" w14:textId="11CC28EE" w:rsidR="005969D7" w:rsidRPr="005969D7" w:rsidRDefault="005969D7" w:rsidP="005969D7">
      <w:pPr>
        <w:pStyle w:val="Heading1"/>
        <w:numPr>
          <w:ilvl w:val="0"/>
          <w:numId w:val="39"/>
        </w:numPr>
        <w:tabs>
          <w:tab w:val="clear" w:pos="0"/>
        </w:tabs>
        <w:rPr>
          <w:lang w:val="es-ES"/>
        </w:rPr>
      </w:pPr>
      <w:r w:rsidRPr="005969D7">
        <w:rPr>
          <w:lang w:val="es-ES"/>
        </w:rPr>
        <w:t xml:space="preserve">La Dependencia Nacional del Ozono presentará al Organismo de Ejecución Principal informes anuales sobre la marcha de las actividades relativos a la situación de la ejecución del Plan. El Organismo de Ejecución Principal asignará la supervisión del Plan y la verificación de los logros de las metas de cumplimiento, especificados en el plan, a una empresa independiente </w:t>
      </w:r>
      <w:r w:rsidR="002E52F0">
        <w:rPr>
          <w:lang w:val="es-ES"/>
        </w:rPr>
        <w:t xml:space="preserve">local </w:t>
      </w:r>
      <w:r w:rsidRPr="005969D7">
        <w:rPr>
          <w:lang w:val="es-ES"/>
        </w:rPr>
        <w:t>o a consultor</w:t>
      </w:r>
      <w:r>
        <w:rPr>
          <w:lang w:val="es-ES"/>
        </w:rPr>
        <w:t>es</w:t>
      </w:r>
      <w:r w:rsidRPr="005969D7">
        <w:rPr>
          <w:lang w:val="es-ES"/>
        </w:rPr>
        <w:t xml:space="preserve"> independiente</w:t>
      </w:r>
      <w:r>
        <w:rPr>
          <w:lang w:val="es-ES"/>
        </w:rPr>
        <w:t>s</w:t>
      </w:r>
      <w:r w:rsidR="00153CBD">
        <w:rPr>
          <w:lang w:val="es-ES"/>
        </w:rPr>
        <w:t xml:space="preserve"> </w:t>
      </w:r>
      <w:r w:rsidR="00153CBD" w:rsidRPr="005969D7">
        <w:rPr>
          <w:lang w:val="es-ES"/>
        </w:rPr>
        <w:t>local</w:t>
      </w:r>
      <w:r w:rsidR="00153CBD">
        <w:rPr>
          <w:lang w:val="es-ES"/>
        </w:rPr>
        <w:t>es</w:t>
      </w:r>
      <w:r w:rsidRPr="005969D7">
        <w:rPr>
          <w:lang w:val="es-ES"/>
        </w:rPr>
        <w:t>.</w:t>
      </w:r>
    </w:p>
    <w:p w14:paraId="0C3AB0DB" w14:textId="77777777" w:rsidR="00257E3C" w:rsidRDefault="00257E3C" w:rsidP="00554167">
      <w:pPr>
        <w:keepNext/>
        <w:keepLines/>
        <w:rPr>
          <w:b/>
          <w:lang w:val="es-ES"/>
        </w:rPr>
      </w:pPr>
      <w:r>
        <w:rPr>
          <w:b/>
          <w:bCs/>
          <w:lang w:val="es-ES"/>
        </w:rPr>
        <w:t xml:space="preserve">APÉNDICE 6-A: FUNCIÓN DEL ORGANISMO DE EJECUCIÓN PRINCIPAL </w:t>
      </w:r>
    </w:p>
    <w:p w14:paraId="429F85D2" w14:textId="77777777" w:rsidR="00257E3C" w:rsidRDefault="00257E3C" w:rsidP="00554167">
      <w:pPr>
        <w:keepNext/>
        <w:keepLines/>
        <w:rPr>
          <w:lang w:val="es-ES"/>
        </w:rPr>
      </w:pPr>
    </w:p>
    <w:p w14:paraId="7CDD8EF8" w14:textId="77777777" w:rsidR="00257E3C" w:rsidRPr="00257E3C" w:rsidRDefault="00257E3C" w:rsidP="00257E3C">
      <w:pPr>
        <w:pStyle w:val="Heading1"/>
        <w:keepNext/>
        <w:keepLines/>
        <w:numPr>
          <w:ilvl w:val="0"/>
          <w:numId w:val="40"/>
        </w:numPr>
        <w:rPr>
          <w:lang w:val="es-ES"/>
        </w:rPr>
      </w:pPr>
      <w:r w:rsidRPr="00257E3C">
        <w:rPr>
          <w:lang w:val="es-ES"/>
        </w:rPr>
        <w:t>El Organismo de Ejecución Principal tendrá a su cargo diversas responsabilidades, entre las que se incluyen como mínimo las siguientes:</w:t>
      </w:r>
    </w:p>
    <w:p w14:paraId="5AC2BD73" w14:textId="77777777" w:rsidR="00257E3C" w:rsidRDefault="00257E3C" w:rsidP="00554167">
      <w:pPr>
        <w:keepNext/>
        <w:keepLines/>
        <w:widowControl w:val="0"/>
        <w:numPr>
          <w:ilvl w:val="1"/>
          <w:numId w:val="1"/>
        </w:numPr>
        <w:spacing w:after="240"/>
        <w:outlineLvl w:val="1"/>
        <w:rPr>
          <w:lang w:val="es-ES"/>
        </w:rPr>
      </w:pPr>
      <w:r>
        <w:rPr>
          <w:lang w:val="es-ES"/>
        </w:rPr>
        <w:t>Asegurar la verificación del desempeño y de los aspectos financieros de conformidad con el presente Acuerdo y con sus procedimientos y requisitos internos específicos, establecidos en el plan de gestión de eliminación de los HCFC del País;</w:t>
      </w:r>
    </w:p>
    <w:p w14:paraId="7BEABA44" w14:textId="77777777" w:rsidR="00257E3C" w:rsidRDefault="00257E3C" w:rsidP="00554167">
      <w:pPr>
        <w:widowControl w:val="0"/>
        <w:numPr>
          <w:ilvl w:val="1"/>
          <w:numId w:val="1"/>
        </w:numPr>
        <w:spacing w:after="240"/>
        <w:outlineLvl w:val="1"/>
        <w:rPr>
          <w:lang w:val="es-ES"/>
        </w:rPr>
      </w:pPr>
      <w:r>
        <w:rPr>
          <w:lang w:val="es-ES"/>
        </w:rPr>
        <w:t>Brindar asistencia al País para preparar los Informes y Planes de Ejecución de Tramos conforme al Apéndice 4</w:t>
      </w:r>
      <w:r>
        <w:rPr>
          <w:lang w:val="es-ES"/>
        </w:rPr>
        <w:noBreakHyphen/>
        <w:t>A;</w:t>
      </w:r>
    </w:p>
    <w:p w14:paraId="76F8CC91" w14:textId="77777777" w:rsidR="00257E3C" w:rsidRDefault="00257E3C" w:rsidP="00554167">
      <w:pPr>
        <w:widowControl w:val="0"/>
        <w:numPr>
          <w:ilvl w:val="1"/>
          <w:numId w:val="1"/>
        </w:numPr>
        <w:spacing w:after="240"/>
        <w:outlineLvl w:val="1"/>
        <w:rPr>
          <w:lang w:val="es-ES"/>
        </w:rPr>
      </w:pPr>
      <w:r>
        <w:rPr>
          <w:lang w:val="es-ES"/>
        </w:rPr>
        <w:t>Proporcionar al Comité Ejecutivo una verificación independiente de que se han alcanzado los Objetivos y se han completado las correspondientes actividades previstas en los tramos según lo indicado en el Plan de Ejecución de Tramo de conformidad con el Apéndice 4</w:t>
      </w:r>
      <w:r>
        <w:rPr>
          <w:lang w:val="es-ES"/>
        </w:rPr>
        <w:noBreakHyphen/>
        <w:t xml:space="preserve">A; </w:t>
      </w:r>
    </w:p>
    <w:p w14:paraId="41CCDF45" w14:textId="77777777" w:rsidR="00257E3C" w:rsidRDefault="00257E3C" w:rsidP="00554167">
      <w:pPr>
        <w:widowControl w:val="0"/>
        <w:numPr>
          <w:ilvl w:val="1"/>
          <w:numId w:val="1"/>
        </w:numPr>
        <w:spacing w:after="240"/>
        <w:outlineLvl w:val="1"/>
        <w:rPr>
          <w:lang w:val="es-ES"/>
        </w:rPr>
      </w:pPr>
      <w:r>
        <w:rPr>
          <w:lang w:val="es-ES"/>
        </w:rPr>
        <w:t>Asegurar que las experiencias y logros se reflejen en actualizaciones del plan general y en los Planes de Ejecución de Tramos futuros, de conformidad con los incisos 1 c) y 1 d) del Apéndice 4</w:t>
      </w:r>
      <w:r>
        <w:rPr>
          <w:lang w:val="es-ES"/>
        </w:rPr>
        <w:noBreakHyphen/>
        <w:t>A;</w:t>
      </w:r>
    </w:p>
    <w:p w14:paraId="6B9E3900" w14:textId="77777777" w:rsidR="00257E3C" w:rsidRDefault="00257E3C" w:rsidP="00554167">
      <w:pPr>
        <w:widowControl w:val="0"/>
        <w:numPr>
          <w:ilvl w:val="1"/>
          <w:numId w:val="1"/>
        </w:numPr>
        <w:spacing w:after="240"/>
        <w:outlineLvl w:val="1"/>
        <w:rPr>
          <w:lang w:val="es-ES"/>
        </w:rPr>
      </w:pPr>
      <w:r>
        <w:rPr>
          <w:lang w:val="es-ES"/>
        </w:rPr>
        <w:t>Cumplir los requisitos de información respecto de los Informes y Planes de Ejecución de Tramos y el plan general especificados en el Apéndice 4</w:t>
      </w:r>
      <w:r>
        <w:rPr>
          <w:lang w:val="es-ES"/>
        </w:rPr>
        <w:noBreakHyphen/>
        <w:t>A que se deben presentar al Comité Ejecutivo. Este debería incluir las actividades desempeñadas por el Organismo de Ejecución Cooperante;</w:t>
      </w:r>
    </w:p>
    <w:p w14:paraId="2FFD9429" w14:textId="77777777" w:rsidR="00257E3C" w:rsidRDefault="00257E3C" w:rsidP="00554167">
      <w:pPr>
        <w:widowControl w:val="0"/>
        <w:numPr>
          <w:ilvl w:val="1"/>
          <w:numId w:val="1"/>
        </w:numPr>
        <w:spacing w:after="240"/>
        <w:outlineLvl w:val="1"/>
        <w:rPr>
          <w:lang w:val="es-ES"/>
        </w:rPr>
      </w:pPr>
      <w:r>
        <w:rPr>
          <w:lang w:val="es-ES"/>
        </w:rPr>
        <w:t xml:space="preserve">En el caso en que se solicite el último tramo de financiación con uno o más años de antelación al último año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2E29B6BF" w14:textId="77777777" w:rsidR="00257E3C" w:rsidRDefault="00257E3C" w:rsidP="00554167">
      <w:pPr>
        <w:widowControl w:val="0"/>
        <w:numPr>
          <w:ilvl w:val="1"/>
          <w:numId w:val="1"/>
        </w:numPr>
        <w:spacing w:after="240"/>
        <w:outlineLvl w:val="1"/>
        <w:rPr>
          <w:lang w:val="es-ES"/>
        </w:rPr>
      </w:pPr>
      <w:r>
        <w:rPr>
          <w:lang w:val="es-ES"/>
        </w:rPr>
        <w:t>Asegurar que expertos técnicos independientes competentes lleven a cabo las revisiones técnicas;</w:t>
      </w:r>
    </w:p>
    <w:p w14:paraId="11548CAA" w14:textId="77777777" w:rsidR="00257E3C" w:rsidRDefault="00257E3C" w:rsidP="00554167">
      <w:pPr>
        <w:widowControl w:val="0"/>
        <w:numPr>
          <w:ilvl w:val="1"/>
          <w:numId w:val="1"/>
        </w:numPr>
        <w:spacing w:after="240"/>
        <w:outlineLvl w:val="1"/>
        <w:rPr>
          <w:lang w:val="es-ES"/>
        </w:rPr>
      </w:pPr>
      <w:r>
        <w:rPr>
          <w:lang w:val="es-ES"/>
        </w:rPr>
        <w:t>Emprender las misiones de supervisión requeridas;</w:t>
      </w:r>
    </w:p>
    <w:p w14:paraId="73A50FF9" w14:textId="77777777" w:rsidR="00257E3C" w:rsidRDefault="00257E3C" w:rsidP="00554167">
      <w:pPr>
        <w:keepNext/>
        <w:keepLines/>
        <w:widowControl w:val="0"/>
        <w:numPr>
          <w:ilvl w:val="1"/>
          <w:numId w:val="1"/>
        </w:numPr>
        <w:spacing w:after="240"/>
        <w:outlineLvl w:val="1"/>
        <w:rPr>
          <w:lang w:val="es-ES"/>
        </w:rPr>
      </w:pPr>
      <w:r>
        <w:rPr>
          <w:lang w:val="es-ES"/>
        </w:rPr>
        <w:t>Asegurar la existencia de un mecanismo operativo que permita la ejecución eficaz y transparente del Plan de Ejecución de Tramo y la presentación de datos exactos;</w:t>
      </w:r>
    </w:p>
    <w:p w14:paraId="1E62C8D5" w14:textId="77777777" w:rsidR="00257E3C" w:rsidRDefault="00257E3C" w:rsidP="00554167">
      <w:pPr>
        <w:widowControl w:val="0"/>
        <w:numPr>
          <w:ilvl w:val="1"/>
          <w:numId w:val="1"/>
        </w:numPr>
        <w:spacing w:after="240"/>
        <w:outlineLvl w:val="1"/>
        <w:rPr>
          <w:lang w:val="es-ES"/>
        </w:rPr>
      </w:pPr>
      <w:r>
        <w:rPr>
          <w:lang w:val="es-ES"/>
        </w:rPr>
        <w:t xml:space="preserve">Coordinar las actividades del Organismo de Ejecución Cooperante y asegurar que las actividades se ejecuten en la secuencia apropiada; </w:t>
      </w:r>
    </w:p>
    <w:p w14:paraId="4EBF5324" w14:textId="77777777" w:rsidR="00257E3C" w:rsidRDefault="00257E3C" w:rsidP="00554167">
      <w:pPr>
        <w:widowControl w:val="0"/>
        <w:numPr>
          <w:ilvl w:val="1"/>
          <w:numId w:val="1"/>
        </w:numPr>
        <w:spacing w:after="240"/>
        <w:outlineLvl w:val="1"/>
        <w:rPr>
          <w:lang w:val="es-ES"/>
        </w:rPr>
      </w:pPr>
      <w:r>
        <w:rPr>
          <w:lang w:val="es-ES"/>
        </w:rPr>
        <w:lastRenderedPageBreak/>
        <w:t xml:space="preserve">En el caso de que se reduzca la financiación por falta de cumplimiento conforme al párrafo 11 del Acuerdo, determinar, en consulta con el País y el Organismo de Ejecución Cooperante, la asignación de las reducciones a las diferentes partidas presupuestarias y a la financiación del Organismo de Ejecución Principal y del Organismo de Ejecución Cooperante; </w:t>
      </w:r>
    </w:p>
    <w:p w14:paraId="1CE57C06" w14:textId="77777777" w:rsidR="00257E3C" w:rsidRDefault="00257E3C" w:rsidP="00554167">
      <w:pPr>
        <w:widowControl w:val="0"/>
        <w:numPr>
          <w:ilvl w:val="1"/>
          <w:numId w:val="1"/>
        </w:numPr>
        <w:spacing w:after="240"/>
        <w:outlineLvl w:val="1"/>
        <w:rPr>
          <w:lang w:val="es-ES"/>
        </w:rPr>
      </w:pPr>
      <w:r>
        <w:rPr>
          <w:lang w:val="es-ES"/>
        </w:rPr>
        <w:t>Asegurar que los desembolsos a favor del País se basen en el uso de los indicadores; y</w:t>
      </w:r>
    </w:p>
    <w:p w14:paraId="2AD3B3E5" w14:textId="77777777" w:rsidR="00257E3C" w:rsidRDefault="00257E3C" w:rsidP="00554167">
      <w:pPr>
        <w:widowControl w:val="0"/>
        <w:numPr>
          <w:ilvl w:val="1"/>
          <w:numId w:val="1"/>
        </w:numPr>
        <w:spacing w:after="240"/>
        <w:outlineLvl w:val="1"/>
        <w:rPr>
          <w:lang w:val="es-ES"/>
        </w:rPr>
      </w:pPr>
      <w:r>
        <w:rPr>
          <w:lang w:val="es-ES"/>
        </w:rPr>
        <w:t>Brindar asistencia respecto de políticas, gestión y apoyo técnico, cuando sea necesario;</w:t>
      </w:r>
    </w:p>
    <w:p w14:paraId="16A91722" w14:textId="77777777" w:rsidR="00257E3C" w:rsidRDefault="00257E3C" w:rsidP="00554167">
      <w:pPr>
        <w:widowControl w:val="0"/>
        <w:numPr>
          <w:ilvl w:val="1"/>
          <w:numId w:val="1"/>
        </w:numPr>
        <w:spacing w:after="240"/>
        <w:outlineLvl w:val="1"/>
        <w:rPr>
          <w:lang w:val="es-ES"/>
        </w:rPr>
      </w:pPr>
      <w:r>
        <w:rPr>
          <w:lang w:val="es-ES"/>
        </w:rPr>
        <w:t>Lograr un consenso con el Organismo de Ejecución Cooperante sobre toda planificación, coordinación y presentación de informes requeridas para facilitar la ejecución del Plan; y</w:t>
      </w:r>
    </w:p>
    <w:p w14:paraId="6FE93D01" w14:textId="77777777" w:rsidR="00257E3C" w:rsidRDefault="00257E3C" w:rsidP="00554167">
      <w:pPr>
        <w:widowControl w:val="0"/>
        <w:numPr>
          <w:ilvl w:val="1"/>
          <w:numId w:val="1"/>
        </w:numPr>
        <w:spacing w:after="240"/>
        <w:outlineLvl w:val="1"/>
        <w:rPr>
          <w:lang w:val="es-ES"/>
        </w:rPr>
      </w:pPr>
      <w:r>
        <w:rPr>
          <w:lang w:val="es-ES"/>
        </w:rPr>
        <w:t>Liberar de fondos en fecha al País/empresas participantes para terminar las actividades relacionadas con el proyecto.</w:t>
      </w:r>
    </w:p>
    <w:p w14:paraId="61D63E68" w14:textId="77777777" w:rsidR="00257E3C" w:rsidRDefault="00257E3C" w:rsidP="00554167">
      <w:pPr>
        <w:widowControl w:val="0"/>
        <w:numPr>
          <w:ilvl w:val="0"/>
          <w:numId w:val="1"/>
        </w:numPr>
        <w:spacing w:after="240"/>
        <w:outlineLvl w:val="0"/>
        <w:rPr>
          <w:lang w:val="es-ES"/>
        </w:rPr>
      </w:pPr>
      <w:r>
        <w:rPr>
          <w:lang w:val="es-ES"/>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Pr>
          <w:lang w:val="es-ES"/>
        </w:rPr>
        <w:noBreakHyphen/>
        <w:t>A, conforme al inciso 5 b) del Acuerdo y el inciso 1 b) del Apéndice 4</w:t>
      </w:r>
      <w:r>
        <w:rPr>
          <w:lang w:val="es-ES"/>
        </w:rPr>
        <w:noBreakHyphen/>
        <w:t>A.</w:t>
      </w:r>
    </w:p>
    <w:p w14:paraId="7324FD1C" w14:textId="77777777" w:rsidR="00257E3C" w:rsidRDefault="00257E3C" w:rsidP="00554167">
      <w:pPr>
        <w:widowControl w:val="0"/>
        <w:rPr>
          <w:b/>
          <w:lang w:val="es-ES"/>
        </w:rPr>
      </w:pPr>
      <w:r>
        <w:rPr>
          <w:b/>
          <w:bCs/>
          <w:lang w:val="es-ES"/>
        </w:rPr>
        <w:t>APÉNDICE 6</w:t>
      </w:r>
      <w:r>
        <w:rPr>
          <w:b/>
          <w:bCs/>
          <w:lang w:val="es-ES"/>
        </w:rPr>
        <w:noBreakHyphen/>
        <w:t>B: FUNCIÓN DE LOS ORGANISMOS DE EJECUCIÓN COOPERANTES</w:t>
      </w:r>
    </w:p>
    <w:p w14:paraId="6D0F1980" w14:textId="77777777" w:rsidR="00257E3C" w:rsidRDefault="00257E3C" w:rsidP="00554167">
      <w:pPr>
        <w:widowControl w:val="0"/>
        <w:rPr>
          <w:lang w:val="es-ES"/>
        </w:rPr>
      </w:pPr>
    </w:p>
    <w:p w14:paraId="775226ED" w14:textId="77777777" w:rsidR="00257E3C" w:rsidRPr="00257E3C" w:rsidRDefault="00257E3C" w:rsidP="00257E3C">
      <w:pPr>
        <w:pStyle w:val="Heading1"/>
        <w:widowControl w:val="0"/>
        <w:numPr>
          <w:ilvl w:val="0"/>
          <w:numId w:val="41"/>
        </w:numPr>
        <w:rPr>
          <w:lang w:val="es-ES"/>
        </w:rPr>
      </w:pPr>
      <w:r w:rsidRPr="00257E3C">
        <w:rPr>
          <w:lang w:val="es-ES"/>
        </w:rPr>
        <w:t xml:space="preserve">El Organismo de Ejecución Cooperante tendrá a su cargo diversas actividades. Estas se especifican con más detalle en el Plan, e incluyen como mínimo las siguientes: </w:t>
      </w:r>
    </w:p>
    <w:p w14:paraId="25AC53CD" w14:textId="77777777" w:rsidR="00257E3C" w:rsidRDefault="00257E3C" w:rsidP="00554167">
      <w:pPr>
        <w:widowControl w:val="0"/>
        <w:numPr>
          <w:ilvl w:val="1"/>
          <w:numId w:val="1"/>
        </w:numPr>
        <w:spacing w:after="240"/>
        <w:outlineLvl w:val="1"/>
        <w:rPr>
          <w:lang w:val="es-ES"/>
        </w:rPr>
      </w:pPr>
      <w:r>
        <w:rPr>
          <w:lang w:val="es-ES"/>
        </w:rPr>
        <w:t xml:space="preserve">Proporcionar asistencia para la elaboración de políticas cuando se requiera; </w:t>
      </w:r>
    </w:p>
    <w:p w14:paraId="5F17A322" w14:textId="77777777" w:rsidR="00257E3C" w:rsidRDefault="00257E3C" w:rsidP="00554167">
      <w:pPr>
        <w:widowControl w:val="0"/>
        <w:numPr>
          <w:ilvl w:val="1"/>
          <w:numId w:val="1"/>
        </w:numPr>
        <w:spacing w:after="240"/>
        <w:outlineLvl w:val="1"/>
        <w:rPr>
          <w:lang w:val="es-ES"/>
        </w:rPr>
      </w:pPr>
      <w:r>
        <w:rPr>
          <w:lang w:val="es-ES"/>
        </w:rPr>
        <w:t>Brindar asistencia al País en la ejecución y evaluación de las actividades que financie el Organismo de Ejecución Cooperante, remitiéndose al Organismo de Ejecución Principal para asegurar que las actividades se ejecuten en una secuencia coordinada; y</w:t>
      </w:r>
    </w:p>
    <w:p w14:paraId="28DA2A04" w14:textId="77777777" w:rsidR="00257E3C" w:rsidRDefault="00257E3C" w:rsidP="00554167">
      <w:pPr>
        <w:widowControl w:val="0"/>
        <w:numPr>
          <w:ilvl w:val="1"/>
          <w:numId w:val="1"/>
        </w:numPr>
        <w:spacing w:after="240"/>
        <w:outlineLvl w:val="1"/>
        <w:rPr>
          <w:lang w:val="es-ES"/>
        </w:rPr>
      </w:pPr>
      <w:r>
        <w:rPr>
          <w:lang w:val="es-ES"/>
        </w:rPr>
        <w:t>Dar informes al Organismo de Ejecución Principal sobre estas actividades para su inclusión en los informes refundidos con arreglo al Apéndice 4</w:t>
      </w:r>
      <w:r>
        <w:rPr>
          <w:lang w:val="es-ES"/>
        </w:rPr>
        <w:noBreakHyphen/>
        <w:t>A; y</w:t>
      </w:r>
    </w:p>
    <w:p w14:paraId="548AAD0D" w14:textId="77777777" w:rsidR="00257E3C" w:rsidRDefault="00257E3C" w:rsidP="00554167">
      <w:pPr>
        <w:widowControl w:val="0"/>
        <w:numPr>
          <w:ilvl w:val="1"/>
          <w:numId w:val="1"/>
        </w:numPr>
        <w:spacing w:after="240"/>
        <w:outlineLvl w:val="1"/>
        <w:rPr>
          <w:lang w:val="es-ES"/>
        </w:rPr>
      </w:pPr>
      <w:r>
        <w:rPr>
          <w:lang w:val="es-ES"/>
        </w:rPr>
        <w:t>Lograr un consenso con el Organismo de Ejecución Principal sobre toda planificación, coordinación y presentación de informes requeridas para facilitar la ejecución del Plan.</w:t>
      </w:r>
    </w:p>
    <w:p w14:paraId="671D9E24" w14:textId="77777777" w:rsidR="00257E3C" w:rsidRDefault="00257E3C" w:rsidP="00554167">
      <w:pPr>
        <w:widowControl w:val="0"/>
        <w:rPr>
          <w:b/>
          <w:lang w:val="es-ES"/>
        </w:rPr>
      </w:pPr>
      <w:r>
        <w:rPr>
          <w:b/>
          <w:bCs/>
          <w:lang w:val="es-ES"/>
        </w:rPr>
        <w:t>APÉNDICE 7-A: REDUCCIONES DE LA FINANCIACIÓN EN CASO DE INCUMPLIMIENTO</w:t>
      </w:r>
    </w:p>
    <w:p w14:paraId="7648C3C9" w14:textId="77777777" w:rsidR="00257E3C" w:rsidRDefault="00257E3C" w:rsidP="00554167">
      <w:pPr>
        <w:widowControl w:val="0"/>
        <w:rPr>
          <w:lang w:val="es-ES"/>
        </w:rPr>
      </w:pPr>
    </w:p>
    <w:p w14:paraId="608BE7C2" w14:textId="77777777" w:rsidR="00257E3C" w:rsidRPr="00257E3C" w:rsidRDefault="00257E3C" w:rsidP="00257E3C">
      <w:pPr>
        <w:pStyle w:val="Heading1"/>
        <w:widowControl w:val="0"/>
        <w:numPr>
          <w:ilvl w:val="0"/>
          <w:numId w:val="35"/>
        </w:numPr>
        <w:rPr>
          <w:lang w:val="es-ES"/>
        </w:rPr>
      </w:pPr>
      <w:r w:rsidRPr="00257E3C">
        <w:rPr>
          <w:lang w:val="es-ES"/>
        </w:rPr>
        <w:t>De conformidad con el párrafo 11 del Acuerdo, el monto de financiación proporcionada podrá reducirse en 180</w:t>
      </w:r>
      <w:r w:rsidRPr="00257E3C">
        <w:rPr>
          <w:b/>
          <w:lang w:val="es-AR"/>
        </w:rPr>
        <w:t xml:space="preserve"> </w:t>
      </w:r>
      <w:r w:rsidRPr="00257E3C">
        <w:rPr>
          <w:lang w:val="es-ES"/>
        </w:rPr>
        <w:t>$EUA por kg PAO de consumo que supere el nivel definido en la fila 1.2 del Apéndice 2</w:t>
      </w:r>
      <w:r w:rsidRPr="00257E3C">
        <w:rPr>
          <w:lang w:val="es-ES"/>
        </w:rPr>
        <w:noBreakHyphen/>
        <w:t xml:space="preserve">A para cada año en que no se haya logrado el objetivo especificado en la fila 1.2 del Apéndice 2-A, quedando entendido que la reducción de financiación máxima no excedería el nivel de financiación del tramo que se solicita.  Otras medidas podrían considerarse en casos donde el incumplimiento se extiende durante dos años consecutivos. </w:t>
      </w:r>
    </w:p>
    <w:p w14:paraId="26F7DF79" w14:textId="4F498E4D" w:rsidR="00257E3C" w:rsidRPr="000D334C" w:rsidRDefault="00257E3C" w:rsidP="006A61EB">
      <w:pPr>
        <w:widowControl w:val="0"/>
        <w:numPr>
          <w:ilvl w:val="0"/>
          <w:numId w:val="23"/>
        </w:numPr>
        <w:spacing w:after="240"/>
        <w:outlineLvl w:val="0"/>
        <w:rPr>
          <w:lang w:val="es-ES"/>
        </w:rPr>
      </w:pPr>
      <w:r w:rsidRPr="000D334C">
        <w:rPr>
          <w:lang w:val="es-ES"/>
        </w:rPr>
        <w:t>En el caso de que deba aplicarse esta sanción respecto a un año en el que estén vigentes dos acuerdos (dos etapas del plan de gestión de eliminación de los HCFC que se ejecuten en forma paralela) que prevean sanciones de diferente cuantía, la aplicación de la sanción se determinará caso por caso tomando en cuenta los sectores específicos que llevan al incumplimiento. Si no fuera posible precisar el sector, o si ambas etapas se ocuparan del mismo sector, se aplicará de ambas sanciones la que fuera mayor.</w:t>
      </w:r>
      <w:bookmarkStart w:id="0" w:name="_GoBack"/>
      <w:bookmarkEnd w:id="0"/>
    </w:p>
    <w:sectPr w:rsidR="00257E3C" w:rsidRPr="000D334C">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F189" w14:textId="77777777" w:rsidR="0036307F" w:rsidRDefault="0036307F">
      <w:r>
        <w:separator/>
      </w:r>
    </w:p>
  </w:endnote>
  <w:endnote w:type="continuationSeparator" w:id="0">
    <w:p w14:paraId="2DB002CA" w14:textId="77777777" w:rsidR="0036307F" w:rsidRDefault="0036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EBC6" w14:textId="6829C5E3" w:rsidR="0087455A" w:rsidRDefault="0024162E">
    <w:pPr>
      <w:jc w:val="center"/>
    </w:pPr>
    <w:r>
      <w:fldChar w:fldCharType="begin"/>
    </w:r>
    <w:r>
      <w:instrText xml:space="preserve"> PAGE </w:instrText>
    </w:r>
    <w:r>
      <w:fldChar w:fldCharType="separate"/>
    </w:r>
    <w:r w:rsidR="00B10609">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1A83" w14:textId="7B045352" w:rsidR="0087455A" w:rsidRDefault="0024162E">
    <w:pPr>
      <w:jc w:val="center"/>
    </w:pPr>
    <w:r>
      <w:fldChar w:fldCharType="begin"/>
    </w:r>
    <w:r>
      <w:instrText xml:space="preserve"> PAGE </w:instrText>
    </w:r>
    <w:r>
      <w:fldChar w:fldCharType="separate"/>
    </w:r>
    <w:r w:rsidR="00B10609">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35BB" w14:textId="77777777" w:rsidR="0087455A" w:rsidRDefault="0024162E">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2AF83B57" w14:textId="01A74E4B" w:rsidR="0087455A" w:rsidRDefault="0024162E">
        <w:pPr>
          <w:pStyle w:val="Footer"/>
          <w:jc w:val="center"/>
        </w:pPr>
        <w:r>
          <w:fldChar w:fldCharType="begin"/>
        </w:r>
        <w:r>
          <w:instrText xml:space="preserve"> PAGE   \* MERGEFORMAT </w:instrText>
        </w:r>
        <w:r>
          <w:fldChar w:fldCharType="separate"/>
        </w:r>
        <w:r w:rsidR="00B10609">
          <w:rPr>
            <w:noProof/>
          </w:rPr>
          <w:t>1</w:t>
        </w:r>
        <w:r>
          <w:rPr>
            <w:noProof/>
          </w:rPr>
          <w:fldChar w:fldCharType="end"/>
        </w:r>
      </w:p>
    </w:sdtContent>
  </w:sdt>
  <w:p w14:paraId="10093E97" w14:textId="77777777"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91C5" w14:textId="77777777" w:rsidR="0036307F" w:rsidRDefault="0036307F">
      <w:r>
        <w:separator/>
      </w:r>
    </w:p>
  </w:footnote>
  <w:footnote w:type="continuationSeparator" w:id="0">
    <w:p w14:paraId="19C0DE69" w14:textId="77777777" w:rsidR="0036307F" w:rsidRDefault="0036307F">
      <w:r>
        <w:continuationSeparator/>
      </w:r>
    </w:p>
  </w:footnote>
  <w:footnote w:id="1">
    <w:p w14:paraId="50BBE218" w14:textId="77777777" w:rsidR="00064429" w:rsidRPr="009C74FD" w:rsidRDefault="002959B4" w:rsidP="00344EAB">
      <w:pPr>
        <w:pStyle w:val="FootnoteText"/>
        <w:rPr>
          <w:lang w:val="es-MX"/>
        </w:rPr>
      </w:pPr>
      <w:r>
        <w:rPr>
          <w:rStyle w:val="FootnoteReference"/>
        </w:rPr>
        <w:footnoteRef/>
      </w:r>
      <w:r w:rsidRPr="00064429">
        <w:rPr>
          <w:lang w:val="es-AR"/>
        </w:rPr>
        <w:t xml:space="preserve"> </w:t>
      </w:r>
      <w:r w:rsidR="00064429" w:rsidRPr="008D6A1A">
        <w:rPr>
          <w:lang w:val="es-MX"/>
        </w:rPr>
        <w:t xml:space="preserve">En </w:t>
      </w:r>
      <w:r w:rsidR="00344EAB">
        <w:rPr>
          <w:lang w:val="es-MX"/>
        </w:rPr>
        <w:t>noviembre y diciembre</w:t>
      </w:r>
      <w:r w:rsidR="00064429" w:rsidRPr="008D6A1A">
        <w:rPr>
          <w:lang w:val="es-MX"/>
        </w:rPr>
        <w:t xml:space="preserve"> de 2021 se celebrarán reunion</w:t>
      </w:r>
      <w:r w:rsidR="00064429">
        <w:rPr>
          <w:lang w:val="es-MX"/>
        </w:rPr>
        <w:t>e</w:t>
      </w:r>
      <w:r w:rsidR="00064429" w:rsidRPr="008D6A1A">
        <w:rPr>
          <w:lang w:val="es-MX"/>
        </w:rPr>
        <w:t xml:space="preserve">s en </w:t>
      </w:r>
      <w:r w:rsidR="00064429">
        <w:rPr>
          <w:lang w:val="es-MX"/>
        </w:rPr>
        <w:t>línea y se llevará a cabo el proceso de aprobación entre período</w:t>
      </w:r>
      <w:r w:rsidR="00D84B6F">
        <w:rPr>
          <w:lang w:val="es-MX"/>
        </w:rPr>
        <w:t xml:space="preserve">s </w:t>
      </w:r>
      <w:r w:rsidR="00064429">
        <w:rPr>
          <w:lang w:val="es-MX"/>
        </w:rPr>
        <w:t>de sesiones, debido al coronavirus (COVID-19).</w:t>
      </w:r>
    </w:p>
    <w:p w14:paraId="52DD8AFC" w14:textId="77777777" w:rsidR="002959B4" w:rsidRPr="00064429" w:rsidRDefault="002959B4">
      <w:pPr>
        <w:pStyle w:val="FootnoteText"/>
        <w:rPr>
          <w:lang w:val="es-AR"/>
        </w:rPr>
      </w:pPr>
    </w:p>
  </w:footnote>
  <w:footnote w:id="2">
    <w:p w14:paraId="43A5896A" w14:textId="43962C53" w:rsidR="008933CC" w:rsidRPr="00FC2C06" w:rsidRDefault="008933CC" w:rsidP="008933CC">
      <w:pPr>
        <w:pStyle w:val="FootnoteText"/>
        <w:rPr>
          <w:lang w:val="es-ES"/>
        </w:rPr>
      </w:pPr>
      <w:r w:rsidRPr="00FE3307">
        <w:rPr>
          <w:rStyle w:val="FootnoteReference"/>
        </w:rPr>
        <w:footnoteRef/>
      </w:r>
      <w:r w:rsidRPr="00FC2C06">
        <w:rPr>
          <w:lang w:val="es-ES"/>
        </w:rPr>
        <w:t xml:space="preserve"> </w:t>
      </w:r>
      <w:r w:rsidR="00FC2C06" w:rsidRPr="00FC2C06">
        <w:rPr>
          <w:lang w:val="es-ES"/>
        </w:rPr>
        <w:t>Según la carta del 7 de julio de 2021 del Ministerio de Medio Ambiente y Desarrollo Sostenible de la República</w:t>
      </w:r>
      <w:r w:rsidR="003C1A5A">
        <w:rPr>
          <w:lang w:val="es-ES"/>
        </w:rPr>
        <w:t> </w:t>
      </w:r>
      <w:r w:rsidR="00FC2C06" w:rsidRPr="00FC2C06">
        <w:rPr>
          <w:lang w:val="es-ES"/>
        </w:rPr>
        <w:t>Democrática del Congo al PNUMA</w:t>
      </w:r>
      <w:r w:rsidRPr="00FC2C06">
        <w:rPr>
          <w:lang w:val="es-ES"/>
        </w:rPr>
        <w:t>.</w:t>
      </w:r>
    </w:p>
  </w:footnote>
  <w:footnote w:id="3">
    <w:p w14:paraId="4095725D" w14:textId="7227D72C" w:rsidR="008933CC" w:rsidRPr="007773E7" w:rsidRDefault="008933CC" w:rsidP="008933CC">
      <w:pPr>
        <w:pStyle w:val="FootnoteText"/>
        <w:rPr>
          <w:lang w:val="es-ES"/>
        </w:rPr>
      </w:pPr>
      <w:r>
        <w:rPr>
          <w:rStyle w:val="FootnoteReference"/>
        </w:rPr>
        <w:footnoteRef/>
      </w:r>
      <w:r w:rsidRPr="007773E7">
        <w:rPr>
          <w:lang w:val="es-ES"/>
        </w:rPr>
        <w:t xml:space="preserve"> Decisi</w:t>
      </w:r>
      <w:r w:rsidR="007773E7" w:rsidRPr="007773E7">
        <w:rPr>
          <w:lang w:val="es-ES"/>
        </w:rPr>
        <w:t>ó</w:t>
      </w:r>
      <w:r w:rsidRPr="007773E7">
        <w:rPr>
          <w:lang w:val="es-ES"/>
        </w:rPr>
        <w:t>n 63/54, document</w:t>
      </w:r>
      <w:r w:rsidR="007773E7" w:rsidRPr="007773E7">
        <w:rPr>
          <w:lang w:val="es-ES"/>
        </w:rPr>
        <w:t>o</w:t>
      </w:r>
      <w:r w:rsidRPr="007773E7">
        <w:rPr>
          <w:lang w:val="es-ES"/>
        </w:rPr>
        <w:t xml:space="preserve"> UNEP/</w:t>
      </w:r>
      <w:proofErr w:type="spellStart"/>
      <w:r w:rsidRPr="007773E7">
        <w:rPr>
          <w:lang w:val="es-ES"/>
        </w:rPr>
        <w:t>OzL.Pro</w:t>
      </w:r>
      <w:proofErr w:type="spellEnd"/>
      <w:r w:rsidRPr="007773E7">
        <w:rPr>
          <w:lang w:val="es-ES"/>
        </w:rPr>
        <w:t>/</w:t>
      </w:r>
      <w:proofErr w:type="spellStart"/>
      <w:r w:rsidRPr="007773E7">
        <w:rPr>
          <w:lang w:val="es-ES"/>
        </w:rPr>
        <w:t>ExCom</w:t>
      </w:r>
      <w:proofErr w:type="spellEnd"/>
      <w:r w:rsidRPr="007773E7">
        <w:rPr>
          <w:lang w:val="es-ES"/>
        </w:rPr>
        <w:t>/63/60</w:t>
      </w:r>
    </w:p>
  </w:footnote>
  <w:footnote w:id="4">
    <w:p w14:paraId="40511EDF" w14:textId="43F1951E" w:rsidR="008933CC" w:rsidRPr="007773E7" w:rsidRDefault="008933CC" w:rsidP="008933CC">
      <w:pPr>
        <w:pStyle w:val="FootnoteText"/>
        <w:rPr>
          <w:lang w:val="es-ES"/>
        </w:rPr>
      </w:pPr>
      <w:r w:rsidRPr="00FC3D87">
        <w:rPr>
          <w:rStyle w:val="FootnoteReference"/>
        </w:rPr>
        <w:footnoteRef/>
      </w:r>
      <w:r w:rsidRPr="007773E7">
        <w:rPr>
          <w:lang w:val="es-ES"/>
        </w:rPr>
        <w:t xml:space="preserve"> Decisi</w:t>
      </w:r>
      <w:r w:rsidR="007773E7" w:rsidRPr="007773E7">
        <w:rPr>
          <w:lang w:val="es-ES"/>
        </w:rPr>
        <w:t>ó</w:t>
      </w:r>
      <w:r w:rsidRPr="007773E7">
        <w:rPr>
          <w:lang w:val="es-ES"/>
        </w:rPr>
        <w:t>n 80/67, document</w:t>
      </w:r>
      <w:r w:rsidR="007773E7">
        <w:rPr>
          <w:lang w:val="es-ES"/>
        </w:rPr>
        <w:t>o</w:t>
      </w:r>
      <w:r w:rsidRPr="007773E7">
        <w:rPr>
          <w:lang w:val="es-ES"/>
        </w:rPr>
        <w:t xml:space="preserve"> UNEP/</w:t>
      </w:r>
      <w:proofErr w:type="spellStart"/>
      <w:r w:rsidRPr="007773E7">
        <w:rPr>
          <w:lang w:val="es-ES"/>
        </w:rPr>
        <w:t>OzL.Pro</w:t>
      </w:r>
      <w:proofErr w:type="spellEnd"/>
      <w:r w:rsidRPr="007773E7">
        <w:rPr>
          <w:lang w:val="es-ES"/>
        </w:rPr>
        <w:t>/</w:t>
      </w:r>
      <w:proofErr w:type="spellStart"/>
      <w:r w:rsidRPr="007773E7">
        <w:rPr>
          <w:lang w:val="es-ES"/>
        </w:rPr>
        <w:t>ExCom</w:t>
      </w:r>
      <w:proofErr w:type="spellEnd"/>
      <w:r w:rsidRPr="007773E7">
        <w:rPr>
          <w:lang w:val="es-ES"/>
        </w:rPr>
        <w:t>/80/59</w:t>
      </w:r>
    </w:p>
  </w:footnote>
  <w:footnote w:id="5">
    <w:p w14:paraId="031A16A0" w14:textId="7643BC86" w:rsidR="008933CC" w:rsidRPr="00257E3C" w:rsidRDefault="008933CC" w:rsidP="008933CC">
      <w:pPr>
        <w:pStyle w:val="FootnoteText"/>
        <w:rPr>
          <w:lang w:val="es-ES"/>
        </w:rPr>
      </w:pPr>
      <w:r>
        <w:rPr>
          <w:rStyle w:val="FootnoteReference"/>
        </w:rPr>
        <w:footnoteRef/>
      </w:r>
      <w:r w:rsidRPr="00257E3C">
        <w:rPr>
          <w:lang w:val="es-ES"/>
        </w:rPr>
        <w:t xml:space="preserve"> Decisi</w:t>
      </w:r>
      <w:r w:rsidR="007773E7" w:rsidRPr="00257E3C">
        <w:rPr>
          <w:lang w:val="es-ES"/>
        </w:rPr>
        <w:t>ó</w:t>
      </w:r>
      <w:r w:rsidRPr="00257E3C">
        <w:rPr>
          <w:lang w:val="es-ES"/>
        </w:rPr>
        <w:t>n 84/15</w:t>
      </w:r>
      <w:r w:rsidR="00CD1629" w:rsidRPr="00257E3C">
        <w:rPr>
          <w:lang w:val="es-ES"/>
        </w:rPr>
        <w:t xml:space="preserve"> </w:t>
      </w:r>
      <w:r w:rsidRPr="00257E3C">
        <w:rPr>
          <w:lang w:val="es-ES"/>
        </w:rPr>
        <w:t>c)</w:t>
      </w:r>
    </w:p>
  </w:footnote>
  <w:footnote w:id="6">
    <w:p w14:paraId="1A1033A4" w14:textId="404C12FA" w:rsidR="00C42F37" w:rsidRPr="008702AB" w:rsidRDefault="00C42F37" w:rsidP="00C42F37">
      <w:pPr>
        <w:pStyle w:val="FootnoteText"/>
        <w:rPr>
          <w:lang w:val="es-ES"/>
        </w:rPr>
      </w:pPr>
      <w:r>
        <w:rPr>
          <w:rStyle w:val="FootnoteReference"/>
        </w:rPr>
        <w:footnoteRef/>
      </w:r>
      <w:r w:rsidRPr="008702AB">
        <w:rPr>
          <w:lang w:val="es-ES"/>
        </w:rPr>
        <w:t xml:space="preserve"> </w:t>
      </w:r>
      <w:r w:rsidR="00267657" w:rsidRPr="008702AB">
        <w:rPr>
          <w:lang w:val="es-ES"/>
        </w:rPr>
        <w:t>Asociación</w:t>
      </w:r>
      <w:r w:rsidRPr="008702AB">
        <w:rPr>
          <w:lang w:val="es-ES"/>
        </w:rPr>
        <w:t xml:space="preserve"> Congol</w:t>
      </w:r>
      <w:r w:rsidR="00267657" w:rsidRPr="008702AB">
        <w:rPr>
          <w:lang w:val="es-ES"/>
        </w:rPr>
        <w:t>esa</w:t>
      </w:r>
      <w:r w:rsidRPr="008702AB">
        <w:rPr>
          <w:lang w:val="es-ES"/>
        </w:rPr>
        <w:t xml:space="preserve"> </w:t>
      </w:r>
      <w:r w:rsidR="00267657" w:rsidRPr="008702AB">
        <w:rPr>
          <w:lang w:val="es-ES"/>
        </w:rPr>
        <w:t>de</w:t>
      </w:r>
      <w:r w:rsidRPr="008702AB">
        <w:rPr>
          <w:lang w:val="es-ES"/>
        </w:rPr>
        <w:t xml:space="preserve"> </w:t>
      </w:r>
      <w:r w:rsidR="008702AB">
        <w:rPr>
          <w:lang w:val="es-ES"/>
        </w:rPr>
        <w:t>Técnic</w:t>
      </w:r>
      <w:r w:rsidR="00AB71F9">
        <w:rPr>
          <w:lang w:val="es-ES"/>
        </w:rPr>
        <w:t>o</w:t>
      </w:r>
      <w:r w:rsidR="008702AB">
        <w:rPr>
          <w:lang w:val="es-ES"/>
        </w:rPr>
        <w:t>s</w:t>
      </w:r>
      <w:r w:rsidRPr="008702AB">
        <w:rPr>
          <w:lang w:val="es-ES"/>
        </w:rPr>
        <w:t xml:space="preserve"> </w:t>
      </w:r>
      <w:r w:rsidR="008702AB">
        <w:rPr>
          <w:lang w:val="es-ES"/>
        </w:rPr>
        <w:t>en</w:t>
      </w:r>
      <w:r w:rsidR="00267657" w:rsidRPr="008702AB">
        <w:rPr>
          <w:lang w:val="es-ES"/>
        </w:rPr>
        <w:t xml:space="preserve"> Refrigeración</w:t>
      </w:r>
      <w:r w:rsidRPr="008702AB">
        <w:rPr>
          <w:lang w:val="es-ES"/>
        </w:rPr>
        <w:t>.</w:t>
      </w:r>
    </w:p>
  </w:footnote>
  <w:footnote w:id="7">
    <w:p w14:paraId="3D5F1ADA" w14:textId="67E3E986" w:rsidR="00F5743F" w:rsidRPr="00875839" w:rsidRDefault="00F5743F" w:rsidP="00F5743F">
      <w:pPr>
        <w:pStyle w:val="FootnoteText"/>
        <w:rPr>
          <w:lang w:val="es-ES"/>
        </w:rPr>
      </w:pPr>
      <w:r>
        <w:rPr>
          <w:rStyle w:val="FootnoteReference"/>
        </w:rPr>
        <w:footnoteRef/>
      </w:r>
      <w:r w:rsidRPr="00875839">
        <w:rPr>
          <w:lang w:val="es-ES"/>
        </w:rPr>
        <w:t xml:space="preserve"> </w:t>
      </w:r>
      <w:r w:rsidR="00B663A6" w:rsidRPr="00875839">
        <w:rPr>
          <w:lang w:val="es-ES"/>
        </w:rPr>
        <w:t>Incluye equipos de carga de hidrocarburos, detectores de fugas, equipos de lavado de nitrógeno, mangueras de ventilación, identificadores de refrigerantes, herramientas para tuberías, bombas de vacío y otras herramientas para manipular HCFC-22 y refrigerantes inflamables</w:t>
      </w:r>
      <w:r w:rsidRPr="00875839">
        <w:rPr>
          <w:lang w:val="es-ES"/>
        </w:rPr>
        <w:t>.</w:t>
      </w:r>
    </w:p>
  </w:footnote>
  <w:footnote w:id="8">
    <w:p w14:paraId="665BE21D" w14:textId="409A434F" w:rsidR="008933CC" w:rsidRPr="00875839" w:rsidRDefault="008933CC" w:rsidP="008933CC">
      <w:pPr>
        <w:pStyle w:val="FootnoteText"/>
        <w:rPr>
          <w:lang w:val="es-ES"/>
        </w:rPr>
      </w:pPr>
      <w:r>
        <w:rPr>
          <w:rStyle w:val="FootnoteReference"/>
        </w:rPr>
        <w:footnoteRef/>
      </w:r>
      <w:r w:rsidRPr="00875839">
        <w:rPr>
          <w:lang w:val="es-ES"/>
        </w:rPr>
        <w:t xml:space="preserve"> </w:t>
      </w:r>
      <w:r w:rsidR="00875839" w:rsidRPr="00875839">
        <w:rPr>
          <w:lang w:val="es-ES"/>
        </w:rPr>
        <w:t>El equipo incluye estaciones de recuperación, balanzas, kits de prueba de refrigerantes, bombas de vacío, cristalería y accesorios para la certificación de refrigerantes, bombas de transferencia y cilindros. El equipo específico se determinará en función de las necesidades</w:t>
      </w:r>
      <w:r w:rsidRPr="00875839">
        <w:rPr>
          <w:lang w:val="es-ES"/>
        </w:rPr>
        <w:t xml:space="preserve">. </w:t>
      </w:r>
    </w:p>
  </w:footnote>
  <w:footnote w:id="9">
    <w:p w14:paraId="6DFE5357" w14:textId="74602506" w:rsidR="008933CC" w:rsidRPr="002E61E2" w:rsidRDefault="008933CC" w:rsidP="008933CC">
      <w:pPr>
        <w:pStyle w:val="FootnoteText"/>
        <w:rPr>
          <w:lang w:val="es-ES"/>
        </w:rPr>
      </w:pPr>
      <w:r>
        <w:rPr>
          <w:rStyle w:val="FootnoteReference"/>
        </w:rPr>
        <w:footnoteRef/>
      </w:r>
      <w:r w:rsidRPr="002E61E2">
        <w:rPr>
          <w:lang w:val="es-ES"/>
        </w:rPr>
        <w:t xml:space="preserve"> </w:t>
      </w:r>
      <w:r w:rsidR="00875839" w:rsidRPr="002E61E2">
        <w:rPr>
          <w:lang w:val="es-ES"/>
        </w:rPr>
        <w:t xml:space="preserve">En la </w:t>
      </w:r>
      <w:r w:rsidRPr="002E61E2">
        <w:rPr>
          <w:lang w:val="es-ES"/>
        </w:rPr>
        <w:t>Decisi</w:t>
      </w:r>
      <w:r w:rsidR="00897314" w:rsidRPr="002E61E2">
        <w:rPr>
          <w:lang w:val="es-ES"/>
        </w:rPr>
        <w:t>ó</w:t>
      </w:r>
      <w:r w:rsidRPr="002E61E2">
        <w:rPr>
          <w:lang w:val="es-ES"/>
        </w:rPr>
        <w:t>n 84/92</w:t>
      </w:r>
      <w:r w:rsidR="00897314" w:rsidRPr="002E61E2">
        <w:rPr>
          <w:lang w:val="es-ES"/>
        </w:rPr>
        <w:t xml:space="preserve"> </w:t>
      </w:r>
      <w:r w:rsidRPr="002E61E2">
        <w:rPr>
          <w:lang w:val="es-ES"/>
        </w:rPr>
        <w:t xml:space="preserve">d) </w:t>
      </w:r>
      <w:r w:rsidR="002E61E2">
        <w:rPr>
          <w:lang w:val="es-ES"/>
        </w:rPr>
        <w:t xml:space="preserve">se </w:t>
      </w:r>
      <w:r w:rsidR="002E61E2" w:rsidRPr="002E61E2">
        <w:rPr>
          <w:lang w:val="es-ES"/>
        </w:rPr>
        <w:t>solicitó a los organismos bilaterales y de ejecución que aplicaran la política operativa de integración de la perspectiva de género en todo el ciclo del proyecto</w:t>
      </w:r>
      <w:r w:rsidRPr="002E61E2">
        <w:rPr>
          <w:lang w:val="es-ES"/>
        </w:rPr>
        <w:t>.</w:t>
      </w:r>
    </w:p>
  </w:footnote>
  <w:footnote w:id="10">
    <w:p w14:paraId="50D02485" w14:textId="138F2172" w:rsidR="008933CC" w:rsidRPr="00D97A60" w:rsidRDefault="008933CC" w:rsidP="008933CC">
      <w:pPr>
        <w:pStyle w:val="FootnoteText"/>
        <w:rPr>
          <w:lang w:val="es-ES"/>
        </w:rPr>
      </w:pPr>
      <w:r>
        <w:rPr>
          <w:rStyle w:val="FootnoteReference"/>
        </w:rPr>
        <w:footnoteRef/>
      </w:r>
      <w:r w:rsidRPr="00D97A60">
        <w:rPr>
          <w:lang w:val="es-ES"/>
        </w:rPr>
        <w:t xml:space="preserve"> </w:t>
      </w:r>
      <w:r w:rsidR="00D97A60" w:rsidRPr="00D97A60">
        <w:rPr>
          <w:lang w:val="es-ES"/>
        </w:rPr>
        <w:t xml:space="preserve">El consumo de HCFC puede ser superior a cero en cualquier año siempre que la suma de sus niveles de consumo calculados durante el período de diez años comprendido entre el 1 de enero de 2030 y el 1 de enero de 2040, dividida </w:t>
      </w:r>
      <w:r w:rsidR="0091268C">
        <w:rPr>
          <w:lang w:val="es-ES"/>
        </w:rPr>
        <w:t>entre</w:t>
      </w:r>
      <w:r w:rsidR="00D97A60" w:rsidRPr="00D97A60">
        <w:rPr>
          <w:lang w:val="es-ES"/>
        </w:rPr>
        <w:t xml:space="preserve"> 10, no supere el 2,5% </w:t>
      </w:r>
      <w:r w:rsidR="00D97A60">
        <w:rPr>
          <w:lang w:val="es-ES"/>
        </w:rPr>
        <w:t>del nivel básico</w:t>
      </w:r>
      <w:r w:rsidR="00D97A60" w:rsidRPr="00D97A60">
        <w:rPr>
          <w:lang w:val="es-ES"/>
        </w:rPr>
        <w:t xml:space="preserve"> de HCFC</w:t>
      </w:r>
      <w:r w:rsidRPr="00D97A60">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B9CE" w14:textId="2EE69A58" w:rsidR="0087455A" w:rsidRDefault="0036307F">
    <w:r>
      <w:fldChar w:fldCharType="begin"/>
    </w:r>
    <w:r>
      <w:instrText xml:space="preserve"> </w:instrText>
    </w:r>
    <w:r>
      <w:instrText xml:space="preserve">DOCPROPERTY "Document number"  \* MERGEFORMAT </w:instrText>
    </w:r>
    <w:r>
      <w:fldChar w:fldCharType="separate"/>
    </w:r>
    <w:r w:rsidR="0060294D">
      <w:t>UNEP/</w:t>
    </w:r>
    <w:proofErr w:type="spellStart"/>
    <w:r w:rsidR="0060294D">
      <w:t>OzL.Pro</w:t>
    </w:r>
    <w:proofErr w:type="spellEnd"/>
    <w:r w:rsidR="0060294D">
      <w:t>/</w:t>
    </w:r>
    <w:proofErr w:type="spellStart"/>
    <w:r w:rsidR="0060294D">
      <w:t>ExCom</w:t>
    </w:r>
    <w:proofErr w:type="spellEnd"/>
    <w:r w:rsidR="0060294D">
      <w:t>/88/45</w:t>
    </w:r>
    <w:r>
      <w:fldChar w:fldCharType="end"/>
    </w:r>
  </w:p>
  <w:p w14:paraId="667EB7F3" w14:textId="77777777" w:rsidR="0087455A" w:rsidRDefault="0087455A"/>
  <w:p w14:paraId="2663D440" w14:textId="77777777" w:rsidR="0087455A" w:rsidRDefault="0087455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4DC4" w14:textId="2CDAC527" w:rsidR="0087455A" w:rsidRDefault="0036307F">
    <w:pPr>
      <w:jc w:val="right"/>
    </w:pPr>
    <w:r>
      <w:fldChar w:fldCharType="begin"/>
    </w:r>
    <w:r>
      <w:instrText xml:space="preserve"> DOCPROPERTY "Document number"  \* MERGEFORMAT </w:instrText>
    </w:r>
    <w:r>
      <w:fldChar w:fldCharType="separate"/>
    </w:r>
    <w:r w:rsidR="0060294D">
      <w:t>UNEP/</w:t>
    </w:r>
    <w:proofErr w:type="spellStart"/>
    <w:r w:rsidR="0060294D">
      <w:t>OzL.Pro</w:t>
    </w:r>
    <w:proofErr w:type="spellEnd"/>
    <w:r w:rsidR="0060294D">
      <w:t>/</w:t>
    </w:r>
    <w:proofErr w:type="spellStart"/>
    <w:r w:rsidR="0060294D">
      <w:t>ExCom</w:t>
    </w:r>
    <w:proofErr w:type="spellEnd"/>
    <w:r w:rsidR="0060294D">
      <w:t>/88/45</w:t>
    </w:r>
    <w:r>
      <w:fldChar w:fldCharType="end"/>
    </w:r>
  </w:p>
  <w:p w14:paraId="22D1CD2E" w14:textId="77777777" w:rsidR="0087455A" w:rsidRDefault="008745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C79D" w14:textId="77777777" w:rsidR="0060294D" w:rsidRDefault="0036307F">
    <w:r>
      <w:fldChar w:fldCharType="begin"/>
    </w:r>
    <w:r>
      <w:instrText xml:space="preserve"> DOCPROPERTY</w:instrText>
    </w:r>
    <w:r>
      <w:instrText xml:space="preserve"> "Document number"  \* MERGEFORMAT </w:instrText>
    </w:r>
    <w:r>
      <w:fldChar w:fldCharType="separate"/>
    </w:r>
    <w:r w:rsidR="0060294D">
      <w:t>UNEP/</w:t>
    </w:r>
    <w:proofErr w:type="spellStart"/>
    <w:r w:rsidR="0060294D">
      <w:t>OzL.Pro</w:t>
    </w:r>
    <w:proofErr w:type="spellEnd"/>
    <w:r w:rsidR="0060294D">
      <w:t>/</w:t>
    </w:r>
    <w:proofErr w:type="spellStart"/>
    <w:r w:rsidR="0060294D">
      <w:t>ExCom</w:t>
    </w:r>
    <w:proofErr w:type="spellEnd"/>
    <w:r w:rsidR="0060294D">
      <w:t>/88/45</w:t>
    </w:r>
    <w:r>
      <w:fldChar w:fldCharType="end"/>
    </w:r>
  </w:p>
  <w:p w14:paraId="174AAB34" w14:textId="77777777" w:rsidR="0060294D" w:rsidRDefault="0060294D">
    <w:proofErr w:type="spellStart"/>
    <w:r>
      <w:t>Anexo</w:t>
    </w:r>
    <w:proofErr w:type="spellEnd"/>
    <w:r>
      <w:t xml:space="preserve"> I</w:t>
    </w:r>
  </w:p>
  <w:p w14:paraId="7C0026BB" w14:textId="77777777" w:rsidR="0060294D" w:rsidRDefault="0060294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420E" w14:textId="77777777" w:rsidR="0060294D" w:rsidRDefault="0036307F">
    <w:pPr>
      <w:jc w:val="right"/>
    </w:pPr>
    <w:r>
      <w:fldChar w:fldCharType="begin"/>
    </w:r>
    <w:r>
      <w:instrText xml:space="preserve"> DOCPROPERTY "Document number"  \* MERGEFORMAT </w:instrText>
    </w:r>
    <w:r>
      <w:fldChar w:fldCharType="separate"/>
    </w:r>
    <w:r w:rsidR="0060294D">
      <w:t>UNEP/</w:t>
    </w:r>
    <w:proofErr w:type="spellStart"/>
    <w:r w:rsidR="0060294D">
      <w:t>OzL.Pro</w:t>
    </w:r>
    <w:proofErr w:type="spellEnd"/>
    <w:r w:rsidR="0060294D">
      <w:t>/</w:t>
    </w:r>
    <w:proofErr w:type="spellStart"/>
    <w:r w:rsidR="0060294D">
      <w:t>ExCom</w:t>
    </w:r>
    <w:proofErr w:type="spellEnd"/>
    <w:r w:rsidR="0060294D">
      <w:t>/88/45</w:t>
    </w:r>
    <w:r>
      <w:fldChar w:fldCharType="end"/>
    </w:r>
  </w:p>
  <w:p w14:paraId="121BF386" w14:textId="77777777" w:rsidR="0060294D" w:rsidRDefault="0060294D" w:rsidP="0060294D">
    <w:pPr>
      <w:jc w:val="right"/>
    </w:pPr>
    <w:proofErr w:type="spellStart"/>
    <w:r>
      <w:t>Anexo</w:t>
    </w:r>
    <w:proofErr w:type="spellEnd"/>
    <w:r>
      <w:t xml:space="preserve"> I</w:t>
    </w:r>
  </w:p>
  <w:p w14:paraId="555A0663" w14:textId="77777777" w:rsidR="0060294D" w:rsidRDefault="0060294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AAB4" w14:textId="726463FC" w:rsidR="0087455A" w:rsidRPr="003450E5" w:rsidRDefault="00F12B29">
    <w:pPr>
      <w:jc w:val="right"/>
      <w:rPr>
        <w:lang w:val="pt-BR"/>
      </w:rPr>
    </w:pPr>
    <w:r>
      <w:fldChar w:fldCharType="begin"/>
    </w:r>
    <w:r w:rsidRPr="003450E5">
      <w:rPr>
        <w:lang w:val="pt-BR"/>
      </w:rPr>
      <w:instrText xml:space="preserve"> DOCPROPERTY "Document number"  \* MERGEFORMAT </w:instrText>
    </w:r>
    <w:r>
      <w:fldChar w:fldCharType="separate"/>
    </w:r>
    <w:r w:rsidR="00257E3C">
      <w:rPr>
        <w:lang w:val="pt-BR"/>
      </w:rPr>
      <w:t>UNEP/OzL.Pro/ExCom/88/45</w:t>
    </w:r>
    <w:r>
      <w:fldChar w:fldCharType="end"/>
    </w:r>
  </w:p>
  <w:p w14:paraId="4CB89A40" w14:textId="77777777" w:rsidR="0087455A" w:rsidRPr="003450E5" w:rsidRDefault="00B60EEC" w:rsidP="00B60EEC">
    <w:pPr>
      <w:jc w:val="right"/>
      <w:rPr>
        <w:lang w:val="pt-BR"/>
      </w:rPr>
    </w:pPr>
    <w:r w:rsidRPr="003450E5">
      <w:rPr>
        <w:lang w:val="pt-BR"/>
      </w:rPr>
      <w:t>Anexo I</w:t>
    </w:r>
  </w:p>
  <w:p w14:paraId="61026170" w14:textId="77777777" w:rsidR="0087455A" w:rsidRPr="003450E5" w:rsidRDefault="0087455A">
    <w:pPr>
      <w:pStyle w:val="Header"/>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3AA2F6C"/>
    <w:lvl w:ilvl="0">
      <w:start w:val="1"/>
      <w:numFmt w:val="decimal"/>
      <w:pStyle w:val="Heading1"/>
      <w:lvlText w:val="%1."/>
      <w:lvlJc w:val="left"/>
      <w:pPr>
        <w:tabs>
          <w:tab w:val="num" w:pos="0"/>
        </w:tabs>
        <w:ind w:left="0" w:firstLine="0"/>
      </w:pPr>
      <w:rPr>
        <w:b w:val="0"/>
        <w:bCs/>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C495769"/>
    <w:multiLevelType w:val="multilevel"/>
    <w:tmpl w:val="196A4718"/>
    <w:lvl w:ilvl="0">
      <w:numFmt w:val="bullet"/>
      <w:lvlText w:val=""/>
      <w:lvlJc w:val="left"/>
      <w:rPr>
        <w:rFonts w:ascii="Symbol" w:eastAsia="Calibri"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7"/>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E5"/>
    <w:rsid w:val="00003C30"/>
    <w:rsid w:val="000047D6"/>
    <w:rsid w:val="0001337D"/>
    <w:rsid w:val="00015724"/>
    <w:rsid w:val="0002285F"/>
    <w:rsid w:val="00023179"/>
    <w:rsid w:val="00045B1A"/>
    <w:rsid w:val="0005037A"/>
    <w:rsid w:val="0005205F"/>
    <w:rsid w:val="00055239"/>
    <w:rsid w:val="00056A33"/>
    <w:rsid w:val="00064429"/>
    <w:rsid w:val="00066AEC"/>
    <w:rsid w:val="00077F00"/>
    <w:rsid w:val="00083DAE"/>
    <w:rsid w:val="00086822"/>
    <w:rsid w:val="000922F6"/>
    <w:rsid w:val="000A0DAA"/>
    <w:rsid w:val="000A1601"/>
    <w:rsid w:val="000A5AFE"/>
    <w:rsid w:val="000A6011"/>
    <w:rsid w:val="000A7663"/>
    <w:rsid w:val="000B765A"/>
    <w:rsid w:val="000C06F4"/>
    <w:rsid w:val="000C483A"/>
    <w:rsid w:val="000C61A4"/>
    <w:rsid w:val="000D0B2C"/>
    <w:rsid w:val="000D1D77"/>
    <w:rsid w:val="000D334C"/>
    <w:rsid w:val="000D4676"/>
    <w:rsid w:val="000D6E1A"/>
    <w:rsid w:val="000F6274"/>
    <w:rsid w:val="001017AF"/>
    <w:rsid w:val="0010288C"/>
    <w:rsid w:val="00106F6E"/>
    <w:rsid w:val="00112C30"/>
    <w:rsid w:val="00114CAA"/>
    <w:rsid w:val="0012310D"/>
    <w:rsid w:val="00125085"/>
    <w:rsid w:val="00125CE4"/>
    <w:rsid w:val="001302D0"/>
    <w:rsid w:val="0013241B"/>
    <w:rsid w:val="00144A82"/>
    <w:rsid w:val="00145660"/>
    <w:rsid w:val="00147784"/>
    <w:rsid w:val="00152603"/>
    <w:rsid w:val="00153CBD"/>
    <w:rsid w:val="001544CD"/>
    <w:rsid w:val="00175C0C"/>
    <w:rsid w:val="00185D3F"/>
    <w:rsid w:val="00187496"/>
    <w:rsid w:val="00192352"/>
    <w:rsid w:val="001924E9"/>
    <w:rsid w:val="00194244"/>
    <w:rsid w:val="001A3570"/>
    <w:rsid w:val="001B0027"/>
    <w:rsid w:val="001B4655"/>
    <w:rsid w:val="001C2D22"/>
    <w:rsid w:val="001C3171"/>
    <w:rsid w:val="001D7C4A"/>
    <w:rsid w:val="001E5D72"/>
    <w:rsid w:val="001F4047"/>
    <w:rsid w:val="001F4F17"/>
    <w:rsid w:val="001F5BD4"/>
    <w:rsid w:val="001F5DC4"/>
    <w:rsid w:val="002109F2"/>
    <w:rsid w:val="002110C6"/>
    <w:rsid w:val="00235D4C"/>
    <w:rsid w:val="00235FEF"/>
    <w:rsid w:val="0024162E"/>
    <w:rsid w:val="002425B4"/>
    <w:rsid w:val="00244477"/>
    <w:rsid w:val="00256375"/>
    <w:rsid w:val="00257E3C"/>
    <w:rsid w:val="00267657"/>
    <w:rsid w:val="00270229"/>
    <w:rsid w:val="002858B0"/>
    <w:rsid w:val="00295214"/>
    <w:rsid w:val="002959B4"/>
    <w:rsid w:val="002A61BC"/>
    <w:rsid w:val="002C0142"/>
    <w:rsid w:val="002D1B7D"/>
    <w:rsid w:val="002D6330"/>
    <w:rsid w:val="002D641C"/>
    <w:rsid w:val="002E52F0"/>
    <w:rsid w:val="002E61E2"/>
    <w:rsid w:val="002F2216"/>
    <w:rsid w:val="00313331"/>
    <w:rsid w:val="00314CB6"/>
    <w:rsid w:val="00315D8D"/>
    <w:rsid w:val="00316927"/>
    <w:rsid w:val="003251EE"/>
    <w:rsid w:val="003300F0"/>
    <w:rsid w:val="0033110A"/>
    <w:rsid w:val="00336AF6"/>
    <w:rsid w:val="00337FC1"/>
    <w:rsid w:val="003447A1"/>
    <w:rsid w:val="00344EAB"/>
    <w:rsid w:val="003450E5"/>
    <w:rsid w:val="0036307F"/>
    <w:rsid w:val="00363C2A"/>
    <w:rsid w:val="003704B8"/>
    <w:rsid w:val="003839AA"/>
    <w:rsid w:val="003863A4"/>
    <w:rsid w:val="003B6AAC"/>
    <w:rsid w:val="003B7115"/>
    <w:rsid w:val="003C1A5A"/>
    <w:rsid w:val="003C4F9A"/>
    <w:rsid w:val="003F49BC"/>
    <w:rsid w:val="004237A9"/>
    <w:rsid w:val="00434114"/>
    <w:rsid w:val="004370FB"/>
    <w:rsid w:val="00441626"/>
    <w:rsid w:val="00446B8E"/>
    <w:rsid w:val="00455352"/>
    <w:rsid w:val="00463B3C"/>
    <w:rsid w:val="004640FD"/>
    <w:rsid w:val="00465BB0"/>
    <w:rsid w:val="00472B69"/>
    <w:rsid w:val="00474914"/>
    <w:rsid w:val="00476B19"/>
    <w:rsid w:val="00476E28"/>
    <w:rsid w:val="00482FB6"/>
    <w:rsid w:val="00496105"/>
    <w:rsid w:val="004A3734"/>
    <w:rsid w:val="004D7CAB"/>
    <w:rsid w:val="005069F3"/>
    <w:rsid w:val="0051083A"/>
    <w:rsid w:val="0051588D"/>
    <w:rsid w:val="00516BB6"/>
    <w:rsid w:val="00526A46"/>
    <w:rsid w:val="00536EE2"/>
    <w:rsid w:val="00545CB3"/>
    <w:rsid w:val="005465FC"/>
    <w:rsid w:val="00562834"/>
    <w:rsid w:val="00563A14"/>
    <w:rsid w:val="005720CC"/>
    <w:rsid w:val="005726B7"/>
    <w:rsid w:val="005746AE"/>
    <w:rsid w:val="005969D7"/>
    <w:rsid w:val="005A2776"/>
    <w:rsid w:val="005A35F6"/>
    <w:rsid w:val="005A4B6E"/>
    <w:rsid w:val="005A789B"/>
    <w:rsid w:val="005B058B"/>
    <w:rsid w:val="005B0B54"/>
    <w:rsid w:val="005B27E9"/>
    <w:rsid w:val="005B4941"/>
    <w:rsid w:val="005C218F"/>
    <w:rsid w:val="005D072D"/>
    <w:rsid w:val="005D65C7"/>
    <w:rsid w:val="005E7930"/>
    <w:rsid w:val="005F3209"/>
    <w:rsid w:val="005F67CD"/>
    <w:rsid w:val="0060294D"/>
    <w:rsid w:val="006035BC"/>
    <w:rsid w:val="006061CC"/>
    <w:rsid w:val="00623172"/>
    <w:rsid w:val="00626E75"/>
    <w:rsid w:val="00630B22"/>
    <w:rsid w:val="00650624"/>
    <w:rsid w:val="006527E7"/>
    <w:rsid w:val="00653F12"/>
    <w:rsid w:val="00663805"/>
    <w:rsid w:val="00667A7C"/>
    <w:rsid w:val="00693BA1"/>
    <w:rsid w:val="006A2201"/>
    <w:rsid w:val="006C4F4A"/>
    <w:rsid w:val="006C5D58"/>
    <w:rsid w:val="006F0774"/>
    <w:rsid w:val="0070042A"/>
    <w:rsid w:val="00710F01"/>
    <w:rsid w:val="007202F5"/>
    <w:rsid w:val="0072256E"/>
    <w:rsid w:val="007332C9"/>
    <w:rsid w:val="00735363"/>
    <w:rsid w:val="007504D5"/>
    <w:rsid w:val="00750CF9"/>
    <w:rsid w:val="00752DA0"/>
    <w:rsid w:val="007566DE"/>
    <w:rsid w:val="00762AC2"/>
    <w:rsid w:val="0076519D"/>
    <w:rsid w:val="00773BE5"/>
    <w:rsid w:val="007773E7"/>
    <w:rsid w:val="00791A67"/>
    <w:rsid w:val="00792A47"/>
    <w:rsid w:val="007B7CD6"/>
    <w:rsid w:val="007C3F42"/>
    <w:rsid w:val="007F1BCA"/>
    <w:rsid w:val="00831BC5"/>
    <w:rsid w:val="00832853"/>
    <w:rsid w:val="00836B1A"/>
    <w:rsid w:val="00840A6D"/>
    <w:rsid w:val="00847455"/>
    <w:rsid w:val="008702AB"/>
    <w:rsid w:val="00871ADC"/>
    <w:rsid w:val="0087455A"/>
    <w:rsid w:val="0087521F"/>
    <w:rsid w:val="00875839"/>
    <w:rsid w:val="0087644B"/>
    <w:rsid w:val="008811AF"/>
    <w:rsid w:val="008877FD"/>
    <w:rsid w:val="0089017E"/>
    <w:rsid w:val="00891582"/>
    <w:rsid w:val="008933CC"/>
    <w:rsid w:val="00897314"/>
    <w:rsid w:val="008B4C76"/>
    <w:rsid w:val="008B78A8"/>
    <w:rsid w:val="008C062D"/>
    <w:rsid w:val="008D51ED"/>
    <w:rsid w:val="008E02C7"/>
    <w:rsid w:val="008E7F9F"/>
    <w:rsid w:val="00901916"/>
    <w:rsid w:val="0090558B"/>
    <w:rsid w:val="009070B5"/>
    <w:rsid w:val="009073EB"/>
    <w:rsid w:val="00907595"/>
    <w:rsid w:val="0091268C"/>
    <w:rsid w:val="009138B3"/>
    <w:rsid w:val="00916263"/>
    <w:rsid w:val="00920684"/>
    <w:rsid w:val="00921784"/>
    <w:rsid w:val="00922814"/>
    <w:rsid w:val="00934159"/>
    <w:rsid w:val="00941D6A"/>
    <w:rsid w:val="00942D0E"/>
    <w:rsid w:val="00944E47"/>
    <w:rsid w:val="00947681"/>
    <w:rsid w:val="009503EB"/>
    <w:rsid w:val="0095210E"/>
    <w:rsid w:val="00954DC6"/>
    <w:rsid w:val="00965A7C"/>
    <w:rsid w:val="0096712E"/>
    <w:rsid w:val="00971AB8"/>
    <w:rsid w:val="00975134"/>
    <w:rsid w:val="009773CF"/>
    <w:rsid w:val="00980ABC"/>
    <w:rsid w:val="00982D5A"/>
    <w:rsid w:val="00986E51"/>
    <w:rsid w:val="009B04F6"/>
    <w:rsid w:val="009C0054"/>
    <w:rsid w:val="009C25FC"/>
    <w:rsid w:val="009C346E"/>
    <w:rsid w:val="009D0ED9"/>
    <w:rsid w:val="009D3851"/>
    <w:rsid w:val="009E661F"/>
    <w:rsid w:val="009F0B10"/>
    <w:rsid w:val="00A00A8A"/>
    <w:rsid w:val="00A04085"/>
    <w:rsid w:val="00A11A47"/>
    <w:rsid w:val="00A157B1"/>
    <w:rsid w:val="00A16F87"/>
    <w:rsid w:val="00A2065C"/>
    <w:rsid w:val="00A21D73"/>
    <w:rsid w:val="00A31523"/>
    <w:rsid w:val="00A32D83"/>
    <w:rsid w:val="00A406A3"/>
    <w:rsid w:val="00A43287"/>
    <w:rsid w:val="00A5456E"/>
    <w:rsid w:val="00A57948"/>
    <w:rsid w:val="00A63EA9"/>
    <w:rsid w:val="00A65BF5"/>
    <w:rsid w:val="00A7336B"/>
    <w:rsid w:val="00AA6646"/>
    <w:rsid w:val="00AB56E5"/>
    <w:rsid w:val="00AB6D59"/>
    <w:rsid w:val="00AB71F9"/>
    <w:rsid w:val="00AC2A78"/>
    <w:rsid w:val="00AC7A52"/>
    <w:rsid w:val="00AE5A73"/>
    <w:rsid w:val="00AF49CD"/>
    <w:rsid w:val="00B10609"/>
    <w:rsid w:val="00B14FA2"/>
    <w:rsid w:val="00B204B0"/>
    <w:rsid w:val="00B2491C"/>
    <w:rsid w:val="00B44EB6"/>
    <w:rsid w:val="00B521A0"/>
    <w:rsid w:val="00B55CA0"/>
    <w:rsid w:val="00B60EEC"/>
    <w:rsid w:val="00B63567"/>
    <w:rsid w:val="00B64321"/>
    <w:rsid w:val="00B64B68"/>
    <w:rsid w:val="00B651C6"/>
    <w:rsid w:val="00B6576D"/>
    <w:rsid w:val="00B663A6"/>
    <w:rsid w:val="00B668CA"/>
    <w:rsid w:val="00B81937"/>
    <w:rsid w:val="00B82A7B"/>
    <w:rsid w:val="00B84ACF"/>
    <w:rsid w:val="00B872AE"/>
    <w:rsid w:val="00B91C15"/>
    <w:rsid w:val="00BA3698"/>
    <w:rsid w:val="00BD2DB7"/>
    <w:rsid w:val="00BD66E4"/>
    <w:rsid w:val="00BE2184"/>
    <w:rsid w:val="00BE2D8F"/>
    <w:rsid w:val="00BF3FCD"/>
    <w:rsid w:val="00BF4004"/>
    <w:rsid w:val="00BF47E1"/>
    <w:rsid w:val="00C0327E"/>
    <w:rsid w:val="00C114F2"/>
    <w:rsid w:val="00C1213E"/>
    <w:rsid w:val="00C14E67"/>
    <w:rsid w:val="00C24F96"/>
    <w:rsid w:val="00C313BB"/>
    <w:rsid w:val="00C42F37"/>
    <w:rsid w:val="00C523A8"/>
    <w:rsid w:val="00C5320F"/>
    <w:rsid w:val="00C72CF1"/>
    <w:rsid w:val="00C8085E"/>
    <w:rsid w:val="00C9364A"/>
    <w:rsid w:val="00C9552C"/>
    <w:rsid w:val="00CA0038"/>
    <w:rsid w:val="00CB3853"/>
    <w:rsid w:val="00CB3F37"/>
    <w:rsid w:val="00CC64BB"/>
    <w:rsid w:val="00CD1629"/>
    <w:rsid w:val="00CE06D6"/>
    <w:rsid w:val="00CE32C2"/>
    <w:rsid w:val="00CE48F5"/>
    <w:rsid w:val="00CE6FDE"/>
    <w:rsid w:val="00CF1D59"/>
    <w:rsid w:val="00D173B7"/>
    <w:rsid w:val="00D20DE5"/>
    <w:rsid w:val="00D27199"/>
    <w:rsid w:val="00D30C55"/>
    <w:rsid w:val="00D451EE"/>
    <w:rsid w:val="00D50978"/>
    <w:rsid w:val="00D53D79"/>
    <w:rsid w:val="00D55FC0"/>
    <w:rsid w:val="00D701F4"/>
    <w:rsid w:val="00D75DAB"/>
    <w:rsid w:val="00D84B6F"/>
    <w:rsid w:val="00D92751"/>
    <w:rsid w:val="00D93D75"/>
    <w:rsid w:val="00D97A60"/>
    <w:rsid w:val="00DA2640"/>
    <w:rsid w:val="00DA28D9"/>
    <w:rsid w:val="00DA486D"/>
    <w:rsid w:val="00DA5B0D"/>
    <w:rsid w:val="00DA77EE"/>
    <w:rsid w:val="00DB741B"/>
    <w:rsid w:val="00DB795B"/>
    <w:rsid w:val="00DC433E"/>
    <w:rsid w:val="00DD0F7B"/>
    <w:rsid w:val="00DD1D22"/>
    <w:rsid w:val="00DD213D"/>
    <w:rsid w:val="00DE34DD"/>
    <w:rsid w:val="00E00AA3"/>
    <w:rsid w:val="00E010E5"/>
    <w:rsid w:val="00E01AAC"/>
    <w:rsid w:val="00E17F97"/>
    <w:rsid w:val="00E21DD2"/>
    <w:rsid w:val="00E24BEA"/>
    <w:rsid w:val="00E43CC4"/>
    <w:rsid w:val="00E4548D"/>
    <w:rsid w:val="00E45921"/>
    <w:rsid w:val="00E5505B"/>
    <w:rsid w:val="00E56C22"/>
    <w:rsid w:val="00E63816"/>
    <w:rsid w:val="00E71026"/>
    <w:rsid w:val="00E72F17"/>
    <w:rsid w:val="00E77A70"/>
    <w:rsid w:val="00E80FEA"/>
    <w:rsid w:val="00E8551E"/>
    <w:rsid w:val="00E86F44"/>
    <w:rsid w:val="00EA60B4"/>
    <w:rsid w:val="00EA684E"/>
    <w:rsid w:val="00EA74FA"/>
    <w:rsid w:val="00EB0EF2"/>
    <w:rsid w:val="00EB7EE0"/>
    <w:rsid w:val="00EC0FFD"/>
    <w:rsid w:val="00EC24BA"/>
    <w:rsid w:val="00EC2A27"/>
    <w:rsid w:val="00EC34A8"/>
    <w:rsid w:val="00EC4FB4"/>
    <w:rsid w:val="00ED2B67"/>
    <w:rsid w:val="00EE3ECF"/>
    <w:rsid w:val="00EF511F"/>
    <w:rsid w:val="00F03353"/>
    <w:rsid w:val="00F05902"/>
    <w:rsid w:val="00F109EB"/>
    <w:rsid w:val="00F10CD9"/>
    <w:rsid w:val="00F12B29"/>
    <w:rsid w:val="00F1797C"/>
    <w:rsid w:val="00F21B49"/>
    <w:rsid w:val="00F22943"/>
    <w:rsid w:val="00F25F7C"/>
    <w:rsid w:val="00F36218"/>
    <w:rsid w:val="00F47605"/>
    <w:rsid w:val="00F50194"/>
    <w:rsid w:val="00F521B4"/>
    <w:rsid w:val="00F5740D"/>
    <w:rsid w:val="00F5743F"/>
    <w:rsid w:val="00F57C67"/>
    <w:rsid w:val="00F65046"/>
    <w:rsid w:val="00F67E59"/>
    <w:rsid w:val="00F756A3"/>
    <w:rsid w:val="00F815F7"/>
    <w:rsid w:val="00F9224D"/>
    <w:rsid w:val="00F9288B"/>
    <w:rsid w:val="00F95F5C"/>
    <w:rsid w:val="00F971C5"/>
    <w:rsid w:val="00FA6A5F"/>
    <w:rsid w:val="00FC2C06"/>
    <w:rsid w:val="00FC6B1C"/>
    <w:rsid w:val="00FD6FE3"/>
    <w:rsid w:val="00FF0826"/>
    <w:rsid w:val="00FF3C26"/>
    <w:rsid w:val="00FF4E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B1E22"/>
  <w15:docId w15:val="{2B76E85E-339E-4F82-9006-9F1B9842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
    <w:basedOn w:val="DefaultParagraphFont"/>
    <w:link w:val="FootnoteText"/>
    <w:uiPriority w:val="99"/>
    <w:rsid w:val="002959B4"/>
    <w:rPr>
      <w:lang w:val="en-GB"/>
    </w:rPr>
  </w:style>
  <w:style w:type="character" w:styleId="FootnoteReference">
    <w:name w:val="footnote reference"/>
    <w:basedOn w:val="DefaultParagraphFont"/>
    <w:uiPriority w:val="99"/>
    <w:unhideWhenUsed/>
    <w:rsid w:val="002959B4"/>
    <w:rPr>
      <w:vertAlign w:val="superscript"/>
    </w:rPr>
  </w:style>
  <w:style w:type="paragraph" w:styleId="ListParagraph">
    <w:name w:val="List Paragraph"/>
    <w:basedOn w:val="Normal"/>
    <w:link w:val="ListParagraphChar"/>
    <w:uiPriority w:val="34"/>
    <w:qFormat/>
    <w:rsid w:val="008933CC"/>
    <w:pPr>
      <w:ind w:left="720"/>
      <w:contextualSpacing/>
    </w:pPr>
  </w:style>
  <w:style w:type="character" w:customStyle="1" w:styleId="ListParagraphChar">
    <w:name w:val="List Paragraph Char"/>
    <w:basedOn w:val="DefaultParagraphFont"/>
    <w:link w:val="ListParagraph"/>
    <w:uiPriority w:val="34"/>
    <w:locked/>
    <w:rsid w:val="008933CC"/>
    <w:rPr>
      <w:sz w:val="22"/>
      <w:szCs w:val="22"/>
      <w:lang w:val="en-GB"/>
    </w:rPr>
  </w:style>
  <w:style w:type="paragraph" w:customStyle="1" w:styleId="Default">
    <w:name w:val="Default"/>
    <w:rsid w:val="008933CC"/>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8933CC"/>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33CC"/>
    <w:rPr>
      <w:sz w:val="22"/>
      <w:szCs w:val="22"/>
      <w:lang w:val="en-GB"/>
    </w:rPr>
  </w:style>
  <w:style w:type="paragraph" w:styleId="NormalWeb">
    <w:name w:val="Normal (Web)"/>
    <w:basedOn w:val="Normal"/>
    <w:uiPriority w:val="99"/>
    <w:semiHidden/>
    <w:unhideWhenUsed/>
    <w:rsid w:val="008933CC"/>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8933CC"/>
    <w:rPr>
      <w:sz w:val="20"/>
      <w:szCs w:val="20"/>
    </w:rPr>
  </w:style>
  <w:style w:type="character" w:customStyle="1" w:styleId="EndnoteTextChar">
    <w:name w:val="Endnote Text Char"/>
    <w:basedOn w:val="DefaultParagraphFont"/>
    <w:link w:val="EndnoteText"/>
    <w:uiPriority w:val="99"/>
    <w:semiHidden/>
    <w:rsid w:val="008933CC"/>
    <w:rPr>
      <w:lang w:val="en-GB"/>
    </w:rPr>
  </w:style>
  <w:style w:type="character" w:styleId="EndnoteReference">
    <w:name w:val="endnote reference"/>
    <w:basedOn w:val="DefaultParagraphFont"/>
    <w:uiPriority w:val="99"/>
    <w:semiHidden/>
    <w:unhideWhenUsed/>
    <w:rsid w:val="008933CC"/>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8933CC"/>
    <w:rPr>
      <w:sz w:val="22"/>
      <w:szCs w:val="22"/>
      <w:lang w:val="en-GB"/>
    </w:rPr>
  </w:style>
  <w:style w:type="paragraph" w:styleId="NoSpacing">
    <w:name w:val="No Spacing"/>
    <w:link w:val="NoSpacingChar"/>
    <w:uiPriority w:val="1"/>
    <w:qFormat/>
    <w:rsid w:val="00257E3C"/>
    <w:pPr>
      <w:jc w:val="both"/>
    </w:pPr>
    <w:rPr>
      <w:sz w:val="22"/>
      <w:szCs w:val="22"/>
      <w:lang w:val="en-GB"/>
    </w:rPr>
  </w:style>
  <w:style w:type="character" w:customStyle="1" w:styleId="NoSpacingChar">
    <w:name w:val="No Spacing Char"/>
    <w:basedOn w:val="DefaultParagraphFont"/>
    <w:link w:val="NoSpacing"/>
    <w:uiPriority w:val="1"/>
    <w:locked/>
    <w:rsid w:val="00257E3C"/>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20Cortes\AppData\Local\Packages\microsoft.windowscommunicationsapps_8wekyb3d8bbwe\LocalState\Files\S0\4\Attachments\S88-template%5b1553%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UNEP/OzL.Pro/ExCom/88/45</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B34BAB91CF9C49929DFB9E017C6363" ma:contentTypeVersion="1" ma:contentTypeDescription="Create a new document." ma:contentTypeScope="" ma:versionID="9abfc39be65d52bd2412a960e39e28bb">
  <xsd:schema xmlns:xsd="http://www.w3.org/2001/XMLSchema" xmlns:p="http://schemas.microsoft.com/office/2006/metadata/properties" xmlns:ns2="e6e1f9e0-8f48-4721-871b-80b3d7694360" targetNamespace="http://schemas.microsoft.com/office/2006/metadata/properties" ma:root="true" ma:fieldsID="8bb7513c6f8d5ac53e4f46eb29544cef"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2176F-3869-4845-BF8B-00CCA6445EC3}"/>
</file>

<file path=customXml/itemProps2.xml><?xml version="1.0" encoding="utf-8"?>
<ds:datastoreItem xmlns:ds="http://schemas.openxmlformats.org/officeDocument/2006/customXml" ds:itemID="{ABCCC92D-A1CA-419C-844C-73DDBC84F9CA}"/>
</file>

<file path=customXml/itemProps3.xml><?xml version="1.0" encoding="utf-8"?>
<ds:datastoreItem xmlns:ds="http://schemas.openxmlformats.org/officeDocument/2006/customXml" ds:itemID="{05886F74-62A3-4AF1-9852-6DF613235F0E}"/>
</file>

<file path=customXml/itemProps4.xml><?xml version="1.0" encoding="utf-8"?>
<ds:datastoreItem xmlns:ds="http://schemas.openxmlformats.org/officeDocument/2006/customXml" ds:itemID="{9AAAB3C7-C221-45E8-B9E1-CE8F4E8BE6DD}"/>
</file>

<file path=docProps/app.xml><?xml version="1.0" encoding="utf-8"?>
<Properties xmlns="http://schemas.openxmlformats.org/officeDocument/2006/extended-properties" xmlns:vt="http://schemas.openxmlformats.org/officeDocument/2006/docPropsVTypes">
  <Template>S88-template[1553]</Template>
  <TotalTime>20</TotalTime>
  <Pages>22</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Propuesta de proyecto: Republica Democratica del Congo (la)</vt:lpstr>
    </vt:vector>
  </TitlesOfParts>
  <Company>UNMFS</Company>
  <LinksUpToDate>false</LinksUpToDate>
  <CharactersWithSpaces>62636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proyecto: Republica Democratica del Congo (la)</dc:title>
  <dc:subject/>
  <dc:creator>Liliana Cortes</dc:creator>
  <cp:lastModifiedBy>HBE</cp:lastModifiedBy>
  <cp:revision>21</cp:revision>
  <cp:lastPrinted>2001-05-26T16:40:00Z</cp:lastPrinted>
  <dcterms:created xsi:type="dcterms:W3CDTF">2021-10-26T01:37:00Z</dcterms:created>
  <dcterms:modified xsi:type="dcterms:W3CDTF">2021-12-09T01:20:00Z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UNEP/OzL.Pro/ExCom/88/45</vt:lpwstr>
  </property>
  <property fmtid="{D5CDD505-2E9C-101B-9397-08002B2CF9AE}" pid="3" name="Revision date">
    <vt:lpwstr>10/20/2021</vt:lpwstr>
  </property>
  <property fmtid="{D5CDD505-2E9C-101B-9397-08002B2CF9AE}" pid="4" name="ContentTypeId">
    <vt:lpwstr>0x010100F9B34BAB91CF9C49929DFB9E017C6363</vt:lpwstr>
  </property>
</Properties>
</file>