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B76AEE" w14:paraId="431BD524" w14:textId="77777777">
        <w:trPr>
          <w:trHeight w:val="720"/>
        </w:trPr>
        <w:tc>
          <w:tcPr>
            <w:tcW w:w="6494" w:type="dxa"/>
            <w:gridSpan w:val="2"/>
            <w:tcBorders>
              <w:bottom w:val="single" w:sz="18" w:space="0" w:color="auto"/>
            </w:tcBorders>
          </w:tcPr>
          <w:p w14:paraId="06ADEDEC" w14:textId="77777777" w:rsidR="0087455A" w:rsidRPr="00B76AEE" w:rsidRDefault="0024162E" w:rsidP="00B76AEE">
            <w:pPr>
              <w:rPr>
                <w:rFonts w:ascii="Univers" w:hAnsi="Univers"/>
                <w:b/>
                <w:sz w:val="28"/>
                <w:szCs w:val="28"/>
                <w:lang w:val="es-ES"/>
              </w:rPr>
            </w:pPr>
            <w:r w:rsidRPr="00B76AEE">
              <w:rPr>
                <w:rFonts w:ascii="Univers" w:hAnsi="Univers"/>
                <w:b/>
                <w:sz w:val="28"/>
                <w:szCs w:val="28"/>
                <w:lang w:val="es-ES"/>
              </w:rPr>
              <w:t>NACIONES</w:t>
            </w:r>
          </w:p>
          <w:p w14:paraId="598D1B39" w14:textId="77777777" w:rsidR="0087455A" w:rsidRPr="00B76AEE" w:rsidRDefault="0024162E" w:rsidP="00B76AEE">
            <w:pPr>
              <w:rPr>
                <w:rFonts w:ascii="Univers" w:hAnsi="Univers"/>
                <w:b/>
                <w:sz w:val="28"/>
                <w:szCs w:val="28"/>
                <w:lang w:val="es-ES"/>
              </w:rPr>
            </w:pPr>
            <w:r w:rsidRPr="00B76AEE">
              <w:rPr>
                <w:rFonts w:ascii="Univers" w:hAnsi="Univers"/>
                <w:b/>
                <w:sz w:val="28"/>
                <w:szCs w:val="28"/>
                <w:lang w:val="es-ES"/>
              </w:rPr>
              <w:t>UNIDAS</w:t>
            </w:r>
          </w:p>
        </w:tc>
        <w:tc>
          <w:tcPr>
            <w:tcW w:w="4590" w:type="dxa"/>
            <w:tcBorders>
              <w:bottom w:val="single" w:sz="18" w:space="0" w:color="auto"/>
            </w:tcBorders>
          </w:tcPr>
          <w:p w14:paraId="155A4528" w14:textId="77777777" w:rsidR="0087455A" w:rsidRPr="00B76AEE" w:rsidRDefault="0024162E" w:rsidP="00B76AEE">
            <w:pPr>
              <w:jc w:val="right"/>
              <w:rPr>
                <w:rFonts w:asciiTheme="minorBidi" w:hAnsiTheme="minorBidi" w:cstheme="minorBidi"/>
                <w:sz w:val="52"/>
                <w:szCs w:val="52"/>
                <w:lang w:val="es-ES"/>
              </w:rPr>
            </w:pPr>
            <w:r w:rsidRPr="00B76AEE">
              <w:rPr>
                <w:rFonts w:asciiTheme="minorBidi" w:hAnsiTheme="minorBidi" w:cstheme="minorBidi"/>
                <w:b/>
                <w:sz w:val="72"/>
                <w:lang w:val="es-ES"/>
              </w:rPr>
              <w:t>EP</w:t>
            </w:r>
          </w:p>
        </w:tc>
      </w:tr>
      <w:tr w:rsidR="0087455A" w:rsidRPr="00B76AEE" w14:paraId="6A536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DCC961B" w14:textId="77777777" w:rsidR="0087455A" w:rsidRPr="00B76AEE" w:rsidRDefault="0024162E" w:rsidP="00B76AEE">
            <w:pPr>
              <w:spacing w:before="120"/>
              <w:rPr>
                <w:lang w:val="es-ES"/>
              </w:rPr>
            </w:pPr>
            <w:r w:rsidRPr="00B76AEE">
              <w:rPr>
                <w:noProof/>
                <w:lang w:val="en-CA" w:eastAsia="en-CA"/>
              </w:rPr>
              <w:drawing>
                <wp:anchor distT="0" distB="0" distL="114300" distR="114300" simplePos="0" relativeHeight="251660288" behindDoc="0" locked="0" layoutInCell="1" allowOverlap="1" wp14:anchorId="2CEE28EA" wp14:editId="72A6442C">
                  <wp:simplePos x="0" y="0"/>
                  <wp:positionH relativeFrom="column">
                    <wp:posOffset>24765</wp:posOffset>
                  </wp:positionH>
                  <wp:positionV relativeFrom="paragraph">
                    <wp:posOffset>925830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B76AEE">
              <w:rPr>
                <w:noProof/>
                <w:lang w:val="en-CA" w:eastAsia="en-CA"/>
              </w:rPr>
              <w:drawing>
                <wp:anchor distT="0" distB="0" distL="114300" distR="114300" simplePos="0" relativeHeight="251661312" behindDoc="1" locked="0" layoutInCell="0" allowOverlap="1" wp14:anchorId="091374D0" wp14:editId="4A74FD6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CA73CFC" w14:textId="77777777" w:rsidR="0087455A" w:rsidRPr="00B76AEE" w:rsidRDefault="0087455A" w:rsidP="00B76A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46DB6BB5" w14:textId="77777777" w:rsidR="0087455A" w:rsidRPr="00B76AEE" w:rsidRDefault="0024162E" w:rsidP="00B76A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B76AEE">
              <w:rPr>
                <w:rFonts w:ascii="Univers" w:hAnsi="Univers"/>
                <w:b/>
                <w:sz w:val="32"/>
                <w:lang w:val="es-ES"/>
              </w:rPr>
              <w:t>Programa de las</w:t>
            </w:r>
          </w:p>
          <w:p w14:paraId="6ABFE8A0" w14:textId="77777777" w:rsidR="0087455A" w:rsidRPr="00B76AEE" w:rsidRDefault="0024162E" w:rsidP="00B76A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B76AEE">
              <w:rPr>
                <w:rFonts w:ascii="Univers" w:hAnsi="Univers"/>
                <w:b/>
                <w:sz w:val="32"/>
                <w:lang w:val="es-ES"/>
              </w:rPr>
              <w:t>Naciones Unidas</w:t>
            </w:r>
          </w:p>
          <w:p w14:paraId="5F4C3537" w14:textId="77777777" w:rsidR="0087455A" w:rsidRPr="00B76AEE" w:rsidRDefault="0024162E" w:rsidP="00B76A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B76AEE">
              <w:rPr>
                <w:rFonts w:ascii="Univers" w:hAnsi="Univers"/>
                <w:b/>
                <w:sz w:val="32"/>
                <w:lang w:val="es-ES"/>
              </w:rPr>
              <w:t>para el Medio Ambiente</w:t>
            </w:r>
          </w:p>
          <w:p w14:paraId="09A258D3" w14:textId="77777777" w:rsidR="0087455A" w:rsidRPr="00B76AEE" w:rsidRDefault="0087455A" w:rsidP="00B76A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343641F6" w14:textId="77777777" w:rsidR="0087455A" w:rsidRPr="00B76AEE" w:rsidRDefault="0087455A" w:rsidP="00B76AEE">
            <w:pPr>
              <w:spacing w:before="720"/>
              <w:ind w:left="158"/>
              <w:rPr>
                <w:lang w:val="es-ES"/>
              </w:rPr>
            </w:pPr>
          </w:p>
        </w:tc>
        <w:tc>
          <w:tcPr>
            <w:tcW w:w="4590" w:type="dxa"/>
            <w:tcBorders>
              <w:top w:val="nil"/>
              <w:left w:val="nil"/>
              <w:bottom w:val="single" w:sz="36" w:space="0" w:color="auto"/>
              <w:right w:val="nil"/>
            </w:tcBorders>
          </w:tcPr>
          <w:p w14:paraId="208D53C2" w14:textId="77777777" w:rsidR="0087455A" w:rsidRPr="00B76AEE" w:rsidRDefault="0087455A" w:rsidP="00B76AEE">
            <w:pPr>
              <w:rPr>
                <w:lang w:val="es-ES"/>
              </w:rPr>
            </w:pPr>
          </w:p>
          <w:p w14:paraId="68D307B3" w14:textId="77777777" w:rsidR="0087455A" w:rsidRPr="00B76AEE" w:rsidRDefault="0024162E" w:rsidP="00B76AEE">
            <w:pPr>
              <w:rPr>
                <w:lang w:val="es-ES"/>
              </w:rPr>
            </w:pPr>
            <w:proofErr w:type="spellStart"/>
            <w:r w:rsidRPr="00B76AEE">
              <w:rPr>
                <w:lang w:val="es-ES"/>
              </w:rPr>
              <w:t>Distr</w:t>
            </w:r>
            <w:proofErr w:type="spellEnd"/>
            <w:r w:rsidRPr="00B76AEE">
              <w:rPr>
                <w:lang w:val="es-ES"/>
              </w:rPr>
              <w:t>.</w:t>
            </w:r>
          </w:p>
          <w:p w14:paraId="02DB5026" w14:textId="77777777" w:rsidR="0087455A" w:rsidRPr="00B76AEE" w:rsidRDefault="0024162E" w:rsidP="00B76AEE">
            <w:pPr>
              <w:rPr>
                <w:lang w:val="es-ES"/>
              </w:rPr>
            </w:pPr>
            <w:r w:rsidRPr="00B76AEE">
              <w:rPr>
                <w:lang w:val="es-ES"/>
              </w:rPr>
              <w:t>GENERAL</w:t>
            </w:r>
          </w:p>
          <w:p w14:paraId="329E676B" w14:textId="77777777" w:rsidR="0087455A" w:rsidRPr="00B76AEE" w:rsidRDefault="0087455A" w:rsidP="00B76AEE">
            <w:pPr>
              <w:rPr>
                <w:lang w:val="es-ES"/>
              </w:rPr>
            </w:pPr>
          </w:p>
          <w:p w14:paraId="01F254C3" w14:textId="17EBBD7C" w:rsidR="0087455A" w:rsidRPr="00B76AEE" w:rsidRDefault="0024162E" w:rsidP="00B76AEE">
            <w:pPr>
              <w:rPr>
                <w:lang w:val="es-ES"/>
              </w:rPr>
            </w:pPr>
            <w:r w:rsidRPr="00B76AEE">
              <w:rPr>
                <w:lang w:val="es-ES"/>
              </w:rPr>
              <w:fldChar w:fldCharType="begin"/>
            </w:r>
            <w:r w:rsidRPr="00B76AEE">
              <w:rPr>
                <w:lang w:val="es-ES"/>
              </w:rPr>
              <w:instrText xml:space="preserve"> DOCPROPERTY "Document number"  \* MERGEFORMAT </w:instrText>
            </w:r>
            <w:r w:rsidRPr="00B76AEE">
              <w:rPr>
                <w:lang w:val="es-ES"/>
              </w:rPr>
              <w:fldChar w:fldCharType="separate"/>
            </w:r>
            <w:r w:rsidR="00B76AEE" w:rsidRPr="00B76AEE">
              <w:rPr>
                <w:lang w:val="es-ES"/>
              </w:rPr>
              <w:t>UNEP/</w:t>
            </w:r>
            <w:proofErr w:type="spellStart"/>
            <w:r w:rsidR="00B76AEE" w:rsidRPr="00B76AEE">
              <w:rPr>
                <w:lang w:val="es-ES"/>
              </w:rPr>
              <w:t>OzL.Pro</w:t>
            </w:r>
            <w:proofErr w:type="spellEnd"/>
            <w:r w:rsidR="00B76AEE" w:rsidRPr="00B76AEE">
              <w:rPr>
                <w:lang w:val="es-ES"/>
              </w:rPr>
              <w:t>/</w:t>
            </w:r>
            <w:proofErr w:type="spellStart"/>
            <w:r w:rsidR="00B76AEE" w:rsidRPr="00B76AEE">
              <w:rPr>
                <w:lang w:val="es-ES"/>
              </w:rPr>
              <w:t>ExCom</w:t>
            </w:r>
            <w:proofErr w:type="spellEnd"/>
            <w:r w:rsidR="00B76AEE" w:rsidRPr="00B76AEE">
              <w:rPr>
                <w:lang w:val="es-ES"/>
              </w:rPr>
              <w:t>/88/35</w:t>
            </w:r>
            <w:r w:rsidRPr="00B76AEE">
              <w:rPr>
                <w:lang w:val="es-ES"/>
              </w:rPr>
              <w:fldChar w:fldCharType="end"/>
            </w:r>
          </w:p>
          <w:p w14:paraId="48AA5BA3" w14:textId="38E506E0" w:rsidR="002959B4" w:rsidRPr="00B76AEE" w:rsidRDefault="002959B4" w:rsidP="00B76AEE">
            <w:pPr>
              <w:rPr>
                <w:lang w:val="es-ES"/>
              </w:rPr>
            </w:pPr>
            <w:r w:rsidRPr="00B76AEE">
              <w:rPr>
                <w:lang w:val="es-ES"/>
              </w:rPr>
              <w:fldChar w:fldCharType="begin"/>
            </w:r>
            <w:r w:rsidRPr="00B76AEE">
              <w:rPr>
                <w:lang w:val="es-ES"/>
              </w:rPr>
              <w:instrText xml:space="preserve"> DOCPROPERTY "Revision date" \@ "d MMMM YYYY"  \* MERGEFORMAT </w:instrText>
            </w:r>
            <w:r w:rsidRPr="00B76AEE">
              <w:rPr>
                <w:lang w:val="es-ES"/>
              </w:rPr>
              <w:fldChar w:fldCharType="separate"/>
            </w:r>
            <w:r w:rsidR="00B76AEE" w:rsidRPr="00B76AEE">
              <w:rPr>
                <w:lang w:val="es-ES"/>
              </w:rPr>
              <w:t>1</w:t>
            </w:r>
            <w:r w:rsidR="00F9224D" w:rsidRPr="00B76AEE">
              <w:rPr>
                <w:lang w:val="es-ES"/>
              </w:rPr>
              <w:t xml:space="preserve"> de </w:t>
            </w:r>
            <w:r w:rsidR="00B76AEE" w:rsidRPr="00B76AEE">
              <w:rPr>
                <w:lang w:val="es-ES"/>
              </w:rPr>
              <w:t>noviem</w:t>
            </w:r>
            <w:r w:rsidR="00F9224D" w:rsidRPr="00B76AEE">
              <w:rPr>
                <w:lang w:val="es-ES"/>
              </w:rPr>
              <w:t>bre de 2021</w:t>
            </w:r>
            <w:r w:rsidRPr="00B76AEE">
              <w:rPr>
                <w:lang w:val="es-ES"/>
              </w:rPr>
              <w:fldChar w:fldCharType="end"/>
            </w:r>
          </w:p>
          <w:p w14:paraId="4A8A48CB" w14:textId="77777777" w:rsidR="00114CAA" w:rsidRPr="00B76AEE" w:rsidRDefault="00114CAA" w:rsidP="00B76AEE">
            <w:pPr>
              <w:rPr>
                <w:caps/>
                <w:lang w:val="es-ES"/>
              </w:rPr>
            </w:pPr>
          </w:p>
          <w:p w14:paraId="361776A7" w14:textId="77777777" w:rsidR="0087455A" w:rsidRPr="00B76AEE" w:rsidRDefault="0024162E" w:rsidP="00B76AEE">
            <w:pPr>
              <w:rPr>
                <w:lang w:val="es-ES"/>
              </w:rPr>
            </w:pPr>
            <w:r w:rsidRPr="00B76AEE">
              <w:rPr>
                <w:lang w:val="es-ES"/>
              </w:rPr>
              <w:t xml:space="preserve">ESPAÑOL </w:t>
            </w:r>
          </w:p>
          <w:p w14:paraId="3D2FB584" w14:textId="77777777" w:rsidR="0087455A" w:rsidRPr="00B76AEE" w:rsidRDefault="0024162E" w:rsidP="00B76AEE">
            <w:pPr>
              <w:rPr>
                <w:lang w:val="es-ES"/>
              </w:rPr>
            </w:pPr>
            <w:r w:rsidRPr="00B76AEE">
              <w:rPr>
                <w:lang w:val="es-ES"/>
              </w:rPr>
              <w:t>ORIGINAL: INGLÉS</w:t>
            </w:r>
          </w:p>
        </w:tc>
      </w:tr>
    </w:tbl>
    <w:p w14:paraId="1BF37811" w14:textId="77777777" w:rsidR="0087455A" w:rsidRPr="00B76AEE" w:rsidRDefault="0087455A" w:rsidP="00B76AEE">
      <w:pPr>
        <w:jc w:val="left"/>
        <w:rPr>
          <w:lang w:val="es-ES"/>
        </w:rPr>
      </w:pPr>
    </w:p>
    <w:p w14:paraId="6651EBCE" w14:textId="77777777" w:rsidR="0087455A" w:rsidRPr="00B76AEE" w:rsidRDefault="0024162E" w:rsidP="00B76AEE">
      <w:pPr>
        <w:jc w:val="left"/>
        <w:rPr>
          <w:lang w:val="es-ES"/>
        </w:rPr>
      </w:pPr>
      <w:r w:rsidRPr="00B76AEE">
        <w:rPr>
          <w:lang w:val="es-ES"/>
        </w:rPr>
        <w:t>COMITÉ EJECUTIVO DEL FONDO MULTILATERAL</w:t>
      </w:r>
      <w:r w:rsidRPr="00B76AEE">
        <w:rPr>
          <w:lang w:val="es-ES"/>
        </w:rPr>
        <w:br/>
        <w:t xml:space="preserve">  PARA LA APLICACIÓN DEL</w:t>
      </w:r>
      <w:r w:rsidRPr="00B76AEE">
        <w:rPr>
          <w:lang w:val="es-ES"/>
        </w:rPr>
        <w:br/>
        <w:t xml:space="preserve">  PROTOCOLO DE MONTREAL</w:t>
      </w:r>
    </w:p>
    <w:p w14:paraId="571E507E" w14:textId="5C9B04BE" w:rsidR="001174E9" w:rsidRPr="00B76AEE" w:rsidRDefault="00106F6E" w:rsidP="00B76AEE">
      <w:pPr>
        <w:jc w:val="left"/>
        <w:rPr>
          <w:lang w:val="es-ES"/>
        </w:rPr>
      </w:pPr>
      <w:r w:rsidRPr="00B76AEE">
        <w:rPr>
          <w:lang w:val="es-ES"/>
        </w:rPr>
        <w:t xml:space="preserve">Octogésima </w:t>
      </w:r>
      <w:r w:rsidR="00344EAB" w:rsidRPr="00B76AEE">
        <w:rPr>
          <w:lang w:val="es-ES"/>
        </w:rPr>
        <w:t>octav</w:t>
      </w:r>
      <w:r w:rsidR="002959B4" w:rsidRPr="00B76AEE">
        <w:rPr>
          <w:lang w:val="es-ES"/>
        </w:rPr>
        <w:t>a</w:t>
      </w:r>
      <w:r w:rsidR="003863A4" w:rsidRPr="00B76AEE">
        <w:rPr>
          <w:lang w:val="es-ES"/>
        </w:rPr>
        <w:t xml:space="preserve"> Reunión</w:t>
      </w:r>
      <w:r w:rsidR="003863A4" w:rsidRPr="00B76AEE">
        <w:rPr>
          <w:lang w:val="es-ES"/>
        </w:rPr>
        <w:br/>
      </w:r>
      <w:r w:rsidR="001174E9" w:rsidRPr="00B76AEE">
        <w:rPr>
          <w:lang w:val="es-ES"/>
        </w:rPr>
        <w:t>Montreal, 15 </w:t>
      </w:r>
      <w:r w:rsidR="00F970D2">
        <w:rPr>
          <w:lang w:val="es-ES"/>
        </w:rPr>
        <w:noBreakHyphen/>
      </w:r>
      <w:r w:rsidR="001174E9" w:rsidRPr="00B76AEE">
        <w:rPr>
          <w:lang w:val="es-ES"/>
        </w:rPr>
        <w:t> 19 de noviembre de 2021</w:t>
      </w:r>
      <w:r w:rsidR="001174E9" w:rsidRPr="00B76AEE">
        <w:rPr>
          <w:rStyle w:val="FootnoteReference"/>
          <w:lang w:val="es-ES"/>
        </w:rPr>
        <w:footnoteReference w:id="1"/>
      </w:r>
    </w:p>
    <w:p w14:paraId="4102E790" w14:textId="3790460F" w:rsidR="001174E9" w:rsidRDefault="001174E9" w:rsidP="00B76AEE">
      <w:pPr>
        <w:jc w:val="left"/>
        <w:rPr>
          <w:lang w:val="es-ES"/>
        </w:rPr>
      </w:pPr>
    </w:p>
    <w:p w14:paraId="34DC7395" w14:textId="77777777" w:rsidR="00467010" w:rsidRPr="00B76AEE" w:rsidRDefault="00467010" w:rsidP="00B76AEE">
      <w:pPr>
        <w:jc w:val="left"/>
        <w:rPr>
          <w:lang w:val="es-ES"/>
        </w:rPr>
      </w:pPr>
    </w:p>
    <w:p w14:paraId="181B52FB" w14:textId="77777777" w:rsidR="00467010" w:rsidRDefault="00B76AEE" w:rsidP="00B76AEE">
      <w:pPr>
        <w:pStyle w:val="Heading1"/>
        <w:spacing w:after="0"/>
        <w:jc w:val="center"/>
        <w:rPr>
          <w:b/>
          <w:caps/>
          <w:lang w:val="es-ES"/>
        </w:rPr>
      </w:pPr>
      <w:r w:rsidRPr="00B76AEE">
        <w:rPr>
          <w:b/>
          <w:caps/>
          <w:lang w:val="es-ES"/>
        </w:rPr>
        <w:t xml:space="preserve">COSTOS DE UNIDAD CENTRAL DE 2022 PARA EL PNUD, LA ONUDI </w:t>
      </w:r>
    </w:p>
    <w:p w14:paraId="2BE316ED" w14:textId="717106B5" w:rsidR="00B76AEE" w:rsidRPr="00B76AEE" w:rsidRDefault="00B76AEE" w:rsidP="00B76AEE">
      <w:pPr>
        <w:pStyle w:val="Heading1"/>
        <w:spacing w:after="0"/>
        <w:jc w:val="center"/>
        <w:rPr>
          <w:b/>
          <w:caps/>
          <w:lang w:val="es-ES"/>
        </w:rPr>
      </w:pPr>
      <w:r w:rsidRPr="00B76AEE">
        <w:rPr>
          <w:b/>
          <w:caps/>
          <w:lang w:val="es-ES"/>
        </w:rPr>
        <w:t>Y EL BANCO MUNDIAL</w:t>
      </w:r>
    </w:p>
    <w:p w14:paraId="41F34D2D" w14:textId="77777777" w:rsidR="00B76AEE" w:rsidRPr="00B76AEE" w:rsidRDefault="00B76AEE" w:rsidP="00B76AEE">
      <w:pPr>
        <w:rPr>
          <w:lang w:val="es-ES"/>
        </w:rPr>
      </w:pPr>
    </w:p>
    <w:p w14:paraId="2DE49157" w14:textId="77777777" w:rsidR="00B76AEE" w:rsidRPr="00B76AEE" w:rsidRDefault="00B76AEE" w:rsidP="00B76AEE">
      <w:pPr>
        <w:pStyle w:val="Heading1"/>
        <w:numPr>
          <w:ilvl w:val="0"/>
          <w:numId w:val="1"/>
        </w:numPr>
        <w:tabs>
          <w:tab w:val="clear" w:pos="0"/>
        </w:tabs>
        <w:rPr>
          <w:lang w:val="es-ES"/>
        </w:rPr>
      </w:pPr>
      <w:r w:rsidRPr="00B76AEE">
        <w:rPr>
          <w:lang w:val="es-ES"/>
        </w:rPr>
        <w:t>En el presente documento se evalúan las solicitudes de costos de unidad central y las necesidades de costos administrativos para 2022</w:t>
      </w:r>
      <w:r w:rsidRPr="00B76AEE">
        <w:rPr>
          <w:rStyle w:val="FootnoteReference"/>
          <w:lang w:val="es-ES"/>
        </w:rPr>
        <w:footnoteReference w:id="2"/>
      </w:r>
      <w:r w:rsidRPr="00B76AEE">
        <w:rPr>
          <w:lang w:val="es-ES"/>
        </w:rPr>
        <w:t xml:space="preserve"> del PNUD, la ONUDI y el Banco Mundial y la medida en que los recursos disponibles para los costos administrativos totales de 2022 cubrirían los costos previstos </w:t>
      </w:r>
      <w:r w:rsidRPr="00B76AEE">
        <w:rPr>
          <w:lang w:val="es-ES"/>
        </w:rPr>
        <w:lastRenderedPageBreak/>
        <w:t xml:space="preserve">para 2022. La evaluación se presenta en forma separada para cada uno de los tres organismos de ejecución. En el documento también se presenta una recomendación. </w:t>
      </w:r>
    </w:p>
    <w:p w14:paraId="34A86FDA" w14:textId="77777777" w:rsidR="00B76AEE" w:rsidRPr="00B76AEE" w:rsidRDefault="00B76AEE" w:rsidP="00B76AEE">
      <w:pPr>
        <w:pStyle w:val="Heading1"/>
        <w:numPr>
          <w:ilvl w:val="0"/>
          <w:numId w:val="1"/>
        </w:numPr>
        <w:tabs>
          <w:tab w:val="clear" w:pos="0"/>
        </w:tabs>
        <w:rPr>
          <w:lang w:val="es-ES"/>
        </w:rPr>
      </w:pPr>
      <w:r w:rsidRPr="00B76AEE">
        <w:rPr>
          <w:lang w:val="es-ES"/>
        </w:rPr>
        <w:t>Este documento se basa en la información proporcionada por los tres organismos de ejecución sobre los costos básicos y administrativos reales para 2020, los costos estimados para 2021 y el presupuesto propuesto para 2022</w:t>
      </w:r>
      <w:r w:rsidRPr="00B76AEE">
        <w:rPr>
          <w:rStyle w:val="FootnoteReference"/>
          <w:lang w:val="es-ES"/>
        </w:rPr>
        <w:footnoteReference w:id="3"/>
      </w:r>
      <w:r w:rsidRPr="00B76AEE">
        <w:rPr>
          <w:lang w:val="es-ES"/>
        </w:rPr>
        <w:t>. Durante el examen de la información presentada, la Secretaría mantuvo amplias deliberaciones con cada uno de los tres organismos de ejecución, en las que se abordaron todas las cuestiones. La Secretaría observa con aprecio la colaboración ofrecida por los tres organismos de ejecución durante el proceso de examen.</w:t>
      </w:r>
    </w:p>
    <w:p w14:paraId="3CD7CF58" w14:textId="77777777" w:rsidR="00B76AEE" w:rsidRPr="00B76AEE" w:rsidRDefault="00B76AEE" w:rsidP="00B76AEE">
      <w:pPr>
        <w:pStyle w:val="Heading1"/>
        <w:numPr>
          <w:ilvl w:val="0"/>
          <w:numId w:val="1"/>
        </w:numPr>
        <w:tabs>
          <w:tab w:val="clear" w:pos="0"/>
        </w:tabs>
        <w:rPr>
          <w:lang w:val="es-ES"/>
        </w:rPr>
      </w:pPr>
      <w:r w:rsidRPr="00B76AEE">
        <w:rPr>
          <w:lang w:val="es-ES"/>
        </w:rPr>
        <w:t>A fin de facilitar el examen por parte del Comité Ejecutivo, los datos para el presupuesto de unidad central y otros costos administrativos de cada uno de los organismos de ejecución para los últimos tres años (2018-2020) se presentan en el documento principal, mientras que los datos históricos desde 2011 figuran en el Anexo I del presente documento.</w:t>
      </w:r>
    </w:p>
    <w:p w14:paraId="3E3A31F2" w14:textId="77777777" w:rsidR="00B76AEE" w:rsidRPr="00B76AEE" w:rsidRDefault="00B76AEE" w:rsidP="00B76AEE">
      <w:pPr>
        <w:rPr>
          <w:b/>
          <w:lang w:val="es-ES"/>
        </w:rPr>
      </w:pPr>
      <w:r w:rsidRPr="00B76AEE">
        <w:rPr>
          <w:b/>
          <w:lang w:val="es-ES"/>
        </w:rPr>
        <w:t>PNUD</w:t>
      </w:r>
    </w:p>
    <w:p w14:paraId="599AD59F" w14:textId="77777777" w:rsidR="00B76AEE" w:rsidRPr="00B76AEE" w:rsidRDefault="00B76AEE" w:rsidP="00B76AEE">
      <w:pPr>
        <w:rPr>
          <w:b/>
          <w:lang w:val="es-ES"/>
        </w:rPr>
      </w:pPr>
    </w:p>
    <w:p w14:paraId="24022442" w14:textId="77777777" w:rsidR="00B76AEE" w:rsidRPr="00B76AEE" w:rsidRDefault="00B76AEE" w:rsidP="00B76AEE">
      <w:pPr>
        <w:pStyle w:val="Heading1"/>
        <w:numPr>
          <w:ilvl w:val="0"/>
          <w:numId w:val="1"/>
        </w:numPr>
        <w:tabs>
          <w:tab w:val="clear" w:pos="0"/>
        </w:tabs>
        <w:rPr>
          <w:lang w:val="es-ES"/>
        </w:rPr>
      </w:pPr>
      <w:r w:rsidRPr="00B76AEE">
        <w:rPr>
          <w:lang w:val="es-ES"/>
        </w:rPr>
        <w:t>El Comité Ejecutivo aprobó el presupuesto de unidad central para 2021 solicitado por el PNUD, por la suma de 2 113 148 $EUA (decisión 86/62 b). En el Cuadro 1 se indican el presupuesto de unidad central y los costos administrativos presentados por el PNUD desde 2018 hasta 2022.</w:t>
      </w:r>
    </w:p>
    <w:p w14:paraId="0135B63F" w14:textId="77777777" w:rsidR="00B76AEE" w:rsidRPr="00B76AEE" w:rsidRDefault="00B76AEE" w:rsidP="00B76AEE">
      <w:pPr>
        <w:keepNext/>
        <w:keepLines/>
        <w:rPr>
          <w:b/>
          <w:caps/>
          <w:lang w:val="es-ES"/>
        </w:rPr>
      </w:pPr>
      <w:r w:rsidRPr="00B76AEE">
        <w:rPr>
          <w:b/>
          <w:lang w:val="es-ES"/>
        </w:rPr>
        <w:t>Cuadro 1. Datos del presupuesto de unidad central y otros costos administrativos para el período de 2018 a 2022 para el PNUD ($EUA)</w:t>
      </w:r>
    </w:p>
    <w:tbl>
      <w:tblPr>
        <w:tblW w:w="9286" w:type="dxa"/>
        <w:tblInd w:w="30" w:type="dxa"/>
        <w:tblLook w:val="04A0" w:firstRow="1" w:lastRow="0" w:firstColumn="1" w:lastColumn="0" w:noHBand="0" w:noVBand="1"/>
      </w:tblPr>
      <w:tblGrid>
        <w:gridCol w:w="2509"/>
        <w:gridCol w:w="1084"/>
        <w:gridCol w:w="1084"/>
        <w:gridCol w:w="1084"/>
        <w:gridCol w:w="1261"/>
        <w:gridCol w:w="1170"/>
        <w:gridCol w:w="1094"/>
      </w:tblGrid>
      <w:tr w:rsidR="00B76AEE" w:rsidRPr="00B76AEE" w14:paraId="51A30A2D" w14:textId="77777777" w:rsidTr="001224CB">
        <w:trPr>
          <w:tblHeader/>
        </w:trPr>
        <w:tc>
          <w:tcPr>
            <w:tcW w:w="2636"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049D4032" w14:textId="77777777" w:rsidR="00B76AEE" w:rsidRPr="00B76AEE" w:rsidRDefault="00B76AEE" w:rsidP="00B76AEE">
            <w:pPr>
              <w:jc w:val="left"/>
              <w:rPr>
                <w:b/>
                <w:bCs/>
                <w:color w:val="000000"/>
                <w:sz w:val="20"/>
                <w:lang w:val="es-ES"/>
              </w:rPr>
            </w:pPr>
            <w:r w:rsidRPr="00B76AEE">
              <w:rPr>
                <w:b/>
                <w:color w:val="000000"/>
                <w:sz w:val="20"/>
                <w:lang w:val="es-ES"/>
              </w:rPr>
              <w:t>Partida</w:t>
            </w:r>
          </w:p>
        </w:tc>
        <w:tc>
          <w:tcPr>
            <w:tcW w:w="1096" w:type="dxa"/>
            <w:tcBorders>
              <w:top w:val="single" w:sz="4" w:space="0" w:color="auto"/>
              <w:left w:val="nil"/>
              <w:bottom w:val="single" w:sz="4" w:space="0" w:color="auto"/>
              <w:right w:val="single" w:sz="4" w:space="0" w:color="auto"/>
            </w:tcBorders>
            <w:shd w:val="clear" w:color="auto" w:fill="auto"/>
            <w:hideMark/>
          </w:tcPr>
          <w:p w14:paraId="1FB45F36" w14:textId="77777777" w:rsidR="00B76AEE" w:rsidRPr="00B76AEE" w:rsidRDefault="00B76AEE" w:rsidP="00B76AEE">
            <w:pPr>
              <w:jc w:val="center"/>
              <w:rPr>
                <w:b/>
                <w:bCs/>
                <w:color w:val="000000"/>
                <w:sz w:val="20"/>
                <w:lang w:val="es-ES"/>
              </w:rPr>
            </w:pPr>
            <w:r w:rsidRPr="00B76AEE">
              <w:rPr>
                <w:b/>
                <w:color w:val="000000"/>
                <w:sz w:val="20"/>
                <w:lang w:val="es-ES"/>
              </w:rPr>
              <w:t>2018</w:t>
            </w:r>
          </w:p>
        </w:tc>
        <w:tc>
          <w:tcPr>
            <w:tcW w:w="1096" w:type="dxa"/>
            <w:tcBorders>
              <w:top w:val="single" w:sz="4" w:space="0" w:color="auto"/>
              <w:left w:val="nil"/>
              <w:bottom w:val="single" w:sz="4" w:space="0" w:color="auto"/>
              <w:right w:val="single" w:sz="4" w:space="0" w:color="auto"/>
            </w:tcBorders>
            <w:shd w:val="clear" w:color="auto" w:fill="auto"/>
            <w:hideMark/>
          </w:tcPr>
          <w:p w14:paraId="65B55D8F" w14:textId="77777777" w:rsidR="00B76AEE" w:rsidRPr="00B76AEE" w:rsidRDefault="00B76AEE" w:rsidP="00B76AEE">
            <w:pPr>
              <w:jc w:val="center"/>
              <w:rPr>
                <w:b/>
                <w:bCs/>
                <w:color w:val="000000"/>
                <w:sz w:val="20"/>
                <w:lang w:val="es-ES"/>
              </w:rPr>
            </w:pPr>
            <w:r w:rsidRPr="00B76AEE">
              <w:rPr>
                <w:b/>
                <w:color w:val="000000"/>
                <w:sz w:val="20"/>
                <w:lang w:val="es-ES"/>
              </w:rPr>
              <w:t>2019</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14:paraId="79D327AD" w14:textId="77777777" w:rsidR="00B76AEE" w:rsidRPr="00B76AEE" w:rsidRDefault="00B76AEE" w:rsidP="00B76AEE">
            <w:pPr>
              <w:jc w:val="center"/>
              <w:rPr>
                <w:b/>
                <w:bCs/>
                <w:color w:val="000000"/>
                <w:sz w:val="20"/>
                <w:lang w:val="es-ES"/>
              </w:rPr>
            </w:pPr>
            <w:r w:rsidRPr="00B76AEE">
              <w:rPr>
                <w:b/>
                <w:color w:val="000000"/>
                <w:sz w:val="20"/>
                <w:lang w:val="es-ES"/>
              </w:rPr>
              <w:t>2020</w:t>
            </w:r>
          </w:p>
        </w:tc>
        <w:tc>
          <w:tcPr>
            <w:tcW w:w="2266" w:type="dxa"/>
            <w:gridSpan w:val="2"/>
            <w:tcBorders>
              <w:top w:val="single" w:sz="4" w:space="0" w:color="auto"/>
              <w:left w:val="nil"/>
              <w:bottom w:val="single" w:sz="4" w:space="0" w:color="auto"/>
              <w:right w:val="single" w:sz="4" w:space="0" w:color="auto"/>
            </w:tcBorders>
            <w:shd w:val="clear" w:color="auto" w:fill="auto"/>
            <w:hideMark/>
          </w:tcPr>
          <w:p w14:paraId="34A60F96" w14:textId="77777777" w:rsidR="00B76AEE" w:rsidRPr="00B76AEE" w:rsidRDefault="00B76AEE" w:rsidP="00B76AEE">
            <w:pPr>
              <w:jc w:val="center"/>
              <w:rPr>
                <w:b/>
                <w:bCs/>
                <w:color w:val="000000"/>
                <w:sz w:val="20"/>
                <w:lang w:val="es-ES"/>
              </w:rPr>
            </w:pPr>
            <w:r w:rsidRPr="00B76AEE">
              <w:rPr>
                <w:b/>
                <w:color w:val="000000"/>
                <w:sz w:val="20"/>
                <w:lang w:val="es-ES"/>
              </w:rPr>
              <w:t>2021</w:t>
            </w:r>
          </w:p>
        </w:tc>
        <w:tc>
          <w:tcPr>
            <w:tcW w:w="1096" w:type="dxa"/>
            <w:tcBorders>
              <w:top w:val="single" w:sz="4" w:space="0" w:color="auto"/>
              <w:left w:val="nil"/>
              <w:bottom w:val="single" w:sz="4" w:space="0" w:color="auto"/>
              <w:right w:val="single" w:sz="4" w:space="0" w:color="auto"/>
            </w:tcBorders>
            <w:shd w:val="clear" w:color="auto" w:fill="auto"/>
            <w:hideMark/>
          </w:tcPr>
          <w:p w14:paraId="61B0AB28" w14:textId="77777777" w:rsidR="00B76AEE" w:rsidRPr="00B76AEE" w:rsidRDefault="00B76AEE" w:rsidP="00B76AEE">
            <w:pPr>
              <w:jc w:val="center"/>
              <w:rPr>
                <w:b/>
                <w:bCs/>
                <w:color w:val="000000"/>
                <w:sz w:val="20"/>
                <w:lang w:val="es-ES"/>
              </w:rPr>
            </w:pPr>
            <w:r w:rsidRPr="00B76AEE">
              <w:rPr>
                <w:b/>
                <w:color w:val="000000"/>
                <w:sz w:val="20"/>
                <w:lang w:val="es-ES"/>
              </w:rPr>
              <w:t>2022</w:t>
            </w:r>
          </w:p>
        </w:tc>
      </w:tr>
      <w:tr w:rsidR="00B76AEE" w:rsidRPr="00B76AEE" w14:paraId="2A5CCE81" w14:textId="77777777" w:rsidTr="001224CB">
        <w:trPr>
          <w:tblHeader/>
        </w:trPr>
        <w:tc>
          <w:tcPr>
            <w:tcW w:w="2636"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76CA48B8" w14:textId="77777777" w:rsidR="00B76AEE" w:rsidRPr="00B76AEE" w:rsidRDefault="00B76AEE" w:rsidP="00B76AEE">
            <w:pPr>
              <w:jc w:val="left"/>
              <w:rPr>
                <w:b/>
                <w:bCs/>
                <w:color w:val="000000"/>
                <w:sz w:val="20"/>
                <w:lang w:val="es-ES" w:eastAsia="en-CA"/>
              </w:rPr>
            </w:pPr>
          </w:p>
        </w:tc>
        <w:tc>
          <w:tcPr>
            <w:tcW w:w="1096" w:type="dxa"/>
            <w:tcBorders>
              <w:top w:val="nil"/>
              <w:left w:val="nil"/>
              <w:bottom w:val="single" w:sz="4" w:space="0" w:color="auto"/>
              <w:right w:val="single" w:sz="4" w:space="0" w:color="auto"/>
            </w:tcBorders>
            <w:shd w:val="clear" w:color="auto" w:fill="auto"/>
            <w:hideMark/>
          </w:tcPr>
          <w:p w14:paraId="4954BC05" w14:textId="77777777" w:rsidR="00B76AEE" w:rsidRPr="00B76AEE" w:rsidRDefault="00B76AEE" w:rsidP="00B76AEE">
            <w:pPr>
              <w:jc w:val="center"/>
              <w:rPr>
                <w:b/>
                <w:bCs/>
                <w:color w:val="000000"/>
                <w:sz w:val="20"/>
                <w:lang w:val="es-ES"/>
              </w:rPr>
            </w:pPr>
            <w:r w:rsidRPr="00B76AEE">
              <w:rPr>
                <w:b/>
                <w:color w:val="000000"/>
                <w:sz w:val="20"/>
                <w:lang w:val="es-ES"/>
              </w:rPr>
              <w:t>Real</w:t>
            </w:r>
          </w:p>
        </w:tc>
        <w:tc>
          <w:tcPr>
            <w:tcW w:w="1096" w:type="dxa"/>
            <w:tcBorders>
              <w:top w:val="nil"/>
              <w:left w:val="nil"/>
              <w:bottom w:val="single" w:sz="4" w:space="0" w:color="auto"/>
              <w:right w:val="single" w:sz="4" w:space="0" w:color="auto"/>
            </w:tcBorders>
            <w:shd w:val="clear" w:color="auto" w:fill="auto"/>
            <w:hideMark/>
          </w:tcPr>
          <w:p w14:paraId="52BDEB59" w14:textId="77777777" w:rsidR="00B76AEE" w:rsidRPr="00B76AEE" w:rsidRDefault="00B76AEE" w:rsidP="00B76AEE">
            <w:pPr>
              <w:jc w:val="center"/>
              <w:rPr>
                <w:b/>
                <w:bCs/>
                <w:color w:val="000000"/>
                <w:sz w:val="20"/>
                <w:lang w:val="es-ES"/>
              </w:rPr>
            </w:pPr>
            <w:r w:rsidRPr="00B76AEE">
              <w:rPr>
                <w:b/>
                <w:color w:val="000000"/>
                <w:sz w:val="20"/>
                <w:lang w:val="es-ES"/>
              </w:rPr>
              <w:t>Real</w:t>
            </w:r>
          </w:p>
        </w:tc>
        <w:tc>
          <w:tcPr>
            <w:tcW w:w="1096" w:type="dxa"/>
            <w:tcBorders>
              <w:top w:val="nil"/>
              <w:left w:val="single" w:sz="4" w:space="0" w:color="auto"/>
              <w:bottom w:val="single" w:sz="4" w:space="0" w:color="auto"/>
              <w:right w:val="single" w:sz="4" w:space="0" w:color="auto"/>
            </w:tcBorders>
            <w:shd w:val="clear" w:color="auto" w:fill="auto"/>
            <w:hideMark/>
          </w:tcPr>
          <w:p w14:paraId="5AFAA5DF" w14:textId="77777777" w:rsidR="00B76AEE" w:rsidRPr="00B76AEE" w:rsidRDefault="00B76AEE" w:rsidP="00B76AEE">
            <w:pPr>
              <w:jc w:val="center"/>
              <w:rPr>
                <w:b/>
                <w:bCs/>
                <w:color w:val="000000"/>
                <w:sz w:val="20"/>
                <w:lang w:val="es-ES"/>
              </w:rPr>
            </w:pPr>
            <w:r w:rsidRPr="00B76AEE">
              <w:rPr>
                <w:b/>
                <w:color w:val="000000"/>
                <w:sz w:val="20"/>
                <w:lang w:val="es-ES"/>
              </w:rPr>
              <w:t>Real</w:t>
            </w:r>
          </w:p>
        </w:tc>
        <w:tc>
          <w:tcPr>
            <w:tcW w:w="1096" w:type="dxa"/>
            <w:tcBorders>
              <w:top w:val="nil"/>
              <w:left w:val="nil"/>
              <w:bottom w:val="single" w:sz="4" w:space="0" w:color="auto"/>
              <w:right w:val="single" w:sz="4" w:space="0" w:color="auto"/>
            </w:tcBorders>
            <w:shd w:val="clear" w:color="auto" w:fill="auto"/>
            <w:hideMark/>
          </w:tcPr>
          <w:p w14:paraId="5CBA5578" w14:textId="77777777" w:rsidR="00B76AEE" w:rsidRPr="00B76AEE" w:rsidRDefault="00B76AEE" w:rsidP="00B76AEE">
            <w:pPr>
              <w:jc w:val="center"/>
              <w:rPr>
                <w:b/>
                <w:bCs/>
                <w:color w:val="000000"/>
                <w:sz w:val="20"/>
                <w:lang w:val="es-ES"/>
              </w:rPr>
            </w:pPr>
            <w:r w:rsidRPr="00B76AEE">
              <w:rPr>
                <w:b/>
                <w:color w:val="000000"/>
                <w:sz w:val="20"/>
                <w:lang w:val="es-ES"/>
              </w:rPr>
              <w:t>Presupuesto</w:t>
            </w:r>
          </w:p>
        </w:tc>
        <w:tc>
          <w:tcPr>
            <w:tcW w:w="1170" w:type="dxa"/>
            <w:tcBorders>
              <w:top w:val="nil"/>
              <w:left w:val="nil"/>
              <w:bottom w:val="single" w:sz="4" w:space="0" w:color="auto"/>
              <w:right w:val="single" w:sz="4" w:space="0" w:color="auto"/>
            </w:tcBorders>
            <w:shd w:val="clear" w:color="auto" w:fill="auto"/>
            <w:hideMark/>
          </w:tcPr>
          <w:p w14:paraId="736DC74A" w14:textId="77777777" w:rsidR="00B76AEE" w:rsidRPr="00B76AEE" w:rsidRDefault="00B76AEE" w:rsidP="00B76AEE">
            <w:pPr>
              <w:jc w:val="center"/>
              <w:rPr>
                <w:b/>
                <w:bCs/>
                <w:color w:val="000000"/>
                <w:sz w:val="20"/>
                <w:lang w:val="es-ES"/>
              </w:rPr>
            </w:pPr>
            <w:r w:rsidRPr="00B76AEE">
              <w:rPr>
                <w:b/>
                <w:color w:val="000000"/>
                <w:sz w:val="20"/>
                <w:lang w:val="es-ES"/>
              </w:rPr>
              <w:t>Estimado</w:t>
            </w:r>
          </w:p>
        </w:tc>
        <w:tc>
          <w:tcPr>
            <w:tcW w:w="1096" w:type="dxa"/>
            <w:tcBorders>
              <w:top w:val="nil"/>
              <w:left w:val="nil"/>
              <w:bottom w:val="single" w:sz="4" w:space="0" w:color="auto"/>
              <w:right w:val="single" w:sz="4" w:space="0" w:color="auto"/>
            </w:tcBorders>
            <w:shd w:val="clear" w:color="auto" w:fill="auto"/>
            <w:hideMark/>
          </w:tcPr>
          <w:p w14:paraId="558354E6" w14:textId="77777777" w:rsidR="00B76AEE" w:rsidRPr="00B76AEE" w:rsidRDefault="00B76AEE" w:rsidP="00B76AEE">
            <w:pPr>
              <w:jc w:val="center"/>
              <w:rPr>
                <w:b/>
                <w:bCs/>
                <w:color w:val="000000"/>
                <w:sz w:val="20"/>
                <w:lang w:val="es-ES"/>
              </w:rPr>
            </w:pPr>
            <w:r w:rsidRPr="00B76AEE">
              <w:rPr>
                <w:b/>
                <w:color w:val="000000"/>
                <w:sz w:val="20"/>
                <w:lang w:val="es-ES"/>
              </w:rPr>
              <w:t>Propuesto</w:t>
            </w:r>
          </w:p>
        </w:tc>
      </w:tr>
      <w:tr w:rsidR="00B76AEE" w:rsidRPr="00B76AEE" w14:paraId="10377B6B"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6AE143" w14:textId="77777777" w:rsidR="00B76AEE" w:rsidRPr="00B76AEE" w:rsidRDefault="00B76AEE" w:rsidP="00B76AEE">
            <w:pPr>
              <w:jc w:val="left"/>
              <w:rPr>
                <w:color w:val="000000"/>
                <w:sz w:val="20"/>
                <w:lang w:val="es-ES"/>
              </w:rPr>
            </w:pPr>
            <w:r w:rsidRPr="00B76AEE">
              <w:rPr>
                <w:color w:val="000000"/>
                <w:sz w:val="20"/>
                <w:lang w:val="es-ES"/>
              </w:rPr>
              <w:t>Personal de unidad central y personal contratado</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30509C3C" w14:textId="77777777" w:rsidR="00B76AEE" w:rsidRPr="00B76AEE" w:rsidRDefault="00B76AEE" w:rsidP="00B76AEE">
            <w:pPr>
              <w:jc w:val="right"/>
              <w:rPr>
                <w:color w:val="000000"/>
                <w:sz w:val="20"/>
                <w:lang w:val="es-ES"/>
              </w:rPr>
            </w:pPr>
            <w:r w:rsidRPr="00B76AEE">
              <w:rPr>
                <w:color w:val="000000"/>
                <w:sz w:val="20"/>
                <w:lang w:val="es-ES"/>
              </w:rPr>
              <w:t>2 375 437</w:t>
            </w:r>
          </w:p>
        </w:tc>
        <w:tc>
          <w:tcPr>
            <w:tcW w:w="1096" w:type="dxa"/>
            <w:tcBorders>
              <w:top w:val="nil"/>
              <w:left w:val="nil"/>
              <w:bottom w:val="single" w:sz="4" w:space="0" w:color="auto"/>
              <w:right w:val="single" w:sz="4" w:space="0" w:color="auto"/>
            </w:tcBorders>
            <w:shd w:val="clear" w:color="auto" w:fill="auto"/>
            <w:hideMark/>
          </w:tcPr>
          <w:p w14:paraId="1F867BEC" w14:textId="77777777" w:rsidR="00B76AEE" w:rsidRPr="00B76AEE" w:rsidRDefault="00B76AEE" w:rsidP="00B76AEE">
            <w:pPr>
              <w:jc w:val="right"/>
              <w:rPr>
                <w:color w:val="000000"/>
                <w:sz w:val="20"/>
                <w:lang w:val="es-ES"/>
              </w:rPr>
            </w:pPr>
            <w:r w:rsidRPr="00B76AEE">
              <w:rPr>
                <w:color w:val="000000"/>
                <w:sz w:val="20"/>
                <w:lang w:val="es-ES"/>
              </w:rPr>
              <w:t>2 379 866</w:t>
            </w:r>
          </w:p>
        </w:tc>
        <w:tc>
          <w:tcPr>
            <w:tcW w:w="1096" w:type="dxa"/>
            <w:tcBorders>
              <w:top w:val="nil"/>
              <w:left w:val="single" w:sz="4" w:space="0" w:color="auto"/>
              <w:bottom w:val="single" w:sz="4" w:space="0" w:color="auto"/>
              <w:right w:val="single" w:sz="4" w:space="0" w:color="auto"/>
            </w:tcBorders>
            <w:shd w:val="clear" w:color="auto" w:fill="auto"/>
            <w:hideMark/>
          </w:tcPr>
          <w:p w14:paraId="054CC336" w14:textId="77777777" w:rsidR="00B76AEE" w:rsidRPr="00B76AEE" w:rsidRDefault="00B76AEE" w:rsidP="00B76AEE">
            <w:pPr>
              <w:jc w:val="right"/>
              <w:rPr>
                <w:color w:val="000000"/>
                <w:sz w:val="20"/>
                <w:lang w:val="es-ES"/>
              </w:rPr>
            </w:pPr>
            <w:r w:rsidRPr="00B76AEE">
              <w:rPr>
                <w:color w:val="000000"/>
                <w:sz w:val="20"/>
                <w:lang w:val="es-ES"/>
              </w:rPr>
              <w:t>2 316 147</w:t>
            </w:r>
          </w:p>
        </w:tc>
        <w:tc>
          <w:tcPr>
            <w:tcW w:w="1096" w:type="dxa"/>
            <w:tcBorders>
              <w:top w:val="nil"/>
              <w:left w:val="nil"/>
              <w:bottom w:val="single" w:sz="4" w:space="0" w:color="auto"/>
              <w:right w:val="single" w:sz="4" w:space="0" w:color="auto"/>
            </w:tcBorders>
            <w:shd w:val="clear" w:color="auto" w:fill="auto"/>
            <w:hideMark/>
          </w:tcPr>
          <w:p w14:paraId="6CE9A41D" w14:textId="77777777" w:rsidR="00B76AEE" w:rsidRPr="00B76AEE" w:rsidRDefault="00B76AEE" w:rsidP="00B76AEE">
            <w:pPr>
              <w:jc w:val="right"/>
              <w:rPr>
                <w:color w:val="000000"/>
                <w:sz w:val="20"/>
                <w:lang w:val="es-ES"/>
              </w:rPr>
            </w:pPr>
            <w:r w:rsidRPr="00B76AEE">
              <w:rPr>
                <w:color w:val="000000"/>
                <w:sz w:val="20"/>
                <w:lang w:val="es-ES"/>
              </w:rPr>
              <w:t>2 524 800</w:t>
            </w:r>
          </w:p>
        </w:tc>
        <w:tc>
          <w:tcPr>
            <w:tcW w:w="1170" w:type="dxa"/>
            <w:tcBorders>
              <w:top w:val="nil"/>
              <w:left w:val="nil"/>
              <w:bottom w:val="single" w:sz="4" w:space="0" w:color="auto"/>
              <w:right w:val="single" w:sz="4" w:space="0" w:color="auto"/>
            </w:tcBorders>
            <w:shd w:val="clear" w:color="auto" w:fill="auto"/>
            <w:hideMark/>
          </w:tcPr>
          <w:p w14:paraId="5A49E0E6" w14:textId="77777777" w:rsidR="00B76AEE" w:rsidRPr="00B76AEE" w:rsidRDefault="00B76AEE" w:rsidP="00B76AEE">
            <w:pPr>
              <w:jc w:val="right"/>
              <w:rPr>
                <w:color w:val="000000"/>
                <w:sz w:val="20"/>
                <w:lang w:val="es-ES"/>
              </w:rPr>
            </w:pPr>
            <w:r w:rsidRPr="00B76AEE">
              <w:rPr>
                <w:color w:val="000000"/>
                <w:sz w:val="20"/>
                <w:lang w:val="es-ES"/>
              </w:rPr>
              <w:t>2 385 632</w:t>
            </w:r>
          </w:p>
        </w:tc>
        <w:tc>
          <w:tcPr>
            <w:tcW w:w="1096" w:type="dxa"/>
            <w:tcBorders>
              <w:top w:val="nil"/>
              <w:left w:val="nil"/>
              <w:bottom w:val="single" w:sz="4" w:space="0" w:color="auto"/>
              <w:right w:val="single" w:sz="4" w:space="0" w:color="auto"/>
            </w:tcBorders>
            <w:shd w:val="clear" w:color="auto" w:fill="auto"/>
            <w:hideMark/>
          </w:tcPr>
          <w:p w14:paraId="5F45B4D7" w14:textId="77777777" w:rsidR="00B76AEE" w:rsidRPr="00B76AEE" w:rsidRDefault="00B76AEE" w:rsidP="00B76AEE">
            <w:pPr>
              <w:jc w:val="right"/>
              <w:rPr>
                <w:color w:val="000000"/>
                <w:sz w:val="20"/>
                <w:lang w:val="es-ES"/>
              </w:rPr>
            </w:pPr>
            <w:r w:rsidRPr="00B76AEE">
              <w:rPr>
                <w:color w:val="000000"/>
                <w:sz w:val="20"/>
                <w:lang w:val="es-ES"/>
              </w:rPr>
              <w:t>2 457 201</w:t>
            </w:r>
          </w:p>
        </w:tc>
      </w:tr>
      <w:tr w:rsidR="00B76AEE" w:rsidRPr="00B76AEE" w14:paraId="1C5612C1"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B866D25" w14:textId="77777777" w:rsidR="00B76AEE" w:rsidRPr="00B76AEE" w:rsidRDefault="00B76AEE" w:rsidP="00B76AEE">
            <w:pPr>
              <w:jc w:val="left"/>
              <w:rPr>
                <w:color w:val="000000"/>
                <w:sz w:val="20"/>
                <w:lang w:val="es-ES"/>
              </w:rPr>
            </w:pPr>
            <w:r w:rsidRPr="00B76AEE">
              <w:rPr>
                <w:color w:val="000000"/>
                <w:sz w:val="20"/>
                <w:lang w:val="es-ES"/>
              </w:rPr>
              <w:t>Viajes (funcionarios y consultores)</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2F1603E7" w14:textId="77777777" w:rsidR="00B76AEE" w:rsidRPr="00B76AEE" w:rsidRDefault="00B76AEE" w:rsidP="00B76AEE">
            <w:pPr>
              <w:jc w:val="right"/>
              <w:rPr>
                <w:color w:val="000000"/>
                <w:sz w:val="20"/>
                <w:lang w:val="es-ES"/>
              </w:rPr>
            </w:pPr>
            <w:r w:rsidRPr="00B76AEE">
              <w:rPr>
                <w:color w:val="000000"/>
                <w:sz w:val="20"/>
                <w:lang w:val="es-ES"/>
              </w:rPr>
              <w:t>176 170</w:t>
            </w:r>
          </w:p>
        </w:tc>
        <w:tc>
          <w:tcPr>
            <w:tcW w:w="1096" w:type="dxa"/>
            <w:tcBorders>
              <w:top w:val="nil"/>
              <w:left w:val="nil"/>
              <w:bottom w:val="single" w:sz="4" w:space="0" w:color="auto"/>
              <w:right w:val="single" w:sz="4" w:space="0" w:color="auto"/>
            </w:tcBorders>
            <w:shd w:val="clear" w:color="auto" w:fill="auto"/>
            <w:hideMark/>
          </w:tcPr>
          <w:p w14:paraId="7AA07820" w14:textId="77777777" w:rsidR="00B76AEE" w:rsidRPr="00B76AEE" w:rsidRDefault="00B76AEE" w:rsidP="00B76AEE">
            <w:pPr>
              <w:jc w:val="right"/>
              <w:rPr>
                <w:color w:val="000000"/>
                <w:sz w:val="20"/>
                <w:lang w:val="es-ES"/>
              </w:rPr>
            </w:pPr>
            <w:r w:rsidRPr="00B76AEE">
              <w:rPr>
                <w:color w:val="000000"/>
                <w:sz w:val="20"/>
                <w:lang w:val="es-ES"/>
              </w:rPr>
              <w:t>182 129</w:t>
            </w:r>
          </w:p>
        </w:tc>
        <w:tc>
          <w:tcPr>
            <w:tcW w:w="1096" w:type="dxa"/>
            <w:tcBorders>
              <w:top w:val="nil"/>
              <w:left w:val="single" w:sz="4" w:space="0" w:color="auto"/>
              <w:bottom w:val="single" w:sz="4" w:space="0" w:color="auto"/>
              <w:right w:val="single" w:sz="4" w:space="0" w:color="auto"/>
            </w:tcBorders>
            <w:shd w:val="clear" w:color="auto" w:fill="auto"/>
            <w:hideMark/>
          </w:tcPr>
          <w:p w14:paraId="792D6134" w14:textId="77777777" w:rsidR="00B76AEE" w:rsidRPr="00B76AEE" w:rsidRDefault="00B76AEE" w:rsidP="00B76AEE">
            <w:pPr>
              <w:jc w:val="right"/>
              <w:rPr>
                <w:color w:val="000000"/>
                <w:sz w:val="20"/>
                <w:lang w:val="es-ES"/>
              </w:rPr>
            </w:pPr>
            <w:r w:rsidRPr="00B76AEE">
              <w:rPr>
                <w:color w:val="000000"/>
                <w:sz w:val="20"/>
                <w:lang w:val="es-ES"/>
              </w:rPr>
              <w:t>17 032</w:t>
            </w:r>
          </w:p>
        </w:tc>
        <w:tc>
          <w:tcPr>
            <w:tcW w:w="1096" w:type="dxa"/>
            <w:tcBorders>
              <w:top w:val="nil"/>
              <w:left w:val="nil"/>
              <w:bottom w:val="single" w:sz="4" w:space="0" w:color="auto"/>
              <w:right w:val="single" w:sz="4" w:space="0" w:color="auto"/>
            </w:tcBorders>
            <w:shd w:val="clear" w:color="auto" w:fill="auto"/>
            <w:hideMark/>
          </w:tcPr>
          <w:p w14:paraId="5CF6F236" w14:textId="77777777" w:rsidR="00B76AEE" w:rsidRPr="00B76AEE" w:rsidRDefault="00B76AEE" w:rsidP="00B76AEE">
            <w:pPr>
              <w:jc w:val="right"/>
              <w:rPr>
                <w:color w:val="000000"/>
                <w:sz w:val="20"/>
                <w:lang w:val="es-ES"/>
              </w:rPr>
            </w:pPr>
            <w:r w:rsidRPr="00B76AEE">
              <w:rPr>
                <w:color w:val="000000"/>
                <w:sz w:val="20"/>
                <w:lang w:val="es-ES"/>
              </w:rPr>
              <w:t>150 000</w:t>
            </w:r>
          </w:p>
        </w:tc>
        <w:tc>
          <w:tcPr>
            <w:tcW w:w="1170" w:type="dxa"/>
            <w:tcBorders>
              <w:top w:val="nil"/>
              <w:left w:val="nil"/>
              <w:bottom w:val="single" w:sz="4" w:space="0" w:color="auto"/>
              <w:right w:val="single" w:sz="4" w:space="0" w:color="auto"/>
            </w:tcBorders>
            <w:shd w:val="clear" w:color="auto" w:fill="auto"/>
            <w:hideMark/>
          </w:tcPr>
          <w:p w14:paraId="08B6F83B" w14:textId="77777777" w:rsidR="00B76AEE" w:rsidRPr="00B76AEE" w:rsidRDefault="00B76AEE" w:rsidP="00B76AEE">
            <w:pPr>
              <w:jc w:val="right"/>
              <w:rPr>
                <w:color w:val="000000"/>
                <w:sz w:val="20"/>
                <w:lang w:val="es-ES"/>
              </w:rPr>
            </w:pPr>
            <w:r w:rsidRPr="00B76AEE">
              <w:rPr>
                <w:color w:val="000000"/>
                <w:sz w:val="20"/>
                <w:lang w:val="es-ES"/>
              </w:rPr>
              <w:t>500</w:t>
            </w:r>
          </w:p>
        </w:tc>
        <w:tc>
          <w:tcPr>
            <w:tcW w:w="1096" w:type="dxa"/>
            <w:tcBorders>
              <w:top w:val="nil"/>
              <w:left w:val="nil"/>
              <w:bottom w:val="single" w:sz="4" w:space="0" w:color="auto"/>
              <w:right w:val="single" w:sz="4" w:space="0" w:color="auto"/>
            </w:tcBorders>
            <w:shd w:val="clear" w:color="auto" w:fill="auto"/>
            <w:hideMark/>
          </w:tcPr>
          <w:p w14:paraId="6E5DB783" w14:textId="77777777" w:rsidR="00B76AEE" w:rsidRPr="00B76AEE" w:rsidRDefault="00B76AEE" w:rsidP="00B76AEE">
            <w:pPr>
              <w:jc w:val="right"/>
              <w:rPr>
                <w:color w:val="000000"/>
                <w:sz w:val="20"/>
                <w:lang w:val="es-ES"/>
              </w:rPr>
            </w:pPr>
            <w:r w:rsidRPr="00B76AEE">
              <w:rPr>
                <w:color w:val="000000"/>
                <w:sz w:val="20"/>
                <w:lang w:val="es-ES"/>
              </w:rPr>
              <w:t>150 000</w:t>
            </w:r>
          </w:p>
        </w:tc>
      </w:tr>
      <w:tr w:rsidR="00B76AEE" w:rsidRPr="00B76AEE" w14:paraId="78C6F5FE"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D1A3AD3" w14:textId="77777777" w:rsidR="00B76AEE" w:rsidRPr="00B76AEE" w:rsidRDefault="00B76AEE" w:rsidP="00B76AEE">
            <w:pPr>
              <w:jc w:val="left"/>
              <w:rPr>
                <w:color w:val="000000"/>
                <w:sz w:val="20"/>
                <w:lang w:val="es-ES"/>
              </w:rPr>
            </w:pPr>
            <w:r w:rsidRPr="00B76AEE">
              <w:rPr>
                <w:color w:val="000000"/>
                <w:sz w:val="20"/>
                <w:lang w:val="es-ES"/>
              </w:rPr>
              <w:t>Oficinas (alquiler y gastos ordinarios)</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624F79C8" w14:textId="77777777" w:rsidR="00B76AEE" w:rsidRPr="00B76AEE" w:rsidRDefault="00B76AEE" w:rsidP="00B76AEE">
            <w:pPr>
              <w:jc w:val="right"/>
              <w:rPr>
                <w:color w:val="000000"/>
                <w:sz w:val="20"/>
                <w:lang w:val="es-ES"/>
              </w:rPr>
            </w:pPr>
            <w:r w:rsidRPr="00B76AEE">
              <w:rPr>
                <w:color w:val="000000"/>
                <w:sz w:val="20"/>
                <w:lang w:val="es-ES"/>
              </w:rPr>
              <w:t>164 998</w:t>
            </w:r>
          </w:p>
        </w:tc>
        <w:tc>
          <w:tcPr>
            <w:tcW w:w="1096" w:type="dxa"/>
            <w:tcBorders>
              <w:top w:val="nil"/>
              <w:left w:val="nil"/>
              <w:bottom w:val="single" w:sz="4" w:space="0" w:color="auto"/>
              <w:right w:val="single" w:sz="4" w:space="0" w:color="auto"/>
            </w:tcBorders>
            <w:shd w:val="clear" w:color="auto" w:fill="auto"/>
            <w:hideMark/>
          </w:tcPr>
          <w:p w14:paraId="1DFFD24A" w14:textId="77777777" w:rsidR="00B76AEE" w:rsidRPr="00B76AEE" w:rsidRDefault="00B76AEE" w:rsidP="00B76AEE">
            <w:pPr>
              <w:jc w:val="right"/>
              <w:rPr>
                <w:color w:val="000000"/>
                <w:sz w:val="20"/>
                <w:lang w:val="es-ES"/>
              </w:rPr>
            </w:pPr>
            <w:r w:rsidRPr="00B76AEE">
              <w:rPr>
                <w:color w:val="000000"/>
                <w:sz w:val="20"/>
                <w:lang w:val="es-ES"/>
              </w:rPr>
              <w:t>153 176</w:t>
            </w:r>
          </w:p>
        </w:tc>
        <w:tc>
          <w:tcPr>
            <w:tcW w:w="1096" w:type="dxa"/>
            <w:tcBorders>
              <w:top w:val="nil"/>
              <w:left w:val="single" w:sz="4" w:space="0" w:color="auto"/>
              <w:bottom w:val="single" w:sz="4" w:space="0" w:color="auto"/>
              <w:right w:val="single" w:sz="4" w:space="0" w:color="auto"/>
            </w:tcBorders>
            <w:shd w:val="clear" w:color="auto" w:fill="auto"/>
            <w:hideMark/>
          </w:tcPr>
          <w:p w14:paraId="7A33122F" w14:textId="77777777" w:rsidR="00B76AEE" w:rsidRPr="00B76AEE" w:rsidRDefault="00B76AEE" w:rsidP="00B76AEE">
            <w:pPr>
              <w:jc w:val="right"/>
              <w:rPr>
                <w:color w:val="000000"/>
                <w:sz w:val="20"/>
                <w:lang w:val="es-ES"/>
              </w:rPr>
            </w:pPr>
            <w:r w:rsidRPr="00B76AEE">
              <w:rPr>
                <w:color w:val="000000"/>
                <w:sz w:val="20"/>
                <w:lang w:val="es-ES"/>
              </w:rPr>
              <w:t>130 925</w:t>
            </w:r>
          </w:p>
        </w:tc>
        <w:tc>
          <w:tcPr>
            <w:tcW w:w="1096" w:type="dxa"/>
            <w:tcBorders>
              <w:top w:val="nil"/>
              <w:left w:val="nil"/>
              <w:bottom w:val="single" w:sz="4" w:space="0" w:color="auto"/>
              <w:right w:val="single" w:sz="4" w:space="0" w:color="auto"/>
            </w:tcBorders>
            <w:shd w:val="clear" w:color="auto" w:fill="auto"/>
            <w:hideMark/>
          </w:tcPr>
          <w:p w14:paraId="144D82D9" w14:textId="77777777" w:rsidR="00B76AEE" w:rsidRPr="00B76AEE" w:rsidRDefault="00B76AEE" w:rsidP="00B76AEE">
            <w:pPr>
              <w:jc w:val="right"/>
              <w:rPr>
                <w:color w:val="000000"/>
                <w:sz w:val="20"/>
                <w:lang w:val="es-ES"/>
              </w:rPr>
            </w:pPr>
            <w:r w:rsidRPr="00B76AEE">
              <w:rPr>
                <w:color w:val="000000"/>
                <w:sz w:val="20"/>
                <w:lang w:val="es-ES"/>
              </w:rPr>
              <w:t>168 877</w:t>
            </w:r>
          </w:p>
        </w:tc>
        <w:tc>
          <w:tcPr>
            <w:tcW w:w="1170" w:type="dxa"/>
            <w:tcBorders>
              <w:top w:val="nil"/>
              <w:left w:val="nil"/>
              <w:bottom w:val="single" w:sz="4" w:space="0" w:color="auto"/>
              <w:right w:val="single" w:sz="4" w:space="0" w:color="auto"/>
            </w:tcBorders>
            <w:shd w:val="clear" w:color="auto" w:fill="auto"/>
            <w:hideMark/>
          </w:tcPr>
          <w:p w14:paraId="7CA1765A" w14:textId="77777777" w:rsidR="00B76AEE" w:rsidRPr="00B76AEE" w:rsidRDefault="00B76AEE" w:rsidP="00B76AEE">
            <w:pPr>
              <w:jc w:val="right"/>
              <w:rPr>
                <w:color w:val="000000"/>
                <w:sz w:val="20"/>
                <w:lang w:val="es-ES"/>
              </w:rPr>
            </w:pPr>
            <w:r w:rsidRPr="00B76AEE">
              <w:rPr>
                <w:color w:val="000000"/>
                <w:sz w:val="20"/>
                <w:lang w:val="es-ES"/>
              </w:rPr>
              <w:t>130 925</w:t>
            </w:r>
          </w:p>
        </w:tc>
        <w:tc>
          <w:tcPr>
            <w:tcW w:w="1096" w:type="dxa"/>
            <w:tcBorders>
              <w:top w:val="nil"/>
              <w:left w:val="nil"/>
              <w:bottom w:val="single" w:sz="4" w:space="0" w:color="auto"/>
              <w:right w:val="single" w:sz="4" w:space="0" w:color="auto"/>
            </w:tcBorders>
            <w:shd w:val="clear" w:color="auto" w:fill="auto"/>
            <w:hideMark/>
          </w:tcPr>
          <w:p w14:paraId="59464B63" w14:textId="77777777" w:rsidR="00B76AEE" w:rsidRPr="00B76AEE" w:rsidRDefault="00B76AEE" w:rsidP="00B76AEE">
            <w:pPr>
              <w:jc w:val="right"/>
              <w:rPr>
                <w:color w:val="000000"/>
                <w:sz w:val="20"/>
                <w:lang w:val="es-ES"/>
              </w:rPr>
            </w:pPr>
            <w:r w:rsidRPr="00B76AEE">
              <w:rPr>
                <w:color w:val="000000"/>
                <w:sz w:val="20"/>
                <w:lang w:val="es-ES"/>
              </w:rPr>
              <w:t>130 925</w:t>
            </w:r>
          </w:p>
        </w:tc>
      </w:tr>
      <w:tr w:rsidR="00B76AEE" w:rsidRPr="00B76AEE" w14:paraId="4D4270E1"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3D81A19" w14:textId="77777777" w:rsidR="00B76AEE" w:rsidRPr="00B76AEE" w:rsidRDefault="00B76AEE" w:rsidP="00B76AEE">
            <w:pPr>
              <w:jc w:val="left"/>
              <w:rPr>
                <w:color w:val="000000"/>
                <w:sz w:val="20"/>
                <w:lang w:val="es-ES"/>
              </w:rPr>
            </w:pPr>
            <w:r w:rsidRPr="00B76AEE">
              <w:rPr>
                <w:color w:val="000000"/>
                <w:sz w:val="20"/>
                <w:lang w:val="es-ES"/>
              </w:rPr>
              <w:t>Costo de equipos y otros (computadoras, suministros)</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146DD846" w14:textId="77777777" w:rsidR="00B76AEE" w:rsidRPr="00B76AEE" w:rsidRDefault="00B76AEE" w:rsidP="00B76AEE">
            <w:pPr>
              <w:jc w:val="right"/>
              <w:rPr>
                <w:color w:val="000000"/>
                <w:sz w:val="20"/>
                <w:lang w:val="es-ES"/>
              </w:rPr>
            </w:pPr>
            <w:r w:rsidRPr="00B76AEE">
              <w:rPr>
                <w:color w:val="000000"/>
                <w:sz w:val="20"/>
                <w:lang w:val="es-ES"/>
              </w:rPr>
              <w:t>12 146</w:t>
            </w:r>
          </w:p>
        </w:tc>
        <w:tc>
          <w:tcPr>
            <w:tcW w:w="1096" w:type="dxa"/>
            <w:tcBorders>
              <w:top w:val="nil"/>
              <w:left w:val="nil"/>
              <w:bottom w:val="single" w:sz="4" w:space="0" w:color="auto"/>
              <w:right w:val="single" w:sz="4" w:space="0" w:color="auto"/>
            </w:tcBorders>
            <w:shd w:val="clear" w:color="auto" w:fill="auto"/>
            <w:hideMark/>
          </w:tcPr>
          <w:p w14:paraId="550EA8D4" w14:textId="77777777" w:rsidR="00B76AEE" w:rsidRPr="00B76AEE" w:rsidRDefault="00B76AEE" w:rsidP="00B76AEE">
            <w:pPr>
              <w:jc w:val="right"/>
              <w:rPr>
                <w:color w:val="000000"/>
                <w:sz w:val="20"/>
                <w:lang w:val="es-ES"/>
              </w:rPr>
            </w:pPr>
            <w:r w:rsidRPr="00B76AEE">
              <w:rPr>
                <w:color w:val="000000"/>
                <w:sz w:val="20"/>
                <w:lang w:val="es-ES"/>
              </w:rPr>
              <w:t>8 351</w:t>
            </w:r>
          </w:p>
        </w:tc>
        <w:tc>
          <w:tcPr>
            <w:tcW w:w="1096" w:type="dxa"/>
            <w:tcBorders>
              <w:top w:val="nil"/>
              <w:left w:val="single" w:sz="4" w:space="0" w:color="auto"/>
              <w:bottom w:val="single" w:sz="4" w:space="0" w:color="auto"/>
              <w:right w:val="single" w:sz="4" w:space="0" w:color="auto"/>
            </w:tcBorders>
            <w:shd w:val="clear" w:color="auto" w:fill="auto"/>
            <w:hideMark/>
          </w:tcPr>
          <w:p w14:paraId="2E6FBE15" w14:textId="77777777" w:rsidR="00B76AEE" w:rsidRPr="00B76AEE" w:rsidRDefault="00B76AEE" w:rsidP="00B76AEE">
            <w:pPr>
              <w:jc w:val="right"/>
              <w:rPr>
                <w:color w:val="000000"/>
                <w:sz w:val="20"/>
                <w:lang w:val="es-ES"/>
              </w:rPr>
            </w:pPr>
            <w:r w:rsidRPr="00B76AEE">
              <w:rPr>
                <w:color w:val="000000"/>
                <w:sz w:val="20"/>
                <w:lang w:val="es-ES"/>
              </w:rPr>
              <w:t>15 777</w:t>
            </w:r>
          </w:p>
        </w:tc>
        <w:tc>
          <w:tcPr>
            <w:tcW w:w="1096" w:type="dxa"/>
            <w:tcBorders>
              <w:top w:val="nil"/>
              <w:left w:val="nil"/>
              <w:bottom w:val="single" w:sz="4" w:space="0" w:color="auto"/>
              <w:right w:val="single" w:sz="4" w:space="0" w:color="auto"/>
            </w:tcBorders>
            <w:shd w:val="clear" w:color="auto" w:fill="auto"/>
            <w:hideMark/>
          </w:tcPr>
          <w:p w14:paraId="0FDC0925" w14:textId="77777777" w:rsidR="00B76AEE" w:rsidRPr="00B76AEE" w:rsidRDefault="00B76AEE" w:rsidP="00B76AEE">
            <w:pPr>
              <w:jc w:val="right"/>
              <w:rPr>
                <w:color w:val="000000"/>
                <w:sz w:val="20"/>
                <w:lang w:val="es-ES"/>
              </w:rPr>
            </w:pPr>
            <w:r w:rsidRPr="00B76AEE">
              <w:rPr>
                <w:color w:val="000000"/>
                <w:sz w:val="20"/>
                <w:lang w:val="es-ES"/>
              </w:rPr>
              <w:t>10 000</w:t>
            </w:r>
          </w:p>
        </w:tc>
        <w:tc>
          <w:tcPr>
            <w:tcW w:w="1170" w:type="dxa"/>
            <w:tcBorders>
              <w:top w:val="nil"/>
              <w:left w:val="nil"/>
              <w:bottom w:val="single" w:sz="4" w:space="0" w:color="auto"/>
              <w:right w:val="single" w:sz="4" w:space="0" w:color="auto"/>
            </w:tcBorders>
            <w:shd w:val="clear" w:color="auto" w:fill="auto"/>
            <w:hideMark/>
          </w:tcPr>
          <w:p w14:paraId="075777EF" w14:textId="77777777" w:rsidR="00B76AEE" w:rsidRPr="00B76AEE" w:rsidRDefault="00B76AEE" w:rsidP="00B76AEE">
            <w:pPr>
              <w:jc w:val="right"/>
              <w:rPr>
                <w:color w:val="000000"/>
                <w:sz w:val="20"/>
                <w:lang w:val="es-ES"/>
              </w:rPr>
            </w:pPr>
            <w:r w:rsidRPr="00B76AEE">
              <w:rPr>
                <w:color w:val="000000"/>
                <w:sz w:val="20"/>
                <w:lang w:val="es-ES"/>
              </w:rPr>
              <w:t>15 000</w:t>
            </w:r>
          </w:p>
        </w:tc>
        <w:tc>
          <w:tcPr>
            <w:tcW w:w="1096" w:type="dxa"/>
            <w:tcBorders>
              <w:top w:val="nil"/>
              <w:left w:val="nil"/>
              <w:bottom w:val="single" w:sz="4" w:space="0" w:color="auto"/>
              <w:right w:val="single" w:sz="4" w:space="0" w:color="auto"/>
            </w:tcBorders>
            <w:shd w:val="clear" w:color="auto" w:fill="auto"/>
            <w:hideMark/>
          </w:tcPr>
          <w:p w14:paraId="41A0B4BC" w14:textId="77777777" w:rsidR="00B76AEE" w:rsidRPr="00B76AEE" w:rsidRDefault="00B76AEE" w:rsidP="00B76AEE">
            <w:pPr>
              <w:jc w:val="right"/>
              <w:rPr>
                <w:color w:val="000000"/>
                <w:sz w:val="20"/>
                <w:lang w:val="es-ES"/>
              </w:rPr>
            </w:pPr>
            <w:r w:rsidRPr="00B76AEE">
              <w:rPr>
                <w:color w:val="000000"/>
                <w:sz w:val="20"/>
                <w:lang w:val="es-ES"/>
              </w:rPr>
              <w:t>10 000</w:t>
            </w:r>
          </w:p>
        </w:tc>
      </w:tr>
      <w:tr w:rsidR="00B76AEE" w:rsidRPr="00B76AEE" w14:paraId="00A1D2C1"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8F146C0" w14:textId="77777777" w:rsidR="00B76AEE" w:rsidRPr="00B76AEE" w:rsidRDefault="00B76AEE" w:rsidP="00B76AEE">
            <w:pPr>
              <w:jc w:val="left"/>
              <w:rPr>
                <w:color w:val="000000"/>
                <w:sz w:val="20"/>
                <w:lang w:val="es-ES"/>
              </w:rPr>
            </w:pPr>
            <w:r w:rsidRPr="00B76AEE">
              <w:rPr>
                <w:color w:val="000000"/>
                <w:sz w:val="20"/>
                <w:lang w:val="es-ES"/>
              </w:rPr>
              <w:t>Contratación de servicios (empresas)</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2B33F384" w14:textId="77777777" w:rsidR="00B76AEE" w:rsidRPr="00B76AEE" w:rsidRDefault="00B76AEE" w:rsidP="00B76AEE">
            <w:pPr>
              <w:jc w:val="right"/>
              <w:rPr>
                <w:color w:val="000000"/>
                <w:sz w:val="20"/>
                <w:lang w:val="es-ES"/>
              </w:rPr>
            </w:pPr>
            <w:r w:rsidRPr="00B76AEE">
              <w:rPr>
                <w:color w:val="000000"/>
                <w:sz w:val="20"/>
                <w:lang w:val="es-ES"/>
              </w:rPr>
              <w:t>13 510</w:t>
            </w:r>
          </w:p>
        </w:tc>
        <w:tc>
          <w:tcPr>
            <w:tcW w:w="1096" w:type="dxa"/>
            <w:tcBorders>
              <w:top w:val="nil"/>
              <w:left w:val="nil"/>
              <w:bottom w:val="single" w:sz="4" w:space="0" w:color="auto"/>
              <w:right w:val="single" w:sz="4" w:space="0" w:color="auto"/>
            </w:tcBorders>
            <w:shd w:val="clear" w:color="auto" w:fill="auto"/>
            <w:hideMark/>
          </w:tcPr>
          <w:p w14:paraId="0311D889" w14:textId="77777777" w:rsidR="00B76AEE" w:rsidRPr="00B76AEE" w:rsidRDefault="00B76AEE" w:rsidP="00B76AEE">
            <w:pPr>
              <w:jc w:val="right"/>
              <w:rPr>
                <w:color w:val="000000"/>
                <w:sz w:val="20"/>
                <w:lang w:val="es-ES"/>
              </w:rPr>
            </w:pPr>
            <w:r w:rsidRPr="00B76AEE">
              <w:rPr>
                <w:color w:val="000000"/>
                <w:sz w:val="20"/>
                <w:lang w:val="es-ES"/>
              </w:rPr>
              <w:t>24 300</w:t>
            </w:r>
          </w:p>
        </w:tc>
        <w:tc>
          <w:tcPr>
            <w:tcW w:w="1096" w:type="dxa"/>
            <w:tcBorders>
              <w:top w:val="nil"/>
              <w:left w:val="single" w:sz="4" w:space="0" w:color="auto"/>
              <w:bottom w:val="single" w:sz="4" w:space="0" w:color="auto"/>
              <w:right w:val="single" w:sz="4" w:space="0" w:color="auto"/>
            </w:tcBorders>
            <w:shd w:val="clear" w:color="auto" w:fill="auto"/>
            <w:hideMark/>
          </w:tcPr>
          <w:p w14:paraId="5EACC17B" w14:textId="77777777" w:rsidR="00B76AEE" w:rsidRPr="00B76AEE" w:rsidRDefault="00B76AEE" w:rsidP="00B76AEE">
            <w:pPr>
              <w:jc w:val="right"/>
              <w:rPr>
                <w:color w:val="000000"/>
                <w:sz w:val="20"/>
                <w:lang w:val="es-ES"/>
              </w:rPr>
            </w:pPr>
            <w:r w:rsidRPr="00B76AEE">
              <w:rPr>
                <w:color w:val="000000"/>
                <w:sz w:val="20"/>
                <w:lang w:val="es-ES"/>
              </w:rPr>
              <w:t>1 648</w:t>
            </w:r>
          </w:p>
        </w:tc>
        <w:tc>
          <w:tcPr>
            <w:tcW w:w="1096" w:type="dxa"/>
            <w:tcBorders>
              <w:top w:val="nil"/>
              <w:left w:val="nil"/>
              <w:bottom w:val="single" w:sz="4" w:space="0" w:color="auto"/>
              <w:right w:val="single" w:sz="4" w:space="0" w:color="auto"/>
            </w:tcBorders>
            <w:shd w:val="clear" w:color="auto" w:fill="auto"/>
            <w:hideMark/>
          </w:tcPr>
          <w:p w14:paraId="248770FE" w14:textId="77777777" w:rsidR="00B76AEE" w:rsidRPr="00B76AEE" w:rsidRDefault="00B76AEE" w:rsidP="00B76AEE">
            <w:pPr>
              <w:jc w:val="right"/>
              <w:rPr>
                <w:color w:val="000000"/>
                <w:sz w:val="20"/>
                <w:lang w:val="es-ES"/>
              </w:rPr>
            </w:pPr>
            <w:r w:rsidRPr="00B76AEE">
              <w:rPr>
                <w:color w:val="000000"/>
                <w:sz w:val="20"/>
                <w:lang w:val="es-ES"/>
              </w:rPr>
              <w:t>25 000</w:t>
            </w:r>
          </w:p>
        </w:tc>
        <w:tc>
          <w:tcPr>
            <w:tcW w:w="1170" w:type="dxa"/>
            <w:tcBorders>
              <w:top w:val="nil"/>
              <w:left w:val="nil"/>
              <w:bottom w:val="single" w:sz="4" w:space="0" w:color="auto"/>
              <w:right w:val="single" w:sz="4" w:space="0" w:color="auto"/>
            </w:tcBorders>
            <w:shd w:val="clear" w:color="auto" w:fill="auto"/>
            <w:hideMark/>
          </w:tcPr>
          <w:p w14:paraId="7B067A90" w14:textId="77777777" w:rsidR="00B76AEE" w:rsidRPr="00B76AEE" w:rsidRDefault="00B76AEE" w:rsidP="00B76AEE">
            <w:pPr>
              <w:jc w:val="right"/>
              <w:rPr>
                <w:color w:val="000000"/>
                <w:sz w:val="20"/>
                <w:lang w:val="es-ES"/>
              </w:rPr>
            </w:pPr>
            <w:r w:rsidRPr="00B76AEE">
              <w:rPr>
                <w:color w:val="000000"/>
                <w:sz w:val="20"/>
                <w:lang w:val="es-ES"/>
              </w:rPr>
              <w:t>5 000</w:t>
            </w:r>
          </w:p>
        </w:tc>
        <w:tc>
          <w:tcPr>
            <w:tcW w:w="1096" w:type="dxa"/>
            <w:tcBorders>
              <w:top w:val="nil"/>
              <w:left w:val="nil"/>
              <w:bottom w:val="single" w:sz="4" w:space="0" w:color="auto"/>
              <w:right w:val="single" w:sz="4" w:space="0" w:color="auto"/>
            </w:tcBorders>
            <w:shd w:val="clear" w:color="auto" w:fill="auto"/>
            <w:hideMark/>
          </w:tcPr>
          <w:p w14:paraId="4298F2A7" w14:textId="77777777" w:rsidR="00B76AEE" w:rsidRPr="00B76AEE" w:rsidRDefault="00B76AEE" w:rsidP="00B76AEE">
            <w:pPr>
              <w:jc w:val="right"/>
              <w:rPr>
                <w:color w:val="000000"/>
                <w:sz w:val="20"/>
                <w:lang w:val="es-ES"/>
              </w:rPr>
            </w:pPr>
            <w:r w:rsidRPr="00B76AEE">
              <w:rPr>
                <w:color w:val="000000"/>
                <w:sz w:val="20"/>
                <w:lang w:val="es-ES"/>
              </w:rPr>
              <w:t>25 000</w:t>
            </w:r>
          </w:p>
        </w:tc>
      </w:tr>
      <w:tr w:rsidR="00B76AEE" w:rsidRPr="00B76AEE" w14:paraId="38E38AA1"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B1EE0AC" w14:textId="77777777" w:rsidR="00B76AEE" w:rsidRPr="00B76AEE" w:rsidRDefault="00B76AEE" w:rsidP="00B76AEE">
            <w:pPr>
              <w:jc w:val="left"/>
              <w:rPr>
                <w:color w:val="000000"/>
                <w:sz w:val="20"/>
                <w:lang w:val="es-ES"/>
              </w:rPr>
            </w:pPr>
            <w:r w:rsidRPr="00B76AEE">
              <w:rPr>
                <w:color w:val="000000"/>
                <w:sz w:val="20"/>
                <w:lang w:val="es-ES"/>
              </w:rPr>
              <w:t>Reembolso de servicios centrales para personal de unidad central</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4A9E06EB" w14:textId="77777777" w:rsidR="00B76AEE" w:rsidRPr="00B76AEE" w:rsidRDefault="00B76AEE" w:rsidP="00B76AEE">
            <w:pPr>
              <w:jc w:val="right"/>
              <w:rPr>
                <w:color w:val="000000"/>
                <w:sz w:val="20"/>
                <w:lang w:val="es-ES"/>
              </w:rPr>
            </w:pPr>
            <w:r w:rsidRPr="00B76AEE">
              <w:rPr>
                <w:color w:val="000000"/>
                <w:sz w:val="20"/>
                <w:lang w:val="es-ES"/>
              </w:rPr>
              <w:t>381 004</w:t>
            </w:r>
          </w:p>
        </w:tc>
        <w:tc>
          <w:tcPr>
            <w:tcW w:w="1096" w:type="dxa"/>
            <w:tcBorders>
              <w:top w:val="nil"/>
              <w:left w:val="nil"/>
              <w:bottom w:val="single" w:sz="4" w:space="0" w:color="auto"/>
              <w:right w:val="single" w:sz="4" w:space="0" w:color="auto"/>
            </w:tcBorders>
            <w:shd w:val="clear" w:color="auto" w:fill="auto"/>
            <w:hideMark/>
          </w:tcPr>
          <w:p w14:paraId="2B7C41E9" w14:textId="77777777" w:rsidR="00B76AEE" w:rsidRPr="00B76AEE" w:rsidRDefault="00B76AEE" w:rsidP="00B76AEE">
            <w:pPr>
              <w:jc w:val="right"/>
              <w:rPr>
                <w:color w:val="000000"/>
                <w:sz w:val="20"/>
                <w:lang w:val="es-ES"/>
              </w:rPr>
            </w:pPr>
            <w:r w:rsidRPr="00B76AEE">
              <w:rPr>
                <w:color w:val="000000"/>
                <w:sz w:val="20"/>
                <w:lang w:val="es-ES"/>
              </w:rPr>
              <w:t>240 968</w:t>
            </w:r>
          </w:p>
        </w:tc>
        <w:tc>
          <w:tcPr>
            <w:tcW w:w="1096" w:type="dxa"/>
            <w:tcBorders>
              <w:top w:val="nil"/>
              <w:left w:val="single" w:sz="4" w:space="0" w:color="auto"/>
              <w:bottom w:val="single" w:sz="4" w:space="0" w:color="auto"/>
              <w:right w:val="single" w:sz="4" w:space="0" w:color="auto"/>
            </w:tcBorders>
            <w:shd w:val="clear" w:color="auto" w:fill="auto"/>
            <w:hideMark/>
          </w:tcPr>
          <w:p w14:paraId="58F947A2" w14:textId="77777777" w:rsidR="00B76AEE" w:rsidRPr="00B76AEE" w:rsidRDefault="00B76AEE" w:rsidP="00B76AEE">
            <w:pPr>
              <w:jc w:val="right"/>
              <w:rPr>
                <w:color w:val="000000"/>
                <w:sz w:val="20"/>
                <w:lang w:val="es-ES"/>
              </w:rPr>
            </w:pPr>
            <w:r w:rsidRPr="00B76AEE">
              <w:rPr>
                <w:color w:val="000000"/>
                <w:sz w:val="20"/>
                <w:lang w:val="es-ES"/>
              </w:rPr>
              <w:t>251 221</w:t>
            </w:r>
          </w:p>
        </w:tc>
        <w:tc>
          <w:tcPr>
            <w:tcW w:w="1096" w:type="dxa"/>
            <w:tcBorders>
              <w:top w:val="nil"/>
              <w:left w:val="nil"/>
              <w:bottom w:val="single" w:sz="4" w:space="0" w:color="auto"/>
              <w:right w:val="single" w:sz="4" w:space="0" w:color="auto"/>
            </w:tcBorders>
            <w:shd w:val="clear" w:color="auto" w:fill="auto"/>
            <w:hideMark/>
          </w:tcPr>
          <w:p w14:paraId="6E3DF055" w14:textId="77777777" w:rsidR="00B76AEE" w:rsidRPr="00B76AEE" w:rsidRDefault="00B76AEE" w:rsidP="00B76AEE">
            <w:pPr>
              <w:jc w:val="right"/>
              <w:rPr>
                <w:color w:val="000000"/>
                <w:sz w:val="20"/>
                <w:lang w:val="es-ES"/>
              </w:rPr>
            </w:pPr>
            <w:r w:rsidRPr="00B76AEE">
              <w:rPr>
                <w:color w:val="000000"/>
                <w:sz w:val="20"/>
                <w:lang w:val="es-ES"/>
              </w:rPr>
              <w:t>250 000</w:t>
            </w:r>
          </w:p>
        </w:tc>
        <w:tc>
          <w:tcPr>
            <w:tcW w:w="1170" w:type="dxa"/>
            <w:tcBorders>
              <w:top w:val="nil"/>
              <w:left w:val="nil"/>
              <w:bottom w:val="single" w:sz="4" w:space="0" w:color="auto"/>
              <w:right w:val="single" w:sz="4" w:space="0" w:color="auto"/>
            </w:tcBorders>
            <w:shd w:val="clear" w:color="auto" w:fill="auto"/>
            <w:hideMark/>
          </w:tcPr>
          <w:p w14:paraId="5939EEF4" w14:textId="77777777" w:rsidR="00B76AEE" w:rsidRPr="00B76AEE" w:rsidRDefault="00B76AEE" w:rsidP="00B76AEE">
            <w:pPr>
              <w:jc w:val="right"/>
              <w:rPr>
                <w:color w:val="000000"/>
                <w:sz w:val="20"/>
                <w:lang w:val="es-ES"/>
              </w:rPr>
            </w:pPr>
            <w:r w:rsidRPr="00B76AEE">
              <w:rPr>
                <w:color w:val="000000"/>
                <w:sz w:val="20"/>
                <w:lang w:val="es-ES"/>
              </w:rPr>
              <w:t>250 000</w:t>
            </w:r>
          </w:p>
        </w:tc>
        <w:tc>
          <w:tcPr>
            <w:tcW w:w="1096" w:type="dxa"/>
            <w:tcBorders>
              <w:top w:val="nil"/>
              <w:left w:val="nil"/>
              <w:bottom w:val="single" w:sz="4" w:space="0" w:color="auto"/>
              <w:right w:val="single" w:sz="4" w:space="0" w:color="auto"/>
            </w:tcBorders>
            <w:shd w:val="clear" w:color="auto" w:fill="auto"/>
            <w:hideMark/>
          </w:tcPr>
          <w:p w14:paraId="1E90ED12" w14:textId="77777777" w:rsidR="00B76AEE" w:rsidRPr="00B76AEE" w:rsidRDefault="00B76AEE" w:rsidP="00B76AEE">
            <w:pPr>
              <w:jc w:val="right"/>
              <w:rPr>
                <w:color w:val="000000"/>
                <w:sz w:val="20"/>
                <w:lang w:val="es-ES"/>
              </w:rPr>
            </w:pPr>
            <w:r w:rsidRPr="00B76AEE">
              <w:rPr>
                <w:color w:val="000000"/>
                <w:sz w:val="20"/>
                <w:lang w:val="es-ES"/>
              </w:rPr>
              <w:t>250 000</w:t>
            </w:r>
          </w:p>
        </w:tc>
      </w:tr>
      <w:tr w:rsidR="00B76AEE" w:rsidRPr="00B76AEE" w14:paraId="0CEC289B"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C4A1A15" w14:textId="77777777" w:rsidR="00B76AEE" w:rsidRPr="00B76AEE" w:rsidRDefault="00B76AEE" w:rsidP="00B76AEE">
            <w:pPr>
              <w:jc w:val="left"/>
              <w:rPr>
                <w:color w:val="000000"/>
                <w:sz w:val="20"/>
                <w:lang w:val="es-ES"/>
              </w:rPr>
            </w:pPr>
            <w:r w:rsidRPr="00B76AEE">
              <w:rPr>
                <w:color w:val="000000"/>
                <w:sz w:val="20"/>
                <w:lang w:val="es-ES"/>
              </w:rPr>
              <w:t>Ajustes (+ = subutilizado y -= excedido)</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11D75812" w14:textId="77777777" w:rsidR="00B76AEE" w:rsidRPr="00B76AEE" w:rsidRDefault="00B76AEE" w:rsidP="00B76AEE">
            <w:pPr>
              <w:jc w:val="right"/>
              <w:rPr>
                <w:color w:val="000000"/>
                <w:sz w:val="20"/>
                <w:lang w:val="es-ES"/>
              </w:rPr>
            </w:pPr>
            <w:r w:rsidRPr="00B76AEE">
              <w:rPr>
                <w:color w:val="000000"/>
                <w:sz w:val="20"/>
                <w:lang w:val="es-ES"/>
              </w:rPr>
              <w:t>-1 053 880</w:t>
            </w:r>
          </w:p>
        </w:tc>
        <w:tc>
          <w:tcPr>
            <w:tcW w:w="1096" w:type="dxa"/>
            <w:tcBorders>
              <w:top w:val="nil"/>
              <w:left w:val="nil"/>
              <w:bottom w:val="single" w:sz="4" w:space="0" w:color="auto"/>
              <w:right w:val="single" w:sz="4" w:space="0" w:color="auto"/>
            </w:tcBorders>
            <w:shd w:val="clear" w:color="auto" w:fill="auto"/>
            <w:hideMark/>
          </w:tcPr>
          <w:p w14:paraId="0D5A661C" w14:textId="77777777" w:rsidR="00B76AEE" w:rsidRPr="00B76AEE" w:rsidRDefault="00B76AEE" w:rsidP="00B76AEE">
            <w:pPr>
              <w:jc w:val="right"/>
              <w:rPr>
                <w:color w:val="000000"/>
                <w:sz w:val="20"/>
                <w:lang w:val="es-ES"/>
              </w:rPr>
            </w:pPr>
            <w:r w:rsidRPr="00B76AEE">
              <w:rPr>
                <w:color w:val="000000"/>
                <w:sz w:val="20"/>
                <w:lang w:val="es-ES"/>
              </w:rPr>
              <w:t>-904 918</w:t>
            </w:r>
          </w:p>
        </w:tc>
        <w:tc>
          <w:tcPr>
            <w:tcW w:w="1096" w:type="dxa"/>
            <w:tcBorders>
              <w:top w:val="nil"/>
              <w:left w:val="single" w:sz="4" w:space="0" w:color="auto"/>
              <w:bottom w:val="single" w:sz="4" w:space="0" w:color="auto"/>
              <w:right w:val="single" w:sz="4" w:space="0" w:color="auto"/>
            </w:tcBorders>
            <w:shd w:val="clear" w:color="auto" w:fill="auto"/>
            <w:hideMark/>
          </w:tcPr>
          <w:p w14:paraId="600C0328" w14:textId="77777777" w:rsidR="00B76AEE" w:rsidRPr="00B76AEE" w:rsidRDefault="00B76AEE" w:rsidP="00B76AEE">
            <w:pPr>
              <w:jc w:val="right"/>
              <w:rPr>
                <w:color w:val="000000"/>
                <w:sz w:val="20"/>
                <w:lang w:val="es-ES"/>
              </w:rPr>
            </w:pPr>
            <w:r w:rsidRPr="00B76AEE">
              <w:rPr>
                <w:color w:val="000000"/>
                <w:sz w:val="20"/>
                <w:lang w:val="es-ES"/>
              </w:rPr>
              <w:t>-601 414</w:t>
            </w:r>
          </w:p>
        </w:tc>
        <w:tc>
          <w:tcPr>
            <w:tcW w:w="1096" w:type="dxa"/>
            <w:tcBorders>
              <w:top w:val="nil"/>
              <w:left w:val="nil"/>
              <w:bottom w:val="single" w:sz="4" w:space="0" w:color="auto"/>
              <w:right w:val="single" w:sz="4" w:space="0" w:color="auto"/>
            </w:tcBorders>
            <w:shd w:val="clear" w:color="auto" w:fill="auto"/>
            <w:hideMark/>
          </w:tcPr>
          <w:p w14:paraId="47E1FE35" w14:textId="77777777" w:rsidR="00B76AEE" w:rsidRPr="00B76AEE" w:rsidRDefault="00B76AEE" w:rsidP="00B76AEE">
            <w:pPr>
              <w:ind w:left="-120"/>
              <w:jc w:val="right"/>
              <w:rPr>
                <w:color w:val="000000"/>
                <w:sz w:val="20"/>
                <w:lang w:val="es-ES"/>
              </w:rPr>
            </w:pPr>
            <w:r w:rsidRPr="00B76AEE">
              <w:rPr>
                <w:color w:val="000000"/>
                <w:sz w:val="20"/>
                <w:lang w:val="es-ES"/>
              </w:rPr>
              <w:t>-1 015 528</w:t>
            </w:r>
          </w:p>
        </w:tc>
        <w:tc>
          <w:tcPr>
            <w:tcW w:w="1170" w:type="dxa"/>
            <w:tcBorders>
              <w:top w:val="nil"/>
              <w:left w:val="nil"/>
              <w:bottom w:val="single" w:sz="4" w:space="0" w:color="auto"/>
              <w:right w:val="single" w:sz="4" w:space="0" w:color="auto"/>
            </w:tcBorders>
            <w:shd w:val="clear" w:color="auto" w:fill="auto"/>
            <w:hideMark/>
          </w:tcPr>
          <w:p w14:paraId="43E20794" w14:textId="77777777" w:rsidR="00B76AEE" w:rsidRPr="00B76AEE" w:rsidRDefault="00B76AEE" w:rsidP="00B76AEE">
            <w:pPr>
              <w:jc w:val="right"/>
              <w:rPr>
                <w:color w:val="000000"/>
                <w:sz w:val="20"/>
                <w:lang w:val="es-ES"/>
              </w:rPr>
            </w:pPr>
            <w:r w:rsidRPr="00B76AEE">
              <w:rPr>
                <w:color w:val="000000"/>
                <w:sz w:val="20"/>
                <w:lang w:val="es-ES"/>
              </w:rPr>
              <w:t>-673 909</w:t>
            </w:r>
          </w:p>
        </w:tc>
        <w:tc>
          <w:tcPr>
            <w:tcW w:w="1096" w:type="dxa"/>
            <w:tcBorders>
              <w:top w:val="nil"/>
              <w:left w:val="nil"/>
              <w:bottom w:val="single" w:sz="4" w:space="0" w:color="auto"/>
              <w:right w:val="single" w:sz="4" w:space="0" w:color="auto"/>
            </w:tcBorders>
            <w:shd w:val="clear" w:color="auto" w:fill="auto"/>
            <w:hideMark/>
          </w:tcPr>
          <w:p w14:paraId="514987D0" w14:textId="77777777" w:rsidR="00B76AEE" w:rsidRPr="00B76AEE" w:rsidRDefault="00B76AEE" w:rsidP="00B76AEE">
            <w:pPr>
              <w:jc w:val="right"/>
              <w:rPr>
                <w:color w:val="000000"/>
                <w:sz w:val="20"/>
                <w:lang w:val="es-ES"/>
              </w:rPr>
            </w:pPr>
            <w:r w:rsidRPr="00B76AEE">
              <w:rPr>
                <w:color w:val="000000"/>
                <w:sz w:val="20"/>
                <w:lang w:val="es-ES"/>
              </w:rPr>
              <w:t>-895 186</w:t>
            </w:r>
          </w:p>
        </w:tc>
      </w:tr>
      <w:tr w:rsidR="00B76AEE" w:rsidRPr="00B76AEE" w14:paraId="14A357CB"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DE8751" w14:textId="77777777" w:rsidR="00B76AEE" w:rsidRPr="00B76AEE" w:rsidRDefault="00B76AEE" w:rsidP="00B76AEE">
            <w:pPr>
              <w:jc w:val="left"/>
              <w:rPr>
                <w:color w:val="000000"/>
                <w:sz w:val="20"/>
                <w:lang w:val="es-ES"/>
              </w:rPr>
            </w:pPr>
            <w:r w:rsidRPr="00B76AEE">
              <w:rPr>
                <w:color w:val="000000"/>
                <w:sz w:val="20"/>
                <w:lang w:val="es-ES"/>
              </w:rPr>
              <w:t>Devolución de fondos (- = fondos devueltos)</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25FA136E"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05C8371C"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single" w:sz="4" w:space="0" w:color="auto"/>
              <w:bottom w:val="single" w:sz="4" w:space="0" w:color="auto"/>
              <w:right w:val="single" w:sz="4" w:space="0" w:color="auto"/>
            </w:tcBorders>
            <w:shd w:val="clear" w:color="auto" w:fill="auto"/>
            <w:hideMark/>
          </w:tcPr>
          <w:p w14:paraId="6CF6DFF9" w14:textId="77777777" w:rsidR="00B76AEE" w:rsidRPr="00B76AEE" w:rsidRDefault="00B76AEE" w:rsidP="00B76AEE">
            <w:pPr>
              <w:jc w:val="right"/>
              <w:rPr>
                <w:color w:val="000000"/>
                <w:sz w:val="20"/>
                <w:lang w:val="es-ES"/>
              </w:rPr>
            </w:pPr>
            <w:r w:rsidRPr="00B76AEE">
              <w:rPr>
                <w:color w:val="000000"/>
                <w:sz w:val="20"/>
                <w:lang w:val="es-ES"/>
              </w:rPr>
              <w:t>-32 878**</w:t>
            </w:r>
          </w:p>
        </w:tc>
        <w:tc>
          <w:tcPr>
            <w:tcW w:w="1096" w:type="dxa"/>
            <w:tcBorders>
              <w:top w:val="nil"/>
              <w:left w:val="nil"/>
              <w:bottom w:val="single" w:sz="4" w:space="0" w:color="auto"/>
              <w:right w:val="single" w:sz="4" w:space="0" w:color="auto"/>
            </w:tcBorders>
            <w:shd w:val="clear" w:color="auto" w:fill="auto"/>
            <w:hideMark/>
          </w:tcPr>
          <w:p w14:paraId="55FB3324" w14:textId="77777777" w:rsidR="00B76AEE" w:rsidRPr="00B76AEE" w:rsidRDefault="00B76AEE" w:rsidP="00B76AEE">
            <w:pPr>
              <w:jc w:val="right"/>
              <w:rPr>
                <w:color w:val="000000"/>
                <w:sz w:val="20"/>
                <w:lang w:val="es-ES"/>
              </w:rPr>
            </w:pPr>
            <w:r w:rsidRPr="00B76AEE">
              <w:rPr>
                <w:color w:val="000000"/>
                <w:sz w:val="20"/>
                <w:lang w:val="es-ES"/>
              </w:rPr>
              <w:t>0</w:t>
            </w:r>
          </w:p>
        </w:tc>
        <w:tc>
          <w:tcPr>
            <w:tcW w:w="1170" w:type="dxa"/>
            <w:tcBorders>
              <w:top w:val="nil"/>
              <w:left w:val="nil"/>
              <w:bottom w:val="single" w:sz="4" w:space="0" w:color="auto"/>
              <w:right w:val="single" w:sz="4" w:space="0" w:color="auto"/>
            </w:tcBorders>
            <w:shd w:val="clear" w:color="auto" w:fill="auto"/>
            <w:hideMark/>
          </w:tcPr>
          <w:p w14:paraId="20E5C445"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29A75CE4" w14:textId="77777777" w:rsidR="00B76AEE" w:rsidRPr="00B76AEE" w:rsidRDefault="00B76AEE" w:rsidP="00B76AEE">
            <w:pPr>
              <w:jc w:val="right"/>
              <w:rPr>
                <w:color w:val="000000"/>
                <w:sz w:val="20"/>
                <w:lang w:val="es-ES"/>
              </w:rPr>
            </w:pPr>
            <w:r w:rsidRPr="00B76AEE">
              <w:rPr>
                <w:color w:val="000000"/>
                <w:sz w:val="20"/>
                <w:lang w:val="es-ES"/>
              </w:rPr>
              <w:t> </w:t>
            </w:r>
          </w:p>
        </w:tc>
      </w:tr>
      <w:tr w:rsidR="00B76AEE" w:rsidRPr="00B76AEE" w14:paraId="17DDE317"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96BCCBA" w14:textId="77777777" w:rsidR="00B76AEE" w:rsidRPr="00B76AEE" w:rsidRDefault="00B76AEE" w:rsidP="00B76AEE">
            <w:pPr>
              <w:jc w:val="left"/>
              <w:rPr>
                <w:b/>
                <w:bCs/>
                <w:color w:val="000000"/>
                <w:sz w:val="20"/>
                <w:lang w:val="es-ES"/>
              </w:rPr>
            </w:pPr>
            <w:r w:rsidRPr="00B76AEE">
              <w:rPr>
                <w:b/>
                <w:color w:val="000000"/>
                <w:sz w:val="20"/>
                <w:lang w:val="es-ES"/>
              </w:rPr>
              <w:t>A. Subtotal de costos de unidad central*</w:t>
            </w:r>
          </w:p>
        </w:tc>
        <w:tc>
          <w:tcPr>
            <w:tcW w:w="1096" w:type="dxa"/>
            <w:tcBorders>
              <w:top w:val="nil"/>
              <w:left w:val="nil"/>
              <w:bottom w:val="single" w:sz="4" w:space="0" w:color="auto"/>
              <w:right w:val="single" w:sz="4" w:space="0" w:color="auto"/>
            </w:tcBorders>
            <w:shd w:val="clear" w:color="auto" w:fill="auto"/>
            <w:tcMar>
              <w:left w:w="0" w:type="dxa"/>
              <w:right w:w="115" w:type="dxa"/>
            </w:tcMar>
            <w:hideMark/>
          </w:tcPr>
          <w:p w14:paraId="1799EE70" w14:textId="77777777" w:rsidR="00B76AEE" w:rsidRPr="00B76AEE" w:rsidRDefault="00B76AEE" w:rsidP="00B76AEE">
            <w:pPr>
              <w:jc w:val="right"/>
              <w:rPr>
                <w:b/>
                <w:bCs/>
                <w:color w:val="000000"/>
                <w:sz w:val="20"/>
                <w:lang w:val="es-ES"/>
              </w:rPr>
            </w:pPr>
            <w:r w:rsidRPr="00B76AEE">
              <w:rPr>
                <w:b/>
                <w:color w:val="000000"/>
                <w:sz w:val="20"/>
                <w:lang w:val="es-ES"/>
              </w:rPr>
              <w:t>2 069 385</w:t>
            </w:r>
          </w:p>
        </w:tc>
        <w:tc>
          <w:tcPr>
            <w:tcW w:w="1096" w:type="dxa"/>
            <w:tcBorders>
              <w:top w:val="nil"/>
              <w:left w:val="nil"/>
              <w:bottom w:val="single" w:sz="4" w:space="0" w:color="auto"/>
              <w:right w:val="single" w:sz="4" w:space="0" w:color="auto"/>
            </w:tcBorders>
            <w:shd w:val="clear" w:color="auto" w:fill="auto"/>
            <w:hideMark/>
          </w:tcPr>
          <w:p w14:paraId="075D03A0" w14:textId="77777777" w:rsidR="00B76AEE" w:rsidRPr="00B76AEE" w:rsidRDefault="00B76AEE" w:rsidP="00B76AEE">
            <w:pPr>
              <w:jc w:val="right"/>
              <w:rPr>
                <w:b/>
                <w:bCs/>
                <w:color w:val="000000"/>
                <w:sz w:val="20"/>
                <w:lang w:val="es-ES"/>
              </w:rPr>
            </w:pPr>
            <w:r w:rsidRPr="00B76AEE">
              <w:rPr>
                <w:b/>
                <w:color w:val="000000"/>
                <w:sz w:val="20"/>
                <w:lang w:val="es-ES"/>
              </w:rPr>
              <w:t>2 083 871</w:t>
            </w:r>
          </w:p>
        </w:tc>
        <w:tc>
          <w:tcPr>
            <w:tcW w:w="1096" w:type="dxa"/>
            <w:tcBorders>
              <w:top w:val="nil"/>
              <w:left w:val="single" w:sz="4" w:space="0" w:color="auto"/>
              <w:bottom w:val="single" w:sz="4" w:space="0" w:color="auto"/>
              <w:right w:val="single" w:sz="4" w:space="0" w:color="auto"/>
            </w:tcBorders>
            <w:shd w:val="clear" w:color="auto" w:fill="auto"/>
            <w:hideMark/>
          </w:tcPr>
          <w:p w14:paraId="1660C8CD" w14:textId="77777777" w:rsidR="00B76AEE" w:rsidRPr="00B76AEE" w:rsidRDefault="00B76AEE" w:rsidP="00B76AEE">
            <w:pPr>
              <w:jc w:val="right"/>
              <w:rPr>
                <w:b/>
                <w:bCs/>
                <w:color w:val="000000"/>
                <w:sz w:val="20"/>
                <w:lang w:val="es-ES"/>
              </w:rPr>
            </w:pPr>
            <w:r w:rsidRPr="00B76AEE">
              <w:rPr>
                <w:b/>
                <w:color w:val="000000"/>
                <w:sz w:val="20"/>
                <w:lang w:val="es-ES"/>
              </w:rPr>
              <w:t>2 098 458</w:t>
            </w:r>
          </w:p>
        </w:tc>
        <w:tc>
          <w:tcPr>
            <w:tcW w:w="1096" w:type="dxa"/>
            <w:tcBorders>
              <w:top w:val="nil"/>
              <w:left w:val="nil"/>
              <w:bottom w:val="single" w:sz="4" w:space="0" w:color="auto"/>
              <w:right w:val="single" w:sz="4" w:space="0" w:color="auto"/>
            </w:tcBorders>
            <w:shd w:val="clear" w:color="auto" w:fill="auto"/>
            <w:hideMark/>
          </w:tcPr>
          <w:p w14:paraId="1A041261" w14:textId="77777777" w:rsidR="00B76AEE" w:rsidRPr="00B76AEE" w:rsidRDefault="00B76AEE" w:rsidP="00B76AEE">
            <w:pPr>
              <w:jc w:val="right"/>
              <w:rPr>
                <w:b/>
                <w:bCs/>
                <w:color w:val="000000"/>
                <w:sz w:val="20"/>
                <w:lang w:val="es-ES"/>
              </w:rPr>
            </w:pPr>
            <w:r w:rsidRPr="00B76AEE">
              <w:rPr>
                <w:b/>
                <w:color w:val="000000"/>
                <w:sz w:val="20"/>
                <w:lang w:val="es-ES"/>
              </w:rPr>
              <w:t>2 113 148</w:t>
            </w:r>
          </w:p>
        </w:tc>
        <w:tc>
          <w:tcPr>
            <w:tcW w:w="1170" w:type="dxa"/>
            <w:tcBorders>
              <w:top w:val="nil"/>
              <w:left w:val="nil"/>
              <w:bottom w:val="single" w:sz="4" w:space="0" w:color="auto"/>
              <w:right w:val="single" w:sz="4" w:space="0" w:color="auto"/>
            </w:tcBorders>
            <w:shd w:val="clear" w:color="auto" w:fill="auto"/>
            <w:hideMark/>
          </w:tcPr>
          <w:p w14:paraId="2941C5AB" w14:textId="77777777" w:rsidR="00B76AEE" w:rsidRPr="00B76AEE" w:rsidRDefault="00B76AEE" w:rsidP="00B76AEE">
            <w:pPr>
              <w:jc w:val="right"/>
              <w:rPr>
                <w:b/>
                <w:bCs/>
                <w:color w:val="000000"/>
                <w:sz w:val="20"/>
                <w:lang w:val="es-ES"/>
              </w:rPr>
            </w:pPr>
            <w:r w:rsidRPr="00B76AEE">
              <w:rPr>
                <w:b/>
                <w:color w:val="000000"/>
                <w:sz w:val="20"/>
                <w:lang w:val="es-ES"/>
              </w:rPr>
              <w:t>2 113 148</w:t>
            </w:r>
          </w:p>
        </w:tc>
        <w:tc>
          <w:tcPr>
            <w:tcW w:w="1096" w:type="dxa"/>
            <w:tcBorders>
              <w:top w:val="nil"/>
              <w:left w:val="nil"/>
              <w:bottom w:val="single" w:sz="4" w:space="0" w:color="auto"/>
              <w:right w:val="single" w:sz="4" w:space="0" w:color="auto"/>
            </w:tcBorders>
            <w:shd w:val="clear" w:color="auto" w:fill="auto"/>
            <w:hideMark/>
          </w:tcPr>
          <w:p w14:paraId="5B48EDF6" w14:textId="77777777" w:rsidR="00B76AEE" w:rsidRPr="00B76AEE" w:rsidRDefault="00B76AEE" w:rsidP="00B76AEE">
            <w:pPr>
              <w:jc w:val="right"/>
              <w:rPr>
                <w:b/>
                <w:color w:val="000000"/>
                <w:sz w:val="20"/>
                <w:lang w:val="es-ES"/>
              </w:rPr>
            </w:pPr>
            <w:r w:rsidRPr="00B76AEE">
              <w:rPr>
                <w:b/>
                <w:color w:val="000000"/>
                <w:sz w:val="20"/>
                <w:lang w:val="es-ES"/>
              </w:rPr>
              <w:t>2 127 940</w:t>
            </w:r>
          </w:p>
        </w:tc>
      </w:tr>
      <w:tr w:rsidR="00B76AEE" w:rsidRPr="00B76AEE" w14:paraId="52A95CE7"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65DB256" w14:textId="77777777" w:rsidR="00B76AEE" w:rsidRPr="00B76AEE" w:rsidRDefault="00B76AEE" w:rsidP="00B76AEE">
            <w:pPr>
              <w:jc w:val="left"/>
              <w:rPr>
                <w:color w:val="000000"/>
                <w:sz w:val="20"/>
                <w:lang w:val="es-ES"/>
              </w:rPr>
            </w:pPr>
            <w:r w:rsidRPr="00B76AEE">
              <w:rPr>
                <w:color w:val="000000"/>
                <w:sz w:val="20"/>
                <w:lang w:val="es-ES"/>
              </w:rPr>
              <w:t>Reembolsos a las oficinas en los países y por ejecución nacional, incluidos gastos generales</w:t>
            </w:r>
          </w:p>
        </w:tc>
        <w:tc>
          <w:tcPr>
            <w:tcW w:w="1096" w:type="dxa"/>
            <w:tcBorders>
              <w:top w:val="nil"/>
              <w:left w:val="nil"/>
              <w:bottom w:val="single" w:sz="4" w:space="0" w:color="auto"/>
              <w:right w:val="single" w:sz="4" w:space="0" w:color="auto"/>
            </w:tcBorders>
            <w:shd w:val="clear" w:color="auto" w:fill="auto"/>
            <w:hideMark/>
          </w:tcPr>
          <w:p w14:paraId="438F63EF" w14:textId="77777777" w:rsidR="00B76AEE" w:rsidRPr="00B76AEE" w:rsidRDefault="00B76AEE" w:rsidP="00B76AEE">
            <w:pPr>
              <w:jc w:val="right"/>
              <w:rPr>
                <w:color w:val="000000"/>
                <w:sz w:val="20"/>
                <w:lang w:val="es-ES"/>
              </w:rPr>
            </w:pPr>
            <w:r w:rsidRPr="00B76AEE">
              <w:rPr>
                <w:color w:val="000000"/>
                <w:sz w:val="20"/>
                <w:lang w:val="es-ES"/>
              </w:rPr>
              <w:t>2 214 588</w:t>
            </w:r>
          </w:p>
        </w:tc>
        <w:tc>
          <w:tcPr>
            <w:tcW w:w="1096" w:type="dxa"/>
            <w:tcBorders>
              <w:top w:val="nil"/>
              <w:left w:val="nil"/>
              <w:bottom w:val="single" w:sz="4" w:space="0" w:color="auto"/>
              <w:right w:val="single" w:sz="4" w:space="0" w:color="auto"/>
            </w:tcBorders>
            <w:shd w:val="clear" w:color="auto" w:fill="auto"/>
            <w:hideMark/>
          </w:tcPr>
          <w:p w14:paraId="6EF9A7BB" w14:textId="77777777" w:rsidR="00B76AEE" w:rsidRPr="00B76AEE" w:rsidRDefault="00B76AEE" w:rsidP="00B76AEE">
            <w:pPr>
              <w:jc w:val="right"/>
              <w:rPr>
                <w:color w:val="000000"/>
                <w:sz w:val="20"/>
                <w:lang w:val="es-ES"/>
              </w:rPr>
            </w:pPr>
            <w:r w:rsidRPr="00B76AEE">
              <w:rPr>
                <w:color w:val="000000"/>
                <w:sz w:val="20"/>
                <w:lang w:val="es-ES"/>
              </w:rPr>
              <w:t>488 288</w:t>
            </w:r>
          </w:p>
        </w:tc>
        <w:tc>
          <w:tcPr>
            <w:tcW w:w="1096" w:type="dxa"/>
            <w:tcBorders>
              <w:top w:val="nil"/>
              <w:left w:val="single" w:sz="4" w:space="0" w:color="auto"/>
              <w:bottom w:val="single" w:sz="4" w:space="0" w:color="auto"/>
              <w:right w:val="single" w:sz="4" w:space="0" w:color="auto"/>
            </w:tcBorders>
            <w:shd w:val="clear" w:color="auto" w:fill="auto"/>
            <w:hideMark/>
          </w:tcPr>
          <w:p w14:paraId="7AA49DF3" w14:textId="77777777" w:rsidR="00B76AEE" w:rsidRPr="00B76AEE" w:rsidRDefault="00B76AEE" w:rsidP="00B76AEE">
            <w:pPr>
              <w:jc w:val="right"/>
              <w:rPr>
                <w:color w:val="000000"/>
                <w:sz w:val="20"/>
                <w:lang w:val="es-ES"/>
              </w:rPr>
            </w:pPr>
            <w:r w:rsidRPr="00B76AEE">
              <w:rPr>
                <w:color w:val="000000"/>
                <w:sz w:val="20"/>
                <w:lang w:val="es-ES"/>
              </w:rPr>
              <w:t>1 077 150</w:t>
            </w:r>
          </w:p>
        </w:tc>
        <w:tc>
          <w:tcPr>
            <w:tcW w:w="1096" w:type="dxa"/>
            <w:tcBorders>
              <w:top w:val="nil"/>
              <w:left w:val="nil"/>
              <w:bottom w:val="single" w:sz="4" w:space="0" w:color="auto"/>
              <w:right w:val="single" w:sz="4" w:space="0" w:color="auto"/>
            </w:tcBorders>
            <w:shd w:val="clear" w:color="auto" w:fill="auto"/>
            <w:hideMark/>
          </w:tcPr>
          <w:p w14:paraId="184C7E92" w14:textId="77777777" w:rsidR="00B76AEE" w:rsidRPr="00B76AEE" w:rsidRDefault="00B76AEE" w:rsidP="00B76AEE">
            <w:pPr>
              <w:jc w:val="right"/>
              <w:rPr>
                <w:color w:val="000000"/>
                <w:sz w:val="20"/>
                <w:lang w:val="es-ES"/>
              </w:rPr>
            </w:pPr>
            <w:r w:rsidRPr="00B76AEE">
              <w:rPr>
                <w:color w:val="000000"/>
                <w:sz w:val="20"/>
                <w:lang w:val="es-ES"/>
              </w:rPr>
              <w:t>742 500</w:t>
            </w:r>
          </w:p>
        </w:tc>
        <w:tc>
          <w:tcPr>
            <w:tcW w:w="1170" w:type="dxa"/>
            <w:tcBorders>
              <w:top w:val="nil"/>
              <w:left w:val="nil"/>
              <w:bottom w:val="single" w:sz="4" w:space="0" w:color="auto"/>
              <w:right w:val="single" w:sz="4" w:space="0" w:color="auto"/>
            </w:tcBorders>
            <w:shd w:val="clear" w:color="auto" w:fill="auto"/>
            <w:hideMark/>
          </w:tcPr>
          <w:p w14:paraId="49A0744A" w14:textId="77777777" w:rsidR="00B76AEE" w:rsidRPr="00B76AEE" w:rsidRDefault="00B76AEE" w:rsidP="00B76AEE">
            <w:pPr>
              <w:jc w:val="right"/>
              <w:rPr>
                <w:color w:val="000000"/>
                <w:sz w:val="20"/>
                <w:lang w:val="es-ES"/>
              </w:rPr>
            </w:pPr>
            <w:r w:rsidRPr="00B76AEE">
              <w:rPr>
                <w:color w:val="000000"/>
                <w:sz w:val="20"/>
                <w:lang w:val="es-ES"/>
              </w:rPr>
              <w:t>742 500</w:t>
            </w:r>
          </w:p>
        </w:tc>
        <w:tc>
          <w:tcPr>
            <w:tcW w:w="1096" w:type="dxa"/>
            <w:tcBorders>
              <w:top w:val="nil"/>
              <w:left w:val="nil"/>
              <w:bottom w:val="single" w:sz="4" w:space="0" w:color="auto"/>
              <w:right w:val="single" w:sz="4" w:space="0" w:color="auto"/>
            </w:tcBorders>
            <w:shd w:val="clear" w:color="auto" w:fill="auto"/>
            <w:hideMark/>
          </w:tcPr>
          <w:p w14:paraId="2B9A1F23" w14:textId="77777777" w:rsidR="00B76AEE" w:rsidRPr="00B76AEE" w:rsidRDefault="00B76AEE" w:rsidP="00B76AEE">
            <w:pPr>
              <w:jc w:val="right"/>
              <w:rPr>
                <w:color w:val="000000"/>
                <w:sz w:val="20"/>
                <w:lang w:val="es-ES"/>
              </w:rPr>
            </w:pPr>
            <w:r w:rsidRPr="00B76AEE">
              <w:rPr>
                <w:color w:val="000000"/>
                <w:sz w:val="20"/>
                <w:lang w:val="es-ES"/>
              </w:rPr>
              <w:t>742 500</w:t>
            </w:r>
          </w:p>
        </w:tc>
      </w:tr>
      <w:tr w:rsidR="00B76AEE" w:rsidRPr="00B76AEE" w14:paraId="0CB35118"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65DE5EE" w14:textId="77777777" w:rsidR="00B76AEE" w:rsidRPr="00B76AEE" w:rsidRDefault="00B76AEE" w:rsidP="00B76AEE">
            <w:pPr>
              <w:jc w:val="left"/>
              <w:rPr>
                <w:color w:val="000000"/>
                <w:sz w:val="20"/>
                <w:lang w:val="es-ES"/>
              </w:rPr>
            </w:pPr>
            <w:r w:rsidRPr="00B76AEE">
              <w:rPr>
                <w:color w:val="000000"/>
                <w:sz w:val="20"/>
                <w:lang w:val="es-ES"/>
              </w:rPr>
              <w:t>Gastos (internos) de apoyo del organismo de ejecución, incluidos gastos generales</w:t>
            </w:r>
          </w:p>
        </w:tc>
        <w:tc>
          <w:tcPr>
            <w:tcW w:w="1096" w:type="dxa"/>
            <w:tcBorders>
              <w:top w:val="nil"/>
              <w:left w:val="nil"/>
              <w:bottom w:val="single" w:sz="4" w:space="0" w:color="auto"/>
              <w:right w:val="single" w:sz="4" w:space="0" w:color="auto"/>
            </w:tcBorders>
            <w:shd w:val="clear" w:color="auto" w:fill="auto"/>
            <w:hideMark/>
          </w:tcPr>
          <w:p w14:paraId="1B4AB767"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1C6A9907"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single" w:sz="4" w:space="0" w:color="auto"/>
              <w:bottom w:val="single" w:sz="4" w:space="0" w:color="auto"/>
              <w:right w:val="single" w:sz="4" w:space="0" w:color="auto"/>
            </w:tcBorders>
            <w:shd w:val="clear" w:color="auto" w:fill="auto"/>
            <w:hideMark/>
          </w:tcPr>
          <w:p w14:paraId="407D5445" w14:textId="77777777" w:rsidR="00B76AEE" w:rsidRPr="00B76AEE" w:rsidRDefault="00B76AEE" w:rsidP="00B76AEE">
            <w:pPr>
              <w:jc w:val="right"/>
              <w:rPr>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2316B3C9" w14:textId="77777777" w:rsidR="00B76AEE" w:rsidRPr="00B76AEE" w:rsidRDefault="00B76AEE" w:rsidP="00B76AEE">
            <w:pPr>
              <w:jc w:val="right"/>
              <w:rPr>
                <w:color w:val="000000"/>
                <w:sz w:val="20"/>
                <w:lang w:val="es-ES"/>
              </w:rPr>
            </w:pPr>
            <w:r w:rsidRPr="00B76AEE">
              <w:rPr>
                <w:color w:val="000000"/>
                <w:sz w:val="20"/>
                <w:lang w:val="es-ES"/>
              </w:rPr>
              <w:t>0</w:t>
            </w:r>
          </w:p>
        </w:tc>
        <w:tc>
          <w:tcPr>
            <w:tcW w:w="1170" w:type="dxa"/>
            <w:tcBorders>
              <w:top w:val="nil"/>
              <w:left w:val="nil"/>
              <w:bottom w:val="single" w:sz="4" w:space="0" w:color="auto"/>
              <w:right w:val="single" w:sz="4" w:space="0" w:color="auto"/>
            </w:tcBorders>
            <w:shd w:val="clear" w:color="auto" w:fill="auto"/>
            <w:hideMark/>
          </w:tcPr>
          <w:p w14:paraId="38FBDBE5"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312FAAAC" w14:textId="77777777" w:rsidR="00B76AEE" w:rsidRPr="00B76AEE" w:rsidRDefault="00B76AEE" w:rsidP="00B76AEE">
            <w:pPr>
              <w:jc w:val="right"/>
              <w:rPr>
                <w:color w:val="000000"/>
                <w:sz w:val="20"/>
                <w:lang w:val="es-ES"/>
              </w:rPr>
            </w:pPr>
            <w:r w:rsidRPr="00B76AEE">
              <w:rPr>
                <w:color w:val="000000"/>
                <w:sz w:val="20"/>
                <w:lang w:val="es-ES"/>
              </w:rPr>
              <w:t>0</w:t>
            </w:r>
          </w:p>
        </w:tc>
      </w:tr>
      <w:tr w:rsidR="00B76AEE" w:rsidRPr="00B76AEE" w14:paraId="1E362D20"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63AB991" w14:textId="77777777" w:rsidR="00B76AEE" w:rsidRPr="00B76AEE" w:rsidRDefault="00B76AEE" w:rsidP="00B76AEE">
            <w:pPr>
              <w:jc w:val="left"/>
              <w:rPr>
                <w:color w:val="000000"/>
                <w:sz w:val="20"/>
                <w:lang w:val="es-ES"/>
              </w:rPr>
            </w:pPr>
            <w:r w:rsidRPr="00B76AEE">
              <w:rPr>
                <w:color w:val="000000"/>
                <w:sz w:val="20"/>
                <w:lang w:val="es-ES"/>
              </w:rPr>
              <w:lastRenderedPageBreak/>
              <w:t>Intermediarios financieros, incluidos gastos generales</w:t>
            </w:r>
          </w:p>
        </w:tc>
        <w:tc>
          <w:tcPr>
            <w:tcW w:w="1096" w:type="dxa"/>
            <w:tcBorders>
              <w:top w:val="nil"/>
              <w:left w:val="nil"/>
              <w:bottom w:val="single" w:sz="4" w:space="0" w:color="auto"/>
              <w:right w:val="single" w:sz="4" w:space="0" w:color="auto"/>
            </w:tcBorders>
            <w:shd w:val="clear" w:color="auto" w:fill="auto"/>
            <w:hideMark/>
          </w:tcPr>
          <w:p w14:paraId="25EDE431"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3257F096"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single" w:sz="4" w:space="0" w:color="auto"/>
              <w:bottom w:val="single" w:sz="4" w:space="0" w:color="auto"/>
              <w:right w:val="single" w:sz="4" w:space="0" w:color="auto"/>
            </w:tcBorders>
            <w:shd w:val="clear" w:color="auto" w:fill="auto"/>
            <w:hideMark/>
          </w:tcPr>
          <w:p w14:paraId="72B57A96" w14:textId="77777777" w:rsidR="00B76AEE" w:rsidRPr="00B76AEE" w:rsidRDefault="00B76AEE" w:rsidP="00B76AEE">
            <w:pPr>
              <w:jc w:val="right"/>
              <w:rPr>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372CD35D" w14:textId="77777777" w:rsidR="00B76AEE" w:rsidRPr="00B76AEE" w:rsidRDefault="00B76AEE" w:rsidP="00B76AEE">
            <w:pPr>
              <w:jc w:val="right"/>
              <w:rPr>
                <w:color w:val="000000"/>
                <w:sz w:val="20"/>
                <w:lang w:val="es-ES"/>
              </w:rPr>
            </w:pPr>
            <w:r w:rsidRPr="00B76AEE">
              <w:rPr>
                <w:color w:val="000000"/>
                <w:sz w:val="20"/>
                <w:lang w:val="es-ES"/>
              </w:rPr>
              <w:t>0</w:t>
            </w:r>
          </w:p>
        </w:tc>
        <w:tc>
          <w:tcPr>
            <w:tcW w:w="1170" w:type="dxa"/>
            <w:tcBorders>
              <w:top w:val="nil"/>
              <w:left w:val="nil"/>
              <w:bottom w:val="single" w:sz="4" w:space="0" w:color="auto"/>
              <w:right w:val="single" w:sz="4" w:space="0" w:color="auto"/>
            </w:tcBorders>
            <w:shd w:val="clear" w:color="auto" w:fill="auto"/>
            <w:hideMark/>
          </w:tcPr>
          <w:p w14:paraId="4DB56ED3"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44697EE7" w14:textId="77777777" w:rsidR="00B76AEE" w:rsidRPr="00B76AEE" w:rsidRDefault="00B76AEE" w:rsidP="00B76AEE">
            <w:pPr>
              <w:jc w:val="right"/>
              <w:rPr>
                <w:color w:val="000000"/>
                <w:sz w:val="20"/>
                <w:lang w:val="es-ES"/>
              </w:rPr>
            </w:pPr>
            <w:r w:rsidRPr="00B76AEE">
              <w:rPr>
                <w:color w:val="000000"/>
                <w:sz w:val="20"/>
                <w:lang w:val="es-ES"/>
              </w:rPr>
              <w:t>0</w:t>
            </w:r>
          </w:p>
        </w:tc>
      </w:tr>
      <w:tr w:rsidR="00B76AEE" w:rsidRPr="006050E8" w14:paraId="0B725485" w14:textId="77777777" w:rsidTr="00B76AEE">
        <w:trPr>
          <w:cantSplit/>
        </w:trPr>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F6DE9DC" w14:textId="77777777" w:rsidR="00B76AEE" w:rsidRPr="00B76AEE" w:rsidRDefault="00B76AEE" w:rsidP="00B76AEE">
            <w:pPr>
              <w:jc w:val="left"/>
              <w:rPr>
                <w:color w:val="000000"/>
                <w:sz w:val="20"/>
                <w:lang w:val="es-ES"/>
              </w:rPr>
            </w:pPr>
            <w:r w:rsidRPr="00B76AEE">
              <w:rPr>
                <w:color w:val="000000"/>
                <w:sz w:val="20"/>
                <w:lang w:val="es-ES"/>
              </w:rPr>
              <w:t>Reembolso de servicios centrales para personal de unidad central (incluidos gastos generales)</w:t>
            </w:r>
          </w:p>
        </w:tc>
        <w:tc>
          <w:tcPr>
            <w:tcW w:w="1096" w:type="dxa"/>
            <w:tcBorders>
              <w:top w:val="nil"/>
              <w:left w:val="nil"/>
              <w:bottom w:val="single" w:sz="4" w:space="0" w:color="auto"/>
              <w:right w:val="single" w:sz="4" w:space="0" w:color="auto"/>
            </w:tcBorders>
            <w:shd w:val="clear" w:color="auto" w:fill="auto"/>
            <w:hideMark/>
          </w:tcPr>
          <w:p w14:paraId="56B17077" w14:textId="77777777" w:rsidR="00B76AEE" w:rsidRPr="00B76AEE" w:rsidRDefault="00B76AEE" w:rsidP="00B76AEE">
            <w:pPr>
              <w:jc w:val="left"/>
              <w:rPr>
                <w:color w:val="000000"/>
                <w:sz w:val="20"/>
                <w:lang w:val="es-ES"/>
              </w:rPr>
            </w:pPr>
            <w:r w:rsidRPr="00B76AEE">
              <w:rPr>
                <w:color w:val="000000"/>
                <w:sz w:val="20"/>
                <w:lang w:val="es-ES"/>
              </w:rPr>
              <w:t> </w:t>
            </w:r>
          </w:p>
        </w:tc>
        <w:tc>
          <w:tcPr>
            <w:tcW w:w="1096" w:type="dxa"/>
            <w:tcBorders>
              <w:top w:val="nil"/>
              <w:left w:val="nil"/>
              <w:bottom w:val="single" w:sz="4" w:space="0" w:color="auto"/>
              <w:right w:val="single" w:sz="4" w:space="0" w:color="auto"/>
            </w:tcBorders>
            <w:shd w:val="clear" w:color="auto" w:fill="auto"/>
            <w:hideMark/>
          </w:tcPr>
          <w:p w14:paraId="7034735F" w14:textId="77777777" w:rsidR="00B76AEE" w:rsidRPr="00B76AEE" w:rsidRDefault="00B76AEE" w:rsidP="00B76AEE">
            <w:pPr>
              <w:jc w:val="right"/>
              <w:rPr>
                <w:color w:val="000000"/>
                <w:sz w:val="20"/>
                <w:lang w:val="es-ES"/>
              </w:rPr>
            </w:pPr>
            <w:r w:rsidRPr="00B76AEE">
              <w:rPr>
                <w:color w:val="000000"/>
                <w:sz w:val="20"/>
                <w:lang w:val="es-ES"/>
              </w:rPr>
              <w:t> </w:t>
            </w:r>
          </w:p>
        </w:tc>
        <w:tc>
          <w:tcPr>
            <w:tcW w:w="1096" w:type="dxa"/>
            <w:tcBorders>
              <w:top w:val="nil"/>
              <w:left w:val="single" w:sz="4" w:space="0" w:color="auto"/>
              <w:bottom w:val="single" w:sz="4" w:space="0" w:color="auto"/>
              <w:right w:val="single" w:sz="4" w:space="0" w:color="auto"/>
            </w:tcBorders>
            <w:shd w:val="clear" w:color="auto" w:fill="auto"/>
            <w:hideMark/>
          </w:tcPr>
          <w:p w14:paraId="273B042A" w14:textId="77777777" w:rsidR="00B76AEE" w:rsidRPr="00B76AEE" w:rsidRDefault="00B76AEE" w:rsidP="00B76AEE">
            <w:pPr>
              <w:jc w:val="right"/>
              <w:rPr>
                <w:color w:val="000000"/>
                <w:sz w:val="20"/>
                <w:lang w:val="es-ES"/>
              </w:rPr>
            </w:pPr>
            <w:r w:rsidRPr="00B76AEE">
              <w:rPr>
                <w:color w:val="000000"/>
                <w:sz w:val="20"/>
                <w:lang w:val="es-ES"/>
              </w:rPr>
              <w:t> </w:t>
            </w:r>
          </w:p>
        </w:tc>
        <w:tc>
          <w:tcPr>
            <w:tcW w:w="1096" w:type="dxa"/>
            <w:tcBorders>
              <w:top w:val="nil"/>
              <w:left w:val="nil"/>
              <w:bottom w:val="single" w:sz="4" w:space="0" w:color="auto"/>
              <w:right w:val="single" w:sz="4" w:space="0" w:color="auto"/>
            </w:tcBorders>
            <w:shd w:val="clear" w:color="auto" w:fill="auto"/>
            <w:hideMark/>
          </w:tcPr>
          <w:p w14:paraId="1E1B9474" w14:textId="77777777" w:rsidR="00B76AEE" w:rsidRPr="00B76AEE" w:rsidRDefault="00B76AEE" w:rsidP="00B76AEE">
            <w:pPr>
              <w:jc w:val="right"/>
              <w:rPr>
                <w:color w:val="000000"/>
                <w:sz w:val="20"/>
                <w:lang w:val="es-ES"/>
              </w:rPr>
            </w:pPr>
            <w:r w:rsidRPr="00B76AEE">
              <w:rPr>
                <w:color w:val="000000"/>
                <w:sz w:val="20"/>
                <w:lang w:val="es-ES"/>
              </w:rPr>
              <w:t> </w:t>
            </w:r>
          </w:p>
        </w:tc>
        <w:tc>
          <w:tcPr>
            <w:tcW w:w="1170" w:type="dxa"/>
            <w:tcBorders>
              <w:top w:val="nil"/>
              <w:left w:val="nil"/>
              <w:bottom w:val="single" w:sz="4" w:space="0" w:color="auto"/>
              <w:right w:val="single" w:sz="4" w:space="0" w:color="auto"/>
            </w:tcBorders>
            <w:shd w:val="clear" w:color="auto" w:fill="auto"/>
            <w:hideMark/>
          </w:tcPr>
          <w:p w14:paraId="231AEDC6" w14:textId="77777777" w:rsidR="00B76AEE" w:rsidRPr="00B76AEE" w:rsidRDefault="00B76AEE" w:rsidP="00B76AEE">
            <w:pPr>
              <w:jc w:val="right"/>
              <w:rPr>
                <w:color w:val="000000"/>
                <w:sz w:val="20"/>
                <w:lang w:val="es-ES"/>
              </w:rPr>
            </w:pPr>
            <w:r w:rsidRPr="00B76AEE">
              <w:rPr>
                <w:color w:val="000000"/>
                <w:sz w:val="20"/>
                <w:lang w:val="es-ES"/>
              </w:rPr>
              <w:t> </w:t>
            </w:r>
          </w:p>
        </w:tc>
        <w:tc>
          <w:tcPr>
            <w:tcW w:w="1096" w:type="dxa"/>
            <w:tcBorders>
              <w:top w:val="nil"/>
              <w:left w:val="nil"/>
              <w:bottom w:val="single" w:sz="4" w:space="0" w:color="auto"/>
              <w:right w:val="single" w:sz="4" w:space="0" w:color="auto"/>
            </w:tcBorders>
            <w:shd w:val="clear" w:color="auto" w:fill="auto"/>
            <w:hideMark/>
          </w:tcPr>
          <w:p w14:paraId="5B209148" w14:textId="77777777" w:rsidR="00B76AEE" w:rsidRPr="00B76AEE" w:rsidRDefault="00B76AEE" w:rsidP="00B76AEE">
            <w:pPr>
              <w:jc w:val="right"/>
              <w:rPr>
                <w:color w:val="000000"/>
                <w:sz w:val="20"/>
                <w:lang w:val="es-ES"/>
              </w:rPr>
            </w:pPr>
            <w:r w:rsidRPr="00B76AEE">
              <w:rPr>
                <w:color w:val="000000"/>
                <w:sz w:val="20"/>
                <w:lang w:val="es-ES"/>
              </w:rPr>
              <w:t> </w:t>
            </w:r>
          </w:p>
        </w:tc>
      </w:tr>
      <w:tr w:rsidR="00B76AEE" w:rsidRPr="00B76AEE" w14:paraId="17FC18CC"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21323B" w14:textId="77777777" w:rsidR="00B76AEE" w:rsidRPr="00B76AEE" w:rsidRDefault="00B76AEE" w:rsidP="00B76AEE">
            <w:pPr>
              <w:jc w:val="left"/>
              <w:rPr>
                <w:color w:val="000000"/>
                <w:sz w:val="20"/>
                <w:lang w:val="es-ES"/>
              </w:rPr>
            </w:pPr>
            <w:r w:rsidRPr="00B76AEE">
              <w:rPr>
                <w:color w:val="000000"/>
                <w:sz w:val="20"/>
                <w:lang w:val="es-ES"/>
              </w:rPr>
              <w:t>Recuperación de gastos</w:t>
            </w:r>
          </w:p>
        </w:tc>
        <w:tc>
          <w:tcPr>
            <w:tcW w:w="1096" w:type="dxa"/>
            <w:tcBorders>
              <w:top w:val="nil"/>
              <w:left w:val="nil"/>
              <w:bottom w:val="single" w:sz="4" w:space="0" w:color="auto"/>
              <w:right w:val="single" w:sz="4" w:space="0" w:color="auto"/>
            </w:tcBorders>
            <w:shd w:val="clear" w:color="auto" w:fill="auto"/>
            <w:hideMark/>
          </w:tcPr>
          <w:p w14:paraId="6090D8F3" w14:textId="77777777" w:rsidR="00B76AEE" w:rsidRPr="00B76AEE" w:rsidRDefault="00B76AEE" w:rsidP="00B76AEE">
            <w:pPr>
              <w:jc w:val="right"/>
              <w:rPr>
                <w:color w:val="000000"/>
                <w:sz w:val="20"/>
                <w:lang w:val="es-ES"/>
              </w:rPr>
            </w:pPr>
            <w:r w:rsidRPr="00B76AEE">
              <w:rPr>
                <w:color w:val="000000"/>
                <w:sz w:val="20"/>
                <w:lang w:val="es-ES"/>
              </w:rPr>
              <w:t>381 004</w:t>
            </w:r>
          </w:p>
        </w:tc>
        <w:tc>
          <w:tcPr>
            <w:tcW w:w="1096" w:type="dxa"/>
            <w:tcBorders>
              <w:top w:val="nil"/>
              <w:left w:val="nil"/>
              <w:bottom w:val="single" w:sz="4" w:space="0" w:color="auto"/>
              <w:right w:val="single" w:sz="4" w:space="0" w:color="auto"/>
            </w:tcBorders>
            <w:shd w:val="clear" w:color="auto" w:fill="auto"/>
            <w:hideMark/>
          </w:tcPr>
          <w:p w14:paraId="2FDFC21D" w14:textId="77777777" w:rsidR="00B76AEE" w:rsidRPr="00B76AEE" w:rsidRDefault="00B76AEE" w:rsidP="00B76AEE">
            <w:pPr>
              <w:jc w:val="right"/>
              <w:rPr>
                <w:color w:val="000000"/>
                <w:sz w:val="20"/>
                <w:lang w:val="es-ES"/>
              </w:rPr>
            </w:pPr>
            <w:r w:rsidRPr="00B76AEE">
              <w:rPr>
                <w:color w:val="000000"/>
                <w:sz w:val="20"/>
                <w:lang w:val="es-ES"/>
              </w:rPr>
              <w:t>240 968</w:t>
            </w:r>
          </w:p>
        </w:tc>
        <w:tc>
          <w:tcPr>
            <w:tcW w:w="1096" w:type="dxa"/>
            <w:tcBorders>
              <w:top w:val="nil"/>
              <w:left w:val="single" w:sz="4" w:space="0" w:color="auto"/>
              <w:bottom w:val="single" w:sz="4" w:space="0" w:color="auto"/>
              <w:right w:val="single" w:sz="4" w:space="0" w:color="auto"/>
            </w:tcBorders>
            <w:shd w:val="clear" w:color="auto" w:fill="auto"/>
            <w:hideMark/>
          </w:tcPr>
          <w:p w14:paraId="3626923A" w14:textId="77777777" w:rsidR="00B76AEE" w:rsidRPr="00B76AEE" w:rsidRDefault="00B76AEE" w:rsidP="00B76AEE">
            <w:pPr>
              <w:jc w:val="right"/>
              <w:rPr>
                <w:color w:val="000000"/>
                <w:sz w:val="20"/>
                <w:lang w:val="es-ES"/>
              </w:rPr>
            </w:pPr>
            <w:r w:rsidRPr="00B76AEE">
              <w:rPr>
                <w:color w:val="000000"/>
                <w:sz w:val="20"/>
                <w:lang w:val="es-ES"/>
              </w:rPr>
              <w:t>251 221</w:t>
            </w:r>
          </w:p>
        </w:tc>
        <w:tc>
          <w:tcPr>
            <w:tcW w:w="1096" w:type="dxa"/>
            <w:tcBorders>
              <w:top w:val="nil"/>
              <w:left w:val="nil"/>
              <w:bottom w:val="single" w:sz="4" w:space="0" w:color="auto"/>
              <w:right w:val="single" w:sz="4" w:space="0" w:color="auto"/>
            </w:tcBorders>
            <w:shd w:val="clear" w:color="auto" w:fill="auto"/>
            <w:hideMark/>
          </w:tcPr>
          <w:p w14:paraId="00C47DB0" w14:textId="77777777" w:rsidR="00B76AEE" w:rsidRPr="00B76AEE" w:rsidRDefault="00B76AEE" w:rsidP="00B76AEE">
            <w:pPr>
              <w:jc w:val="right"/>
              <w:rPr>
                <w:color w:val="000000"/>
                <w:sz w:val="20"/>
                <w:lang w:val="es-ES"/>
              </w:rPr>
            </w:pPr>
            <w:r w:rsidRPr="00B76AEE">
              <w:rPr>
                <w:color w:val="000000"/>
                <w:sz w:val="20"/>
                <w:lang w:val="es-ES"/>
              </w:rPr>
              <w:t>250 000</w:t>
            </w:r>
          </w:p>
        </w:tc>
        <w:tc>
          <w:tcPr>
            <w:tcW w:w="1170" w:type="dxa"/>
            <w:tcBorders>
              <w:top w:val="nil"/>
              <w:left w:val="nil"/>
              <w:bottom w:val="single" w:sz="4" w:space="0" w:color="auto"/>
              <w:right w:val="single" w:sz="4" w:space="0" w:color="auto"/>
            </w:tcBorders>
            <w:shd w:val="clear" w:color="auto" w:fill="auto"/>
            <w:hideMark/>
          </w:tcPr>
          <w:p w14:paraId="0D166869" w14:textId="77777777" w:rsidR="00B76AEE" w:rsidRPr="00B76AEE" w:rsidRDefault="00B76AEE" w:rsidP="00B76AEE">
            <w:pPr>
              <w:jc w:val="right"/>
              <w:rPr>
                <w:color w:val="000000"/>
                <w:sz w:val="20"/>
                <w:lang w:val="es-ES"/>
              </w:rPr>
            </w:pPr>
            <w:r w:rsidRPr="00B76AEE">
              <w:rPr>
                <w:color w:val="000000"/>
                <w:sz w:val="20"/>
                <w:lang w:val="es-ES"/>
              </w:rPr>
              <w:t>250 000</w:t>
            </w:r>
          </w:p>
        </w:tc>
        <w:tc>
          <w:tcPr>
            <w:tcW w:w="1096" w:type="dxa"/>
            <w:tcBorders>
              <w:top w:val="nil"/>
              <w:left w:val="nil"/>
              <w:bottom w:val="single" w:sz="4" w:space="0" w:color="auto"/>
              <w:right w:val="single" w:sz="4" w:space="0" w:color="auto"/>
            </w:tcBorders>
            <w:shd w:val="clear" w:color="auto" w:fill="auto"/>
            <w:hideMark/>
          </w:tcPr>
          <w:p w14:paraId="2FB042B6" w14:textId="77777777" w:rsidR="00B76AEE" w:rsidRPr="00B76AEE" w:rsidRDefault="00B76AEE" w:rsidP="00B76AEE">
            <w:pPr>
              <w:jc w:val="right"/>
              <w:rPr>
                <w:color w:val="000000"/>
                <w:sz w:val="20"/>
                <w:lang w:val="es-ES"/>
              </w:rPr>
            </w:pPr>
            <w:r w:rsidRPr="00B76AEE">
              <w:rPr>
                <w:color w:val="000000"/>
                <w:sz w:val="20"/>
                <w:lang w:val="es-ES"/>
              </w:rPr>
              <w:t>250 000</w:t>
            </w:r>
          </w:p>
        </w:tc>
      </w:tr>
      <w:tr w:rsidR="00B76AEE" w:rsidRPr="00B76AEE" w14:paraId="4CDAA40F"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D500FAE" w14:textId="77777777" w:rsidR="00B76AEE" w:rsidRPr="00B76AEE" w:rsidRDefault="00B76AEE" w:rsidP="00B76AEE">
            <w:pPr>
              <w:jc w:val="left"/>
              <w:rPr>
                <w:color w:val="000000"/>
                <w:sz w:val="20"/>
                <w:lang w:val="es-ES"/>
              </w:rPr>
            </w:pPr>
            <w:r w:rsidRPr="00B76AEE">
              <w:rPr>
                <w:color w:val="000000"/>
                <w:sz w:val="20"/>
                <w:lang w:val="es-ES"/>
              </w:rPr>
              <w:t>Ajuste (+ = excedido y - = subutilizado)</w:t>
            </w:r>
          </w:p>
        </w:tc>
        <w:tc>
          <w:tcPr>
            <w:tcW w:w="1096" w:type="dxa"/>
            <w:tcBorders>
              <w:top w:val="nil"/>
              <w:left w:val="nil"/>
              <w:bottom w:val="single" w:sz="4" w:space="0" w:color="auto"/>
              <w:right w:val="single" w:sz="4" w:space="0" w:color="auto"/>
            </w:tcBorders>
            <w:shd w:val="clear" w:color="auto" w:fill="auto"/>
            <w:hideMark/>
          </w:tcPr>
          <w:p w14:paraId="437665EF" w14:textId="77777777" w:rsidR="00B76AEE" w:rsidRPr="00B76AEE" w:rsidRDefault="00B76AEE" w:rsidP="00B76AEE">
            <w:pPr>
              <w:jc w:val="right"/>
              <w:rPr>
                <w:color w:val="000000"/>
                <w:sz w:val="20"/>
                <w:lang w:val="es-ES"/>
              </w:rPr>
            </w:pPr>
            <w:r w:rsidRPr="00B76AEE">
              <w:rPr>
                <w:color w:val="000000"/>
                <w:sz w:val="20"/>
                <w:lang w:val="es-ES"/>
              </w:rPr>
              <w:t>1 053 880</w:t>
            </w:r>
          </w:p>
        </w:tc>
        <w:tc>
          <w:tcPr>
            <w:tcW w:w="1096" w:type="dxa"/>
            <w:tcBorders>
              <w:top w:val="nil"/>
              <w:left w:val="nil"/>
              <w:bottom w:val="single" w:sz="4" w:space="0" w:color="auto"/>
              <w:right w:val="single" w:sz="4" w:space="0" w:color="auto"/>
            </w:tcBorders>
            <w:shd w:val="clear" w:color="auto" w:fill="auto"/>
            <w:hideMark/>
          </w:tcPr>
          <w:p w14:paraId="30314A35" w14:textId="77777777" w:rsidR="00B76AEE" w:rsidRPr="00B76AEE" w:rsidRDefault="00B76AEE" w:rsidP="00B76AEE">
            <w:pPr>
              <w:jc w:val="right"/>
              <w:rPr>
                <w:color w:val="000000"/>
                <w:sz w:val="20"/>
                <w:lang w:val="es-ES"/>
              </w:rPr>
            </w:pPr>
            <w:r w:rsidRPr="00B76AEE">
              <w:rPr>
                <w:color w:val="000000"/>
                <w:sz w:val="20"/>
                <w:lang w:val="es-ES"/>
              </w:rPr>
              <w:t>904 918</w:t>
            </w:r>
          </w:p>
        </w:tc>
        <w:tc>
          <w:tcPr>
            <w:tcW w:w="1096" w:type="dxa"/>
            <w:tcBorders>
              <w:top w:val="nil"/>
              <w:left w:val="single" w:sz="4" w:space="0" w:color="auto"/>
              <w:bottom w:val="single" w:sz="4" w:space="0" w:color="auto"/>
              <w:right w:val="single" w:sz="4" w:space="0" w:color="auto"/>
            </w:tcBorders>
            <w:shd w:val="clear" w:color="auto" w:fill="auto"/>
            <w:hideMark/>
          </w:tcPr>
          <w:p w14:paraId="6DF8988F" w14:textId="77777777" w:rsidR="00B76AEE" w:rsidRPr="00B76AEE" w:rsidRDefault="00B76AEE" w:rsidP="00B76AEE">
            <w:pPr>
              <w:jc w:val="right"/>
              <w:rPr>
                <w:color w:val="000000"/>
                <w:sz w:val="20"/>
                <w:lang w:val="es-ES"/>
              </w:rPr>
            </w:pPr>
            <w:r w:rsidRPr="00B76AEE">
              <w:rPr>
                <w:color w:val="000000"/>
                <w:sz w:val="20"/>
                <w:lang w:val="es-ES"/>
              </w:rPr>
              <w:t>601 414</w:t>
            </w:r>
          </w:p>
        </w:tc>
        <w:tc>
          <w:tcPr>
            <w:tcW w:w="1096" w:type="dxa"/>
            <w:tcBorders>
              <w:top w:val="nil"/>
              <w:left w:val="nil"/>
              <w:bottom w:val="single" w:sz="4" w:space="0" w:color="auto"/>
              <w:right w:val="single" w:sz="4" w:space="0" w:color="auto"/>
            </w:tcBorders>
            <w:shd w:val="clear" w:color="auto" w:fill="auto"/>
            <w:hideMark/>
          </w:tcPr>
          <w:p w14:paraId="7501A6D3" w14:textId="77777777" w:rsidR="00B76AEE" w:rsidRPr="00B76AEE" w:rsidRDefault="00B76AEE" w:rsidP="00B76AEE">
            <w:pPr>
              <w:jc w:val="right"/>
              <w:rPr>
                <w:color w:val="000000"/>
                <w:sz w:val="20"/>
                <w:lang w:val="es-ES"/>
              </w:rPr>
            </w:pPr>
            <w:r w:rsidRPr="00B76AEE">
              <w:rPr>
                <w:color w:val="000000"/>
                <w:sz w:val="20"/>
                <w:lang w:val="es-ES"/>
              </w:rPr>
              <w:t>1 015 528</w:t>
            </w:r>
          </w:p>
        </w:tc>
        <w:tc>
          <w:tcPr>
            <w:tcW w:w="1170" w:type="dxa"/>
            <w:tcBorders>
              <w:top w:val="nil"/>
              <w:left w:val="nil"/>
              <w:bottom w:val="single" w:sz="4" w:space="0" w:color="auto"/>
              <w:right w:val="single" w:sz="4" w:space="0" w:color="auto"/>
            </w:tcBorders>
            <w:shd w:val="clear" w:color="auto" w:fill="auto"/>
            <w:hideMark/>
          </w:tcPr>
          <w:p w14:paraId="5B69D6AD" w14:textId="77777777" w:rsidR="00B76AEE" w:rsidRPr="00B76AEE" w:rsidRDefault="00B76AEE" w:rsidP="00B76AEE">
            <w:pPr>
              <w:jc w:val="right"/>
              <w:rPr>
                <w:color w:val="000000"/>
                <w:sz w:val="20"/>
                <w:lang w:val="es-ES"/>
              </w:rPr>
            </w:pPr>
            <w:r w:rsidRPr="00B76AEE">
              <w:rPr>
                <w:color w:val="000000"/>
                <w:sz w:val="20"/>
                <w:lang w:val="es-ES"/>
              </w:rPr>
              <w:t>673 909</w:t>
            </w:r>
          </w:p>
        </w:tc>
        <w:tc>
          <w:tcPr>
            <w:tcW w:w="1096" w:type="dxa"/>
            <w:tcBorders>
              <w:top w:val="nil"/>
              <w:left w:val="nil"/>
              <w:bottom w:val="single" w:sz="4" w:space="0" w:color="auto"/>
              <w:right w:val="single" w:sz="4" w:space="0" w:color="auto"/>
            </w:tcBorders>
            <w:shd w:val="clear" w:color="auto" w:fill="auto"/>
            <w:hideMark/>
          </w:tcPr>
          <w:p w14:paraId="065D8597" w14:textId="77777777" w:rsidR="00B76AEE" w:rsidRPr="00B76AEE" w:rsidRDefault="00B76AEE" w:rsidP="00B76AEE">
            <w:pPr>
              <w:jc w:val="right"/>
              <w:rPr>
                <w:color w:val="000000"/>
                <w:sz w:val="20"/>
                <w:lang w:val="es-ES"/>
              </w:rPr>
            </w:pPr>
            <w:r w:rsidRPr="00B76AEE">
              <w:rPr>
                <w:color w:val="000000"/>
                <w:sz w:val="20"/>
                <w:lang w:val="es-ES"/>
              </w:rPr>
              <w:t>895 186</w:t>
            </w:r>
          </w:p>
        </w:tc>
      </w:tr>
      <w:tr w:rsidR="00B76AEE" w:rsidRPr="00B76AEE" w14:paraId="666E3451"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AD4A1BF" w14:textId="77777777" w:rsidR="00B76AEE" w:rsidRPr="00B76AEE" w:rsidRDefault="00B76AEE" w:rsidP="00B76AEE">
            <w:pPr>
              <w:jc w:val="left"/>
              <w:rPr>
                <w:color w:val="000000"/>
                <w:sz w:val="20"/>
                <w:lang w:val="es-ES"/>
              </w:rPr>
            </w:pPr>
            <w:r w:rsidRPr="00B76AEE">
              <w:rPr>
                <w:color w:val="000000"/>
                <w:sz w:val="20"/>
                <w:lang w:val="es-ES"/>
              </w:rPr>
              <w:t>Costos de proyectos (- = se restan y por tanto se suprimen)</w:t>
            </w:r>
          </w:p>
        </w:tc>
        <w:tc>
          <w:tcPr>
            <w:tcW w:w="1096" w:type="dxa"/>
            <w:tcBorders>
              <w:top w:val="nil"/>
              <w:left w:val="nil"/>
              <w:bottom w:val="single" w:sz="4" w:space="0" w:color="auto"/>
              <w:right w:val="single" w:sz="4" w:space="0" w:color="auto"/>
            </w:tcBorders>
            <w:shd w:val="clear" w:color="auto" w:fill="auto"/>
            <w:hideMark/>
          </w:tcPr>
          <w:p w14:paraId="4A4E1578"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nil"/>
              <w:bottom w:val="single" w:sz="4" w:space="0" w:color="auto"/>
              <w:right w:val="single" w:sz="4" w:space="0" w:color="auto"/>
            </w:tcBorders>
            <w:shd w:val="clear" w:color="auto" w:fill="auto"/>
            <w:hideMark/>
          </w:tcPr>
          <w:p w14:paraId="309A8AD1" w14:textId="77777777" w:rsidR="00B76AEE" w:rsidRPr="00B76AEE" w:rsidRDefault="00B76AEE" w:rsidP="00B76AEE">
            <w:pPr>
              <w:jc w:val="right"/>
              <w:rPr>
                <w:color w:val="000000"/>
                <w:sz w:val="20"/>
                <w:lang w:val="es-ES"/>
              </w:rPr>
            </w:pPr>
            <w:r w:rsidRPr="00B76AEE">
              <w:rPr>
                <w:color w:val="000000"/>
                <w:sz w:val="20"/>
                <w:lang w:val="es-ES"/>
              </w:rPr>
              <w:t>0</w:t>
            </w:r>
          </w:p>
        </w:tc>
        <w:tc>
          <w:tcPr>
            <w:tcW w:w="1096" w:type="dxa"/>
            <w:tcBorders>
              <w:top w:val="nil"/>
              <w:left w:val="single" w:sz="4" w:space="0" w:color="auto"/>
              <w:bottom w:val="single" w:sz="4" w:space="0" w:color="auto"/>
              <w:right w:val="single" w:sz="4" w:space="0" w:color="auto"/>
            </w:tcBorders>
            <w:shd w:val="clear" w:color="auto" w:fill="auto"/>
            <w:hideMark/>
          </w:tcPr>
          <w:p w14:paraId="33CC2ED2" w14:textId="77777777" w:rsidR="00B76AEE" w:rsidRPr="00B76AEE" w:rsidRDefault="00B76AEE" w:rsidP="00B76AEE">
            <w:pPr>
              <w:jc w:val="right"/>
              <w:rPr>
                <w:color w:val="000000"/>
                <w:sz w:val="20"/>
                <w:lang w:val="es-ES"/>
              </w:rPr>
            </w:pPr>
            <w:r w:rsidRPr="00B76AEE">
              <w:rPr>
                <w:color w:val="000000"/>
                <w:sz w:val="20"/>
                <w:lang w:val="es-ES"/>
              </w:rPr>
              <w:t> </w:t>
            </w:r>
          </w:p>
        </w:tc>
        <w:tc>
          <w:tcPr>
            <w:tcW w:w="1096" w:type="dxa"/>
            <w:tcBorders>
              <w:top w:val="nil"/>
              <w:left w:val="nil"/>
              <w:bottom w:val="single" w:sz="4" w:space="0" w:color="auto"/>
              <w:right w:val="single" w:sz="4" w:space="0" w:color="auto"/>
            </w:tcBorders>
            <w:shd w:val="clear" w:color="auto" w:fill="auto"/>
            <w:hideMark/>
          </w:tcPr>
          <w:p w14:paraId="3B2CFF4A" w14:textId="77777777" w:rsidR="00B76AEE" w:rsidRPr="00B76AEE" w:rsidRDefault="00B76AEE" w:rsidP="00B76AEE">
            <w:pPr>
              <w:jc w:val="right"/>
              <w:rPr>
                <w:color w:val="000000"/>
                <w:sz w:val="20"/>
                <w:lang w:val="es-ES"/>
              </w:rPr>
            </w:pPr>
            <w:r w:rsidRPr="00B76AEE">
              <w:rPr>
                <w:color w:val="000000"/>
                <w:sz w:val="20"/>
                <w:lang w:val="es-ES"/>
              </w:rPr>
              <w:t> </w:t>
            </w:r>
          </w:p>
        </w:tc>
        <w:tc>
          <w:tcPr>
            <w:tcW w:w="1170" w:type="dxa"/>
            <w:tcBorders>
              <w:top w:val="nil"/>
              <w:left w:val="nil"/>
              <w:bottom w:val="single" w:sz="4" w:space="0" w:color="auto"/>
              <w:right w:val="single" w:sz="4" w:space="0" w:color="auto"/>
            </w:tcBorders>
            <w:shd w:val="clear" w:color="auto" w:fill="auto"/>
            <w:noWrap/>
            <w:hideMark/>
          </w:tcPr>
          <w:p w14:paraId="484A7AEC" w14:textId="77777777" w:rsidR="00B76AEE" w:rsidRPr="00B76AEE" w:rsidRDefault="00B76AEE" w:rsidP="00B76AEE">
            <w:pPr>
              <w:jc w:val="right"/>
              <w:rPr>
                <w:color w:val="000000"/>
                <w:sz w:val="20"/>
                <w:lang w:val="es-ES"/>
              </w:rPr>
            </w:pPr>
            <w:r w:rsidRPr="00B76AEE">
              <w:rPr>
                <w:color w:val="000000"/>
                <w:sz w:val="20"/>
                <w:lang w:val="es-ES"/>
              </w:rPr>
              <w:t> </w:t>
            </w:r>
          </w:p>
        </w:tc>
        <w:tc>
          <w:tcPr>
            <w:tcW w:w="1096" w:type="dxa"/>
            <w:tcBorders>
              <w:top w:val="nil"/>
              <w:left w:val="nil"/>
              <w:bottom w:val="single" w:sz="4" w:space="0" w:color="auto"/>
              <w:right w:val="single" w:sz="4" w:space="0" w:color="auto"/>
            </w:tcBorders>
            <w:shd w:val="clear" w:color="auto" w:fill="auto"/>
            <w:hideMark/>
          </w:tcPr>
          <w:p w14:paraId="6C5A7CAF" w14:textId="77777777" w:rsidR="00B76AEE" w:rsidRPr="00B76AEE" w:rsidRDefault="00B76AEE" w:rsidP="00B76AEE">
            <w:pPr>
              <w:jc w:val="right"/>
              <w:rPr>
                <w:color w:val="000000"/>
                <w:sz w:val="20"/>
                <w:lang w:val="es-ES"/>
              </w:rPr>
            </w:pPr>
            <w:r w:rsidRPr="00B76AEE">
              <w:rPr>
                <w:color w:val="000000"/>
                <w:sz w:val="20"/>
                <w:lang w:val="es-ES"/>
              </w:rPr>
              <w:t> </w:t>
            </w:r>
          </w:p>
        </w:tc>
      </w:tr>
      <w:tr w:rsidR="00B76AEE" w:rsidRPr="00B76AEE" w14:paraId="2905C188"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CD9F340" w14:textId="77777777" w:rsidR="00B76AEE" w:rsidRPr="00B76AEE" w:rsidRDefault="00B76AEE" w:rsidP="00B76AEE">
            <w:pPr>
              <w:jc w:val="left"/>
              <w:rPr>
                <w:b/>
                <w:bCs/>
                <w:color w:val="000000"/>
                <w:sz w:val="20"/>
                <w:lang w:val="es-ES"/>
              </w:rPr>
            </w:pPr>
            <w:r w:rsidRPr="00B76AEE">
              <w:rPr>
                <w:b/>
                <w:color w:val="000000"/>
                <w:sz w:val="20"/>
                <w:lang w:val="es-ES"/>
              </w:rPr>
              <w:t>B. Subtotal de gastos de apoyo del organismo/ejecución</w:t>
            </w:r>
          </w:p>
        </w:tc>
        <w:tc>
          <w:tcPr>
            <w:tcW w:w="1096" w:type="dxa"/>
            <w:tcBorders>
              <w:top w:val="nil"/>
              <w:left w:val="nil"/>
              <w:bottom w:val="single" w:sz="4" w:space="0" w:color="auto"/>
              <w:right w:val="single" w:sz="4" w:space="0" w:color="auto"/>
            </w:tcBorders>
            <w:shd w:val="clear" w:color="auto" w:fill="auto"/>
            <w:hideMark/>
          </w:tcPr>
          <w:p w14:paraId="4055A056" w14:textId="77777777" w:rsidR="00B76AEE" w:rsidRPr="00B76AEE" w:rsidRDefault="00B76AEE" w:rsidP="00B76AEE">
            <w:pPr>
              <w:jc w:val="right"/>
              <w:rPr>
                <w:b/>
                <w:bCs/>
                <w:color w:val="000000"/>
                <w:sz w:val="20"/>
                <w:lang w:val="es-ES"/>
              </w:rPr>
            </w:pPr>
            <w:r w:rsidRPr="00B76AEE">
              <w:rPr>
                <w:b/>
                <w:color w:val="000000"/>
                <w:sz w:val="20"/>
                <w:lang w:val="es-ES"/>
              </w:rPr>
              <w:t>3 649 473</w:t>
            </w:r>
          </w:p>
        </w:tc>
        <w:tc>
          <w:tcPr>
            <w:tcW w:w="1096" w:type="dxa"/>
            <w:tcBorders>
              <w:top w:val="nil"/>
              <w:left w:val="nil"/>
              <w:bottom w:val="single" w:sz="4" w:space="0" w:color="auto"/>
              <w:right w:val="single" w:sz="4" w:space="0" w:color="auto"/>
            </w:tcBorders>
            <w:shd w:val="clear" w:color="auto" w:fill="auto"/>
            <w:hideMark/>
          </w:tcPr>
          <w:p w14:paraId="2FF4E506" w14:textId="77777777" w:rsidR="00B76AEE" w:rsidRPr="00B76AEE" w:rsidRDefault="00B76AEE" w:rsidP="00B76AEE">
            <w:pPr>
              <w:jc w:val="right"/>
              <w:rPr>
                <w:b/>
                <w:bCs/>
                <w:color w:val="000000"/>
                <w:sz w:val="20"/>
                <w:lang w:val="es-ES"/>
              </w:rPr>
            </w:pPr>
            <w:r w:rsidRPr="00B76AEE">
              <w:rPr>
                <w:b/>
                <w:color w:val="000000"/>
                <w:sz w:val="20"/>
                <w:lang w:val="es-ES"/>
              </w:rPr>
              <w:t>1 634 174</w:t>
            </w:r>
          </w:p>
        </w:tc>
        <w:tc>
          <w:tcPr>
            <w:tcW w:w="1096" w:type="dxa"/>
            <w:tcBorders>
              <w:top w:val="nil"/>
              <w:left w:val="single" w:sz="4" w:space="0" w:color="auto"/>
              <w:bottom w:val="single" w:sz="4" w:space="0" w:color="auto"/>
              <w:right w:val="single" w:sz="4" w:space="0" w:color="auto"/>
            </w:tcBorders>
            <w:shd w:val="clear" w:color="auto" w:fill="auto"/>
            <w:hideMark/>
          </w:tcPr>
          <w:p w14:paraId="6102F297" w14:textId="77777777" w:rsidR="00B76AEE" w:rsidRPr="00B76AEE" w:rsidRDefault="00B76AEE" w:rsidP="00B76AEE">
            <w:pPr>
              <w:jc w:val="right"/>
              <w:rPr>
                <w:b/>
                <w:bCs/>
                <w:color w:val="000000"/>
                <w:sz w:val="20"/>
                <w:lang w:val="es-ES"/>
              </w:rPr>
            </w:pPr>
            <w:r w:rsidRPr="00B76AEE">
              <w:rPr>
                <w:b/>
                <w:color w:val="000000"/>
                <w:sz w:val="20"/>
                <w:lang w:val="es-ES"/>
              </w:rPr>
              <w:t>1 929 785</w:t>
            </w:r>
          </w:p>
        </w:tc>
        <w:tc>
          <w:tcPr>
            <w:tcW w:w="1096" w:type="dxa"/>
            <w:tcBorders>
              <w:top w:val="nil"/>
              <w:left w:val="nil"/>
              <w:bottom w:val="single" w:sz="4" w:space="0" w:color="auto"/>
              <w:right w:val="single" w:sz="4" w:space="0" w:color="auto"/>
            </w:tcBorders>
            <w:shd w:val="clear" w:color="auto" w:fill="auto"/>
            <w:hideMark/>
          </w:tcPr>
          <w:p w14:paraId="49217BC6" w14:textId="77777777" w:rsidR="00B76AEE" w:rsidRPr="00B76AEE" w:rsidRDefault="00B76AEE" w:rsidP="00B76AEE">
            <w:pPr>
              <w:jc w:val="right"/>
              <w:rPr>
                <w:b/>
                <w:bCs/>
                <w:color w:val="000000"/>
                <w:sz w:val="20"/>
                <w:lang w:val="es-ES"/>
              </w:rPr>
            </w:pPr>
            <w:r w:rsidRPr="00B76AEE">
              <w:rPr>
                <w:b/>
                <w:color w:val="000000"/>
                <w:sz w:val="20"/>
                <w:lang w:val="es-ES"/>
              </w:rPr>
              <w:t>2 008 028</w:t>
            </w:r>
          </w:p>
        </w:tc>
        <w:tc>
          <w:tcPr>
            <w:tcW w:w="1170" w:type="dxa"/>
            <w:tcBorders>
              <w:top w:val="nil"/>
              <w:left w:val="nil"/>
              <w:bottom w:val="single" w:sz="4" w:space="0" w:color="auto"/>
              <w:right w:val="single" w:sz="4" w:space="0" w:color="auto"/>
            </w:tcBorders>
            <w:shd w:val="clear" w:color="auto" w:fill="auto"/>
            <w:hideMark/>
          </w:tcPr>
          <w:p w14:paraId="24962A81" w14:textId="77777777" w:rsidR="00B76AEE" w:rsidRPr="00B76AEE" w:rsidRDefault="00B76AEE" w:rsidP="00B76AEE">
            <w:pPr>
              <w:jc w:val="right"/>
              <w:rPr>
                <w:b/>
                <w:bCs/>
                <w:color w:val="000000"/>
                <w:sz w:val="20"/>
                <w:lang w:val="es-ES"/>
              </w:rPr>
            </w:pPr>
            <w:r w:rsidRPr="00B76AEE">
              <w:rPr>
                <w:b/>
                <w:color w:val="000000"/>
                <w:sz w:val="20"/>
                <w:lang w:val="es-ES"/>
              </w:rPr>
              <w:t>1 666 409</w:t>
            </w:r>
          </w:p>
        </w:tc>
        <w:tc>
          <w:tcPr>
            <w:tcW w:w="1096" w:type="dxa"/>
            <w:tcBorders>
              <w:top w:val="nil"/>
              <w:left w:val="nil"/>
              <w:bottom w:val="single" w:sz="4" w:space="0" w:color="auto"/>
              <w:right w:val="single" w:sz="4" w:space="0" w:color="auto"/>
            </w:tcBorders>
            <w:shd w:val="clear" w:color="auto" w:fill="auto"/>
            <w:hideMark/>
          </w:tcPr>
          <w:p w14:paraId="2FE96CF5" w14:textId="77777777" w:rsidR="00B76AEE" w:rsidRPr="00B76AEE" w:rsidRDefault="00B76AEE" w:rsidP="00B76AEE">
            <w:pPr>
              <w:jc w:val="right"/>
              <w:rPr>
                <w:b/>
                <w:bCs/>
                <w:color w:val="000000"/>
                <w:sz w:val="20"/>
                <w:lang w:val="es-ES"/>
              </w:rPr>
            </w:pPr>
            <w:r w:rsidRPr="00B76AEE">
              <w:rPr>
                <w:b/>
                <w:color w:val="000000"/>
                <w:sz w:val="20"/>
                <w:lang w:val="es-ES"/>
              </w:rPr>
              <w:t>1 887 686</w:t>
            </w:r>
          </w:p>
        </w:tc>
      </w:tr>
      <w:tr w:rsidR="00B76AEE" w:rsidRPr="00B76AEE" w14:paraId="1FD90C8A" w14:textId="77777777" w:rsidTr="001224CB">
        <w:tc>
          <w:tcPr>
            <w:tcW w:w="263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CDE3FAB" w14:textId="77777777" w:rsidR="00B76AEE" w:rsidRPr="00B76AEE" w:rsidRDefault="00B76AEE" w:rsidP="00B76AEE">
            <w:pPr>
              <w:jc w:val="left"/>
              <w:rPr>
                <w:b/>
                <w:bCs/>
                <w:color w:val="000000"/>
                <w:sz w:val="20"/>
                <w:lang w:val="es-ES"/>
              </w:rPr>
            </w:pPr>
            <w:r w:rsidRPr="00B76AEE">
              <w:rPr>
                <w:b/>
                <w:color w:val="000000"/>
                <w:sz w:val="20"/>
                <w:lang w:val="es-ES"/>
              </w:rPr>
              <w:t>Total general (A + B)</w:t>
            </w:r>
          </w:p>
        </w:tc>
        <w:tc>
          <w:tcPr>
            <w:tcW w:w="1096" w:type="dxa"/>
            <w:tcBorders>
              <w:top w:val="nil"/>
              <w:left w:val="nil"/>
              <w:bottom w:val="single" w:sz="4" w:space="0" w:color="auto"/>
              <w:right w:val="single" w:sz="4" w:space="0" w:color="auto"/>
            </w:tcBorders>
            <w:shd w:val="clear" w:color="auto" w:fill="auto"/>
            <w:hideMark/>
          </w:tcPr>
          <w:p w14:paraId="553D64FA" w14:textId="77777777" w:rsidR="00B76AEE" w:rsidRPr="00B76AEE" w:rsidRDefault="00B76AEE" w:rsidP="00B76AEE">
            <w:pPr>
              <w:jc w:val="right"/>
              <w:rPr>
                <w:b/>
                <w:bCs/>
                <w:color w:val="000000"/>
                <w:sz w:val="20"/>
                <w:lang w:val="es-ES"/>
              </w:rPr>
            </w:pPr>
            <w:r w:rsidRPr="00B76AEE">
              <w:rPr>
                <w:b/>
                <w:color w:val="000000"/>
                <w:sz w:val="20"/>
                <w:lang w:val="es-ES"/>
              </w:rPr>
              <w:t>5 718 858</w:t>
            </w:r>
          </w:p>
        </w:tc>
        <w:tc>
          <w:tcPr>
            <w:tcW w:w="1096" w:type="dxa"/>
            <w:tcBorders>
              <w:top w:val="nil"/>
              <w:left w:val="nil"/>
              <w:bottom w:val="single" w:sz="4" w:space="0" w:color="auto"/>
              <w:right w:val="single" w:sz="4" w:space="0" w:color="auto"/>
            </w:tcBorders>
            <w:shd w:val="clear" w:color="auto" w:fill="auto"/>
            <w:hideMark/>
          </w:tcPr>
          <w:p w14:paraId="2F57AD34" w14:textId="77777777" w:rsidR="00B76AEE" w:rsidRPr="00B76AEE" w:rsidRDefault="00B76AEE" w:rsidP="00B76AEE">
            <w:pPr>
              <w:jc w:val="right"/>
              <w:rPr>
                <w:b/>
                <w:bCs/>
                <w:color w:val="000000"/>
                <w:sz w:val="20"/>
                <w:lang w:val="es-ES"/>
              </w:rPr>
            </w:pPr>
            <w:r w:rsidRPr="00B76AEE">
              <w:rPr>
                <w:b/>
                <w:color w:val="000000"/>
                <w:sz w:val="20"/>
                <w:lang w:val="es-ES"/>
              </w:rPr>
              <w:t>3 718 046</w:t>
            </w:r>
          </w:p>
        </w:tc>
        <w:tc>
          <w:tcPr>
            <w:tcW w:w="1096" w:type="dxa"/>
            <w:tcBorders>
              <w:top w:val="nil"/>
              <w:left w:val="single" w:sz="4" w:space="0" w:color="auto"/>
              <w:bottom w:val="single" w:sz="4" w:space="0" w:color="auto"/>
              <w:right w:val="single" w:sz="4" w:space="0" w:color="auto"/>
            </w:tcBorders>
            <w:shd w:val="clear" w:color="auto" w:fill="auto"/>
            <w:hideMark/>
          </w:tcPr>
          <w:p w14:paraId="519C6A53" w14:textId="77777777" w:rsidR="00B76AEE" w:rsidRPr="00B76AEE" w:rsidRDefault="00B76AEE" w:rsidP="00B76AEE">
            <w:pPr>
              <w:jc w:val="right"/>
              <w:rPr>
                <w:b/>
                <w:bCs/>
                <w:color w:val="000000"/>
                <w:sz w:val="20"/>
                <w:lang w:val="es-ES"/>
              </w:rPr>
            </w:pPr>
            <w:r w:rsidRPr="00B76AEE">
              <w:rPr>
                <w:b/>
                <w:color w:val="000000"/>
                <w:sz w:val="20"/>
                <w:lang w:val="es-ES"/>
              </w:rPr>
              <w:t>4 028 243</w:t>
            </w:r>
          </w:p>
        </w:tc>
        <w:tc>
          <w:tcPr>
            <w:tcW w:w="1096" w:type="dxa"/>
            <w:tcBorders>
              <w:top w:val="nil"/>
              <w:left w:val="nil"/>
              <w:bottom w:val="single" w:sz="4" w:space="0" w:color="auto"/>
              <w:right w:val="single" w:sz="4" w:space="0" w:color="auto"/>
            </w:tcBorders>
            <w:shd w:val="clear" w:color="auto" w:fill="auto"/>
            <w:hideMark/>
          </w:tcPr>
          <w:p w14:paraId="78A7C219" w14:textId="77777777" w:rsidR="00B76AEE" w:rsidRPr="00B76AEE" w:rsidRDefault="00B76AEE" w:rsidP="00B76AEE">
            <w:pPr>
              <w:jc w:val="right"/>
              <w:rPr>
                <w:b/>
                <w:bCs/>
                <w:color w:val="000000"/>
                <w:sz w:val="20"/>
                <w:lang w:val="es-ES"/>
              </w:rPr>
            </w:pPr>
            <w:r w:rsidRPr="00B76AEE">
              <w:rPr>
                <w:b/>
                <w:color w:val="000000"/>
                <w:sz w:val="20"/>
                <w:lang w:val="es-ES"/>
              </w:rPr>
              <w:t>4 121 176</w:t>
            </w:r>
          </w:p>
        </w:tc>
        <w:tc>
          <w:tcPr>
            <w:tcW w:w="1170" w:type="dxa"/>
            <w:tcBorders>
              <w:top w:val="nil"/>
              <w:left w:val="nil"/>
              <w:bottom w:val="single" w:sz="4" w:space="0" w:color="auto"/>
              <w:right w:val="single" w:sz="4" w:space="0" w:color="auto"/>
            </w:tcBorders>
            <w:shd w:val="clear" w:color="auto" w:fill="auto"/>
            <w:hideMark/>
          </w:tcPr>
          <w:p w14:paraId="56CE3204" w14:textId="77777777" w:rsidR="00B76AEE" w:rsidRPr="00B76AEE" w:rsidRDefault="00B76AEE" w:rsidP="00B76AEE">
            <w:pPr>
              <w:jc w:val="right"/>
              <w:rPr>
                <w:b/>
                <w:bCs/>
                <w:color w:val="000000"/>
                <w:sz w:val="20"/>
                <w:lang w:val="es-ES"/>
              </w:rPr>
            </w:pPr>
            <w:r w:rsidRPr="00B76AEE">
              <w:rPr>
                <w:b/>
                <w:color w:val="000000"/>
                <w:sz w:val="20"/>
                <w:lang w:val="es-ES"/>
              </w:rPr>
              <w:t>3 779 557</w:t>
            </w:r>
          </w:p>
        </w:tc>
        <w:tc>
          <w:tcPr>
            <w:tcW w:w="1096" w:type="dxa"/>
            <w:tcBorders>
              <w:top w:val="nil"/>
              <w:left w:val="nil"/>
              <w:bottom w:val="single" w:sz="4" w:space="0" w:color="auto"/>
              <w:right w:val="single" w:sz="4" w:space="0" w:color="auto"/>
            </w:tcBorders>
            <w:shd w:val="clear" w:color="auto" w:fill="auto"/>
            <w:hideMark/>
          </w:tcPr>
          <w:p w14:paraId="3F61A3E3" w14:textId="77777777" w:rsidR="00B76AEE" w:rsidRPr="00B76AEE" w:rsidRDefault="00B76AEE" w:rsidP="00B76AEE">
            <w:pPr>
              <w:jc w:val="right"/>
              <w:rPr>
                <w:b/>
                <w:bCs/>
                <w:color w:val="000000"/>
                <w:sz w:val="20"/>
                <w:lang w:val="es-ES"/>
              </w:rPr>
            </w:pPr>
            <w:r w:rsidRPr="00B76AEE">
              <w:rPr>
                <w:b/>
                <w:color w:val="000000"/>
                <w:sz w:val="20"/>
                <w:lang w:val="es-ES"/>
              </w:rPr>
              <w:t>4 015 626</w:t>
            </w:r>
          </w:p>
        </w:tc>
      </w:tr>
    </w:tbl>
    <w:p w14:paraId="64C2D223" w14:textId="77777777" w:rsidR="00B76AEE" w:rsidRPr="00B76AEE" w:rsidRDefault="00B76AEE" w:rsidP="00B76AEE">
      <w:pPr>
        <w:pStyle w:val="Heading1"/>
        <w:spacing w:after="0"/>
        <w:rPr>
          <w:sz w:val="19"/>
          <w:szCs w:val="19"/>
          <w:lang w:val="es-ES"/>
        </w:rPr>
      </w:pPr>
      <w:r w:rsidRPr="00B76AEE">
        <w:rPr>
          <w:sz w:val="19"/>
          <w:lang w:val="es-ES"/>
        </w:rPr>
        <w:t>* El costo de la unidad central es más elevado que el subtotal permitido de 2 069 385 $EUA en 2018, 2 083 871 $EUA en 2019, 2 098 458 $EUA en 2020 y 2 113 148 $EUA en 2021. Por lo tanto, se introdujeron una partida de ajuste y un ajuste negativo para llegar al límite requerido. En los gastos de apoyo del organismo/ejecución se hizo además el ajuste positivo correspondiente a fin de garantizar que los costos totales incurridos para costos administrativos reflejasen también los costos en exceso del organismo.</w:t>
      </w:r>
    </w:p>
    <w:p w14:paraId="210477E9" w14:textId="77777777" w:rsidR="00B76AEE" w:rsidRPr="00B76AEE" w:rsidRDefault="00B76AEE" w:rsidP="00B76AEE">
      <w:pPr>
        <w:rPr>
          <w:lang w:val="es-ES"/>
        </w:rPr>
      </w:pPr>
    </w:p>
    <w:p w14:paraId="4378EE66" w14:textId="77777777" w:rsidR="00B76AEE" w:rsidRPr="00B76AEE" w:rsidRDefault="00B76AEE" w:rsidP="00B76AEE">
      <w:pPr>
        <w:pStyle w:val="Heading1"/>
        <w:numPr>
          <w:ilvl w:val="0"/>
          <w:numId w:val="1"/>
        </w:numPr>
        <w:tabs>
          <w:tab w:val="clear" w:pos="0"/>
        </w:tabs>
        <w:rPr>
          <w:lang w:val="es-ES"/>
        </w:rPr>
      </w:pPr>
      <w:r w:rsidRPr="00B76AEE">
        <w:rPr>
          <w:lang w:val="es-ES"/>
        </w:rPr>
        <w:t>La solicitud presupuestaria para la unidad central del PNUD para 2022, por la suma de 2 127 940 $EUA, representa un aumento del 0,7% respecto del presupuesto aprobado para 2021</w:t>
      </w:r>
      <w:r w:rsidRPr="00B76AEE">
        <w:rPr>
          <w:rStyle w:val="FootnoteReference"/>
          <w:lang w:val="es-ES"/>
        </w:rPr>
        <w:footnoteReference w:id="4"/>
      </w:r>
      <w:r w:rsidRPr="00B76AEE">
        <w:rPr>
          <w:lang w:val="es-ES"/>
        </w:rPr>
        <w:t>. El PNUD prevé que los costos de su unidad central serán 895 186 $EUA superiores a esta cifra (se indica como “Ajustes” en el Cuadro 1). El PNUD ha excedido normalmente la asignación presupuestaria de su unidad central</w:t>
      </w:r>
      <w:r w:rsidRPr="00B76AEE">
        <w:rPr>
          <w:rStyle w:val="FootnoteReference"/>
          <w:lang w:val="es-ES"/>
        </w:rPr>
        <w:footnoteReference w:id="5"/>
      </w:r>
      <w:r w:rsidRPr="00B76AEE">
        <w:rPr>
          <w:lang w:val="es-ES"/>
        </w:rPr>
        <w:t xml:space="preserve">, pero ha recuperado esos costos de los gastos de apoyo ingresados para la ejecución de proyectos del Fondo Multilateral. </w:t>
      </w:r>
    </w:p>
    <w:p w14:paraId="115EA735" w14:textId="77777777" w:rsidR="00B76AEE" w:rsidRPr="00B76AEE" w:rsidRDefault="00B76AEE" w:rsidP="00B76AEE">
      <w:pPr>
        <w:pStyle w:val="Heading1"/>
        <w:numPr>
          <w:ilvl w:val="0"/>
          <w:numId w:val="1"/>
        </w:numPr>
        <w:tabs>
          <w:tab w:val="clear" w:pos="0"/>
        </w:tabs>
        <w:rPr>
          <w:lang w:val="es-ES"/>
        </w:rPr>
      </w:pPr>
      <w:r w:rsidRPr="00B76AEE">
        <w:rPr>
          <w:lang w:val="es-ES"/>
        </w:rPr>
        <w:t>El presupuesto de unidad central para 2022 propuesto por el PNUD consta de lo siguiente:</w:t>
      </w:r>
    </w:p>
    <w:p w14:paraId="77416229" w14:textId="77777777" w:rsidR="00B76AEE" w:rsidRPr="00B76AEE" w:rsidRDefault="00B76AEE" w:rsidP="00B76AEE">
      <w:pPr>
        <w:pStyle w:val="Heading2"/>
        <w:widowControl/>
        <w:numPr>
          <w:ilvl w:val="1"/>
          <w:numId w:val="1"/>
        </w:numPr>
        <w:rPr>
          <w:lang w:val="es-ES"/>
        </w:rPr>
      </w:pPr>
      <w:r w:rsidRPr="00B76AEE">
        <w:rPr>
          <w:lang w:val="es-ES"/>
        </w:rPr>
        <w:t>Sueldos del personal (81,3% del presupuesto). En 2021, el presupuesto estimado para personal fue del 85,6% del presupuesto general (oscilando entre 70,5% y 85,6% desde 2011);</w:t>
      </w:r>
    </w:p>
    <w:p w14:paraId="225FAACB" w14:textId="77777777" w:rsidR="00B76AEE" w:rsidRPr="00B76AEE" w:rsidRDefault="00B76AEE" w:rsidP="00B76AEE">
      <w:pPr>
        <w:pStyle w:val="Heading2"/>
        <w:widowControl/>
        <w:numPr>
          <w:ilvl w:val="1"/>
          <w:numId w:val="1"/>
        </w:numPr>
        <w:rPr>
          <w:lang w:val="es-ES"/>
        </w:rPr>
      </w:pPr>
      <w:r w:rsidRPr="00B76AEE">
        <w:rPr>
          <w:lang w:val="es-ES"/>
        </w:rPr>
        <w:t>Reembolsos de servicios centrales (8,3% del presupuesto). El importe presupuestado (250 000 $EUA) es ligeramente inferior a los costos reales de 2020 (251 221 $EUA) e igual a los costos estimados para 2021;</w:t>
      </w:r>
    </w:p>
    <w:p w14:paraId="4B27F6CD" w14:textId="77777777" w:rsidR="00B76AEE" w:rsidRPr="00B76AEE" w:rsidRDefault="00B76AEE" w:rsidP="00B76AEE">
      <w:pPr>
        <w:pStyle w:val="Heading2"/>
        <w:widowControl/>
        <w:numPr>
          <w:ilvl w:val="1"/>
          <w:numId w:val="1"/>
        </w:numPr>
        <w:rPr>
          <w:lang w:val="es-ES"/>
        </w:rPr>
      </w:pPr>
      <w:r w:rsidRPr="00B76AEE">
        <w:rPr>
          <w:lang w:val="es-ES"/>
        </w:rPr>
        <w:t xml:space="preserve">Alquiler de oficinas (4,3% del presupuesto): los costos de alquiler de oficinas se presupuestan al mismo nivel que los costos reales de 2020 y los costos estimados de 2021. Los costos de contratación de servicios (0,8% del presupuesto) se han presupuestado por una suma más elevada que los costos estimados para 2021 y los costos de equipos se han presupuestado por una suma más baja que los costos estimados para 2021. El PNUD indicó que se están llevando a cabo consultas dentro de la organización sobre las repercusiones a mediano y largo plazo de la pandemia de COVID-19 y sobre cómo deben modificarse sus </w:t>
      </w:r>
      <w:r w:rsidRPr="00B76AEE">
        <w:rPr>
          <w:lang w:val="es-ES"/>
        </w:rPr>
        <w:lastRenderedPageBreak/>
        <w:t>operaciones administrativas (por ejemplo, la política de viajes, las reuniones y consultas electrónicas); y</w:t>
      </w:r>
    </w:p>
    <w:p w14:paraId="5733F422" w14:textId="77777777" w:rsidR="00B76AEE" w:rsidRPr="00B76AEE" w:rsidRDefault="00B76AEE" w:rsidP="00B76AEE">
      <w:pPr>
        <w:pStyle w:val="Heading2"/>
        <w:widowControl/>
        <w:numPr>
          <w:ilvl w:val="1"/>
          <w:numId w:val="1"/>
        </w:numPr>
        <w:rPr>
          <w:lang w:val="es-ES"/>
        </w:rPr>
      </w:pPr>
      <w:r w:rsidRPr="00B76AEE">
        <w:rPr>
          <w:lang w:val="es-ES"/>
        </w:rPr>
        <w:t>Viajes (5,0% del presupuesto). El presupuesto propuesto (150 000 $EUA) es casi 9 veces superior a los costos reales de 2020 (17 032 $EUA). El PNUD prevé que sus operaciones administrativas volverán en 2022 a niveles comparables con el período anterior a la COVID (es decir, de 2018 y 2019); los países que operan al amparo del artículo 5 también necesitarán un amplio apoyo para las actividades relacionadas con la eliminación de los HCFC y la reducción de los HFC.</w:t>
      </w:r>
    </w:p>
    <w:p w14:paraId="7F299823"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El PNUD devolverá a la 88ª reunión 32 878 $EUA en concepto de ahorros de costos de unidad central de 2020. El Comité Ejecutivo tal vez desee tomar nota, con aprecio, de que el PNUD devolverá saldos no utilizados. </w:t>
      </w:r>
    </w:p>
    <w:p w14:paraId="79BE641B" w14:textId="77777777" w:rsidR="00B76AEE" w:rsidRPr="00B76AEE" w:rsidRDefault="00B76AEE" w:rsidP="00B76AEE">
      <w:pPr>
        <w:spacing w:after="240"/>
        <w:rPr>
          <w:u w:val="single"/>
          <w:lang w:val="es-ES"/>
        </w:rPr>
      </w:pPr>
      <w:proofErr w:type="gramStart"/>
      <w:r w:rsidRPr="00B76AEE">
        <w:rPr>
          <w:u w:val="single"/>
          <w:lang w:val="es-ES"/>
        </w:rPr>
        <w:t>Total</w:t>
      </w:r>
      <w:proofErr w:type="gramEnd"/>
      <w:r w:rsidRPr="00B76AEE">
        <w:rPr>
          <w:u w:val="single"/>
          <w:lang w:val="es-ES"/>
        </w:rPr>
        <w:t xml:space="preserve"> de costos administrativos</w:t>
      </w:r>
    </w:p>
    <w:p w14:paraId="18136782"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Para el año 2022, el PNUD prevé costos administrativos de 4 015 626 $EUA, cifra levemente superior al costo estimado para el año 2021, de 3 779 557 $EUA. </w:t>
      </w:r>
    </w:p>
    <w:p w14:paraId="3B7697E8"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Se prevé que el nivel de financiación para el reembolso de los costos de las oficinas en los países y la ejecución nacional se situará en el mismo nivel que los costos estimados para 2021 (742 500 $EUA). Esta cifra es inferior a los costos reales de 2020 (1 077 150 $EUA), pero superior al costo real de 2019 (488 288 $EUA). Este nivel de financiación es también inferior al intervalo de costos registrado entre 2011 y 2018 (2 442 896 $EUA en 2013 a 1 472 814 $EUA en 2016). </w:t>
      </w:r>
    </w:p>
    <w:p w14:paraId="4FAE632A" w14:textId="77777777" w:rsidR="00B76AEE" w:rsidRPr="00B76AEE" w:rsidRDefault="00B76AEE" w:rsidP="00B76AEE">
      <w:pPr>
        <w:pStyle w:val="Heading1"/>
        <w:numPr>
          <w:ilvl w:val="0"/>
          <w:numId w:val="1"/>
        </w:numPr>
        <w:tabs>
          <w:tab w:val="clear" w:pos="0"/>
        </w:tabs>
        <w:rPr>
          <w:lang w:val="es-ES"/>
        </w:rPr>
      </w:pPr>
      <w:r w:rsidRPr="00B76AEE">
        <w:rPr>
          <w:lang w:val="es-ES"/>
        </w:rPr>
        <w:t>Los recursos disponibles previstos para costos administrativos del PNUD incluyen los costos de unidad central y los gastos de apoyo del organismo más los saldos de ingresos de costos administrativos no utilizados anteriormente. Los gastos de apoyo del organismo se ponen a disposición del PNUD solo después de que se han desembolsado los costos de los proyectos aprobados. En el Cuadro 2 se presenta la evaluación correspondiente al período de 2018 a 2021.</w:t>
      </w:r>
    </w:p>
    <w:p w14:paraId="701F31D3" w14:textId="77777777" w:rsidR="00B76AEE" w:rsidRPr="00B76AEE" w:rsidRDefault="00B76AEE" w:rsidP="00B76AEE">
      <w:pPr>
        <w:keepNext/>
        <w:rPr>
          <w:b/>
          <w:caps/>
          <w:lang w:val="es-ES"/>
        </w:rPr>
      </w:pPr>
      <w:r w:rsidRPr="00B76AEE">
        <w:rPr>
          <w:b/>
          <w:lang w:val="es-ES"/>
        </w:rPr>
        <w:t>Cuadro 2. Cálculo de disponibilidad de ingresos para futuros costos administrativos para el PNUD ($EUA)</w:t>
      </w:r>
    </w:p>
    <w:tbl>
      <w:tblPr>
        <w:tblW w:w="9355" w:type="dxa"/>
        <w:tblLayout w:type="fixed"/>
        <w:tblLook w:val="04A0" w:firstRow="1" w:lastRow="0" w:firstColumn="1" w:lastColumn="0" w:noHBand="0" w:noVBand="1"/>
      </w:tblPr>
      <w:tblGrid>
        <w:gridCol w:w="4045"/>
        <w:gridCol w:w="1327"/>
        <w:gridCol w:w="1328"/>
        <w:gridCol w:w="1327"/>
        <w:gridCol w:w="1328"/>
      </w:tblGrid>
      <w:tr w:rsidR="00B76AEE" w:rsidRPr="00B76AEE" w14:paraId="5B7C13AE" w14:textId="77777777" w:rsidTr="001224CB">
        <w:trPr>
          <w:tblHead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573F" w14:textId="77777777" w:rsidR="00B76AEE" w:rsidRPr="00B76AEE" w:rsidRDefault="00B76AEE" w:rsidP="00B76AEE">
            <w:pPr>
              <w:keepNext/>
              <w:jc w:val="left"/>
              <w:rPr>
                <w:b/>
                <w:bCs/>
                <w:sz w:val="20"/>
                <w:lang w:val="es-ES"/>
              </w:rPr>
            </w:pPr>
            <w:r w:rsidRPr="00B76AEE">
              <w:rPr>
                <w:b/>
                <w:sz w:val="20"/>
                <w:lang w:val="es-ES"/>
              </w:rPr>
              <w:t>Descripción</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56B05CC" w14:textId="77777777" w:rsidR="00B76AEE" w:rsidRPr="00B76AEE" w:rsidRDefault="00B76AEE" w:rsidP="00B76AEE">
            <w:pPr>
              <w:keepNext/>
              <w:jc w:val="center"/>
              <w:rPr>
                <w:b/>
                <w:bCs/>
                <w:sz w:val="20"/>
                <w:lang w:val="es-ES"/>
              </w:rPr>
            </w:pPr>
            <w:r w:rsidRPr="00B76AEE">
              <w:rPr>
                <w:b/>
                <w:sz w:val="20"/>
                <w:lang w:val="es-ES"/>
              </w:rPr>
              <w:t>2018</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5CA2AF7" w14:textId="77777777" w:rsidR="00B76AEE" w:rsidRPr="00B76AEE" w:rsidRDefault="00B76AEE" w:rsidP="00B76AEE">
            <w:pPr>
              <w:keepNext/>
              <w:jc w:val="center"/>
              <w:rPr>
                <w:b/>
                <w:bCs/>
                <w:sz w:val="20"/>
                <w:lang w:val="es-ES"/>
              </w:rPr>
            </w:pPr>
            <w:r w:rsidRPr="00B76AEE">
              <w:rPr>
                <w:b/>
                <w:sz w:val="20"/>
                <w:lang w:val="es-ES"/>
              </w:rPr>
              <w:t>2019</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17DF26FD" w14:textId="77777777" w:rsidR="00B76AEE" w:rsidRPr="00B76AEE" w:rsidRDefault="00B76AEE" w:rsidP="00B76AEE">
            <w:pPr>
              <w:keepNext/>
              <w:jc w:val="center"/>
              <w:rPr>
                <w:b/>
                <w:bCs/>
                <w:sz w:val="20"/>
                <w:lang w:val="es-ES"/>
              </w:rPr>
            </w:pPr>
            <w:r w:rsidRPr="00B76AEE">
              <w:rPr>
                <w:b/>
                <w:sz w:val="20"/>
                <w:lang w:val="es-ES"/>
              </w:rPr>
              <w:t>2020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6E788E8" w14:textId="77777777" w:rsidR="00B76AEE" w:rsidRPr="00B76AEE" w:rsidRDefault="00B76AEE" w:rsidP="00B76AEE">
            <w:pPr>
              <w:keepNext/>
              <w:jc w:val="center"/>
              <w:rPr>
                <w:b/>
                <w:bCs/>
                <w:sz w:val="20"/>
                <w:lang w:val="es-ES"/>
              </w:rPr>
            </w:pPr>
            <w:r w:rsidRPr="00B76AEE">
              <w:rPr>
                <w:b/>
                <w:sz w:val="20"/>
                <w:lang w:val="es-ES"/>
              </w:rPr>
              <w:t>2021*</w:t>
            </w:r>
          </w:p>
        </w:tc>
      </w:tr>
      <w:tr w:rsidR="00B76AEE" w:rsidRPr="00B76AEE" w14:paraId="47AFAD3B" w14:textId="77777777" w:rsidTr="001224CB">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420BED87" w14:textId="77777777" w:rsidR="00B76AEE" w:rsidRPr="00B76AEE" w:rsidRDefault="00B76AEE" w:rsidP="00B76AEE">
            <w:pPr>
              <w:keepNext/>
              <w:jc w:val="left"/>
              <w:rPr>
                <w:sz w:val="20"/>
                <w:lang w:val="es-ES"/>
              </w:rPr>
            </w:pPr>
            <w:r w:rsidRPr="00B76AEE">
              <w:rPr>
                <w:sz w:val="20"/>
                <w:lang w:val="es-ES"/>
              </w:rPr>
              <w:t>Gastos de apoyo del organismo netos más costos de unidad central</w:t>
            </w:r>
          </w:p>
        </w:tc>
        <w:tc>
          <w:tcPr>
            <w:tcW w:w="1327"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5EA41C6C" w14:textId="77777777" w:rsidR="00B76AEE" w:rsidRPr="00B76AEE" w:rsidRDefault="00B76AEE" w:rsidP="00B76AEE">
            <w:pPr>
              <w:keepNext/>
              <w:jc w:val="right"/>
              <w:rPr>
                <w:sz w:val="20"/>
                <w:lang w:val="es-ES"/>
              </w:rPr>
            </w:pPr>
            <w:r w:rsidRPr="00B76AEE">
              <w:rPr>
                <w:sz w:val="20"/>
                <w:lang w:val="es-ES"/>
              </w:rPr>
              <w:t>5 007 070</w:t>
            </w:r>
          </w:p>
        </w:tc>
        <w:tc>
          <w:tcPr>
            <w:tcW w:w="1328"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58E346E8" w14:textId="77777777" w:rsidR="00B76AEE" w:rsidRPr="00B76AEE" w:rsidRDefault="00B76AEE" w:rsidP="00B76AEE">
            <w:pPr>
              <w:keepNext/>
              <w:jc w:val="right"/>
              <w:rPr>
                <w:sz w:val="20"/>
                <w:lang w:val="es-ES"/>
              </w:rPr>
            </w:pPr>
            <w:r w:rsidRPr="00B76AEE">
              <w:rPr>
                <w:sz w:val="20"/>
                <w:lang w:val="es-ES"/>
              </w:rPr>
              <w:t>2 829 316</w:t>
            </w:r>
          </w:p>
        </w:tc>
        <w:tc>
          <w:tcPr>
            <w:tcW w:w="1327"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22240CCC" w14:textId="77777777" w:rsidR="00B76AEE" w:rsidRPr="00B76AEE" w:rsidRDefault="00B76AEE" w:rsidP="00B76AEE">
            <w:pPr>
              <w:keepNext/>
              <w:jc w:val="right"/>
              <w:rPr>
                <w:sz w:val="20"/>
                <w:lang w:val="es-ES"/>
              </w:rPr>
            </w:pPr>
            <w:r w:rsidRPr="00B76AEE">
              <w:rPr>
                <w:sz w:val="20"/>
                <w:lang w:val="es-ES"/>
              </w:rPr>
              <w:t>4 236 224</w:t>
            </w:r>
          </w:p>
        </w:tc>
        <w:tc>
          <w:tcPr>
            <w:tcW w:w="1328"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5C0BB1C5" w14:textId="77777777" w:rsidR="00B76AEE" w:rsidRPr="00B76AEE" w:rsidRDefault="00B76AEE" w:rsidP="00B76AEE">
            <w:pPr>
              <w:keepNext/>
              <w:jc w:val="right"/>
              <w:rPr>
                <w:sz w:val="20"/>
                <w:lang w:val="es-ES"/>
              </w:rPr>
            </w:pPr>
            <w:r w:rsidRPr="00B76AEE">
              <w:rPr>
                <w:sz w:val="20"/>
                <w:lang w:val="es-ES"/>
              </w:rPr>
              <w:t>4 203 082</w:t>
            </w:r>
          </w:p>
        </w:tc>
      </w:tr>
      <w:tr w:rsidR="00B76AEE" w:rsidRPr="00B76AEE" w14:paraId="23FBA01A" w14:textId="77777777" w:rsidTr="001224CB">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9958208" w14:textId="77777777" w:rsidR="00B76AEE" w:rsidRPr="00B76AEE" w:rsidRDefault="00B76AEE" w:rsidP="00B76AEE">
            <w:pPr>
              <w:keepNext/>
              <w:ind w:right="-105"/>
              <w:jc w:val="left"/>
              <w:rPr>
                <w:sz w:val="20"/>
                <w:lang w:val="es-ES"/>
              </w:rPr>
            </w:pPr>
            <w:r w:rsidRPr="00B76AEE">
              <w:rPr>
                <w:sz w:val="20"/>
                <w:lang w:val="es-ES"/>
              </w:rPr>
              <w:t>Total costos administrativos</w:t>
            </w:r>
          </w:p>
        </w:tc>
        <w:tc>
          <w:tcPr>
            <w:tcW w:w="1327"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37AA3F54" w14:textId="77777777" w:rsidR="00B76AEE" w:rsidRPr="00B76AEE" w:rsidRDefault="00B76AEE" w:rsidP="00B76AEE">
            <w:pPr>
              <w:keepNext/>
              <w:jc w:val="right"/>
              <w:rPr>
                <w:color w:val="000000"/>
                <w:sz w:val="20"/>
                <w:lang w:val="es-ES"/>
              </w:rPr>
            </w:pPr>
            <w:r w:rsidRPr="00B76AEE">
              <w:rPr>
                <w:color w:val="000000"/>
                <w:sz w:val="20"/>
                <w:lang w:val="es-ES"/>
              </w:rPr>
              <w:t>5 718 858</w:t>
            </w:r>
          </w:p>
        </w:tc>
        <w:tc>
          <w:tcPr>
            <w:tcW w:w="1328"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194C4BDD" w14:textId="77777777" w:rsidR="00B76AEE" w:rsidRPr="00B76AEE" w:rsidRDefault="00B76AEE" w:rsidP="00B76AEE">
            <w:pPr>
              <w:keepNext/>
              <w:jc w:val="right"/>
              <w:rPr>
                <w:color w:val="000000"/>
                <w:sz w:val="20"/>
                <w:lang w:val="es-ES"/>
              </w:rPr>
            </w:pPr>
            <w:r w:rsidRPr="00B76AEE">
              <w:rPr>
                <w:color w:val="000000"/>
                <w:sz w:val="20"/>
                <w:lang w:val="es-ES"/>
              </w:rPr>
              <w:t>3 718 046</w:t>
            </w:r>
          </w:p>
        </w:tc>
        <w:tc>
          <w:tcPr>
            <w:tcW w:w="1327" w:type="dxa"/>
            <w:tcBorders>
              <w:top w:val="nil"/>
              <w:left w:val="nil"/>
              <w:bottom w:val="single" w:sz="4" w:space="0" w:color="auto"/>
              <w:right w:val="single" w:sz="4" w:space="0" w:color="auto"/>
            </w:tcBorders>
            <w:shd w:val="clear" w:color="auto" w:fill="auto"/>
            <w:tcMar>
              <w:left w:w="115" w:type="dxa"/>
              <w:right w:w="173" w:type="dxa"/>
            </w:tcMar>
            <w:vAlign w:val="center"/>
            <w:hideMark/>
          </w:tcPr>
          <w:p w14:paraId="1F0728AA" w14:textId="77777777" w:rsidR="00B76AEE" w:rsidRPr="00B76AEE" w:rsidRDefault="00B76AEE" w:rsidP="00B76AEE">
            <w:pPr>
              <w:keepNext/>
              <w:jc w:val="right"/>
              <w:rPr>
                <w:sz w:val="20"/>
                <w:lang w:val="es-ES"/>
              </w:rPr>
            </w:pPr>
            <w:r w:rsidRPr="00B76AEE">
              <w:rPr>
                <w:sz w:val="20"/>
                <w:lang w:val="es-ES"/>
              </w:rPr>
              <w:t>4 028 243</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0AFD141" w14:textId="77777777" w:rsidR="00B76AEE" w:rsidRPr="00B76AEE" w:rsidRDefault="00B76AEE" w:rsidP="00B76AEE">
            <w:pPr>
              <w:keepNext/>
              <w:jc w:val="right"/>
              <w:rPr>
                <w:sz w:val="20"/>
                <w:lang w:val="es-ES"/>
              </w:rPr>
            </w:pPr>
            <w:r w:rsidRPr="00B76AEE">
              <w:rPr>
                <w:sz w:val="20"/>
                <w:lang w:val="es-ES"/>
              </w:rPr>
              <w:t>3 779 557</w:t>
            </w:r>
          </w:p>
        </w:tc>
      </w:tr>
      <w:tr w:rsidR="00B76AEE" w:rsidRPr="00B76AEE" w14:paraId="342E3092" w14:textId="77777777" w:rsidTr="001224CB">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739D818" w14:textId="77777777" w:rsidR="00B76AEE" w:rsidRPr="00B76AEE" w:rsidRDefault="00B76AEE" w:rsidP="00B76AEE">
            <w:pPr>
              <w:keepNext/>
              <w:jc w:val="left"/>
              <w:rPr>
                <w:sz w:val="20"/>
                <w:lang w:val="es-ES"/>
              </w:rPr>
            </w:pPr>
            <w:r w:rsidRPr="00B76AEE">
              <w:rPr>
                <w:sz w:val="20"/>
                <w:lang w:val="es-ES"/>
              </w:rPr>
              <w:t>Saldo del ejercicio</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23D19B" w14:textId="77777777" w:rsidR="00B76AEE" w:rsidRPr="00B76AEE" w:rsidRDefault="00B76AEE" w:rsidP="00B76AEE">
            <w:pPr>
              <w:jc w:val="right"/>
              <w:rPr>
                <w:color w:val="000000"/>
                <w:sz w:val="20"/>
                <w:lang w:val="es-ES"/>
              </w:rPr>
            </w:pPr>
            <w:r w:rsidRPr="00B76AEE">
              <w:rPr>
                <w:color w:val="000000"/>
                <w:sz w:val="20"/>
                <w:lang w:val="es-ES"/>
              </w:rPr>
              <w:t>(711 788)</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62D0CAF" w14:textId="77777777" w:rsidR="00B76AEE" w:rsidRPr="00B76AEE" w:rsidRDefault="00B76AEE" w:rsidP="00B76AEE">
            <w:pPr>
              <w:jc w:val="right"/>
              <w:rPr>
                <w:color w:val="000000"/>
                <w:sz w:val="20"/>
                <w:lang w:val="es-ES"/>
              </w:rPr>
            </w:pPr>
            <w:r w:rsidRPr="00B76AEE">
              <w:rPr>
                <w:color w:val="000000"/>
                <w:sz w:val="20"/>
                <w:lang w:val="es-ES"/>
              </w:rPr>
              <w:t>(888 730)</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4C8C8F" w14:textId="77777777" w:rsidR="00B76AEE" w:rsidRPr="00B76AEE" w:rsidRDefault="00B76AEE" w:rsidP="00B76AEE">
            <w:pPr>
              <w:jc w:val="right"/>
              <w:rPr>
                <w:color w:val="000000"/>
                <w:sz w:val="20"/>
                <w:lang w:val="es-ES"/>
              </w:rPr>
            </w:pPr>
            <w:r w:rsidRPr="00B76AEE">
              <w:rPr>
                <w:color w:val="000000"/>
                <w:sz w:val="20"/>
                <w:lang w:val="es-ES"/>
              </w:rPr>
              <w:t>207 981</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8B934DF" w14:textId="77777777" w:rsidR="00B76AEE" w:rsidRPr="00B76AEE" w:rsidRDefault="00B76AEE" w:rsidP="00B76AEE">
            <w:pPr>
              <w:jc w:val="right"/>
              <w:rPr>
                <w:color w:val="000000"/>
                <w:sz w:val="20"/>
                <w:lang w:val="es-ES"/>
              </w:rPr>
            </w:pPr>
            <w:r w:rsidRPr="00B76AEE">
              <w:rPr>
                <w:color w:val="000000"/>
                <w:sz w:val="20"/>
                <w:lang w:val="es-ES"/>
              </w:rPr>
              <w:t>423 525</w:t>
            </w:r>
          </w:p>
        </w:tc>
      </w:tr>
      <w:tr w:rsidR="00B76AEE" w:rsidRPr="00B76AEE" w14:paraId="2A67DF7C" w14:textId="77777777" w:rsidTr="001224CB">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B0A178B" w14:textId="77777777" w:rsidR="00B76AEE" w:rsidRPr="00B76AEE" w:rsidRDefault="00B76AEE" w:rsidP="00B76AEE">
            <w:pPr>
              <w:keepNext/>
              <w:ind w:right="-105"/>
              <w:jc w:val="left"/>
              <w:rPr>
                <w:sz w:val="20"/>
                <w:lang w:val="es-ES"/>
              </w:rPr>
            </w:pPr>
            <w:r w:rsidRPr="00B76AEE">
              <w:rPr>
                <w:sz w:val="20"/>
                <w:lang w:val="es-ES"/>
              </w:rPr>
              <w:t>Saldo corriente</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362CC6" w14:textId="77777777" w:rsidR="00B76AEE" w:rsidRPr="00B76AEE" w:rsidRDefault="00B76AEE" w:rsidP="00B76AEE">
            <w:pPr>
              <w:jc w:val="right"/>
              <w:rPr>
                <w:sz w:val="20"/>
                <w:lang w:val="es-ES"/>
              </w:rPr>
            </w:pPr>
            <w:r w:rsidRPr="00B76AEE">
              <w:rPr>
                <w:sz w:val="20"/>
                <w:lang w:val="es-ES"/>
              </w:rPr>
              <w:t>(411 987)</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609CBF" w14:textId="77777777" w:rsidR="00B76AEE" w:rsidRPr="00B76AEE" w:rsidRDefault="00B76AEE" w:rsidP="00B76AEE">
            <w:pPr>
              <w:jc w:val="right"/>
              <w:rPr>
                <w:sz w:val="20"/>
                <w:lang w:val="es-ES"/>
              </w:rPr>
            </w:pPr>
            <w:r w:rsidRPr="00B76AEE">
              <w:rPr>
                <w:sz w:val="20"/>
                <w:lang w:val="es-ES"/>
              </w:rPr>
              <w:t>(1 300 717)</w:t>
            </w:r>
          </w:p>
        </w:tc>
        <w:tc>
          <w:tcPr>
            <w:tcW w:w="132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F6A05C1" w14:textId="77777777" w:rsidR="00B76AEE" w:rsidRPr="00B76AEE" w:rsidRDefault="00B76AEE" w:rsidP="00B76AEE">
            <w:pPr>
              <w:jc w:val="right"/>
              <w:rPr>
                <w:sz w:val="20"/>
                <w:lang w:val="es-ES"/>
              </w:rPr>
            </w:pPr>
            <w:r w:rsidRPr="00B76AEE">
              <w:rPr>
                <w:sz w:val="20"/>
                <w:lang w:val="es-ES"/>
              </w:rPr>
              <w:t>(1 092736)</w:t>
            </w:r>
          </w:p>
        </w:tc>
        <w:tc>
          <w:tcPr>
            <w:tcW w:w="132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6BAA0F" w14:textId="77777777" w:rsidR="00B76AEE" w:rsidRPr="00B76AEE" w:rsidRDefault="00B76AEE" w:rsidP="00B76AEE">
            <w:pPr>
              <w:jc w:val="right"/>
              <w:rPr>
                <w:sz w:val="20"/>
                <w:lang w:val="es-ES"/>
              </w:rPr>
            </w:pPr>
            <w:r w:rsidRPr="00B76AEE">
              <w:rPr>
                <w:sz w:val="20"/>
                <w:lang w:val="es-ES"/>
              </w:rPr>
              <w:t>(669 211)</w:t>
            </w:r>
          </w:p>
        </w:tc>
      </w:tr>
    </w:tbl>
    <w:p w14:paraId="6DF5704F" w14:textId="77777777" w:rsidR="00B76AEE" w:rsidRPr="00B76AEE" w:rsidRDefault="00B76AEE" w:rsidP="00B76AEE">
      <w:pPr>
        <w:keepNext/>
        <w:rPr>
          <w:caps/>
          <w:sz w:val="19"/>
          <w:szCs w:val="19"/>
          <w:lang w:val="es-ES"/>
        </w:rPr>
      </w:pPr>
      <w:r w:rsidRPr="00B76AEE">
        <w:rPr>
          <w:sz w:val="19"/>
          <w:lang w:val="es-ES"/>
        </w:rPr>
        <w:t>* Incluye gastos de apoyo aprobados en la 87ª reunión y el valor de los gastos de apoyo del organismo y los costos de unidad central derivados de las comunicaciones presentadas a la 88ª reunión.</w:t>
      </w:r>
    </w:p>
    <w:p w14:paraId="7BE285D9" w14:textId="77777777" w:rsidR="00B76AEE" w:rsidRPr="00B76AEE" w:rsidRDefault="00B76AEE" w:rsidP="00B76AEE">
      <w:pPr>
        <w:jc w:val="left"/>
        <w:rPr>
          <w:lang w:val="es-ES"/>
        </w:rPr>
      </w:pPr>
    </w:p>
    <w:p w14:paraId="3C35DF7A" w14:textId="77777777" w:rsidR="00B76AEE" w:rsidRPr="00B76AEE" w:rsidRDefault="00B76AEE" w:rsidP="00B76AEE">
      <w:pPr>
        <w:pStyle w:val="Heading1"/>
        <w:numPr>
          <w:ilvl w:val="0"/>
          <w:numId w:val="1"/>
        </w:numPr>
        <w:tabs>
          <w:tab w:val="clear" w:pos="0"/>
        </w:tabs>
        <w:rPr>
          <w:lang w:val="es-ES"/>
        </w:rPr>
      </w:pPr>
      <w:r w:rsidRPr="00B76AEE">
        <w:rPr>
          <w:lang w:val="es-ES"/>
        </w:rPr>
        <w:t>Sobre la base del análisis que se presenta en el Cuadro 2, a finales de 2021, el PNUD podría tener un saldo acumulado negativo de 669 211 $EUA. En 2022, para cubrir el total de sus costos administrativos previstos, de 4 015 626$EUA, el PNUD debería generar al menos 4 684 837 $EUA en concepto de gastos de apoyo del organismo y costos de unidad central.</w:t>
      </w:r>
      <w:r w:rsidRPr="00B76AEE">
        <w:rPr>
          <w:b/>
          <w:lang w:val="es-ES"/>
        </w:rPr>
        <w:t xml:space="preserve"> </w:t>
      </w:r>
    </w:p>
    <w:p w14:paraId="79CB18B8" w14:textId="77777777" w:rsidR="00B76AEE" w:rsidRPr="00B76AEE" w:rsidRDefault="00B76AEE" w:rsidP="00B76AEE">
      <w:pPr>
        <w:keepNext/>
        <w:spacing w:after="240"/>
        <w:rPr>
          <w:b/>
          <w:lang w:val="es-ES"/>
        </w:rPr>
      </w:pPr>
      <w:r w:rsidRPr="00B76AEE">
        <w:rPr>
          <w:b/>
          <w:lang w:val="es-ES"/>
        </w:rPr>
        <w:t>ONUDI</w:t>
      </w:r>
    </w:p>
    <w:p w14:paraId="7F803D08" w14:textId="77777777" w:rsidR="00B76AEE" w:rsidRPr="00DF2EFB" w:rsidRDefault="00B76AEE" w:rsidP="00B76AEE">
      <w:pPr>
        <w:pStyle w:val="Heading1"/>
        <w:numPr>
          <w:ilvl w:val="0"/>
          <w:numId w:val="1"/>
        </w:numPr>
        <w:tabs>
          <w:tab w:val="clear" w:pos="0"/>
        </w:tabs>
        <w:rPr>
          <w:lang w:val="es-ES"/>
        </w:rPr>
      </w:pPr>
      <w:r w:rsidRPr="00DF2EFB">
        <w:rPr>
          <w:lang w:val="es-ES"/>
        </w:rPr>
        <w:t xml:space="preserve">El Comité Ejecutivo aprobó el presupuesto de unidad central para 2021 solicitado por la ONUDI, por la suma de 2 022 000 $EUA (decisión 86/62 b). En el Cuadro 3 se presentan el presupuesto de unidad </w:t>
      </w:r>
      <w:r w:rsidRPr="00DF2EFB">
        <w:rPr>
          <w:lang w:val="es-ES"/>
        </w:rPr>
        <w:lastRenderedPageBreak/>
        <w:t>central y los costos administrativos presentados por la ONUDI desde 2018 hasta 2022</w:t>
      </w:r>
      <w:r w:rsidRPr="00DF2EFB">
        <w:rPr>
          <w:rStyle w:val="FootnoteReference"/>
          <w:lang w:val="es-ES"/>
        </w:rPr>
        <w:footnoteReference w:id="6"/>
      </w:r>
      <w:r w:rsidRPr="00DF2EFB">
        <w:rPr>
          <w:lang w:val="es-ES"/>
        </w:rPr>
        <w:t>. Las cifras que se indican como “reales” se basan en un modelo preparado por la ONUDI para estimar los gastos de apoyo del organismo de la dependencia del Protocolo de Montreal con arreglo a la decisión 56/41</w:t>
      </w:r>
      <w:r w:rsidRPr="00DF2EFB">
        <w:rPr>
          <w:rStyle w:val="FootnoteReference"/>
          <w:lang w:val="es-ES"/>
        </w:rPr>
        <w:footnoteReference w:id="7"/>
      </w:r>
      <w:r w:rsidRPr="00DF2EFB">
        <w:rPr>
          <w:lang w:val="es-ES"/>
        </w:rPr>
        <w:t xml:space="preserve">. </w:t>
      </w:r>
    </w:p>
    <w:p w14:paraId="75B25536" w14:textId="77777777" w:rsidR="00B76AEE" w:rsidRPr="00B76AEE" w:rsidRDefault="00B76AEE" w:rsidP="00B76AEE">
      <w:pPr>
        <w:pStyle w:val="Heading1"/>
        <w:keepNext/>
        <w:keepLines/>
        <w:spacing w:after="0"/>
        <w:rPr>
          <w:b/>
          <w:bCs/>
          <w:sz w:val="21"/>
          <w:szCs w:val="21"/>
          <w:lang w:val="es-ES"/>
        </w:rPr>
      </w:pPr>
      <w:r w:rsidRPr="00B76AEE">
        <w:rPr>
          <w:b/>
          <w:sz w:val="21"/>
          <w:lang w:val="es-ES"/>
        </w:rPr>
        <w:t>Cuadro 3. Datos del presupuesto de unidad central y otros costos administrativos para el período de 2018 a 2022 para la ONUDI ($EUA)</w:t>
      </w:r>
    </w:p>
    <w:tbl>
      <w:tblPr>
        <w:tblW w:w="9430" w:type="dxa"/>
        <w:tblInd w:w="30" w:type="dxa"/>
        <w:tblLook w:val="04A0" w:firstRow="1" w:lastRow="0" w:firstColumn="1" w:lastColumn="0" w:noHBand="0" w:noVBand="1"/>
      </w:tblPr>
      <w:tblGrid>
        <w:gridCol w:w="3510"/>
        <w:gridCol w:w="976"/>
        <w:gridCol w:w="976"/>
        <w:gridCol w:w="976"/>
        <w:gridCol w:w="1209"/>
        <w:gridCol w:w="1040"/>
        <w:gridCol w:w="1040"/>
      </w:tblGrid>
      <w:tr w:rsidR="00B76AEE" w:rsidRPr="00B76AEE" w14:paraId="4E1DA7BA" w14:textId="77777777" w:rsidTr="001224CB">
        <w:trPr>
          <w:tblHeader/>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557BFBD1" w14:textId="77777777" w:rsidR="00B76AEE" w:rsidRPr="00B76AEE" w:rsidRDefault="00B76AEE" w:rsidP="00B76AEE">
            <w:pPr>
              <w:keepNext/>
              <w:keepLines/>
              <w:rPr>
                <w:b/>
                <w:bCs/>
                <w:sz w:val="19"/>
                <w:szCs w:val="19"/>
                <w:lang w:val="es-ES"/>
              </w:rPr>
            </w:pPr>
            <w:r w:rsidRPr="00B76AEE">
              <w:rPr>
                <w:b/>
                <w:sz w:val="19"/>
                <w:lang w:val="es-ES"/>
              </w:rPr>
              <w:t>Partida</w:t>
            </w:r>
          </w:p>
        </w:tc>
        <w:tc>
          <w:tcPr>
            <w:tcW w:w="976" w:type="dxa"/>
            <w:tcBorders>
              <w:top w:val="single" w:sz="4" w:space="0" w:color="auto"/>
              <w:left w:val="nil"/>
              <w:bottom w:val="single" w:sz="4" w:space="0" w:color="auto"/>
              <w:right w:val="single" w:sz="4" w:space="0" w:color="auto"/>
            </w:tcBorders>
            <w:shd w:val="clear" w:color="auto" w:fill="auto"/>
            <w:hideMark/>
          </w:tcPr>
          <w:p w14:paraId="10785CDE" w14:textId="77777777" w:rsidR="00B76AEE" w:rsidRPr="00B76AEE" w:rsidRDefault="00B76AEE" w:rsidP="00B76AEE">
            <w:pPr>
              <w:keepNext/>
              <w:keepLines/>
              <w:jc w:val="center"/>
              <w:rPr>
                <w:b/>
                <w:bCs/>
                <w:sz w:val="19"/>
                <w:szCs w:val="19"/>
                <w:lang w:val="es-ES"/>
              </w:rPr>
            </w:pPr>
            <w:r w:rsidRPr="00B76AEE">
              <w:rPr>
                <w:b/>
                <w:sz w:val="19"/>
                <w:lang w:val="es-ES"/>
              </w:rPr>
              <w:t>2018</w:t>
            </w:r>
          </w:p>
        </w:tc>
        <w:tc>
          <w:tcPr>
            <w:tcW w:w="976" w:type="dxa"/>
            <w:tcBorders>
              <w:top w:val="single" w:sz="4" w:space="0" w:color="auto"/>
              <w:left w:val="nil"/>
              <w:bottom w:val="single" w:sz="4" w:space="0" w:color="auto"/>
              <w:right w:val="single" w:sz="4" w:space="0" w:color="auto"/>
            </w:tcBorders>
            <w:shd w:val="clear" w:color="auto" w:fill="auto"/>
            <w:hideMark/>
          </w:tcPr>
          <w:p w14:paraId="748F5F40" w14:textId="77777777" w:rsidR="00B76AEE" w:rsidRPr="00B76AEE" w:rsidRDefault="00B76AEE" w:rsidP="00B76AEE">
            <w:pPr>
              <w:keepNext/>
              <w:keepLines/>
              <w:jc w:val="center"/>
              <w:rPr>
                <w:b/>
                <w:bCs/>
                <w:sz w:val="19"/>
                <w:szCs w:val="19"/>
                <w:lang w:val="es-ES"/>
              </w:rPr>
            </w:pPr>
            <w:r w:rsidRPr="00B76AEE">
              <w:rPr>
                <w:b/>
                <w:sz w:val="19"/>
                <w:lang w:val="es-ES"/>
              </w:rPr>
              <w:t>2019</w:t>
            </w:r>
          </w:p>
        </w:tc>
        <w:tc>
          <w:tcPr>
            <w:tcW w:w="976" w:type="dxa"/>
            <w:tcBorders>
              <w:top w:val="single" w:sz="4" w:space="0" w:color="auto"/>
              <w:left w:val="single" w:sz="4" w:space="0" w:color="auto"/>
              <w:bottom w:val="single" w:sz="4" w:space="0" w:color="auto"/>
              <w:right w:val="single" w:sz="4" w:space="0" w:color="auto"/>
            </w:tcBorders>
          </w:tcPr>
          <w:p w14:paraId="3B4619B4" w14:textId="77777777" w:rsidR="00B76AEE" w:rsidRPr="00B76AEE" w:rsidRDefault="00B76AEE" w:rsidP="00B76AEE">
            <w:pPr>
              <w:keepNext/>
              <w:keepLines/>
              <w:jc w:val="center"/>
              <w:rPr>
                <w:b/>
                <w:bCs/>
                <w:sz w:val="19"/>
                <w:szCs w:val="19"/>
                <w:lang w:val="es-ES"/>
              </w:rPr>
            </w:pPr>
            <w:r w:rsidRPr="00B76AEE">
              <w:rPr>
                <w:b/>
                <w:sz w:val="19"/>
                <w:lang w:val="es-ES"/>
              </w:rPr>
              <w:t>2020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14:paraId="0B54E72F" w14:textId="77777777" w:rsidR="00B76AEE" w:rsidRPr="00B76AEE" w:rsidRDefault="00B76AEE" w:rsidP="00B76AEE">
            <w:pPr>
              <w:keepNext/>
              <w:keepLines/>
              <w:jc w:val="center"/>
              <w:rPr>
                <w:b/>
                <w:bCs/>
                <w:sz w:val="19"/>
                <w:szCs w:val="19"/>
                <w:lang w:val="es-ES"/>
              </w:rPr>
            </w:pPr>
            <w:r w:rsidRPr="00B76AEE">
              <w:rPr>
                <w:b/>
                <w:sz w:val="19"/>
                <w:lang w:val="es-ES"/>
              </w:rPr>
              <w:t>2021</w:t>
            </w:r>
          </w:p>
        </w:tc>
        <w:tc>
          <w:tcPr>
            <w:tcW w:w="976" w:type="dxa"/>
            <w:tcBorders>
              <w:top w:val="single" w:sz="4" w:space="0" w:color="auto"/>
              <w:left w:val="nil"/>
              <w:bottom w:val="single" w:sz="4" w:space="0" w:color="auto"/>
              <w:right w:val="single" w:sz="4" w:space="0" w:color="auto"/>
            </w:tcBorders>
          </w:tcPr>
          <w:p w14:paraId="5335B2EA" w14:textId="77777777" w:rsidR="00B76AEE" w:rsidRPr="00B76AEE" w:rsidRDefault="00B76AEE" w:rsidP="00B76AEE">
            <w:pPr>
              <w:keepNext/>
              <w:keepLines/>
              <w:jc w:val="center"/>
              <w:rPr>
                <w:b/>
                <w:bCs/>
                <w:sz w:val="19"/>
                <w:szCs w:val="19"/>
                <w:lang w:val="es-ES"/>
              </w:rPr>
            </w:pPr>
            <w:r w:rsidRPr="00B76AEE">
              <w:rPr>
                <w:b/>
                <w:sz w:val="19"/>
                <w:lang w:val="es-ES"/>
              </w:rPr>
              <w:t>2022</w:t>
            </w:r>
          </w:p>
        </w:tc>
      </w:tr>
      <w:tr w:rsidR="00B76AEE" w:rsidRPr="00B76AEE" w14:paraId="06228DD3" w14:textId="77777777" w:rsidTr="001224CB">
        <w:trPr>
          <w:tblHeader/>
        </w:trPr>
        <w:tc>
          <w:tcPr>
            <w:tcW w:w="351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62B879E9" w14:textId="77777777" w:rsidR="00B76AEE" w:rsidRPr="00B76AEE" w:rsidRDefault="00B76AEE" w:rsidP="00B76AEE">
            <w:pPr>
              <w:jc w:val="left"/>
              <w:rPr>
                <w:b/>
                <w:bCs/>
                <w:sz w:val="19"/>
                <w:szCs w:val="19"/>
                <w:lang w:val="es-ES" w:eastAsia="en-CA"/>
              </w:rPr>
            </w:pPr>
          </w:p>
        </w:tc>
        <w:tc>
          <w:tcPr>
            <w:tcW w:w="976" w:type="dxa"/>
            <w:tcBorders>
              <w:top w:val="nil"/>
              <w:left w:val="nil"/>
              <w:bottom w:val="single" w:sz="4" w:space="0" w:color="auto"/>
              <w:right w:val="single" w:sz="4" w:space="0" w:color="auto"/>
            </w:tcBorders>
            <w:shd w:val="clear" w:color="auto" w:fill="auto"/>
            <w:hideMark/>
          </w:tcPr>
          <w:p w14:paraId="5A29DCB3" w14:textId="77777777" w:rsidR="00B76AEE" w:rsidRPr="00B76AEE" w:rsidRDefault="00B76AEE" w:rsidP="00B76AEE">
            <w:pPr>
              <w:jc w:val="center"/>
              <w:rPr>
                <w:b/>
                <w:bCs/>
                <w:sz w:val="19"/>
                <w:szCs w:val="19"/>
                <w:lang w:val="es-ES"/>
              </w:rPr>
            </w:pPr>
            <w:r w:rsidRPr="00B76AEE">
              <w:rPr>
                <w:b/>
                <w:sz w:val="19"/>
                <w:lang w:val="es-ES"/>
              </w:rPr>
              <w:t>Real</w:t>
            </w:r>
          </w:p>
        </w:tc>
        <w:tc>
          <w:tcPr>
            <w:tcW w:w="976" w:type="dxa"/>
            <w:tcBorders>
              <w:top w:val="nil"/>
              <w:left w:val="nil"/>
              <w:bottom w:val="single" w:sz="4" w:space="0" w:color="auto"/>
              <w:right w:val="single" w:sz="4" w:space="0" w:color="auto"/>
            </w:tcBorders>
            <w:shd w:val="clear" w:color="auto" w:fill="auto"/>
            <w:hideMark/>
          </w:tcPr>
          <w:p w14:paraId="13049EF0" w14:textId="77777777" w:rsidR="00B76AEE" w:rsidRPr="00B76AEE" w:rsidRDefault="00B76AEE" w:rsidP="00B76AEE">
            <w:pPr>
              <w:jc w:val="center"/>
              <w:rPr>
                <w:b/>
                <w:bCs/>
                <w:sz w:val="19"/>
                <w:szCs w:val="19"/>
                <w:lang w:val="es-ES"/>
              </w:rPr>
            </w:pPr>
            <w:r w:rsidRPr="00B76AEE">
              <w:rPr>
                <w:b/>
                <w:sz w:val="19"/>
                <w:lang w:val="es-ES"/>
              </w:rPr>
              <w:t>Real</w:t>
            </w:r>
          </w:p>
        </w:tc>
        <w:tc>
          <w:tcPr>
            <w:tcW w:w="976" w:type="dxa"/>
            <w:tcBorders>
              <w:top w:val="single" w:sz="4" w:space="0" w:color="auto"/>
              <w:left w:val="single" w:sz="4" w:space="0" w:color="auto"/>
              <w:bottom w:val="single" w:sz="4" w:space="0" w:color="auto"/>
              <w:right w:val="single" w:sz="4" w:space="0" w:color="auto"/>
            </w:tcBorders>
          </w:tcPr>
          <w:p w14:paraId="335223D9" w14:textId="77777777" w:rsidR="00B76AEE" w:rsidRPr="00B76AEE" w:rsidRDefault="00B76AEE" w:rsidP="00B76AEE">
            <w:pPr>
              <w:jc w:val="center"/>
              <w:rPr>
                <w:b/>
                <w:bCs/>
                <w:sz w:val="19"/>
                <w:szCs w:val="19"/>
                <w:lang w:val="es-ES"/>
              </w:rPr>
            </w:pPr>
            <w:r w:rsidRPr="00B76AEE">
              <w:rPr>
                <w:b/>
                <w:sz w:val="19"/>
                <w:lang w:val="es-ES"/>
              </w:rPr>
              <w:t>Real</w:t>
            </w:r>
          </w:p>
        </w:tc>
        <w:tc>
          <w:tcPr>
            <w:tcW w:w="976" w:type="dxa"/>
            <w:tcBorders>
              <w:top w:val="nil"/>
              <w:left w:val="single" w:sz="4" w:space="0" w:color="auto"/>
              <w:bottom w:val="single" w:sz="4" w:space="0" w:color="auto"/>
              <w:right w:val="single" w:sz="4" w:space="0" w:color="auto"/>
            </w:tcBorders>
            <w:shd w:val="clear" w:color="auto" w:fill="auto"/>
            <w:hideMark/>
          </w:tcPr>
          <w:p w14:paraId="7135FA52" w14:textId="77777777" w:rsidR="00B76AEE" w:rsidRPr="00B76AEE" w:rsidRDefault="00B76AEE" w:rsidP="00B76AEE">
            <w:pPr>
              <w:jc w:val="center"/>
              <w:rPr>
                <w:b/>
                <w:bCs/>
                <w:sz w:val="19"/>
                <w:szCs w:val="19"/>
                <w:lang w:val="es-ES"/>
              </w:rPr>
            </w:pPr>
            <w:r w:rsidRPr="00B76AEE">
              <w:rPr>
                <w:b/>
                <w:sz w:val="19"/>
                <w:lang w:val="es-ES"/>
              </w:rPr>
              <w:t>Presupuesto</w:t>
            </w:r>
          </w:p>
        </w:tc>
        <w:tc>
          <w:tcPr>
            <w:tcW w:w="1040" w:type="dxa"/>
            <w:tcBorders>
              <w:top w:val="nil"/>
              <w:left w:val="nil"/>
              <w:bottom w:val="single" w:sz="4" w:space="0" w:color="auto"/>
              <w:right w:val="single" w:sz="4" w:space="0" w:color="auto"/>
            </w:tcBorders>
            <w:shd w:val="clear" w:color="auto" w:fill="auto"/>
            <w:hideMark/>
          </w:tcPr>
          <w:p w14:paraId="3ED1085C" w14:textId="77777777" w:rsidR="00B76AEE" w:rsidRPr="00B76AEE" w:rsidRDefault="00B76AEE" w:rsidP="00B76AEE">
            <w:pPr>
              <w:jc w:val="center"/>
              <w:rPr>
                <w:b/>
                <w:bCs/>
                <w:sz w:val="19"/>
                <w:szCs w:val="19"/>
                <w:lang w:val="es-ES"/>
              </w:rPr>
            </w:pPr>
            <w:r w:rsidRPr="00B76AEE">
              <w:rPr>
                <w:b/>
                <w:sz w:val="19"/>
                <w:lang w:val="es-ES"/>
              </w:rPr>
              <w:t>Estimado</w:t>
            </w:r>
          </w:p>
        </w:tc>
        <w:tc>
          <w:tcPr>
            <w:tcW w:w="976" w:type="dxa"/>
            <w:tcBorders>
              <w:top w:val="nil"/>
              <w:left w:val="nil"/>
              <w:bottom w:val="single" w:sz="4" w:space="0" w:color="auto"/>
              <w:right w:val="single" w:sz="4" w:space="0" w:color="auto"/>
            </w:tcBorders>
          </w:tcPr>
          <w:p w14:paraId="743A92E7" w14:textId="77777777" w:rsidR="00B76AEE" w:rsidRPr="00B76AEE" w:rsidRDefault="00B76AEE" w:rsidP="00B76AEE">
            <w:pPr>
              <w:jc w:val="center"/>
              <w:rPr>
                <w:b/>
                <w:bCs/>
                <w:sz w:val="19"/>
                <w:szCs w:val="19"/>
                <w:lang w:val="es-ES"/>
              </w:rPr>
            </w:pPr>
            <w:r w:rsidRPr="00B76AEE">
              <w:rPr>
                <w:b/>
                <w:sz w:val="19"/>
                <w:lang w:val="es-ES"/>
              </w:rPr>
              <w:t>Propuesto</w:t>
            </w:r>
          </w:p>
        </w:tc>
      </w:tr>
      <w:tr w:rsidR="00B76AEE" w:rsidRPr="00B76AEE" w14:paraId="532B8496"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A78C53" w14:textId="77777777" w:rsidR="00B76AEE" w:rsidRPr="00B76AEE" w:rsidRDefault="00B76AEE" w:rsidP="00B76AEE">
            <w:pPr>
              <w:jc w:val="left"/>
              <w:rPr>
                <w:sz w:val="19"/>
                <w:szCs w:val="19"/>
                <w:lang w:val="es-ES"/>
              </w:rPr>
            </w:pPr>
            <w:r w:rsidRPr="00B76AEE">
              <w:rPr>
                <w:sz w:val="19"/>
                <w:lang w:val="es-ES"/>
              </w:rPr>
              <w:t>Personal de unidad central y personal contratado</w:t>
            </w:r>
          </w:p>
        </w:tc>
        <w:tc>
          <w:tcPr>
            <w:tcW w:w="976" w:type="dxa"/>
            <w:tcBorders>
              <w:top w:val="nil"/>
              <w:left w:val="nil"/>
              <w:bottom w:val="single" w:sz="4" w:space="0" w:color="auto"/>
              <w:right w:val="single" w:sz="4" w:space="0" w:color="auto"/>
            </w:tcBorders>
            <w:shd w:val="clear" w:color="auto" w:fill="auto"/>
            <w:noWrap/>
            <w:hideMark/>
          </w:tcPr>
          <w:p w14:paraId="14BF4098" w14:textId="77777777" w:rsidR="00B76AEE" w:rsidRPr="00B76AEE" w:rsidRDefault="00B76AEE" w:rsidP="00B76AEE">
            <w:pPr>
              <w:jc w:val="right"/>
              <w:rPr>
                <w:sz w:val="19"/>
                <w:szCs w:val="19"/>
                <w:lang w:val="es-ES"/>
              </w:rPr>
            </w:pPr>
            <w:r w:rsidRPr="00B76AEE">
              <w:rPr>
                <w:sz w:val="19"/>
                <w:lang w:val="es-ES"/>
              </w:rPr>
              <w:t>1 307 624</w:t>
            </w:r>
          </w:p>
        </w:tc>
        <w:tc>
          <w:tcPr>
            <w:tcW w:w="976" w:type="dxa"/>
            <w:tcBorders>
              <w:top w:val="nil"/>
              <w:left w:val="nil"/>
              <w:bottom w:val="single" w:sz="4" w:space="0" w:color="auto"/>
              <w:right w:val="single" w:sz="4" w:space="0" w:color="auto"/>
            </w:tcBorders>
            <w:shd w:val="clear" w:color="auto" w:fill="auto"/>
            <w:noWrap/>
            <w:hideMark/>
          </w:tcPr>
          <w:p w14:paraId="081DC530" w14:textId="77777777" w:rsidR="00B76AEE" w:rsidRPr="00B76AEE" w:rsidRDefault="00B76AEE" w:rsidP="00B76AEE">
            <w:pPr>
              <w:jc w:val="right"/>
              <w:rPr>
                <w:sz w:val="19"/>
                <w:szCs w:val="19"/>
                <w:lang w:val="es-ES"/>
              </w:rPr>
            </w:pPr>
            <w:r w:rsidRPr="00B76AEE">
              <w:rPr>
                <w:sz w:val="19"/>
                <w:lang w:val="es-ES"/>
              </w:rPr>
              <w:t>1 351 602</w:t>
            </w:r>
          </w:p>
        </w:tc>
        <w:tc>
          <w:tcPr>
            <w:tcW w:w="976" w:type="dxa"/>
            <w:tcBorders>
              <w:top w:val="single" w:sz="4" w:space="0" w:color="auto"/>
              <w:left w:val="single" w:sz="4" w:space="0" w:color="auto"/>
              <w:bottom w:val="single" w:sz="4" w:space="0" w:color="auto"/>
              <w:right w:val="single" w:sz="4" w:space="0" w:color="auto"/>
            </w:tcBorders>
          </w:tcPr>
          <w:p w14:paraId="79227E3A" w14:textId="77777777" w:rsidR="00B76AEE" w:rsidRPr="00B76AEE" w:rsidRDefault="00B76AEE" w:rsidP="00B76AEE">
            <w:pPr>
              <w:jc w:val="right"/>
              <w:rPr>
                <w:sz w:val="19"/>
                <w:szCs w:val="19"/>
                <w:lang w:val="es-ES"/>
              </w:rPr>
            </w:pPr>
            <w:r w:rsidRPr="00B76AEE">
              <w:rPr>
                <w:sz w:val="19"/>
                <w:lang w:val="es-ES"/>
              </w:rPr>
              <w:t>1 416 184</w:t>
            </w:r>
          </w:p>
        </w:tc>
        <w:tc>
          <w:tcPr>
            <w:tcW w:w="976" w:type="dxa"/>
            <w:tcBorders>
              <w:top w:val="nil"/>
              <w:left w:val="single" w:sz="4" w:space="0" w:color="auto"/>
              <w:bottom w:val="single" w:sz="4" w:space="0" w:color="auto"/>
              <w:right w:val="single" w:sz="4" w:space="0" w:color="auto"/>
            </w:tcBorders>
            <w:shd w:val="clear" w:color="auto" w:fill="auto"/>
            <w:noWrap/>
          </w:tcPr>
          <w:p w14:paraId="3B517553" w14:textId="77777777" w:rsidR="00B76AEE" w:rsidRPr="00B76AEE" w:rsidRDefault="00B76AEE" w:rsidP="00B76AEE">
            <w:pPr>
              <w:jc w:val="right"/>
              <w:rPr>
                <w:sz w:val="19"/>
                <w:szCs w:val="19"/>
                <w:lang w:val="es-ES"/>
              </w:rPr>
            </w:pPr>
            <w:r w:rsidRPr="00B76AEE">
              <w:rPr>
                <w:sz w:val="19"/>
                <w:lang w:val="es-ES"/>
              </w:rPr>
              <w:t>1 294 600</w:t>
            </w:r>
          </w:p>
        </w:tc>
        <w:tc>
          <w:tcPr>
            <w:tcW w:w="1040" w:type="dxa"/>
            <w:tcBorders>
              <w:top w:val="nil"/>
              <w:left w:val="nil"/>
              <w:bottom w:val="single" w:sz="4" w:space="0" w:color="auto"/>
              <w:right w:val="single" w:sz="4" w:space="0" w:color="auto"/>
            </w:tcBorders>
            <w:shd w:val="clear" w:color="auto" w:fill="auto"/>
            <w:noWrap/>
          </w:tcPr>
          <w:p w14:paraId="3F0ECD8A" w14:textId="77777777" w:rsidR="00B76AEE" w:rsidRPr="00B76AEE" w:rsidRDefault="00B76AEE" w:rsidP="00B76AEE">
            <w:pPr>
              <w:jc w:val="right"/>
              <w:rPr>
                <w:sz w:val="19"/>
                <w:szCs w:val="19"/>
                <w:lang w:val="es-ES"/>
              </w:rPr>
            </w:pPr>
            <w:r w:rsidRPr="00B76AEE">
              <w:rPr>
                <w:sz w:val="19"/>
                <w:lang w:val="es-ES"/>
              </w:rPr>
              <w:t>1 289 700</w:t>
            </w:r>
          </w:p>
        </w:tc>
        <w:tc>
          <w:tcPr>
            <w:tcW w:w="976" w:type="dxa"/>
            <w:tcBorders>
              <w:top w:val="nil"/>
              <w:left w:val="nil"/>
              <w:bottom w:val="single" w:sz="4" w:space="0" w:color="auto"/>
              <w:right w:val="single" w:sz="4" w:space="0" w:color="auto"/>
            </w:tcBorders>
          </w:tcPr>
          <w:p w14:paraId="35EFFF8D" w14:textId="77777777" w:rsidR="00B76AEE" w:rsidRPr="00B76AEE" w:rsidRDefault="00B76AEE" w:rsidP="00B76AEE">
            <w:pPr>
              <w:jc w:val="right"/>
              <w:rPr>
                <w:sz w:val="19"/>
                <w:szCs w:val="19"/>
                <w:lang w:val="es-ES"/>
              </w:rPr>
            </w:pPr>
            <w:r w:rsidRPr="00B76AEE">
              <w:rPr>
                <w:sz w:val="19"/>
                <w:lang w:val="es-ES"/>
              </w:rPr>
              <w:t>1 395 100</w:t>
            </w:r>
          </w:p>
        </w:tc>
      </w:tr>
      <w:tr w:rsidR="00B76AEE" w:rsidRPr="00B76AEE" w14:paraId="1205793A"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8A4974" w14:textId="77777777" w:rsidR="00B76AEE" w:rsidRPr="00B76AEE" w:rsidRDefault="00B76AEE" w:rsidP="00B76AEE">
            <w:pPr>
              <w:jc w:val="left"/>
              <w:rPr>
                <w:sz w:val="19"/>
                <w:szCs w:val="19"/>
                <w:lang w:val="es-ES"/>
              </w:rPr>
            </w:pPr>
            <w:r w:rsidRPr="00B76AEE">
              <w:rPr>
                <w:sz w:val="19"/>
                <w:lang w:val="es-ES"/>
              </w:rPr>
              <w:t>Viajes (funcionarios y consultores)</w:t>
            </w:r>
          </w:p>
        </w:tc>
        <w:tc>
          <w:tcPr>
            <w:tcW w:w="976" w:type="dxa"/>
            <w:tcBorders>
              <w:top w:val="nil"/>
              <w:left w:val="nil"/>
              <w:bottom w:val="single" w:sz="4" w:space="0" w:color="auto"/>
              <w:right w:val="single" w:sz="4" w:space="0" w:color="auto"/>
            </w:tcBorders>
            <w:shd w:val="clear" w:color="auto" w:fill="auto"/>
            <w:noWrap/>
            <w:hideMark/>
          </w:tcPr>
          <w:p w14:paraId="1F30D49D" w14:textId="77777777" w:rsidR="00B76AEE" w:rsidRPr="00B76AEE" w:rsidRDefault="00B76AEE" w:rsidP="00B76AEE">
            <w:pPr>
              <w:jc w:val="right"/>
              <w:rPr>
                <w:sz w:val="19"/>
                <w:szCs w:val="19"/>
                <w:lang w:val="es-ES"/>
              </w:rPr>
            </w:pPr>
            <w:r w:rsidRPr="00B76AEE">
              <w:rPr>
                <w:sz w:val="19"/>
                <w:lang w:val="es-ES"/>
              </w:rPr>
              <w:t>196 736</w:t>
            </w:r>
          </w:p>
        </w:tc>
        <w:tc>
          <w:tcPr>
            <w:tcW w:w="976" w:type="dxa"/>
            <w:tcBorders>
              <w:top w:val="nil"/>
              <w:left w:val="nil"/>
              <w:bottom w:val="single" w:sz="4" w:space="0" w:color="auto"/>
              <w:right w:val="single" w:sz="4" w:space="0" w:color="auto"/>
            </w:tcBorders>
            <w:shd w:val="clear" w:color="auto" w:fill="auto"/>
            <w:noWrap/>
            <w:hideMark/>
          </w:tcPr>
          <w:p w14:paraId="2F594CF9" w14:textId="77777777" w:rsidR="00B76AEE" w:rsidRPr="00B76AEE" w:rsidRDefault="00B76AEE" w:rsidP="00B76AEE">
            <w:pPr>
              <w:jc w:val="right"/>
              <w:rPr>
                <w:sz w:val="19"/>
                <w:szCs w:val="19"/>
                <w:lang w:val="es-ES"/>
              </w:rPr>
            </w:pPr>
            <w:r w:rsidRPr="00B76AEE">
              <w:rPr>
                <w:sz w:val="19"/>
                <w:lang w:val="es-ES"/>
              </w:rPr>
              <w:t>137 864</w:t>
            </w:r>
          </w:p>
        </w:tc>
        <w:tc>
          <w:tcPr>
            <w:tcW w:w="976" w:type="dxa"/>
            <w:tcBorders>
              <w:top w:val="single" w:sz="4" w:space="0" w:color="auto"/>
              <w:left w:val="single" w:sz="4" w:space="0" w:color="auto"/>
              <w:bottom w:val="single" w:sz="4" w:space="0" w:color="auto"/>
              <w:right w:val="single" w:sz="4" w:space="0" w:color="auto"/>
            </w:tcBorders>
          </w:tcPr>
          <w:p w14:paraId="0FEAC04E" w14:textId="77777777" w:rsidR="00B76AEE" w:rsidRPr="00B76AEE" w:rsidRDefault="00B76AEE" w:rsidP="00B76AEE">
            <w:pPr>
              <w:jc w:val="right"/>
              <w:rPr>
                <w:sz w:val="19"/>
                <w:szCs w:val="19"/>
                <w:lang w:val="es-ES"/>
              </w:rPr>
            </w:pPr>
            <w:r w:rsidRPr="00B76AEE">
              <w:rPr>
                <w:sz w:val="19"/>
                <w:lang w:val="es-ES"/>
              </w:rPr>
              <w:t>16 004</w:t>
            </w:r>
          </w:p>
        </w:tc>
        <w:tc>
          <w:tcPr>
            <w:tcW w:w="976" w:type="dxa"/>
            <w:tcBorders>
              <w:top w:val="nil"/>
              <w:left w:val="single" w:sz="4" w:space="0" w:color="auto"/>
              <w:bottom w:val="single" w:sz="4" w:space="0" w:color="auto"/>
              <w:right w:val="single" w:sz="4" w:space="0" w:color="auto"/>
            </w:tcBorders>
            <w:shd w:val="clear" w:color="auto" w:fill="auto"/>
            <w:noWrap/>
          </w:tcPr>
          <w:p w14:paraId="3BE02DA1" w14:textId="77777777" w:rsidR="00B76AEE" w:rsidRPr="00B76AEE" w:rsidRDefault="00B76AEE" w:rsidP="00B76AEE">
            <w:pPr>
              <w:jc w:val="right"/>
              <w:rPr>
                <w:sz w:val="19"/>
                <w:szCs w:val="19"/>
                <w:lang w:val="es-ES"/>
              </w:rPr>
            </w:pPr>
            <w:r w:rsidRPr="00B76AEE">
              <w:rPr>
                <w:sz w:val="19"/>
                <w:lang w:val="es-ES"/>
              </w:rPr>
              <w:t>121 700</w:t>
            </w:r>
          </w:p>
        </w:tc>
        <w:tc>
          <w:tcPr>
            <w:tcW w:w="1040" w:type="dxa"/>
            <w:tcBorders>
              <w:top w:val="nil"/>
              <w:left w:val="nil"/>
              <w:bottom w:val="single" w:sz="4" w:space="0" w:color="auto"/>
              <w:right w:val="single" w:sz="4" w:space="0" w:color="auto"/>
            </w:tcBorders>
            <w:shd w:val="clear" w:color="auto" w:fill="auto"/>
            <w:noWrap/>
          </w:tcPr>
          <w:p w14:paraId="2243434B"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09796ADE" w14:textId="77777777" w:rsidR="00B76AEE" w:rsidRPr="00B76AEE" w:rsidRDefault="00B76AEE" w:rsidP="00B76AEE">
            <w:pPr>
              <w:jc w:val="right"/>
              <w:rPr>
                <w:sz w:val="19"/>
                <w:szCs w:val="19"/>
                <w:lang w:val="es-ES"/>
              </w:rPr>
            </w:pPr>
            <w:r w:rsidRPr="00B76AEE">
              <w:rPr>
                <w:sz w:val="19"/>
                <w:lang w:val="es-ES"/>
              </w:rPr>
              <w:t>200 000</w:t>
            </w:r>
          </w:p>
        </w:tc>
      </w:tr>
      <w:tr w:rsidR="00B76AEE" w:rsidRPr="00B76AEE" w14:paraId="5BB30FE1"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0870D9" w14:textId="77777777" w:rsidR="00B76AEE" w:rsidRPr="00B76AEE" w:rsidRDefault="00B76AEE" w:rsidP="00B76AEE">
            <w:pPr>
              <w:jc w:val="left"/>
              <w:rPr>
                <w:sz w:val="19"/>
                <w:szCs w:val="19"/>
                <w:lang w:val="es-ES"/>
              </w:rPr>
            </w:pPr>
            <w:r w:rsidRPr="00B76AEE">
              <w:rPr>
                <w:sz w:val="19"/>
                <w:lang w:val="es-ES"/>
              </w:rPr>
              <w:t>Oficinas (alquiler y gastos ordinarios)</w:t>
            </w:r>
          </w:p>
        </w:tc>
        <w:tc>
          <w:tcPr>
            <w:tcW w:w="976" w:type="dxa"/>
            <w:tcBorders>
              <w:top w:val="nil"/>
              <w:left w:val="nil"/>
              <w:bottom w:val="single" w:sz="4" w:space="0" w:color="auto"/>
              <w:right w:val="single" w:sz="4" w:space="0" w:color="auto"/>
            </w:tcBorders>
            <w:shd w:val="clear" w:color="auto" w:fill="auto"/>
            <w:noWrap/>
            <w:hideMark/>
          </w:tcPr>
          <w:p w14:paraId="19DE1950" w14:textId="77777777" w:rsidR="00B76AEE" w:rsidRPr="00B76AEE" w:rsidRDefault="00B76AEE" w:rsidP="00B76AEE">
            <w:pPr>
              <w:jc w:val="right"/>
              <w:rPr>
                <w:sz w:val="19"/>
                <w:szCs w:val="19"/>
                <w:lang w:val="es-ES"/>
              </w:rPr>
            </w:pPr>
            <w:r w:rsidRPr="00B76AEE">
              <w:rPr>
                <w:sz w:val="19"/>
                <w:lang w:val="es-ES"/>
              </w:rPr>
              <w:t>80 548</w:t>
            </w:r>
          </w:p>
        </w:tc>
        <w:tc>
          <w:tcPr>
            <w:tcW w:w="976" w:type="dxa"/>
            <w:tcBorders>
              <w:top w:val="nil"/>
              <w:left w:val="nil"/>
              <w:bottom w:val="single" w:sz="4" w:space="0" w:color="auto"/>
              <w:right w:val="single" w:sz="4" w:space="0" w:color="auto"/>
            </w:tcBorders>
            <w:shd w:val="clear" w:color="auto" w:fill="auto"/>
            <w:noWrap/>
            <w:hideMark/>
          </w:tcPr>
          <w:p w14:paraId="787DDBDD" w14:textId="77777777" w:rsidR="00B76AEE" w:rsidRPr="00B76AEE" w:rsidRDefault="00B76AEE" w:rsidP="00B76AEE">
            <w:pPr>
              <w:jc w:val="right"/>
              <w:rPr>
                <w:sz w:val="19"/>
                <w:szCs w:val="19"/>
                <w:lang w:val="es-ES"/>
              </w:rPr>
            </w:pPr>
            <w:r w:rsidRPr="00B76AEE">
              <w:rPr>
                <w:sz w:val="19"/>
                <w:lang w:val="es-ES"/>
              </w:rPr>
              <w:t>84 323</w:t>
            </w:r>
          </w:p>
        </w:tc>
        <w:tc>
          <w:tcPr>
            <w:tcW w:w="976" w:type="dxa"/>
            <w:tcBorders>
              <w:top w:val="single" w:sz="4" w:space="0" w:color="auto"/>
              <w:left w:val="single" w:sz="4" w:space="0" w:color="auto"/>
              <w:bottom w:val="single" w:sz="4" w:space="0" w:color="auto"/>
              <w:right w:val="single" w:sz="4" w:space="0" w:color="auto"/>
            </w:tcBorders>
          </w:tcPr>
          <w:p w14:paraId="0F68AA45" w14:textId="77777777" w:rsidR="00B76AEE" w:rsidRPr="00B76AEE" w:rsidRDefault="00B76AEE" w:rsidP="00B76AEE">
            <w:pPr>
              <w:jc w:val="right"/>
              <w:rPr>
                <w:sz w:val="19"/>
                <w:szCs w:val="19"/>
                <w:lang w:val="es-ES"/>
              </w:rPr>
            </w:pPr>
            <w:r w:rsidRPr="00B76AEE">
              <w:rPr>
                <w:sz w:val="19"/>
                <w:lang w:val="es-ES"/>
              </w:rPr>
              <w:t>84 131</w:t>
            </w:r>
          </w:p>
        </w:tc>
        <w:tc>
          <w:tcPr>
            <w:tcW w:w="976" w:type="dxa"/>
            <w:tcBorders>
              <w:top w:val="nil"/>
              <w:left w:val="single" w:sz="4" w:space="0" w:color="auto"/>
              <w:bottom w:val="single" w:sz="4" w:space="0" w:color="auto"/>
              <w:right w:val="single" w:sz="4" w:space="0" w:color="auto"/>
            </w:tcBorders>
            <w:shd w:val="clear" w:color="auto" w:fill="auto"/>
            <w:noWrap/>
          </w:tcPr>
          <w:p w14:paraId="3D58CBA5" w14:textId="77777777" w:rsidR="00B76AEE" w:rsidRPr="00B76AEE" w:rsidRDefault="00B76AEE" w:rsidP="00B76AEE">
            <w:pPr>
              <w:jc w:val="right"/>
              <w:rPr>
                <w:sz w:val="19"/>
                <w:szCs w:val="19"/>
                <w:lang w:val="es-ES"/>
              </w:rPr>
            </w:pPr>
            <w:r w:rsidRPr="00B76AEE">
              <w:rPr>
                <w:sz w:val="19"/>
                <w:lang w:val="es-ES"/>
              </w:rPr>
              <w:t>73 900</w:t>
            </w:r>
          </w:p>
        </w:tc>
        <w:tc>
          <w:tcPr>
            <w:tcW w:w="1040" w:type="dxa"/>
            <w:tcBorders>
              <w:top w:val="nil"/>
              <w:left w:val="nil"/>
              <w:bottom w:val="single" w:sz="4" w:space="0" w:color="auto"/>
              <w:right w:val="single" w:sz="4" w:space="0" w:color="auto"/>
            </w:tcBorders>
            <w:shd w:val="clear" w:color="auto" w:fill="auto"/>
            <w:noWrap/>
          </w:tcPr>
          <w:p w14:paraId="128943B9" w14:textId="77777777" w:rsidR="00B76AEE" w:rsidRPr="00B76AEE" w:rsidRDefault="00B76AEE" w:rsidP="00B76AEE">
            <w:pPr>
              <w:jc w:val="right"/>
              <w:rPr>
                <w:sz w:val="19"/>
                <w:szCs w:val="19"/>
                <w:lang w:val="es-ES"/>
              </w:rPr>
            </w:pPr>
            <w:r w:rsidRPr="00B76AEE">
              <w:rPr>
                <w:sz w:val="19"/>
                <w:lang w:val="es-ES"/>
              </w:rPr>
              <w:t>73 300</w:t>
            </w:r>
          </w:p>
        </w:tc>
        <w:tc>
          <w:tcPr>
            <w:tcW w:w="976" w:type="dxa"/>
            <w:tcBorders>
              <w:top w:val="nil"/>
              <w:left w:val="nil"/>
              <w:bottom w:val="single" w:sz="4" w:space="0" w:color="auto"/>
              <w:right w:val="single" w:sz="4" w:space="0" w:color="auto"/>
            </w:tcBorders>
          </w:tcPr>
          <w:p w14:paraId="36F7CE53" w14:textId="77777777" w:rsidR="00B76AEE" w:rsidRPr="00B76AEE" w:rsidRDefault="00B76AEE" w:rsidP="00B76AEE">
            <w:pPr>
              <w:jc w:val="right"/>
              <w:rPr>
                <w:sz w:val="19"/>
                <w:szCs w:val="19"/>
                <w:lang w:val="es-ES"/>
              </w:rPr>
            </w:pPr>
            <w:r w:rsidRPr="00B76AEE">
              <w:rPr>
                <w:sz w:val="19"/>
                <w:lang w:val="es-ES"/>
              </w:rPr>
              <w:t>71 800</w:t>
            </w:r>
          </w:p>
        </w:tc>
      </w:tr>
      <w:tr w:rsidR="00B76AEE" w:rsidRPr="00B76AEE" w14:paraId="38C5BA72"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7520BF" w14:textId="77777777" w:rsidR="00B76AEE" w:rsidRPr="00B76AEE" w:rsidRDefault="00B76AEE" w:rsidP="00B76AEE">
            <w:pPr>
              <w:jc w:val="left"/>
              <w:rPr>
                <w:sz w:val="19"/>
                <w:szCs w:val="19"/>
                <w:lang w:val="es-ES"/>
              </w:rPr>
            </w:pPr>
            <w:r w:rsidRPr="00B76AEE">
              <w:rPr>
                <w:sz w:val="19"/>
                <w:lang w:val="es-ES"/>
              </w:rPr>
              <w:t>Costo de equipos y otros (computadoras, suministros)</w:t>
            </w:r>
          </w:p>
        </w:tc>
        <w:tc>
          <w:tcPr>
            <w:tcW w:w="976" w:type="dxa"/>
            <w:tcBorders>
              <w:top w:val="nil"/>
              <w:left w:val="nil"/>
              <w:bottom w:val="single" w:sz="4" w:space="0" w:color="auto"/>
              <w:right w:val="single" w:sz="4" w:space="0" w:color="auto"/>
            </w:tcBorders>
            <w:shd w:val="clear" w:color="auto" w:fill="auto"/>
            <w:noWrap/>
            <w:hideMark/>
          </w:tcPr>
          <w:p w14:paraId="4B7642D0" w14:textId="77777777" w:rsidR="00B76AEE" w:rsidRPr="00B76AEE" w:rsidRDefault="00B76AEE" w:rsidP="00B76AEE">
            <w:pPr>
              <w:jc w:val="right"/>
              <w:rPr>
                <w:sz w:val="19"/>
                <w:szCs w:val="19"/>
                <w:lang w:val="es-ES"/>
              </w:rPr>
            </w:pPr>
            <w:r w:rsidRPr="00B76AEE">
              <w:rPr>
                <w:sz w:val="19"/>
                <w:lang w:val="es-ES"/>
              </w:rPr>
              <w:t>33 842</w:t>
            </w:r>
          </w:p>
        </w:tc>
        <w:tc>
          <w:tcPr>
            <w:tcW w:w="976" w:type="dxa"/>
            <w:tcBorders>
              <w:top w:val="nil"/>
              <w:left w:val="nil"/>
              <w:bottom w:val="single" w:sz="4" w:space="0" w:color="auto"/>
              <w:right w:val="single" w:sz="4" w:space="0" w:color="auto"/>
            </w:tcBorders>
            <w:shd w:val="clear" w:color="auto" w:fill="auto"/>
            <w:noWrap/>
            <w:hideMark/>
          </w:tcPr>
          <w:p w14:paraId="12EDF01F" w14:textId="77777777" w:rsidR="00B76AEE" w:rsidRPr="00B76AEE" w:rsidRDefault="00B76AEE" w:rsidP="00B76AEE">
            <w:pPr>
              <w:jc w:val="right"/>
              <w:rPr>
                <w:sz w:val="19"/>
                <w:szCs w:val="19"/>
                <w:lang w:val="es-ES"/>
              </w:rPr>
            </w:pPr>
            <w:r w:rsidRPr="00B76AEE">
              <w:rPr>
                <w:sz w:val="19"/>
                <w:lang w:val="es-ES"/>
              </w:rPr>
              <w:t>63 164</w:t>
            </w:r>
          </w:p>
        </w:tc>
        <w:tc>
          <w:tcPr>
            <w:tcW w:w="976" w:type="dxa"/>
            <w:tcBorders>
              <w:top w:val="single" w:sz="4" w:space="0" w:color="auto"/>
              <w:left w:val="single" w:sz="4" w:space="0" w:color="auto"/>
              <w:bottom w:val="single" w:sz="4" w:space="0" w:color="auto"/>
              <w:right w:val="single" w:sz="4" w:space="0" w:color="auto"/>
            </w:tcBorders>
          </w:tcPr>
          <w:p w14:paraId="4D217E79" w14:textId="77777777" w:rsidR="00B76AEE" w:rsidRPr="00B76AEE" w:rsidRDefault="00B76AEE" w:rsidP="00B76AEE">
            <w:pPr>
              <w:jc w:val="right"/>
              <w:rPr>
                <w:sz w:val="19"/>
                <w:szCs w:val="19"/>
                <w:lang w:val="es-ES"/>
              </w:rPr>
            </w:pPr>
            <w:r w:rsidRPr="00B76AEE">
              <w:rPr>
                <w:sz w:val="19"/>
                <w:lang w:val="es-ES"/>
              </w:rPr>
              <w:t>33 721</w:t>
            </w:r>
          </w:p>
        </w:tc>
        <w:tc>
          <w:tcPr>
            <w:tcW w:w="976" w:type="dxa"/>
            <w:tcBorders>
              <w:top w:val="nil"/>
              <w:left w:val="single" w:sz="4" w:space="0" w:color="auto"/>
              <w:bottom w:val="single" w:sz="4" w:space="0" w:color="auto"/>
              <w:right w:val="single" w:sz="4" w:space="0" w:color="auto"/>
            </w:tcBorders>
            <w:shd w:val="clear" w:color="auto" w:fill="auto"/>
            <w:noWrap/>
          </w:tcPr>
          <w:p w14:paraId="18FDBE0D" w14:textId="77777777" w:rsidR="00B76AEE" w:rsidRPr="00B76AEE" w:rsidRDefault="00B76AEE" w:rsidP="00B76AEE">
            <w:pPr>
              <w:jc w:val="right"/>
              <w:rPr>
                <w:sz w:val="19"/>
                <w:szCs w:val="19"/>
                <w:lang w:val="es-ES"/>
              </w:rPr>
            </w:pPr>
            <w:r w:rsidRPr="00B76AEE">
              <w:rPr>
                <w:sz w:val="19"/>
                <w:lang w:val="es-ES"/>
              </w:rPr>
              <w:t>48 000</w:t>
            </w:r>
          </w:p>
        </w:tc>
        <w:tc>
          <w:tcPr>
            <w:tcW w:w="1040" w:type="dxa"/>
            <w:tcBorders>
              <w:top w:val="nil"/>
              <w:left w:val="nil"/>
              <w:bottom w:val="single" w:sz="4" w:space="0" w:color="auto"/>
              <w:right w:val="single" w:sz="4" w:space="0" w:color="auto"/>
            </w:tcBorders>
            <w:shd w:val="clear" w:color="auto" w:fill="auto"/>
            <w:noWrap/>
          </w:tcPr>
          <w:p w14:paraId="5970C73F" w14:textId="77777777" w:rsidR="00B76AEE" w:rsidRPr="00B76AEE" w:rsidRDefault="00B76AEE" w:rsidP="00B76AEE">
            <w:pPr>
              <w:jc w:val="right"/>
              <w:rPr>
                <w:sz w:val="19"/>
                <w:szCs w:val="19"/>
                <w:lang w:val="es-ES"/>
              </w:rPr>
            </w:pPr>
            <w:r w:rsidRPr="00B76AEE">
              <w:rPr>
                <w:sz w:val="19"/>
                <w:lang w:val="es-ES"/>
              </w:rPr>
              <w:t>34 800</w:t>
            </w:r>
          </w:p>
        </w:tc>
        <w:tc>
          <w:tcPr>
            <w:tcW w:w="976" w:type="dxa"/>
            <w:tcBorders>
              <w:top w:val="nil"/>
              <w:left w:val="nil"/>
              <w:bottom w:val="single" w:sz="4" w:space="0" w:color="auto"/>
              <w:right w:val="single" w:sz="4" w:space="0" w:color="auto"/>
            </w:tcBorders>
          </w:tcPr>
          <w:p w14:paraId="5698A383" w14:textId="77777777" w:rsidR="00B76AEE" w:rsidRPr="00B76AEE" w:rsidRDefault="00B76AEE" w:rsidP="00B76AEE">
            <w:pPr>
              <w:jc w:val="right"/>
              <w:rPr>
                <w:sz w:val="19"/>
                <w:szCs w:val="19"/>
                <w:lang w:val="es-ES"/>
              </w:rPr>
            </w:pPr>
            <w:r w:rsidRPr="00B76AEE">
              <w:rPr>
                <w:sz w:val="19"/>
                <w:lang w:val="es-ES"/>
              </w:rPr>
              <w:t>49 800</w:t>
            </w:r>
          </w:p>
        </w:tc>
      </w:tr>
      <w:tr w:rsidR="00B76AEE" w:rsidRPr="00B76AEE" w14:paraId="00977862"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8E89CC" w14:textId="77777777" w:rsidR="00B76AEE" w:rsidRPr="00B76AEE" w:rsidRDefault="00B76AEE" w:rsidP="00B76AEE">
            <w:pPr>
              <w:jc w:val="left"/>
              <w:rPr>
                <w:sz w:val="19"/>
                <w:szCs w:val="19"/>
                <w:lang w:val="es-ES"/>
              </w:rPr>
            </w:pPr>
            <w:r w:rsidRPr="00B76AEE">
              <w:rPr>
                <w:sz w:val="19"/>
                <w:lang w:val="es-ES"/>
              </w:rPr>
              <w:t>Contratación de servicios (empresas)</w:t>
            </w:r>
          </w:p>
        </w:tc>
        <w:tc>
          <w:tcPr>
            <w:tcW w:w="976" w:type="dxa"/>
            <w:tcBorders>
              <w:top w:val="nil"/>
              <w:left w:val="nil"/>
              <w:bottom w:val="single" w:sz="4" w:space="0" w:color="auto"/>
              <w:right w:val="single" w:sz="4" w:space="0" w:color="auto"/>
            </w:tcBorders>
            <w:shd w:val="clear" w:color="auto" w:fill="auto"/>
            <w:noWrap/>
            <w:hideMark/>
          </w:tcPr>
          <w:p w14:paraId="3B491D8B" w14:textId="77777777" w:rsidR="00B76AEE" w:rsidRPr="00B76AEE" w:rsidRDefault="00B76AEE" w:rsidP="00B76AEE">
            <w:pPr>
              <w:jc w:val="right"/>
              <w:rPr>
                <w:sz w:val="19"/>
                <w:szCs w:val="19"/>
                <w:lang w:val="es-ES"/>
              </w:rPr>
            </w:pPr>
            <w:r w:rsidRPr="00B76AEE">
              <w:rPr>
                <w:sz w:val="19"/>
                <w:lang w:val="es-ES"/>
              </w:rPr>
              <w:t>580</w:t>
            </w:r>
          </w:p>
        </w:tc>
        <w:tc>
          <w:tcPr>
            <w:tcW w:w="976" w:type="dxa"/>
            <w:tcBorders>
              <w:top w:val="nil"/>
              <w:left w:val="nil"/>
              <w:bottom w:val="single" w:sz="4" w:space="0" w:color="auto"/>
              <w:right w:val="single" w:sz="4" w:space="0" w:color="auto"/>
            </w:tcBorders>
            <w:shd w:val="clear" w:color="auto" w:fill="auto"/>
            <w:noWrap/>
            <w:hideMark/>
          </w:tcPr>
          <w:p w14:paraId="7EFF2D71" w14:textId="77777777" w:rsidR="00B76AEE" w:rsidRPr="00B76AEE" w:rsidRDefault="00B76AEE" w:rsidP="00B76AEE">
            <w:pPr>
              <w:jc w:val="right"/>
              <w:rPr>
                <w:sz w:val="19"/>
                <w:szCs w:val="19"/>
                <w:lang w:val="es-ES"/>
              </w:rPr>
            </w:pPr>
            <w:r w:rsidRPr="00B76AEE">
              <w:rPr>
                <w:sz w:val="19"/>
                <w:lang w:val="es-ES"/>
              </w:rPr>
              <w:t>6 356</w:t>
            </w:r>
          </w:p>
        </w:tc>
        <w:tc>
          <w:tcPr>
            <w:tcW w:w="976" w:type="dxa"/>
            <w:tcBorders>
              <w:top w:val="single" w:sz="4" w:space="0" w:color="auto"/>
              <w:left w:val="single" w:sz="4" w:space="0" w:color="auto"/>
              <w:bottom w:val="single" w:sz="4" w:space="0" w:color="auto"/>
              <w:right w:val="single" w:sz="4" w:space="0" w:color="auto"/>
            </w:tcBorders>
          </w:tcPr>
          <w:p w14:paraId="1E7F40FD" w14:textId="77777777" w:rsidR="00B76AEE" w:rsidRPr="00B76AEE" w:rsidRDefault="00B76AEE" w:rsidP="00B76AEE">
            <w:pPr>
              <w:jc w:val="right"/>
              <w:rPr>
                <w:sz w:val="19"/>
                <w:szCs w:val="19"/>
                <w:lang w:val="es-ES"/>
              </w:rPr>
            </w:pPr>
            <w:r w:rsidRPr="00B76AEE">
              <w:rPr>
                <w:sz w:val="19"/>
                <w:lang w:val="es-ES"/>
              </w:rPr>
              <w:t>2 455</w:t>
            </w:r>
          </w:p>
        </w:tc>
        <w:tc>
          <w:tcPr>
            <w:tcW w:w="976" w:type="dxa"/>
            <w:tcBorders>
              <w:top w:val="nil"/>
              <w:left w:val="single" w:sz="4" w:space="0" w:color="auto"/>
              <w:bottom w:val="single" w:sz="4" w:space="0" w:color="auto"/>
              <w:right w:val="single" w:sz="4" w:space="0" w:color="auto"/>
            </w:tcBorders>
            <w:shd w:val="clear" w:color="auto" w:fill="auto"/>
            <w:noWrap/>
          </w:tcPr>
          <w:p w14:paraId="12ECE3FC" w14:textId="77777777" w:rsidR="00B76AEE" w:rsidRPr="00B76AEE" w:rsidRDefault="00B76AEE" w:rsidP="00B76AEE">
            <w:pPr>
              <w:jc w:val="right"/>
              <w:rPr>
                <w:sz w:val="19"/>
                <w:szCs w:val="19"/>
                <w:lang w:val="es-ES"/>
              </w:rPr>
            </w:pPr>
            <w:r w:rsidRPr="00B76AEE">
              <w:rPr>
                <w:sz w:val="19"/>
                <w:lang w:val="es-ES"/>
              </w:rPr>
              <w:t>16 700</w:t>
            </w:r>
          </w:p>
        </w:tc>
        <w:tc>
          <w:tcPr>
            <w:tcW w:w="1040" w:type="dxa"/>
            <w:tcBorders>
              <w:top w:val="nil"/>
              <w:left w:val="nil"/>
              <w:bottom w:val="single" w:sz="4" w:space="0" w:color="auto"/>
              <w:right w:val="single" w:sz="4" w:space="0" w:color="auto"/>
            </w:tcBorders>
            <w:shd w:val="clear" w:color="auto" w:fill="auto"/>
            <w:noWrap/>
          </w:tcPr>
          <w:p w14:paraId="24F2E542"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1551DCFC" w14:textId="77777777" w:rsidR="00B76AEE" w:rsidRPr="00B76AEE" w:rsidRDefault="00B76AEE" w:rsidP="00B76AEE">
            <w:pPr>
              <w:jc w:val="right"/>
              <w:rPr>
                <w:sz w:val="19"/>
                <w:szCs w:val="19"/>
                <w:lang w:val="es-ES"/>
              </w:rPr>
            </w:pPr>
            <w:r w:rsidRPr="00B76AEE">
              <w:rPr>
                <w:sz w:val="19"/>
                <w:lang w:val="es-ES"/>
              </w:rPr>
              <w:t>19 000</w:t>
            </w:r>
          </w:p>
        </w:tc>
      </w:tr>
      <w:tr w:rsidR="00B76AEE" w:rsidRPr="00B76AEE" w14:paraId="146FCC37"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DF1E9FE" w14:textId="77777777" w:rsidR="00B76AEE" w:rsidRPr="00B76AEE" w:rsidRDefault="00B76AEE" w:rsidP="00B76AEE">
            <w:pPr>
              <w:jc w:val="left"/>
              <w:rPr>
                <w:sz w:val="19"/>
                <w:szCs w:val="19"/>
                <w:lang w:val="es-ES"/>
              </w:rPr>
            </w:pPr>
            <w:r w:rsidRPr="00B76AEE">
              <w:rPr>
                <w:sz w:val="19"/>
                <w:lang w:val="es-ES"/>
              </w:rPr>
              <w:t>Reembolso de servicios centrales para personal de unidad central</w:t>
            </w:r>
          </w:p>
        </w:tc>
        <w:tc>
          <w:tcPr>
            <w:tcW w:w="976" w:type="dxa"/>
            <w:tcBorders>
              <w:top w:val="nil"/>
              <w:left w:val="nil"/>
              <w:bottom w:val="single" w:sz="4" w:space="0" w:color="auto"/>
              <w:right w:val="single" w:sz="4" w:space="0" w:color="auto"/>
            </w:tcBorders>
            <w:shd w:val="clear" w:color="auto" w:fill="auto"/>
            <w:noWrap/>
            <w:hideMark/>
          </w:tcPr>
          <w:p w14:paraId="54AA9D6D" w14:textId="77777777" w:rsidR="00B76AEE" w:rsidRPr="00B76AEE" w:rsidRDefault="00B76AEE" w:rsidP="00B76AEE">
            <w:pPr>
              <w:jc w:val="right"/>
              <w:rPr>
                <w:sz w:val="19"/>
                <w:szCs w:val="19"/>
                <w:lang w:val="es-ES"/>
              </w:rPr>
            </w:pPr>
            <w:r w:rsidRPr="00B76AEE">
              <w:rPr>
                <w:sz w:val="19"/>
                <w:lang w:val="es-ES"/>
              </w:rPr>
              <w:t>442 123</w:t>
            </w:r>
          </w:p>
        </w:tc>
        <w:tc>
          <w:tcPr>
            <w:tcW w:w="976" w:type="dxa"/>
            <w:tcBorders>
              <w:top w:val="nil"/>
              <w:left w:val="nil"/>
              <w:bottom w:val="single" w:sz="4" w:space="0" w:color="auto"/>
              <w:right w:val="single" w:sz="4" w:space="0" w:color="auto"/>
            </w:tcBorders>
            <w:shd w:val="clear" w:color="auto" w:fill="auto"/>
            <w:noWrap/>
            <w:hideMark/>
          </w:tcPr>
          <w:p w14:paraId="30662FF9" w14:textId="77777777" w:rsidR="00B76AEE" w:rsidRPr="00B76AEE" w:rsidRDefault="00B76AEE" w:rsidP="00B76AEE">
            <w:pPr>
              <w:jc w:val="right"/>
              <w:rPr>
                <w:sz w:val="19"/>
                <w:szCs w:val="19"/>
                <w:lang w:val="es-ES"/>
              </w:rPr>
            </w:pPr>
            <w:r w:rsidRPr="00B76AEE">
              <w:rPr>
                <w:sz w:val="19"/>
                <w:lang w:val="es-ES"/>
              </w:rPr>
              <w:t>464 626</w:t>
            </w:r>
          </w:p>
        </w:tc>
        <w:tc>
          <w:tcPr>
            <w:tcW w:w="976" w:type="dxa"/>
            <w:tcBorders>
              <w:top w:val="single" w:sz="4" w:space="0" w:color="auto"/>
              <w:left w:val="single" w:sz="4" w:space="0" w:color="auto"/>
              <w:bottom w:val="single" w:sz="4" w:space="0" w:color="auto"/>
              <w:right w:val="single" w:sz="4" w:space="0" w:color="auto"/>
            </w:tcBorders>
          </w:tcPr>
          <w:p w14:paraId="5B4B20F9" w14:textId="77777777" w:rsidR="00B76AEE" w:rsidRPr="00B76AEE" w:rsidRDefault="00B76AEE" w:rsidP="00B76AEE">
            <w:pPr>
              <w:jc w:val="right"/>
              <w:rPr>
                <w:sz w:val="19"/>
                <w:szCs w:val="19"/>
                <w:lang w:val="es-ES"/>
              </w:rPr>
            </w:pPr>
            <w:r w:rsidRPr="00B76AEE">
              <w:rPr>
                <w:sz w:val="19"/>
                <w:lang w:val="es-ES"/>
              </w:rPr>
              <w:t>496 559</w:t>
            </w:r>
          </w:p>
        </w:tc>
        <w:tc>
          <w:tcPr>
            <w:tcW w:w="976" w:type="dxa"/>
            <w:tcBorders>
              <w:top w:val="nil"/>
              <w:left w:val="single" w:sz="4" w:space="0" w:color="auto"/>
              <w:bottom w:val="single" w:sz="4" w:space="0" w:color="auto"/>
              <w:right w:val="single" w:sz="4" w:space="0" w:color="auto"/>
            </w:tcBorders>
            <w:shd w:val="clear" w:color="auto" w:fill="auto"/>
            <w:noWrap/>
          </w:tcPr>
          <w:p w14:paraId="6C3CCF2A" w14:textId="77777777" w:rsidR="00B76AEE" w:rsidRPr="00B76AEE" w:rsidRDefault="00B76AEE" w:rsidP="00B76AEE">
            <w:pPr>
              <w:jc w:val="right"/>
              <w:rPr>
                <w:sz w:val="19"/>
                <w:szCs w:val="19"/>
                <w:lang w:val="es-ES"/>
              </w:rPr>
            </w:pPr>
            <w:r w:rsidRPr="00B76AEE">
              <w:rPr>
                <w:sz w:val="19"/>
                <w:lang w:val="es-ES"/>
              </w:rPr>
              <w:t>467 100</w:t>
            </w:r>
          </w:p>
        </w:tc>
        <w:tc>
          <w:tcPr>
            <w:tcW w:w="1040" w:type="dxa"/>
            <w:tcBorders>
              <w:top w:val="nil"/>
              <w:left w:val="nil"/>
              <w:bottom w:val="single" w:sz="4" w:space="0" w:color="auto"/>
              <w:right w:val="single" w:sz="4" w:space="0" w:color="auto"/>
            </w:tcBorders>
            <w:shd w:val="clear" w:color="auto" w:fill="auto"/>
            <w:noWrap/>
          </w:tcPr>
          <w:p w14:paraId="73E46EDF" w14:textId="77777777" w:rsidR="00B76AEE" w:rsidRPr="00B76AEE" w:rsidRDefault="00B76AEE" w:rsidP="00B76AEE">
            <w:pPr>
              <w:jc w:val="right"/>
              <w:rPr>
                <w:sz w:val="19"/>
                <w:szCs w:val="19"/>
                <w:lang w:val="es-ES"/>
              </w:rPr>
            </w:pPr>
            <w:r w:rsidRPr="00B76AEE">
              <w:rPr>
                <w:sz w:val="19"/>
                <w:lang w:val="es-ES"/>
              </w:rPr>
              <w:t>421 900</w:t>
            </w:r>
          </w:p>
        </w:tc>
        <w:tc>
          <w:tcPr>
            <w:tcW w:w="976" w:type="dxa"/>
            <w:tcBorders>
              <w:top w:val="nil"/>
              <w:left w:val="nil"/>
              <w:bottom w:val="single" w:sz="4" w:space="0" w:color="auto"/>
              <w:right w:val="single" w:sz="4" w:space="0" w:color="auto"/>
            </w:tcBorders>
          </w:tcPr>
          <w:p w14:paraId="1D7E6184" w14:textId="77777777" w:rsidR="00B76AEE" w:rsidRPr="00B76AEE" w:rsidRDefault="00B76AEE" w:rsidP="00B76AEE">
            <w:pPr>
              <w:jc w:val="right"/>
              <w:rPr>
                <w:sz w:val="19"/>
                <w:szCs w:val="19"/>
                <w:lang w:val="es-ES"/>
              </w:rPr>
            </w:pPr>
            <w:r w:rsidRPr="00B76AEE">
              <w:rPr>
                <w:sz w:val="19"/>
                <w:lang w:val="es-ES"/>
              </w:rPr>
              <w:t>541 200</w:t>
            </w:r>
          </w:p>
        </w:tc>
      </w:tr>
      <w:tr w:rsidR="00B76AEE" w:rsidRPr="00B76AEE" w14:paraId="1BF58C3C"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FA037E" w14:textId="77777777" w:rsidR="00B76AEE" w:rsidRPr="00B76AEE" w:rsidRDefault="00B76AEE" w:rsidP="00B76AEE">
            <w:pPr>
              <w:jc w:val="left"/>
              <w:rPr>
                <w:sz w:val="19"/>
                <w:szCs w:val="19"/>
                <w:lang w:val="es-ES"/>
              </w:rPr>
            </w:pPr>
            <w:r w:rsidRPr="00B76AEE">
              <w:rPr>
                <w:sz w:val="19"/>
                <w:lang w:val="es-ES"/>
              </w:rPr>
              <w:t>Ajustes (+ = subutilizado y -= excedido)</w:t>
            </w:r>
          </w:p>
        </w:tc>
        <w:tc>
          <w:tcPr>
            <w:tcW w:w="976" w:type="dxa"/>
            <w:tcBorders>
              <w:top w:val="nil"/>
              <w:left w:val="nil"/>
              <w:bottom w:val="single" w:sz="4" w:space="0" w:color="auto"/>
              <w:right w:val="single" w:sz="4" w:space="0" w:color="auto"/>
            </w:tcBorders>
            <w:shd w:val="clear" w:color="auto" w:fill="auto"/>
            <w:noWrap/>
            <w:hideMark/>
          </w:tcPr>
          <w:p w14:paraId="5564C460" w14:textId="77777777" w:rsidR="00B76AEE" w:rsidRPr="00B76AEE" w:rsidRDefault="00B76AEE" w:rsidP="00B76AEE">
            <w:pPr>
              <w:jc w:val="right"/>
              <w:rPr>
                <w:sz w:val="19"/>
                <w:szCs w:val="19"/>
                <w:lang w:val="es-ES"/>
              </w:rPr>
            </w:pPr>
            <w:r w:rsidRPr="00B76AEE">
              <w:rPr>
                <w:sz w:val="19"/>
                <w:lang w:val="es-ES"/>
              </w:rPr>
              <w:t>7 931</w:t>
            </w:r>
          </w:p>
        </w:tc>
        <w:tc>
          <w:tcPr>
            <w:tcW w:w="976" w:type="dxa"/>
            <w:tcBorders>
              <w:top w:val="nil"/>
              <w:left w:val="nil"/>
              <w:bottom w:val="single" w:sz="4" w:space="0" w:color="auto"/>
              <w:right w:val="single" w:sz="4" w:space="0" w:color="auto"/>
            </w:tcBorders>
            <w:shd w:val="clear" w:color="auto" w:fill="auto"/>
            <w:noWrap/>
            <w:hideMark/>
          </w:tcPr>
          <w:p w14:paraId="15CE7B48" w14:textId="77777777" w:rsidR="00B76AEE" w:rsidRPr="00B76AEE" w:rsidRDefault="00B76AEE" w:rsidP="00B76AEE">
            <w:pPr>
              <w:jc w:val="right"/>
              <w:rPr>
                <w:sz w:val="19"/>
                <w:szCs w:val="19"/>
                <w:lang w:val="es-ES"/>
              </w:rPr>
            </w:pPr>
            <w:r w:rsidRPr="00B76AEE">
              <w:rPr>
                <w:sz w:val="19"/>
                <w:lang w:val="es-ES"/>
              </w:rPr>
              <w:t>-24 066</w:t>
            </w:r>
          </w:p>
        </w:tc>
        <w:tc>
          <w:tcPr>
            <w:tcW w:w="976" w:type="dxa"/>
            <w:tcBorders>
              <w:top w:val="single" w:sz="4" w:space="0" w:color="auto"/>
              <w:left w:val="single" w:sz="4" w:space="0" w:color="auto"/>
              <w:bottom w:val="single" w:sz="4" w:space="0" w:color="auto"/>
              <w:right w:val="single" w:sz="4" w:space="0" w:color="auto"/>
            </w:tcBorders>
          </w:tcPr>
          <w:p w14:paraId="2D5C3BEB" w14:textId="77777777" w:rsidR="00B76AEE" w:rsidRPr="00B76AEE" w:rsidRDefault="00B76AEE" w:rsidP="00B76AEE">
            <w:pPr>
              <w:jc w:val="right"/>
              <w:rPr>
                <w:sz w:val="19"/>
                <w:szCs w:val="19"/>
                <w:lang w:val="es-ES"/>
              </w:rPr>
            </w:pPr>
            <w:r w:rsidRPr="00B76AEE">
              <w:rPr>
                <w:sz w:val="19"/>
                <w:lang w:val="es-ES"/>
              </w:rPr>
              <w:t>49 404</w:t>
            </w:r>
          </w:p>
        </w:tc>
        <w:tc>
          <w:tcPr>
            <w:tcW w:w="976" w:type="dxa"/>
            <w:tcBorders>
              <w:top w:val="nil"/>
              <w:left w:val="single" w:sz="4" w:space="0" w:color="auto"/>
              <w:bottom w:val="single" w:sz="4" w:space="0" w:color="auto"/>
              <w:right w:val="single" w:sz="4" w:space="0" w:color="auto"/>
            </w:tcBorders>
            <w:shd w:val="clear" w:color="auto" w:fill="auto"/>
            <w:noWrap/>
          </w:tcPr>
          <w:p w14:paraId="46737A24"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572193C3" w14:textId="77777777" w:rsidR="00B76AEE" w:rsidRPr="00B76AEE" w:rsidRDefault="00B76AEE" w:rsidP="00B76AEE">
            <w:pPr>
              <w:jc w:val="right"/>
              <w:rPr>
                <w:sz w:val="19"/>
                <w:szCs w:val="19"/>
                <w:lang w:val="es-ES"/>
              </w:rPr>
            </w:pPr>
            <w:r w:rsidRPr="00B76AEE">
              <w:rPr>
                <w:sz w:val="19"/>
                <w:lang w:val="es-ES"/>
              </w:rPr>
              <w:t>202 300</w:t>
            </w:r>
          </w:p>
        </w:tc>
        <w:tc>
          <w:tcPr>
            <w:tcW w:w="976" w:type="dxa"/>
            <w:tcBorders>
              <w:top w:val="nil"/>
              <w:left w:val="nil"/>
              <w:bottom w:val="single" w:sz="4" w:space="0" w:color="auto"/>
              <w:right w:val="single" w:sz="4" w:space="0" w:color="auto"/>
            </w:tcBorders>
          </w:tcPr>
          <w:p w14:paraId="3E2E9421" w14:textId="77777777" w:rsidR="00B76AEE" w:rsidRPr="00B76AEE" w:rsidRDefault="00B76AEE" w:rsidP="00B76AEE">
            <w:pPr>
              <w:jc w:val="right"/>
              <w:rPr>
                <w:sz w:val="19"/>
                <w:szCs w:val="19"/>
                <w:lang w:val="es-ES"/>
              </w:rPr>
            </w:pPr>
            <w:r w:rsidRPr="00B76AEE">
              <w:rPr>
                <w:sz w:val="19"/>
                <w:lang w:val="es-ES"/>
              </w:rPr>
              <w:t>-240 746</w:t>
            </w:r>
          </w:p>
        </w:tc>
      </w:tr>
      <w:tr w:rsidR="00B76AEE" w:rsidRPr="00B76AEE" w14:paraId="501E0275"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118FE5" w14:textId="77777777" w:rsidR="00B76AEE" w:rsidRPr="00B76AEE" w:rsidRDefault="00B76AEE" w:rsidP="00B76AEE">
            <w:pPr>
              <w:jc w:val="left"/>
              <w:rPr>
                <w:sz w:val="19"/>
                <w:szCs w:val="19"/>
                <w:lang w:val="es-ES"/>
              </w:rPr>
            </w:pPr>
            <w:r w:rsidRPr="00B76AEE">
              <w:rPr>
                <w:sz w:val="19"/>
                <w:lang w:val="es-ES"/>
              </w:rPr>
              <w:t>Devolución de fondos (- = fondos devueltos)</w:t>
            </w:r>
          </w:p>
        </w:tc>
        <w:tc>
          <w:tcPr>
            <w:tcW w:w="976" w:type="dxa"/>
            <w:tcBorders>
              <w:top w:val="nil"/>
              <w:left w:val="nil"/>
              <w:bottom w:val="single" w:sz="4" w:space="0" w:color="auto"/>
              <w:right w:val="single" w:sz="4" w:space="0" w:color="auto"/>
            </w:tcBorders>
            <w:shd w:val="clear" w:color="auto" w:fill="auto"/>
            <w:noWrap/>
            <w:hideMark/>
          </w:tcPr>
          <w:p w14:paraId="5ACA2393" w14:textId="77777777" w:rsidR="00B76AEE" w:rsidRPr="00B76AEE" w:rsidRDefault="00B76AEE" w:rsidP="00B76AEE">
            <w:pPr>
              <w:jc w:val="right"/>
              <w:rPr>
                <w:sz w:val="19"/>
                <w:szCs w:val="19"/>
                <w:lang w:val="es-ES"/>
              </w:rPr>
            </w:pPr>
            <w:r w:rsidRPr="00B76AEE">
              <w:rPr>
                <w:sz w:val="19"/>
                <w:lang w:val="es-ES"/>
              </w:rPr>
              <w:t>-7 931</w:t>
            </w:r>
          </w:p>
        </w:tc>
        <w:tc>
          <w:tcPr>
            <w:tcW w:w="976" w:type="dxa"/>
            <w:tcBorders>
              <w:top w:val="nil"/>
              <w:left w:val="nil"/>
              <w:bottom w:val="single" w:sz="4" w:space="0" w:color="auto"/>
              <w:right w:val="single" w:sz="4" w:space="0" w:color="auto"/>
            </w:tcBorders>
            <w:shd w:val="clear" w:color="auto" w:fill="auto"/>
            <w:noWrap/>
            <w:hideMark/>
          </w:tcPr>
          <w:p w14:paraId="17C3A103"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single" w:sz="4" w:space="0" w:color="auto"/>
              <w:left w:val="single" w:sz="4" w:space="0" w:color="auto"/>
              <w:bottom w:val="single" w:sz="4" w:space="0" w:color="auto"/>
              <w:right w:val="single" w:sz="4" w:space="0" w:color="auto"/>
            </w:tcBorders>
          </w:tcPr>
          <w:p w14:paraId="4704A510" w14:textId="77777777" w:rsidR="00B76AEE" w:rsidRPr="00B76AEE" w:rsidRDefault="00B76AEE" w:rsidP="00B76AEE">
            <w:pPr>
              <w:jc w:val="right"/>
              <w:rPr>
                <w:sz w:val="19"/>
                <w:szCs w:val="19"/>
                <w:lang w:val="es-ES"/>
              </w:rPr>
            </w:pPr>
            <w:r w:rsidRPr="00B76AEE">
              <w:rPr>
                <w:sz w:val="19"/>
                <w:lang w:val="es-ES"/>
              </w:rPr>
              <w:t>-49 404</w:t>
            </w:r>
          </w:p>
        </w:tc>
        <w:tc>
          <w:tcPr>
            <w:tcW w:w="976" w:type="dxa"/>
            <w:tcBorders>
              <w:top w:val="nil"/>
              <w:left w:val="single" w:sz="4" w:space="0" w:color="auto"/>
              <w:bottom w:val="single" w:sz="4" w:space="0" w:color="auto"/>
              <w:right w:val="single" w:sz="4" w:space="0" w:color="auto"/>
            </w:tcBorders>
            <w:shd w:val="clear" w:color="auto" w:fill="auto"/>
            <w:noWrap/>
          </w:tcPr>
          <w:p w14:paraId="183D40C4"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00EA4C8A"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3786F97D"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70763502"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5123D6" w14:textId="77777777" w:rsidR="00B76AEE" w:rsidRPr="00B76AEE" w:rsidRDefault="00B76AEE" w:rsidP="00B76AEE">
            <w:pPr>
              <w:jc w:val="left"/>
              <w:rPr>
                <w:b/>
                <w:bCs/>
                <w:sz w:val="19"/>
                <w:szCs w:val="19"/>
                <w:lang w:val="es-ES"/>
              </w:rPr>
            </w:pPr>
            <w:r w:rsidRPr="00B76AEE">
              <w:rPr>
                <w:b/>
                <w:sz w:val="19"/>
                <w:lang w:val="es-ES"/>
              </w:rPr>
              <w:t>A. Subtotal de costos de unidad central*</w:t>
            </w:r>
          </w:p>
        </w:tc>
        <w:tc>
          <w:tcPr>
            <w:tcW w:w="976" w:type="dxa"/>
            <w:tcBorders>
              <w:top w:val="nil"/>
              <w:left w:val="nil"/>
              <w:bottom w:val="single" w:sz="4" w:space="0" w:color="auto"/>
              <w:right w:val="single" w:sz="4" w:space="0" w:color="auto"/>
            </w:tcBorders>
            <w:shd w:val="clear" w:color="auto" w:fill="auto"/>
            <w:noWrap/>
            <w:hideMark/>
          </w:tcPr>
          <w:p w14:paraId="05D8A0B6" w14:textId="77777777" w:rsidR="00B76AEE" w:rsidRPr="00B76AEE" w:rsidRDefault="00B76AEE" w:rsidP="00B76AEE">
            <w:pPr>
              <w:jc w:val="right"/>
              <w:rPr>
                <w:b/>
                <w:bCs/>
                <w:sz w:val="19"/>
                <w:szCs w:val="19"/>
                <w:lang w:val="es-ES"/>
              </w:rPr>
            </w:pPr>
            <w:r w:rsidRPr="00B76AEE">
              <w:rPr>
                <w:b/>
                <w:sz w:val="19"/>
                <w:lang w:val="es-ES"/>
              </w:rPr>
              <w:t>2 061 454</w:t>
            </w:r>
          </w:p>
        </w:tc>
        <w:tc>
          <w:tcPr>
            <w:tcW w:w="976" w:type="dxa"/>
            <w:tcBorders>
              <w:top w:val="nil"/>
              <w:left w:val="nil"/>
              <w:bottom w:val="single" w:sz="4" w:space="0" w:color="auto"/>
              <w:right w:val="single" w:sz="4" w:space="0" w:color="auto"/>
            </w:tcBorders>
            <w:shd w:val="clear" w:color="auto" w:fill="auto"/>
            <w:noWrap/>
            <w:hideMark/>
          </w:tcPr>
          <w:p w14:paraId="629A2308" w14:textId="77777777" w:rsidR="00B76AEE" w:rsidRPr="00B76AEE" w:rsidRDefault="00B76AEE" w:rsidP="00B76AEE">
            <w:pPr>
              <w:jc w:val="right"/>
              <w:rPr>
                <w:b/>
                <w:bCs/>
                <w:sz w:val="19"/>
                <w:szCs w:val="19"/>
                <w:lang w:val="es-ES"/>
              </w:rPr>
            </w:pPr>
            <w:r w:rsidRPr="00B76AEE">
              <w:rPr>
                <w:b/>
                <w:sz w:val="19"/>
                <w:lang w:val="es-ES"/>
              </w:rPr>
              <w:t>2 083 870</w:t>
            </w:r>
          </w:p>
        </w:tc>
        <w:tc>
          <w:tcPr>
            <w:tcW w:w="976" w:type="dxa"/>
            <w:tcBorders>
              <w:top w:val="single" w:sz="4" w:space="0" w:color="auto"/>
              <w:left w:val="single" w:sz="4" w:space="0" w:color="auto"/>
              <w:bottom w:val="single" w:sz="4" w:space="0" w:color="auto"/>
              <w:right w:val="single" w:sz="4" w:space="0" w:color="auto"/>
            </w:tcBorders>
          </w:tcPr>
          <w:p w14:paraId="4E3EDD98" w14:textId="77777777" w:rsidR="00B76AEE" w:rsidRPr="00B76AEE" w:rsidRDefault="00B76AEE" w:rsidP="00B76AEE">
            <w:pPr>
              <w:jc w:val="right"/>
              <w:rPr>
                <w:b/>
                <w:sz w:val="19"/>
                <w:szCs w:val="19"/>
                <w:lang w:val="es-ES"/>
              </w:rPr>
            </w:pPr>
            <w:r w:rsidRPr="00B76AEE">
              <w:rPr>
                <w:b/>
                <w:sz w:val="19"/>
                <w:lang w:val="es-ES"/>
              </w:rPr>
              <w:t>2 049 054</w:t>
            </w:r>
          </w:p>
        </w:tc>
        <w:tc>
          <w:tcPr>
            <w:tcW w:w="976" w:type="dxa"/>
            <w:tcBorders>
              <w:top w:val="nil"/>
              <w:left w:val="single" w:sz="4" w:space="0" w:color="auto"/>
              <w:bottom w:val="single" w:sz="4" w:space="0" w:color="auto"/>
              <w:right w:val="single" w:sz="4" w:space="0" w:color="auto"/>
            </w:tcBorders>
            <w:shd w:val="clear" w:color="auto" w:fill="auto"/>
            <w:noWrap/>
          </w:tcPr>
          <w:p w14:paraId="5CC7FB71" w14:textId="77777777" w:rsidR="00B76AEE" w:rsidRPr="00B76AEE" w:rsidRDefault="00B76AEE" w:rsidP="00B76AEE">
            <w:pPr>
              <w:jc w:val="right"/>
              <w:rPr>
                <w:b/>
                <w:bCs/>
                <w:sz w:val="19"/>
                <w:szCs w:val="19"/>
                <w:lang w:val="es-ES"/>
              </w:rPr>
            </w:pPr>
            <w:r w:rsidRPr="00B76AEE">
              <w:rPr>
                <w:b/>
                <w:sz w:val="19"/>
                <w:lang w:val="es-ES"/>
              </w:rPr>
              <w:t>2 022 000</w:t>
            </w:r>
          </w:p>
        </w:tc>
        <w:tc>
          <w:tcPr>
            <w:tcW w:w="1040" w:type="dxa"/>
            <w:tcBorders>
              <w:top w:val="nil"/>
              <w:left w:val="nil"/>
              <w:bottom w:val="single" w:sz="4" w:space="0" w:color="auto"/>
              <w:right w:val="single" w:sz="4" w:space="0" w:color="auto"/>
            </w:tcBorders>
            <w:shd w:val="clear" w:color="auto" w:fill="auto"/>
            <w:noWrap/>
          </w:tcPr>
          <w:p w14:paraId="7F05F51D" w14:textId="77777777" w:rsidR="00B76AEE" w:rsidRPr="00B76AEE" w:rsidRDefault="00B76AEE" w:rsidP="00B76AEE">
            <w:pPr>
              <w:jc w:val="right"/>
              <w:rPr>
                <w:b/>
                <w:sz w:val="19"/>
                <w:szCs w:val="19"/>
                <w:lang w:val="es-ES"/>
              </w:rPr>
            </w:pPr>
            <w:r w:rsidRPr="00B76AEE">
              <w:rPr>
                <w:b/>
                <w:sz w:val="19"/>
                <w:lang w:val="es-ES"/>
              </w:rPr>
              <w:t>2 022 000</w:t>
            </w:r>
          </w:p>
        </w:tc>
        <w:tc>
          <w:tcPr>
            <w:tcW w:w="976" w:type="dxa"/>
            <w:tcBorders>
              <w:top w:val="nil"/>
              <w:left w:val="nil"/>
              <w:bottom w:val="single" w:sz="4" w:space="0" w:color="auto"/>
              <w:right w:val="single" w:sz="4" w:space="0" w:color="auto"/>
            </w:tcBorders>
          </w:tcPr>
          <w:p w14:paraId="22995C4A" w14:textId="77777777" w:rsidR="00B76AEE" w:rsidRPr="00B76AEE" w:rsidRDefault="00B76AEE" w:rsidP="00B76AEE">
            <w:pPr>
              <w:jc w:val="right"/>
              <w:rPr>
                <w:b/>
                <w:bCs/>
                <w:sz w:val="19"/>
                <w:szCs w:val="19"/>
                <w:lang w:val="es-ES"/>
              </w:rPr>
            </w:pPr>
            <w:r w:rsidRPr="00B76AEE">
              <w:rPr>
                <w:b/>
                <w:sz w:val="19"/>
                <w:lang w:val="es-ES"/>
              </w:rPr>
              <w:t>2 036 154</w:t>
            </w:r>
          </w:p>
        </w:tc>
      </w:tr>
      <w:tr w:rsidR="00B76AEE" w:rsidRPr="00B76AEE" w14:paraId="438E55B5"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1DC7B6D" w14:textId="77777777" w:rsidR="00B76AEE" w:rsidRPr="00B76AEE" w:rsidRDefault="00B76AEE" w:rsidP="00B76AEE">
            <w:pPr>
              <w:jc w:val="left"/>
              <w:rPr>
                <w:sz w:val="19"/>
                <w:szCs w:val="19"/>
                <w:lang w:val="es-ES"/>
              </w:rPr>
            </w:pPr>
            <w:r w:rsidRPr="00B76AEE">
              <w:rPr>
                <w:sz w:val="19"/>
                <w:lang w:val="es-ES"/>
              </w:rPr>
              <w:t>Reembolsos a las oficinas en los países y por ejecución nacional, incluidos gastos generales</w:t>
            </w:r>
          </w:p>
        </w:tc>
        <w:tc>
          <w:tcPr>
            <w:tcW w:w="976" w:type="dxa"/>
            <w:tcBorders>
              <w:top w:val="nil"/>
              <w:left w:val="nil"/>
              <w:bottom w:val="single" w:sz="4" w:space="0" w:color="auto"/>
              <w:right w:val="single" w:sz="4" w:space="0" w:color="auto"/>
            </w:tcBorders>
            <w:shd w:val="clear" w:color="auto" w:fill="auto"/>
            <w:noWrap/>
            <w:hideMark/>
          </w:tcPr>
          <w:p w14:paraId="0277B515" w14:textId="77777777" w:rsidR="00B76AEE" w:rsidRPr="00B76AEE" w:rsidRDefault="00B76AEE" w:rsidP="00B76AEE">
            <w:pPr>
              <w:jc w:val="right"/>
              <w:rPr>
                <w:sz w:val="19"/>
                <w:szCs w:val="19"/>
                <w:lang w:val="es-ES"/>
              </w:rPr>
            </w:pPr>
            <w:r w:rsidRPr="00B76AEE">
              <w:rPr>
                <w:sz w:val="19"/>
                <w:lang w:val="es-ES"/>
              </w:rPr>
              <w:t>729 854</w:t>
            </w:r>
          </w:p>
        </w:tc>
        <w:tc>
          <w:tcPr>
            <w:tcW w:w="976" w:type="dxa"/>
            <w:tcBorders>
              <w:top w:val="nil"/>
              <w:left w:val="nil"/>
              <w:bottom w:val="single" w:sz="4" w:space="0" w:color="auto"/>
              <w:right w:val="single" w:sz="4" w:space="0" w:color="auto"/>
            </w:tcBorders>
            <w:shd w:val="clear" w:color="auto" w:fill="auto"/>
            <w:noWrap/>
            <w:hideMark/>
          </w:tcPr>
          <w:p w14:paraId="456A87C0" w14:textId="77777777" w:rsidR="00B76AEE" w:rsidRPr="00B76AEE" w:rsidRDefault="00B76AEE" w:rsidP="00B76AEE">
            <w:pPr>
              <w:jc w:val="right"/>
              <w:rPr>
                <w:sz w:val="19"/>
                <w:szCs w:val="19"/>
                <w:lang w:val="es-ES"/>
              </w:rPr>
            </w:pPr>
            <w:r w:rsidRPr="00B76AEE">
              <w:rPr>
                <w:sz w:val="19"/>
                <w:lang w:val="es-ES"/>
              </w:rPr>
              <w:t>1 339 603</w:t>
            </w:r>
          </w:p>
        </w:tc>
        <w:tc>
          <w:tcPr>
            <w:tcW w:w="976" w:type="dxa"/>
            <w:tcBorders>
              <w:top w:val="single" w:sz="4" w:space="0" w:color="auto"/>
              <w:left w:val="single" w:sz="4" w:space="0" w:color="auto"/>
              <w:bottom w:val="single" w:sz="4" w:space="0" w:color="auto"/>
              <w:right w:val="single" w:sz="4" w:space="0" w:color="auto"/>
            </w:tcBorders>
          </w:tcPr>
          <w:p w14:paraId="22E6A62A" w14:textId="77777777" w:rsidR="00B76AEE" w:rsidRPr="00B76AEE" w:rsidRDefault="00B76AEE" w:rsidP="00B76AEE">
            <w:pPr>
              <w:jc w:val="right"/>
              <w:rPr>
                <w:sz w:val="19"/>
                <w:szCs w:val="19"/>
                <w:lang w:val="es-ES"/>
              </w:rPr>
            </w:pPr>
            <w:r w:rsidRPr="00B76AEE">
              <w:rPr>
                <w:sz w:val="19"/>
                <w:lang w:val="es-ES"/>
              </w:rPr>
              <w:t>814 755</w:t>
            </w:r>
          </w:p>
        </w:tc>
        <w:tc>
          <w:tcPr>
            <w:tcW w:w="976" w:type="dxa"/>
            <w:tcBorders>
              <w:top w:val="nil"/>
              <w:left w:val="single" w:sz="4" w:space="0" w:color="auto"/>
              <w:bottom w:val="single" w:sz="4" w:space="0" w:color="auto"/>
              <w:right w:val="single" w:sz="4" w:space="0" w:color="auto"/>
            </w:tcBorders>
            <w:shd w:val="clear" w:color="auto" w:fill="auto"/>
            <w:noWrap/>
          </w:tcPr>
          <w:p w14:paraId="05816E28" w14:textId="77777777" w:rsidR="00B76AEE" w:rsidRPr="00B76AEE" w:rsidRDefault="00B76AEE" w:rsidP="00B76AEE">
            <w:pPr>
              <w:jc w:val="right"/>
              <w:rPr>
                <w:sz w:val="19"/>
                <w:szCs w:val="19"/>
                <w:lang w:val="es-ES"/>
              </w:rPr>
            </w:pPr>
            <w:r w:rsidRPr="00B76AEE">
              <w:rPr>
                <w:sz w:val="19"/>
                <w:lang w:val="es-ES"/>
              </w:rPr>
              <w:t>1 444 000</w:t>
            </w:r>
          </w:p>
        </w:tc>
        <w:tc>
          <w:tcPr>
            <w:tcW w:w="1040" w:type="dxa"/>
            <w:tcBorders>
              <w:top w:val="nil"/>
              <w:left w:val="nil"/>
              <w:bottom w:val="single" w:sz="4" w:space="0" w:color="auto"/>
              <w:right w:val="single" w:sz="4" w:space="0" w:color="auto"/>
            </w:tcBorders>
            <w:shd w:val="clear" w:color="auto" w:fill="auto"/>
            <w:noWrap/>
          </w:tcPr>
          <w:p w14:paraId="516BA04A" w14:textId="77777777" w:rsidR="00B76AEE" w:rsidRPr="00B76AEE" w:rsidRDefault="00B76AEE" w:rsidP="00B76AEE">
            <w:pPr>
              <w:jc w:val="right"/>
              <w:rPr>
                <w:sz w:val="19"/>
                <w:szCs w:val="19"/>
                <w:lang w:val="es-ES"/>
              </w:rPr>
            </w:pPr>
            <w:r w:rsidRPr="00B76AEE">
              <w:rPr>
                <w:sz w:val="19"/>
                <w:lang w:val="es-ES"/>
              </w:rPr>
              <w:t>916 900</w:t>
            </w:r>
          </w:p>
        </w:tc>
        <w:tc>
          <w:tcPr>
            <w:tcW w:w="976" w:type="dxa"/>
            <w:tcBorders>
              <w:top w:val="nil"/>
              <w:left w:val="nil"/>
              <w:bottom w:val="single" w:sz="4" w:space="0" w:color="auto"/>
              <w:right w:val="single" w:sz="4" w:space="0" w:color="auto"/>
            </w:tcBorders>
          </w:tcPr>
          <w:p w14:paraId="28F113B8" w14:textId="77777777" w:rsidR="00B76AEE" w:rsidRPr="00B76AEE" w:rsidRDefault="00B76AEE" w:rsidP="00B76AEE">
            <w:pPr>
              <w:jc w:val="right"/>
              <w:rPr>
                <w:sz w:val="19"/>
                <w:szCs w:val="19"/>
                <w:lang w:val="es-ES"/>
              </w:rPr>
            </w:pPr>
            <w:r w:rsidRPr="00B76AEE">
              <w:rPr>
                <w:sz w:val="19"/>
                <w:lang w:val="es-ES"/>
              </w:rPr>
              <w:t>906 800</w:t>
            </w:r>
          </w:p>
        </w:tc>
      </w:tr>
      <w:tr w:rsidR="00B76AEE" w:rsidRPr="00B76AEE" w14:paraId="3EF9F52D"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67ACEC1" w14:textId="77777777" w:rsidR="00B76AEE" w:rsidRPr="00B76AEE" w:rsidRDefault="00B76AEE" w:rsidP="00B76AEE">
            <w:pPr>
              <w:jc w:val="left"/>
              <w:rPr>
                <w:sz w:val="19"/>
                <w:szCs w:val="19"/>
                <w:lang w:val="es-ES"/>
              </w:rPr>
            </w:pPr>
            <w:r w:rsidRPr="00B76AEE">
              <w:rPr>
                <w:sz w:val="19"/>
                <w:lang w:val="es-ES"/>
              </w:rPr>
              <w:t>Gastos (internos) de apoyo del organismo de ejecución, incluidos gastos generales</w:t>
            </w:r>
          </w:p>
        </w:tc>
        <w:tc>
          <w:tcPr>
            <w:tcW w:w="976" w:type="dxa"/>
            <w:tcBorders>
              <w:top w:val="nil"/>
              <w:left w:val="nil"/>
              <w:bottom w:val="single" w:sz="4" w:space="0" w:color="auto"/>
              <w:right w:val="single" w:sz="4" w:space="0" w:color="auto"/>
            </w:tcBorders>
            <w:shd w:val="clear" w:color="auto" w:fill="auto"/>
            <w:noWrap/>
            <w:hideMark/>
          </w:tcPr>
          <w:p w14:paraId="705A9F52" w14:textId="77777777" w:rsidR="00B76AEE" w:rsidRPr="00B76AEE" w:rsidRDefault="00B76AEE" w:rsidP="00B76AEE">
            <w:pPr>
              <w:jc w:val="right"/>
              <w:rPr>
                <w:sz w:val="19"/>
                <w:szCs w:val="19"/>
                <w:lang w:val="es-ES"/>
              </w:rPr>
            </w:pPr>
            <w:r w:rsidRPr="00B76AEE">
              <w:rPr>
                <w:sz w:val="19"/>
                <w:lang w:val="es-ES"/>
              </w:rPr>
              <w:t>1 354 611</w:t>
            </w:r>
          </w:p>
        </w:tc>
        <w:tc>
          <w:tcPr>
            <w:tcW w:w="976" w:type="dxa"/>
            <w:tcBorders>
              <w:top w:val="nil"/>
              <w:left w:val="nil"/>
              <w:bottom w:val="single" w:sz="4" w:space="0" w:color="auto"/>
              <w:right w:val="single" w:sz="4" w:space="0" w:color="auto"/>
            </w:tcBorders>
            <w:shd w:val="clear" w:color="auto" w:fill="auto"/>
            <w:noWrap/>
            <w:hideMark/>
          </w:tcPr>
          <w:p w14:paraId="5F9F0B7E" w14:textId="77777777" w:rsidR="00B76AEE" w:rsidRPr="00B76AEE" w:rsidRDefault="00B76AEE" w:rsidP="00B76AEE">
            <w:pPr>
              <w:jc w:val="right"/>
              <w:rPr>
                <w:sz w:val="19"/>
                <w:szCs w:val="19"/>
                <w:lang w:val="es-ES"/>
              </w:rPr>
            </w:pPr>
            <w:r w:rsidRPr="00B76AEE">
              <w:rPr>
                <w:sz w:val="19"/>
                <w:lang w:val="es-ES"/>
              </w:rPr>
              <w:t>1 386 593</w:t>
            </w:r>
          </w:p>
        </w:tc>
        <w:tc>
          <w:tcPr>
            <w:tcW w:w="976" w:type="dxa"/>
            <w:tcBorders>
              <w:top w:val="single" w:sz="4" w:space="0" w:color="auto"/>
              <w:left w:val="single" w:sz="4" w:space="0" w:color="auto"/>
              <w:bottom w:val="single" w:sz="4" w:space="0" w:color="auto"/>
              <w:right w:val="single" w:sz="4" w:space="0" w:color="auto"/>
            </w:tcBorders>
          </w:tcPr>
          <w:p w14:paraId="7388C09B" w14:textId="77777777" w:rsidR="00B76AEE" w:rsidRPr="00B76AEE" w:rsidRDefault="00B76AEE" w:rsidP="00B76AEE">
            <w:pPr>
              <w:jc w:val="right"/>
              <w:rPr>
                <w:sz w:val="19"/>
                <w:szCs w:val="19"/>
                <w:lang w:val="es-ES"/>
              </w:rPr>
            </w:pPr>
            <w:r w:rsidRPr="00B76AEE">
              <w:rPr>
                <w:sz w:val="19"/>
                <w:lang w:val="es-ES"/>
              </w:rPr>
              <w:t>1 352 699</w:t>
            </w:r>
          </w:p>
        </w:tc>
        <w:tc>
          <w:tcPr>
            <w:tcW w:w="976" w:type="dxa"/>
            <w:tcBorders>
              <w:top w:val="nil"/>
              <w:left w:val="single" w:sz="4" w:space="0" w:color="auto"/>
              <w:bottom w:val="single" w:sz="4" w:space="0" w:color="auto"/>
              <w:right w:val="single" w:sz="4" w:space="0" w:color="auto"/>
            </w:tcBorders>
            <w:shd w:val="clear" w:color="auto" w:fill="auto"/>
            <w:noWrap/>
          </w:tcPr>
          <w:p w14:paraId="6051E05C" w14:textId="77777777" w:rsidR="00B76AEE" w:rsidRPr="00B76AEE" w:rsidRDefault="00B76AEE" w:rsidP="00B76AEE">
            <w:pPr>
              <w:jc w:val="right"/>
              <w:rPr>
                <w:sz w:val="19"/>
                <w:szCs w:val="19"/>
                <w:lang w:val="es-ES"/>
              </w:rPr>
            </w:pPr>
            <w:r w:rsidRPr="00B76AEE">
              <w:rPr>
                <w:sz w:val="19"/>
                <w:lang w:val="es-ES"/>
              </w:rPr>
              <w:t>1 586 200</w:t>
            </w:r>
          </w:p>
        </w:tc>
        <w:tc>
          <w:tcPr>
            <w:tcW w:w="1040" w:type="dxa"/>
            <w:tcBorders>
              <w:top w:val="nil"/>
              <w:left w:val="nil"/>
              <w:bottom w:val="single" w:sz="4" w:space="0" w:color="auto"/>
              <w:right w:val="single" w:sz="4" w:space="0" w:color="auto"/>
            </w:tcBorders>
            <w:shd w:val="clear" w:color="auto" w:fill="auto"/>
            <w:noWrap/>
          </w:tcPr>
          <w:p w14:paraId="4019128C" w14:textId="77777777" w:rsidR="00B76AEE" w:rsidRPr="00B76AEE" w:rsidRDefault="00B76AEE" w:rsidP="00B76AEE">
            <w:pPr>
              <w:jc w:val="right"/>
              <w:rPr>
                <w:sz w:val="19"/>
                <w:szCs w:val="19"/>
                <w:lang w:val="es-ES"/>
              </w:rPr>
            </w:pPr>
            <w:r w:rsidRPr="00B76AEE">
              <w:rPr>
                <w:sz w:val="19"/>
                <w:lang w:val="es-ES"/>
              </w:rPr>
              <w:t>762 100</w:t>
            </w:r>
          </w:p>
        </w:tc>
        <w:tc>
          <w:tcPr>
            <w:tcW w:w="976" w:type="dxa"/>
            <w:tcBorders>
              <w:top w:val="nil"/>
              <w:left w:val="nil"/>
              <w:bottom w:val="single" w:sz="4" w:space="0" w:color="auto"/>
              <w:right w:val="single" w:sz="4" w:space="0" w:color="auto"/>
            </w:tcBorders>
          </w:tcPr>
          <w:p w14:paraId="1CE958A2" w14:textId="77777777" w:rsidR="00B76AEE" w:rsidRPr="00B76AEE" w:rsidRDefault="00B76AEE" w:rsidP="00B76AEE">
            <w:pPr>
              <w:jc w:val="right"/>
              <w:rPr>
                <w:sz w:val="19"/>
                <w:szCs w:val="19"/>
                <w:lang w:val="es-ES"/>
              </w:rPr>
            </w:pPr>
            <w:r w:rsidRPr="00B76AEE">
              <w:rPr>
                <w:sz w:val="19"/>
                <w:lang w:val="es-ES"/>
              </w:rPr>
              <w:t>1 686 200</w:t>
            </w:r>
          </w:p>
        </w:tc>
      </w:tr>
      <w:tr w:rsidR="00B76AEE" w:rsidRPr="00B76AEE" w14:paraId="6843ED29"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63F8D47" w14:textId="77777777" w:rsidR="00B76AEE" w:rsidRPr="00B76AEE" w:rsidRDefault="00B76AEE" w:rsidP="00B76AEE">
            <w:pPr>
              <w:ind w:right="-105"/>
              <w:jc w:val="left"/>
              <w:rPr>
                <w:sz w:val="19"/>
                <w:szCs w:val="19"/>
                <w:lang w:val="es-ES"/>
              </w:rPr>
            </w:pPr>
            <w:r w:rsidRPr="00B76AEE">
              <w:rPr>
                <w:sz w:val="19"/>
                <w:lang w:val="es-ES"/>
              </w:rPr>
              <w:t>Intermediarios financieros, incluidos gastos generales</w:t>
            </w:r>
          </w:p>
        </w:tc>
        <w:tc>
          <w:tcPr>
            <w:tcW w:w="976" w:type="dxa"/>
            <w:tcBorders>
              <w:top w:val="nil"/>
              <w:left w:val="nil"/>
              <w:bottom w:val="single" w:sz="4" w:space="0" w:color="auto"/>
              <w:right w:val="single" w:sz="4" w:space="0" w:color="auto"/>
            </w:tcBorders>
            <w:shd w:val="clear" w:color="auto" w:fill="auto"/>
            <w:noWrap/>
            <w:hideMark/>
          </w:tcPr>
          <w:p w14:paraId="1F1B8CAD"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shd w:val="clear" w:color="auto" w:fill="auto"/>
            <w:noWrap/>
            <w:hideMark/>
          </w:tcPr>
          <w:p w14:paraId="7EF07EF1"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single" w:sz="4" w:space="0" w:color="auto"/>
              <w:left w:val="single" w:sz="4" w:space="0" w:color="auto"/>
              <w:bottom w:val="single" w:sz="4" w:space="0" w:color="auto"/>
              <w:right w:val="single" w:sz="4" w:space="0" w:color="auto"/>
            </w:tcBorders>
          </w:tcPr>
          <w:p w14:paraId="6B42E94C"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single" w:sz="4" w:space="0" w:color="auto"/>
              <w:bottom w:val="single" w:sz="4" w:space="0" w:color="auto"/>
              <w:right w:val="single" w:sz="4" w:space="0" w:color="auto"/>
            </w:tcBorders>
            <w:shd w:val="clear" w:color="auto" w:fill="auto"/>
            <w:noWrap/>
          </w:tcPr>
          <w:p w14:paraId="00FCEB4B"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01DB5845"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56D5EF23" w14:textId="77777777" w:rsidR="00B76AEE" w:rsidRPr="00B76AEE" w:rsidRDefault="00B76AEE" w:rsidP="00B76AEE">
            <w:pPr>
              <w:jc w:val="right"/>
              <w:rPr>
                <w:sz w:val="19"/>
                <w:szCs w:val="19"/>
                <w:lang w:val="es-ES"/>
              </w:rPr>
            </w:pPr>
            <w:r w:rsidRPr="00B76AEE">
              <w:rPr>
                <w:sz w:val="19"/>
                <w:lang w:val="es-ES"/>
              </w:rPr>
              <w:t>0</w:t>
            </w:r>
          </w:p>
        </w:tc>
      </w:tr>
      <w:tr w:rsidR="00B76AEE" w:rsidRPr="006050E8" w14:paraId="41AEE658"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EE2E84" w14:textId="77777777" w:rsidR="00B76AEE" w:rsidRPr="00B76AEE" w:rsidRDefault="00B76AEE" w:rsidP="00B76AEE">
            <w:pPr>
              <w:jc w:val="left"/>
              <w:rPr>
                <w:sz w:val="19"/>
                <w:szCs w:val="19"/>
                <w:lang w:val="es-ES"/>
              </w:rPr>
            </w:pPr>
            <w:r w:rsidRPr="00B76AEE">
              <w:rPr>
                <w:sz w:val="19"/>
                <w:lang w:val="es-ES"/>
              </w:rPr>
              <w:t>Reembolso de servicios centrales para personal de unidad central (incluidos gastos generales)</w:t>
            </w:r>
          </w:p>
        </w:tc>
        <w:tc>
          <w:tcPr>
            <w:tcW w:w="976" w:type="dxa"/>
            <w:tcBorders>
              <w:top w:val="nil"/>
              <w:left w:val="nil"/>
              <w:bottom w:val="single" w:sz="4" w:space="0" w:color="auto"/>
              <w:right w:val="single" w:sz="4" w:space="0" w:color="auto"/>
            </w:tcBorders>
            <w:shd w:val="clear" w:color="auto" w:fill="auto"/>
            <w:noWrap/>
            <w:hideMark/>
          </w:tcPr>
          <w:p w14:paraId="1C7B31A8" w14:textId="77777777" w:rsidR="00B76AEE" w:rsidRPr="00B76AEE" w:rsidRDefault="00B76AEE" w:rsidP="00B76AEE">
            <w:pPr>
              <w:jc w:val="right"/>
              <w:rPr>
                <w:sz w:val="19"/>
                <w:szCs w:val="19"/>
                <w:lang w:val="es-ES"/>
              </w:rPr>
            </w:pPr>
            <w:r w:rsidRPr="00B76AEE">
              <w:rPr>
                <w:sz w:val="19"/>
                <w:lang w:val="es-ES"/>
              </w:rPr>
              <w:t> </w:t>
            </w:r>
          </w:p>
        </w:tc>
        <w:tc>
          <w:tcPr>
            <w:tcW w:w="976" w:type="dxa"/>
            <w:tcBorders>
              <w:top w:val="nil"/>
              <w:left w:val="nil"/>
              <w:bottom w:val="single" w:sz="4" w:space="0" w:color="auto"/>
              <w:right w:val="single" w:sz="4" w:space="0" w:color="auto"/>
            </w:tcBorders>
            <w:shd w:val="clear" w:color="auto" w:fill="auto"/>
            <w:noWrap/>
            <w:hideMark/>
          </w:tcPr>
          <w:p w14:paraId="3D2CBA3F" w14:textId="77777777" w:rsidR="00B76AEE" w:rsidRPr="00B76AEE" w:rsidRDefault="00B76AEE" w:rsidP="00B76AEE">
            <w:pPr>
              <w:jc w:val="right"/>
              <w:rPr>
                <w:sz w:val="19"/>
                <w:szCs w:val="19"/>
                <w:lang w:val="es-ES" w:eastAsia="en-CA"/>
              </w:rPr>
            </w:pPr>
          </w:p>
        </w:tc>
        <w:tc>
          <w:tcPr>
            <w:tcW w:w="976" w:type="dxa"/>
            <w:tcBorders>
              <w:top w:val="single" w:sz="4" w:space="0" w:color="auto"/>
              <w:left w:val="single" w:sz="4" w:space="0" w:color="auto"/>
              <w:bottom w:val="single" w:sz="4" w:space="0" w:color="auto"/>
              <w:right w:val="single" w:sz="4" w:space="0" w:color="auto"/>
            </w:tcBorders>
          </w:tcPr>
          <w:p w14:paraId="77F1CFE9" w14:textId="77777777" w:rsidR="00B76AEE" w:rsidRPr="00B76AEE" w:rsidRDefault="00B76AEE" w:rsidP="00B76AEE">
            <w:pPr>
              <w:jc w:val="right"/>
              <w:rPr>
                <w:sz w:val="19"/>
                <w:szCs w:val="19"/>
                <w:lang w:val="es-ES" w:eastAsia="en-CA"/>
              </w:rPr>
            </w:pPr>
          </w:p>
        </w:tc>
        <w:tc>
          <w:tcPr>
            <w:tcW w:w="976" w:type="dxa"/>
            <w:tcBorders>
              <w:top w:val="nil"/>
              <w:left w:val="single" w:sz="4" w:space="0" w:color="auto"/>
              <w:bottom w:val="single" w:sz="4" w:space="0" w:color="auto"/>
              <w:right w:val="single" w:sz="4" w:space="0" w:color="auto"/>
            </w:tcBorders>
            <w:shd w:val="clear" w:color="auto" w:fill="auto"/>
            <w:noWrap/>
          </w:tcPr>
          <w:p w14:paraId="12C2135C" w14:textId="77777777" w:rsidR="00B76AEE" w:rsidRPr="00B76AEE" w:rsidRDefault="00B76AEE" w:rsidP="00B76AEE">
            <w:pPr>
              <w:jc w:val="right"/>
              <w:rPr>
                <w:sz w:val="19"/>
                <w:szCs w:val="19"/>
                <w:lang w:val="es-ES" w:eastAsia="en-CA"/>
              </w:rPr>
            </w:pPr>
          </w:p>
        </w:tc>
        <w:tc>
          <w:tcPr>
            <w:tcW w:w="1040" w:type="dxa"/>
            <w:tcBorders>
              <w:top w:val="nil"/>
              <w:left w:val="nil"/>
              <w:bottom w:val="single" w:sz="4" w:space="0" w:color="auto"/>
              <w:right w:val="single" w:sz="4" w:space="0" w:color="auto"/>
            </w:tcBorders>
            <w:shd w:val="clear" w:color="auto" w:fill="auto"/>
            <w:noWrap/>
          </w:tcPr>
          <w:p w14:paraId="3A6D71AF" w14:textId="77777777" w:rsidR="00B76AEE" w:rsidRPr="00B76AEE" w:rsidRDefault="00B76AEE" w:rsidP="00B76AEE">
            <w:pPr>
              <w:jc w:val="right"/>
              <w:rPr>
                <w:sz w:val="19"/>
                <w:szCs w:val="19"/>
                <w:lang w:val="es-ES" w:eastAsia="en-CA"/>
              </w:rPr>
            </w:pPr>
          </w:p>
        </w:tc>
        <w:tc>
          <w:tcPr>
            <w:tcW w:w="976" w:type="dxa"/>
            <w:tcBorders>
              <w:top w:val="nil"/>
              <w:left w:val="nil"/>
              <w:bottom w:val="single" w:sz="4" w:space="0" w:color="auto"/>
              <w:right w:val="single" w:sz="4" w:space="0" w:color="auto"/>
            </w:tcBorders>
          </w:tcPr>
          <w:p w14:paraId="13AF286F" w14:textId="77777777" w:rsidR="00B76AEE" w:rsidRPr="00B76AEE" w:rsidRDefault="00B76AEE" w:rsidP="00B76AEE">
            <w:pPr>
              <w:jc w:val="right"/>
              <w:rPr>
                <w:sz w:val="19"/>
                <w:szCs w:val="19"/>
                <w:lang w:val="es-ES" w:eastAsia="en-CA"/>
              </w:rPr>
            </w:pPr>
          </w:p>
        </w:tc>
      </w:tr>
      <w:tr w:rsidR="00B76AEE" w:rsidRPr="00B76AEE" w14:paraId="5932D235"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C78466" w14:textId="77777777" w:rsidR="00B76AEE" w:rsidRPr="00B76AEE" w:rsidRDefault="00B76AEE" w:rsidP="00B76AEE">
            <w:pPr>
              <w:jc w:val="left"/>
              <w:rPr>
                <w:sz w:val="19"/>
                <w:szCs w:val="19"/>
                <w:lang w:val="es-ES"/>
              </w:rPr>
            </w:pPr>
            <w:r w:rsidRPr="00B76AEE">
              <w:rPr>
                <w:sz w:val="19"/>
                <w:lang w:val="es-ES"/>
              </w:rPr>
              <w:t>Recuperación de gastos</w:t>
            </w:r>
          </w:p>
        </w:tc>
        <w:tc>
          <w:tcPr>
            <w:tcW w:w="976" w:type="dxa"/>
            <w:tcBorders>
              <w:top w:val="nil"/>
              <w:left w:val="nil"/>
              <w:bottom w:val="single" w:sz="4" w:space="0" w:color="auto"/>
              <w:right w:val="single" w:sz="4" w:space="0" w:color="auto"/>
            </w:tcBorders>
            <w:shd w:val="clear" w:color="auto" w:fill="auto"/>
            <w:noWrap/>
            <w:hideMark/>
          </w:tcPr>
          <w:p w14:paraId="1A2F335E"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shd w:val="clear" w:color="auto" w:fill="auto"/>
            <w:noWrap/>
            <w:hideMark/>
          </w:tcPr>
          <w:p w14:paraId="1FD26FCC"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single" w:sz="4" w:space="0" w:color="auto"/>
              <w:left w:val="single" w:sz="4" w:space="0" w:color="auto"/>
              <w:bottom w:val="single" w:sz="4" w:space="0" w:color="auto"/>
              <w:right w:val="single" w:sz="4" w:space="0" w:color="auto"/>
            </w:tcBorders>
          </w:tcPr>
          <w:p w14:paraId="6717A5FF"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single" w:sz="4" w:space="0" w:color="auto"/>
              <w:bottom w:val="single" w:sz="4" w:space="0" w:color="auto"/>
              <w:right w:val="single" w:sz="4" w:space="0" w:color="auto"/>
            </w:tcBorders>
            <w:shd w:val="clear" w:color="auto" w:fill="auto"/>
            <w:noWrap/>
          </w:tcPr>
          <w:p w14:paraId="11480D05"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14282314"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62D67AD3"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454E2C9B"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B72821" w14:textId="77777777" w:rsidR="00B76AEE" w:rsidRPr="00B76AEE" w:rsidRDefault="00B76AEE" w:rsidP="00B76AEE">
            <w:pPr>
              <w:jc w:val="left"/>
              <w:rPr>
                <w:sz w:val="19"/>
                <w:szCs w:val="19"/>
                <w:lang w:val="es-ES"/>
              </w:rPr>
            </w:pPr>
            <w:r w:rsidRPr="00B76AEE">
              <w:rPr>
                <w:sz w:val="19"/>
                <w:lang w:val="es-ES"/>
              </w:rPr>
              <w:t>Ajuste (+ = excedido y - = subutilizado)</w:t>
            </w:r>
          </w:p>
        </w:tc>
        <w:tc>
          <w:tcPr>
            <w:tcW w:w="976" w:type="dxa"/>
            <w:tcBorders>
              <w:top w:val="nil"/>
              <w:left w:val="nil"/>
              <w:bottom w:val="single" w:sz="4" w:space="0" w:color="auto"/>
              <w:right w:val="single" w:sz="4" w:space="0" w:color="auto"/>
            </w:tcBorders>
            <w:shd w:val="clear" w:color="auto" w:fill="auto"/>
            <w:noWrap/>
            <w:hideMark/>
          </w:tcPr>
          <w:p w14:paraId="468B2A8B"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shd w:val="clear" w:color="auto" w:fill="auto"/>
            <w:noWrap/>
            <w:hideMark/>
          </w:tcPr>
          <w:p w14:paraId="63EBE4F2" w14:textId="77777777" w:rsidR="00B76AEE" w:rsidRPr="00B76AEE" w:rsidRDefault="00B76AEE" w:rsidP="00B76AEE">
            <w:pPr>
              <w:jc w:val="right"/>
              <w:rPr>
                <w:sz w:val="19"/>
                <w:szCs w:val="19"/>
                <w:lang w:val="es-ES"/>
              </w:rPr>
            </w:pPr>
            <w:r w:rsidRPr="00B76AEE">
              <w:rPr>
                <w:sz w:val="19"/>
                <w:lang w:val="es-ES"/>
              </w:rPr>
              <w:t>24 066</w:t>
            </w:r>
          </w:p>
        </w:tc>
        <w:tc>
          <w:tcPr>
            <w:tcW w:w="976" w:type="dxa"/>
            <w:tcBorders>
              <w:top w:val="single" w:sz="4" w:space="0" w:color="auto"/>
              <w:left w:val="single" w:sz="4" w:space="0" w:color="auto"/>
              <w:bottom w:val="single" w:sz="4" w:space="0" w:color="auto"/>
              <w:right w:val="single" w:sz="4" w:space="0" w:color="auto"/>
            </w:tcBorders>
          </w:tcPr>
          <w:p w14:paraId="6BBAF892"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single" w:sz="4" w:space="0" w:color="auto"/>
              <w:bottom w:val="single" w:sz="4" w:space="0" w:color="auto"/>
              <w:right w:val="single" w:sz="4" w:space="0" w:color="auto"/>
            </w:tcBorders>
            <w:shd w:val="clear" w:color="auto" w:fill="auto"/>
            <w:noWrap/>
          </w:tcPr>
          <w:p w14:paraId="7EDEDF03"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471E7E89" w14:textId="77777777" w:rsidR="00B76AEE" w:rsidRPr="00B76AEE" w:rsidRDefault="00B76AEE" w:rsidP="00B76AEE">
            <w:pPr>
              <w:jc w:val="right"/>
              <w:rPr>
                <w:sz w:val="19"/>
                <w:szCs w:val="19"/>
                <w:lang w:val="es-ES"/>
              </w:rPr>
            </w:pPr>
            <w:r w:rsidRPr="00B76AEE">
              <w:rPr>
                <w:sz w:val="19"/>
                <w:lang w:val="es-ES"/>
              </w:rPr>
              <w:t>-202 300</w:t>
            </w:r>
          </w:p>
        </w:tc>
        <w:tc>
          <w:tcPr>
            <w:tcW w:w="976" w:type="dxa"/>
            <w:tcBorders>
              <w:top w:val="nil"/>
              <w:left w:val="nil"/>
              <w:bottom w:val="single" w:sz="4" w:space="0" w:color="auto"/>
              <w:right w:val="single" w:sz="4" w:space="0" w:color="auto"/>
            </w:tcBorders>
          </w:tcPr>
          <w:p w14:paraId="77E91EC4" w14:textId="77777777" w:rsidR="00B76AEE" w:rsidRPr="00B76AEE" w:rsidRDefault="00B76AEE" w:rsidP="00B76AEE">
            <w:pPr>
              <w:jc w:val="right"/>
              <w:rPr>
                <w:sz w:val="19"/>
                <w:szCs w:val="19"/>
                <w:lang w:val="es-ES"/>
              </w:rPr>
            </w:pPr>
            <w:r w:rsidRPr="00B76AEE">
              <w:rPr>
                <w:sz w:val="19"/>
                <w:lang w:val="es-ES"/>
              </w:rPr>
              <w:t>240 746</w:t>
            </w:r>
          </w:p>
        </w:tc>
      </w:tr>
      <w:tr w:rsidR="00B76AEE" w:rsidRPr="00B76AEE" w14:paraId="47E4CB7E"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120342" w14:textId="77777777" w:rsidR="00B76AEE" w:rsidRPr="00B76AEE" w:rsidRDefault="00B76AEE" w:rsidP="00B76AEE">
            <w:pPr>
              <w:jc w:val="left"/>
              <w:rPr>
                <w:sz w:val="19"/>
                <w:szCs w:val="19"/>
                <w:lang w:val="es-ES"/>
              </w:rPr>
            </w:pPr>
            <w:r w:rsidRPr="00B76AEE">
              <w:rPr>
                <w:sz w:val="19"/>
                <w:lang w:val="es-ES"/>
              </w:rPr>
              <w:t>Costos de proyectos (- = se restan y por tanto se suprimen)</w:t>
            </w:r>
          </w:p>
        </w:tc>
        <w:tc>
          <w:tcPr>
            <w:tcW w:w="976" w:type="dxa"/>
            <w:tcBorders>
              <w:top w:val="nil"/>
              <w:left w:val="nil"/>
              <w:bottom w:val="single" w:sz="4" w:space="0" w:color="auto"/>
              <w:right w:val="single" w:sz="4" w:space="0" w:color="auto"/>
            </w:tcBorders>
            <w:shd w:val="clear" w:color="auto" w:fill="auto"/>
            <w:noWrap/>
            <w:hideMark/>
          </w:tcPr>
          <w:p w14:paraId="4513E9B8" w14:textId="77777777" w:rsidR="00B76AEE" w:rsidRPr="00B76AEE" w:rsidRDefault="00B76AEE" w:rsidP="00B76AEE">
            <w:pPr>
              <w:jc w:val="right"/>
              <w:rPr>
                <w:sz w:val="19"/>
                <w:szCs w:val="19"/>
                <w:lang w:val="es-ES"/>
              </w:rPr>
            </w:pPr>
            <w:r w:rsidRPr="00B76AEE">
              <w:rPr>
                <w:sz w:val="19"/>
                <w:lang w:val="es-ES"/>
              </w:rPr>
              <w:t>-136 283</w:t>
            </w:r>
          </w:p>
        </w:tc>
        <w:tc>
          <w:tcPr>
            <w:tcW w:w="976" w:type="dxa"/>
            <w:tcBorders>
              <w:top w:val="nil"/>
              <w:left w:val="nil"/>
              <w:bottom w:val="single" w:sz="4" w:space="0" w:color="auto"/>
              <w:right w:val="single" w:sz="4" w:space="0" w:color="auto"/>
            </w:tcBorders>
            <w:shd w:val="clear" w:color="auto" w:fill="auto"/>
            <w:noWrap/>
            <w:hideMark/>
          </w:tcPr>
          <w:p w14:paraId="27FA2384" w14:textId="77777777" w:rsidR="00B76AEE" w:rsidRPr="00B76AEE" w:rsidRDefault="00B76AEE" w:rsidP="00B76AEE">
            <w:pPr>
              <w:jc w:val="right"/>
              <w:rPr>
                <w:sz w:val="19"/>
                <w:szCs w:val="19"/>
                <w:lang w:val="es-ES"/>
              </w:rPr>
            </w:pPr>
            <w:r w:rsidRPr="00B76AEE">
              <w:rPr>
                <w:sz w:val="19"/>
                <w:lang w:val="es-ES"/>
              </w:rPr>
              <w:t>-38 099</w:t>
            </w:r>
          </w:p>
        </w:tc>
        <w:tc>
          <w:tcPr>
            <w:tcW w:w="976" w:type="dxa"/>
            <w:tcBorders>
              <w:top w:val="single" w:sz="4" w:space="0" w:color="auto"/>
              <w:left w:val="single" w:sz="4" w:space="0" w:color="auto"/>
              <w:bottom w:val="single" w:sz="4" w:space="0" w:color="auto"/>
              <w:right w:val="single" w:sz="4" w:space="0" w:color="auto"/>
            </w:tcBorders>
          </w:tcPr>
          <w:p w14:paraId="42315977"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single" w:sz="4" w:space="0" w:color="auto"/>
              <w:bottom w:val="single" w:sz="4" w:space="0" w:color="auto"/>
              <w:right w:val="single" w:sz="4" w:space="0" w:color="auto"/>
            </w:tcBorders>
            <w:shd w:val="clear" w:color="auto" w:fill="auto"/>
            <w:noWrap/>
          </w:tcPr>
          <w:p w14:paraId="7A421440" w14:textId="77777777" w:rsidR="00B76AEE" w:rsidRPr="00B76AEE" w:rsidRDefault="00B76AEE" w:rsidP="00B76AEE">
            <w:pPr>
              <w:jc w:val="right"/>
              <w:rPr>
                <w:sz w:val="19"/>
                <w:szCs w:val="19"/>
                <w:lang w:val="es-ES"/>
              </w:rPr>
            </w:pPr>
            <w:r w:rsidRPr="00B76AEE">
              <w:rPr>
                <w:sz w:val="19"/>
                <w:lang w:val="es-ES"/>
              </w:rPr>
              <w:t>0</w:t>
            </w:r>
          </w:p>
        </w:tc>
        <w:tc>
          <w:tcPr>
            <w:tcW w:w="1040" w:type="dxa"/>
            <w:tcBorders>
              <w:top w:val="nil"/>
              <w:left w:val="nil"/>
              <w:bottom w:val="single" w:sz="4" w:space="0" w:color="auto"/>
              <w:right w:val="single" w:sz="4" w:space="0" w:color="auto"/>
            </w:tcBorders>
            <w:shd w:val="clear" w:color="auto" w:fill="auto"/>
            <w:noWrap/>
          </w:tcPr>
          <w:p w14:paraId="540FDC47" w14:textId="77777777" w:rsidR="00B76AEE" w:rsidRPr="00B76AEE" w:rsidRDefault="00B76AEE" w:rsidP="00B76AEE">
            <w:pPr>
              <w:jc w:val="right"/>
              <w:rPr>
                <w:sz w:val="19"/>
                <w:szCs w:val="19"/>
                <w:lang w:val="es-ES"/>
              </w:rPr>
            </w:pPr>
            <w:r w:rsidRPr="00B76AEE">
              <w:rPr>
                <w:sz w:val="19"/>
                <w:lang w:val="es-ES"/>
              </w:rPr>
              <w:t>0</w:t>
            </w:r>
          </w:p>
        </w:tc>
        <w:tc>
          <w:tcPr>
            <w:tcW w:w="976" w:type="dxa"/>
            <w:tcBorders>
              <w:top w:val="nil"/>
              <w:left w:val="nil"/>
              <w:bottom w:val="single" w:sz="4" w:space="0" w:color="auto"/>
              <w:right w:val="single" w:sz="4" w:space="0" w:color="auto"/>
            </w:tcBorders>
          </w:tcPr>
          <w:p w14:paraId="7F826189"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344C56DA"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5F6B07" w14:textId="77777777" w:rsidR="00B76AEE" w:rsidRPr="00B76AEE" w:rsidRDefault="00B76AEE" w:rsidP="00B76AEE">
            <w:pPr>
              <w:jc w:val="left"/>
              <w:rPr>
                <w:b/>
                <w:bCs/>
                <w:sz w:val="19"/>
                <w:szCs w:val="19"/>
                <w:lang w:val="es-ES"/>
              </w:rPr>
            </w:pPr>
            <w:r w:rsidRPr="00B76AEE">
              <w:rPr>
                <w:b/>
                <w:sz w:val="19"/>
                <w:lang w:val="es-ES"/>
              </w:rPr>
              <w:t>B. Subtotal de gastos de apoyo del organismo/ejecución</w:t>
            </w:r>
          </w:p>
        </w:tc>
        <w:tc>
          <w:tcPr>
            <w:tcW w:w="976" w:type="dxa"/>
            <w:tcBorders>
              <w:top w:val="nil"/>
              <w:left w:val="nil"/>
              <w:bottom w:val="single" w:sz="4" w:space="0" w:color="auto"/>
              <w:right w:val="single" w:sz="4" w:space="0" w:color="auto"/>
            </w:tcBorders>
            <w:shd w:val="clear" w:color="auto" w:fill="auto"/>
            <w:noWrap/>
            <w:hideMark/>
          </w:tcPr>
          <w:p w14:paraId="7A99C59B" w14:textId="77777777" w:rsidR="00B76AEE" w:rsidRPr="00B76AEE" w:rsidRDefault="00B76AEE" w:rsidP="00B76AEE">
            <w:pPr>
              <w:jc w:val="right"/>
              <w:rPr>
                <w:b/>
                <w:bCs/>
                <w:sz w:val="19"/>
                <w:szCs w:val="19"/>
                <w:lang w:val="es-ES"/>
              </w:rPr>
            </w:pPr>
            <w:r w:rsidRPr="00B76AEE">
              <w:rPr>
                <w:b/>
                <w:sz w:val="19"/>
                <w:lang w:val="es-ES"/>
              </w:rPr>
              <w:t>1 948 182</w:t>
            </w:r>
          </w:p>
        </w:tc>
        <w:tc>
          <w:tcPr>
            <w:tcW w:w="976" w:type="dxa"/>
            <w:tcBorders>
              <w:top w:val="nil"/>
              <w:left w:val="nil"/>
              <w:bottom w:val="single" w:sz="4" w:space="0" w:color="auto"/>
              <w:right w:val="single" w:sz="4" w:space="0" w:color="auto"/>
            </w:tcBorders>
            <w:shd w:val="clear" w:color="auto" w:fill="auto"/>
            <w:noWrap/>
            <w:hideMark/>
          </w:tcPr>
          <w:p w14:paraId="783EB1E2" w14:textId="77777777" w:rsidR="00B76AEE" w:rsidRPr="00B76AEE" w:rsidRDefault="00B76AEE" w:rsidP="00B76AEE">
            <w:pPr>
              <w:jc w:val="right"/>
              <w:rPr>
                <w:b/>
                <w:bCs/>
                <w:sz w:val="19"/>
                <w:szCs w:val="19"/>
                <w:lang w:val="es-ES"/>
              </w:rPr>
            </w:pPr>
            <w:r w:rsidRPr="00B76AEE">
              <w:rPr>
                <w:b/>
                <w:sz w:val="19"/>
                <w:lang w:val="es-ES"/>
              </w:rPr>
              <w:t>2 712 163</w:t>
            </w:r>
          </w:p>
        </w:tc>
        <w:tc>
          <w:tcPr>
            <w:tcW w:w="976" w:type="dxa"/>
            <w:tcBorders>
              <w:top w:val="single" w:sz="4" w:space="0" w:color="auto"/>
              <w:left w:val="single" w:sz="4" w:space="0" w:color="auto"/>
              <w:bottom w:val="single" w:sz="4" w:space="0" w:color="auto"/>
              <w:right w:val="single" w:sz="4" w:space="0" w:color="auto"/>
            </w:tcBorders>
          </w:tcPr>
          <w:p w14:paraId="183B1E92" w14:textId="77777777" w:rsidR="00B76AEE" w:rsidRPr="00B76AEE" w:rsidRDefault="00B76AEE" w:rsidP="00B76AEE">
            <w:pPr>
              <w:jc w:val="right"/>
              <w:rPr>
                <w:b/>
                <w:bCs/>
                <w:sz w:val="19"/>
                <w:szCs w:val="19"/>
                <w:lang w:val="es-ES"/>
              </w:rPr>
            </w:pPr>
            <w:r w:rsidRPr="00B76AEE">
              <w:rPr>
                <w:b/>
                <w:sz w:val="19"/>
                <w:lang w:val="es-ES"/>
              </w:rPr>
              <w:t>2 167 455</w:t>
            </w:r>
          </w:p>
        </w:tc>
        <w:tc>
          <w:tcPr>
            <w:tcW w:w="976" w:type="dxa"/>
            <w:tcBorders>
              <w:top w:val="nil"/>
              <w:left w:val="single" w:sz="4" w:space="0" w:color="auto"/>
              <w:bottom w:val="single" w:sz="4" w:space="0" w:color="auto"/>
              <w:right w:val="single" w:sz="4" w:space="0" w:color="auto"/>
            </w:tcBorders>
            <w:shd w:val="clear" w:color="auto" w:fill="auto"/>
            <w:noWrap/>
          </w:tcPr>
          <w:p w14:paraId="2F107712" w14:textId="77777777" w:rsidR="00B76AEE" w:rsidRPr="00B76AEE" w:rsidRDefault="00B76AEE" w:rsidP="00B76AEE">
            <w:pPr>
              <w:jc w:val="right"/>
              <w:rPr>
                <w:b/>
                <w:bCs/>
                <w:sz w:val="19"/>
                <w:szCs w:val="19"/>
                <w:lang w:val="es-ES"/>
              </w:rPr>
            </w:pPr>
            <w:r w:rsidRPr="00B76AEE">
              <w:rPr>
                <w:b/>
                <w:sz w:val="19"/>
                <w:lang w:val="es-ES"/>
              </w:rPr>
              <w:t>3 030 200</w:t>
            </w:r>
          </w:p>
        </w:tc>
        <w:tc>
          <w:tcPr>
            <w:tcW w:w="1040" w:type="dxa"/>
            <w:tcBorders>
              <w:top w:val="nil"/>
              <w:left w:val="nil"/>
              <w:bottom w:val="single" w:sz="4" w:space="0" w:color="auto"/>
              <w:right w:val="single" w:sz="4" w:space="0" w:color="auto"/>
            </w:tcBorders>
            <w:shd w:val="clear" w:color="auto" w:fill="auto"/>
            <w:noWrap/>
          </w:tcPr>
          <w:p w14:paraId="25B4B193" w14:textId="77777777" w:rsidR="00B76AEE" w:rsidRPr="00B76AEE" w:rsidRDefault="00B76AEE" w:rsidP="00B76AEE">
            <w:pPr>
              <w:jc w:val="right"/>
              <w:rPr>
                <w:b/>
                <w:bCs/>
                <w:sz w:val="19"/>
                <w:szCs w:val="19"/>
                <w:lang w:val="es-ES"/>
              </w:rPr>
            </w:pPr>
            <w:r w:rsidRPr="00B76AEE">
              <w:rPr>
                <w:b/>
                <w:sz w:val="19"/>
                <w:lang w:val="es-ES"/>
              </w:rPr>
              <w:t>1 476 700</w:t>
            </w:r>
          </w:p>
        </w:tc>
        <w:tc>
          <w:tcPr>
            <w:tcW w:w="976" w:type="dxa"/>
            <w:tcBorders>
              <w:top w:val="nil"/>
              <w:left w:val="nil"/>
              <w:bottom w:val="single" w:sz="4" w:space="0" w:color="auto"/>
              <w:right w:val="single" w:sz="4" w:space="0" w:color="auto"/>
            </w:tcBorders>
          </w:tcPr>
          <w:p w14:paraId="200D2B8C" w14:textId="77777777" w:rsidR="00B76AEE" w:rsidRPr="00B76AEE" w:rsidRDefault="00B76AEE" w:rsidP="00B76AEE">
            <w:pPr>
              <w:jc w:val="right"/>
              <w:rPr>
                <w:b/>
                <w:bCs/>
                <w:sz w:val="19"/>
                <w:szCs w:val="19"/>
                <w:lang w:val="es-ES"/>
              </w:rPr>
            </w:pPr>
            <w:r w:rsidRPr="00B76AEE">
              <w:rPr>
                <w:b/>
                <w:sz w:val="19"/>
                <w:lang w:val="es-ES"/>
              </w:rPr>
              <w:t>2 833 746</w:t>
            </w:r>
          </w:p>
        </w:tc>
      </w:tr>
      <w:tr w:rsidR="00B76AEE" w:rsidRPr="00B76AEE" w14:paraId="1643F7D6" w14:textId="77777777" w:rsidTr="001224CB">
        <w:tc>
          <w:tcPr>
            <w:tcW w:w="35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FACBD7D" w14:textId="77777777" w:rsidR="00B76AEE" w:rsidRPr="00B76AEE" w:rsidRDefault="00B76AEE" w:rsidP="00B76AEE">
            <w:pPr>
              <w:jc w:val="left"/>
              <w:rPr>
                <w:b/>
                <w:bCs/>
                <w:sz w:val="19"/>
                <w:szCs w:val="19"/>
                <w:lang w:val="es-ES"/>
              </w:rPr>
            </w:pPr>
            <w:r w:rsidRPr="00B76AEE">
              <w:rPr>
                <w:b/>
                <w:sz w:val="19"/>
                <w:lang w:val="es-ES"/>
              </w:rPr>
              <w:t>Total general (A + B)</w:t>
            </w:r>
          </w:p>
        </w:tc>
        <w:tc>
          <w:tcPr>
            <w:tcW w:w="976" w:type="dxa"/>
            <w:tcBorders>
              <w:top w:val="nil"/>
              <w:left w:val="nil"/>
              <w:bottom w:val="single" w:sz="4" w:space="0" w:color="auto"/>
              <w:right w:val="single" w:sz="4" w:space="0" w:color="auto"/>
            </w:tcBorders>
            <w:shd w:val="clear" w:color="auto" w:fill="auto"/>
            <w:noWrap/>
            <w:hideMark/>
          </w:tcPr>
          <w:p w14:paraId="50EE4B83" w14:textId="77777777" w:rsidR="00B76AEE" w:rsidRPr="00B76AEE" w:rsidRDefault="00B76AEE" w:rsidP="00B76AEE">
            <w:pPr>
              <w:jc w:val="right"/>
              <w:rPr>
                <w:b/>
                <w:bCs/>
                <w:sz w:val="19"/>
                <w:szCs w:val="19"/>
                <w:lang w:val="es-ES"/>
              </w:rPr>
            </w:pPr>
            <w:r w:rsidRPr="00B76AEE">
              <w:rPr>
                <w:b/>
                <w:sz w:val="19"/>
                <w:lang w:val="es-ES"/>
              </w:rPr>
              <w:t>4 009 636</w:t>
            </w:r>
          </w:p>
        </w:tc>
        <w:tc>
          <w:tcPr>
            <w:tcW w:w="976" w:type="dxa"/>
            <w:tcBorders>
              <w:top w:val="nil"/>
              <w:left w:val="nil"/>
              <w:bottom w:val="single" w:sz="4" w:space="0" w:color="auto"/>
              <w:right w:val="single" w:sz="4" w:space="0" w:color="auto"/>
            </w:tcBorders>
            <w:shd w:val="clear" w:color="auto" w:fill="auto"/>
            <w:noWrap/>
            <w:hideMark/>
          </w:tcPr>
          <w:p w14:paraId="60D3B808" w14:textId="77777777" w:rsidR="00B76AEE" w:rsidRPr="00B76AEE" w:rsidRDefault="00B76AEE" w:rsidP="00B76AEE">
            <w:pPr>
              <w:jc w:val="right"/>
              <w:rPr>
                <w:b/>
                <w:bCs/>
                <w:sz w:val="19"/>
                <w:szCs w:val="19"/>
                <w:lang w:val="es-ES"/>
              </w:rPr>
            </w:pPr>
            <w:r w:rsidRPr="00B76AEE">
              <w:rPr>
                <w:b/>
                <w:sz w:val="19"/>
                <w:lang w:val="es-ES"/>
              </w:rPr>
              <w:t>4 796 033</w:t>
            </w:r>
          </w:p>
        </w:tc>
        <w:tc>
          <w:tcPr>
            <w:tcW w:w="976" w:type="dxa"/>
            <w:tcBorders>
              <w:top w:val="single" w:sz="4" w:space="0" w:color="auto"/>
              <w:left w:val="single" w:sz="4" w:space="0" w:color="auto"/>
              <w:bottom w:val="single" w:sz="4" w:space="0" w:color="auto"/>
              <w:right w:val="single" w:sz="4" w:space="0" w:color="auto"/>
            </w:tcBorders>
          </w:tcPr>
          <w:p w14:paraId="3547E3C6" w14:textId="77777777" w:rsidR="00B76AEE" w:rsidRPr="00B76AEE" w:rsidRDefault="00B76AEE" w:rsidP="00B76AEE">
            <w:pPr>
              <w:jc w:val="right"/>
              <w:rPr>
                <w:b/>
                <w:bCs/>
                <w:sz w:val="19"/>
                <w:szCs w:val="19"/>
                <w:lang w:val="es-ES"/>
              </w:rPr>
            </w:pPr>
            <w:r w:rsidRPr="00B76AEE">
              <w:rPr>
                <w:b/>
                <w:sz w:val="19"/>
                <w:lang w:val="es-ES"/>
              </w:rPr>
              <w:t>4 216 509</w:t>
            </w:r>
          </w:p>
        </w:tc>
        <w:tc>
          <w:tcPr>
            <w:tcW w:w="976" w:type="dxa"/>
            <w:tcBorders>
              <w:top w:val="nil"/>
              <w:left w:val="single" w:sz="4" w:space="0" w:color="auto"/>
              <w:bottom w:val="single" w:sz="4" w:space="0" w:color="auto"/>
              <w:right w:val="single" w:sz="4" w:space="0" w:color="auto"/>
            </w:tcBorders>
            <w:shd w:val="clear" w:color="auto" w:fill="auto"/>
            <w:noWrap/>
          </w:tcPr>
          <w:p w14:paraId="21F9E6BE" w14:textId="77777777" w:rsidR="00B76AEE" w:rsidRPr="00B76AEE" w:rsidRDefault="00B76AEE" w:rsidP="00B76AEE">
            <w:pPr>
              <w:jc w:val="right"/>
              <w:rPr>
                <w:b/>
                <w:bCs/>
                <w:sz w:val="19"/>
                <w:szCs w:val="19"/>
                <w:lang w:val="es-ES"/>
              </w:rPr>
            </w:pPr>
            <w:r w:rsidRPr="00B76AEE">
              <w:rPr>
                <w:b/>
                <w:sz w:val="19"/>
                <w:lang w:val="es-ES"/>
              </w:rPr>
              <w:t>5 052 200</w:t>
            </w:r>
          </w:p>
        </w:tc>
        <w:tc>
          <w:tcPr>
            <w:tcW w:w="1040" w:type="dxa"/>
            <w:tcBorders>
              <w:top w:val="nil"/>
              <w:left w:val="nil"/>
              <w:bottom w:val="single" w:sz="4" w:space="0" w:color="auto"/>
              <w:right w:val="single" w:sz="4" w:space="0" w:color="auto"/>
            </w:tcBorders>
            <w:shd w:val="clear" w:color="auto" w:fill="auto"/>
            <w:noWrap/>
          </w:tcPr>
          <w:p w14:paraId="0B15C943" w14:textId="77777777" w:rsidR="00B76AEE" w:rsidRPr="00B76AEE" w:rsidRDefault="00B76AEE" w:rsidP="00B76AEE">
            <w:pPr>
              <w:jc w:val="right"/>
              <w:rPr>
                <w:b/>
                <w:bCs/>
                <w:sz w:val="19"/>
                <w:szCs w:val="19"/>
                <w:lang w:val="es-ES"/>
              </w:rPr>
            </w:pPr>
            <w:r w:rsidRPr="00B76AEE">
              <w:rPr>
                <w:b/>
                <w:sz w:val="19"/>
                <w:lang w:val="es-ES"/>
              </w:rPr>
              <w:t>3 498 700</w:t>
            </w:r>
          </w:p>
        </w:tc>
        <w:tc>
          <w:tcPr>
            <w:tcW w:w="976" w:type="dxa"/>
            <w:tcBorders>
              <w:top w:val="nil"/>
              <w:left w:val="nil"/>
              <w:bottom w:val="single" w:sz="4" w:space="0" w:color="auto"/>
              <w:right w:val="single" w:sz="4" w:space="0" w:color="auto"/>
            </w:tcBorders>
          </w:tcPr>
          <w:p w14:paraId="5DD6D8B1" w14:textId="77777777" w:rsidR="00B76AEE" w:rsidRPr="00B76AEE" w:rsidRDefault="00B76AEE" w:rsidP="00B76AEE">
            <w:pPr>
              <w:jc w:val="right"/>
              <w:rPr>
                <w:b/>
                <w:bCs/>
                <w:sz w:val="19"/>
                <w:szCs w:val="19"/>
                <w:lang w:val="es-ES"/>
              </w:rPr>
            </w:pPr>
            <w:r w:rsidRPr="00B76AEE">
              <w:rPr>
                <w:b/>
                <w:sz w:val="19"/>
                <w:lang w:val="es-ES"/>
              </w:rPr>
              <w:t>4 869 900</w:t>
            </w:r>
          </w:p>
        </w:tc>
      </w:tr>
    </w:tbl>
    <w:p w14:paraId="4887980C" w14:textId="77777777" w:rsidR="00B76AEE" w:rsidRPr="00B76AEE" w:rsidRDefault="00B76AEE" w:rsidP="00B76AEE">
      <w:pPr>
        <w:pStyle w:val="Heading1"/>
        <w:rPr>
          <w:sz w:val="18"/>
          <w:szCs w:val="18"/>
          <w:lang w:val="es-ES"/>
        </w:rPr>
      </w:pPr>
      <w:r w:rsidRPr="00B76AEE">
        <w:rPr>
          <w:sz w:val="18"/>
          <w:lang w:val="es-ES"/>
        </w:rPr>
        <w:t xml:space="preserve">* El costo de la unidad central es más elevado que el subtotal permitido de 2 083 870 $EUA en 2019. Por lo tanto, se introdujeron una partida de ajuste y un ajuste negativo para llegar al límite requerido. En los gastos de apoyo del organismo/ejecución se hizo además el ajuste positivo correspondiente a fin de garantizar que los costos totales incurridos para costos administrativos reflejasen también los costos en exceso del organismo. </w:t>
      </w:r>
    </w:p>
    <w:p w14:paraId="14E0CCE5" w14:textId="77777777" w:rsidR="00B76AEE" w:rsidRPr="00B76AEE" w:rsidRDefault="00B76AEE" w:rsidP="00B76AEE">
      <w:pPr>
        <w:keepNext/>
        <w:spacing w:after="240"/>
        <w:rPr>
          <w:u w:val="single"/>
          <w:lang w:val="es-ES"/>
        </w:rPr>
      </w:pPr>
      <w:r w:rsidRPr="00B76AEE">
        <w:rPr>
          <w:u w:val="single"/>
          <w:lang w:val="es-ES"/>
        </w:rPr>
        <w:t>Costos de unidad central</w:t>
      </w:r>
    </w:p>
    <w:p w14:paraId="0F211A14"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La solicitud presupuestaria para la unidad central de la ONUDI para 2022, por la suma de 2 036 154 $EUA, representa un aumento del 0,7% respecto del presupuesto aprobado para 2021. La </w:t>
      </w:r>
      <w:r w:rsidRPr="00B76AEE">
        <w:rPr>
          <w:lang w:val="es-ES"/>
        </w:rPr>
        <w:lastRenderedPageBreak/>
        <w:t>ONUDI prevé que los costos de su unidad central serán 240 746 $EUA superiores a esta cifra (se indica en la fila “Ajustes” del Cuadro 3).</w:t>
      </w:r>
    </w:p>
    <w:p w14:paraId="03F21D2D" w14:textId="77777777" w:rsidR="00B76AEE" w:rsidRPr="00B76AEE" w:rsidRDefault="00B76AEE" w:rsidP="00B76AEE">
      <w:pPr>
        <w:pStyle w:val="Heading1"/>
        <w:numPr>
          <w:ilvl w:val="0"/>
          <w:numId w:val="1"/>
        </w:numPr>
        <w:tabs>
          <w:tab w:val="clear" w:pos="0"/>
        </w:tabs>
        <w:rPr>
          <w:lang w:val="es-ES"/>
        </w:rPr>
      </w:pPr>
      <w:r w:rsidRPr="00B76AEE">
        <w:rPr>
          <w:lang w:val="es-ES"/>
        </w:rPr>
        <w:t>El presupuesto de unidad central para 2022 propuesto por la ONUDI consta de lo siguiente:</w:t>
      </w:r>
    </w:p>
    <w:p w14:paraId="7A560BC1" w14:textId="77777777" w:rsidR="00B76AEE" w:rsidRPr="00B76AEE" w:rsidRDefault="00B76AEE" w:rsidP="00B76AEE">
      <w:pPr>
        <w:pStyle w:val="Heading2"/>
        <w:widowControl/>
        <w:numPr>
          <w:ilvl w:val="1"/>
          <w:numId w:val="1"/>
        </w:numPr>
        <w:rPr>
          <w:lang w:val="es-ES"/>
        </w:rPr>
      </w:pPr>
      <w:r w:rsidRPr="00B76AEE">
        <w:rPr>
          <w:lang w:val="es-ES"/>
        </w:rPr>
        <w:t xml:space="preserve">Sueldos del personal (61,3% del presupuesto, para 7,4 funcionarios). En 2021, el presupuesto estimado para personal fue del 70,9% del presupuesto general (oscilando entre 60,7% y 69,1% desde 2011); el número de funcionarios para 2022 es ligeramente superior al de 2021 debido a los movimientos de personal y a las asignaciones del flujo de trabajo; la necesidad de personal se ha abordado mediante la contratación de consultores para cubrir temporalmente las vacantes a fin de apoyar la ejecución de los proyectos; </w:t>
      </w:r>
    </w:p>
    <w:p w14:paraId="520DE519" w14:textId="77777777" w:rsidR="00B76AEE" w:rsidRPr="00B76AEE" w:rsidRDefault="00B76AEE" w:rsidP="00B76AEE">
      <w:pPr>
        <w:pStyle w:val="Heading2"/>
        <w:widowControl/>
        <w:numPr>
          <w:ilvl w:val="1"/>
          <w:numId w:val="1"/>
        </w:numPr>
        <w:rPr>
          <w:lang w:val="es-ES"/>
        </w:rPr>
      </w:pPr>
      <w:r w:rsidRPr="00B76AEE">
        <w:rPr>
          <w:lang w:val="es-ES"/>
        </w:rPr>
        <w:t xml:space="preserve">Contratación de servicios (23,8% del presupuesto). Estos gastos se relacionan con los costos de los órganos rectores y la administración general de la Secretaría de la ONUDI prorrateados según el número de funcionarios de la dependencia del Protocolo de Montreal. El aumento de los costos en 2020 se debió principalmente a un mayor número de personal de la unidad central, lo que supuso una mayor proporción de la asignación de costos, y a la inversión para crear instalaciones para la realización de reuniones electrónicas confiables y seguras como consecuencia de la pandemia de COVID-19. Se espera que los costos disminuyan en 2021, ya que el número de personal que participa en las operaciones del Protocolo de Montreal es menor; los presupuestos para el año 2022 se estiman sobre la base de los créditos aprobados para el año 2022, teniendo en cuenta los mayores niveles de actividades en el año 2022. </w:t>
      </w:r>
    </w:p>
    <w:p w14:paraId="7A1ABED4" w14:textId="77777777" w:rsidR="00B76AEE" w:rsidRPr="00B76AEE" w:rsidRDefault="00B76AEE" w:rsidP="00B76AEE">
      <w:pPr>
        <w:pStyle w:val="Heading2"/>
        <w:widowControl/>
        <w:numPr>
          <w:ilvl w:val="1"/>
          <w:numId w:val="1"/>
        </w:numPr>
        <w:rPr>
          <w:lang w:val="es-ES"/>
        </w:rPr>
      </w:pPr>
      <w:r w:rsidRPr="00B76AEE">
        <w:rPr>
          <w:lang w:val="es-ES"/>
        </w:rPr>
        <w:t>Contratación de servicios (0,8% del presupuesto). La cantidad presupuestada para 2022 (19 000 $EUA) es superior a la de 2021 (16 700 $EUA); se prevé que los costos estimados para 2021 serán nulos debido a los nuevos ahorros en impresión y traducciones. La ONUDI indicó que los gastos reales de 2020 fueron prácticamente iguales a los estimados;</w:t>
      </w:r>
    </w:p>
    <w:p w14:paraId="6F17C78B" w14:textId="77777777" w:rsidR="00B76AEE" w:rsidRPr="00B76AEE" w:rsidRDefault="00B76AEE" w:rsidP="00B76AEE">
      <w:pPr>
        <w:pStyle w:val="Heading2"/>
        <w:widowControl/>
        <w:numPr>
          <w:ilvl w:val="1"/>
          <w:numId w:val="1"/>
        </w:numPr>
        <w:rPr>
          <w:lang w:val="es-ES"/>
        </w:rPr>
      </w:pPr>
      <w:r w:rsidRPr="00B76AEE">
        <w:rPr>
          <w:lang w:val="es-ES"/>
        </w:rPr>
        <w:t>Viajes (8,8% del presupuesto). El presupuesto propuesto (200 000 $EUA) es más elevado que aquel estimado para 2021 (121 700 $EUA), pero se encuentra dentro de costos estimados desde 2011 (16 004 $EUA a 284 000 $EUA). La ONUDI indicó que la pandemia de COVID-19 trajo consigo nuevas restricciones a los viajes en 2021, por lo que no se estima ningún gasto. Se espera que los viajes se reanuden en 2022 porque los países del artículo 5 necesitarán apoyo para la ejecución de las actividades de los PGEH y la preparación de las actividades de reducción de los HFC</w:t>
      </w:r>
    </w:p>
    <w:p w14:paraId="7E4F1B80" w14:textId="77777777" w:rsidR="00B76AEE" w:rsidRPr="00B76AEE" w:rsidRDefault="00B76AEE" w:rsidP="00B76AEE">
      <w:pPr>
        <w:pStyle w:val="Heading2"/>
        <w:widowControl/>
        <w:numPr>
          <w:ilvl w:val="1"/>
          <w:numId w:val="1"/>
        </w:numPr>
        <w:rPr>
          <w:lang w:val="es-ES"/>
        </w:rPr>
      </w:pPr>
      <w:r w:rsidRPr="00B76AEE">
        <w:rPr>
          <w:lang w:val="es-ES"/>
        </w:rPr>
        <w:t xml:space="preserve">Alquiler de oficinas (3,2% del presupuesto). </w:t>
      </w:r>
    </w:p>
    <w:p w14:paraId="3BDEEF04"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La ONUDI devolverá a la 88ª reunión 49 404 $EUA en concepto de ahorros de costos de unidad central de 2020. El Comité Ejecutivo tal vez desee tomar nota, con aprecio, de que la ONUDI devolverá saldos no utilizados. </w:t>
      </w:r>
    </w:p>
    <w:p w14:paraId="72844D7C" w14:textId="77777777" w:rsidR="00B76AEE" w:rsidRPr="00B76AEE" w:rsidRDefault="00B76AEE" w:rsidP="00B76AEE">
      <w:pPr>
        <w:pStyle w:val="Heading1"/>
        <w:keepNext/>
        <w:rPr>
          <w:u w:val="single"/>
          <w:lang w:val="es-ES"/>
        </w:rPr>
      </w:pPr>
      <w:proofErr w:type="gramStart"/>
      <w:r w:rsidRPr="00B76AEE">
        <w:rPr>
          <w:u w:val="single"/>
          <w:lang w:val="es-ES"/>
        </w:rPr>
        <w:t>Total</w:t>
      </w:r>
      <w:proofErr w:type="gramEnd"/>
      <w:r w:rsidRPr="00B76AEE">
        <w:rPr>
          <w:u w:val="single"/>
          <w:lang w:val="es-ES"/>
        </w:rPr>
        <w:t xml:space="preserve"> de costos administrativos</w:t>
      </w:r>
    </w:p>
    <w:p w14:paraId="589D7080" w14:textId="77777777" w:rsidR="00B76AEE" w:rsidRPr="00B76AEE" w:rsidRDefault="00B76AEE" w:rsidP="00B76AEE">
      <w:pPr>
        <w:pStyle w:val="Heading1"/>
        <w:keepNext/>
        <w:numPr>
          <w:ilvl w:val="0"/>
          <w:numId w:val="1"/>
        </w:numPr>
        <w:tabs>
          <w:tab w:val="clear" w:pos="0"/>
        </w:tabs>
        <w:rPr>
          <w:lang w:val="es-ES"/>
        </w:rPr>
      </w:pPr>
      <w:r w:rsidRPr="00B76AEE">
        <w:rPr>
          <w:lang w:val="es-ES"/>
        </w:rPr>
        <w:t xml:space="preserve">Se propone un total de costos administrativos netos de 4 869 900 $EUA para 2022, cifra más elevada que los costos estimados para 2021, de 3 498 700 $EUA, pero que se encuentra dentro del intervalo de costos registrados entre 2011 y 2021 (4 009 636 $EUA a 6 821 000 $EUA). </w:t>
      </w:r>
    </w:p>
    <w:p w14:paraId="2AF1D26A"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El reembolso para las oficinas en los países y la ejecución nacional, presupuestado en 906 800 $EUA para 2022, es inferior a los costos estimados para 2021 (916 900$EUA) pero es más elevado que los costos reales para 2020 (814 755 $EUA). Sin embargo, esta cifra es inferior a la de años anteriores (que varió entre 1 814 900 $EUA y 3 602 000 $EUA entre 2011 y 2014). La ONUDI explicó que los costos </w:t>
      </w:r>
      <w:r w:rsidRPr="00B76AEE">
        <w:rPr>
          <w:lang w:val="es-ES"/>
        </w:rPr>
        <w:lastRenderedPageBreak/>
        <w:t xml:space="preserve">reales de 2020 y los costos estimados para 2021 disminuyeron debido a la estabilización de las operaciones de las oficinas de la ONUDI en los países después de sus contrataciones iniciales basadas en sus operaciones reestructuradas. </w:t>
      </w:r>
    </w:p>
    <w:p w14:paraId="1A220646" w14:textId="4246E63C" w:rsidR="00B76AEE" w:rsidRPr="00B76AEE" w:rsidRDefault="00B76AEE" w:rsidP="00B76AEE">
      <w:pPr>
        <w:pStyle w:val="Heading1"/>
        <w:numPr>
          <w:ilvl w:val="0"/>
          <w:numId w:val="1"/>
        </w:numPr>
        <w:tabs>
          <w:tab w:val="clear" w:pos="0"/>
        </w:tabs>
        <w:rPr>
          <w:rFonts w:cs="Arial"/>
          <w:lang w:val="es-ES"/>
        </w:rPr>
      </w:pPr>
      <w:r w:rsidRPr="00B76AEE">
        <w:rPr>
          <w:lang w:val="es-ES"/>
        </w:rPr>
        <w:t>El costo del organismo de ejecución para 2022 (1 686 200 $EUA) es 924 100 $EUA más elevado que los costos estimados para 2021 y 333 501 $EUA más elevado que los costos reales de 2020. Los costos del organismo de ejecución han variado entre 762 100 $EUA y 3 302 800 $EUA para el período 2011</w:t>
      </w:r>
      <w:r w:rsidR="00F970D2">
        <w:rPr>
          <w:lang w:val="es-ES"/>
        </w:rPr>
        <w:noBreakHyphen/>
      </w:r>
      <w:r w:rsidRPr="00B76AEE">
        <w:rPr>
          <w:lang w:val="es-ES"/>
        </w:rPr>
        <w:t xml:space="preserve">2021. La ONUDI explicó que, en lo que respecta a los gastos de apoyo del organismo de ejecución, la disminución en 2020 se debió al cambio en el modelo de ejecución con la Oficina de Cooperación Económica Exterior de China, la disminución prevista para 2021 (824 100 $EUA) se debió a los ajustes de las necesidades reales, y el aumento presupuestado para 2022 se debe principalmente al aumento previsto de las actividades del proyecto a los niveles anteriores a la COVID. </w:t>
      </w:r>
    </w:p>
    <w:p w14:paraId="26577623" w14:textId="77777777" w:rsidR="00B76AEE" w:rsidRPr="00B76AEE" w:rsidRDefault="00B76AEE" w:rsidP="00B76AEE">
      <w:pPr>
        <w:pStyle w:val="Heading1"/>
        <w:numPr>
          <w:ilvl w:val="0"/>
          <w:numId w:val="1"/>
        </w:numPr>
        <w:tabs>
          <w:tab w:val="clear" w:pos="0"/>
        </w:tabs>
        <w:spacing w:after="0"/>
        <w:rPr>
          <w:lang w:val="es-ES"/>
        </w:rPr>
      </w:pPr>
      <w:r w:rsidRPr="00B76AEE">
        <w:rPr>
          <w:lang w:val="es-ES"/>
        </w:rPr>
        <w:t xml:space="preserve">Los recursos disponibles previstos del Fondo Multilateral para costos administrativos incluyen los costos de unidad central y los gastos de apoyo del organismo más los saldos de ingresos de costos administrativos no utilizados anteriormente. Los gastos de apoyo del organismo se ponen a disposición de la ONUDI solo después de que se han desembolsado los costos de los proyectos aprobados. En el Cuadro 4 se presenta la evaluación correspondiente al período de 2018 a 2021. </w:t>
      </w:r>
    </w:p>
    <w:p w14:paraId="045BD3DE" w14:textId="77777777" w:rsidR="00B76AEE" w:rsidRPr="00B76AEE" w:rsidRDefault="00B76AEE" w:rsidP="00B76AEE">
      <w:pPr>
        <w:rPr>
          <w:lang w:val="es-ES"/>
        </w:rPr>
      </w:pPr>
    </w:p>
    <w:p w14:paraId="51DB9323" w14:textId="77777777" w:rsidR="00B76AEE" w:rsidRPr="00B76AEE" w:rsidRDefault="00B76AEE" w:rsidP="00B76AEE">
      <w:pPr>
        <w:pStyle w:val="Heading1"/>
        <w:spacing w:after="0"/>
        <w:rPr>
          <w:b/>
          <w:caps/>
          <w:lang w:val="es-ES"/>
        </w:rPr>
      </w:pPr>
      <w:r w:rsidRPr="00B76AEE">
        <w:rPr>
          <w:b/>
          <w:lang w:val="es-ES"/>
        </w:rPr>
        <w:t>Cuadro 4. Cálculo de disponibilidad de ingresos para futuros costos administrativos para la ONUDI ($EUA)</w:t>
      </w:r>
    </w:p>
    <w:tbl>
      <w:tblPr>
        <w:tblpPr w:leftFromText="180" w:rightFromText="180" w:vertAnchor="text" w:tblpY="1"/>
        <w:tblOverlap w:val="never"/>
        <w:tblW w:w="9355" w:type="dxa"/>
        <w:tblLayout w:type="fixed"/>
        <w:tblLook w:val="04A0" w:firstRow="1" w:lastRow="0" w:firstColumn="1" w:lastColumn="0" w:noHBand="0" w:noVBand="1"/>
      </w:tblPr>
      <w:tblGrid>
        <w:gridCol w:w="4135"/>
        <w:gridCol w:w="1350"/>
        <w:gridCol w:w="1350"/>
        <w:gridCol w:w="1260"/>
        <w:gridCol w:w="1260"/>
      </w:tblGrid>
      <w:tr w:rsidR="00B76AEE" w:rsidRPr="00B76AEE" w14:paraId="5D83C9DC" w14:textId="77777777" w:rsidTr="001224CB">
        <w:trPr>
          <w:trHeight w:val="58"/>
        </w:trPr>
        <w:tc>
          <w:tcPr>
            <w:tcW w:w="41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FA874FD" w14:textId="77777777" w:rsidR="00B76AEE" w:rsidRPr="00B76AEE" w:rsidRDefault="00B76AEE" w:rsidP="00B76AEE">
            <w:pPr>
              <w:jc w:val="left"/>
              <w:rPr>
                <w:b/>
                <w:bCs/>
                <w:sz w:val="20"/>
                <w:szCs w:val="20"/>
                <w:lang w:val="es-ES"/>
              </w:rPr>
            </w:pPr>
            <w:r w:rsidRPr="00B76AEE">
              <w:rPr>
                <w:b/>
                <w:sz w:val="20"/>
                <w:lang w:val="es-ES"/>
              </w:rPr>
              <w:t>Descripción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C9CEE7F" w14:textId="77777777" w:rsidR="00B76AEE" w:rsidRPr="00B76AEE" w:rsidRDefault="00B76AEE" w:rsidP="00B76AEE">
            <w:pPr>
              <w:jc w:val="center"/>
              <w:rPr>
                <w:b/>
                <w:bCs/>
                <w:sz w:val="20"/>
                <w:szCs w:val="20"/>
                <w:lang w:val="es-ES"/>
              </w:rPr>
            </w:pPr>
            <w:r w:rsidRPr="00B76AEE">
              <w:rPr>
                <w:b/>
                <w:sz w:val="20"/>
                <w:lang w:val="es-ES"/>
              </w:rPr>
              <w:t>2018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7636DC" w14:textId="77777777" w:rsidR="00B76AEE" w:rsidRPr="00B76AEE" w:rsidRDefault="00B76AEE" w:rsidP="00B76AEE">
            <w:pPr>
              <w:jc w:val="center"/>
              <w:rPr>
                <w:b/>
                <w:bCs/>
                <w:sz w:val="20"/>
                <w:szCs w:val="20"/>
                <w:lang w:val="es-ES"/>
              </w:rPr>
            </w:pPr>
            <w:r w:rsidRPr="00B76AEE">
              <w:rPr>
                <w:b/>
                <w:sz w:val="20"/>
                <w:lang w:val="es-ES"/>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1235CA8" w14:textId="77777777" w:rsidR="00B76AEE" w:rsidRPr="00B76AEE" w:rsidRDefault="00B76AEE" w:rsidP="00B76AEE">
            <w:pPr>
              <w:jc w:val="center"/>
              <w:rPr>
                <w:b/>
                <w:bCs/>
                <w:sz w:val="20"/>
                <w:szCs w:val="20"/>
                <w:lang w:val="es-ES"/>
              </w:rPr>
            </w:pPr>
            <w:r w:rsidRPr="00B76AEE">
              <w:rPr>
                <w:b/>
                <w:sz w:val="20"/>
                <w:lang w:val="es-ES"/>
              </w:rPr>
              <w:t>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4A65E7D" w14:textId="77777777" w:rsidR="00B76AEE" w:rsidRPr="00B76AEE" w:rsidRDefault="00B76AEE" w:rsidP="00B76AEE">
            <w:pPr>
              <w:jc w:val="center"/>
              <w:rPr>
                <w:b/>
                <w:bCs/>
                <w:sz w:val="20"/>
                <w:szCs w:val="20"/>
                <w:lang w:val="es-ES"/>
              </w:rPr>
            </w:pPr>
            <w:r w:rsidRPr="00B76AEE">
              <w:rPr>
                <w:b/>
                <w:sz w:val="20"/>
                <w:lang w:val="es-ES"/>
              </w:rPr>
              <w:t>2021*</w:t>
            </w:r>
          </w:p>
        </w:tc>
      </w:tr>
      <w:tr w:rsidR="00B76AEE" w:rsidRPr="00B76AEE" w14:paraId="4D2BF960" w14:textId="77777777" w:rsidTr="001224CB">
        <w:tc>
          <w:tcPr>
            <w:tcW w:w="41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3E3DEB5" w14:textId="77777777" w:rsidR="00B76AEE" w:rsidRPr="00B76AEE" w:rsidRDefault="00B76AEE" w:rsidP="00B76AEE">
            <w:pPr>
              <w:jc w:val="left"/>
              <w:rPr>
                <w:sz w:val="20"/>
                <w:szCs w:val="20"/>
                <w:lang w:val="es-ES"/>
              </w:rPr>
            </w:pPr>
            <w:r w:rsidRPr="00B76AEE">
              <w:rPr>
                <w:sz w:val="20"/>
                <w:lang w:val="es-ES"/>
              </w:rPr>
              <w:t>Gastos de apoyo del organismo netos más costos de unidad central</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77E37ACD" w14:textId="77777777" w:rsidR="00B76AEE" w:rsidRPr="00B76AEE" w:rsidRDefault="00B76AEE" w:rsidP="00B76AEE">
            <w:pPr>
              <w:jc w:val="right"/>
              <w:rPr>
                <w:sz w:val="20"/>
                <w:szCs w:val="20"/>
                <w:lang w:val="es-ES"/>
              </w:rPr>
            </w:pPr>
            <w:r w:rsidRPr="00B76AEE">
              <w:rPr>
                <w:sz w:val="20"/>
                <w:lang w:val="es-ES"/>
              </w:rPr>
              <w:t>4 378 967</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6CEAFB63" w14:textId="77777777" w:rsidR="00B76AEE" w:rsidRPr="00B76AEE" w:rsidRDefault="00B76AEE" w:rsidP="00B76AEE">
            <w:pPr>
              <w:jc w:val="right"/>
              <w:rPr>
                <w:sz w:val="20"/>
                <w:szCs w:val="20"/>
                <w:lang w:val="es-ES"/>
              </w:rPr>
            </w:pPr>
            <w:r w:rsidRPr="00B76AEE">
              <w:rPr>
                <w:sz w:val="20"/>
                <w:lang w:val="es-ES"/>
              </w:rPr>
              <w:t>3 469 402</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0DBAFAFB" w14:textId="77777777" w:rsidR="00B76AEE" w:rsidRPr="00B76AEE" w:rsidRDefault="00B76AEE" w:rsidP="00B76AEE">
            <w:pPr>
              <w:jc w:val="right"/>
              <w:rPr>
                <w:sz w:val="20"/>
                <w:szCs w:val="20"/>
                <w:lang w:val="es-ES"/>
              </w:rPr>
            </w:pPr>
            <w:r w:rsidRPr="00B76AEE">
              <w:rPr>
                <w:sz w:val="20"/>
                <w:lang w:val="es-ES"/>
              </w:rPr>
              <w:t>3 142 479</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593B25F4" w14:textId="77777777" w:rsidR="00B76AEE" w:rsidRPr="00B76AEE" w:rsidRDefault="00B76AEE" w:rsidP="00B76AEE">
            <w:pPr>
              <w:jc w:val="right"/>
              <w:rPr>
                <w:sz w:val="20"/>
                <w:szCs w:val="20"/>
                <w:lang w:val="es-ES"/>
              </w:rPr>
            </w:pPr>
            <w:r w:rsidRPr="00B76AEE">
              <w:rPr>
                <w:sz w:val="20"/>
                <w:lang w:val="es-ES"/>
              </w:rPr>
              <w:t>3 841 253</w:t>
            </w:r>
          </w:p>
        </w:tc>
      </w:tr>
      <w:tr w:rsidR="00B76AEE" w:rsidRPr="00B76AEE" w14:paraId="37ADE4E3" w14:textId="77777777" w:rsidTr="001224CB">
        <w:tc>
          <w:tcPr>
            <w:tcW w:w="41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B0ABBC2" w14:textId="77777777" w:rsidR="00B76AEE" w:rsidRPr="00B76AEE" w:rsidRDefault="00B76AEE" w:rsidP="00B76AEE">
            <w:pPr>
              <w:ind w:right="-105"/>
              <w:jc w:val="left"/>
              <w:rPr>
                <w:sz w:val="20"/>
                <w:szCs w:val="20"/>
                <w:lang w:val="es-ES"/>
              </w:rPr>
            </w:pPr>
            <w:r w:rsidRPr="00B76AEE">
              <w:rPr>
                <w:sz w:val="20"/>
                <w:lang w:val="es-ES"/>
              </w:rPr>
              <w:t>Total de costos administrativos excluidos los costos de los proyectos</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55D1B9D2" w14:textId="77777777" w:rsidR="00B76AEE" w:rsidRPr="00B76AEE" w:rsidRDefault="00B76AEE" w:rsidP="00B76AEE">
            <w:pPr>
              <w:jc w:val="right"/>
              <w:rPr>
                <w:sz w:val="20"/>
                <w:szCs w:val="20"/>
                <w:lang w:val="es-ES"/>
              </w:rPr>
            </w:pPr>
            <w:r w:rsidRPr="00B76AEE">
              <w:rPr>
                <w:sz w:val="20"/>
                <w:lang w:val="es-ES"/>
              </w:rPr>
              <w:t>4 009 636</w:t>
            </w:r>
          </w:p>
        </w:tc>
        <w:tc>
          <w:tcPr>
            <w:tcW w:w="1350" w:type="dxa"/>
            <w:tcBorders>
              <w:top w:val="nil"/>
              <w:left w:val="nil"/>
              <w:bottom w:val="single" w:sz="4" w:space="0" w:color="auto"/>
              <w:right w:val="single" w:sz="4" w:space="0" w:color="auto"/>
            </w:tcBorders>
            <w:shd w:val="clear" w:color="auto" w:fill="auto"/>
            <w:tcMar>
              <w:left w:w="115" w:type="dxa"/>
              <w:right w:w="173" w:type="dxa"/>
            </w:tcMar>
            <w:hideMark/>
          </w:tcPr>
          <w:p w14:paraId="69D29DE7" w14:textId="77777777" w:rsidR="00B76AEE" w:rsidRPr="00B76AEE" w:rsidRDefault="00B76AEE" w:rsidP="00B76AEE">
            <w:pPr>
              <w:jc w:val="right"/>
              <w:rPr>
                <w:sz w:val="20"/>
                <w:szCs w:val="20"/>
                <w:lang w:val="es-ES"/>
              </w:rPr>
            </w:pPr>
            <w:r w:rsidRPr="00B76AEE">
              <w:rPr>
                <w:sz w:val="20"/>
                <w:lang w:val="es-ES"/>
              </w:rPr>
              <w:t>4 796 033</w:t>
            </w:r>
          </w:p>
        </w:tc>
        <w:tc>
          <w:tcPr>
            <w:tcW w:w="1260" w:type="dxa"/>
            <w:tcBorders>
              <w:top w:val="nil"/>
              <w:left w:val="nil"/>
              <w:bottom w:val="single" w:sz="4" w:space="0" w:color="auto"/>
              <w:right w:val="single" w:sz="4" w:space="0" w:color="auto"/>
            </w:tcBorders>
            <w:shd w:val="clear" w:color="auto" w:fill="auto"/>
            <w:tcMar>
              <w:left w:w="115" w:type="dxa"/>
              <w:right w:w="173" w:type="dxa"/>
            </w:tcMar>
            <w:hideMark/>
          </w:tcPr>
          <w:p w14:paraId="5000A758" w14:textId="77777777" w:rsidR="00B76AEE" w:rsidRPr="00B76AEE" w:rsidRDefault="00B76AEE" w:rsidP="00B76AEE">
            <w:pPr>
              <w:jc w:val="right"/>
              <w:rPr>
                <w:sz w:val="20"/>
                <w:szCs w:val="20"/>
                <w:lang w:val="es-ES"/>
              </w:rPr>
            </w:pPr>
            <w:r w:rsidRPr="00B76AEE">
              <w:rPr>
                <w:sz w:val="20"/>
                <w:lang w:val="es-ES"/>
              </w:rPr>
              <w:t>4 216 509</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4420C18C" w14:textId="77777777" w:rsidR="00B76AEE" w:rsidRPr="00B76AEE" w:rsidRDefault="00B76AEE" w:rsidP="00B76AEE">
            <w:pPr>
              <w:jc w:val="right"/>
              <w:rPr>
                <w:sz w:val="20"/>
                <w:szCs w:val="20"/>
                <w:lang w:val="es-ES"/>
              </w:rPr>
            </w:pPr>
            <w:r w:rsidRPr="00B76AEE">
              <w:rPr>
                <w:sz w:val="20"/>
                <w:lang w:val="es-ES"/>
              </w:rPr>
              <w:t>3 498 700</w:t>
            </w:r>
          </w:p>
        </w:tc>
      </w:tr>
      <w:tr w:rsidR="00B76AEE" w:rsidRPr="00B76AEE" w14:paraId="6F53B863" w14:textId="77777777" w:rsidTr="001224CB">
        <w:tc>
          <w:tcPr>
            <w:tcW w:w="41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532A7D1" w14:textId="77777777" w:rsidR="00B76AEE" w:rsidRPr="00B76AEE" w:rsidRDefault="00B76AEE" w:rsidP="00B76AEE">
            <w:pPr>
              <w:jc w:val="left"/>
              <w:rPr>
                <w:sz w:val="20"/>
                <w:szCs w:val="20"/>
                <w:lang w:val="es-ES"/>
              </w:rPr>
            </w:pPr>
            <w:r w:rsidRPr="00B76AEE">
              <w:rPr>
                <w:sz w:val="20"/>
                <w:lang w:val="es-ES"/>
              </w:rPr>
              <w:t>Saldo del ejercicio</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235CBE1E" w14:textId="77777777" w:rsidR="00B76AEE" w:rsidRPr="00B76AEE" w:rsidRDefault="00B76AEE" w:rsidP="00B76AEE">
            <w:pPr>
              <w:jc w:val="right"/>
              <w:rPr>
                <w:sz w:val="20"/>
                <w:szCs w:val="20"/>
                <w:lang w:val="es-ES"/>
              </w:rPr>
            </w:pPr>
            <w:r w:rsidRPr="00B76AEE">
              <w:rPr>
                <w:sz w:val="20"/>
                <w:lang w:val="es-ES"/>
              </w:rPr>
              <w:t>369 331</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37F6396D" w14:textId="77777777" w:rsidR="00B76AEE" w:rsidRPr="00B76AEE" w:rsidRDefault="00B76AEE" w:rsidP="00B76AEE">
            <w:pPr>
              <w:jc w:val="right"/>
              <w:rPr>
                <w:sz w:val="20"/>
                <w:szCs w:val="20"/>
                <w:lang w:val="es-ES"/>
              </w:rPr>
            </w:pPr>
            <w:r w:rsidRPr="00B76AEE">
              <w:rPr>
                <w:sz w:val="20"/>
                <w:lang w:val="es-ES"/>
              </w:rPr>
              <w:t>(1 326 631)</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7C05CABC" w14:textId="77777777" w:rsidR="00B76AEE" w:rsidRPr="00B76AEE" w:rsidRDefault="00B76AEE" w:rsidP="00B76AEE">
            <w:pPr>
              <w:ind w:left="-156"/>
              <w:jc w:val="right"/>
              <w:rPr>
                <w:sz w:val="20"/>
                <w:szCs w:val="20"/>
                <w:lang w:val="es-ES"/>
              </w:rPr>
            </w:pPr>
            <w:r w:rsidRPr="00B76AEE">
              <w:rPr>
                <w:sz w:val="20"/>
                <w:lang w:val="es-ES"/>
              </w:rPr>
              <w:t>(1 074 030)</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053F7AB9" w14:textId="77777777" w:rsidR="00B76AEE" w:rsidRPr="00B76AEE" w:rsidRDefault="00B76AEE" w:rsidP="00B76AEE">
            <w:pPr>
              <w:jc w:val="right"/>
              <w:rPr>
                <w:sz w:val="20"/>
                <w:szCs w:val="20"/>
                <w:lang w:val="es-ES"/>
              </w:rPr>
            </w:pPr>
            <w:r w:rsidRPr="00B76AEE">
              <w:rPr>
                <w:sz w:val="20"/>
                <w:lang w:val="es-ES"/>
              </w:rPr>
              <w:t>342 553</w:t>
            </w:r>
          </w:p>
        </w:tc>
      </w:tr>
      <w:tr w:rsidR="00B76AEE" w:rsidRPr="00B76AEE" w14:paraId="4898C960" w14:textId="77777777" w:rsidTr="001224CB">
        <w:tc>
          <w:tcPr>
            <w:tcW w:w="41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79D59C1B" w14:textId="77777777" w:rsidR="00B76AEE" w:rsidRPr="00B76AEE" w:rsidRDefault="00B76AEE" w:rsidP="00B76AEE">
            <w:pPr>
              <w:ind w:right="-105"/>
              <w:jc w:val="left"/>
              <w:rPr>
                <w:sz w:val="20"/>
                <w:szCs w:val="20"/>
                <w:lang w:val="es-ES"/>
              </w:rPr>
            </w:pPr>
            <w:r w:rsidRPr="00B76AEE">
              <w:rPr>
                <w:sz w:val="20"/>
                <w:lang w:val="es-ES"/>
              </w:rPr>
              <w:t>Saldo corriente</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12D2B89D" w14:textId="77777777" w:rsidR="00B76AEE" w:rsidRPr="00B76AEE" w:rsidRDefault="00B76AEE" w:rsidP="00B76AEE">
            <w:pPr>
              <w:jc w:val="right"/>
              <w:rPr>
                <w:sz w:val="20"/>
                <w:szCs w:val="20"/>
                <w:lang w:val="es-ES"/>
              </w:rPr>
            </w:pPr>
            <w:r w:rsidRPr="00B76AEE">
              <w:rPr>
                <w:sz w:val="20"/>
                <w:lang w:val="es-ES"/>
              </w:rPr>
              <w:t>(2 743 484)</w:t>
            </w:r>
          </w:p>
        </w:tc>
        <w:tc>
          <w:tcPr>
            <w:tcW w:w="1350" w:type="dxa"/>
            <w:tcBorders>
              <w:top w:val="nil"/>
              <w:left w:val="nil"/>
              <w:bottom w:val="single" w:sz="4" w:space="0" w:color="auto"/>
              <w:right w:val="single" w:sz="4" w:space="0" w:color="auto"/>
            </w:tcBorders>
            <w:shd w:val="clear" w:color="auto" w:fill="auto"/>
            <w:noWrap/>
            <w:tcMar>
              <w:left w:w="115" w:type="dxa"/>
              <w:right w:w="173" w:type="dxa"/>
            </w:tcMar>
            <w:hideMark/>
          </w:tcPr>
          <w:p w14:paraId="39011BCE" w14:textId="77777777" w:rsidR="00B76AEE" w:rsidRPr="00B76AEE" w:rsidRDefault="00B76AEE" w:rsidP="00B76AEE">
            <w:pPr>
              <w:jc w:val="right"/>
              <w:rPr>
                <w:sz w:val="20"/>
                <w:szCs w:val="20"/>
                <w:lang w:val="es-ES"/>
              </w:rPr>
            </w:pPr>
            <w:r w:rsidRPr="00B76AEE">
              <w:rPr>
                <w:sz w:val="20"/>
                <w:lang w:val="es-ES"/>
              </w:rPr>
              <w:t>(4 070 115)</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7A946D39" w14:textId="77777777" w:rsidR="00B76AEE" w:rsidRPr="00B76AEE" w:rsidRDefault="00B76AEE" w:rsidP="00B76AEE">
            <w:pPr>
              <w:ind w:left="-156"/>
              <w:jc w:val="right"/>
              <w:rPr>
                <w:sz w:val="20"/>
                <w:szCs w:val="20"/>
                <w:lang w:val="es-ES"/>
              </w:rPr>
            </w:pPr>
            <w:r w:rsidRPr="00B76AEE">
              <w:rPr>
                <w:sz w:val="20"/>
                <w:lang w:val="es-ES"/>
              </w:rPr>
              <w:t>(5 144 145)</w:t>
            </w:r>
          </w:p>
        </w:tc>
        <w:tc>
          <w:tcPr>
            <w:tcW w:w="1260" w:type="dxa"/>
            <w:tcBorders>
              <w:top w:val="nil"/>
              <w:left w:val="nil"/>
              <w:bottom w:val="single" w:sz="4" w:space="0" w:color="auto"/>
              <w:right w:val="single" w:sz="4" w:space="0" w:color="auto"/>
            </w:tcBorders>
            <w:shd w:val="clear" w:color="auto" w:fill="auto"/>
            <w:noWrap/>
            <w:tcMar>
              <w:left w:w="115" w:type="dxa"/>
              <w:right w:w="173" w:type="dxa"/>
            </w:tcMar>
            <w:hideMark/>
          </w:tcPr>
          <w:p w14:paraId="2B2F172C" w14:textId="77777777" w:rsidR="00B76AEE" w:rsidRPr="00B76AEE" w:rsidRDefault="00B76AEE" w:rsidP="00B76AEE">
            <w:pPr>
              <w:ind w:left="-140"/>
              <w:jc w:val="right"/>
              <w:rPr>
                <w:sz w:val="20"/>
                <w:szCs w:val="20"/>
                <w:lang w:val="es-ES"/>
              </w:rPr>
            </w:pPr>
            <w:r w:rsidRPr="00B76AEE">
              <w:rPr>
                <w:sz w:val="20"/>
                <w:lang w:val="es-ES"/>
              </w:rPr>
              <w:t>(4 801 592)</w:t>
            </w:r>
          </w:p>
        </w:tc>
      </w:tr>
    </w:tbl>
    <w:p w14:paraId="28725246" w14:textId="77777777" w:rsidR="00B76AEE" w:rsidRPr="00B76AEE" w:rsidRDefault="00B76AEE" w:rsidP="00B76AEE">
      <w:pPr>
        <w:rPr>
          <w:sz w:val="19"/>
          <w:szCs w:val="19"/>
          <w:lang w:val="es-ES"/>
        </w:rPr>
      </w:pPr>
      <w:r w:rsidRPr="00B76AEE">
        <w:rPr>
          <w:sz w:val="19"/>
          <w:lang w:val="es-ES"/>
        </w:rPr>
        <w:t>* Incluye gastos de apoyo aprobados en la 87ª reunión y el valor de los gastos de apoyo del organismo y los costos de unidad central derivados de las comunicaciones presentadas a la 88ª reunión.</w:t>
      </w:r>
    </w:p>
    <w:p w14:paraId="44CB1E92" w14:textId="77777777" w:rsidR="00B76AEE" w:rsidRPr="00B76AEE" w:rsidRDefault="00B76AEE" w:rsidP="00B76AEE">
      <w:pPr>
        <w:rPr>
          <w:caps/>
          <w:lang w:val="es-ES"/>
        </w:rPr>
      </w:pPr>
    </w:p>
    <w:p w14:paraId="3F60AA65" w14:textId="77777777" w:rsidR="00B76AEE" w:rsidRPr="00B76AEE" w:rsidRDefault="00B76AEE" w:rsidP="00B76AEE">
      <w:pPr>
        <w:pStyle w:val="Heading1"/>
        <w:numPr>
          <w:ilvl w:val="0"/>
          <w:numId w:val="1"/>
        </w:numPr>
        <w:tabs>
          <w:tab w:val="clear" w:pos="0"/>
        </w:tabs>
        <w:rPr>
          <w:lang w:val="es-ES"/>
        </w:rPr>
      </w:pPr>
      <w:r w:rsidRPr="00B76AEE">
        <w:rPr>
          <w:lang w:val="es-ES"/>
        </w:rPr>
        <w:t>Sobre la base del análisis que se presenta en el Cuadro 4, para finales de 2021, la ONUDI podría tener un saldo acumulado negativo, por una suma de 4 801 592 $EUA. En 2022, para cubrir el total de sus costos administrativos previstos para 2022, de 9 671 492 $EUA, la ONUDI debería generar al menos 9 671 492 $EUA en concepto de gastos de apoyo del organismo y costos de unidad central. La ONUDI mencionó que, al igual que en el pasado, seguiría gestionando sus operaciones en función de la ejecución de las operaciones de sus proyectos y de la financiación de unidad central recibida.</w:t>
      </w:r>
    </w:p>
    <w:p w14:paraId="7A75B8FC" w14:textId="77777777" w:rsidR="00B76AEE" w:rsidRPr="00B76AEE" w:rsidRDefault="00B76AEE" w:rsidP="00B76AEE">
      <w:pPr>
        <w:keepNext/>
        <w:spacing w:after="240"/>
        <w:rPr>
          <w:b/>
          <w:lang w:val="es-ES"/>
        </w:rPr>
      </w:pPr>
      <w:r w:rsidRPr="00B76AEE">
        <w:rPr>
          <w:b/>
          <w:lang w:val="es-ES"/>
        </w:rPr>
        <w:t>Banco Mundial</w:t>
      </w:r>
    </w:p>
    <w:p w14:paraId="114682A7" w14:textId="77777777" w:rsidR="00B76AEE" w:rsidRPr="00B76AEE" w:rsidRDefault="00B76AEE" w:rsidP="00B76AEE">
      <w:pPr>
        <w:pStyle w:val="Heading1"/>
        <w:numPr>
          <w:ilvl w:val="0"/>
          <w:numId w:val="1"/>
        </w:numPr>
        <w:tabs>
          <w:tab w:val="clear" w:pos="0"/>
        </w:tabs>
        <w:rPr>
          <w:lang w:val="es-ES"/>
        </w:rPr>
      </w:pPr>
      <w:r w:rsidRPr="00B76AEE">
        <w:rPr>
          <w:lang w:val="es-ES"/>
        </w:rPr>
        <w:t>El Comité Ejecutivo aprobó el presupuesto de unidad central para 2021 solicitado por el Banco Mundial, por la suma de 1 735 000 $EUA (decisión 86/62 b). En el Cuadro 5 se indican el presupuesto de unidad central y los costos administrativos presentados por el Banco Mundial desde 2018 hasta 2022.</w:t>
      </w:r>
    </w:p>
    <w:p w14:paraId="590EF1BF" w14:textId="77777777" w:rsidR="00B76AEE" w:rsidRPr="00B76AEE" w:rsidRDefault="00B76AEE" w:rsidP="00B76AEE">
      <w:pPr>
        <w:pStyle w:val="Heading1"/>
        <w:keepNext/>
        <w:spacing w:after="0"/>
        <w:rPr>
          <w:b/>
          <w:sz w:val="21"/>
          <w:szCs w:val="21"/>
          <w:lang w:val="es-ES"/>
        </w:rPr>
      </w:pPr>
      <w:r w:rsidRPr="00B76AEE">
        <w:rPr>
          <w:b/>
          <w:sz w:val="21"/>
          <w:lang w:val="es-ES"/>
        </w:rPr>
        <w:t>Cuadro 5. Datos del presupuesto de unidad central y otros costos administrativos para el período de 2018 a 2022 para el Banco Mundial ($EUA)</w:t>
      </w:r>
    </w:p>
    <w:tbl>
      <w:tblPr>
        <w:tblW w:w="9356" w:type="dxa"/>
        <w:tblInd w:w="-5" w:type="dxa"/>
        <w:tblLayout w:type="fixed"/>
        <w:tblLook w:val="04A0" w:firstRow="1" w:lastRow="0" w:firstColumn="1" w:lastColumn="0" w:noHBand="0" w:noVBand="1"/>
      </w:tblPr>
      <w:tblGrid>
        <w:gridCol w:w="3402"/>
        <w:gridCol w:w="945"/>
        <w:gridCol w:w="945"/>
        <w:gridCol w:w="945"/>
        <w:gridCol w:w="1134"/>
        <w:gridCol w:w="993"/>
        <w:gridCol w:w="992"/>
      </w:tblGrid>
      <w:tr w:rsidR="00B76AEE" w:rsidRPr="00B76AEE" w14:paraId="630C01E6" w14:textId="77777777" w:rsidTr="00DF2EFB">
        <w:trPr>
          <w:trHeight w:val="64"/>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2D5D0541" w14:textId="77777777" w:rsidR="00B76AEE" w:rsidRPr="00B76AEE" w:rsidRDefault="00B76AEE" w:rsidP="00B76AEE">
            <w:pPr>
              <w:keepNext/>
              <w:rPr>
                <w:sz w:val="19"/>
                <w:szCs w:val="19"/>
                <w:lang w:val="es-ES"/>
              </w:rPr>
            </w:pPr>
            <w:r w:rsidRPr="00B76AEE">
              <w:rPr>
                <w:b/>
                <w:sz w:val="19"/>
                <w:lang w:val="es-ES"/>
              </w:rPr>
              <w:t>Partida</w:t>
            </w:r>
          </w:p>
        </w:tc>
        <w:tc>
          <w:tcPr>
            <w:tcW w:w="945"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649F526C" w14:textId="77777777" w:rsidR="00B76AEE" w:rsidRPr="00B76AEE" w:rsidRDefault="00B76AEE" w:rsidP="00B76AEE">
            <w:pPr>
              <w:keepNext/>
              <w:jc w:val="center"/>
              <w:rPr>
                <w:b/>
                <w:sz w:val="19"/>
                <w:szCs w:val="19"/>
                <w:lang w:val="es-ES"/>
              </w:rPr>
            </w:pPr>
            <w:r w:rsidRPr="00B76AEE">
              <w:rPr>
                <w:b/>
                <w:sz w:val="19"/>
                <w:lang w:val="es-ES"/>
              </w:rPr>
              <w:t>2018</w:t>
            </w:r>
          </w:p>
        </w:tc>
        <w:tc>
          <w:tcPr>
            <w:tcW w:w="945"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4F29E1D5" w14:textId="77777777" w:rsidR="00B76AEE" w:rsidRPr="00B76AEE" w:rsidRDefault="00B76AEE" w:rsidP="00B76AEE">
            <w:pPr>
              <w:keepNext/>
              <w:jc w:val="center"/>
              <w:rPr>
                <w:b/>
                <w:sz w:val="19"/>
                <w:szCs w:val="19"/>
                <w:lang w:val="es-ES"/>
              </w:rPr>
            </w:pPr>
            <w:r w:rsidRPr="00B76AEE">
              <w:rPr>
                <w:b/>
                <w:sz w:val="19"/>
                <w:lang w:val="es-ES"/>
              </w:rPr>
              <w:t>2019</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14C9981A" w14:textId="77777777" w:rsidR="00B76AEE" w:rsidRPr="00B76AEE" w:rsidRDefault="00B76AEE" w:rsidP="00B76AEE">
            <w:pPr>
              <w:keepNext/>
              <w:jc w:val="center"/>
              <w:rPr>
                <w:b/>
                <w:sz w:val="19"/>
                <w:szCs w:val="19"/>
                <w:lang w:val="es-ES"/>
              </w:rPr>
            </w:pPr>
            <w:r w:rsidRPr="00B76AEE">
              <w:rPr>
                <w:b/>
                <w:sz w:val="19"/>
                <w:lang w:val="es-ES"/>
              </w:rPr>
              <w:t>2020</w:t>
            </w: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tcMar>
              <w:left w:w="58" w:type="dxa"/>
              <w:right w:w="58" w:type="dxa"/>
            </w:tcMar>
            <w:hideMark/>
          </w:tcPr>
          <w:p w14:paraId="14DCCA41" w14:textId="77777777" w:rsidR="00B76AEE" w:rsidRPr="00B76AEE" w:rsidRDefault="00B76AEE" w:rsidP="00B76AEE">
            <w:pPr>
              <w:keepNext/>
              <w:jc w:val="center"/>
              <w:rPr>
                <w:b/>
                <w:sz w:val="19"/>
                <w:szCs w:val="19"/>
                <w:lang w:val="es-ES"/>
              </w:rPr>
            </w:pPr>
            <w:r w:rsidRPr="00B76AEE">
              <w:rPr>
                <w:b/>
                <w:sz w:val="19"/>
                <w:lang w:val="es-ES"/>
              </w:rPr>
              <w:t>2021</w:t>
            </w:r>
          </w:p>
        </w:tc>
        <w:tc>
          <w:tcPr>
            <w:tcW w:w="992"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7547EAEA" w14:textId="77777777" w:rsidR="00B76AEE" w:rsidRPr="00B76AEE" w:rsidRDefault="00B76AEE" w:rsidP="00B76AEE">
            <w:pPr>
              <w:keepNext/>
              <w:jc w:val="center"/>
              <w:rPr>
                <w:b/>
                <w:sz w:val="19"/>
                <w:szCs w:val="19"/>
                <w:lang w:val="es-ES"/>
              </w:rPr>
            </w:pPr>
            <w:r w:rsidRPr="00B76AEE">
              <w:rPr>
                <w:b/>
                <w:sz w:val="19"/>
                <w:lang w:val="es-ES"/>
              </w:rPr>
              <w:t>2022</w:t>
            </w:r>
          </w:p>
        </w:tc>
      </w:tr>
      <w:tr w:rsidR="00B76AEE" w:rsidRPr="00B76AEE" w14:paraId="131177FB" w14:textId="77777777" w:rsidTr="00DF2EFB">
        <w:trPr>
          <w:trHeight w:val="135"/>
          <w:tblHeader/>
        </w:trPr>
        <w:tc>
          <w:tcPr>
            <w:tcW w:w="3402"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5EB1CE29" w14:textId="77777777" w:rsidR="00B76AEE" w:rsidRPr="00B76AEE" w:rsidRDefault="00B76AEE" w:rsidP="00B76AEE">
            <w:pPr>
              <w:keepNext/>
              <w:jc w:val="left"/>
              <w:rPr>
                <w:b/>
                <w:bCs/>
                <w:sz w:val="19"/>
                <w:szCs w:val="19"/>
                <w:lang w:val="es-ES" w:eastAsia="en-CA"/>
              </w:rPr>
            </w:pP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663EF387" w14:textId="77777777" w:rsidR="00B76AEE" w:rsidRPr="00B76AEE" w:rsidRDefault="00B76AEE" w:rsidP="00B76AEE">
            <w:pPr>
              <w:keepNext/>
              <w:jc w:val="center"/>
              <w:rPr>
                <w:b/>
                <w:bCs/>
                <w:sz w:val="19"/>
                <w:szCs w:val="19"/>
                <w:lang w:val="es-ES"/>
              </w:rPr>
            </w:pPr>
            <w:r w:rsidRPr="00B76AEE">
              <w:rPr>
                <w:b/>
                <w:sz w:val="19"/>
                <w:lang w:val="es-ES"/>
              </w:rPr>
              <w:t>Real</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18116CD2" w14:textId="77777777" w:rsidR="00B76AEE" w:rsidRPr="00B76AEE" w:rsidRDefault="00B76AEE" w:rsidP="00B76AEE">
            <w:pPr>
              <w:keepNext/>
              <w:jc w:val="center"/>
              <w:rPr>
                <w:b/>
                <w:bCs/>
                <w:sz w:val="19"/>
                <w:szCs w:val="19"/>
                <w:lang w:val="es-ES"/>
              </w:rPr>
            </w:pPr>
            <w:r w:rsidRPr="00B76AEE">
              <w:rPr>
                <w:b/>
                <w:sz w:val="19"/>
                <w:lang w:val="es-ES"/>
              </w:rPr>
              <w:t>Real</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6F88618B" w14:textId="77777777" w:rsidR="00B76AEE" w:rsidRPr="00B76AEE" w:rsidRDefault="00B76AEE" w:rsidP="00B76AEE">
            <w:pPr>
              <w:keepNext/>
              <w:jc w:val="center"/>
              <w:rPr>
                <w:b/>
                <w:bCs/>
                <w:sz w:val="19"/>
                <w:szCs w:val="19"/>
                <w:lang w:val="es-ES"/>
              </w:rPr>
            </w:pPr>
            <w:r w:rsidRPr="00B76AEE">
              <w:rPr>
                <w:b/>
                <w:sz w:val="19"/>
                <w:lang w:val="es-ES"/>
              </w:rPr>
              <w:t>Real</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E13069C" w14:textId="19218E08" w:rsidR="00B76AEE" w:rsidRPr="00B76AEE" w:rsidRDefault="00B76AEE" w:rsidP="00B76AEE">
            <w:pPr>
              <w:keepNext/>
              <w:jc w:val="center"/>
              <w:rPr>
                <w:b/>
                <w:bCs/>
                <w:sz w:val="19"/>
                <w:szCs w:val="19"/>
                <w:lang w:val="es-ES"/>
              </w:rPr>
            </w:pPr>
            <w:r w:rsidRPr="00B76AEE">
              <w:rPr>
                <w:b/>
                <w:sz w:val="19"/>
                <w:lang w:val="es-ES"/>
              </w:rPr>
              <w:t>Presupuesto</w:t>
            </w:r>
          </w:p>
        </w:tc>
        <w:tc>
          <w:tcPr>
            <w:tcW w:w="993" w:type="dxa"/>
            <w:tcBorders>
              <w:top w:val="nil"/>
              <w:left w:val="nil"/>
              <w:bottom w:val="single" w:sz="4" w:space="0" w:color="auto"/>
              <w:right w:val="single" w:sz="4" w:space="0" w:color="auto"/>
            </w:tcBorders>
            <w:shd w:val="clear" w:color="auto" w:fill="auto"/>
            <w:tcMar>
              <w:left w:w="58" w:type="dxa"/>
              <w:right w:w="58" w:type="dxa"/>
            </w:tcMar>
            <w:hideMark/>
          </w:tcPr>
          <w:p w14:paraId="1AF164EB" w14:textId="77777777" w:rsidR="00B76AEE" w:rsidRPr="00B76AEE" w:rsidRDefault="00B76AEE" w:rsidP="00B76AEE">
            <w:pPr>
              <w:keepNext/>
              <w:ind w:left="-101" w:right="-114"/>
              <w:jc w:val="center"/>
              <w:rPr>
                <w:b/>
                <w:bCs/>
                <w:sz w:val="19"/>
                <w:szCs w:val="19"/>
                <w:lang w:val="es-ES"/>
              </w:rPr>
            </w:pPr>
            <w:r w:rsidRPr="00B76AEE">
              <w:rPr>
                <w:b/>
                <w:sz w:val="19"/>
                <w:lang w:val="es-ES"/>
              </w:rPr>
              <w:t>Estimado</w:t>
            </w:r>
          </w:p>
        </w:tc>
        <w:tc>
          <w:tcPr>
            <w:tcW w:w="992" w:type="dxa"/>
            <w:tcBorders>
              <w:top w:val="nil"/>
              <w:left w:val="nil"/>
              <w:bottom w:val="single" w:sz="4" w:space="0" w:color="auto"/>
              <w:right w:val="single" w:sz="4" w:space="0" w:color="auto"/>
            </w:tcBorders>
            <w:shd w:val="clear" w:color="auto" w:fill="auto"/>
            <w:tcMar>
              <w:left w:w="58" w:type="dxa"/>
              <w:right w:w="58" w:type="dxa"/>
            </w:tcMar>
            <w:hideMark/>
          </w:tcPr>
          <w:p w14:paraId="39B94178" w14:textId="77777777" w:rsidR="00B76AEE" w:rsidRPr="00B76AEE" w:rsidRDefault="00B76AEE" w:rsidP="00B76AEE">
            <w:pPr>
              <w:keepNext/>
              <w:ind w:left="-102" w:right="-112"/>
              <w:jc w:val="center"/>
              <w:rPr>
                <w:b/>
                <w:bCs/>
                <w:sz w:val="19"/>
                <w:szCs w:val="19"/>
                <w:lang w:val="es-ES"/>
              </w:rPr>
            </w:pPr>
            <w:r w:rsidRPr="00B76AEE">
              <w:rPr>
                <w:b/>
                <w:sz w:val="19"/>
                <w:lang w:val="es-ES"/>
              </w:rPr>
              <w:t>Propuesto</w:t>
            </w:r>
          </w:p>
        </w:tc>
      </w:tr>
      <w:tr w:rsidR="00B76AEE" w:rsidRPr="00B76AEE" w14:paraId="6902D145" w14:textId="77777777" w:rsidTr="00DF2EFB">
        <w:trPr>
          <w:trHeight w:val="52"/>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034946E" w14:textId="77777777" w:rsidR="00B76AEE" w:rsidRPr="00B76AEE" w:rsidRDefault="00B76AEE" w:rsidP="00B76AEE">
            <w:pPr>
              <w:jc w:val="left"/>
              <w:rPr>
                <w:sz w:val="19"/>
                <w:szCs w:val="19"/>
                <w:lang w:val="es-ES"/>
              </w:rPr>
            </w:pPr>
            <w:r w:rsidRPr="00B76AEE">
              <w:rPr>
                <w:sz w:val="19"/>
                <w:lang w:val="es-ES"/>
              </w:rPr>
              <w:t>Personal de unidad central y personal contratado</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1C2EF4F0" w14:textId="77777777" w:rsidR="00B76AEE" w:rsidRPr="00B76AEE" w:rsidRDefault="00B76AEE" w:rsidP="00B76AEE">
            <w:pPr>
              <w:jc w:val="right"/>
              <w:rPr>
                <w:sz w:val="19"/>
                <w:szCs w:val="19"/>
                <w:lang w:val="es-ES"/>
              </w:rPr>
            </w:pPr>
            <w:r w:rsidRPr="00B76AEE">
              <w:rPr>
                <w:sz w:val="19"/>
                <w:lang w:val="es-ES"/>
              </w:rPr>
              <w:t>1 226 215</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50775EC6" w14:textId="77777777" w:rsidR="00B76AEE" w:rsidRPr="00B76AEE" w:rsidRDefault="00B76AEE" w:rsidP="00B76AEE">
            <w:pPr>
              <w:jc w:val="right"/>
              <w:rPr>
                <w:sz w:val="19"/>
                <w:szCs w:val="19"/>
                <w:lang w:val="es-ES"/>
              </w:rPr>
            </w:pPr>
            <w:r w:rsidRPr="00B76AEE">
              <w:rPr>
                <w:sz w:val="19"/>
                <w:lang w:val="es-ES"/>
              </w:rPr>
              <w:t>1 250 888</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0E7BA5A1" w14:textId="77777777" w:rsidR="00B76AEE" w:rsidRPr="00B76AEE" w:rsidRDefault="00B76AEE" w:rsidP="00B76AEE">
            <w:pPr>
              <w:jc w:val="right"/>
              <w:rPr>
                <w:sz w:val="19"/>
                <w:szCs w:val="19"/>
                <w:lang w:val="es-ES"/>
              </w:rPr>
            </w:pPr>
            <w:r w:rsidRPr="00B76AEE">
              <w:rPr>
                <w:sz w:val="19"/>
                <w:lang w:val="es-ES"/>
              </w:rPr>
              <w:t>1 055 231</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88DC0D8" w14:textId="77777777" w:rsidR="00B76AEE" w:rsidRPr="00B76AEE" w:rsidRDefault="00B76AEE" w:rsidP="00B76AEE">
            <w:pPr>
              <w:jc w:val="right"/>
              <w:rPr>
                <w:sz w:val="19"/>
                <w:szCs w:val="19"/>
                <w:lang w:val="es-ES"/>
              </w:rPr>
            </w:pPr>
            <w:r w:rsidRPr="00B76AEE">
              <w:rPr>
                <w:sz w:val="19"/>
                <w:lang w:val="es-ES"/>
              </w:rPr>
              <w:t>1 235 000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312BF084" w14:textId="77777777" w:rsidR="00B76AEE" w:rsidRPr="00B76AEE" w:rsidRDefault="00B76AEE" w:rsidP="00B76AEE">
            <w:pPr>
              <w:jc w:val="right"/>
              <w:rPr>
                <w:sz w:val="19"/>
                <w:szCs w:val="19"/>
                <w:lang w:val="es-ES"/>
              </w:rPr>
            </w:pPr>
            <w:r w:rsidRPr="00B76AEE">
              <w:rPr>
                <w:sz w:val="19"/>
                <w:lang w:val="es-ES"/>
              </w:rPr>
              <w:t>1 235 000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7DB6CDD1" w14:textId="77777777" w:rsidR="00B76AEE" w:rsidRPr="00B76AEE" w:rsidRDefault="00B76AEE" w:rsidP="00B76AEE">
            <w:pPr>
              <w:jc w:val="right"/>
              <w:rPr>
                <w:sz w:val="19"/>
                <w:szCs w:val="19"/>
                <w:lang w:val="es-ES"/>
              </w:rPr>
            </w:pPr>
            <w:r w:rsidRPr="00B76AEE">
              <w:rPr>
                <w:sz w:val="19"/>
                <w:lang w:val="es-ES"/>
              </w:rPr>
              <w:t>1 235 000</w:t>
            </w:r>
          </w:p>
        </w:tc>
      </w:tr>
      <w:tr w:rsidR="00B76AEE" w:rsidRPr="00B76AEE" w14:paraId="0A7AA487" w14:textId="77777777" w:rsidTr="00DF2EFB">
        <w:trPr>
          <w:trHeight w:val="71"/>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C233822" w14:textId="77777777" w:rsidR="00B76AEE" w:rsidRPr="00B76AEE" w:rsidRDefault="00B76AEE" w:rsidP="00B76AEE">
            <w:pPr>
              <w:jc w:val="left"/>
              <w:rPr>
                <w:sz w:val="19"/>
                <w:szCs w:val="19"/>
                <w:lang w:val="es-ES"/>
              </w:rPr>
            </w:pPr>
            <w:r w:rsidRPr="00B76AEE">
              <w:rPr>
                <w:sz w:val="19"/>
                <w:lang w:val="es-ES"/>
              </w:rPr>
              <w:t>Viajes (funcionarios y consultores)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5E2D31B0" w14:textId="77777777" w:rsidR="00B76AEE" w:rsidRPr="00B76AEE" w:rsidRDefault="00B76AEE" w:rsidP="00B76AEE">
            <w:pPr>
              <w:jc w:val="right"/>
              <w:rPr>
                <w:sz w:val="19"/>
                <w:szCs w:val="19"/>
                <w:lang w:val="es-ES"/>
              </w:rPr>
            </w:pPr>
            <w:r w:rsidRPr="00B76AEE">
              <w:rPr>
                <w:sz w:val="19"/>
                <w:lang w:val="es-ES"/>
              </w:rPr>
              <w:t>180 873</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6D815C4" w14:textId="77777777" w:rsidR="00B76AEE" w:rsidRPr="00B76AEE" w:rsidRDefault="00B76AEE" w:rsidP="00B76AEE">
            <w:pPr>
              <w:jc w:val="right"/>
              <w:rPr>
                <w:sz w:val="19"/>
                <w:szCs w:val="19"/>
                <w:lang w:val="es-ES"/>
              </w:rPr>
            </w:pPr>
            <w:r w:rsidRPr="00B76AEE">
              <w:rPr>
                <w:sz w:val="19"/>
                <w:lang w:val="es-ES"/>
              </w:rPr>
              <w:t>151 281</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2AC7B81A" w14:textId="77777777" w:rsidR="00B76AEE" w:rsidRPr="00B76AEE" w:rsidRDefault="00B76AEE" w:rsidP="00B76AEE">
            <w:pPr>
              <w:jc w:val="right"/>
              <w:rPr>
                <w:sz w:val="19"/>
                <w:szCs w:val="19"/>
                <w:lang w:val="es-ES"/>
              </w:rPr>
            </w:pPr>
            <w:r w:rsidRPr="00B76AEE">
              <w:rPr>
                <w:sz w:val="19"/>
                <w:lang w:val="es-ES"/>
              </w:rPr>
              <w:t>13 481</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4AEE8441" w14:textId="77777777" w:rsidR="00B76AEE" w:rsidRPr="00B76AEE" w:rsidRDefault="00B76AEE" w:rsidP="00B76AEE">
            <w:pPr>
              <w:jc w:val="right"/>
              <w:rPr>
                <w:sz w:val="19"/>
                <w:szCs w:val="19"/>
                <w:lang w:val="es-ES"/>
              </w:rPr>
            </w:pPr>
            <w:r w:rsidRPr="00B76AEE">
              <w:rPr>
                <w:sz w:val="19"/>
                <w:lang w:val="es-ES"/>
              </w:rPr>
              <w:t>200 000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3B547E0A" w14:textId="77777777" w:rsidR="00B76AEE" w:rsidRPr="00B76AEE" w:rsidRDefault="00B76AEE" w:rsidP="00B76AEE">
            <w:pPr>
              <w:jc w:val="right"/>
              <w:rPr>
                <w:sz w:val="19"/>
                <w:szCs w:val="19"/>
                <w:lang w:val="es-ES"/>
              </w:rPr>
            </w:pPr>
            <w:r w:rsidRPr="00B76AEE">
              <w:rPr>
                <w:sz w:val="19"/>
                <w:lang w:val="es-ES"/>
              </w:rPr>
              <w:t>10 000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337429F6" w14:textId="77777777" w:rsidR="00B76AEE" w:rsidRPr="00B76AEE" w:rsidRDefault="00B76AEE" w:rsidP="00B76AEE">
            <w:pPr>
              <w:jc w:val="right"/>
              <w:rPr>
                <w:sz w:val="19"/>
                <w:szCs w:val="19"/>
                <w:lang w:val="es-ES"/>
              </w:rPr>
            </w:pPr>
            <w:r w:rsidRPr="00B76AEE">
              <w:rPr>
                <w:sz w:val="19"/>
                <w:lang w:val="es-ES"/>
              </w:rPr>
              <w:t>200 000</w:t>
            </w:r>
          </w:p>
        </w:tc>
      </w:tr>
      <w:tr w:rsidR="00B76AEE" w:rsidRPr="00B76AEE" w14:paraId="3ADBEEC8" w14:textId="77777777" w:rsidTr="00DF2EFB">
        <w:trPr>
          <w:trHeight w:val="55"/>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E068093" w14:textId="77777777" w:rsidR="00B76AEE" w:rsidRPr="00B76AEE" w:rsidRDefault="00B76AEE" w:rsidP="00B76AEE">
            <w:pPr>
              <w:jc w:val="left"/>
              <w:rPr>
                <w:sz w:val="19"/>
                <w:szCs w:val="19"/>
                <w:lang w:val="es-ES"/>
              </w:rPr>
            </w:pPr>
            <w:r w:rsidRPr="00B76AEE">
              <w:rPr>
                <w:sz w:val="19"/>
                <w:lang w:val="es-ES"/>
              </w:rPr>
              <w:t>Oficinas (alquiler y gastos ordinarios)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A7F3D59" w14:textId="77777777" w:rsidR="00B76AEE" w:rsidRPr="00B76AEE" w:rsidRDefault="00B76AEE" w:rsidP="00B76AEE">
            <w:pPr>
              <w:jc w:val="right"/>
              <w:rPr>
                <w:sz w:val="19"/>
                <w:szCs w:val="19"/>
                <w:lang w:val="es-ES"/>
              </w:rPr>
            </w:pPr>
            <w:r w:rsidRPr="00B76AEE">
              <w:rPr>
                <w:sz w:val="19"/>
                <w:lang w:val="es-ES"/>
              </w:rPr>
              <w:t xml:space="preserve">0 </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E617724"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7C248AFF"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0F560A2"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0088F468"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2114ED2F"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7EAF1848" w14:textId="77777777" w:rsidTr="00DF2EFB">
        <w:trPr>
          <w:trHeight w:val="159"/>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264314F" w14:textId="77777777" w:rsidR="00B76AEE" w:rsidRPr="00B76AEE" w:rsidRDefault="00B76AEE" w:rsidP="00B76AEE">
            <w:pPr>
              <w:jc w:val="left"/>
              <w:rPr>
                <w:sz w:val="19"/>
                <w:szCs w:val="19"/>
                <w:lang w:val="es-ES"/>
              </w:rPr>
            </w:pPr>
            <w:r w:rsidRPr="00B76AEE">
              <w:rPr>
                <w:sz w:val="19"/>
                <w:lang w:val="es-ES"/>
              </w:rPr>
              <w:t>Costo de equipos y otros (computadoras, suministros)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8C459CB" w14:textId="77777777" w:rsidR="00B76AEE" w:rsidRPr="00B76AEE" w:rsidRDefault="00B76AEE" w:rsidP="00B76AEE">
            <w:pPr>
              <w:jc w:val="right"/>
              <w:rPr>
                <w:sz w:val="19"/>
                <w:szCs w:val="19"/>
                <w:lang w:val="es-ES"/>
              </w:rPr>
            </w:pPr>
            <w:r w:rsidRPr="00B76AEE">
              <w:rPr>
                <w:sz w:val="19"/>
                <w:lang w:val="es-ES"/>
              </w:rPr>
              <w:t>1 637</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1FB5C67F"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1B8CB275"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7FA6EE71"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4216713E"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72032BAA"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07FB5D29" w14:textId="77777777" w:rsidTr="00DF2EFB">
        <w:trPr>
          <w:trHeight w:val="52"/>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E43885B" w14:textId="77777777" w:rsidR="00B76AEE" w:rsidRPr="00B76AEE" w:rsidRDefault="00B76AEE" w:rsidP="00B76AEE">
            <w:pPr>
              <w:jc w:val="left"/>
              <w:rPr>
                <w:sz w:val="19"/>
                <w:szCs w:val="19"/>
                <w:lang w:val="es-ES"/>
              </w:rPr>
            </w:pPr>
            <w:r w:rsidRPr="00B76AEE">
              <w:rPr>
                <w:sz w:val="19"/>
                <w:lang w:val="es-ES"/>
              </w:rPr>
              <w:t>Contratación de servicios (empresas)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1FD2CAD3" w14:textId="77777777" w:rsidR="00B76AEE" w:rsidRPr="00B76AEE" w:rsidRDefault="00B76AEE" w:rsidP="00B76AEE">
            <w:pPr>
              <w:jc w:val="right"/>
              <w:rPr>
                <w:sz w:val="19"/>
                <w:szCs w:val="19"/>
                <w:lang w:val="es-ES"/>
              </w:rPr>
            </w:pPr>
            <w:r w:rsidRPr="00B76AEE">
              <w:rPr>
                <w:sz w:val="19"/>
                <w:lang w:val="es-ES"/>
              </w:rPr>
              <w:t>73 389</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4BBCA3B" w14:textId="77777777" w:rsidR="00B76AEE" w:rsidRPr="00B76AEE" w:rsidRDefault="00B76AEE" w:rsidP="00B76AEE">
            <w:pPr>
              <w:jc w:val="right"/>
              <w:rPr>
                <w:sz w:val="19"/>
                <w:szCs w:val="19"/>
                <w:lang w:val="es-ES"/>
              </w:rPr>
            </w:pPr>
            <w:r w:rsidRPr="00B76AEE">
              <w:rPr>
                <w:sz w:val="19"/>
                <w:lang w:val="es-ES"/>
              </w:rPr>
              <w:t>38 983</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634A2182" w14:textId="77777777" w:rsidR="00B76AEE" w:rsidRPr="00B76AEE" w:rsidRDefault="00B76AEE" w:rsidP="00B76AEE">
            <w:pPr>
              <w:jc w:val="right"/>
              <w:rPr>
                <w:sz w:val="19"/>
                <w:szCs w:val="19"/>
                <w:lang w:val="es-ES"/>
              </w:rPr>
            </w:pPr>
            <w:r w:rsidRPr="00B76AEE">
              <w:rPr>
                <w:sz w:val="19"/>
                <w:lang w:val="es-ES"/>
              </w:rPr>
              <w:t>10 292</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2DF45D9B" w14:textId="77777777" w:rsidR="00B76AEE" w:rsidRPr="00B76AEE" w:rsidRDefault="00B76AEE" w:rsidP="00B76AEE">
            <w:pPr>
              <w:jc w:val="right"/>
              <w:rPr>
                <w:sz w:val="19"/>
                <w:szCs w:val="19"/>
                <w:lang w:val="es-ES"/>
              </w:rPr>
            </w:pPr>
            <w:r w:rsidRPr="00B76AEE">
              <w:rPr>
                <w:sz w:val="19"/>
                <w:lang w:val="es-ES"/>
              </w:rPr>
              <w:t>85 000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12B7D3EF" w14:textId="77777777" w:rsidR="00B76AEE" w:rsidRPr="00B76AEE" w:rsidRDefault="00B76AEE" w:rsidP="00B76AEE">
            <w:pPr>
              <w:jc w:val="right"/>
              <w:rPr>
                <w:sz w:val="19"/>
                <w:szCs w:val="19"/>
                <w:lang w:val="es-ES"/>
              </w:rPr>
            </w:pPr>
            <w:r w:rsidRPr="00B76AEE">
              <w:rPr>
                <w:sz w:val="19"/>
                <w:lang w:val="es-ES"/>
              </w:rPr>
              <w:t>85 000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314A3C63" w14:textId="77777777" w:rsidR="00B76AEE" w:rsidRPr="00B76AEE" w:rsidRDefault="00B76AEE" w:rsidP="00B76AEE">
            <w:pPr>
              <w:jc w:val="right"/>
              <w:rPr>
                <w:sz w:val="19"/>
                <w:szCs w:val="19"/>
                <w:lang w:val="es-ES"/>
              </w:rPr>
            </w:pPr>
            <w:r w:rsidRPr="00B76AEE">
              <w:rPr>
                <w:sz w:val="19"/>
                <w:lang w:val="es-ES"/>
              </w:rPr>
              <w:t>85 000</w:t>
            </w:r>
          </w:p>
        </w:tc>
      </w:tr>
      <w:tr w:rsidR="00B76AEE" w:rsidRPr="00B76AEE" w14:paraId="1709F8D2" w14:textId="77777777" w:rsidTr="00DF2EFB">
        <w:trPr>
          <w:trHeight w:val="146"/>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131B467" w14:textId="77777777" w:rsidR="00B76AEE" w:rsidRPr="00B76AEE" w:rsidRDefault="00B76AEE" w:rsidP="00B76AEE">
            <w:pPr>
              <w:jc w:val="left"/>
              <w:rPr>
                <w:sz w:val="19"/>
                <w:szCs w:val="19"/>
                <w:lang w:val="es-ES"/>
              </w:rPr>
            </w:pPr>
            <w:r w:rsidRPr="00B76AEE">
              <w:rPr>
                <w:sz w:val="19"/>
                <w:lang w:val="es-ES"/>
              </w:rPr>
              <w:lastRenderedPageBreak/>
              <w:t>Reembolso de servicios centrales para personal de unidad central</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AE2AA55" w14:textId="77777777" w:rsidR="00B76AEE" w:rsidRPr="00B76AEE" w:rsidRDefault="00B76AEE" w:rsidP="00B76AEE">
            <w:pPr>
              <w:jc w:val="right"/>
              <w:rPr>
                <w:sz w:val="19"/>
                <w:szCs w:val="19"/>
                <w:lang w:val="es-ES"/>
              </w:rPr>
            </w:pPr>
            <w:r w:rsidRPr="00B76AEE">
              <w:rPr>
                <w:sz w:val="19"/>
                <w:lang w:val="es-ES"/>
              </w:rPr>
              <w:t>245 946</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64AD73B1" w14:textId="77777777" w:rsidR="00B76AEE" w:rsidRPr="00B76AEE" w:rsidRDefault="00B76AEE" w:rsidP="00B76AEE">
            <w:pPr>
              <w:jc w:val="right"/>
              <w:rPr>
                <w:sz w:val="19"/>
                <w:szCs w:val="19"/>
                <w:lang w:val="es-ES"/>
              </w:rPr>
            </w:pPr>
            <w:r w:rsidRPr="00B76AEE">
              <w:rPr>
                <w:sz w:val="19"/>
                <w:lang w:val="es-ES"/>
              </w:rPr>
              <w:t>249 954</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6D3C2E08" w14:textId="77777777" w:rsidR="00B76AEE" w:rsidRPr="00B76AEE" w:rsidRDefault="00B76AEE" w:rsidP="00B76AEE">
            <w:pPr>
              <w:jc w:val="right"/>
              <w:rPr>
                <w:sz w:val="19"/>
                <w:szCs w:val="19"/>
                <w:lang w:val="es-ES"/>
              </w:rPr>
            </w:pPr>
            <w:r w:rsidRPr="00B76AEE">
              <w:rPr>
                <w:sz w:val="19"/>
                <w:lang w:val="es-ES"/>
              </w:rPr>
              <w:t>212 792</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8BED5DA" w14:textId="77777777" w:rsidR="00B76AEE" w:rsidRPr="00B76AEE" w:rsidRDefault="00B76AEE" w:rsidP="00B76AEE">
            <w:pPr>
              <w:jc w:val="right"/>
              <w:rPr>
                <w:sz w:val="19"/>
                <w:szCs w:val="19"/>
                <w:lang w:val="es-ES"/>
              </w:rPr>
            </w:pPr>
            <w:r w:rsidRPr="00B76AEE">
              <w:rPr>
                <w:sz w:val="19"/>
                <w:lang w:val="es-ES"/>
              </w:rPr>
              <w:t>215 000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0C1EEA3C" w14:textId="77777777" w:rsidR="00B76AEE" w:rsidRPr="00B76AEE" w:rsidRDefault="00B76AEE" w:rsidP="00B76AEE">
            <w:pPr>
              <w:jc w:val="right"/>
              <w:rPr>
                <w:sz w:val="19"/>
                <w:szCs w:val="19"/>
                <w:lang w:val="es-ES"/>
              </w:rPr>
            </w:pPr>
            <w:r w:rsidRPr="00B76AEE">
              <w:rPr>
                <w:sz w:val="19"/>
                <w:lang w:val="es-ES"/>
              </w:rPr>
              <w:t>255 000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190CB1B4" w14:textId="77777777" w:rsidR="00B76AEE" w:rsidRPr="00B76AEE" w:rsidRDefault="00B76AEE" w:rsidP="00B76AEE">
            <w:pPr>
              <w:jc w:val="right"/>
              <w:rPr>
                <w:sz w:val="19"/>
                <w:szCs w:val="19"/>
                <w:lang w:val="es-ES"/>
              </w:rPr>
            </w:pPr>
            <w:r w:rsidRPr="00B76AEE">
              <w:rPr>
                <w:sz w:val="19"/>
                <w:lang w:val="es-ES"/>
              </w:rPr>
              <w:t>215 000</w:t>
            </w:r>
          </w:p>
        </w:tc>
      </w:tr>
      <w:tr w:rsidR="00B76AEE" w:rsidRPr="00B76AEE" w14:paraId="09A3EAC8" w14:textId="77777777" w:rsidTr="00DF2EFB">
        <w:trPr>
          <w:trHeight w:val="73"/>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49B4D21" w14:textId="77777777" w:rsidR="00B76AEE" w:rsidRPr="00B76AEE" w:rsidRDefault="00B76AEE" w:rsidP="00B76AEE">
            <w:pPr>
              <w:jc w:val="left"/>
              <w:rPr>
                <w:sz w:val="19"/>
                <w:szCs w:val="19"/>
                <w:lang w:val="es-ES"/>
              </w:rPr>
            </w:pPr>
            <w:r w:rsidRPr="00B76AEE">
              <w:rPr>
                <w:sz w:val="19"/>
                <w:lang w:val="es-ES"/>
              </w:rPr>
              <w:t>Ajustes (+ = subutilizado y -= excedido)</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4EAD7B7" w14:textId="77777777" w:rsidR="00B76AEE" w:rsidRPr="00B76AEE" w:rsidRDefault="00B76AEE" w:rsidP="00B76AEE">
            <w:pPr>
              <w:jc w:val="right"/>
              <w:rPr>
                <w:sz w:val="19"/>
                <w:szCs w:val="19"/>
                <w:lang w:val="es-ES"/>
              </w:rPr>
            </w:pPr>
            <w:r w:rsidRPr="00B76AEE">
              <w:rPr>
                <w:sz w:val="19"/>
                <w:lang w:val="es-ES"/>
              </w:rPr>
              <w:t>6 940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40622A2C" w14:textId="77777777" w:rsidR="00B76AEE" w:rsidRPr="00B76AEE" w:rsidRDefault="00B76AEE" w:rsidP="00B76AEE">
            <w:pPr>
              <w:jc w:val="right"/>
              <w:rPr>
                <w:sz w:val="19"/>
                <w:szCs w:val="19"/>
                <w:lang w:val="es-ES"/>
              </w:rPr>
            </w:pPr>
            <w:r w:rsidRPr="00B76AEE">
              <w:rPr>
                <w:sz w:val="19"/>
                <w:lang w:val="es-ES"/>
              </w:rPr>
              <w:t>43 894</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10F8B7A6" w14:textId="77777777" w:rsidR="00B76AEE" w:rsidRPr="00B76AEE" w:rsidRDefault="00B76AEE" w:rsidP="00B76AEE">
            <w:pPr>
              <w:jc w:val="right"/>
              <w:rPr>
                <w:sz w:val="19"/>
                <w:szCs w:val="19"/>
                <w:lang w:val="es-ES"/>
              </w:rPr>
            </w:pPr>
            <w:r w:rsidRPr="00B76AEE">
              <w:rPr>
                <w:sz w:val="19"/>
                <w:lang w:val="es-ES"/>
              </w:rPr>
              <w:t>443 204</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0AA10BB"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07509CF8" w14:textId="77777777" w:rsidR="00B76AEE" w:rsidRPr="00B76AEE" w:rsidRDefault="00B76AEE" w:rsidP="00B76AEE">
            <w:pPr>
              <w:jc w:val="right"/>
              <w:rPr>
                <w:sz w:val="19"/>
                <w:szCs w:val="19"/>
                <w:lang w:val="es-ES"/>
              </w:rPr>
            </w:pPr>
            <w:r w:rsidRPr="00B76AEE">
              <w:rPr>
                <w:sz w:val="19"/>
                <w:lang w:val="es-ES"/>
              </w:rPr>
              <w:t>150 000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3AA29110"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726CE7DF" w14:textId="77777777" w:rsidTr="00DF2EFB">
        <w:trPr>
          <w:trHeight w:val="52"/>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072B792" w14:textId="77777777" w:rsidR="00B76AEE" w:rsidRPr="00B76AEE" w:rsidRDefault="00B76AEE" w:rsidP="00B76AEE">
            <w:pPr>
              <w:jc w:val="left"/>
              <w:rPr>
                <w:sz w:val="19"/>
                <w:szCs w:val="19"/>
                <w:lang w:val="es-ES"/>
              </w:rPr>
            </w:pPr>
            <w:r w:rsidRPr="00B76AEE">
              <w:rPr>
                <w:sz w:val="19"/>
                <w:lang w:val="es-ES"/>
              </w:rPr>
              <w:t>Devolución de fondos (- = fondos devueltos)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BF94FBA" w14:textId="77777777" w:rsidR="00B76AEE" w:rsidRPr="00B76AEE" w:rsidRDefault="00B76AEE" w:rsidP="00B76AEE">
            <w:pPr>
              <w:jc w:val="right"/>
              <w:rPr>
                <w:sz w:val="19"/>
                <w:szCs w:val="19"/>
                <w:lang w:val="es-ES"/>
              </w:rPr>
            </w:pPr>
            <w:r w:rsidRPr="00B76AEE">
              <w:rPr>
                <w:sz w:val="19"/>
                <w:lang w:val="es-ES"/>
              </w:rPr>
              <w:t>-6 940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6747DCB" w14:textId="77777777" w:rsidR="00B76AEE" w:rsidRPr="00B76AEE" w:rsidRDefault="00B76AEE" w:rsidP="00B76AEE">
            <w:pPr>
              <w:jc w:val="right"/>
              <w:rPr>
                <w:sz w:val="19"/>
                <w:szCs w:val="19"/>
                <w:lang w:val="es-ES"/>
              </w:rPr>
            </w:pPr>
            <w:r w:rsidRPr="00B76AEE">
              <w:rPr>
                <w:sz w:val="19"/>
                <w:lang w:val="es-ES"/>
              </w:rPr>
              <w:t>-43 894</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5E0AABE3" w14:textId="77777777" w:rsidR="00B76AEE" w:rsidRPr="00B76AEE" w:rsidRDefault="00B76AEE" w:rsidP="00B76AEE">
            <w:pPr>
              <w:jc w:val="right"/>
              <w:rPr>
                <w:sz w:val="19"/>
                <w:szCs w:val="19"/>
                <w:lang w:val="es-ES"/>
              </w:rPr>
            </w:pPr>
            <w:r w:rsidRPr="00B76AEE">
              <w:rPr>
                <w:sz w:val="19"/>
                <w:lang w:val="es-ES"/>
              </w:rPr>
              <w:t>-443 204</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5A7106D2"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3D1F7A95" w14:textId="77777777" w:rsidR="00B76AEE" w:rsidRPr="00B76AEE" w:rsidRDefault="00B76AEE" w:rsidP="00B76AEE">
            <w:pPr>
              <w:jc w:val="right"/>
              <w:rPr>
                <w:sz w:val="19"/>
                <w:szCs w:val="19"/>
                <w:lang w:val="es-ES"/>
              </w:rPr>
            </w:pPr>
            <w:r w:rsidRPr="00B76AEE">
              <w:rPr>
                <w:sz w:val="19"/>
                <w:lang w:val="es-ES"/>
              </w:rPr>
              <w:t>-150 000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7BAE8D3A"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5AE16083" w14:textId="77777777" w:rsidTr="00DF2EFB">
        <w:trPr>
          <w:trHeight w:val="52"/>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7085550" w14:textId="77777777" w:rsidR="00B76AEE" w:rsidRPr="00B76AEE" w:rsidRDefault="00B76AEE" w:rsidP="00B76AEE">
            <w:pPr>
              <w:jc w:val="left"/>
              <w:rPr>
                <w:b/>
                <w:sz w:val="19"/>
                <w:szCs w:val="19"/>
                <w:lang w:val="es-ES"/>
              </w:rPr>
            </w:pPr>
            <w:r w:rsidRPr="00B76AEE">
              <w:rPr>
                <w:b/>
                <w:sz w:val="19"/>
                <w:lang w:val="es-ES"/>
              </w:rPr>
              <w:t>A. Subtotal de costos de unidad central</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75BDCF47" w14:textId="77777777" w:rsidR="00B76AEE" w:rsidRPr="00B76AEE" w:rsidRDefault="00B76AEE" w:rsidP="00B76AEE">
            <w:pPr>
              <w:jc w:val="right"/>
              <w:rPr>
                <w:b/>
                <w:sz w:val="19"/>
                <w:szCs w:val="19"/>
                <w:lang w:val="es-ES"/>
              </w:rPr>
            </w:pPr>
            <w:r w:rsidRPr="00B76AEE">
              <w:rPr>
                <w:b/>
                <w:sz w:val="19"/>
                <w:lang w:val="es-ES"/>
              </w:rPr>
              <w:t>1 728 060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DC5C23E" w14:textId="77777777" w:rsidR="00B76AEE" w:rsidRPr="00B76AEE" w:rsidRDefault="00B76AEE" w:rsidP="00B76AEE">
            <w:pPr>
              <w:jc w:val="right"/>
              <w:rPr>
                <w:b/>
                <w:sz w:val="19"/>
                <w:szCs w:val="19"/>
                <w:lang w:val="es-ES"/>
              </w:rPr>
            </w:pPr>
            <w:r w:rsidRPr="00B76AEE">
              <w:rPr>
                <w:b/>
                <w:sz w:val="19"/>
                <w:lang w:val="es-ES"/>
              </w:rPr>
              <w:t>1 691 106</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76B98A47" w14:textId="77777777" w:rsidR="00B76AEE" w:rsidRPr="00B76AEE" w:rsidRDefault="00B76AEE" w:rsidP="00B76AEE">
            <w:pPr>
              <w:jc w:val="right"/>
              <w:rPr>
                <w:b/>
                <w:sz w:val="19"/>
                <w:szCs w:val="19"/>
                <w:lang w:val="es-ES"/>
              </w:rPr>
            </w:pPr>
            <w:r w:rsidRPr="00B76AEE">
              <w:rPr>
                <w:b/>
                <w:sz w:val="19"/>
                <w:lang w:val="es-ES"/>
              </w:rPr>
              <w:t>1 291 796</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46FACA1E" w14:textId="77777777" w:rsidR="00B76AEE" w:rsidRPr="00B76AEE" w:rsidRDefault="00B76AEE" w:rsidP="00B76AEE">
            <w:pPr>
              <w:jc w:val="right"/>
              <w:rPr>
                <w:b/>
                <w:sz w:val="19"/>
                <w:szCs w:val="19"/>
                <w:lang w:val="es-ES"/>
              </w:rPr>
            </w:pPr>
            <w:r w:rsidRPr="00B76AEE">
              <w:rPr>
                <w:b/>
                <w:sz w:val="19"/>
                <w:lang w:val="es-ES"/>
              </w:rPr>
              <w:t>1 735 000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1E28B259" w14:textId="77777777" w:rsidR="00B76AEE" w:rsidRPr="00B76AEE" w:rsidRDefault="00B76AEE" w:rsidP="00B76AEE">
            <w:pPr>
              <w:jc w:val="right"/>
              <w:rPr>
                <w:b/>
                <w:sz w:val="19"/>
                <w:szCs w:val="19"/>
                <w:lang w:val="es-ES"/>
              </w:rPr>
            </w:pPr>
            <w:r w:rsidRPr="00B76AEE">
              <w:rPr>
                <w:b/>
                <w:sz w:val="19"/>
                <w:lang w:val="es-ES"/>
              </w:rPr>
              <w:t>1 585 000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1A4EC4D2" w14:textId="77777777" w:rsidR="00B76AEE" w:rsidRPr="00B76AEE" w:rsidRDefault="00B76AEE" w:rsidP="00B76AEE">
            <w:pPr>
              <w:jc w:val="right"/>
              <w:rPr>
                <w:b/>
                <w:sz w:val="19"/>
                <w:szCs w:val="19"/>
                <w:lang w:val="es-ES"/>
              </w:rPr>
            </w:pPr>
            <w:r w:rsidRPr="00B76AEE">
              <w:rPr>
                <w:b/>
                <w:sz w:val="19"/>
                <w:lang w:val="es-ES"/>
              </w:rPr>
              <w:t>1 735 000</w:t>
            </w:r>
          </w:p>
        </w:tc>
      </w:tr>
      <w:tr w:rsidR="00B76AEE" w:rsidRPr="00B76AEE" w14:paraId="2AED12C3" w14:textId="77777777" w:rsidTr="00DF2EFB">
        <w:trPr>
          <w:trHeight w:val="121"/>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3407296" w14:textId="77777777" w:rsidR="00B76AEE" w:rsidRPr="00B76AEE" w:rsidRDefault="00B76AEE" w:rsidP="00B76AEE">
            <w:pPr>
              <w:jc w:val="left"/>
              <w:rPr>
                <w:sz w:val="19"/>
                <w:szCs w:val="19"/>
                <w:lang w:val="es-ES"/>
              </w:rPr>
            </w:pPr>
            <w:r w:rsidRPr="00B76AEE">
              <w:rPr>
                <w:sz w:val="19"/>
                <w:lang w:val="es-ES"/>
              </w:rPr>
              <w:t>Reembolsos a las oficinas en los países y por ejecución nacional, incluidos gastos generales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A7894AC" w14:textId="77777777" w:rsidR="00B76AEE" w:rsidRPr="00B76AEE" w:rsidRDefault="00B76AEE" w:rsidP="00B76AEE">
            <w:pPr>
              <w:jc w:val="right"/>
              <w:rPr>
                <w:sz w:val="19"/>
                <w:szCs w:val="19"/>
                <w:lang w:val="es-ES"/>
              </w:rPr>
            </w:pPr>
            <w:r w:rsidRPr="00B76AEE">
              <w:rPr>
                <w:sz w:val="19"/>
                <w:lang w:val="es-ES"/>
              </w:rPr>
              <w:t>2 114 429</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6EEC5C74" w14:textId="77777777" w:rsidR="00B76AEE" w:rsidRPr="00B76AEE" w:rsidRDefault="00B76AEE" w:rsidP="00B76AEE">
            <w:pPr>
              <w:jc w:val="right"/>
              <w:rPr>
                <w:sz w:val="19"/>
                <w:szCs w:val="19"/>
                <w:lang w:val="es-ES"/>
              </w:rPr>
            </w:pPr>
            <w:r w:rsidRPr="00B76AEE">
              <w:rPr>
                <w:sz w:val="19"/>
                <w:lang w:val="es-ES"/>
              </w:rPr>
              <w:t>1 258 437</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7CA3C366" w14:textId="77777777" w:rsidR="00B76AEE" w:rsidRPr="00B76AEE" w:rsidRDefault="00B76AEE" w:rsidP="00B76AEE">
            <w:pPr>
              <w:jc w:val="right"/>
              <w:rPr>
                <w:sz w:val="19"/>
                <w:szCs w:val="19"/>
                <w:lang w:val="es-ES"/>
              </w:rPr>
            </w:pPr>
            <w:r w:rsidRPr="00B76AEE">
              <w:rPr>
                <w:sz w:val="19"/>
                <w:lang w:val="es-ES"/>
              </w:rPr>
              <w:t>1 172 183</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18C2A99" w14:textId="77777777" w:rsidR="00B76AEE" w:rsidRPr="00B76AEE" w:rsidRDefault="00B76AEE" w:rsidP="00B76AEE">
            <w:pPr>
              <w:jc w:val="right"/>
              <w:rPr>
                <w:sz w:val="19"/>
                <w:szCs w:val="19"/>
                <w:lang w:val="es-ES"/>
              </w:rPr>
            </w:pPr>
            <w:r w:rsidRPr="00B76AEE">
              <w:rPr>
                <w:sz w:val="19"/>
                <w:lang w:val="es-ES"/>
              </w:rPr>
              <w:t>2 000 000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694B03E0" w14:textId="77777777" w:rsidR="00B76AEE" w:rsidRPr="00B76AEE" w:rsidRDefault="00B76AEE" w:rsidP="00B76AEE">
            <w:pPr>
              <w:jc w:val="right"/>
              <w:rPr>
                <w:sz w:val="19"/>
                <w:szCs w:val="19"/>
                <w:lang w:val="es-ES"/>
              </w:rPr>
            </w:pPr>
            <w:r w:rsidRPr="00B76AEE">
              <w:rPr>
                <w:sz w:val="19"/>
                <w:lang w:val="es-ES"/>
              </w:rPr>
              <w:t>800 000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7DE08F79" w14:textId="77777777" w:rsidR="00B76AEE" w:rsidRPr="00B76AEE" w:rsidRDefault="00B76AEE" w:rsidP="00B76AEE">
            <w:pPr>
              <w:jc w:val="right"/>
              <w:rPr>
                <w:sz w:val="19"/>
                <w:szCs w:val="19"/>
                <w:lang w:val="es-ES"/>
              </w:rPr>
            </w:pPr>
            <w:r w:rsidRPr="00B76AEE">
              <w:rPr>
                <w:sz w:val="19"/>
                <w:lang w:val="es-ES"/>
              </w:rPr>
              <w:t>2 000 000</w:t>
            </w:r>
          </w:p>
        </w:tc>
      </w:tr>
      <w:tr w:rsidR="00B76AEE" w:rsidRPr="00B76AEE" w14:paraId="08B95E59" w14:textId="77777777" w:rsidTr="00DF2EFB">
        <w:trPr>
          <w:trHeight w:val="249"/>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3F59BC7" w14:textId="77777777" w:rsidR="00B76AEE" w:rsidRPr="00B76AEE" w:rsidRDefault="00B76AEE" w:rsidP="00B76AEE">
            <w:pPr>
              <w:jc w:val="left"/>
              <w:rPr>
                <w:sz w:val="19"/>
                <w:szCs w:val="19"/>
                <w:lang w:val="es-ES"/>
              </w:rPr>
            </w:pPr>
            <w:r w:rsidRPr="00B76AEE">
              <w:rPr>
                <w:sz w:val="19"/>
                <w:lang w:val="es-ES"/>
              </w:rPr>
              <w:t>Gastos (internos) de apoyo del organismo de ejecución, incluidos gastos generales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6066126F"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46DE10CE"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50377891"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7B192252"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0E46A737"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4789B389"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136E344F" w14:textId="77777777" w:rsidTr="00DF2EFB">
        <w:trPr>
          <w:trHeight w:val="144"/>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A652C10" w14:textId="77777777" w:rsidR="00B76AEE" w:rsidRPr="00B76AEE" w:rsidRDefault="00B76AEE" w:rsidP="00B76AEE">
            <w:pPr>
              <w:jc w:val="left"/>
              <w:rPr>
                <w:sz w:val="19"/>
                <w:szCs w:val="19"/>
                <w:lang w:val="es-ES"/>
              </w:rPr>
            </w:pPr>
            <w:r w:rsidRPr="00B76AEE">
              <w:rPr>
                <w:sz w:val="19"/>
                <w:lang w:val="es-ES"/>
              </w:rPr>
              <w:t>Intermediarios financieros, incluidos gastos generales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6583057"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0433ADF"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4E363881"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1228F3F"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75DE2A51"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670A5BBC" w14:textId="77777777" w:rsidR="00B76AEE" w:rsidRPr="00B76AEE" w:rsidRDefault="00B76AEE" w:rsidP="00B76AEE">
            <w:pPr>
              <w:jc w:val="right"/>
              <w:rPr>
                <w:sz w:val="19"/>
                <w:szCs w:val="19"/>
                <w:lang w:val="es-ES"/>
              </w:rPr>
            </w:pPr>
            <w:r w:rsidRPr="00B76AEE">
              <w:rPr>
                <w:sz w:val="19"/>
                <w:lang w:val="es-ES"/>
              </w:rPr>
              <w:t>0</w:t>
            </w:r>
          </w:p>
        </w:tc>
      </w:tr>
      <w:tr w:rsidR="00B76AEE" w:rsidRPr="006050E8" w14:paraId="353C0355" w14:textId="77777777" w:rsidTr="00DF2EFB">
        <w:trPr>
          <w:trHeight w:val="197"/>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5D97B97" w14:textId="77777777" w:rsidR="00B76AEE" w:rsidRPr="00B76AEE" w:rsidRDefault="00B76AEE" w:rsidP="00B76AEE">
            <w:pPr>
              <w:jc w:val="left"/>
              <w:rPr>
                <w:sz w:val="19"/>
                <w:szCs w:val="19"/>
                <w:lang w:val="es-ES"/>
              </w:rPr>
            </w:pPr>
            <w:r w:rsidRPr="00B76AEE">
              <w:rPr>
                <w:sz w:val="19"/>
                <w:lang w:val="es-ES"/>
              </w:rPr>
              <w:t>Reembolso de servicios centrales para personal de unidad central (incluidos gastos generales)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3670EE0" w14:textId="77777777" w:rsidR="00B76AEE" w:rsidRPr="00B76AEE" w:rsidRDefault="00B76AEE" w:rsidP="00B76AEE">
            <w:pPr>
              <w:jc w:val="right"/>
              <w:rPr>
                <w:sz w:val="19"/>
                <w:szCs w:val="19"/>
                <w:lang w:val="es-ES"/>
              </w:rPr>
            </w:pPr>
            <w:r w:rsidRPr="00B76AEE">
              <w:rPr>
                <w:sz w:val="19"/>
                <w:lang w:val="es-ES"/>
              </w:rPr>
              <w:t xml:space="preserve"> </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3B251A3" w14:textId="77777777" w:rsidR="00B76AEE" w:rsidRPr="00B76AEE" w:rsidRDefault="00B76AEE" w:rsidP="00B76AEE">
            <w:pPr>
              <w:jc w:val="right"/>
              <w:rPr>
                <w:sz w:val="19"/>
                <w:szCs w:val="19"/>
                <w:lang w:val="es-ES"/>
              </w:rPr>
            </w:pP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0AF29EC7" w14:textId="77777777" w:rsidR="00B76AEE" w:rsidRPr="00B76AEE" w:rsidRDefault="00B76AEE" w:rsidP="00B76AEE">
            <w:pPr>
              <w:jc w:val="right"/>
              <w:rPr>
                <w:sz w:val="19"/>
                <w:szCs w:val="19"/>
                <w:lang w:val="es-ES"/>
              </w:rPr>
            </w:pP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18C1F37D" w14:textId="77777777" w:rsidR="00B76AEE" w:rsidRPr="00B76AEE" w:rsidRDefault="00B76AEE" w:rsidP="00B76AEE">
            <w:pPr>
              <w:jc w:val="right"/>
              <w:rPr>
                <w:sz w:val="19"/>
                <w:szCs w:val="19"/>
                <w:lang w:val="es-ES"/>
              </w:rPr>
            </w:pP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63A6C8EA" w14:textId="77777777" w:rsidR="00B76AEE" w:rsidRPr="00B76AEE" w:rsidRDefault="00B76AEE" w:rsidP="00B76AEE">
            <w:pPr>
              <w:jc w:val="right"/>
              <w:rPr>
                <w:sz w:val="19"/>
                <w:szCs w:val="19"/>
                <w:lang w:val="es-ES"/>
              </w:rPr>
            </w:pP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1076B64B" w14:textId="77777777" w:rsidR="00B76AEE" w:rsidRPr="00B76AEE" w:rsidRDefault="00B76AEE" w:rsidP="00B76AEE">
            <w:pPr>
              <w:jc w:val="right"/>
              <w:rPr>
                <w:sz w:val="19"/>
                <w:szCs w:val="19"/>
                <w:lang w:val="es-ES"/>
              </w:rPr>
            </w:pPr>
          </w:p>
        </w:tc>
      </w:tr>
      <w:tr w:rsidR="00B76AEE" w:rsidRPr="00B76AEE" w14:paraId="2364AD81" w14:textId="77777777" w:rsidTr="00DF2EFB">
        <w:trPr>
          <w:trHeight w:val="127"/>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A58B489" w14:textId="77777777" w:rsidR="00B76AEE" w:rsidRPr="00B76AEE" w:rsidRDefault="00B76AEE" w:rsidP="00B76AEE">
            <w:pPr>
              <w:jc w:val="left"/>
              <w:rPr>
                <w:sz w:val="19"/>
                <w:szCs w:val="19"/>
                <w:lang w:val="es-ES"/>
              </w:rPr>
            </w:pPr>
            <w:r w:rsidRPr="00B76AEE">
              <w:rPr>
                <w:sz w:val="19"/>
                <w:lang w:val="es-ES"/>
              </w:rPr>
              <w:t>Recuperación de gastos</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1812D1C0"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5056E65"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5C68E2A5"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3ECBB87F"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2871B0D6"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2C99CD45" w14:textId="77777777" w:rsidR="00B76AEE" w:rsidRPr="00B76AEE" w:rsidRDefault="00B76AEE" w:rsidP="00B76AEE">
            <w:pPr>
              <w:jc w:val="right"/>
              <w:rPr>
                <w:sz w:val="19"/>
                <w:szCs w:val="19"/>
                <w:lang w:val="es-ES"/>
              </w:rPr>
            </w:pPr>
            <w:r w:rsidRPr="00B76AEE">
              <w:rPr>
                <w:sz w:val="19"/>
                <w:lang w:val="es-ES"/>
              </w:rPr>
              <w:t>0</w:t>
            </w:r>
          </w:p>
        </w:tc>
      </w:tr>
      <w:tr w:rsidR="00B76AEE" w:rsidRPr="00B76AEE" w14:paraId="5AC875A0" w14:textId="77777777" w:rsidTr="00DF2EFB">
        <w:trPr>
          <w:trHeight w:val="103"/>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860F4BE" w14:textId="77777777" w:rsidR="00B76AEE" w:rsidRPr="00B76AEE" w:rsidRDefault="00B76AEE" w:rsidP="00B76AEE">
            <w:pPr>
              <w:jc w:val="left"/>
              <w:rPr>
                <w:sz w:val="19"/>
                <w:szCs w:val="19"/>
                <w:lang w:val="es-ES"/>
              </w:rPr>
            </w:pPr>
            <w:r w:rsidRPr="00B76AEE">
              <w:rPr>
                <w:sz w:val="19"/>
                <w:lang w:val="es-ES"/>
              </w:rPr>
              <w:t>Ajuste (+ = excedido y - = subutilizado)</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6A9A16C8"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3468D6DD" w14:textId="77777777" w:rsidR="00B76AEE" w:rsidRPr="00B76AEE" w:rsidRDefault="00B76AEE" w:rsidP="00B76AEE">
            <w:pPr>
              <w:jc w:val="right"/>
              <w:rPr>
                <w:sz w:val="19"/>
                <w:szCs w:val="19"/>
                <w:lang w:val="es-ES"/>
              </w:rPr>
            </w:pPr>
            <w:r w:rsidRPr="00B76AEE">
              <w:rPr>
                <w:sz w:val="19"/>
                <w:lang w:val="es-ES"/>
              </w:rPr>
              <w:t>0</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3507BED1" w14:textId="77777777" w:rsidR="00B76AEE" w:rsidRPr="00B76AEE" w:rsidRDefault="00B76AEE" w:rsidP="00B76AEE">
            <w:pPr>
              <w:jc w:val="right"/>
              <w:rPr>
                <w:sz w:val="19"/>
                <w:szCs w:val="19"/>
                <w:lang w:val="es-ES"/>
              </w:rPr>
            </w:pPr>
            <w:r w:rsidRPr="00B76AEE">
              <w:rPr>
                <w:sz w:val="19"/>
                <w:lang w:val="es-ES"/>
              </w:rPr>
              <w:t>0</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05302C4D" w14:textId="77777777" w:rsidR="00B76AEE" w:rsidRPr="00B76AEE" w:rsidRDefault="00B76AEE" w:rsidP="00B76AEE">
            <w:pPr>
              <w:jc w:val="right"/>
              <w:rPr>
                <w:sz w:val="19"/>
                <w:szCs w:val="19"/>
                <w:lang w:val="es-ES"/>
              </w:rPr>
            </w:pPr>
            <w:r w:rsidRPr="00B76AEE">
              <w:rPr>
                <w:sz w:val="19"/>
                <w:lang w:val="es-ES"/>
              </w:rPr>
              <w:t>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24202751" w14:textId="77777777" w:rsidR="00B76AEE" w:rsidRPr="00B76AEE" w:rsidRDefault="00B76AEE" w:rsidP="00B76AEE">
            <w:pPr>
              <w:jc w:val="right"/>
              <w:rPr>
                <w:sz w:val="19"/>
                <w:szCs w:val="19"/>
                <w:lang w:val="es-ES"/>
              </w:rPr>
            </w:pPr>
            <w:r w:rsidRPr="00B76AEE">
              <w:rPr>
                <w:sz w:val="19"/>
                <w:lang w:val="es-ES"/>
              </w:rPr>
              <w:t>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009121C0" w14:textId="77777777" w:rsidR="00B76AEE" w:rsidRPr="00B76AEE" w:rsidRDefault="00B76AEE" w:rsidP="00B76AEE">
            <w:pPr>
              <w:jc w:val="right"/>
              <w:rPr>
                <w:sz w:val="19"/>
                <w:szCs w:val="19"/>
                <w:lang w:val="es-ES"/>
              </w:rPr>
            </w:pPr>
            <w:r w:rsidRPr="00B76AEE">
              <w:rPr>
                <w:sz w:val="19"/>
                <w:lang w:val="es-ES"/>
              </w:rPr>
              <w:t>0</w:t>
            </w:r>
          </w:p>
        </w:tc>
      </w:tr>
      <w:tr w:rsidR="00B76AEE" w:rsidRPr="006050E8" w14:paraId="0F23A72D" w14:textId="77777777" w:rsidTr="00DF2EFB">
        <w:trPr>
          <w:trHeight w:val="157"/>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75561C7" w14:textId="77777777" w:rsidR="00B76AEE" w:rsidRPr="00B76AEE" w:rsidRDefault="00B76AEE" w:rsidP="00B76AEE">
            <w:pPr>
              <w:jc w:val="left"/>
              <w:rPr>
                <w:sz w:val="19"/>
                <w:szCs w:val="19"/>
                <w:lang w:val="es-ES"/>
              </w:rPr>
            </w:pPr>
            <w:r w:rsidRPr="00B76AEE">
              <w:rPr>
                <w:sz w:val="19"/>
                <w:lang w:val="es-ES"/>
              </w:rPr>
              <w:t>Costos de proyectos (- = se restan y por tanto se suprimen)</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194EEC1" w14:textId="77777777" w:rsidR="00B76AEE" w:rsidRPr="00B76AEE" w:rsidRDefault="00B76AEE" w:rsidP="00B76AEE">
            <w:pPr>
              <w:jc w:val="right"/>
              <w:rPr>
                <w:sz w:val="19"/>
                <w:szCs w:val="19"/>
                <w:lang w:val="es-ES"/>
              </w:rPr>
            </w:pPr>
            <w:r w:rsidRPr="00B76AEE">
              <w:rPr>
                <w:sz w:val="19"/>
                <w:lang w:val="es-ES"/>
              </w:rPr>
              <w:t xml:space="preserve"> </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49982553" w14:textId="77777777" w:rsidR="00B76AEE" w:rsidRPr="00B76AEE" w:rsidRDefault="00B76AEE" w:rsidP="00B76AEE">
            <w:pPr>
              <w:jc w:val="right"/>
              <w:rPr>
                <w:sz w:val="19"/>
                <w:szCs w:val="19"/>
                <w:lang w:val="es-ES"/>
              </w:rPr>
            </w:pP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6CDCB85E" w14:textId="77777777" w:rsidR="00B76AEE" w:rsidRPr="00B76AEE" w:rsidRDefault="00B76AEE" w:rsidP="00B76AEE">
            <w:pPr>
              <w:jc w:val="right"/>
              <w:rPr>
                <w:sz w:val="19"/>
                <w:szCs w:val="19"/>
                <w:lang w:val="es-ES"/>
              </w:rPr>
            </w:pP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6A99E3EF" w14:textId="77777777" w:rsidR="00B76AEE" w:rsidRPr="00B76AEE" w:rsidRDefault="00B76AEE" w:rsidP="00B76AEE">
            <w:pPr>
              <w:jc w:val="right"/>
              <w:rPr>
                <w:sz w:val="19"/>
                <w:szCs w:val="19"/>
                <w:lang w:val="es-ES"/>
              </w:rPr>
            </w:pPr>
          </w:p>
        </w:tc>
        <w:tc>
          <w:tcPr>
            <w:tcW w:w="993" w:type="dxa"/>
            <w:tcBorders>
              <w:top w:val="nil"/>
              <w:left w:val="nil"/>
              <w:bottom w:val="single" w:sz="4" w:space="0" w:color="auto"/>
              <w:right w:val="single" w:sz="4" w:space="0" w:color="auto"/>
            </w:tcBorders>
            <w:shd w:val="clear" w:color="auto" w:fill="auto"/>
            <w:noWrap/>
            <w:tcMar>
              <w:left w:w="58" w:type="dxa"/>
              <w:right w:w="58" w:type="dxa"/>
            </w:tcMar>
          </w:tcPr>
          <w:p w14:paraId="2CCA3658" w14:textId="77777777" w:rsidR="00B76AEE" w:rsidRPr="00B76AEE" w:rsidRDefault="00B76AEE" w:rsidP="00B76AEE">
            <w:pPr>
              <w:jc w:val="right"/>
              <w:rPr>
                <w:sz w:val="19"/>
                <w:szCs w:val="19"/>
                <w:lang w:val="es-ES"/>
              </w:rPr>
            </w:pP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6493A4BC" w14:textId="77777777" w:rsidR="00B76AEE" w:rsidRPr="00B76AEE" w:rsidRDefault="00B76AEE" w:rsidP="00B76AEE">
            <w:pPr>
              <w:jc w:val="right"/>
              <w:rPr>
                <w:sz w:val="19"/>
                <w:szCs w:val="19"/>
                <w:lang w:val="es-ES"/>
              </w:rPr>
            </w:pPr>
          </w:p>
        </w:tc>
      </w:tr>
      <w:tr w:rsidR="00B76AEE" w:rsidRPr="00B76AEE" w14:paraId="5FCB6D42" w14:textId="77777777" w:rsidTr="00DF2EFB">
        <w:trPr>
          <w:trHeight w:val="128"/>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5D12BE2" w14:textId="77777777" w:rsidR="00B76AEE" w:rsidRPr="00B76AEE" w:rsidRDefault="00B76AEE" w:rsidP="00B76AEE">
            <w:pPr>
              <w:jc w:val="left"/>
              <w:rPr>
                <w:b/>
                <w:sz w:val="19"/>
                <w:szCs w:val="19"/>
                <w:lang w:val="es-ES"/>
              </w:rPr>
            </w:pPr>
            <w:r w:rsidRPr="00B76AEE">
              <w:rPr>
                <w:b/>
                <w:sz w:val="19"/>
                <w:lang w:val="es-ES"/>
              </w:rPr>
              <w:t>B. Subtotal de gastos de apoyo del organismo/ejecución</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248D6255" w14:textId="77777777" w:rsidR="00B76AEE" w:rsidRPr="00B76AEE" w:rsidRDefault="00B76AEE" w:rsidP="00B76AEE">
            <w:pPr>
              <w:jc w:val="right"/>
              <w:rPr>
                <w:b/>
                <w:sz w:val="19"/>
                <w:szCs w:val="19"/>
                <w:lang w:val="es-ES"/>
              </w:rPr>
            </w:pPr>
            <w:r w:rsidRPr="00B76AEE">
              <w:rPr>
                <w:b/>
                <w:sz w:val="19"/>
                <w:lang w:val="es-ES"/>
              </w:rPr>
              <w:t>2 114 429</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5F021990" w14:textId="77777777" w:rsidR="00B76AEE" w:rsidRPr="00B76AEE" w:rsidRDefault="00B76AEE" w:rsidP="00B76AEE">
            <w:pPr>
              <w:jc w:val="right"/>
              <w:rPr>
                <w:b/>
                <w:sz w:val="19"/>
                <w:szCs w:val="19"/>
                <w:lang w:val="es-ES"/>
              </w:rPr>
            </w:pPr>
            <w:r w:rsidRPr="00B76AEE">
              <w:rPr>
                <w:b/>
                <w:sz w:val="19"/>
                <w:lang w:val="es-ES"/>
              </w:rPr>
              <w:t>1 258 437</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6E9B9C7A" w14:textId="77777777" w:rsidR="00B76AEE" w:rsidRPr="00B76AEE" w:rsidRDefault="00B76AEE" w:rsidP="00B76AEE">
            <w:pPr>
              <w:jc w:val="right"/>
              <w:rPr>
                <w:b/>
                <w:sz w:val="19"/>
                <w:szCs w:val="19"/>
                <w:lang w:val="es-ES"/>
              </w:rPr>
            </w:pPr>
            <w:r w:rsidRPr="00B76AEE">
              <w:rPr>
                <w:b/>
                <w:sz w:val="19"/>
                <w:lang w:val="es-ES"/>
              </w:rPr>
              <w:t>1 172 183</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62CED520" w14:textId="77777777" w:rsidR="00B76AEE" w:rsidRPr="00B76AEE" w:rsidRDefault="00B76AEE" w:rsidP="00B76AEE">
            <w:pPr>
              <w:jc w:val="right"/>
              <w:rPr>
                <w:b/>
                <w:sz w:val="19"/>
                <w:szCs w:val="19"/>
                <w:lang w:val="es-ES"/>
              </w:rPr>
            </w:pPr>
            <w:r w:rsidRPr="00B76AEE">
              <w:rPr>
                <w:b/>
                <w:sz w:val="19"/>
                <w:lang w:val="es-ES"/>
              </w:rPr>
              <w:t>2 000 000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33D3208A" w14:textId="77777777" w:rsidR="00B76AEE" w:rsidRPr="00B76AEE" w:rsidRDefault="00B76AEE" w:rsidP="00B76AEE">
            <w:pPr>
              <w:jc w:val="right"/>
              <w:rPr>
                <w:b/>
                <w:sz w:val="19"/>
                <w:szCs w:val="19"/>
                <w:lang w:val="es-ES"/>
              </w:rPr>
            </w:pPr>
            <w:r w:rsidRPr="00B76AEE">
              <w:rPr>
                <w:b/>
                <w:sz w:val="19"/>
                <w:lang w:val="es-ES"/>
              </w:rPr>
              <w:t>800 000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459427E6" w14:textId="77777777" w:rsidR="00B76AEE" w:rsidRPr="00B76AEE" w:rsidRDefault="00B76AEE" w:rsidP="00B76AEE">
            <w:pPr>
              <w:jc w:val="right"/>
              <w:rPr>
                <w:b/>
                <w:sz w:val="19"/>
                <w:szCs w:val="19"/>
                <w:lang w:val="es-ES"/>
              </w:rPr>
            </w:pPr>
            <w:r w:rsidRPr="00B76AEE">
              <w:rPr>
                <w:b/>
                <w:sz w:val="19"/>
                <w:lang w:val="es-ES"/>
              </w:rPr>
              <w:t>2 000 000</w:t>
            </w:r>
          </w:p>
        </w:tc>
      </w:tr>
      <w:tr w:rsidR="00B76AEE" w:rsidRPr="00B76AEE" w14:paraId="1EC8E4C9" w14:textId="77777777" w:rsidTr="00DF2EFB">
        <w:trPr>
          <w:trHeight w:val="52"/>
        </w:trPr>
        <w:tc>
          <w:tcPr>
            <w:tcW w:w="34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A2B5A7D" w14:textId="77777777" w:rsidR="00B76AEE" w:rsidRPr="00B76AEE" w:rsidRDefault="00B76AEE" w:rsidP="00B76AEE">
            <w:pPr>
              <w:rPr>
                <w:b/>
                <w:sz w:val="19"/>
                <w:szCs w:val="19"/>
                <w:lang w:val="es-ES"/>
              </w:rPr>
            </w:pPr>
            <w:r w:rsidRPr="00B76AEE">
              <w:rPr>
                <w:b/>
                <w:sz w:val="19"/>
                <w:lang w:val="es-ES"/>
              </w:rPr>
              <w:t>Total general (A + B)</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0C3B3B44" w14:textId="77777777" w:rsidR="00B76AEE" w:rsidRPr="00B76AEE" w:rsidRDefault="00B76AEE" w:rsidP="00B76AEE">
            <w:pPr>
              <w:jc w:val="right"/>
              <w:rPr>
                <w:b/>
                <w:sz w:val="19"/>
                <w:szCs w:val="19"/>
                <w:lang w:val="es-ES"/>
              </w:rPr>
            </w:pPr>
            <w:r w:rsidRPr="00B76AEE">
              <w:rPr>
                <w:b/>
                <w:sz w:val="19"/>
                <w:lang w:val="es-ES"/>
              </w:rPr>
              <w:t>3 842 489</w:t>
            </w:r>
          </w:p>
        </w:tc>
        <w:tc>
          <w:tcPr>
            <w:tcW w:w="945" w:type="dxa"/>
            <w:tcBorders>
              <w:top w:val="nil"/>
              <w:left w:val="nil"/>
              <w:bottom w:val="single" w:sz="4" w:space="0" w:color="auto"/>
              <w:right w:val="single" w:sz="4" w:space="0" w:color="auto"/>
            </w:tcBorders>
            <w:shd w:val="clear" w:color="auto" w:fill="auto"/>
            <w:tcMar>
              <w:left w:w="58" w:type="dxa"/>
              <w:right w:w="58" w:type="dxa"/>
            </w:tcMar>
            <w:hideMark/>
          </w:tcPr>
          <w:p w14:paraId="575D489D" w14:textId="77777777" w:rsidR="00B76AEE" w:rsidRPr="00B76AEE" w:rsidRDefault="00B76AEE" w:rsidP="00B76AEE">
            <w:pPr>
              <w:jc w:val="right"/>
              <w:rPr>
                <w:b/>
                <w:sz w:val="19"/>
                <w:szCs w:val="19"/>
                <w:lang w:val="es-ES"/>
              </w:rPr>
            </w:pPr>
            <w:r w:rsidRPr="00B76AEE">
              <w:rPr>
                <w:b/>
                <w:sz w:val="19"/>
                <w:lang w:val="es-ES"/>
              </w:rPr>
              <w:t>2 949 544</w:t>
            </w:r>
          </w:p>
        </w:tc>
        <w:tc>
          <w:tcPr>
            <w:tcW w:w="945" w:type="dxa"/>
            <w:tcBorders>
              <w:top w:val="single" w:sz="4" w:space="0" w:color="auto"/>
              <w:left w:val="single" w:sz="4" w:space="0" w:color="auto"/>
              <w:bottom w:val="single" w:sz="4" w:space="0" w:color="auto"/>
              <w:right w:val="single" w:sz="4" w:space="0" w:color="auto"/>
            </w:tcBorders>
            <w:tcMar>
              <w:left w:w="58" w:type="dxa"/>
              <w:right w:w="58" w:type="dxa"/>
            </w:tcMar>
          </w:tcPr>
          <w:p w14:paraId="30B78F9E" w14:textId="77777777" w:rsidR="00B76AEE" w:rsidRPr="00B76AEE" w:rsidRDefault="00B76AEE" w:rsidP="00B76AEE">
            <w:pPr>
              <w:jc w:val="right"/>
              <w:rPr>
                <w:b/>
                <w:sz w:val="19"/>
                <w:szCs w:val="19"/>
                <w:lang w:val="es-ES"/>
              </w:rPr>
            </w:pPr>
            <w:r w:rsidRPr="00B76AEE">
              <w:rPr>
                <w:b/>
                <w:sz w:val="19"/>
                <w:lang w:val="es-ES"/>
              </w:rPr>
              <w:t>2 463 979</w:t>
            </w:r>
          </w:p>
        </w:tc>
        <w:tc>
          <w:tcPr>
            <w:tcW w:w="1134" w:type="dxa"/>
            <w:tcBorders>
              <w:top w:val="nil"/>
              <w:left w:val="single" w:sz="4" w:space="0" w:color="auto"/>
              <w:bottom w:val="single" w:sz="4" w:space="0" w:color="auto"/>
              <w:right w:val="single" w:sz="4" w:space="0" w:color="auto"/>
            </w:tcBorders>
            <w:shd w:val="clear" w:color="auto" w:fill="auto"/>
            <w:tcMar>
              <w:left w:w="58" w:type="dxa"/>
              <w:right w:w="58" w:type="dxa"/>
            </w:tcMar>
          </w:tcPr>
          <w:p w14:paraId="0D0D7F69" w14:textId="77777777" w:rsidR="00B76AEE" w:rsidRPr="00B76AEE" w:rsidRDefault="00B76AEE" w:rsidP="00B76AEE">
            <w:pPr>
              <w:jc w:val="right"/>
              <w:rPr>
                <w:b/>
                <w:sz w:val="19"/>
                <w:szCs w:val="19"/>
                <w:lang w:val="es-ES"/>
              </w:rPr>
            </w:pPr>
            <w:r w:rsidRPr="00B76AEE">
              <w:rPr>
                <w:b/>
                <w:sz w:val="19"/>
                <w:lang w:val="es-ES"/>
              </w:rPr>
              <w:t>3 735 000</w:t>
            </w:r>
          </w:p>
        </w:tc>
        <w:tc>
          <w:tcPr>
            <w:tcW w:w="993" w:type="dxa"/>
            <w:tcBorders>
              <w:top w:val="nil"/>
              <w:left w:val="nil"/>
              <w:bottom w:val="single" w:sz="4" w:space="0" w:color="auto"/>
              <w:right w:val="single" w:sz="4" w:space="0" w:color="auto"/>
            </w:tcBorders>
            <w:shd w:val="clear" w:color="auto" w:fill="auto"/>
            <w:tcMar>
              <w:left w:w="58" w:type="dxa"/>
              <w:right w:w="58" w:type="dxa"/>
            </w:tcMar>
          </w:tcPr>
          <w:p w14:paraId="59DD9EE8" w14:textId="77777777" w:rsidR="00B76AEE" w:rsidRPr="00B76AEE" w:rsidRDefault="00B76AEE" w:rsidP="00B76AEE">
            <w:pPr>
              <w:jc w:val="right"/>
              <w:rPr>
                <w:b/>
                <w:sz w:val="19"/>
                <w:szCs w:val="19"/>
                <w:lang w:val="es-ES"/>
              </w:rPr>
            </w:pPr>
            <w:r w:rsidRPr="00B76AEE">
              <w:rPr>
                <w:b/>
                <w:sz w:val="19"/>
                <w:lang w:val="es-ES"/>
              </w:rPr>
              <w:t>2 385 000</w:t>
            </w:r>
          </w:p>
        </w:tc>
        <w:tc>
          <w:tcPr>
            <w:tcW w:w="992" w:type="dxa"/>
            <w:tcBorders>
              <w:top w:val="nil"/>
              <w:left w:val="nil"/>
              <w:bottom w:val="single" w:sz="4" w:space="0" w:color="auto"/>
              <w:right w:val="single" w:sz="4" w:space="0" w:color="auto"/>
            </w:tcBorders>
            <w:shd w:val="clear" w:color="auto" w:fill="auto"/>
            <w:tcMar>
              <w:left w:w="58" w:type="dxa"/>
              <w:right w:w="58" w:type="dxa"/>
            </w:tcMar>
          </w:tcPr>
          <w:p w14:paraId="26261A3A" w14:textId="77777777" w:rsidR="00B76AEE" w:rsidRPr="00B76AEE" w:rsidRDefault="00B76AEE" w:rsidP="00B76AEE">
            <w:pPr>
              <w:jc w:val="right"/>
              <w:rPr>
                <w:b/>
                <w:sz w:val="19"/>
                <w:szCs w:val="19"/>
                <w:lang w:val="es-ES"/>
              </w:rPr>
            </w:pPr>
            <w:r w:rsidRPr="00B76AEE">
              <w:rPr>
                <w:b/>
                <w:sz w:val="19"/>
                <w:lang w:val="es-ES"/>
              </w:rPr>
              <w:t>3 735 000</w:t>
            </w:r>
          </w:p>
        </w:tc>
      </w:tr>
    </w:tbl>
    <w:p w14:paraId="1BFDB1F6" w14:textId="77777777" w:rsidR="00B76AEE" w:rsidRPr="00B76AEE" w:rsidRDefault="00B76AEE" w:rsidP="00B76AEE">
      <w:pPr>
        <w:keepNext/>
        <w:rPr>
          <w:lang w:val="es-ES"/>
        </w:rPr>
      </w:pPr>
    </w:p>
    <w:p w14:paraId="6EA0F405" w14:textId="77777777" w:rsidR="00B76AEE" w:rsidRPr="00B76AEE" w:rsidRDefault="00B76AEE" w:rsidP="00B76AEE">
      <w:pPr>
        <w:keepNext/>
        <w:spacing w:after="240"/>
        <w:rPr>
          <w:u w:val="single"/>
          <w:lang w:val="es-ES"/>
        </w:rPr>
      </w:pPr>
      <w:r w:rsidRPr="00B76AEE">
        <w:rPr>
          <w:u w:val="single"/>
          <w:lang w:val="es-ES"/>
        </w:rPr>
        <w:t>Costos de unidad central</w:t>
      </w:r>
    </w:p>
    <w:p w14:paraId="2FBE52DD"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La solicitud del Banco Mundial de 1 735 000 $EUA para el presupuesto de su unidad central de 2022 asciende a la misma cuantía que el presupuesto de unidad central de 2021 aprobado. A diferencia del PNUD y la ONUDI, el Banco Mundial no recibe una subvención por ingresos en concepto de gastos de apoyo del organismo o su fondo general. </w:t>
      </w:r>
    </w:p>
    <w:p w14:paraId="337DA341" w14:textId="77777777" w:rsidR="00B76AEE" w:rsidRPr="00B76AEE" w:rsidRDefault="00B76AEE" w:rsidP="00B76AEE">
      <w:pPr>
        <w:pStyle w:val="Heading1"/>
        <w:numPr>
          <w:ilvl w:val="0"/>
          <w:numId w:val="1"/>
        </w:numPr>
        <w:tabs>
          <w:tab w:val="clear" w:pos="0"/>
        </w:tabs>
        <w:rPr>
          <w:lang w:val="es-ES"/>
        </w:rPr>
      </w:pPr>
      <w:r w:rsidRPr="00B76AEE">
        <w:rPr>
          <w:lang w:val="es-ES"/>
        </w:rPr>
        <w:t>El presupuesto de unidad central para 2022 propuesto por el Banco Mundial consta de lo siguiente:</w:t>
      </w:r>
    </w:p>
    <w:p w14:paraId="75ECCC93" w14:textId="77777777" w:rsidR="00B76AEE" w:rsidRPr="00B76AEE" w:rsidRDefault="00B76AEE" w:rsidP="00B76AEE">
      <w:pPr>
        <w:pStyle w:val="Heading2"/>
        <w:widowControl/>
        <w:numPr>
          <w:ilvl w:val="1"/>
          <w:numId w:val="1"/>
        </w:numPr>
        <w:rPr>
          <w:lang w:val="es-ES"/>
        </w:rPr>
      </w:pPr>
      <w:r w:rsidRPr="00B76AEE">
        <w:rPr>
          <w:lang w:val="es-ES"/>
        </w:rPr>
        <w:t xml:space="preserve">Sueldos del personal (71,2% del presupuesto). Los gastos de personal de 2020 (1 055 231 $EUA) fueron un 6,4% más elevados que los costos estimados para 2020 (991 571 $EUA). En el momento de preparar el presupuesto de 2020, se habían previsto gastos de personal más elevados; a partir del año 2021 la dependencia del Protocolo de Montreal cuenta con una plantilla completa y los sueldos se mantendrán en los mismos niveles en 2022; </w:t>
      </w:r>
    </w:p>
    <w:p w14:paraId="18712D0C" w14:textId="77777777" w:rsidR="00B76AEE" w:rsidRPr="00B76AEE" w:rsidRDefault="00B76AEE" w:rsidP="00B76AEE">
      <w:pPr>
        <w:pStyle w:val="Heading2"/>
        <w:widowControl/>
        <w:numPr>
          <w:ilvl w:val="1"/>
          <w:numId w:val="1"/>
        </w:numPr>
        <w:rPr>
          <w:lang w:val="es-ES"/>
        </w:rPr>
      </w:pPr>
      <w:r w:rsidRPr="00B76AEE">
        <w:rPr>
          <w:lang w:val="es-ES"/>
        </w:rPr>
        <w:t>Reembolsos de servicios centrales (12,4% del presupuesto). Los costos estimados y reales de 2020 para esta partida se sitúan aproximadamente en los mismos niveles; se prevé que las estimaciones de 2021 para los servicios centrales aumenten debido a la asignación de costos para auditoría por valor de 40 000 $EUA;</w:t>
      </w:r>
    </w:p>
    <w:p w14:paraId="48D9F2C3" w14:textId="77777777" w:rsidR="00B76AEE" w:rsidRPr="00B76AEE" w:rsidRDefault="00B76AEE" w:rsidP="00B76AEE">
      <w:pPr>
        <w:pStyle w:val="Heading2"/>
        <w:widowControl/>
        <w:numPr>
          <w:ilvl w:val="1"/>
          <w:numId w:val="1"/>
        </w:numPr>
        <w:rPr>
          <w:lang w:val="es-ES"/>
        </w:rPr>
      </w:pPr>
      <w:r w:rsidRPr="00B76AEE">
        <w:rPr>
          <w:lang w:val="es-ES"/>
        </w:rPr>
        <w:t>Viajes (11,5% del presupuesto). Los costos de viajes propuestos para 2022 se basan en la reanudación de los niveles normales de actividad en 2022; el presupuesto para 2022 es igual al de 2021; y</w:t>
      </w:r>
    </w:p>
    <w:p w14:paraId="6C42EEAA" w14:textId="77777777" w:rsidR="00B76AEE" w:rsidRPr="00B76AEE" w:rsidRDefault="00B76AEE" w:rsidP="00B76AEE">
      <w:pPr>
        <w:pStyle w:val="Heading2"/>
        <w:widowControl/>
        <w:numPr>
          <w:ilvl w:val="1"/>
          <w:numId w:val="1"/>
        </w:numPr>
        <w:rPr>
          <w:lang w:val="es-ES"/>
        </w:rPr>
      </w:pPr>
      <w:r w:rsidRPr="00B76AEE">
        <w:rPr>
          <w:lang w:val="es-ES"/>
        </w:rPr>
        <w:t>Contratación de servicios (4,9% del presupuesto). Los costos de contratación de servicios (empresas) propuestos para 2022 son superiores a los costos reales de 2020, pero se sitúan en los mismos niveles que los costos estimados para 2021. Los costos reales de oficinas y equipos/suministros de 2020 fueron nulos dado que esos costos fueron absorbidos por el presupuesto del Banco Mundial (en lugar del presupuesto de unidad central).</w:t>
      </w:r>
    </w:p>
    <w:p w14:paraId="5ECAE911" w14:textId="77777777" w:rsidR="00B76AEE" w:rsidRPr="00B76AEE" w:rsidRDefault="00B76AEE" w:rsidP="00B76AEE">
      <w:pPr>
        <w:pStyle w:val="Heading1"/>
        <w:numPr>
          <w:ilvl w:val="0"/>
          <w:numId w:val="1"/>
        </w:numPr>
        <w:tabs>
          <w:tab w:val="clear" w:pos="0"/>
        </w:tabs>
        <w:rPr>
          <w:lang w:val="es-ES"/>
        </w:rPr>
      </w:pPr>
      <w:r w:rsidRPr="00B76AEE">
        <w:rPr>
          <w:lang w:val="es-ES"/>
        </w:rPr>
        <w:lastRenderedPageBreak/>
        <w:t xml:space="preserve">El Banco Mundial devolverá a la 88ª reunión 443 204 $EUA en concepto de ahorros de costos de unidad central de 2020. El Comité Ejecutivo tal vez desee tomar nota, con aprecio, de que el Banco Mundial devolverá saldos no utilizados. </w:t>
      </w:r>
    </w:p>
    <w:p w14:paraId="295C0E03" w14:textId="77777777" w:rsidR="00B76AEE" w:rsidRPr="00B76AEE" w:rsidRDefault="00B76AEE" w:rsidP="00B76AEE">
      <w:pPr>
        <w:keepNext/>
        <w:spacing w:after="240"/>
        <w:rPr>
          <w:u w:val="single"/>
          <w:lang w:val="es-ES"/>
        </w:rPr>
      </w:pPr>
      <w:proofErr w:type="gramStart"/>
      <w:r w:rsidRPr="00B76AEE">
        <w:rPr>
          <w:u w:val="single"/>
          <w:lang w:val="es-ES"/>
        </w:rPr>
        <w:t>Total</w:t>
      </w:r>
      <w:proofErr w:type="gramEnd"/>
      <w:r w:rsidRPr="00B76AEE">
        <w:rPr>
          <w:u w:val="single"/>
          <w:lang w:val="es-ES"/>
        </w:rPr>
        <w:t xml:space="preserve"> de costos administrativos</w:t>
      </w:r>
    </w:p>
    <w:p w14:paraId="4B9264F4"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El presupuesto para el reembolso de las oficinas nacionales propuesto para 2022 (2 000 000 $EUA) es superior a los costos estimados para 2021, de 800 000 $EUA, pero se sitúa en el mismo nivel presupuestado para 2021 para proporcionar apoyo a la gestión y supervisión de las actividades del Protocolo de Montreal. Se estima que los costos administrativos totales ascenderán a 3 735 000 $EUA en 2022, cifra superior a los costos estimados para 2021, de 2 385 000 $EUA. </w:t>
      </w:r>
    </w:p>
    <w:p w14:paraId="4A37B2A4"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Los recursos disponibles previstos para costos administrativos del Banco Mundial incluyen los costos de unidad central y los gastos de apoyo del organismo más los saldos de ingresos de costos administrativos no utilizados anteriormente. Los gastos de apoyo del organismo se ponen a disposición del Banco Mundial solo después de que se han desembolsado los costos de los proyectos aprobados. En el Cuadro 6 se presenta la evaluación para 2018 y 2021. </w:t>
      </w:r>
    </w:p>
    <w:p w14:paraId="55CD1ACA" w14:textId="77777777" w:rsidR="00B76AEE" w:rsidRPr="00B76AEE" w:rsidRDefault="00B76AEE" w:rsidP="00B76AEE">
      <w:pPr>
        <w:pStyle w:val="Heading1"/>
        <w:spacing w:after="0"/>
        <w:rPr>
          <w:b/>
          <w:sz w:val="21"/>
          <w:szCs w:val="21"/>
          <w:lang w:val="es-ES"/>
        </w:rPr>
      </w:pPr>
      <w:r w:rsidRPr="00B76AEE">
        <w:rPr>
          <w:b/>
          <w:sz w:val="21"/>
          <w:lang w:val="es-ES"/>
        </w:rPr>
        <w:t>Cuadro 6. Cálculo de disponibilidad de ingresos para futuros costos administrativos para el Banco Mundial ($EUA)</w:t>
      </w:r>
    </w:p>
    <w:tbl>
      <w:tblPr>
        <w:tblpPr w:leftFromText="180" w:rightFromText="180" w:vertAnchor="text" w:tblpY="1"/>
        <w:tblOverlap w:val="never"/>
        <w:tblW w:w="9367" w:type="dxa"/>
        <w:tblLayout w:type="fixed"/>
        <w:tblLook w:val="04A0" w:firstRow="1" w:lastRow="0" w:firstColumn="1" w:lastColumn="0" w:noHBand="0" w:noVBand="1"/>
      </w:tblPr>
      <w:tblGrid>
        <w:gridCol w:w="4315"/>
        <w:gridCol w:w="1263"/>
        <w:gridCol w:w="1263"/>
        <w:gridCol w:w="1263"/>
        <w:gridCol w:w="1263"/>
      </w:tblGrid>
      <w:tr w:rsidR="00B76AEE" w:rsidRPr="00B76AEE" w14:paraId="411E08A5" w14:textId="77777777" w:rsidTr="001224CB">
        <w:trPr>
          <w:trHeight w:val="242"/>
        </w:trPr>
        <w:tc>
          <w:tcPr>
            <w:tcW w:w="4315" w:type="dxa"/>
            <w:tcBorders>
              <w:top w:val="single" w:sz="4" w:space="0" w:color="auto"/>
              <w:left w:val="single" w:sz="4" w:space="0" w:color="auto"/>
              <w:bottom w:val="single" w:sz="4" w:space="0" w:color="auto"/>
              <w:right w:val="single" w:sz="4" w:space="0" w:color="auto"/>
            </w:tcBorders>
            <w:vAlign w:val="center"/>
          </w:tcPr>
          <w:p w14:paraId="38898FB9" w14:textId="77777777" w:rsidR="00B76AEE" w:rsidRPr="00B76AEE" w:rsidRDefault="00B76AEE" w:rsidP="00B76AEE">
            <w:pPr>
              <w:jc w:val="left"/>
              <w:rPr>
                <w:sz w:val="20"/>
                <w:szCs w:val="20"/>
                <w:lang w:val="es-ES"/>
              </w:rPr>
            </w:pPr>
            <w:r w:rsidRPr="00B76AEE">
              <w:rPr>
                <w:b/>
                <w:sz w:val="20"/>
                <w:lang w:val="es-ES"/>
              </w:rPr>
              <w:t>Descripción</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105B8BF8" w14:textId="77777777" w:rsidR="00B76AEE" w:rsidRPr="00B76AEE" w:rsidRDefault="00B76AEE" w:rsidP="00B76AEE">
            <w:pPr>
              <w:jc w:val="center"/>
              <w:rPr>
                <w:b/>
                <w:bCs/>
                <w:sz w:val="20"/>
                <w:szCs w:val="20"/>
                <w:lang w:val="es-ES"/>
              </w:rPr>
            </w:pPr>
            <w:r w:rsidRPr="00B76AEE">
              <w:rPr>
                <w:b/>
                <w:sz w:val="20"/>
                <w:lang w:val="es-ES"/>
              </w:rPr>
              <w:t>2018</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31561D1" w14:textId="77777777" w:rsidR="00B76AEE" w:rsidRPr="00B76AEE" w:rsidRDefault="00B76AEE" w:rsidP="00B76AEE">
            <w:pPr>
              <w:jc w:val="center"/>
              <w:rPr>
                <w:b/>
                <w:bCs/>
                <w:sz w:val="20"/>
                <w:szCs w:val="20"/>
                <w:lang w:val="es-ES"/>
              </w:rPr>
            </w:pPr>
            <w:r w:rsidRPr="00B76AEE">
              <w:rPr>
                <w:b/>
                <w:sz w:val="20"/>
                <w:lang w:val="es-ES"/>
              </w:rPr>
              <w:t>2019</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065655A9" w14:textId="77777777" w:rsidR="00B76AEE" w:rsidRPr="00B76AEE" w:rsidRDefault="00B76AEE" w:rsidP="00B76AEE">
            <w:pPr>
              <w:jc w:val="center"/>
              <w:rPr>
                <w:b/>
                <w:bCs/>
                <w:sz w:val="20"/>
                <w:szCs w:val="20"/>
                <w:lang w:val="es-ES"/>
              </w:rPr>
            </w:pPr>
            <w:r w:rsidRPr="00B76AEE">
              <w:rPr>
                <w:b/>
                <w:sz w:val="20"/>
                <w:lang w:val="es-ES"/>
              </w:rPr>
              <w:t>2020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920F9DB" w14:textId="77777777" w:rsidR="00B76AEE" w:rsidRPr="00B76AEE" w:rsidRDefault="00B76AEE" w:rsidP="00B76AEE">
            <w:pPr>
              <w:jc w:val="center"/>
              <w:rPr>
                <w:b/>
                <w:bCs/>
                <w:sz w:val="20"/>
                <w:szCs w:val="20"/>
                <w:lang w:val="es-ES"/>
              </w:rPr>
            </w:pPr>
            <w:r w:rsidRPr="00B76AEE">
              <w:rPr>
                <w:b/>
                <w:sz w:val="20"/>
                <w:lang w:val="es-ES"/>
              </w:rPr>
              <w:t>2021*</w:t>
            </w:r>
          </w:p>
        </w:tc>
      </w:tr>
      <w:tr w:rsidR="00B76AEE" w:rsidRPr="00B76AEE" w14:paraId="3663213F" w14:textId="77777777" w:rsidTr="001224CB">
        <w:trPr>
          <w:trHeight w:val="242"/>
        </w:trPr>
        <w:tc>
          <w:tcPr>
            <w:tcW w:w="4315" w:type="dxa"/>
            <w:tcBorders>
              <w:top w:val="nil"/>
              <w:left w:val="single" w:sz="4" w:space="0" w:color="auto"/>
              <w:bottom w:val="single" w:sz="4" w:space="0" w:color="auto"/>
              <w:right w:val="single" w:sz="4" w:space="0" w:color="auto"/>
            </w:tcBorders>
            <w:vAlign w:val="center"/>
          </w:tcPr>
          <w:p w14:paraId="383E83B9" w14:textId="77777777" w:rsidR="00B76AEE" w:rsidRPr="00B76AEE" w:rsidRDefault="00B76AEE" w:rsidP="00B76AEE">
            <w:pPr>
              <w:jc w:val="left"/>
              <w:rPr>
                <w:sz w:val="20"/>
                <w:szCs w:val="20"/>
                <w:lang w:val="es-ES"/>
              </w:rPr>
            </w:pPr>
            <w:r w:rsidRPr="00B76AEE">
              <w:rPr>
                <w:sz w:val="20"/>
                <w:lang w:val="es-ES"/>
              </w:rPr>
              <w:t>Gastos de apoyo del organismo netos más costos de unidad central</w:t>
            </w:r>
          </w:p>
        </w:tc>
        <w:tc>
          <w:tcPr>
            <w:tcW w:w="1263" w:type="dxa"/>
            <w:tcBorders>
              <w:top w:val="nil"/>
              <w:left w:val="nil"/>
              <w:bottom w:val="single" w:sz="4" w:space="0" w:color="auto"/>
              <w:right w:val="single" w:sz="4" w:space="0" w:color="auto"/>
            </w:tcBorders>
            <w:shd w:val="clear" w:color="auto" w:fill="auto"/>
            <w:noWrap/>
            <w:hideMark/>
          </w:tcPr>
          <w:p w14:paraId="51502B9E" w14:textId="77777777" w:rsidR="00B76AEE" w:rsidRPr="00B76AEE" w:rsidRDefault="00B76AEE" w:rsidP="00B76AEE">
            <w:pPr>
              <w:jc w:val="right"/>
              <w:rPr>
                <w:sz w:val="20"/>
                <w:szCs w:val="20"/>
                <w:lang w:val="es-ES"/>
              </w:rPr>
            </w:pPr>
            <w:r w:rsidRPr="00B76AEE">
              <w:rPr>
                <w:sz w:val="20"/>
                <w:lang w:val="es-ES"/>
              </w:rPr>
              <w:t>3 251 742</w:t>
            </w:r>
          </w:p>
        </w:tc>
        <w:tc>
          <w:tcPr>
            <w:tcW w:w="1263" w:type="dxa"/>
            <w:tcBorders>
              <w:top w:val="nil"/>
              <w:left w:val="nil"/>
              <w:bottom w:val="single" w:sz="4" w:space="0" w:color="auto"/>
              <w:right w:val="single" w:sz="4" w:space="0" w:color="auto"/>
            </w:tcBorders>
            <w:shd w:val="clear" w:color="auto" w:fill="auto"/>
            <w:noWrap/>
            <w:hideMark/>
          </w:tcPr>
          <w:p w14:paraId="0BA63D52" w14:textId="77777777" w:rsidR="00B76AEE" w:rsidRPr="00B76AEE" w:rsidRDefault="00B76AEE" w:rsidP="00B76AEE">
            <w:pPr>
              <w:jc w:val="right"/>
              <w:rPr>
                <w:sz w:val="20"/>
                <w:szCs w:val="20"/>
                <w:lang w:val="es-ES"/>
              </w:rPr>
            </w:pPr>
            <w:r w:rsidRPr="00B76AEE">
              <w:rPr>
                <w:sz w:val="20"/>
                <w:lang w:val="es-ES"/>
              </w:rPr>
              <w:t>1 915 543</w:t>
            </w:r>
          </w:p>
        </w:tc>
        <w:tc>
          <w:tcPr>
            <w:tcW w:w="1263" w:type="dxa"/>
            <w:tcBorders>
              <w:top w:val="nil"/>
              <w:left w:val="nil"/>
              <w:bottom w:val="single" w:sz="4" w:space="0" w:color="auto"/>
              <w:right w:val="single" w:sz="4" w:space="0" w:color="auto"/>
            </w:tcBorders>
            <w:shd w:val="clear" w:color="auto" w:fill="auto"/>
            <w:noWrap/>
            <w:hideMark/>
          </w:tcPr>
          <w:p w14:paraId="038B1C01" w14:textId="77777777" w:rsidR="00B76AEE" w:rsidRPr="00B76AEE" w:rsidRDefault="00B76AEE" w:rsidP="00B76AEE">
            <w:pPr>
              <w:jc w:val="right"/>
              <w:rPr>
                <w:sz w:val="20"/>
                <w:szCs w:val="20"/>
                <w:lang w:val="es-ES"/>
              </w:rPr>
            </w:pPr>
            <w:r w:rsidRPr="00B76AEE">
              <w:rPr>
                <w:sz w:val="20"/>
                <w:lang w:val="es-ES"/>
              </w:rPr>
              <w:t>1 879 691</w:t>
            </w:r>
          </w:p>
        </w:tc>
        <w:tc>
          <w:tcPr>
            <w:tcW w:w="1263" w:type="dxa"/>
            <w:tcBorders>
              <w:top w:val="nil"/>
              <w:left w:val="nil"/>
              <w:bottom w:val="single" w:sz="4" w:space="0" w:color="auto"/>
              <w:right w:val="single" w:sz="4" w:space="0" w:color="auto"/>
            </w:tcBorders>
            <w:shd w:val="clear" w:color="auto" w:fill="auto"/>
            <w:noWrap/>
            <w:hideMark/>
          </w:tcPr>
          <w:p w14:paraId="0ABE0219" w14:textId="77777777" w:rsidR="00B76AEE" w:rsidRPr="00B76AEE" w:rsidRDefault="00B76AEE" w:rsidP="00B76AEE">
            <w:pPr>
              <w:jc w:val="right"/>
              <w:rPr>
                <w:sz w:val="20"/>
                <w:szCs w:val="20"/>
                <w:lang w:val="es-ES"/>
              </w:rPr>
            </w:pPr>
            <w:r w:rsidRPr="00B76AEE">
              <w:rPr>
                <w:sz w:val="20"/>
                <w:lang w:val="es-ES"/>
              </w:rPr>
              <w:t>2 412 800</w:t>
            </w:r>
          </w:p>
        </w:tc>
      </w:tr>
      <w:tr w:rsidR="00B76AEE" w:rsidRPr="00B76AEE" w14:paraId="10C43AE4" w14:textId="77777777" w:rsidTr="001224CB">
        <w:trPr>
          <w:trHeight w:val="242"/>
        </w:trPr>
        <w:tc>
          <w:tcPr>
            <w:tcW w:w="4315" w:type="dxa"/>
            <w:tcBorders>
              <w:top w:val="nil"/>
              <w:left w:val="single" w:sz="4" w:space="0" w:color="auto"/>
              <w:bottom w:val="single" w:sz="4" w:space="0" w:color="auto"/>
              <w:right w:val="single" w:sz="4" w:space="0" w:color="auto"/>
            </w:tcBorders>
            <w:vAlign w:val="center"/>
          </w:tcPr>
          <w:p w14:paraId="13FF2F27" w14:textId="77777777" w:rsidR="00B76AEE" w:rsidRPr="00B76AEE" w:rsidRDefault="00B76AEE" w:rsidP="00B76AEE">
            <w:pPr>
              <w:jc w:val="left"/>
              <w:rPr>
                <w:sz w:val="20"/>
                <w:szCs w:val="20"/>
                <w:lang w:val="es-ES"/>
              </w:rPr>
            </w:pPr>
            <w:r w:rsidRPr="00B76AEE">
              <w:rPr>
                <w:sz w:val="20"/>
                <w:lang w:val="es-ES"/>
              </w:rPr>
              <w:t>Total de costos administrativos excluidos los costos de los proyectos</w:t>
            </w:r>
          </w:p>
        </w:tc>
        <w:tc>
          <w:tcPr>
            <w:tcW w:w="1263" w:type="dxa"/>
            <w:tcBorders>
              <w:top w:val="nil"/>
              <w:left w:val="nil"/>
              <w:bottom w:val="single" w:sz="4" w:space="0" w:color="auto"/>
              <w:right w:val="single" w:sz="4" w:space="0" w:color="auto"/>
            </w:tcBorders>
            <w:shd w:val="clear" w:color="auto" w:fill="auto"/>
            <w:noWrap/>
            <w:hideMark/>
          </w:tcPr>
          <w:p w14:paraId="3FC0A6A9" w14:textId="77777777" w:rsidR="00B76AEE" w:rsidRPr="00B76AEE" w:rsidRDefault="00B76AEE" w:rsidP="00B76AEE">
            <w:pPr>
              <w:jc w:val="right"/>
              <w:rPr>
                <w:sz w:val="20"/>
                <w:szCs w:val="20"/>
                <w:lang w:val="es-ES"/>
              </w:rPr>
            </w:pPr>
            <w:r w:rsidRPr="00B76AEE">
              <w:rPr>
                <w:sz w:val="20"/>
                <w:lang w:val="es-ES"/>
              </w:rPr>
              <w:t>3 842 489</w:t>
            </w:r>
          </w:p>
        </w:tc>
        <w:tc>
          <w:tcPr>
            <w:tcW w:w="1263" w:type="dxa"/>
            <w:tcBorders>
              <w:top w:val="nil"/>
              <w:left w:val="nil"/>
              <w:bottom w:val="single" w:sz="4" w:space="0" w:color="auto"/>
              <w:right w:val="single" w:sz="4" w:space="0" w:color="auto"/>
            </w:tcBorders>
            <w:shd w:val="clear" w:color="auto" w:fill="auto"/>
            <w:noWrap/>
            <w:hideMark/>
          </w:tcPr>
          <w:p w14:paraId="5CC683C6" w14:textId="77777777" w:rsidR="00B76AEE" w:rsidRPr="00B76AEE" w:rsidRDefault="00B76AEE" w:rsidP="00B76AEE">
            <w:pPr>
              <w:jc w:val="right"/>
              <w:rPr>
                <w:sz w:val="20"/>
                <w:szCs w:val="20"/>
                <w:lang w:val="es-ES"/>
              </w:rPr>
            </w:pPr>
            <w:r w:rsidRPr="00B76AEE">
              <w:rPr>
                <w:sz w:val="20"/>
                <w:lang w:val="es-ES"/>
              </w:rPr>
              <w:t>2 949 544</w:t>
            </w:r>
          </w:p>
        </w:tc>
        <w:tc>
          <w:tcPr>
            <w:tcW w:w="1263" w:type="dxa"/>
            <w:tcBorders>
              <w:top w:val="nil"/>
              <w:left w:val="nil"/>
              <w:bottom w:val="single" w:sz="4" w:space="0" w:color="auto"/>
              <w:right w:val="single" w:sz="4" w:space="0" w:color="auto"/>
            </w:tcBorders>
            <w:shd w:val="clear" w:color="auto" w:fill="auto"/>
            <w:noWrap/>
            <w:hideMark/>
          </w:tcPr>
          <w:p w14:paraId="46BA2FBA" w14:textId="77777777" w:rsidR="00B76AEE" w:rsidRPr="00B76AEE" w:rsidRDefault="00B76AEE" w:rsidP="00B76AEE">
            <w:pPr>
              <w:jc w:val="right"/>
              <w:rPr>
                <w:sz w:val="20"/>
                <w:szCs w:val="20"/>
                <w:lang w:val="es-ES"/>
              </w:rPr>
            </w:pPr>
            <w:r w:rsidRPr="00B76AEE">
              <w:rPr>
                <w:sz w:val="20"/>
                <w:lang w:val="es-ES"/>
              </w:rPr>
              <w:t>2 463 979</w:t>
            </w:r>
          </w:p>
        </w:tc>
        <w:tc>
          <w:tcPr>
            <w:tcW w:w="1263" w:type="dxa"/>
            <w:tcBorders>
              <w:top w:val="nil"/>
              <w:left w:val="nil"/>
              <w:bottom w:val="single" w:sz="4" w:space="0" w:color="auto"/>
              <w:right w:val="single" w:sz="4" w:space="0" w:color="auto"/>
            </w:tcBorders>
            <w:shd w:val="clear" w:color="auto" w:fill="auto"/>
            <w:noWrap/>
            <w:hideMark/>
          </w:tcPr>
          <w:p w14:paraId="6FC5C284" w14:textId="77777777" w:rsidR="00B76AEE" w:rsidRPr="00B76AEE" w:rsidRDefault="00B76AEE" w:rsidP="00B76AEE">
            <w:pPr>
              <w:jc w:val="right"/>
              <w:rPr>
                <w:sz w:val="20"/>
                <w:szCs w:val="20"/>
                <w:lang w:val="es-ES"/>
              </w:rPr>
            </w:pPr>
            <w:r w:rsidRPr="00B76AEE">
              <w:rPr>
                <w:sz w:val="20"/>
                <w:lang w:val="es-ES"/>
              </w:rPr>
              <w:t>2 385 000</w:t>
            </w:r>
          </w:p>
        </w:tc>
      </w:tr>
      <w:tr w:rsidR="00B76AEE" w:rsidRPr="00B76AEE" w14:paraId="7175C072" w14:textId="77777777" w:rsidTr="001224CB">
        <w:trPr>
          <w:trHeight w:val="242"/>
        </w:trPr>
        <w:tc>
          <w:tcPr>
            <w:tcW w:w="4315" w:type="dxa"/>
            <w:tcBorders>
              <w:top w:val="nil"/>
              <w:left w:val="single" w:sz="4" w:space="0" w:color="auto"/>
              <w:bottom w:val="single" w:sz="4" w:space="0" w:color="auto"/>
              <w:right w:val="single" w:sz="4" w:space="0" w:color="auto"/>
            </w:tcBorders>
            <w:vAlign w:val="center"/>
          </w:tcPr>
          <w:p w14:paraId="5313F6E6" w14:textId="77777777" w:rsidR="00B76AEE" w:rsidRPr="00B76AEE" w:rsidRDefault="00B76AEE" w:rsidP="00B76AEE">
            <w:pPr>
              <w:jc w:val="left"/>
              <w:rPr>
                <w:sz w:val="20"/>
                <w:szCs w:val="20"/>
                <w:lang w:val="es-ES"/>
              </w:rPr>
            </w:pPr>
            <w:r w:rsidRPr="00B76AEE">
              <w:rPr>
                <w:sz w:val="20"/>
                <w:lang w:val="es-ES"/>
              </w:rPr>
              <w:t>Saldo del ejercicio</w:t>
            </w:r>
          </w:p>
        </w:tc>
        <w:tc>
          <w:tcPr>
            <w:tcW w:w="1263" w:type="dxa"/>
            <w:tcBorders>
              <w:top w:val="nil"/>
              <w:left w:val="nil"/>
              <w:bottom w:val="single" w:sz="4" w:space="0" w:color="auto"/>
              <w:right w:val="single" w:sz="4" w:space="0" w:color="auto"/>
            </w:tcBorders>
            <w:shd w:val="clear" w:color="auto" w:fill="auto"/>
            <w:noWrap/>
            <w:hideMark/>
          </w:tcPr>
          <w:p w14:paraId="3FF3A6A1" w14:textId="77777777" w:rsidR="00B76AEE" w:rsidRPr="00B76AEE" w:rsidRDefault="00B76AEE" w:rsidP="00B76AEE">
            <w:pPr>
              <w:jc w:val="right"/>
              <w:rPr>
                <w:sz w:val="20"/>
                <w:szCs w:val="20"/>
                <w:lang w:val="es-ES"/>
              </w:rPr>
            </w:pPr>
            <w:r w:rsidRPr="00B76AEE">
              <w:rPr>
                <w:sz w:val="20"/>
                <w:lang w:val="es-ES"/>
              </w:rPr>
              <w:t>(590 747)</w:t>
            </w:r>
          </w:p>
        </w:tc>
        <w:tc>
          <w:tcPr>
            <w:tcW w:w="1263" w:type="dxa"/>
            <w:tcBorders>
              <w:top w:val="nil"/>
              <w:left w:val="nil"/>
              <w:bottom w:val="single" w:sz="4" w:space="0" w:color="auto"/>
              <w:right w:val="single" w:sz="4" w:space="0" w:color="auto"/>
            </w:tcBorders>
            <w:shd w:val="clear" w:color="auto" w:fill="auto"/>
            <w:noWrap/>
            <w:hideMark/>
          </w:tcPr>
          <w:p w14:paraId="014C3680" w14:textId="77777777" w:rsidR="00B76AEE" w:rsidRPr="00B76AEE" w:rsidRDefault="00B76AEE" w:rsidP="00B76AEE">
            <w:pPr>
              <w:jc w:val="right"/>
              <w:rPr>
                <w:sz w:val="20"/>
                <w:szCs w:val="20"/>
                <w:lang w:val="es-ES"/>
              </w:rPr>
            </w:pPr>
            <w:r w:rsidRPr="00B76AEE">
              <w:rPr>
                <w:sz w:val="20"/>
                <w:lang w:val="es-ES"/>
              </w:rPr>
              <w:t>(1 034 001)</w:t>
            </w:r>
          </w:p>
        </w:tc>
        <w:tc>
          <w:tcPr>
            <w:tcW w:w="1263" w:type="dxa"/>
            <w:tcBorders>
              <w:top w:val="nil"/>
              <w:left w:val="nil"/>
              <w:bottom w:val="single" w:sz="4" w:space="0" w:color="auto"/>
              <w:right w:val="single" w:sz="4" w:space="0" w:color="auto"/>
            </w:tcBorders>
            <w:shd w:val="clear" w:color="auto" w:fill="auto"/>
            <w:noWrap/>
            <w:hideMark/>
          </w:tcPr>
          <w:p w14:paraId="63D36EF7" w14:textId="77777777" w:rsidR="00B76AEE" w:rsidRPr="00B76AEE" w:rsidRDefault="00B76AEE" w:rsidP="00B76AEE">
            <w:pPr>
              <w:jc w:val="right"/>
              <w:rPr>
                <w:sz w:val="20"/>
                <w:szCs w:val="20"/>
                <w:lang w:val="es-ES"/>
              </w:rPr>
            </w:pPr>
            <w:r w:rsidRPr="00B76AEE">
              <w:rPr>
                <w:sz w:val="20"/>
                <w:lang w:val="es-ES"/>
              </w:rPr>
              <w:t>(584 288)</w:t>
            </w:r>
          </w:p>
        </w:tc>
        <w:tc>
          <w:tcPr>
            <w:tcW w:w="1263" w:type="dxa"/>
            <w:tcBorders>
              <w:top w:val="nil"/>
              <w:left w:val="nil"/>
              <w:bottom w:val="single" w:sz="4" w:space="0" w:color="auto"/>
              <w:right w:val="single" w:sz="4" w:space="0" w:color="auto"/>
            </w:tcBorders>
            <w:shd w:val="clear" w:color="auto" w:fill="auto"/>
            <w:noWrap/>
            <w:hideMark/>
          </w:tcPr>
          <w:p w14:paraId="4154E8DA" w14:textId="77777777" w:rsidR="00B76AEE" w:rsidRPr="00B76AEE" w:rsidRDefault="00B76AEE" w:rsidP="00B76AEE">
            <w:pPr>
              <w:jc w:val="right"/>
              <w:rPr>
                <w:sz w:val="20"/>
                <w:szCs w:val="20"/>
                <w:lang w:val="es-ES"/>
              </w:rPr>
            </w:pPr>
            <w:r w:rsidRPr="00B76AEE">
              <w:rPr>
                <w:sz w:val="20"/>
                <w:lang w:val="es-ES"/>
              </w:rPr>
              <w:t>27 800</w:t>
            </w:r>
          </w:p>
        </w:tc>
      </w:tr>
      <w:tr w:rsidR="00B76AEE" w:rsidRPr="00B76AEE" w14:paraId="703BF2E9" w14:textId="77777777" w:rsidTr="001224CB">
        <w:trPr>
          <w:trHeight w:val="242"/>
        </w:trPr>
        <w:tc>
          <w:tcPr>
            <w:tcW w:w="4315" w:type="dxa"/>
            <w:tcBorders>
              <w:top w:val="nil"/>
              <w:left w:val="single" w:sz="4" w:space="0" w:color="auto"/>
              <w:bottom w:val="single" w:sz="4" w:space="0" w:color="auto"/>
              <w:right w:val="single" w:sz="4" w:space="0" w:color="auto"/>
            </w:tcBorders>
            <w:vAlign w:val="center"/>
          </w:tcPr>
          <w:p w14:paraId="4D64B9AB" w14:textId="77777777" w:rsidR="00B76AEE" w:rsidRPr="00B76AEE" w:rsidRDefault="00B76AEE" w:rsidP="00B76AEE">
            <w:pPr>
              <w:jc w:val="left"/>
              <w:rPr>
                <w:sz w:val="20"/>
                <w:szCs w:val="20"/>
                <w:lang w:val="es-ES"/>
              </w:rPr>
            </w:pPr>
            <w:r w:rsidRPr="00B76AEE">
              <w:rPr>
                <w:sz w:val="20"/>
                <w:lang w:val="es-ES"/>
              </w:rPr>
              <w:t>Saldo corriente</w:t>
            </w:r>
          </w:p>
        </w:tc>
        <w:tc>
          <w:tcPr>
            <w:tcW w:w="1263" w:type="dxa"/>
            <w:tcBorders>
              <w:top w:val="nil"/>
              <w:left w:val="nil"/>
              <w:bottom w:val="single" w:sz="4" w:space="0" w:color="auto"/>
              <w:right w:val="single" w:sz="4" w:space="0" w:color="auto"/>
            </w:tcBorders>
            <w:shd w:val="clear" w:color="auto" w:fill="auto"/>
            <w:noWrap/>
            <w:hideMark/>
          </w:tcPr>
          <w:p w14:paraId="2C33B076" w14:textId="77777777" w:rsidR="00B76AEE" w:rsidRPr="00B76AEE" w:rsidRDefault="00B76AEE" w:rsidP="00B76AEE">
            <w:pPr>
              <w:jc w:val="right"/>
              <w:rPr>
                <w:sz w:val="20"/>
                <w:szCs w:val="20"/>
                <w:lang w:val="es-ES"/>
              </w:rPr>
            </w:pPr>
            <w:r w:rsidRPr="00B76AEE">
              <w:rPr>
                <w:sz w:val="20"/>
                <w:lang w:val="es-ES"/>
              </w:rPr>
              <w:t>3 365 723</w:t>
            </w:r>
          </w:p>
        </w:tc>
        <w:tc>
          <w:tcPr>
            <w:tcW w:w="1263" w:type="dxa"/>
            <w:tcBorders>
              <w:top w:val="nil"/>
              <w:left w:val="nil"/>
              <w:bottom w:val="single" w:sz="4" w:space="0" w:color="auto"/>
              <w:right w:val="single" w:sz="4" w:space="0" w:color="auto"/>
            </w:tcBorders>
            <w:shd w:val="clear" w:color="auto" w:fill="auto"/>
            <w:noWrap/>
            <w:hideMark/>
          </w:tcPr>
          <w:p w14:paraId="56056274" w14:textId="77777777" w:rsidR="00B76AEE" w:rsidRPr="00B76AEE" w:rsidRDefault="00B76AEE" w:rsidP="00B76AEE">
            <w:pPr>
              <w:jc w:val="right"/>
              <w:rPr>
                <w:sz w:val="20"/>
                <w:szCs w:val="20"/>
                <w:lang w:val="es-ES"/>
              </w:rPr>
            </w:pPr>
            <w:r w:rsidRPr="00B76AEE">
              <w:rPr>
                <w:sz w:val="20"/>
                <w:lang w:val="es-ES"/>
              </w:rPr>
              <w:t>2 331 723</w:t>
            </w:r>
          </w:p>
        </w:tc>
        <w:tc>
          <w:tcPr>
            <w:tcW w:w="1263" w:type="dxa"/>
            <w:tcBorders>
              <w:top w:val="nil"/>
              <w:left w:val="nil"/>
              <w:bottom w:val="single" w:sz="4" w:space="0" w:color="auto"/>
              <w:right w:val="single" w:sz="4" w:space="0" w:color="auto"/>
            </w:tcBorders>
            <w:shd w:val="clear" w:color="auto" w:fill="auto"/>
            <w:noWrap/>
            <w:hideMark/>
          </w:tcPr>
          <w:p w14:paraId="279ECFD6" w14:textId="77777777" w:rsidR="00B76AEE" w:rsidRPr="00B76AEE" w:rsidRDefault="00B76AEE" w:rsidP="00B76AEE">
            <w:pPr>
              <w:jc w:val="right"/>
              <w:rPr>
                <w:sz w:val="20"/>
                <w:szCs w:val="20"/>
                <w:lang w:val="es-ES"/>
              </w:rPr>
            </w:pPr>
            <w:r w:rsidRPr="00B76AEE">
              <w:rPr>
                <w:sz w:val="20"/>
                <w:lang w:val="es-ES"/>
              </w:rPr>
              <w:t>1 747 435</w:t>
            </w:r>
          </w:p>
        </w:tc>
        <w:tc>
          <w:tcPr>
            <w:tcW w:w="1263" w:type="dxa"/>
            <w:tcBorders>
              <w:top w:val="nil"/>
              <w:left w:val="nil"/>
              <w:bottom w:val="single" w:sz="4" w:space="0" w:color="auto"/>
              <w:right w:val="single" w:sz="4" w:space="0" w:color="auto"/>
            </w:tcBorders>
            <w:shd w:val="clear" w:color="auto" w:fill="auto"/>
            <w:noWrap/>
            <w:hideMark/>
          </w:tcPr>
          <w:p w14:paraId="12981A77" w14:textId="77777777" w:rsidR="00B76AEE" w:rsidRPr="00B76AEE" w:rsidRDefault="00B76AEE" w:rsidP="00B76AEE">
            <w:pPr>
              <w:jc w:val="right"/>
              <w:rPr>
                <w:sz w:val="20"/>
                <w:szCs w:val="20"/>
                <w:lang w:val="es-ES"/>
              </w:rPr>
            </w:pPr>
            <w:r w:rsidRPr="00B76AEE">
              <w:rPr>
                <w:sz w:val="20"/>
                <w:lang w:val="es-ES"/>
              </w:rPr>
              <w:t>1 775 235</w:t>
            </w:r>
          </w:p>
        </w:tc>
      </w:tr>
    </w:tbl>
    <w:p w14:paraId="46E2D0E0" w14:textId="77777777" w:rsidR="00B76AEE" w:rsidRPr="00B76AEE" w:rsidRDefault="00B76AEE" w:rsidP="00B76AEE">
      <w:pPr>
        <w:keepNext/>
        <w:keepLines/>
        <w:rPr>
          <w:caps/>
          <w:sz w:val="19"/>
          <w:szCs w:val="19"/>
          <w:lang w:val="es-ES"/>
        </w:rPr>
      </w:pPr>
      <w:r w:rsidRPr="00B76AEE">
        <w:rPr>
          <w:sz w:val="19"/>
          <w:lang w:val="es-ES"/>
        </w:rPr>
        <w:t>* Incluye gastos de apoyo aprobados en la 87ª reunión y el valor de los gastos de apoyo del organismo y los costos de unidad central derivados de las comunicaciones presentadas a la 88ª reunión.</w:t>
      </w:r>
    </w:p>
    <w:p w14:paraId="06740183" w14:textId="77777777" w:rsidR="00B76AEE" w:rsidRPr="00B76AEE" w:rsidRDefault="00B76AEE" w:rsidP="00B76AEE">
      <w:pPr>
        <w:keepNext/>
        <w:keepLines/>
        <w:rPr>
          <w:lang w:val="es-ES"/>
        </w:rPr>
      </w:pPr>
    </w:p>
    <w:p w14:paraId="2B6AB3CA" w14:textId="77777777" w:rsidR="00B76AEE" w:rsidRPr="00B76AEE" w:rsidRDefault="00B76AEE" w:rsidP="00B76AEE">
      <w:pPr>
        <w:pStyle w:val="Heading1"/>
        <w:numPr>
          <w:ilvl w:val="0"/>
          <w:numId w:val="1"/>
        </w:numPr>
        <w:tabs>
          <w:tab w:val="clear" w:pos="0"/>
        </w:tabs>
        <w:rPr>
          <w:lang w:val="es-ES"/>
        </w:rPr>
      </w:pPr>
      <w:r w:rsidRPr="00B76AEE">
        <w:rPr>
          <w:lang w:val="es-ES"/>
        </w:rPr>
        <w:t>Sobre la base del análisis que se presenta en el Cuadro 6, el Banco Mundial acumularía un saldo de 1 775 235 $EUA basado en lo aprobado en la 87ª reunión y las comunicaciones presentadas a la 88ª reunión. En 2022, para cubrir el total de sus costos administrativos previstos para 2022, de 3 735 000 $EUA, el Banco Mundial debería generar al menos 1 959 765 $EUA en concepto de gastos de apoyo del organismo y costos de unidad central.</w:t>
      </w:r>
    </w:p>
    <w:p w14:paraId="378024E0" w14:textId="77777777" w:rsidR="00B76AEE" w:rsidRPr="00B76AEE" w:rsidRDefault="00B76AEE" w:rsidP="00B76AEE">
      <w:pPr>
        <w:rPr>
          <w:b/>
          <w:lang w:val="es-ES"/>
        </w:rPr>
      </w:pPr>
      <w:r w:rsidRPr="00B76AEE">
        <w:rPr>
          <w:b/>
          <w:lang w:val="es-ES"/>
        </w:rPr>
        <w:t xml:space="preserve">Devolución de los saldos no utilizados para el año 2020 </w:t>
      </w:r>
    </w:p>
    <w:p w14:paraId="4A136CB5" w14:textId="77777777" w:rsidR="00B76AEE" w:rsidRPr="00B76AEE" w:rsidRDefault="00B76AEE" w:rsidP="00B76AEE">
      <w:pPr>
        <w:rPr>
          <w:lang w:val="es-ES"/>
        </w:rPr>
      </w:pPr>
    </w:p>
    <w:p w14:paraId="663E3298" w14:textId="77777777" w:rsidR="00B76AEE" w:rsidRPr="00B76AEE" w:rsidRDefault="00B76AEE" w:rsidP="00B76AEE">
      <w:pPr>
        <w:pStyle w:val="Heading1"/>
        <w:numPr>
          <w:ilvl w:val="0"/>
          <w:numId w:val="1"/>
        </w:numPr>
        <w:tabs>
          <w:tab w:val="clear" w:pos="0"/>
        </w:tabs>
        <w:rPr>
          <w:lang w:val="es-ES"/>
        </w:rPr>
      </w:pPr>
      <w:r w:rsidRPr="00B76AEE">
        <w:rPr>
          <w:lang w:val="es-ES"/>
        </w:rPr>
        <w:t>El PNUD, la ONUDI y el Banco Mundial devolvieron saldos por valor de 32 878 $EUA, 49 404 $EUA y 443 204 $EUA, respectivamente, para el año 2020. Observando que la devolución de los saldos varía en gran medida entre los tres organismos de ejecución, la Secretaría trató con ellos los procesos seguidos para estimar la devolución de saldos para el año 2020, teniendo en cuenta que algunos de los gastos (por ejemplo, viajes, contratación de servicios) tuvieron gastos mínimos durante el año debido a la pandemia. En respuesta:</w:t>
      </w:r>
    </w:p>
    <w:p w14:paraId="7B27DF0F" w14:textId="77777777" w:rsidR="00B76AEE" w:rsidRPr="00B76AEE" w:rsidRDefault="00B76AEE" w:rsidP="00B76AEE">
      <w:pPr>
        <w:pStyle w:val="Heading2"/>
        <w:widowControl/>
        <w:numPr>
          <w:ilvl w:val="1"/>
          <w:numId w:val="1"/>
        </w:numPr>
        <w:rPr>
          <w:lang w:val="es-ES"/>
        </w:rPr>
      </w:pPr>
      <w:r w:rsidRPr="00B76AEE">
        <w:rPr>
          <w:lang w:val="es-ES"/>
        </w:rPr>
        <w:t xml:space="preserve">El PNUD explicó que considera que el presupuesto de unidad central aprobado junto con los gastos de apoyo a los programas devengados son fuentes de fondos que financiarían sus actividades y, por lo tanto, utiliza los gastos de apoyo administrativo para financiar la diferencia entre sus costos de unidad central y el presupuesto de la unidad central; la devolución de fondos para el año 2020 se refiere a los ahorros en las partidas de gastos de viaje y oficinas (es decir, la diferencia entre los gastos reales para el año 2020 en comparación con las estimaciones para el año 2020 de estas partidas de gastos). Al igual que en años anteriores, los gastos de apoyo a los programas, que ascienden a </w:t>
      </w:r>
      <w:r w:rsidRPr="00B76AEE">
        <w:rPr>
          <w:lang w:val="es-ES"/>
        </w:rPr>
        <w:lastRenderedPageBreak/>
        <w:t>601 414 $EUA, y el presupuesto de unidad central, que asciende a 2 098 458 $EUA, se utilizaron para financiar las actividades en el año 2020;</w:t>
      </w:r>
    </w:p>
    <w:p w14:paraId="43A54D97" w14:textId="77777777" w:rsidR="00B76AEE" w:rsidRPr="00B76AEE" w:rsidRDefault="00B76AEE" w:rsidP="00B76AEE">
      <w:pPr>
        <w:pStyle w:val="Heading2"/>
        <w:widowControl/>
        <w:numPr>
          <w:ilvl w:val="1"/>
          <w:numId w:val="1"/>
        </w:numPr>
        <w:rPr>
          <w:lang w:val="es-ES"/>
        </w:rPr>
      </w:pPr>
      <w:r w:rsidRPr="00B76AEE">
        <w:rPr>
          <w:lang w:val="es-ES"/>
        </w:rPr>
        <w:t xml:space="preserve">La ONUDI explicó que, durante el año 2020, los presupuestos de unidad central para funcionarios y consultores superaron los niveles estimados debido principalmente al pago de los movimientos de personal y la contratación temporal de consultores para la gestión de las actividades del Protocolo de Montreal; después de tener en cuenta los costos adicionales y los ahorros en las diferentes partidas presupuestarias, se devolvieron los ahorros netos frente al presupuesto de unidad central aprobado  </w:t>
      </w:r>
    </w:p>
    <w:p w14:paraId="379E7F89" w14:textId="77777777" w:rsidR="00B76AEE" w:rsidRPr="00B76AEE" w:rsidRDefault="00B76AEE" w:rsidP="00B76AEE">
      <w:pPr>
        <w:pStyle w:val="Heading2"/>
        <w:keepNext/>
        <w:widowControl/>
        <w:numPr>
          <w:ilvl w:val="1"/>
          <w:numId w:val="1"/>
        </w:numPr>
        <w:rPr>
          <w:lang w:val="es-ES"/>
        </w:rPr>
      </w:pPr>
      <w:r w:rsidRPr="00B76AEE">
        <w:rPr>
          <w:lang w:val="es-ES"/>
        </w:rPr>
        <w:t xml:space="preserve">El Banco Mundial obtuvo ahorros en todas las partidas de costos, excluidos el personal de unidad central y el personal contratado y el reembolso de los servicios centrales en el año 2020, y devolvió los ahorros frente al presupuesto total de unidad central aprobado.  </w:t>
      </w:r>
    </w:p>
    <w:p w14:paraId="568F70E7" w14:textId="77777777" w:rsidR="00B76AEE" w:rsidRPr="00B76AEE" w:rsidRDefault="00B76AEE" w:rsidP="00B76AEE">
      <w:pPr>
        <w:pStyle w:val="Heading1"/>
        <w:rPr>
          <w:lang w:val="es-ES"/>
        </w:rPr>
      </w:pPr>
      <w:r w:rsidRPr="00B76AEE">
        <w:rPr>
          <w:b/>
          <w:lang w:val="es-ES"/>
        </w:rPr>
        <w:t xml:space="preserve">Decisiones sobre la reposición de 2021-2023 del Fondo Multilateral y el análisis del régimen de costos administrativos </w:t>
      </w:r>
    </w:p>
    <w:p w14:paraId="57EB285B" w14:textId="77777777" w:rsidR="00B76AEE" w:rsidRPr="00B76AEE" w:rsidRDefault="00B76AEE" w:rsidP="00B76AEE">
      <w:pPr>
        <w:pStyle w:val="Heading1"/>
        <w:numPr>
          <w:ilvl w:val="0"/>
          <w:numId w:val="1"/>
        </w:numPr>
        <w:tabs>
          <w:tab w:val="clear" w:pos="0"/>
        </w:tabs>
        <w:rPr>
          <w:lang w:val="es-ES"/>
        </w:rPr>
      </w:pPr>
      <w:r w:rsidRPr="00B76AEE">
        <w:rPr>
          <w:lang w:val="es-ES"/>
        </w:rPr>
        <w:t>Debido a la situación derivada de la pandemia de COVID-19, las Partes del Protocolo de Montreal no pudieron celebrar reuniones presenciales en 2020, como estaba previsto inicialmente</w:t>
      </w:r>
      <w:r w:rsidRPr="00B76AEE">
        <w:rPr>
          <w:rStyle w:val="FootnoteReference"/>
          <w:lang w:val="es-ES"/>
        </w:rPr>
        <w:footnoteReference w:id="8"/>
      </w:r>
      <w:r w:rsidRPr="00B76AEE">
        <w:rPr>
          <w:lang w:val="es-ES"/>
        </w:rPr>
        <w:t>; en su lugar, las reuniones se celebraron en forma de trabajo en línea. En esas circunstancias, las Partes no pudieron adoptar una decisión sobre la reposición del Fondo Multilateral para la Aplicación del Protocolo de Montreal para el período 2021</w:t>
      </w:r>
      <w:r w:rsidRPr="00B76AEE">
        <w:rPr>
          <w:lang w:val="es-ES"/>
        </w:rPr>
        <w:noBreakHyphen/>
        <w:t xml:space="preserve">2023. </w:t>
      </w:r>
    </w:p>
    <w:p w14:paraId="73780E1C" w14:textId="1ADB2EDF" w:rsidR="00B76AEE" w:rsidRPr="00B76AEE" w:rsidRDefault="00B76AEE" w:rsidP="00B76AEE">
      <w:pPr>
        <w:pStyle w:val="Heading1"/>
        <w:numPr>
          <w:ilvl w:val="0"/>
          <w:numId w:val="1"/>
        </w:numPr>
        <w:tabs>
          <w:tab w:val="clear" w:pos="0"/>
        </w:tabs>
        <w:rPr>
          <w:lang w:val="es-ES"/>
        </w:rPr>
      </w:pPr>
      <w:r w:rsidRPr="00B76AEE">
        <w:rPr>
          <w:lang w:val="es-ES"/>
        </w:rPr>
        <w:t>Con respecto a los asuntos relacionados con la reposición del Fondo Multilateral, durante la 32ª Reunión</w:t>
      </w:r>
      <w:r w:rsidRPr="00B76AEE">
        <w:rPr>
          <w:rStyle w:val="FootnoteReference"/>
          <w:lang w:val="es-ES"/>
        </w:rPr>
        <w:footnoteReference w:id="9"/>
      </w:r>
      <w:r w:rsidRPr="00B76AEE">
        <w:rPr>
          <w:lang w:val="es-ES"/>
        </w:rPr>
        <w:t>, las Partes observaron que adoptarán una decisión en 2021 en relación con la reposición del Fondo Multilateral para aprobar un presupuesto para el trienio 2021</w:t>
      </w:r>
      <w:r w:rsidR="00F970D2">
        <w:rPr>
          <w:lang w:val="es-ES"/>
        </w:rPr>
        <w:noBreakHyphen/>
      </w:r>
      <w:r w:rsidRPr="00B76AEE">
        <w:rPr>
          <w:lang w:val="es-ES"/>
        </w:rPr>
        <w:t>2023, incluidas las cuotas ordinarias, y aprobaron un presupuesto provisional del Fondo Multilateral para el trienio 2021</w:t>
      </w:r>
      <w:r w:rsidR="00F970D2">
        <w:rPr>
          <w:lang w:val="es-ES"/>
        </w:rPr>
        <w:noBreakHyphen/>
      </w:r>
      <w:r w:rsidRPr="00B76AEE">
        <w:rPr>
          <w:lang w:val="es-ES"/>
        </w:rPr>
        <w:t>2023 de 268 millones de $EUA, dando prioridad a los fondos para el año 2021 dentro del trienio 2021</w:t>
      </w:r>
      <w:r w:rsidR="00F970D2">
        <w:rPr>
          <w:lang w:val="es-ES"/>
        </w:rPr>
        <w:noBreakHyphen/>
      </w:r>
      <w:r w:rsidRPr="00B76AEE">
        <w:rPr>
          <w:lang w:val="es-ES"/>
        </w:rPr>
        <w:t>2023, hasta que las Partes adopten una decisión definitiva sobre la reposición, incluido un presupuesto revisado, para el trienio 2021</w:t>
      </w:r>
      <w:r w:rsidR="00F970D2">
        <w:rPr>
          <w:lang w:val="es-ES"/>
        </w:rPr>
        <w:noBreakHyphen/>
      </w:r>
      <w:r w:rsidRPr="00B76AEE">
        <w:rPr>
          <w:lang w:val="es-ES"/>
        </w:rPr>
        <w:t>2023, en el entendimiento de que el presupuesto provisional se ejecutará con cargo a las cuotas previstas adeudadas al Fondo Multilateral y a otras fuentes para el trienio 2018</w:t>
      </w:r>
      <w:r w:rsidR="00F970D2">
        <w:rPr>
          <w:lang w:val="es-ES"/>
        </w:rPr>
        <w:noBreakHyphen/>
      </w:r>
      <w:r w:rsidRPr="00B76AEE">
        <w:rPr>
          <w:lang w:val="es-ES"/>
        </w:rPr>
        <w:t xml:space="preserve">2020 (decisión XXXII/1). </w:t>
      </w:r>
    </w:p>
    <w:p w14:paraId="5FC24D51" w14:textId="0BE316C7" w:rsidR="00B76AEE" w:rsidRPr="00B76AEE" w:rsidRDefault="00B76AEE" w:rsidP="00B76AEE">
      <w:pPr>
        <w:pStyle w:val="Heading1"/>
        <w:numPr>
          <w:ilvl w:val="0"/>
          <w:numId w:val="1"/>
        </w:numPr>
        <w:tabs>
          <w:tab w:val="clear" w:pos="0"/>
          <w:tab w:val="num" w:pos="1135"/>
        </w:tabs>
        <w:rPr>
          <w:lang w:val="es-ES"/>
        </w:rPr>
      </w:pPr>
      <w:r w:rsidRPr="00B76AEE">
        <w:rPr>
          <w:lang w:val="es-ES"/>
        </w:rPr>
        <w:t>Las Partes también autorizaron a la Secretaría del Ozono a que organice una reunión extraordinaria de las Partes en 2021 para que estas examinen la reposición del Fondo Multilateral para el trienio 2021</w:t>
      </w:r>
      <w:r w:rsidR="00F970D2">
        <w:rPr>
          <w:lang w:val="es-ES"/>
        </w:rPr>
        <w:noBreakHyphen/>
      </w:r>
      <w:r w:rsidRPr="00B76AEE">
        <w:rPr>
          <w:lang w:val="es-ES"/>
        </w:rPr>
        <w:t>2023, siempre y cuando las circunstancias relacionadas con la pandemia mundial lo permitan (decisión XXXII/2).</w:t>
      </w:r>
    </w:p>
    <w:p w14:paraId="3C1D1416" w14:textId="77777777" w:rsidR="00B76AEE" w:rsidRPr="00B76AEE" w:rsidRDefault="00B76AEE" w:rsidP="00B76AEE">
      <w:pPr>
        <w:pStyle w:val="Heading1"/>
        <w:numPr>
          <w:ilvl w:val="0"/>
          <w:numId w:val="1"/>
        </w:numPr>
        <w:tabs>
          <w:tab w:val="clear" w:pos="0"/>
          <w:tab w:val="num" w:pos="1135"/>
        </w:tabs>
        <w:rPr>
          <w:lang w:val="es-ES"/>
        </w:rPr>
      </w:pPr>
      <w:r w:rsidRPr="00B76AEE">
        <w:rPr>
          <w:lang w:val="es-ES"/>
        </w:rPr>
        <w:t>En forma concurrente a la preparación del presente documento, las Partes en el Protocolo de Montreal estaban celebrando la serie de sesiones preparatorias</w:t>
      </w:r>
      <w:r w:rsidRPr="00B76AEE">
        <w:rPr>
          <w:rStyle w:val="FootnoteReference"/>
          <w:lang w:val="es-ES"/>
        </w:rPr>
        <w:footnoteReference w:id="10"/>
      </w:r>
      <w:r w:rsidRPr="00B76AEE">
        <w:rPr>
          <w:lang w:val="es-ES"/>
        </w:rPr>
        <w:t xml:space="preserve"> de la 12ª reunión de la Conferencia de las Partes en el Convenio de Viena para la Protección de la Capa de Ozono y la 33ª Reunión de las Partes en el Protocolo de Montreal relativo a las Sustancias que Agotan la Capa de Ozono, celebradas de manera conjunta</w:t>
      </w:r>
      <w:r w:rsidRPr="00B76AEE">
        <w:rPr>
          <w:rStyle w:val="FootnoteReference"/>
          <w:lang w:val="es-ES"/>
        </w:rPr>
        <w:footnoteReference w:id="11"/>
      </w:r>
      <w:r w:rsidRPr="00B76AEE">
        <w:rPr>
          <w:lang w:val="es-ES"/>
        </w:rPr>
        <w:t>. Al concluir los debates sobre asuntos relacionados con el Protocolo de Montreal, las Partes presentaron a la serie de sesiones de alto nivel los siguientes tres proyectos de decisión:</w:t>
      </w:r>
    </w:p>
    <w:p w14:paraId="42986CE7" w14:textId="049BF8D9" w:rsidR="00B76AEE" w:rsidRPr="00B76AEE" w:rsidRDefault="00B76AEE" w:rsidP="00B76AEE">
      <w:pPr>
        <w:pStyle w:val="Heading2"/>
        <w:widowControl/>
        <w:numPr>
          <w:ilvl w:val="1"/>
          <w:numId w:val="1"/>
        </w:numPr>
        <w:rPr>
          <w:lang w:val="es-ES"/>
        </w:rPr>
      </w:pPr>
      <w:r w:rsidRPr="00B76AEE">
        <w:rPr>
          <w:lang w:val="es-ES"/>
        </w:rPr>
        <w:t xml:space="preserve">Contribuciones en 2022 al Fondo Multilateral para la Aplicación del Protocolo de Montreal para el trienio 2021-2023, presentado por Australia, Nueva Zelandia y la Unión Europea, </w:t>
      </w:r>
      <w:r w:rsidRPr="00B76AEE">
        <w:rPr>
          <w:lang w:val="es-ES"/>
        </w:rPr>
        <w:lastRenderedPageBreak/>
        <w:t>para aprobar el nivel indicativo de las cuotas para determinadas Partes</w:t>
      </w:r>
      <w:r w:rsidRPr="00B76AEE">
        <w:rPr>
          <w:rStyle w:val="FootnoteReference"/>
          <w:lang w:val="es-ES"/>
        </w:rPr>
        <w:footnoteReference w:id="12"/>
      </w:r>
      <w:r w:rsidRPr="00B76AEE">
        <w:rPr>
          <w:lang w:val="es-ES"/>
        </w:rPr>
        <w:t>, con carácter provisional, antes de que las Partes adopten una decisión definitiva sobre un presupuesto revisado del Fondo Multilateral para el trienio 2021</w:t>
      </w:r>
      <w:r w:rsidR="00F970D2">
        <w:rPr>
          <w:lang w:val="es-ES"/>
        </w:rPr>
        <w:noBreakHyphen/>
      </w:r>
      <w:r w:rsidRPr="00B76AEE">
        <w:rPr>
          <w:lang w:val="es-ES"/>
        </w:rPr>
        <w:t>2023; y observar que las contribuciones de las Partes que se efectúen antes de una decisión definitiva sobre el presupuesto revisado del Fondo Multilateral para el trienio 2021</w:t>
      </w:r>
      <w:r w:rsidR="00F970D2">
        <w:rPr>
          <w:lang w:val="es-ES"/>
        </w:rPr>
        <w:noBreakHyphen/>
      </w:r>
      <w:r w:rsidRPr="00B76AEE">
        <w:rPr>
          <w:lang w:val="es-ES"/>
        </w:rPr>
        <w:t>2023 se entenderán sin perjuicio del monto total de la reposición o del nivel acordado de las cuotas de las Partes;</w:t>
      </w:r>
    </w:p>
    <w:p w14:paraId="6C96BCBF" w14:textId="0EA528DF" w:rsidR="00B76AEE" w:rsidRPr="00B76AEE" w:rsidRDefault="00B76AEE" w:rsidP="00B76AEE">
      <w:pPr>
        <w:pStyle w:val="Heading2"/>
        <w:widowControl/>
        <w:numPr>
          <w:ilvl w:val="1"/>
          <w:numId w:val="1"/>
        </w:numPr>
        <w:rPr>
          <w:lang w:val="es-ES"/>
        </w:rPr>
      </w:pPr>
      <w:r w:rsidRPr="00B76AEE">
        <w:rPr>
          <w:lang w:val="es-ES"/>
        </w:rPr>
        <w:t>Presupuesto provisional actualizado del Fondo Multilateral para la Aplicación del Protocolo de Montreal para el trienio 2021</w:t>
      </w:r>
      <w:r w:rsidR="00F970D2">
        <w:rPr>
          <w:lang w:val="es-ES"/>
        </w:rPr>
        <w:noBreakHyphen/>
      </w:r>
      <w:r w:rsidRPr="00B76AEE">
        <w:rPr>
          <w:lang w:val="es-ES"/>
        </w:rPr>
        <w:t>2023, presentado por el Canadá, para aprobar un presupuesto provisional actualizado para el Fondo para el trienio 2021-2023, de 400 millones de $EUA, hasta que las Partes adopten una decisión definitiva sobre la reposición, incluido un presupuesto revisado, para el trienio 2021</w:t>
      </w:r>
      <w:r w:rsidR="00F970D2">
        <w:rPr>
          <w:lang w:val="es-ES"/>
        </w:rPr>
        <w:noBreakHyphen/>
      </w:r>
      <w:r w:rsidRPr="00B76AEE">
        <w:rPr>
          <w:lang w:val="es-ES"/>
        </w:rPr>
        <w:t>2023, en el entendimiento de que el presupuesto provisional se ejecutará con cargo a las cuotas previstas adeudadas al Fondo Multilateral y a otras fuentes para el trienio; y</w:t>
      </w:r>
    </w:p>
    <w:p w14:paraId="6DD3DBA0" w14:textId="1A77705A" w:rsidR="00B76AEE" w:rsidRPr="00B76AEE" w:rsidRDefault="00B76AEE" w:rsidP="00B76AEE">
      <w:pPr>
        <w:pStyle w:val="Heading2"/>
        <w:widowControl/>
        <w:numPr>
          <w:ilvl w:val="1"/>
          <w:numId w:val="1"/>
        </w:numPr>
        <w:rPr>
          <w:lang w:val="es-ES"/>
        </w:rPr>
      </w:pPr>
      <w:r w:rsidRPr="00B76AEE">
        <w:rPr>
          <w:lang w:val="es-ES"/>
        </w:rPr>
        <w:t>Reunión Extraordinaria de las Partes en 2022, presentado por Noruega, para autorizar a la Secretaría a que organice una reunión extraordinaria de las Partes en 2022 para que estas examinen la reposición del Fondo Multilateral para el trienio 2021</w:t>
      </w:r>
      <w:r w:rsidR="00F970D2">
        <w:rPr>
          <w:lang w:val="es-ES"/>
        </w:rPr>
        <w:noBreakHyphen/>
      </w:r>
      <w:r w:rsidRPr="00B76AEE">
        <w:rPr>
          <w:lang w:val="es-ES"/>
        </w:rPr>
        <w:t>2023.</w:t>
      </w:r>
    </w:p>
    <w:p w14:paraId="739D8D39" w14:textId="77777777" w:rsidR="00B76AEE" w:rsidRPr="00B76AEE" w:rsidRDefault="00B76AEE" w:rsidP="00B76AEE">
      <w:pPr>
        <w:pStyle w:val="Heading1"/>
        <w:numPr>
          <w:ilvl w:val="0"/>
          <w:numId w:val="1"/>
        </w:numPr>
        <w:tabs>
          <w:tab w:val="clear" w:pos="0"/>
        </w:tabs>
        <w:rPr>
          <w:lang w:val="es-ES"/>
        </w:rPr>
      </w:pPr>
      <w:r w:rsidRPr="00B76AEE">
        <w:rPr>
          <w:lang w:val="es-ES"/>
        </w:rPr>
        <w:t xml:space="preserve">Teniendo en cuenta los debates en curso sobre la reposición de fondos por parte de las Partes y los debates y decisiones del Comité Ejecutivo sobre el régimen de costos administrativos para el trienio 2021-2023, la Secretaría considera que la financiación de unidad central para el año 2022 podría mantenerse de acuerdo con lo previsto en la decisión 79/41 c).  </w:t>
      </w:r>
    </w:p>
    <w:p w14:paraId="7E3FA689" w14:textId="77777777" w:rsidR="00B76AEE" w:rsidRPr="00B76AEE" w:rsidRDefault="00B76AEE" w:rsidP="00B76AEE">
      <w:pPr>
        <w:pStyle w:val="Heading1"/>
        <w:numPr>
          <w:ilvl w:val="0"/>
          <w:numId w:val="1"/>
        </w:numPr>
        <w:tabs>
          <w:tab w:val="clear" w:pos="0"/>
        </w:tabs>
        <w:rPr>
          <w:lang w:val="es-ES"/>
        </w:rPr>
      </w:pPr>
      <w:r w:rsidRPr="00B76AEE">
        <w:rPr>
          <w:lang w:val="es-ES"/>
        </w:rPr>
        <w:t>Además, la Secretaría presenta el análisis del régimen de costos administrativos y de la financiación de unidades centrales (decisión 86/92 c)) para que sea examinado por el Comité Ejecutivo en su 88ª reunión</w:t>
      </w:r>
      <w:r w:rsidRPr="00B76AEE">
        <w:rPr>
          <w:rStyle w:val="FootnoteReference"/>
          <w:lang w:val="es-ES"/>
        </w:rPr>
        <w:footnoteReference w:id="13"/>
      </w:r>
      <w:r w:rsidRPr="00B76AEE">
        <w:rPr>
          <w:lang w:val="es-ES"/>
        </w:rPr>
        <w:t xml:space="preserve">; ese documento presenta un análisis de los gastos de apoyo a los programas que disponen los organismos para gestionar sus operaciones y ofrece estimaciones para el trienio 2021-2023. Sobre la base de las decisiones del Comité Ejecutivo al respecto, los cambios en los presupuestos de unidad central de 2022, si los hubiera, se incorporarían en la financiación final aprobada para las unidades centrales para 2022. </w:t>
      </w:r>
    </w:p>
    <w:p w14:paraId="6AE4C616" w14:textId="77777777" w:rsidR="00B76AEE" w:rsidRPr="00B76AEE" w:rsidRDefault="00B76AEE" w:rsidP="00B76AEE">
      <w:pPr>
        <w:keepNext/>
        <w:spacing w:after="240"/>
        <w:rPr>
          <w:b/>
          <w:lang w:val="es-ES"/>
        </w:rPr>
      </w:pPr>
      <w:r w:rsidRPr="00B76AEE">
        <w:rPr>
          <w:b/>
          <w:lang w:val="es-ES"/>
        </w:rPr>
        <w:t>RECOMENDACIÓN</w:t>
      </w:r>
    </w:p>
    <w:p w14:paraId="65901E9E" w14:textId="77777777" w:rsidR="00B76AEE" w:rsidRPr="00B76AEE" w:rsidRDefault="00B76AEE" w:rsidP="00B76AEE">
      <w:pPr>
        <w:pStyle w:val="Heading1"/>
        <w:numPr>
          <w:ilvl w:val="0"/>
          <w:numId w:val="1"/>
        </w:numPr>
        <w:tabs>
          <w:tab w:val="clear" w:pos="0"/>
        </w:tabs>
        <w:rPr>
          <w:lang w:val="es-ES"/>
        </w:rPr>
      </w:pPr>
      <w:r w:rsidRPr="00B76AEE">
        <w:rPr>
          <w:lang w:val="es-ES"/>
        </w:rPr>
        <w:t>El Comité Ejecutivo tal vez desee:</w:t>
      </w:r>
    </w:p>
    <w:p w14:paraId="64F39180" w14:textId="77777777" w:rsidR="00B76AEE" w:rsidRPr="00B76AEE" w:rsidRDefault="00B76AEE" w:rsidP="00B76AEE">
      <w:pPr>
        <w:pStyle w:val="Heading2"/>
        <w:widowControl/>
        <w:numPr>
          <w:ilvl w:val="1"/>
          <w:numId w:val="1"/>
        </w:numPr>
        <w:rPr>
          <w:lang w:val="es-ES"/>
        </w:rPr>
      </w:pPr>
      <w:r w:rsidRPr="00B76AEE">
        <w:rPr>
          <w:lang w:val="es-ES"/>
        </w:rPr>
        <w:t>Tomar nota de lo siguiente:</w:t>
      </w:r>
    </w:p>
    <w:p w14:paraId="6F21D03C" w14:textId="63BE1EAD" w:rsidR="00B76AEE" w:rsidRPr="00B76AEE" w:rsidRDefault="00B76AEE" w:rsidP="00B76AEE">
      <w:pPr>
        <w:pStyle w:val="Heading3"/>
        <w:widowControl/>
        <w:numPr>
          <w:ilvl w:val="2"/>
          <w:numId w:val="1"/>
        </w:numPr>
        <w:rPr>
          <w:lang w:val="es-ES"/>
        </w:rPr>
      </w:pPr>
      <w:r w:rsidRPr="00B76AEE">
        <w:rPr>
          <w:lang w:val="es-ES"/>
        </w:rPr>
        <w:t>Del informe de los costos de unidad central para el año 2022 para el PNUD, la ONUDI y el Banco Mundial que figura en el documento</w:t>
      </w:r>
      <w:r w:rsidR="00DF2EFB">
        <w:rPr>
          <w:lang w:val="es-ES"/>
        </w:rPr>
        <w:t xml:space="preserve"> </w:t>
      </w:r>
      <w:r w:rsidRPr="00B76AEE">
        <w:rPr>
          <w:lang w:val="es-ES"/>
        </w:rPr>
        <w:t>UNEP/</w:t>
      </w:r>
      <w:proofErr w:type="spellStart"/>
      <w:r w:rsidRPr="00B76AEE">
        <w:rPr>
          <w:lang w:val="es-ES"/>
        </w:rPr>
        <w:t>OzL.Pro</w:t>
      </w:r>
      <w:proofErr w:type="spellEnd"/>
      <w:r w:rsidRPr="00B76AEE">
        <w:rPr>
          <w:lang w:val="es-ES"/>
        </w:rPr>
        <w:t>/</w:t>
      </w:r>
      <w:proofErr w:type="spellStart"/>
      <w:r w:rsidRPr="00B76AEE">
        <w:rPr>
          <w:lang w:val="es-ES"/>
        </w:rPr>
        <w:t>ExCom</w:t>
      </w:r>
      <w:proofErr w:type="spellEnd"/>
      <w:r w:rsidRPr="00B76AEE">
        <w:rPr>
          <w:lang w:val="es-ES"/>
        </w:rPr>
        <w:t xml:space="preserve">/88/35; </w:t>
      </w:r>
    </w:p>
    <w:p w14:paraId="7F3E8DD9" w14:textId="77777777" w:rsidR="00B76AEE" w:rsidRPr="00B76AEE" w:rsidRDefault="00B76AEE" w:rsidP="00B76AEE">
      <w:pPr>
        <w:pStyle w:val="Heading3"/>
        <w:widowControl/>
        <w:numPr>
          <w:ilvl w:val="2"/>
          <w:numId w:val="1"/>
        </w:numPr>
        <w:rPr>
          <w:lang w:val="es-ES"/>
        </w:rPr>
      </w:pPr>
      <w:r w:rsidRPr="00B76AEE">
        <w:rPr>
          <w:lang w:val="es-ES"/>
        </w:rPr>
        <w:t xml:space="preserve">Con aprecio, de que las operaciones de unidad central del PNUD, la ONUDI y el Banco Mundial fueron inferiores a los niveles presupuestados y de que el PNUD y la ONUDI devolverían al Fondo Multilateral los saldos no utilizados, de 32 878 $EUA y 49 404 $EUA respectivamente, y de que el Banco Mundial ha devuelto los saldos no utilizados, de 443 204 $EUA, en la 88ª reunión; </w:t>
      </w:r>
    </w:p>
    <w:p w14:paraId="1DD4A802" w14:textId="77777777" w:rsidR="00B76AEE" w:rsidRPr="00B76AEE" w:rsidRDefault="00B76AEE" w:rsidP="00B76AEE">
      <w:pPr>
        <w:pStyle w:val="Heading2"/>
        <w:widowControl/>
        <w:numPr>
          <w:ilvl w:val="1"/>
          <w:numId w:val="1"/>
        </w:numPr>
        <w:rPr>
          <w:lang w:val="es-ES"/>
        </w:rPr>
      </w:pPr>
      <w:r w:rsidRPr="00B76AEE">
        <w:rPr>
          <w:lang w:val="es-ES"/>
        </w:rPr>
        <w:lastRenderedPageBreak/>
        <w:t xml:space="preserve">Considerar si aprueba los presupuestos de unidad central para 2022 solicitados: </w:t>
      </w:r>
    </w:p>
    <w:p w14:paraId="023E170B" w14:textId="77777777" w:rsidR="00B76AEE" w:rsidRPr="00B76AEE" w:rsidRDefault="00B76AEE" w:rsidP="00B76AEE">
      <w:pPr>
        <w:pStyle w:val="Heading3"/>
        <w:widowControl/>
        <w:numPr>
          <w:ilvl w:val="2"/>
          <w:numId w:val="1"/>
        </w:numPr>
        <w:rPr>
          <w:lang w:val="es-ES"/>
        </w:rPr>
      </w:pPr>
      <w:r w:rsidRPr="00B76AEE">
        <w:rPr>
          <w:lang w:val="es-ES"/>
        </w:rPr>
        <w:t xml:space="preserve">Para el PNUD, por la suma de 2 127 940 $EUA; </w:t>
      </w:r>
    </w:p>
    <w:p w14:paraId="2306AAF5" w14:textId="77777777" w:rsidR="00B76AEE" w:rsidRPr="00B76AEE" w:rsidRDefault="00B76AEE" w:rsidP="00B76AEE">
      <w:pPr>
        <w:pStyle w:val="Heading3"/>
        <w:widowControl/>
        <w:numPr>
          <w:ilvl w:val="2"/>
          <w:numId w:val="1"/>
        </w:numPr>
        <w:rPr>
          <w:lang w:val="es-ES"/>
        </w:rPr>
      </w:pPr>
      <w:r w:rsidRPr="00B76AEE">
        <w:rPr>
          <w:lang w:val="es-ES"/>
        </w:rPr>
        <w:t>Para la ONUDI, por la suma de 2 036 154 $EUA; y</w:t>
      </w:r>
    </w:p>
    <w:p w14:paraId="51D9480E" w14:textId="77777777" w:rsidR="00B76AEE" w:rsidRPr="00B76AEE" w:rsidRDefault="00B76AEE" w:rsidP="00B76AEE">
      <w:pPr>
        <w:pStyle w:val="Heading3"/>
        <w:widowControl/>
        <w:numPr>
          <w:ilvl w:val="2"/>
          <w:numId w:val="1"/>
        </w:numPr>
        <w:rPr>
          <w:lang w:val="es-ES"/>
        </w:rPr>
      </w:pPr>
      <w:r w:rsidRPr="00B76AEE">
        <w:rPr>
          <w:lang w:val="es-ES"/>
        </w:rPr>
        <w:t>Para el Banco Mundial, por la suma de 1 735 000 $EUA; y</w:t>
      </w:r>
    </w:p>
    <w:p w14:paraId="17AE23C5" w14:textId="77777777" w:rsidR="00B76AEE" w:rsidRPr="00B76AEE" w:rsidRDefault="00B76AEE" w:rsidP="00B76AEE">
      <w:pPr>
        <w:pStyle w:val="Heading2"/>
        <w:widowControl/>
        <w:numPr>
          <w:ilvl w:val="1"/>
          <w:numId w:val="1"/>
        </w:numPr>
        <w:rPr>
          <w:lang w:val="es-ES"/>
        </w:rPr>
      </w:pPr>
      <w:r w:rsidRPr="00B76AEE">
        <w:rPr>
          <w:lang w:val="es-ES"/>
        </w:rPr>
        <w:t xml:space="preserve">Tomar nota de que los niveles para los presupuestos de unidad central de 2022 que se indican en el apartado b) </w:t>
      </w:r>
      <w:r w:rsidRPr="00B76AEE">
        <w:rPr>
          <w:i/>
          <w:iCs/>
          <w:lang w:val="es-ES"/>
        </w:rPr>
        <w:t>supra</w:t>
      </w:r>
      <w:r w:rsidRPr="00B76AEE">
        <w:rPr>
          <w:lang w:val="es-ES"/>
        </w:rPr>
        <w:t xml:space="preserve"> se podrían ajustar sobre la base de los resultados del debate acerca del Análisis del régimen de costos administrativos y financiación de las unidades centrales (decisión 86/92 c)) (UNEP/</w:t>
      </w:r>
      <w:proofErr w:type="spellStart"/>
      <w:r w:rsidRPr="00B76AEE">
        <w:rPr>
          <w:lang w:val="es-ES"/>
        </w:rPr>
        <w:t>OzL.Pro</w:t>
      </w:r>
      <w:proofErr w:type="spellEnd"/>
      <w:r w:rsidRPr="00B76AEE">
        <w:rPr>
          <w:lang w:val="es-ES"/>
        </w:rPr>
        <w:t>/</w:t>
      </w:r>
      <w:proofErr w:type="spellStart"/>
      <w:r w:rsidRPr="00B76AEE">
        <w:rPr>
          <w:lang w:val="es-ES"/>
        </w:rPr>
        <w:t>ExCom</w:t>
      </w:r>
      <w:proofErr w:type="spellEnd"/>
      <w:r w:rsidRPr="00B76AEE">
        <w:rPr>
          <w:lang w:val="es-ES"/>
        </w:rPr>
        <w:t>/88/70) en la 88ª reunión.</w:t>
      </w:r>
    </w:p>
    <w:p w14:paraId="7E519D09" w14:textId="77777777" w:rsidR="0087455A" w:rsidRPr="00B76AEE" w:rsidRDefault="0087455A" w:rsidP="00B76AEE">
      <w:pPr>
        <w:pStyle w:val="Heading3"/>
        <w:widowControl/>
        <w:numPr>
          <w:ilvl w:val="0"/>
          <w:numId w:val="0"/>
        </w:numPr>
        <w:spacing w:after="0"/>
        <w:rPr>
          <w:lang w:val="es-ES"/>
        </w:rPr>
      </w:pPr>
    </w:p>
    <w:p w14:paraId="659CADBC" w14:textId="77777777" w:rsidR="002404D1" w:rsidRPr="00B76AEE" w:rsidRDefault="002404D1" w:rsidP="00B76AEE">
      <w:pPr>
        <w:rPr>
          <w:lang w:val="es-ES"/>
        </w:rPr>
      </w:pPr>
    </w:p>
    <w:p w14:paraId="46C20486" w14:textId="77777777" w:rsidR="002404D1" w:rsidRPr="00B76AEE" w:rsidRDefault="002404D1" w:rsidP="00B76AEE">
      <w:pPr>
        <w:rPr>
          <w:lang w:val="es-ES"/>
        </w:rPr>
        <w:sectPr w:rsidR="002404D1" w:rsidRPr="00B76AEE" w:rsidSect="00EA2BA9">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titlePg/>
        </w:sectPr>
      </w:pPr>
    </w:p>
    <w:p w14:paraId="7983CC19" w14:textId="77777777" w:rsidR="00F970D2" w:rsidRPr="006050E8" w:rsidRDefault="00F970D2" w:rsidP="00F970D2">
      <w:pPr>
        <w:jc w:val="center"/>
        <w:rPr>
          <w:b/>
          <w:vanish/>
          <w:lang w:val="es-ES"/>
        </w:rPr>
      </w:pPr>
      <w:r w:rsidRPr="006050E8">
        <w:rPr>
          <w:b/>
          <w:vanish/>
          <w:lang w:val="es-ES"/>
        </w:rPr>
        <w:lastRenderedPageBreak/>
        <w:t>Annex I</w:t>
      </w:r>
    </w:p>
    <w:p w14:paraId="5039E71F" w14:textId="77777777" w:rsidR="00F970D2" w:rsidRPr="006050E8" w:rsidRDefault="00F970D2" w:rsidP="00F970D2">
      <w:pPr>
        <w:jc w:val="center"/>
        <w:rPr>
          <w:b/>
          <w:vanish/>
          <w:lang w:val="es-ES"/>
        </w:rPr>
      </w:pPr>
    </w:p>
    <w:p w14:paraId="58647CD5" w14:textId="77777777" w:rsidR="00F970D2" w:rsidRPr="006050E8" w:rsidRDefault="00F970D2" w:rsidP="00F970D2">
      <w:pPr>
        <w:jc w:val="center"/>
        <w:rPr>
          <w:b/>
          <w:vanish/>
          <w:lang w:val="es-ES"/>
        </w:rPr>
      </w:pPr>
      <w:r w:rsidRPr="006050E8">
        <w:rPr>
          <w:b/>
          <w:vanish/>
          <w:lang w:val="es-ES"/>
        </w:rPr>
        <w:t>CORE UNIT BUDGET DATA AND OTHER ADMINISTRATIVE COSTS FOR 2012 TO 2022 FOR UNDP, UNIDO AND THE WORLD BANK (US$)</w:t>
      </w:r>
    </w:p>
    <w:p w14:paraId="2215D8CA" w14:textId="77777777" w:rsidR="00F970D2" w:rsidRPr="006050E8" w:rsidRDefault="00F970D2" w:rsidP="00F970D2">
      <w:pPr>
        <w:jc w:val="center"/>
        <w:rPr>
          <w:vanish/>
          <w:lang w:val="es-ES"/>
        </w:rPr>
      </w:pPr>
    </w:p>
    <w:p w14:paraId="3B2A75F4" w14:textId="77777777" w:rsidR="00F970D2" w:rsidRPr="006050E8" w:rsidRDefault="00F970D2" w:rsidP="00F970D2">
      <w:pPr>
        <w:keepNext/>
        <w:keepLines/>
        <w:rPr>
          <w:b/>
          <w:vanish/>
          <w:lang w:val="es-ES"/>
        </w:rPr>
      </w:pPr>
      <w:r w:rsidRPr="006050E8">
        <w:rPr>
          <w:b/>
          <w:vanish/>
          <w:lang w:val="es-ES"/>
        </w:rPr>
        <w:t xml:space="preserve">UNDP </w:t>
      </w:r>
    </w:p>
    <w:tbl>
      <w:tblPr>
        <w:tblW w:w="14294" w:type="dxa"/>
        <w:tblInd w:w="-5" w:type="dxa"/>
        <w:tblLook w:val="04A0" w:firstRow="1" w:lastRow="0" w:firstColumn="1" w:lastColumn="0" w:noHBand="0" w:noVBand="1"/>
      </w:tblPr>
      <w:tblGrid>
        <w:gridCol w:w="3828"/>
        <w:gridCol w:w="856"/>
        <w:gridCol w:w="856"/>
        <w:gridCol w:w="856"/>
        <w:gridCol w:w="856"/>
        <w:gridCol w:w="856"/>
        <w:gridCol w:w="856"/>
        <w:gridCol w:w="933"/>
        <w:gridCol w:w="856"/>
        <w:gridCol w:w="856"/>
        <w:gridCol w:w="919"/>
        <w:gridCol w:w="910"/>
        <w:gridCol w:w="856"/>
      </w:tblGrid>
      <w:tr w:rsidR="00F970D2" w:rsidRPr="006050E8" w14:paraId="201C3D5D" w14:textId="77777777" w:rsidTr="001224CB">
        <w:trPr>
          <w:trHeight w:val="50"/>
          <w:hidden/>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BF0CC" w14:textId="77777777" w:rsidR="00F970D2" w:rsidRPr="006050E8" w:rsidRDefault="00F970D2" w:rsidP="001224CB">
            <w:pPr>
              <w:rPr>
                <w:b/>
                <w:bCs/>
                <w:vanish/>
                <w:sz w:val="16"/>
                <w:szCs w:val="16"/>
                <w:lang w:val="es-ES"/>
              </w:rPr>
            </w:pPr>
            <w:r w:rsidRPr="006050E8">
              <w:rPr>
                <w:b/>
                <w:vanish/>
                <w:sz w:val="16"/>
                <w:lang w:val="es-ES"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14:paraId="6A51B62C" w14:textId="77777777" w:rsidR="00F970D2" w:rsidRPr="006050E8" w:rsidRDefault="00F970D2" w:rsidP="001224CB">
            <w:pPr>
              <w:jc w:val="center"/>
              <w:rPr>
                <w:b/>
                <w:bCs/>
                <w:vanish/>
                <w:sz w:val="16"/>
                <w:szCs w:val="16"/>
                <w:lang w:val="es-ES"/>
              </w:rPr>
            </w:pPr>
            <w:r w:rsidRPr="006050E8">
              <w:rPr>
                <w:b/>
                <w:vanish/>
                <w:sz w:val="16"/>
                <w:lang w:val="es-ES" w:eastAsia="en-CA"/>
              </w:rPr>
              <w:t>2012</w:t>
            </w:r>
          </w:p>
        </w:tc>
        <w:tc>
          <w:tcPr>
            <w:tcW w:w="856" w:type="dxa"/>
            <w:tcBorders>
              <w:top w:val="single" w:sz="4" w:space="0" w:color="auto"/>
              <w:left w:val="nil"/>
              <w:bottom w:val="single" w:sz="4" w:space="0" w:color="auto"/>
              <w:right w:val="single" w:sz="4" w:space="0" w:color="auto"/>
            </w:tcBorders>
            <w:shd w:val="clear" w:color="auto" w:fill="auto"/>
            <w:hideMark/>
          </w:tcPr>
          <w:p w14:paraId="5BC69DAF" w14:textId="77777777" w:rsidR="00F970D2" w:rsidRPr="006050E8" w:rsidRDefault="00F970D2" w:rsidP="001224CB">
            <w:pPr>
              <w:jc w:val="center"/>
              <w:rPr>
                <w:b/>
                <w:bCs/>
                <w:vanish/>
                <w:sz w:val="16"/>
                <w:szCs w:val="16"/>
                <w:lang w:val="es-ES"/>
              </w:rPr>
            </w:pPr>
            <w:r w:rsidRPr="006050E8">
              <w:rPr>
                <w:b/>
                <w:vanish/>
                <w:sz w:val="16"/>
                <w:lang w:val="es-ES" w:eastAsia="en-CA"/>
              </w:rPr>
              <w:t>2013</w:t>
            </w:r>
          </w:p>
        </w:tc>
        <w:tc>
          <w:tcPr>
            <w:tcW w:w="856" w:type="dxa"/>
            <w:tcBorders>
              <w:top w:val="single" w:sz="4" w:space="0" w:color="auto"/>
              <w:left w:val="nil"/>
              <w:bottom w:val="single" w:sz="4" w:space="0" w:color="auto"/>
              <w:right w:val="single" w:sz="4" w:space="0" w:color="auto"/>
            </w:tcBorders>
            <w:shd w:val="clear" w:color="auto" w:fill="auto"/>
            <w:hideMark/>
          </w:tcPr>
          <w:p w14:paraId="6D9C2B65" w14:textId="77777777" w:rsidR="00F970D2" w:rsidRPr="006050E8" w:rsidRDefault="00F970D2" w:rsidP="001224CB">
            <w:pPr>
              <w:jc w:val="center"/>
              <w:rPr>
                <w:b/>
                <w:bCs/>
                <w:vanish/>
                <w:sz w:val="16"/>
                <w:szCs w:val="16"/>
                <w:lang w:val="es-ES"/>
              </w:rPr>
            </w:pPr>
            <w:r w:rsidRPr="006050E8">
              <w:rPr>
                <w:b/>
                <w:vanish/>
                <w:sz w:val="16"/>
                <w:lang w:val="es-ES"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14:paraId="1B39C651" w14:textId="77777777" w:rsidR="00F970D2" w:rsidRPr="006050E8" w:rsidRDefault="00F970D2" w:rsidP="001224CB">
            <w:pPr>
              <w:jc w:val="center"/>
              <w:rPr>
                <w:b/>
                <w:bCs/>
                <w:vanish/>
                <w:sz w:val="16"/>
                <w:szCs w:val="16"/>
                <w:lang w:val="es-ES"/>
              </w:rPr>
            </w:pPr>
            <w:r w:rsidRPr="006050E8">
              <w:rPr>
                <w:b/>
                <w:vanish/>
                <w:sz w:val="16"/>
                <w:lang w:val="es-ES"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14:paraId="1279D863" w14:textId="77777777" w:rsidR="00F970D2" w:rsidRPr="006050E8" w:rsidRDefault="00F970D2" w:rsidP="001224CB">
            <w:pPr>
              <w:jc w:val="center"/>
              <w:rPr>
                <w:b/>
                <w:bCs/>
                <w:vanish/>
                <w:sz w:val="16"/>
                <w:szCs w:val="16"/>
                <w:lang w:val="es-ES"/>
              </w:rPr>
            </w:pPr>
            <w:r w:rsidRPr="006050E8">
              <w:rPr>
                <w:b/>
                <w:vanish/>
                <w:sz w:val="16"/>
                <w:lang w:val="es-ES" w:eastAsia="en-CA"/>
              </w:rPr>
              <w:t>2016</w:t>
            </w:r>
          </w:p>
        </w:tc>
        <w:tc>
          <w:tcPr>
            <w:tcW w:w="856" w:type="dxa"/>
            <w:tcBorders>
              <w:top w:val="single" w:sz="4" w:space="0" w:color="auto"/>
              <w:left w:val="nil"/>
              <w:bottom w:val="single" w:sz="4" w:space="0" w:color="auto"/>
              <w:right w:val="single" w:sz="4" w:space="0" w:color="auto"/>
            </w:tcBorders>
            <w:shd w:val="clear" w:color="auto" w:fill="auto"/>
            <w:hideMark/>
          </w:tcPr>
          <w:p w14:paraId="676F01F7" w14:textId="77777777" w:rsidR="00F970D2" w:rsidRPr="006050E8" w:rsidRDefault="00F970D2" w:rsidP="001224CB">
            <w:pPr>
              <w:jc w:val="center"/>
              <w:rPr>
                <w:b/>
                <w:bCs/>
                <w:vanish/>
                <w:sz w:val="16"/>
                <w:szCs w:val="16"/>
                <w:lang w:val="es-ES"/>
              </w:rPr>
            </w:pPr>
            <w:r w:rsidRPr="006050E8">
              <w:rPr>
                <w:b/>
                <w:vanish/>
                <w:sz w:val="16"/>
                <w:lang w:val="es-ES" w:eastAsia="en-CA"/>
              </w:rPr>
              <w:t>2017</w:t>
            </w:r>
          </w:p>
        </w:tc>
        <w:tc>
          <w:tcPr>
            <w:tcW w:w="933" w:type="dxa"/>
            <w:tcBorders>
              <w:top w:val="single" w:sz="4" w:space="0" w:color="auto"/>
              <w:left w:val="nil"/>
              <w:bottom w:val="single" w:sz="4" w:space="0" w:color="auto"/>
              <w:right w:val="single" w:sz="4" w:space="0" w:color="auto"/>
            </w:tcBorders>
            <w:shd w:val="clear" w:color="auto" w:fill="auto"/>
            <w:hideMark/>
          </w:tcPr>
          <w:p w14:paraId="28AB3CD2" w14:textId="77777777" w:rsidR="00F970D2" w:rsidRPr="006050E8" w:rsidRDefault="00F970D2" w:rsidP="001224CB">
            <w:pPr>
              <w:jc w:val="center"/>
              <w:rPr>
                <w:b/>
                <w:bCs/>
                <w:vanish/>
                <w:sz w:val="16"/>
                <w:szCs w:val="16"/>
                <w:lang w:val="es-ES"/>
              </w:rPr>
            </w:pPr>
            <w:r w:rsidRPr="006050E8">
              <w:rPr>
                <w:b/>
                <w:vanish/>
                <w:sz w:val="16"/>
                <w:lang w:val="es-ES" w:eastAsia="en-CA"/>
              </w:rPr>
              <w:t>2018</w:t>
            </w:r>
          </w:p>
        </w:tc>
        <w:tc>
          <w:tcPr>
            <w:tcW w:w="856" w:type="dxa"/>
            <w:tcBorders>
              <w:top w:val="single" w:sz="4" w:space="0" w:color="auto"/>
              <w:left w:val="nil"/>
              <w:bottom w:val="single" w:sz="4" w:space="0" w:color="auto"/>
              <w:right w:val="single" w:sz="4" w:space="0" w:color="auto"/>
            </w:tcBorders>
            <w:shd w:val="clear" w:color="auto" w:fill="auto"/>
            <w:hideMark/>
          </w:tcPr>
          <w:p w14:paraId="4C4900D5" w14:textId="77777777" w:rsidR="00F970D2" w:rsidRPr="006050E8" w:rsidRDefault="00F970D2" w:rsidP="001224CB">
            <w:pPr>
              <w:jc w:val="center"/>
              <w:rPr>
                <w:b/>
                <w:bCs/>
                <w:vanish/>
                <w:sz w:val="16"/>
                <w:szCs w:val="16"/>
                <w:lang w:val="es-ES"/>
              </w:rPr>
            </w:pPr>
            <w:r w:rsidRPr="006050E8">
              <w:rPr>
                <w:b/>
                <w:vanish/>
                <w:sz w:val="16"/>
                <w:lang w:val="es-ES" w:eastAsia="en-CA"/>
              </w:rPr>
              <w:t>2019</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27B1BC3A" w14:textId="77777777" w:rsidR="00F970D2" w:rsidRPr="006050E8" w:rsidRDefault="00F970D2" w:rsidP="001224CB">
            <w:pPr>
              <w:jc w:val="center"/>
              <w:rPr>
                <w:b/>
                <w:bCs/>
                <w:vanish/>
                <w:sz w:val="16"/>
                <w:szCs w:val="16"/>
                <w:lang w:val="es-ES"/>
              </w:rPr>
            </w:pPr>
            <w:r w:rsidRPr="006050E8">
              <w:rPr>
                <w:b/>
                <w:vanish/>
                <w:sz w:val="16"/>
                <w:lang w:val="es-ES" w:eastAsia="en-CA"/>
              </w:rPr>
              <w:t>2020</w:t>
            </w:r>
          </w:p>
        </w:tc>
        <w:tc>
          <w:tcPr>
            <w:tcW w:w="1829" w:type="dxa"/>
            <w:gridSpan w:val="2"/>
            <w:tcBorders>
              <w:top w:val="single" w:sz="4" w:space="0" w:color="auto"/>
              <w:left w:val="nil"/>
              <w:bottom w:val="single" w:sz="4" w:space="0" w:color="auto"/>
              <w:right w:val="single" w:sz="4" w:space="0" w:color="auto"/>
            </w:tcBorders>
            <w:shd w:val="clear" w:color="auto" w:fill="auto"/>
            <w:hideMark/>
          </w:tcPr>
          <w:p w14:paraId="688ED688" w14:textId="77777777" w:rsidR="00F970D2" w:rsidRPr="006050E8" w:rsidRDefault="00F970D2" w:rsidP="001224CB">
            <w:pPr>
              <w:jc w:val="center"/>
              <w:rPr>
                <w:b/>
                <w:bCs/>
                <w:vanish/>
                <w:sz w:val="16"/>
                <w:szCs w:val="16"/>
                <w:lang w:val="es-ES"/>
              </w:rPr>
            </w:pPr>
            <w:r w:rsidRPr="006050E8">
              <w:rPr>
                <w:b/>
                <w:vanish/>
                <w:sz w:val="16"/>
                <w:lang w:val="es-ES" w:eastAsia="en-CA"/>
              </w:rPr>
              <w:t>2021</w:t>
            </w:r>
          </w:p>
        </w:tc>
        <w:tc>
          <w:tcPr>
            <w:tcW w:w="856" w:type="dxa"/>
            <w:tcBorders>
              <w:top w:val="single" w:sz="4" w:space="0" w:color="auto"/>
              <w:left w:val="nil"/>
              <w:bottom w:val="single" w:sz="4" w:space="0" w:color="auto"/>
              <w:right w:val="single" w:sz="4" w:space="0" w:color="auto"/>
            </w:tcBorders>
            <w:shd w:val="clear" w:color="auto" w:fill="auto"/>
            <w:hideMark/>
          </w:tcPr>
          <w:p w14:paraId="4AC91AF6" w14:textId="77777777" w:rsidR="00F970D2" w:rsidRPr="006050E8" w:rsidRDefault="00F970D2" w:rsidP="001224CB">
            <w:pPr>
              <w:jc w:val="center"/>
              <w:rPr>
                <w:b/>
                <w:bCs/>
                <w:vanish/>
                <w:sz w:val="16"/>
                <w:szCs w:val="16"/>
                <w:lang w:val="es-ES"/>
              </w:rPr>
            </w:pPr>
            <w:r w:rsidRPr="006050E8">
              <w:rPr>
                <w:b/>
                <w:vanish/>
                <w:sz w:val="16"/>
                <w:lang w:val="es-ES" w:eastAsia="en-CA"/>
              </w:rPr>
              <w:t>2022</w:t>
            </w:r>
          </w:p>
        </w:tc>
      </w:tr>
      <w:tr w:rsidR="00F970D2" w:rsidRPr="006050E8" w14:paraId="16CBE653" w14:textId="77777777" w:rsidTr="001224CB">
        <w:trPr>
          <w:trHeight w:val="50"/>
          <w:hidden/>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66AE522" w14:textId="77777777" w:rsidR="00F970D2" w:rsidRPr="006050E8" w:rsidRDefault="00F970D2" w:rsidP="001224CB">
            <w:pPr>
              <w:jc w:val="left"/>
              <w:rPr>
                <w:b/>
                <w:bCs/>
                <w:vanish/>
                <w:sz w:val="16"/>
                <w:szCs w:val="16"/>
                <w:lang w:val="es-ES" w:eastAsia="en-CA"/>
              </w:rPr>
            </w:pPr>
          </w:p>
        </w:tc>
        <w:tc>
          <w:tcPr>
            <w:tcW w:w="856" w:type="dxa"/>
            <w:tcBorders>
              <w:top w:val="nil"/>
              <w:left w:val="nil"/>
              <w:bottom w:val="single" w:sz="4" w:space="0" w:color="auto"/>
              <w:right w:val="single" w:sz="4" w:space="0" w:color="auto"/>
            </w:tcBorders>
            <w:shd w:val="clear" w:color="auto" w:fill="auto"/>
            <w:hideMark/>
          </w:tcPr>
          <w:p w14:paraId="7DE54D12"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60CAB854"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5C0E540B"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2CBB088F"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1E441245"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347D9D03"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933" w:type="dxa"/>
            <w:tcBorders>
              <w:top w:val="nil"/>
              <w:left w:val="nil"/>
              <w:bottom w:val="single" w:sz="4" w:space="0" w:color="auto"/>
              <w:right w:val="single" w:sz="4" w:space="0" w:color="auto"/>
            </w:tcBorders>
            <w:shd w:val="clear" w:color="auto" w:fill="auto"/>
            <w:hideMark/>
          </w:tcPr>
          <w:p w14:paraId="51FD3B8E"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7AE28AA7"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single" w:sz="4" w:space="0" w:color="auto"/>
              <w:bottom w:val="single" w:sz="4" w:space="0" w:color="auto"/>
              <w:right w:val="single" w:sz="4" w:space="0" w:color="auto"/>
            </w:tcBorders>
            <w:shd w:val="clear" w:color="auto" w:fill="auto"/>
            <w:hideMark/>
          </w:tcPr>
          <w:p w14:paraId="5FEE213A"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919" w:type="dxa"/>
            <w:tcBorders>
              <w:top w:val="nil"/>
              <w:left w:val="nil"/>
              <w:bottom w:val="single" w:sz="4" w:space="0" w:color="auto"/>
              <w:right w:val="single" w:sz="4" w:space="0" w:color="auto"/>
            </w:tcBorders>
            <w:shd w:val="clear" w:color="auto" w:fill="auto"/>
            <w:hideMark/>
          </w:tcPr>
          <w:p w14:paraId="4D7D91F3" w14:textId="77777777" w:rsidR="00F970D2" w:rsidRPr="006050E8" w:rsidRDefault="00F970D2" w:rsidP="001224CB">
            <w:pPr>
              <w:jc w:val="center"/>
              <w:rPr>
                <w:b/>
                <w:bCs/>
                <w:vanish/>
                <w:sz w:val="16"/>
                <w:szCs w:val="16"/>
                <w:lang w:val="es-ES"/>
              </w:rPr>
            </w:pPr>
            <w:r w:rsidRPr="006050E8">
              <w:rPr>
                <w:b/>
                <w:vanish/>
                <w:sz w:val="16"/>
                <w:lang w:val="es-ES" w:eastAsia="en-CA"/>
              </w:rPr>
              <w:t>Budget</w:t>
            </w:r>
          </w:p>
        </w:tc>
        <w:tc>
          <w:tcPr>
            <w:tcW w:w="910" w:type="dxa"/>
            <w:tcBorders>
              <w:top w:val="nil"/>
              <w:left w:val="nil"/>
              <w:bottom w:val="single" w:sz="4" w:space="0" w:color="auto"/>
              <w:right w:val="single" w:sz="4" w:space="0" w:color="auto"/>
            </w:tcBorders>
            <w:shd w:val="clear" w:color="auto" w:fill="auto"/>
            <w:hideMark/>
          </w:tcPr>
          <w:p w14:paraId="6554F5FC" w14:textId="77777777" w:rsidR="00F970D2" w:rsidRPr="006050E8" w:rsidRDefault="00F970D2" w:rsidP="001224CB">
            <w:pPr>
              <w:jc w:val="center"/>
              <w:rPr>
                <w:b/>
                <w:bCs/>
                <w:vanish/>
                <w:sz w:val="16"/>
                <w:szCs w:val="16"/>
                <w:lang w:val="es-ES"/>
              </w:rPr>
            </w:pPr>
            <w:r w:rsidRPr="006050E8">
              <w:rPr>
                <w:b/>
                <w:vanish/>
                <w:sz w:val="16"/>
                <w:lang w:val="es-ES" w:eastAsia="en-CA"/>
              </w:rPr>
              <w:t>Estimated</w:t>
            </w:r>
          </w:p>
        </w:tc>
        <w:tc>
          <w:tcPr>
            <w:tcW w:w="856" w:type="dxa"/>
            <w:tcBorders>
              <w:top w:val="nil"/>
              <w:left w:val="nil"/>
              <w:bottom w:val="single" w:sz="4" w:space="0" w:color="auto"/>
              <w:right w:val="single" w:sz="4" w:space="0" w:color="auto"/>
            </w:tcBorders>
            <w:shd w:val="clear" w:color="auto" w:fill="auto"/>
            <w:hideMark/>
          </w:tcPr>
          <w:p w14:paraId="076DB52B" w14:textId="77777777" w:rsidR="00F970D2" w:rsidRPr="006050E8" w:rsidRDefault="00F970D2" w:rsidP="001224CB">
            <w:pPr>
              <w:jc w:val="center"/>
              <w:rPr>
                <w:b/>
                <w:bCs/>
                <w:vanish/>
                <w:sz w:val="16"/>
                <w:szCs w:val="16"/>
                <w:lang w:val="es-ES"/>
              </w:rPr>
            </w:pPr>
            <w:r w:rsidRPr="006050E8">
              <w:rPr>
                <w:b/>
                <w:vanish/>
                <w:sz w:val="16"/>
                <w:lang w:val="es-ES" w:eastAsia="en-CA"/>
              </w:rPr>
              <w:t>Proposed</w:t>
            </w:r>
          </w:p>
        </w:tc>
      </w:tr>
      <w:tr w:rsidR="00F970D2" w:rsidRPr="006050E8" w14:paraId="79F5FE1E" w14:textId="77777777" w:rsidTr="001224CB">
        <w:trPr>
          <w:trHeight w:val="59"/>
          <w:hidden/>
        </w:trPr>
        <w:tc>
          <w:tcPr>
            <w:tcW w:w="3828" w:type="dxa"/>
            <w:tcBorders>
              <w:top w:val="nil"/>
              <w:left w:val="single" w:sz="4" w:space="0" w:color="auto"/>
              <w:bottom w:val="single" w:sz="4" w:space="0" w:color="auto"/>
              <w:right w:val="single" w:sz="4" w:space="0" w:color="auto"/>
            </w:tcBorders>
            <w:shd w:val="clear" w:color="auto" w:fill="auto"/>
            <w:hideMark/>
          </w:tcPr>
          <w:p w14:paraId="274FBE5E" w14:textId="77777777" w:rsidR="00F970D2" w:rsidRPr="006050E8" w:rsidRDefault="00F970D2" w:rsidP="001224CB">
            <w:pPr>
              <w:jc w:val="left"/>
              <w:rPr>
                <w:b/>
                <w:bCs/>
                <w:vanish/>
                <w:sz w:val="16"/>
                <w:szCs w:val="16"/>
                <w:lang w:val="es-ES"/>
              </w:rPr>
            </w:pPr>
            <w:r w:rsidRPr="006050E8">
              <w:rPr>
                <w:b/>
                <w:vanish/>
                <w:sz w:val="16"/>
                <w:lang w:val="es-ES" w:eastAsia="en-CA"/>
              </w:rPr>
              <w:t>A. Core unit</w:t>
            </w:r>
          </w:p>
        </w:tc>
        <w:tc>
          <w:tcPr>
            <w:tcW w:w="856" w:type="dxa"/>
            <w:tcBorders>
              <w:top w:val="nil"/>
              <w:left w:val="nil"/>
              <w:bottom w:val="single" w:sz="4" w:space="0" w:color="auto"/>
              <w:right w:val="single" w:sz="4" w:space="0" w:color="auto"/>
            </w:tcBorders>
            <w:shd w:val="clear" w:color="auto" w:fill="auto"/>
            <w:hideMark/>
          </w:tcPr>
          <w:p w14:paraId="3946E92D"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706C32B2"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01E1BE38"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4C4B1F05"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78F1D0E4"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6FE7B602"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33" w:type="dxa"/>
            <w:tcBorders>
              <w:top w:val="nil"/>
              <w:left w:val="nil"/>
              <w:bottom w:val="single" w:sz="4" w:space="0" w:color="auto"/>
              <w:right w:val="single" w:sz="4" w:space="0" w:color="auto"/>
            </w:tcBorders>
            <w:shd w:val="clear" w:color="auto" w:fill="auto"/>
            <w:noWrap/>
            <w:vAlign w:val="bottom"/>
            <w:hideMark/>
          </w:tcPr>
          <w:p w14:paraId="273E5C3F"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1E65978F"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A74050B"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9" w:type="dxa"/>
            <w:tcBorders>
              <w:top w:val="nil"/>
              <w:left w:val="nil"/>
              <w:bottom w:val="single" w:sz="4" w:space="0" w:color="auto"/>
              <w:right w:val="single" w:sz="4" w:space="0" w:color="auto"/>
            </w:tcBorders>
            <w:shd w:val="clear" w:color="auto" w:fill="auto"/>
            <w:noWrap/>
            <w:vAlign w:val="bottom"/>
            <w:hideMark/>
          </w:tcPr>
          <w:p w14:paraId="0FF24466"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5C36C8E1"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CC5590C"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51F77B1D"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hideMark/>
          </w:tcPr>
          <w:p w14:paraId="6D22C027" w14:textId="77777777" w:rsidR="00F970D2" w:rsidRPr="006050E8" w:rsidRDefault="00F970D2" w:rsidP="001224CB">
            <w:pPr>
              <w:rPr>
                <w:vanish/>
                <w:sz w:val="16"/>
                <w:szCs w:val="16"/>
                <w:lang w:val="es-ES"/>
              </w:rPr>
            </w:pPr>
            <w:r w:rsidRPr="006050E8">
              <w:rPr>
                <w:vanish/>
                <w:sz w:val="16"/>
                <w:lang w:val="es-ES" w:eastAsia="en-CA"/>
              </w:rPr>
              <w:t>Core unit personnel and contractual staff</w:t>
            </w:r>
          </w:p>
        </w:tc>
        <w:tc>
          <w:tcPr>
            <w:tcW w:w="856" w:type="dxa"/>
            <w:tcBorders>
              <w:top w:val="nil"/>
              <w:left w:val="nil"/>
              <w:bottom w:val="single" w:sz="4" w:space="0" w:color="auto"/>
              <w:right w:val="single" w:sz="4" w:space="0" w:color="auto"/>
            </w:tcBorders>
            <w:shd w:val="clear" w:color="auto" w:fill="auto"/>
            <w:hideMark/>
          </w:tcPr>
          <w:p w14:paraId="693290BA" w14:textId="77777777" w:rsidR="00F970D2" w:rsidRPr="006050E8" w:rsidRDefault="00F970D2" w:rsidP="001224CB">
            <w:pPr>
              <w:jc w:val="right"/>
              <w:rPr>
                <w:vanish/>
                <w:sz w:val="16"/>
                <w:szCs w:val="16"/>
                <w:lang w:val="es-ES"/>
              </w:rPr>
            </w:pPr>
            <w:r w:rsidRPr="006050E8">
              <w:rPr>
                <w:vanish/>
                <w:sz w:val="16"/>
                <w:lang w:val="es-ES" w:eastAsia="en-CA"/>
              </w:rPr>
              <w:t>2,171,918</w:t>
            </w:r>
          </w:p>
        </w:tc>
        <w:tc>
          <w:tcPr>
            <w:tcW w:w="856" w:type="dxa"/>
            <w:tcBorders>
              <w:top w:val="nil"/>
              <w:left w:val="nil"/>
              <w:bottom w:val="single" w:sz="4" w:space="0" w:color="auto"/>
              <w:right w:val="single" w:sz="4" w:space="0" w:color="auto"/>
            </w:tcBorders>
            <w:shd w:val="clear" w:color="auto" w:fill="auto"/>
            <w:hideMark/>
          </w:tcPr>
          <w:p w14:paraId="53E71373" w14:textId="77777777" w:rsidR="00F970D2" w:rsidRPr="006050E8" w:rsidRDefault="00F970D2" w:rsidP="001224CB">
            <w:pPr>
              <w:jc w:val="right"/>
              <w:rPr>
                <w:vanish/>
                <w:sz w:val="16"/>
                <w:szCs w:val="16"/>
                <w:lang w:val="es-ES"/>
              </w:rPr>
            </w:pPr>
            <w:r w:rsidRPr="006050E8">
              <w:rPr>
                <w:vanish/>
                <w:sz w:val="16"/>
                <w:lang w:val="es-ES" w:eastAsia="en-CA"/>
              </w:rPr>
              <w:t>2,076,816</w:t>
            </w:r>
          </w:p>
        </w:tc>
        <w:tc>
          <w:tcPr>
            <w:tcW w:w="856" w:type="dxa"/>
            <w:tcBorders>
              <w:top w:val="nil"/>
              <w:left w:val="nil"/>
              <w:bottom w:val="single" w:sz="4" w:space="0" w:color="auto"/>
              <w:right w:val="single" w:sz="4" w:space="0" w:color="auto"/>
            </w:tcBorders>
            <w:shd w:val="clear" w:color="auto" w:fill="auto"/>
            <w:hideMark/>
          </w:tcPr>
          <w:p w14:paraId="62E2017C" w14:textId="77777777" w:rsidR="00F970D2" w:rsidRPr="006050E8" w:rsidRDefault="00F970D2" w:rsidP="001224CB">
            <w:pPr>
              <w:jc w:val="right"/>
              <w:rPr>
                <w:vanish/>
                <w:sz w:val="16"/>
                <w:szCs w:val="16"/>
                <w:lang w:val="es-ES"/>
              </w:rPr>
            </w:pPr>
            <w:r w:rsidRPr="006050E8">
              <w:rPr>
                <w:vanish/>
                <w:sz w:val="16"/>
                <w:lang w:val="es-ES" w:eastAsia="en-CA"/>
              </w:rPr>
              <w:t>2,050,914</w:t>
            </w:r>
          </w:p>
        </w:tc>
        <w:tc>
          <w:tcPr>
            <w:tcW w:w="856" w:type="dxa"/>
            <w:tcBorders>
              <w:top w:val="nil"/>
              <w:left w:val="nil"/>
              <w:bottom w:val="single" w:sz="4" w:space="0" w:color="auto"/>
              <w:right w:val="single" w:sz="4" w:space="0" w:color="auto"/>
            </w:tcBorders>
            <w:shd w:val="clear" w:color="auto" w:fill="auto"/>
            <w:hideMark/>
          </w:tcPr>
          <w:p w14:paraId="135FE2AB" w14:textId="77777777" w:rsidR="00F970D2" w:rsidRPr="006050E8" w:rsidRDefault="00F970D2" w:rsidP="001224CB">
            <w:pPr>
              <w:jc w:val="right"/>
              <w:rPr>
                <w:vanish/>
                <w:sz w:val="16"/>
                <w:szCs w:val="16"/>
                <w:lang w:val="es-ES"/>
              </w:rPr>
            </w:pPr>
            <w:r w:rsidRPr="006050E8">
              <w:rPr>
                <w:vanish/>
                <w:sz w:val="16"/>
                <w:lang w:val="es-ES" w:eastAsia="en-CA"/>
              </w:rPr>
              <w:t>1,991,859</w:t>
            </w:r>
          </w:p>
        </w:tc>
        <w:tc>
          <w:tcPr>
            <w:tcW w:w="856" w:type="dxa"/>
            <w:tcBorders>
              <w:top w:val="nil"/>
              <w:left w:val="nil"/>
              <w:bottom w:val="single" w:sz="4" w:space="0" w:color="auto"/>
              <w:right w:val="single" w:sz="4" w:space="0" w:color="auto"/>
            </w:tcBorders>
            <w:shd w:val="clear" w:color="auto" w:fill="auto"/>
            <w:hideMark/>
          </w:tcPr>
          <w:p w14:paraId="60876DD2" w14:textId="77777777" w:rsidR="00F970D2" w:rsidRPr="006050E8" w:rsidRDefault="00F970D2" w:rsidP="001224CB">
            <w:pPr>
              <w:jc w:val="right"/>
              <w:rPr>
                <w:vanish/>
                <w:sz w:val="16"/>
                <w:szCs w:val="16"/>
                <w:lang w:val="es-ES"/>
              </w:rPr>
            </w:pPr>
            <w:r w:rsidRPr="006050E8">
              <w:rPr>
                <w:vanish/>
                <w:sz w:val="16"/>
                <w:lang w:val="es-ES" w:eastAsia="en-CA"/>
              </w:rPr>
              <w:t>2,043,505</w:t>
            </w:r>
          </w:p>
        </w:tc>
        <w:tc>
          <w:tcPr>
            <w:tcW w:w="856" w:type="dxa"/>
            <w:tcBorders>
              <w:top w:val="nil"/>
              <w:left w:val="nil"/>
              <w:bottom w:val="single" w:sz="4" w:space="0" w:color="auto"/>
              <w:right w:val="single" w:sz="4" w:space="0" w:color="auto"/>
            </w:tcBorders>
            <w:shd w:val="clear" w:color="auto" w:fill="auto"/>
            <w:hideMark/>
          </w:tcPr>
          <w:p w14:paraId="468CF7DE" w14:textId="77777777" w:rsidR="00F970D2" w:rsidRPr="006050E8" w:rsidRDefault="00F970D2" w:rsidP="001224CB">
            <w:pPr>
              <w:jc w:val="right"/>
              <w:rPr>
                <w:vanish/>
                <w:sz w:val="16"/>
                <w:szCs w:val="16"/>
                <w:lang w:val="es-ES"/>
              </w:rPr>
            </w:pPr>
            <w:r w:rsidRPr="006050E8">
              <w:rPr>
                <w:vanish/>
                <w:sz w:val="16"/>
                <w:lang w:val="es-ES" w:eastAsia="en-CA"/>
              </w:rPr>
              <w:t>2,305,838</w:t>
            </w:r>
          </w:p>
        </w:tc>
        <w:tc>
          <w:tcPr>
            <w:tcW w:w="933" w:type="dxa"/>
            <w:tcBorders>
              <w:top w:val="nil"/>
              <w:left w:val="nil"/>
              <w:bottom w:val="single" w:sz="4" w:space="0" w:color="auto"/>
              <w:right w:val="single" w:sz="4" w:space="0" w:color="auto"/>
            </w:tcBorders>
            <w:shd w:val="clear" w:color="auto" w:fill="auto"/>
            <w:hideMark/>
          </w:tcPr>
          <w:p w14:paraId="290DCCAD" w14:textId="77777777" w:rsidR="00F970D2" w:rsidRPr="006050E8" w:rsidRDefault="00F970D2" w:rsidP="001224CB">
            <w:pPr>
              <w:jc w:val="right"/>
              <w:rPr>
                <w:vanish/>
                <w:sz w:val="16"/>
                <w:szCs w:val="16"/>
                <w:lang w:val="es-ES"/>
              </w:rPr>
            </w:pPr>
            <w:r w:rsidRPr="006050E8">
              <w:rPr>
                <w:vanish/>
                <w:sz w:val="16"/>
                <w:lang w:val="es-ES" w:eastAsia="en-CA"/>
              </w:rPr>
              <w:t>2,375,437</w:t>
            </w:r>
          </w:p>
        </w:tc>
        <w:tc>
          <w:tcPr>
            <w:tcW w:w="856" w:type="dxa"/>
            <w:tcBorders>
              <w:top w:val="nil"/>
              <w:left w:val="nil"/>
              <w:bottom w:val="single" w:sz="4" w:space="0" w:color="auto"/>
              <w:right w:val="single" w:sz="4" w:space="0" w:color="auto"/>
            </w:tcBorders>
            <w:shd w:val="clear" w:color="auto" w:fill="auto"/>
            <w:hideMark/>
          </w:tcPr>
          <w:p w14:paraId="1171D833" w14:textId="77777777" w:rsidR="00F970D2" w:rsidRPr="006050E8" w:rsidRDefault="00F970D2" w:rsidP="001224CB">
            <w:pPr>
              <w:jc w:val="right"/>
              <w:rPr>
                <w:vanish/>
                <w:sz w:val="16"/>
                <w:szCs w:val="16"/>
                <w:lang w:val="es-ES"/>
              </w:rPr>
            </w:pPr>
            <w:r w:rsidRPr="006050E8">
              <w:rPr>
                <w:vanish/>
                <w:sz w:val="16"/>
                <w:lang w:val="es-ES" w:eastAsia="en-CA"/>
              </w:rPr>
              <w:t>2,379,866</w:t>
            </w:r>
          </w:p>
        </w:tc>
        <w:tc>
          <w:tcPr>
            <w:tcW w:w="856" w:type="dxa"/>
            <w:tcBorders>
              <w:top w:val="nil"/>
              <w:left w:val="single" w:sz="4" w:space="0" w:color="auto"/>
              <w:bottom w:val="single" w:sz="4" w:space="0" w:color="auto"/>
              <w:right w:val="single" w:sz="4" w:space="0" w:color="auto"/>
            </w:tcBorders>
            <w:shd w:val="clear" w:color="auto" w:fill="auto"/>
            <w:hideMark/>
          </w:tcPr>
          <w:p w14:paraId="577FDDB7" w14:textId="77777777" w:rsidR="00F970D2" w:rsidRPr="006050E8" w:rsidRDefault="00F970D2" w:rsidP="001224CB">
            <w:pPr>
              <w:jc w:val="right"/>
              <w:rPr>
                <w:vanish/>
                <w:sz w:val="16"/>
                <w:szCs w:val="16"/>
                <w:lang w:val="es-ES"/>
              </w:rPr>
            </w:pPr>
            <w:r w:rsidRPr="006050E8">
              <w:rPr>
                <w:vanish/>
                <w:sz w:val="16"/>
                <w:lang w:val="es-ES" w:eastAsia="en-CA"/>
              </w:rPr>
              <w:t>2,316,147</w:t>
            </w:r>
          </w:p>
        </w:tc>
        <w:tc>
          <w:tcPr>
            <w:tcW w:w="919" w:type="dxa"/>
            <w:tcBorders>
              <w:top w:val="nil"/>
              <w:left w:val="nil"/>
              <w:bottom w:val="single" w:sz="4" w:space="0" w:color="auto"/>
              <w:right w:val="single" w:sz="4" w:space="0" w:color="auto"/>
            </w:tcBorders>
            <w:shd w:val="clear" w:color="auto" w:fill="auto"/>
            <w:hideMark/>
          </w:tcPr>
          <w:p w14:paraId="5F69905E" w14:textId="77777777" w:rsidR="00F970D2" w:rsidRPr="006050E8" w:rsidRDefault="00F970D2" w:rsidP="001224CB">
            <w:pPr>
              <w:jc w:val="right"/>
              <w:rPr>
                <w:vanish/>
                <w:sz w:val="16"/>
                <w:szCs w:val="16"/>
                <w:lang w:val="es-ES"/>
              </w:rPr>
            </w:pPr>
            <w:r w:rsidRPr="006050E8">
              <w:rPr>
                <w:vanish/>
                <w:sz w:val="16"/>
                <w:lang w:val="es-ES" w:eastAsia="en-CA"/>
              </w:rPr>
              <w:t>2,524,800</w:t>
            </w:r>
          </w:p>
        </w:tc>
        <w:tc>
          <w:tcPr>
            <w:tcW w:w="910" w:type="dxa"/>
            <w:tcBorders>
              <w:top w:val="nil"/>
              <w:left w:val="nil"/>
              <w:bottom w:val="single" w:sz="4" w:space="0" w:color="auto"/>
              <w:right w:val="single" w:sz="4" w:space="0" w:color="auto"/>
            </w:tcBorders>
            <w:shd w:val="clear" w:color="auto" w:fill="auto"/>
            <w:noWrap/>
            <w:hideMark/>
          </w:tcPr>
          <w:p w14:paraId="6FD44CA6" w14:textId="77777777" w:rsidR="00F970D2" w:rsidRPr="006050E8" w:rsidRDefault="00F970D2" w:rsidP="001224CB">
            <w:pPr>
              <w:jc w:val="right"/>
              <w:rPr>
                <w:vanish/>
                <w:sz w:val="16"/>
                <w:szCs w:val="16"/>
                <w:lang w:val="es-ES"/>
              </w:rPr>
            </w:pPr>
            <w:r w:rsidRPr="006050E8">
              <w:rPr>
                <w:vanish/>
                <w:sz w:val="16"/>
                <w:lang w:val="es-ES" w:eastAsia="en-CA"/>
              </w:rPr>
              <w:t>2,385,632</w:t>
            </w:r>
          </w:p>
        </w:tc>
        <w:tc>
          <w:tcPr>
            <w:tcW w:w="856" w:type="dxa"/>
            <w:tcBorders>
              <w:top w:val="nil"/>
              <w:left w:val="nil"/>
              <w:bottom w:val="single" w:sz="4" w:space="0" w:color="auto"/>
              <w:right w:val="single" w:sz="4" w:space="0" w:color="auto"/>
            </w:tcBorders>
            <w:shd w:val="clear" w:color="auto" w:fill="auto"/>
            <w:noWrap/>
            <w:hideMark/>
          </w:tcPr>
          <w:p w14:paraId="3E8D68BA" w14:textId="77777777" w:rsidR="00F970D2" w:rsidRPr="006050E8" w:rsidRDefault="00F970D2" w:rsidP="001224CB">
            <w:pPr>
              <w:jc w:val="right"/>
              <w:rPr>
                <w:vanish/>
                <w:sz w:val="16"/>
                <w:szCs w:val="16"/>
                <w:lang w:val="es-ES"/>
              </w:rPr>
            </w:pPr>
            <w:r w:rsidRPr="006050E8">
              <w:rPr>
                <w:vanish/>
                <w:sz w:val="16"/>
                <w:lang w:val="es-ES" w:eastAsia="en-CA"/>
              </w:rPr>
              <w:t>2,457,201</w:t>
            </w:r>
          </w:p>
        </w:tc>
      </w:tr>
      <w:tr w:rsidR="00F970D2" w:rsidRPr="006050E8" w14:paraId="37B057F0"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hideMark/>
          </w:tcPr>
          <w:p w14:paraId="1E3AF5AF" w14:textId="77777777" w:rsidR="00F970D2" w:rsidRPr="006050E8" w:rsidRDefault="00F970D2" w:rsidP="001224CB">
            <w:pPr>
              <w:rPr>
                <w:vanish/>
                <w:sz w:val="16"/>
                <w:szCs w:val="16"/>
                <w:lang w:val="es-ES"/>
              </w:rPr>
            </w:pPr>
            <w:r w:rsidRPr="006050E8">
              <w:rPr>
                <w:vanish/>
                <w:sz w:val="16"/>
                <w:lang w:val="es-ES" w:eastAsia="en-CA"/>
              </w:rPr>
              <w:t>Travel (staff and consultant)</w:t>
            </w:r>
          </w:p>
        </w:tc>
        <w:tc>
          <w:tcPr>
            <w:tcW w:w="856" w:type="dxa"/>
            <w:tcBorders>
              <w:top w:val="nil"/>
              <w:left w:val="nil"/>
              <w:bottom w:val="single" w:sz="4" w:space="0" w:color="auto"/>
              <w:right w:val="single" w:sz="4" w:space="0" w:color="auto"/>
            </w:tcBorders>
            <w:shd w:val="clear" w:color="auto" w:fill="auto"/>
            <w:hideMark/>
          </w:tcPr>
          <w:p w14:paraId="56EFEE80" w14:textId="77777777" w:rsidR="00F970D2" w:rsidRPr="006050E8" w:rsidRDefault="00F970D2" w:rsidP="001224CB">
            <w:pPr>
              <w:jc w:val="right"/>
              <w:rPr>
                <w:vanish/>
                <w:sz w:val="16"/>
                <w:szCs w:val="16"/>
                <w:lang w:val="es-ES"/>
              </w:rPr>
            </w:pPr>
            <w:r w:rsidRPr="006050E8">
              <w:rPr>
                <w:vanish/>
                <w:sz w:val="16"/>
                <w:lang w:val="es-ES" w:eastAsia="en-CA"/>
              </w:rPr>
              <w:t>261,674</w:t>
            </w:r>
          </w:p>
        </w:tc>
        <w:tc>
          <w:tcPr>
            <w:tcW w:w="856" w:type="dxa"/>
            <w:tcBorders>
              <w:top w:val="nil"/>
              <w:left w:val="nil"/>
              <w:bottom w:val="single" w:sz="4" w:space="0" w:color="auto"/>
              <w:right w:val="single" w:sz="4" w:space="0" w:color="auto"/>
            </w:tcBorders>
            <w:shd w:val="clear" w:color="auto" w:fill="auto"/>
            <w:hideMark/>
          </w:tcPr>
          <w:p w14:paraId="4D9D799E" w14:textId="77777777" w:rsidR="00F970D2" w:rsidRPr="006050E8" w:rsidRDefault="00F970D2" w:rsidP="001224CB">
            <w:pPr>
              <w:jc w:val="right"/>
              <w:rPr>
                <w:vanish/>
                <w:sz w:val="16"/>
                <w:szCs w:val="16"/>
                <w:lang w:val="es-ES"/>
              </w:rPr>
            </w:pPr>
            <w:r w:rsidRPr="006050E8">
              <w:rPr>
                <w:vanish/>
                <w:sz w:val="16"/>
                <w:lang w:val="es-ES" w:eastAsia="en-CA"/>
              </w:rPr>
              <w:t>249,131</w:t>
            </w:r>
          </w:p>
        </w:tc>
        <w:tc>
          <w:tcPr>
            <w:tcW w:w="856" w:type="dxa"/>
            <w:tcBorders>
              <w:top w:val="nil"/>
              <w:left w:val="nil"/>
              <w:bottom w:val="single" w:sz="4" w:space="0" w:color="auto"/>
              <w:right w:val="single" w:sz="4" w:space="0" w:color="auto"/>
            </w:tcBorders>
            <w:shd w:val="clear" w:color="auto" w:fill="auto"/>
            <w:hideMark/>
          </w:tcPr>
          <w:p w14:paraId="2D4F896D" w14:textId="77777777" w:rsidR="00F970D2" w:rsidRPr="006050E8" w:rsidRDefault="00F970D2" w:rsidP="001224CB">
            <w:pPr>
              <w:jc w:val="right"/>
              <w:rPr>
                <w:vanish/>
                <w:sz w:val="16"/>
                <w:szCs w:val="16"/>
                <w:lang w:val="es-ES"/>
              </w:rPr>
            </w:pPr>
            <w:r w:rsidRPr="006050E8">
              <w:rPr>
                <w:vanish/>
                <w:sz w:val="16"/>
                <w:lang w:val="es-ES" w:eastAsia="en-CA"/>
              </w:rPr>
              <w:t>163,639</w:t>
            </w:r>
          </w:p>
        </w:tc>
        <w:tc>
          <w:tcPr>
            <w:tcW w:w="856" w:type="dxa"/>
            <w:tcBorders>
              <w:top w:val="nil"/>
              <w:left w:val="nil"/>
              <w:bottom w:val="single" w:sz="4" w:space="0" w:color="auto"/>
              <w:right w:val="single" w:sz="4" w:space="0" w:color="auto"/>
            </w:tcBorders>
            <w:shd w:val="clear" w:color="auto" w:fill="auto"/>
            <w:hideMark/>
          </w:tcPr>
          <w:p w14:paraId="5F57EB12" w14:textId="77777777" w:rsidR="00F970D2" w:rsidRPr="006050E8" w:rsidRDefault="00F970D2" w:rsidP="001224CB">
            <w:pPr>
              <w:jc w:val="right"/>
              <w:rPr>
                <w:vanish/>
                <w:sz w:val="16"/>
                <w:szCs w:val="16"/>
                <w:lang w:val="es-ES"/>
              </w:rPr>
            </w:pPr>
            <w:r w:rsidRPr="006050E8">
              <w:rPr>
                <w:vanish/>
                <w:sz w:val="16"/>
                <w:lang w:val="es-ES" w:eastAsia="en-CA"/>
              </w:rPr>
              <w:t>168,418</w:t>
            </w:r>
          </w:p>
        </w:tc>
        <w:tc>
          <w:tcPr>
            <w:tcW w:w="856" w:type="dxa"/>
            <w:tcBorders>
              <w:top w:val="nil"/>
              <w:left w:val="nil"/>
              <w:bottom w:val="single" w:sz="4" w:space="0" w:color="auto"/>
              <w:right w:val="single" w:sz="4" w:space="0" w:color="auto"/>
            </w:tcBorders>
            <w:shd w:val="clear" w:color="auto" w:fill="auto"/>
            <w:hideMark/>
          </w:tcPr>
          <w:p w14:paraId="4AE1EE86" w14:textId="77777777" w:rsidR="00F970D2" w:rsidRPr="006050E8" w:rsidRDefault="00F970D2" w:rsidP="001224CB">
            <w:pPr>
              <w:jc w:val="right"/>
              <w:rPr>
                <w:vanish/>
                <w:sz w:val="16"/>
                <w:szCs w:val="16"/>
                <w:lang w:val="es-ES"/>
              </w:rPr>
            </w:pPr>
            <w:r w:rsidRPr="006050E8">
              <w:rPr>
                <w:vanish/>
                <w:sz w:val="16"/>
                <w:lang w:val="es-ES" w:eastAsia="en-CA"/>
              </w:rPr>
              <w:t>155,061</w:t>
            </w:r>
          </w:p>
        </w:tc>
        <w:tc>
          <w:tcPr>
            <w:tcW w:w="856" w:type="dxa"/>
            <w:tcBorders>
              <w:top w:val="nil"/>
              <w:left w:val="nil"/>
              <w:bottom w:val="single" w:sz="4" w:space="0" w:color="auto"/>
              <w:right w:val="single" w:sz="4" w:space="0" w:color="auto"/>
            </w:tcBorders>
            <w:shd w:val="clear" w:color="auto" w:fill="auto"/>
            <w:hideMark/>
          </w:tcPr>
          <w:p w14:paraId="5888747A" w14:textId="77777777" w:rsidR="00F970D2" w:rsidRPr="006050E8" w:rsidRDefault="00F970D2" w:rsidP="001224CB">
            <w:pPr>
              <w:jc w:val="right"/>
              <w:rPr>
                <w:vanish/>
                <w:sz w:val="16"/>
                <w:szCs w:val="16"/>
                <w:lang w:val="es-ES"/>
              </w:rPr>
            </w:pPr>
            <w:r w:rsidRPr="006050E8">
              <w:rPr>
                <w:vanish/>
                <w:sz w:val="16"/>
                <w:lang w:val="es-ES" w:eastAsia="en-CA"/>
              </w:rPr>
              <w:t>173,099</w:t>
            </w:r>
          </w:p>
        </w:tc>
        <w:tc>
          <w:tcPr>
            <w:tcW w:w="933" w:type="dxa"/>
            <w:tcBorders>
              <w:top w:val="nil"/>
              <w:left w:val="nil"/>
              <w:bottom w:val="single" w:sz="4" w:space="0" w:color="auto"/>
              <w:right w:val="single" w:sz="4" w:space="0" w:color="auto"/>
            </w:tcBorders>
            <w:shd w:val="clear" w:color="auto" w:fill="auto"/>
            <w:hideMark/>
          </w:tcPr>
          <w:p w14:paraId="05E95872" w14:textId="77777777" w:rsidR="00F970D2" w:rsidRPr="006050E8" w:rsidRDefault="00F970D2" w:rsidP="001224CB">
            <w:pPr>
              <w:jc w:val="right"/>
              <w:rPr>
                <w:vanish/>
                <w:sz w:val="16"/>
                <w:szCs w:val="16"/>
                <w:lang w:val="es-ES"/>
              </w:rPr>
            </w:pPr>
            <w:r w:rsidRPr="006050E8">
              <w:rPr>
                <w:vanish/>
                <w:sz w:val="16"/>
                <w:lang w:val="es-ES" w:eastAsia="en-CA"/>
              </w:rPr>
              <w:t>176,170</w:t>
            </w:r>
          </w:p>
        </w:tc>
        <w:tc>
          <w:tcPr>
            <w:tcW w:w="856" w:type="dxa"/>
            <w:tcBorders>
              <w:top w:val="nil"/>
              <w:left w:val="nil"/>
              <w:bottom w:val="single" w:sz="4" w:space="0" w:color="auto"/>
              <w:right w:val="single" w:sz="4" w:space="0" w:color="auto"/>
            </w:tcBorders>
            <w:shd w:val="clear" w:color="auto" w:fill="auto"/>
            <w:hideMark/>
          </w:tcPr>
          <w:p w14:paraId="63F2C502" w14:textId="77777777" w:rsidR="00F970D2" w:rsidRPr="006050E8" w:rsidRDefault="00F970D2" w:rsidP="001224CB">
            <w:pPr>
              <w:jc w:val="right"/>
              <w:rPr>
                <w:vanish/>
                <w:sz w:val="16"/>
                <w:szCs w:val="16"/>
                <w:lang w:val="es-ES"/>
              </w:rPr>
            </w:pPr>
            <w:r w:rsidRPr="006050E8">
              <w:rPr>
                <w:vanish/>
                <w:sz w:val="16"/>
                <w:lang w:val="es-ES" w:eastAsia="en-CA"/>
              </w:rPr>
              <w:t>182,129</w:t>
            </w:r>
          </w:p>
        </w:tc>
        <w:tc>
          <w:tcPr>
            <w:tcW w:w="856" w:type="dxa"/>
            <w:tcBorders>
              <w:top w:val="nil"/>
              <w:left w:val="single" w:sz="4" w:space="0" w:color="auto"/>
              <w:bottom w:val="single" w:sz="4" w:space="0" w:color="auto"/>
              <w:right w:val="single" w:sz="4" w:space="0" w:color="auto"/>
            </w:tcBorders>
            <w:shd w:val="clear" w:color="auto" w:fill="auto"/>
            <w:hideMark/>
          </w:tcPr>
          <w:p w14:paraId="737CD562" w14:textId="77777777" w:rsidR="00F970D2" w:rsidRPr="006050E8" w:rsidRDefault="00F970D2" w:rsidP="001224CB">
            <w:pPr>
              <w:jc w:val="right"/>
              <w:rPr>
                <w:vanish/>
                <w:sz w:val="16"/>
                <w:szCs w:val="16"/>
                <w:lang w:val="es-ES"/>
              </w:rPr>
            </w:pPr>
            <w:r w:rsidRPr="006050E8">
              <w:rPr>
                <w:vanish/>
                <w:sz w:val="16"/>
                <w:lang w:val="es-ES" w:eastAsia="en-CA"/>
              </w:rPr>
              <w:t>17,032</w:t>
            </w:r>
          </w:p>
        </w:tc>
        <w:tc>
          <w:tcPr>
            <w:tcW w:w="919" w:type="dxa"/>
            <w:tcBorders>
              <w:top w:val="nil"/>
              <w:left w:val="nil"/>
              <w:bottom w:val="single" w:sz="4" w:space="0" w:color="auto"/>
              <w:right w:val="single" w:sz="4" w:space="0" w:color="auto"/>
            </w:tcBorders>
            <w:shd w:val="clear" w:color="auto" w:fill="auto"/>
            <w:hideMark/>
          </w:tcPr>
          <w:p w14:paraId="171313E1" w14:textId="77777777" w:rsidR="00F970D2" w:rsidRPr="006050E8" w:rsidRDefault="00F970D2" w:rsidP="001224CB">
            <w:pPr>
              <w:jc w:val="right"/>
              <w:rPr>
                <w:vanish/>
                <w:sz w:val="16"/>
                <w:szCs w:val="16"/>
                <w:lang w:val="es-ES"/>
              </w:rPr>
            </w:pPr>
            <w:r w:rsidRPr="006050E8">
              <w:rPr>
                <w:vanish/>
                <w:sz w:val="16"/>
                <w:lang w:val="es-ES" w:eastAsia="en-CA"/>
              </w:rPr>
              <w:t>150,000</w:t>
            </w:r>
          </w:p>
        </w:tc>
        <w:tc>
          <w:tcPr>
            <w:tcW w:w="910" w:type="dxa"/>
            <w:tcBorders>
              <w:top w:val="nil"/>
              <w:left w:val="nil"/>
              <w:bottom w:val="single" w:sz="4" w:space="0" w:color="auto"/>
              <w:right w:val="single" w:sz="4" w:space="0" w:color="auto"/>
            </w:tcBorders>
            <w:shd w:val="clear" w:color="auto" w:fill="auto"/>
            <w:noWrap/>
            <w:hideMark/>
          </w:tcPr>
          <w:p w14:paraId="51EE5B34" w14:textId="77777777" w:rsidR="00F970D2" w:rsidRPr="006050E8" w:rsidRDefault="00F970D2" w:rsidP="001224CB">
            <w:pPr>
              <w:jc w:val="right"/>
              <w:rPr>
                <w:vanish/>
                <w:sz w:val="16"/>
                <w:szCs w:val="16"/>
                <w:lang w:val="es-ES"/>
              </w:rPr>
            </w:pPr>
            <w:r w:rsidRPr="006050E8">
              <w:rPr>
                <w:vanish/>
                <w:sz w:val="16"/>
                <w:lang w:val="es-ES" w:eastAsia="en-CA"/>
              </w:rPr>
              <w:t>500</w:t>
            </w:r>
          </w:p>
        </w:tc>
        <w:tc>
          <w:tcPr>
            <w:tcW w:w="856" w:type="dxa"/>
            <w:tcBorders>
              <w:top w:val="nil"/>
              <w:left w:val="nil"/>
              <w:bottom w:val="single" w:sz="4" w:space="0" w:color="auto"/>
              <w:right w:val="single" w:sz="4" w:space="0" w:color="auto"/>
            </w:tcBorders>
            <w:shd w:val="clear" w:color="auto" w:fill="auto"/>
            <w:noWrap/>
            <w:hideMark/>
          </w:tcPr>
          <w:p w14:paraId="402DCA22" w14:textId="77777777" w:rsidR="00F970D2" w:rsidRPr="006050E8" w:rsidRDefault="00F970D2" w:rsidP="001224CB">
            <w:pPr>
              <w:jc w:val="right"/>
              <w:rPr>
                <w:vanish/>
                <w:sz w:val="16"/>
                <w:szCs w:val="16"/>
                <w:lang w:val="es-ES"/>
              </w:rPr>
            </w:pPr>
            <w:r w:rsidRPr="006050E8">
              <w:rPr>
                <w:vanish/>
                <w:sz w:val="16"/>
                <w:lang w:val="es-ES" w:eastAsia="en-CA"/>
              </w:rPr>
              <w:t>150,000</w:t>
            </w:r>
          </w:p>
        </w:tc>
      </w:tr>
      <w:tr w:rsidR="00F970D2" w:rsidRPr="006050E8" w14:paraId="03EE59CD" w14:textId="77777777" w:rsidTr="001224CB">
        <w:trPr>
          <w:trHeight w:val="53"/>
          <w:hidden/>
        </w:trPr>
        <w:tc>
          <w:tcPr>
            <w:tcW w:w="3828" w:type="dxa"/>
            <w:tcBorders>
              <w:top w:val="nil"/>
              <w:left w:val="single" w:sz="4" w:space="0" w:color="auto"/>
              <w:bottom w:val="single" w:sz="4" w:space="0" w:color="auto"/>
              <w:right w:val="single" w:sz="4" w:space="0" w:color="auto"/>
            </w:tcBorders>
            <w:shd w:val="clear" w:color="auto" w:fill="auto"/>
            <w:hideMark/>
          </w:tcPr>
          <w:p w14:paraId="032A6703" w14:textId="77777777" w:rsidR="00F970D2" w:rsidRPr="006050E8" w:rsidRDefault="00F970D2" w:rsidP="001224CB">
            <w:pPr>
              <w:rPr>
                <w:vanish/>
                <w:sz w:val="16"/>
                <w:szCs w:val="16"/>
                <w:lang w:val="es-ES"/>
              </w:rPr>
            </w:pPr>
            <w:r w:rsidRPr="006050E8">
              <w:rPr>
                <w:vanish/>
                <w:sz w:val="16"/>
                <w:lang w:val="es-ES" w:eastAsia="en-CA"/>
              </w:rPr>
              <w:t>Space (rent and common costs)</w:t>
            </w:r>
          </w:p>
        </w:tc>
        <w:tc>
          <w:tcPr>
            <w:tcW w:w="856" w:type="dxa"/>
            <w:tcBorders>
              <w:top w:val="nil"/>
              <w:left w:val="nil"/>
              <w:bottom w:val="single" w:sz="4" w:space="0" w:color="auto"/>
              <w:right w:val="single" w:sz="4" w:space="0" w:color="auto"/>
            </w:tcBorders>
            <w:shd w:val="clear" w:color="auto" w:fill="auto"/>
            <w:hideMark/>
          </w:tcPr>
          <w:p w14:paraId="0CBE82E2" w14:textId="77777777" w:rsidR="00F970D2" w:rsidRPr="006050E8" w:rsidRDefault="00F970D2" w:rsidP="001224CB">
            <w:pPr>
              <w:jc w:val="right"/>
              <w:rPr>
                <w:vanish/>
                <w:sz w:val="16"/>
                <w:szCs w:val="16"/>
                <w:lang w:val="es-ES"/>
              </w:rPr>
            </w:pPr>
            <w:r w:rsidRPr="006050E8">
              <w:rPr>
                <w:vanish/>
                <w:sz w:val="16"/>
                <w:lang w:val="es-ES" w:eastAsia="en-CA"/>
              </w:rPr>
              <w:t>104,805</w:t>
            </w:r>
          </w:p>
        </w:tc>
        <w:tc>
          <w:tcPr>
            <w:tcW w:w="856" w:type="dxa"/>
            <w:tcBorders>
              <w:top w:val="nil"/>
              <w:left w:val="nil"/>
              <w:bottom w:val="single" w:sz="4" w:space="0" w:color="auto"/>
              <w:right w:val="single" w:sz="4" w:space="0" w:color="auto"/>
            </w:tcBorders>
            <w:shd w:val="clear" w:color="auto" w:fill="auto"/>
            <w:hideMark/>
          </w:tcPr>
          <w:p w14:paraId="03AFD2B4" w14:textId="77777777" w:rsidR="00F970D2" w:rsidRPr="006050E8" w:rsidRDefault="00F970D2" w:rsidP="001224CB">
            <w:pPr>
              <w:jc w:val="right"/>
              <w:rPr>
                <w:vanish/>
                <w:sz w:val="16"/>
                <w:szCs w:val="16"/>
                <w:lang w:val="es-ES"/>
              </w:rPr>
            </w:pPr>
            <w:r w:rsidRPr="006050E8">
              <w:rPr>
                <w:vanish/>
                <w:sz w:val="16"/>
                <w:lang w:val="es-ES" w:eastAsia="en-CA"/>
              </w:rPr>
              <w:t>101,236</w:t>
            </w:r>
          </w:p>
        </w:tc>
        <w:tc>
          <w:tcPr>
            <w:tcW w:w="856" w:type="dxa"/>
            <w:tcBorders>
              <w:top w:val="nil"/>
              <w:left w:val="nil"/>
              <w:bottom w:val="single" w:sz="4" w:space="0" w:color="auto"/>
              <w:right w:val="single" w:sz="4" w:space="0" w:color="auto"/>
            </w:tcBorders>
            <w:shd w:val="clear" w:color="auto" w:fill="auto"/>
            <w:hideMark/>
          </w:tcPr>
          <w:p w14:paraId="0B32E926" w14:textId="77777777" w:rsidR="00F970D2" w:rsidRPr="006050E8" w:rsidRDefault="00F970D2" w:rsidP="001224CB">
            <w:pPr>
              <w:jc w:val="right"/>
              <w:rPr>
                <w:vanish/>
                <w:sz w:val="16"/>
                <w:szCs w:val="16"/>
                <w:lang w:val="es-ES"/>
              </w:rPr>
            </w:pPr>
            <w:r w:rsidRPr="006050E8">
              <w:rPr>
                <w:vanish/>
                <w:sz w:val="16"/>
                <w:lang w:val="es-ES" w:eastAsia="en-CA"/>
              </w:rPr>
              <w:t>105,219</w:t>
            </w:r>
          </w:p>
        </w:tc>
        <w:tc>
          <w:tcPr>
            <w:tcW w:w="856" w:type="dxa"/>
            <w:tcBorders>
              <w:top w:val="nil"/>
              <w:left w:val="nil"/>
              <w:bottom w:val="single" w:sz="4" w:space="0" w:color="auto"/>
              <w:right w:val="single" w:sz="4" w:space="0" w:color="auto"/>
            </w:tcBorders>
            <w:shd w:val="clear" w:color="auto" w:fill="auto"/>
            <w:hideMark/>
          </w:tcPr>
          <w:p w14:paraId="3B271001" w14:textId="77777777" w:rsidR="00F970D2" w:rsidRPr="006050E8" w:rsidRDefault="00F970D2" w:rsidP="001224CB">
            <w:pPr>
              <w:jc w:val="right"/>
              <w:rPr>
                <w:vanish/>
                <w:sz w:val="16"/>
                <w:szCs w:val="16"/>
                <w:lang w:val="es-ES"/>
              </w:rPr>
            </w:pPr>
            <w:r w:rsidRPr="006050E8">
              <w:rPr>
                <w:vanish/>
                <w:sz w:val="16"/>
                <w:lang w:val="es-ES" w:eastAsia="en-CA"/>
              </w:rPr>
              <w:t>109,380</w:t>
            </w:r>
          </w:p>
        </w:tc>
        <w:tc>
          <w:tcPr>
            <w:tcW w:w="856" w:type="dxa"/>
            <w:tcBorders>
              <w:top w:val="nil"/>
              <w:left w:val="nil"/>
              <w:bottom w:val="single" w:sz="4" w:space="0" w:color="auto"/>
              <w:right w:val="single" w:sz="4" w:space="0" w:color="auto"/>
            </w:tcBorders>
            <w:shd w:val="clear" w:color="auto" w:fill="auto"/>
            <w:hideMark/>
          </w:tcPr>
          <w:p w14:paraId="649DC7F3" w14:textId="77777777" w:rsidR="00F970D2" w:rsidRPr="006050E8" w:rsidRDefault="00F970D2" w:rsidP="001224CB">
            <w:pPr>
              <w:jc w:val="right"/>
              <w:rPr>
                <w:vanish/>
                <w:sz w:val="16"/>
                <w:szCs w:val="16"/>
                <w:lang w:val="es-ES"/>
              </w:rPr>
            </w:pPr>
            <w:r w:rsidRPr="006050E8">
              <w:rPr>
                <w:vanish/>
                <w:sz w:val="16"/>
                <w:lang w:val="es-ES" w:eastAsia="en-CA"/>
              </w:rPr>
              <w:t>159,872</w:t>
            </w:r>
          </w:p>
        </w:tc>
        <w:tc>
          <w:tcPr>
            <w:tcW w:w="856" w:type="dxa"/>
            <w:tcBorders>
              <w:top w:val="nil"/>
              <w:left w:val="nil"/>
              <w:bottom w:val="single" w:sz="4" w:space="0" w:color="auto"/>
              <w:right w:val="single" w:sz="4" w:space="0" w:color="auto"/>
            </w:tcBorders>
            <w:shd w:val="clear" w:color="auto" w:fill="auto"/>
            <w:hideMark/>
          </w:tcPr>
          <w:p w14:paraId="140C9EC8" w14:textId="77777777" w:rsidR="00F970D2" w:rsidRPr="006050E8" w:rsidRDefault="00F970D2" w:rsidP="001224CB">
            <w:pPr>
              <w:jc w:val="right"/>
              <w:rPr>
                <w:vanish/>
                <w:sz w:val="16"/>
                <w:szCs w:val="16"/>
                <w:lang w:val="es-ES"/>
              </w:rPr>
            </w:pPr>
            <w:r w:rsidRPr="006050E8">
              <w:rPr>
                <w:vanish/>
                <w:sz w:val="16"/>
                <w:lang w:val="es-ES" w:eastAsia="en-CA"/>
              </w:rPr>
              <w:t>162,982</w:t>
            </w:r>
          </w:p>
        </w:tc>
        <w:tc>
          <w:tcPr>
            <w:tcW w:w="933" w:type="dxa"/>
            <w:tcBorders>
              <w:top w:val="nil"/>
              <w:left w:val="nil"/>
              <w:bottom w:val="single" w:sz="4" w:space="0" w:color="auto"/>
              <w:right w:val="single" w:sz="4" w:space="0" w:color="auto"/>
            </w:tcBorders>
            <w:shd w:val="clear" w:color="auto" w:fill="auto"/>
            <w:hideMark/>
          </w:tcPr>
          <w:p w14:paraId="4334088B" w14:textId="77777777" w:rsidR="00F970D2" w:rsidRPr="006050E8" w:rsidRDefault="00F970D2" w:rsidP="001224CB">
            <w:pPr>
              <w:jc w:val="right"/>
              <w:rPr>
                <w:vanish/>
                <w:sz w:val="16"/>
                <w:szCs w:val="16"/>
                <w:lang w:val="es-ES"/>
              </w:rPr>
            </w:pPr>
            <w:r w:rsidRPr="006050E8">
              <w:rPr>
                <w:vanish/>
                <w:sz w:val="16"/>
                <w:lang w:val="es-ES" w:eastAsia="en-CA"/>
              </w:rPr>
              <w:t>164,998</w:t>
            </w:r>
          </w:p>
        </w:tc>
        <w:tc>
          <w:tcPr>
            <w:tcW w:w="856" w:type="dxa"/>
            <w:tcBorders>
              <w:top w:val="nil"/>
              <w:left w:val="nil"/>
              <w:bottom w:val="single" w:sz="4" w:space="0" w:color="auto"/>
              <w:right w:val="single" w:sz="4" w:space="0" w:color="auto"/>
            </w:tcBorders>
            <w:shd w:val="clear" w:color="auto" w:fill="auto"/>
            <w:hideMark/>
          </w:tcPr>
          <w:p w14:paraId="3E388494" w14:textId="77777777" w:rsidR="00F970D2" w:rsidRPr="006050E8" w:rsidRDefault="00F970D2" w:rsidP="001224CB">
            <w:pPr>
              <w:jc w:val="right"/>
              <w:rPr>
                <w:vanish/>
                <w:sz w:val="16"/>
                <w:szCs w:val="16"/>
                <w:lang w:val="es-ES"/>
              </w:rPr>
            </w:pPr>
            <w:r w:rsidRPr="006050E8">
              <w:rPr>
                <w:vanish/>
                <w:sz w:val="16"/>
                <w:lang w:val="es-ES" w:eastAsia="en-CA"/>
              </w:rPr>
              <w:t>153,176</w:t>
            </w:r>
          </w:p>
        </w:tc>
        <w:tc>
          <w:tcPr>
            <w:tcW w:w="856" w:type="dxa"/>
            <w:tcBorders>
              <w:top w:val="nil"/>
              <w:left w:val="single" w:sz="4" w:space="0" w:color="auto"/>
              <w:bottom w:val="single" w:sz="4" w:space="0" w:color="auto"/>
              <w:right w:val="single" w:sz="4" w:space="0" w:color="auto"/>
            </w:tcBorders>
            <w:shd w:val="clear" w:color="auto" w:fill="auto"/>
            <w:hideMark/>
          </w:tcPr>
          <w:p w14:paraId="1942F191" w14:textId="77777777" w:rsidR="00F970D2" w:rsidRPr="006050E8" w:rsidRDefault="00F970D2" w:rsidP="001224CB">
            <w:pPr>
              <w:jc w:val="right"/>
              <w:rPr>
                <w:vanish/>
                <w:sz w:val="16"/>
                <w:szCs w:val="16"/>
                <w:lang w:val="es-ES"/>
              </w:rPr>
            </w:pPr>
            <w:r w:rsidRPr="006050E8">
              <w:rPr>
                <w:vanish/>
                <w:sz w:val="16"/>
                <w:lang w:val="es-ES" w:eastAsia="en-CA"/>
              </w:rPr>
              <w:t>130,925</w:t>
            </w:r>
          </w:p>
        </w:tc>
        <w:tc>
          <w:tcPr>
            <w:tcW w:w="919" w:type="dxa"/>
            <w:tcBorders>
              <w:top w:val="nil"/>
              <w:left w:val="nil"/>
              <w:bottom w:val="single" w:sz="4" w:space="0" w:color="auto"/>
              <w:right w:val="single" w:sz="4" w:space="0" w:color="auto"/>
            </w:tcBorders>
            <w:shd w:val="clear" w:color="auto" w:fill="auto"/>
            <w:hideMark/>
          </w:tcPr>
          <w:p w14:paraId="383A0C50" w14:textId="77777777" w:rsidR="00F970D2" w:rsidRPr="006050E8" w:rsidRDefault="00F970D2" w:rsidP="001224CB">
            <w:pPr>
              <w:jc w:val="right"/>
              <w:rPr>
                <w:vanish/>
                <w:sz w:val="16"/>
                <w:szCs w:val="16"/>
                <w:lang w:val="es-ES"/>
              </w:rPr>
            </w:pPr>
            <w:r w:rsidRPr="006050E8">
              <w:rPr>
                <w:vanish/>
                <w:sz w:val="16"/>
                <w:lang w:val="es-ES" w:eastAsia="en-CA"/>
              </w:rPr>
              <w:t>168,877</w:t>
            </w:r>
          </w:p>
        </w:tc>
        <w:tc>
          <w:tcPr>
            <w:tcW w:w="910" w:type="dxa"/>
            <w:tcBorders>
              <w:top w:val="nil"/>
              <w:left w:val="nil"/>
              <w:bottom w:val="single" w:sz="4" w:space="0" w:color="auto"/>
              <w:right w:val="single" w:sz="4" w:space="0" w:color="auto"/>
            </w:tcBorders>
            <w:shd w:val="clear" w:color="auto" w:fill="auto"/>
            <w:noWrap/>
            <w:hideMark/>
          </w:tcPr>
          <w:p w14:paraId="25F71B3A" w14:textId="77777777" w:rsidR="00F970D2" w:rsidRPr="006050E8" w:rsidRDefault="00F970D2" w:rsidP="001224CB">
            <w:pPr>
              <w:jc w:val="right"/>
              <w:rPr>
                <w:vanish/>
                <w:sz w:val="16"/>
                <w:szCs w:val="16"/>
                <w:lang w:val="es-ES"/>
              </w:rPr>
            </w:pPr>
            <w:r w:rsidRPr="006050E8">
              <w:rPr>
                <w:vanish/>
                <w:sz w:val="16"/>
                <w:lang w:val="es-ES" w:eastAsia="en-CA"/>
              </w:rPr>
              <w:t>130,925</w:t>
            </w:r>
          </w:p>
        </w:tc>
        <w:tc>
          <w:tcPr>
            <w:tcW w:w="856" w:type="dxa"/>
            <w:tcBorders>
              <w:top w:val="nil"/>
              <w:left w:val="nil"/>
              <w:bottom w:val="single" w:sz="4" w:space="0" w:color="auto"/>
              <w:right w:val="single" w:sz="4" w:space="0" w:color="auto"/>
            </w:tcBorders>
            <w:shd w:val="clear" w:color="auto" w:fill="auto"/>
            <w:noWrap/>
            <w:hideMark/>
          </w:tcPr>
          <w:p w14:paraId="13DC4276" w14:textId="77777777" w:rsidR="00F970D2" w:rsidRPr="006050E8" w:rsidRDefault="00F970D2" w:rsidP="001224CB">
            <w:pPr>
              <w:jc w:val="right"/>
              <w:rPr>
                <w:vanish/>
                <w:sz w:val="16"/>
                <w:szCs w:val="16"/>
                <w:lang w:val="es-ES"/>
              </w:rPr>
            </w:pPr>
            <w:r w:rsidRPr="006050E8">
              <w:rPr>
                <w:vanish/>
                <w:sz w:val="16"/>
                <w:lang w:val="es-ES" w:eastAsia="en-CA"/>
              </w:rPr>
              <w:t>130,925</w:t>
            </w:r>
          </w:p>
        </w:tc>
      </w:tr>
      <w:tr w:rsidR="00F970D2" w:rsidRPr="006050E8" w14:paraId="29A0646E" w14:textId="77777777" w:rsidTr="001224CB">
        <w:trPr>
          <w:trHeight w:val="283"/>
          <w:hidden/>
        </w:trPr>
        <w:tc>
          <w:tcPr>
            <w:tcW w:w="3828" w:type="dxa"/>
            <w:tcBorders>
              <w:top w:val="nil"/>
              <w:left w:val="single" w:sz="4" w:space="0" w:color="auto"/>
              <w:bottom w:val="single" w:sz="4" w:space="0" w:color="auto"/>
              <w:right w:val="single" w:sz="4" w:space="0" w:color="auto"/>
            </w:tcBorders>
            <w:shd w:val="clear" w:color="auto" w:fill="auto"/>
            <w:hideMark/>
          </w:tcPr>
          <w:p w14:paraId="69F7B209" w14:textId="77777777" w:rsidR="00F970D2" w:rsidRPr="006050E8" w:rsidRDefault="00F970D2" w:rsidP="001224CB">
            <w:pPr>
              <w:rPr>
                <w:vanish/>
                <w:sz w:val="16"/>
                <w:szCs w:val="16"/>
                <w:lang w:val="es-ES"/>
              </w:rPr>
            </w:pPr>
            <w:r w:rsidRPr="006050E8">
              <w:rPr>
                <w:vanish/>
                <w:sz w:val="16"/>
                <w:lang w:val="es-ES"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hideMark/>
          </w:tcPr>
          <w:p w14:paraId="5E75F5AF" w14:textId="77777777" w:rsidR="00F970D2" w:rsidRPr="006050E8" w:rsidRDefault="00F970D2" w:rsidP="001224CB">
            <w:pPr>
              <w:jc w:val="right"/>
              <w:rPr>
                <w:vanish/>
                <w:sz w:val="16"/>
                <w:szCs w:val="16"/>
                <w:lang w:val="es-ES"/>
              </w:rPr>
            </w:pPr>
            <w:r w:rsidRPr="006050E8">
              <w:rPr>
                <w:vanish/>
                <w:sz w:val="16"/>
                <w:lang w:val="es-ES" w:eastAsia="en-CA"/>
              </w:rPr>
              <w:t>25,052</w:t>
            </w:r>
          </w:p>
        </w:tc>
        <w:tc>
          <w:tcPr>
            <w:tcW w:w="856" w:type="dxa"/>
            <w:tcBorders>
              <w:top w:val="nil"/>
              <w:left w:val="nil"/>
              <w:bottom w:val="single" w:sz="4" w:space="0" w:color="auto"/>
              <w:right w:val="single" w:sz="4" w:space="0" w:color="auto"/>
            </w:tcBorders>
            <w:shd w:val="clear" w:color="auto" w:fill="auto"/>
            <w:hideMark/>
          </w:tcPr>
          <w:p w14:paraId="6E5F226C" w14:textId="77777777" w:rsidR="00F970D2" w:rsidRPr="006050E8" w:rsidRDefault="00F970D2" w:rsidP="001224CB">
            <w:pPr>
              <w:jc w:val="right"/>
              <w:rPr>
                <w:vanish/>
                <w:sz w:val="16"/>
                <w:szCs w:val="16"/>
                <w:lang w:val="es-ES"/>
              </w:rPr>
            </w:pPr>
            <w:r w:rsidRPr="006050E8">
              <w:rPr>
                <w:vanish/>
                <w:sz w:val="16"/>
                <w:lang w:val="es-ES" w:eastAsia="en-CA"/>
              </w:rPr>
              <w:t>17,781</w:t>
            </w:r>
          </w:p>
        </w:tc>
        <w:tc>
          <w:tcPr>
            <w:tcW w:w="856" w:type="dxa"/>
            <w:tcBorders>
              <w:top w:val="nil"/>
              <w:left w:val="nil"/>
              <w:bottom w:val="single" w:sz="4" w:space="0" w:color="auto"/>
              <w:right w:val="single" w:sz="4" w:space="0" w:color="auto"/>
            </w:tcBorders>
            <w:shd w:val="clear" w:color="auto" w:fill="auto"/>
            <w:hideMark/>
          </w:tcPr>
          <w:p w14:paraId="52B87FFF" w14:textId="77777777" w:rsidR="00F970D2" w:rsidRPr="006050E8" w:rsidRDefault="00F970D2" w:rsidP="001224CB">
            <w:pPr>
              <w:jc w:val="right"/>
              <w:rPr>
                <w:vanish/>
                <w:sz w:val="16"/>
                <w:szCs w:val="16"/>
                <w:lang w:val="es-ES"/>
              </w:rPr>
            </w:pPr>
            <w:r w:rsidRPr="006050E8">
              <w:rPr>
                <w:vanish/>
                <w:sz w:val="16"/>
                <w:lang w:val="es-ES" w:eastAsia="en-CA"/>
              </w:rPr>
              <w:t>16,967</w:t>
            </w:r>
          </w:p>
        </w:tc>
        <w:tc>
          <w:tcPr>
            <w:tcW w:w="856" w:type="dxa"/>
            <w:tcBorders>
              <w:top w:val="nil"/>
              <w:left w:val="nil"/>
              <w:bottom w:val="single" w:sz="4" w:space="0" w:color="auto"/>
              <w:right w:val="single" w:sz="4" w:space="0" w:color="auto"/>
            </w:tcBorders>
            <w:shd w:val="clear" w:color="auto" w:fill="auto"/>
            <w:hideMark/>
          </w:tcPr>
          <w:p w14:paraId="0B132FBC" w14:textId="77777777" w:rsidR="00F970D2" w:rsidRPr="006050E8" w:rsidRDefault="00F970D2" w:rsidP="001224CB">
            <w:pPr>
              <w:jc w:val="right"/>
              <w:rPr>
                <w:vanish/>
                <w:sz w:val="16"/>
                <w:szCs w:val="16"/>
                <w:lang w:val="es-ES"/>
              </w:rPr>
            </w:pPr>
            <w:r w:rsidRPr="006050E8">
              <w:rPr>
                <w:vanish/>
                <w:sz w:val="16"/>
                <w:lang w:val="es-ES" w:eastAsia="en-CA"/>
              </w:rPr>
              <w:t>19,442</w:t>
            </w:r>
          </w:p>
        </w:tc>
        <w:tc>
          <w:tcPr>
            <w:tcW w:w="856" w:type="dxa"/>
            <w:tcBorders>
              <w:top w:val="nil"/>
              <w:left w:val="nil"/>
              <w:bottom w:val="single" w:sz="4" w:space="0" w:color="auto"/>
              <w:right w:val="single" w:sz="4" w:space="0" w:color="auto"/>
            </w:tcBorders>
            <w:shd w:val="clear" w:color="auto" w:fill="auto"/>
            <w:hideMark/>
          </w:tcPr>
          <w:p w14:paraId="7A1AE775" w14:textId="77777777" w:rsidR="00F970D2" w:rsidRPr="006050E8" w:rsidRDefault="00F970D2" w:rsidP="001224CB">
            <w:pPr>
              <w:jc w:val="right"/>
              <w:rPr>
                <w:vanish/>
                <w:sz w:val="16"/>
                <w:szCs w:val="16"/>
                <w:lang w:val="es-ES"/>
              </w:rPr>
            </w:pPr>
            <w:r w:rsidRPr="006050E8">
              <w:rPr>
                <w:vanish/>
                <w:sz w:val="16"/>
                <w:lang w:val="es-ES" w:eastAsia="en-CA"/>
              </w:rPr>
              <w:t>16,485</w:t>
            </w:r>
          </w:p>
        </w:tc>
        <w:tc>
          <w:tcPr>
            <w:tcW w:w="856" w:type="dxa"/>
            <w:tcBorders>
              <w:top w:val="nil"/>
              <w:left w:val="nil"/>
              <w:bottom w:val="single" w:sz="4" w:space="0" w:color="auto"/>
              <w:right w:val="single" w:sz="4" w:space="0" w:color="auto"/>
            </w:tcBorders>
            <w:shd w:val="clear" w:color="auto" w:fill="auto"/>
            <w:hideMark/>
          </w:tcPr>
          <w:p w14:paraId="752E5B20" w14:textId="77777777" w:rsidR="00F970D2" w:rsidRPr="006050E8" w:rsidRDefault="00F970D2" w:rsidP="001224CB">
            <w:pPr>
              <w:jc w:val="right"/>
              <w:rPr>
                <w:vanish/>
                <w:sz w:val="16"/>
                <w:szCs w:val="16"/>
                <w:lang w:val="es-ES"/>
              </w:rPr>
            </w:pPr>
            <w:r w:rsidRPr="006050E8">
              <w:rPr>
                <w:vanish/>
                <w:sz w:val="16"/>
                <w:lang w:val="es-ES" w:eastAsia="en-CA"/>
              </w:rPr>
              <w:t>9,196</w:t>
            </w:r>
          </w:p>
        </w:tc>
        <w:tc>
          <w:tcPr>
            <w:tcW w:w="933" w:type="dxa"/>
            <w:tcBorders>
              <w:top w:val="nil"/>
              <w:left w:val="nil"/>
              <w:bottom w:val="single" w:sz="4" w:space="0" w:color="auto"/>
              <w:right w:val="single" w:sz="4" w:space="0" w:color="auto"/>
            </w:tcBorders>
            <w:shd w:val="clear" w:color="auto" w:fill="auto"/>
            <w:hideMark/>
          </w:tcPr>
          <w:p w14:paraId="0E6AE2EC" w14:textId="77777777" w:rsidR="00F970D2" w:rsidRPr="006050E8" w:rsidRDefault="00F970D2" w:rsidP="001224CB">
            <w:pPr>
              <w:jc w:val="right"/>
              <w:rPr>
                <w:vanish/>
                <w:sz w:val="16"/>
                <w:szCs w:val="16"/>
                <w:lang w:val="es-ES"/>
              </w:rPr>
            </w:pPr>
            <w:r w:rsidRPr="006050E8">
              <w:rPr>
                <w:vanish/>
                <w:sz w:val="16"/>
                <w:lang w:val="es-ES" w:eastAsia="en-CA"/>
              </w:rPr>
              <w:t>12,146</w:t>
            </w:r>
          </w:p>
        </w:tc>
        <w:tc>
          <w:tcPr>
            <w:tcW w:w="856" w:type="dxa"/>
            <w:tcBorders>
              <w:top w:val="nil"/>
              <w:left w:val="nil"/>
              <w:bottom w:val="single" w:sz="4" w:space="0" w:color="auto"/>
              <w:right w:val="single" w:sz="4" w:space="0" w:color="auto"/>
            </w:tcBorders>
            <w:shd w:val="clear" w:color="auto" w:fill="auto"/>
            <w:hideMark/>
          </w:tcPr>
          <w:p w14:paraId="35903ACC" w14:textId="77777777" w:rsidR="00F970D2" w:rsidRPr="006050E8" w:rsidRDefault="00F970D2" w:rsidP="001224CB">
            <w:pPr>
              <w:jc w:val="right"/>
              <w:rPr>
                <w:vanish/>
                <w:sz w:val="16"/>
                <w:szCs w:val="16"/>
                <w:lang w:val="es-ES"/>
              </w:rPr>
            </w:pPr>
            <w:r w:rsidRPr="006050E8">
              <w:rPr>
                <w:vanish/>
                <w:sz w:val="16"/>
                <w:lang w:val="es-ES" w:eastAsia="en-CA"/>
              </w:rPr>
              <w:t>8,351</w:t>
            </w:r>
          </w:p>
        </w:tc>
        <w:tc>
          <w:tcPr>
            <w:tcW w:w="856" w:type="dxa"/>
            <w:tcBorders>
              <w:top w:val="nil"/>
              <w:left w:val="single" w:sz="4" w:space="0" w:color="auto"/>
              <w:bottom w:val="single" w:sz="4" w:space="0" w:color="auto"/>
              <w:right w:val="single" w:sz="4" w:space="0" w:color="auto"/>
            </w:tcBorders>
            <w:shd w:val="clear" w:color="auto" w:fill="auto"/>
            <w:hideMark/>
          </w:tcPr>
          <w:p w14:paraId="792C6D63" w14:textId="77777777" w:rsidR="00F970D2" w:rsidRPr="006050E8" w:rsidRDefault="00F970D2" w:rsidP="001224CB">
            <w:pPr>
              <w:jc w:val="right"/>
              <w:rPr>
                <w:vanish/>
                <w:sz w:val="16"/>
                <w:szCs w:val="16"/>
                <w:lang w:val="es-ES"/>
              </w:rPr>
            </w:pPr>
            <w:r w:rsidRPr="006050E8">
              <w:rPr>
                <w:vanish/>
                <w:sz w:val="16"/>
                <w:lang w:val="es-ES" w:eastAsia="en-CA"/>
              </w:rPr>
              <w:t>15,777</w:t>
            </w:r>
          </w:p>
        </w:tc>
        <w:tc>
          <w:tcPr>
            <w:tcW w:w="919" w:type="dxa"/>
            <w:tcBorders>
              <w:top w:val="nil"/>
              <w:left w:val="nil"/>
              <w:bottom w:val="single" w:sz="4" w:space="0" w:color="auto"/>
              <w:right w:val="single" w:sz="4" w:space="0" w:color="auto"/>
            </w:tcBorders>
            <w:shd w:val="clear" w:color="auto" w:fill="auto"/>
            <w:hideMark/>
          </w:tcPr>
          <w:p w14:paraId="386D6188" w14:textId="77777777" w:rsidR="00F970D2" w:rsidRPr="006050E8" w:rsidRDefault="00F970D2" w:rsidP="001224CB">
            <w:pPr>
              <w:jc w:val="right"/>
              <w:rPr>
                <w:vanish/>
                <w:sz w:val="16"/>
                <w:szCs w:val="16"/>
                <w:lang w:val="es-ES"/>
              </w:rPr>
            </w:pPr>
            <w:r w:rsidRPr="006050E8">
              <w:rPr>
                <w:vanish/>
                <w:sz w:val="16"/>
                <w:lang w:val="es-ES" w:eastAsia="en-CA"/>
              </w:rPr>
              <w:t>10,000</w:t>
            </w:r>
          </w:p>
        </w:tc>
        <w:tc>
          <w:tcPr>
            <w:tcW w:w="910" w:type="dxa"/>
            <w:tcBorders>
              <w:top w:val="nil"/>
              <w:left w:val="nil"/>
              <w:bottom w:val="single" w:sz="4" w:space="0" w:color="auto"/>
              <w:right w:val="single" w:sz="4" w:space="0" w:color="auto"/>
            </w:tcBorders>
            <w:shd w:val="clear" w:color="auto" w:fill="auto"/>
            <w:noWrap/>
            <w:hideMark/>
          </w:tcPr>
          <w:p w14:paraId="57436DE7" w14:textId="77777777" w:rsidR="00F970D2" w:rsidRPr="006050E8" w:rsidRDefault="00F970D2" w:rsidP="001224CB">
            <w:pPr>
              <w:jc w:val="right"/>
              <w:rPr>
                <w:vanish/>
                <w:sz w:val="16"/>
                <w:szCs w:val="16"/>
                <w:lang w:val="es-ES"/>
              </w:rPr>
            </w:pPr>
            <w:r w:rsidRPr="006050E8">
              <w:rPr>
                <w:vanish/>
                <w:sz w:val="16"/>
                <w:lang w:val="es-ES" w:eastAsia="en-CA"/>
              </w:rPr>
              <w:t>15,000</w:t>
            </w:r>
          </w:p>
        </w:tc>
        <w:tc>
          <w:tcPr>
            <w:tcW w:w="856" w:type="dxa"/>
            <w:tcBorders>
              <w:top w:val="nil"/>
              <w:left w:val="nil"/>
              <w:bottom w:val="single" w:sz="4" w:space="0" w:color="auto"/>
              <w:right w:val="single" w:sz="4" w:space="0" w:color="auto"/>
            </w:tcBorders>
            <w:shd w:val="clear" w:color="auto" w:fill="auto"/>
            <w:noWrap/>
            <w:hideMark/>
          </w:tcPr>
          <w:p w14:paraId="50DC2C68" w14:textId="77777777" w:rsidR="00F970D2" w:rsidRPr="006050E8" w:rsidRDefault="00F970D2" w:rsidP="001224CB">
            <w:pPr>
              <w:jc w:val="right"/>
              <w:rPr>
                <w:vanish/>
                <w:sz w:val="16"/>
                <w:szCs w:val="16"/>
                <w:lang w:val="es-ES"/>
              </w:rPr>
            </w:pPr>
            <w:r w:rsidRPr="006050E8">
              <w:rPr>
                <w:vanish/>
                <w:sz w:val="16"/>
                <w:lang w:val="es-ES" w:eastAsia="en-CA"/>
              </w:rPr>
              <w:t>10,000</w:t>
            </w:r>
          </w:p>
        </w:tc>
      </w:tr>
      <w:tr w:rsidR="00F970D2" w:rsidRPr="006050E8" w14:paraId="48C668C7"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hideMark/>
          </w:tcPr>
          <w:p w14:paraId="093990DA" w14:textId="77777777" w:rsidR="00F970D2" w:rsidRPr="006050E8" w:rsidRDefault="00F970D2" w:rsidP="001224CB">
            <w:pPr>
              <w:rPr>
                <w:vanish/>
                <w:sz w:val="16"/>
                <w:szCs w:val="16"/>
                <w:lang w:val="es-ES"/>
              </w:rPr>
            </w:pPr>
            <w:r w:rsidRPr="006050E8">
              <w:rPr>
                <w:vanish/>
                <w:sz w:val="16"/>
                <w:lang w:val="es-ES" w:eastAsia="en-CA"/>
              </w:rPr>
              <w:t>Contractual services (firms)</w:t>
            </w:r>
          </w:p>
        </w:tc>
        <w:tc>
          <w:tcPr>
            <w:tcW w:w="856" w:type="dxa"/>
            <w:tcBorders>
              <w:top w:val="nil"/>
              <w:left w:val="nil"/>
              <w:bottom w:val="single" w:sz="4" w:space="0" w:color="auto"/>
              <w:right w:val="single" w:sz="4" w:space="0" w:color="auto"/>
            </w:tcBorders>
            <w:shd w:val="clear" w:color="auto" w:fill="auto"/>
            <w:hideMark/>
          </w:tcPr>
          <w:p w14:paraId="0076BA37"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65D27A3D" w14:textId="77777777" w:rsidR="00F970D2" w:rsidRPr="006050E8" w:rsidRDefault="00F970D2" w:rsidP="001224CB">
            <w:pPr>
              <w:jc w:val="right"/>
              <w:rPr>
                <w:vanish/>
                <w:sz w:val="16"/>
                <w:szCs w:val="16"/>
                <w:lang w:val="es-ES"/>
              </w:rPr>
            </w:pPr>
            <w:r w:rsidRPr="006050E8">
              <w:rPr>
                <w:vanish/>
                <w:sz w:val="16"/>
                <w:lang w:val="es-ES" w:eastAsia="en-CA"/>
              </w:rPr>
              <w:t>18,461</w:t>
            </w:r>
          </w:p>
        </w:tc>
        <w:tc>
          <w:tcPr>
            <w:tcW w:w="856" w:type="dxa"/>
            <w:tcBorders>
              <w:top w:val="nil"/>
              <w:left w:val="nil"/>
              <w:bottom w:val="single" w:sz="4" w:space="0" w:color="auto"/>
              <w:right w:val="single" w:sz="4" w:space="0" w:color="auto"/>
            </w:tcBorders>
            <w:shd w:val="clear" w:color="auto" w:fill="auto"/>
            <w:hideMark/>
          </w:tcPr>
          <w:p w14:paraId="56A86115" w14:textId="77777777" w:rsidR="00F970D2" w:rsidRPr="006050E8" w:rsidRDefault="00F970D2" w:rsidP="001224CB">
            <w:pPr>
              <w:jc w:val="right"/>
              <w:rPr>
                <w:vanish/>
                <w:sz w:val="16"/>
                <w:szCs w:val="16"/>
                <w:lang w:val="es-ES"/>
              </w:rPr>
            </w:pPr>
            <w:r w:rsidRPr="006050E8">
              <w:rPr>
                <w:vanish/>
                <w:sz w:val="16"/>
                <w:lang w:val="es-ES" w:eastAsia="en-CA"/>
              </w:rPr>
              <w:t>22,955</w:t>
            </w:r>
          </w:p>
        </w:tc>
        <w:tc>
          <w:tcPr>
            <w:tcW w:w="856" w:type="dxa"/>
            <w:tcBorders>
              <w:top w:val="nil"/>
              <w:left w:val="nil"/>
              <w:bottom w:val="single" w:sz="4" w:space="0" w:color="auto"/>
              <w:right w:val="single" w:sz="4" w:space="0" w:color="auto"/>
            </w:tcBorders>
            <w:shd w:val="clear" w:color="auto" w:fill="auto"/>
            <w:hideMark/>
          </w:tcPr>
          <w:p w14:paraId="14A14FA7" w14:textId="77777777" w:rsidR="00F970D2" w:rsidRPr="006050E8" w:rsidRDefault="00F970D2" w:rsidP="001224CB">
            <w:pPr>
              <w:jc w:val="right"/>
              <w:rPr>
                <w:vanish/>
                <w:sz w:val="16"/>
                <w:szCs w:val="16"/>
                <w:lang w:val="es-ES"/>
              </w:rPr>
            </w:pPr>
            <w:r w:rsidRPr="006050E8">
              <w:rPr>
                <w:vanish/>
                <w:sz w:val="16"/>
                <w:lang w:val="es-ES" w:eastAsia="en-CA"/>
              </w:rPr>
              <w:t>16,175</w:t>
            </w:r>
          </w:p>
        </w:tc>
        <w:tc>
          <w:tcPr>
            <w:tcW w:w="856" w:type="dxa"/>
            <w:tcBorders>
              <w:top w:val="nil"/>
              <w:left w:val="nil"/>
              <w:bottom w:val="single" w:sz="4" w:space="0" w:color="auto"/>
              <w:right w:val="single" w:sz="4" w:space="0" w:color="auto"/>
            </w:tcBorders>
            <w:shd w:val="clear" w:color="auto" w:fill="auto"/>
            <w:hideMark/>
          </w:tcPr>
          <w:p w14:paraId="0B797829"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4E03831A" w14:textId="77777777" w:rsidR="00F970D2" w:rsidRPr="006050E8" w:rsidRDefault="00F970D2" w:rsidP="001224CB">
            <w:pPr>
              <w:jc w:val="right"/>
              <w:rPr>
                <w:vanish/>
                <w:sz w:val="16"/>
                <w:szCs w:val="16"/>
                <w:lang w:val="es-ES"/>
              </w:rPr>
            </w:pPr>
            <w:r w:rsidRPr="006050E8">
              <w:rPr>
                <w:vanish/>
                <w:sz w:val="16"/>
                <w:lang w:val="es-ES" w:eastAsia="en-CA"/>
              </w:rPr>
              <w:t>24,547</w:t>
            </w:r>
          </w:p>
        </w:tc>
        <w:tc>
          <w:tcPr>
            <w:tcW w:w="933" w:type="dxa"/>
            <w:tcBorders>
              <w:top w:val="nil"/>
              <w:left w:val="nil"/>
              <w:bottom w:val="single" w:sz="4" w:space="0" w:color="auto"/>
              <w:right w:val="single" w:sz="4" w:space="0" w:color="auto"/>
            </w:tcBorders>
            <w:shd w:val="clear" w:color="auto" w:fill="auto"/>
            <w:hideMark/>
          </w:tcPr>
          <w:p w14:paraId="77C95DD9" w14:textId="77777777" w:rsidR="00F970D2" w:rsidRPr="006050E8" w:rsidRDefault="00F970D2" w:rsidP="001224CB">
            <w:pPr>
              <w:jc w:val="right"/>
              <w:rPr>
                <w:vanish/>
                <w:sz w:val="16"/>
                <w:szCs w:val="16"/>
                <w:lang w:val="es-ES"/>
              </w:rPr>
            </w:pPr>
            <w:r w:rsidRPr="006050E8">
              <w:rPr>
                <w:vanish/>
                <w:sz w:val="16"/>
                <w:lang w:val="es-ES" w:eastAsia="en-CA"/>
              </w:rPr>
              <w:t>13,510</w:t>
            </w:r>
          </w:p>
        </w:tc>
        <w:tc>
          <w:tcPr>
            <w:tcW w:w="856" w:type="dxa"/>
            <w:tcBorders>
              <w:top w:val="nil"/>
              <w:left w:val="nil"/>
              <w:bottom w:val="single" w:sz="4" w:space="0" w:color="auto"/>
              <w:right w:val="single" w:sz="4" w:space="0" w:color="auto"/>
            </w:tcBorders>
            <w:shd w:val="clear" w:color="auto" w:fill="auto"/>
            <w:hideMark/>
          </w:tcPr>
          <w:p w14:paraId="03225322" w14:textId="77777777" w:rsidR="00F970D2" w:rsidRPr="006050E8" w:rsidRDefault="00F970D2" w:rsidP="001224CB">
            <w:pPr>
              <w:jc w:val="right"/>
              <w:rPr>
                <w:vanish/>
                <w:sz w:val="16"/>
                <w:szCs w:val="16"/>
                <w:lang w:val="es-ES"/>
              </w:rPr>
            </w:pPr>
            <w:r w:rsidRPr="006050E8">
              <w:rPr>
                <w:vanish/>
                <w:sz w:val="16"/>
                <w:lang w:val="es-ES" w:eastAsia="en-CA"/>
              </w:rPr>
              <w:t>24,300</w:t>
            </w:r>
          </w:p>
        </w:tc>
        <w:tc>
          <w:tcPr>
            <w:tcW w:w="856" w:type="dxa"/>
            <w:tcBorders>
              <w:top w:val="nil"/>
              <w:left w:val="single" w:sz="4" w:space="0" w:color="auto"/>
              <w:bottom w:val="single" w:sz="4" w:space="0" w:color="auto"/>
              <w:right w:val="single" w:sz="4" w:space="0" w:color="auto"/>
            </w:tcBorders>
            <w:shd w:val="clear" w:color="auto" w:fill="auto"/>
            <w:hideMark/>
          </w:tcPr>
          <w:p w14:paraId="56DBF839" w14:textId="77777777" w:rsidR="00F970D2" w:rsidRPr="006050E8" w:rsidRDefault="00F970D2" w:rsidP="001224CB">
            <w:pPr>
              <w:jc w:val="right"/>
              <w:rPr>
                <w:vanish/>
                <w:sz w:val="16"/>
                <w:szCs w:val="16"/>
                <w:lang w:val="es-ES"/>
              </w:rPr>
            </w:pPr>
            <w:r w:rsidRPr="006050E8">
              <w:rPr>
                <w:vanish/>
                <w:sz w:val="16"/>
                <w:lang w:val="es-ES" w:eastAsia="en-CA"/>
              </w:rPr>
              <w:t>1,648</w:t>
            </w:r>
          </w:p>
        </w:tc>
        <w:tc>
          <w:tcPr>
            <w:tcW w:w="919" w:type="dxa"/>
            <w:tcBorders>
              <w:top w:val="nil"/>
              <w:left w:val="nil"/>
              <w:bottom w:val="single" w:sz="4" w:space="0" w:color="auto"/>
              <w:right w:val="single" w:sz="4" w:space="0" w:color="auto"/>
            </w:tcBorders>
            <w:shd w:val="clear" w:color="auto" w:fill="auto"/>
            <w:hideMark/>
          </w:tcPr>
          <w:p w14:paraId="4FCE7761" w14:textId="77777777" w:rsidR="00F970D2" w:rsidRPr="006050E8" w:rsidRDefault="00F970D2" w:rsidP="001224CB">
            <w:pPr>
              <w:jc w:val="right"/>
              <w:rPr>
                <w:vanish/>
                <w:sz w:val="16"/>
                <w:szCs w:val="16"/>
                <w:lang w:val="es-ES"/>
              </w:rPr>
            </w:pPr>
            <w:r w:rsidRPr="006050E8">
              <w:rPr>
                <w:vanish/>
                <w:sz w:val="16"/>
                <w:lang w:val="es-ES" w:eastAsia="en-CA"/>
              </w:rPr>
              <w:t>25,000</w:t>
            </w:r>
          </w:p>
        </w:tc>
        <w:tc>
          <w:tcPr>
            <w:tcW w:w="910" w:type="dxa"/>
            <w:tcBorders>
              <w:top w:val="nil"/>
              <w:left w:val="nil"/>
              <w:bottom w:val="single" w:sz="4" w:space="0" w:color="auto"/>
              <w:right w:val="single" w:sz="4" w:space="0" w:color="auto"/>
            </w:tcBorders>
            <w:shd w:val="clear" w:color="auto" w:fill="auto"/>
            <w:noWrap/>
            <w:hideMark/>
          </w:tcPr>
          <w:p w14:paraId="3EC69875" w14:textId="77777777" w:rsidR="00F970D2" w:rsidRPr="006050E8" w:rsidRDefault="00F970D2" w:rsidP="001224CB">
            <w:pPr>
              <w:jc w:val="right"/>
              <w:rPr>
                <w:vanish/>
                <w:sz w:val="16"/>
                <w:szCs w:val="16"/>
                <w:lang w:val="es-ES"/>
              </w:rPr>
            </w:pPr>
            <w:r w:rsidRPr="006050E8">
              <w:rPr>
                <w:vanish/>
                <w:sz w:val="16"/>
                <w:lang w:val="es-ES" w:eastAsia="en-CA"/>
              </w:rPr>
              <w:t>5,000</w:t>
            </w:r>
          </w:p>
        </w:tc>
        <w:tc>
          <w:tcPr>
            <w:tcW w:w="856" w:type="dxa"/>
            <w:tcBorders>
              <w:top w:val="nil"/>
              <w:left w:val="nil"/>
              <w:bottom w:val="single" w:sz="4" w:space="0" w:color="auto"/>
              <w:right w:val="single" w:sz="4" w:space="0" w:color="auto"/>
            </w:tcBorders>
            <w:shd w:val="clear" w:color="auto" w:fill="auto"/>
            <w:noWrap/>
            <w:hideMark/>
          </w:tcPr>
          <w:p w14:paraId="63D3A0A3" w14:textId="77777777" w:rsidR="00F970D2" w:rsidRPr="006050E8" w:rsidRDefault="00F970D2" w:rsidP="001224CB">
            <w:pPr>
              <w:jc w:val="right"/>
              <w:rPr>
                <w:vanish/>
                <w:sz w:val="16"/>
                <w:szCs w:val="16"/>
                <w:lang w:val="es-ES"/>
              </w:rPr>
            </w:pPr>
            <w:r w:rsidRPr="006050E8">
              <w:rPr>
                <w:vanish/>
                <w:sz w:val="16"/>
                <w:lang w:val="es-ES" w:eastAsia="en-CA"/>
              </w:rPr>
              <w:t>25,000</w:t>
            </w:r>
          </w:p>
        </w:tc>
      </w:tr>
      <w:tr w:rsidR="00F970D2" w:rsidRPr="006050E8" w14:paraId="5FCF4B33" w14:textId="77777777" w:rsidTr="001224CB">
        <w:trPr>
          <w:trHeight w:val="136"/>
          <w:hidden/>
        </w:trPr>
        <w:tc>
          <w:tcPr>
            <w:tcW w:w="3828" w:type="dxa"/>
            <w:tcBorders>
              <w:top w:val="nil"/>
              <w:left w:val="single" w:sz="4" w:space="0" w:color="auto"/>
              <w:bottom w:val="single" w:sz="4" w:space="0" w:color="auto"/>
              <w:right w:val="single" w:sz="4" w:space="0" w:color="auto"/>
            </w:tcBorders>
            <w:shd w:val="clear" w:color="auto" w:fill="auto"/>
            <w:hideMark/>
          </w:tcPr>
          <w:p w14:paraId="7EAE72C8" w14:textId="77777777" w:rsidR="00F970D2" w:rsidRPr="006050E8" w:rsidRDefault="00F970D2" w:rsidP="001224CB">
            <w:pPr>
              <w:rPr>
                <w:vanish/>
                <w:sz w:val="16"/>
                <w:szCs w:val="16"/>
                <w:lang w:val="es-ES"/>
              </w:rPr>
            </w:pPr>
            <w:r w:rsidRPr="006050E8">
              <w:rPr>
                <w:vanish/>
                <w:sz w:val="16"/>
                <w:lang w:val="es-ES"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hideMark/>
          </w:tcPr>
          <w:p w14:paraId="0576505B" w14:textId="77777777" w:rsidR="00F970D2" w:rsidRPr="006050E8" w:rsidRDefault="00F970D2" w:rsidP="001224CB">
            <w:pPr>
              <w:jc w:val="right"/>
              <w:rPr>
                <w:vanish/>
                <w:sz w:val="16"/>
                <w:szCs w:val="16"/>
                <w:lang w:val="es-ES"/>
              </w:rPr>
            </w:pPr>
            <w:r w:rsidRPr="006050E8">
              <w:rPr>
                <w:vanish/>
                <w:sz w:val="16"/>
                <w:lang w:val="es-ES" w:eastAsia="en-CA"/>
              </w:rPr>
              <w:t>258,332</w:t>
            </w:r>
          </w:p>
        </w:tc>
        <w:tc>
          <w:tcPr>
            <w:tcW w:w="856" w:type="dxa"/>
            <w:tcBorders>
              <w:top w:val="nil"/>
              <w:left w:val="nil"/>
              <w:bottom w:val="single" w:sz="4" w:space="0" w:color="auto"/>
              <w:right w:val="single" w:sz="4" w:space="0" w:color="auto"/>
            </w:tcBorders>
            <w:shd w:val="clear" w:color="auto" w:fill="auto"/>
            <w:hideMark/>
          </w:tcPr>
          <w:p w14:paraId="26F5638A" w14:textId="77777777" w:rsidR="00F970D2" w:rsidRPr="006050E8" w:rsidRDefault="00F970D2" w:rsidP="001224CB">
            <w:pPr>
              <w:jc w:val="right"/>
              <w:rPr>
                <w:vanish/>
                <w:sz w:val="16"/>
                <w:szCs w:val="16"/>
                <w:lang w:val="es-ES"/>
              </w:rPr>
            </w:pPr>
            <w:r w:rsidRPr="006050E8">
              <w:rPr>
                <w:vanish/>
                <w:sz w:val="16"/>
                <w:lang w:val="es-ES" w:eastAsia="en-CA"/>
              </w:rPr>
              <w:t>384,704</w:t>
            </w:r>
          </w:p>
        </w:tc>
        <w:tc>
          <w:tcPr>
            <w:tcW w:w="856" w:type="dxa"/>
            <w:tcBorders>
              <w:top w:val="nil"/>
              <w:left w:val="nil"/>
              <w:bottom w:val="single" w:sz="4" w:space="0" w:color="auto"/>
              <w:right w:val="single" w:sz="4" w:space="0" w:color="auto"/>
            </w:tcBorders>
            <w:shd w:val="clear" w:color="auto" w:fill="auto"/>
            <w:hideMark/>
          </w:tcPr>
          <w:p w14:paraId="2EF86C9E" w14:textId="77777777" w:rsidR="00F970D2" w:rsidRPr="006050E8" w:rsidRDefault="00F970D2" w:rsidP="001224CB">
            <w:pPr>
              <w:jc w:val="right"/>
              <w:rPr>
                <w:vanish/>
                <w:sz w:val="16"/>
                <w:szCs w:val="16"/>
                <w:lang w:val="es-ES"/>
              </w:rPr>
            </w:pPr>
            <w:r w:rsidRPr="006050E8">
              <w:rPr>
                <w:vanish/>
                <w:sz w:val="16"/>
                <w:lang w:val="es-ES" w:eastAsia="en-CA"/>
              </w:rPr>
              <w:t>311,137</w:t>
            </w:r>
          </w:p>
        </w:tc>
        <w:tc>
          <w:tcPr>
            <w:tcW w:w="856" w:type="dxa"/>
            <w:tcBorders>
              <w:top w:val="nil"/>
              <w:left w:val="nil"/>
              <w:bottom w:val="single" w:sz="4" w:space="0" w:color="auto"/>
              <w:right w:val="single" w:sz="4" w:space="0" w:color="auto"/>
            </w:tcBorders>
            <w:shd w:val="clear" w:color="auto" w:fill="auto"/>
            <w:hideMark/>
          </w:tcPr>
          <w:p w14:paraId="0B6BA7D1" w14:textId="77777777" w:rsidR="00F970D2" w:rsidRPr="006050E8" w:rsidRDefault="00F970D2" w:rsidP="001224CB">
            <w:pPr>
              <w:jc w:val="right"/>
              <w:rPr>
                <w:vanish/>
                <w:sz w:val="16"/>
                <w:szCs w:val="16"/>
                <w:lang w:val="es-ES"/>
              </w:rPr>
            </w:pPr>
            <w:r w:rsidRPr="006050E8">
              <w:rPr>
                <w:vanish/>
                <w:sz w:val="16"/>
                <w:lang w:val="es-ES" w:eastAsia="en-CA"/>
              </w:rPr>
              <w:t>317,160</w:t>
            </w:r>
          </w:p>
        </w:tc>
        <w:tc>
          <w:tcPr>
            <w:tcW w:w="856" w:type="dxa"/>
            <w:tcBorders>
              <w:top w:val="nil"/>
              <w:left w:val="nil"/>
              <w:bottom w:val="single" w:sz="4" w:space="0" w:color="auto"/>
              <w:right w:val="single" w:sz="4" w:space="0" w:color="auto"/>
            </w:tcBorders>
            <w:shd w:val="clear" w:color="auto" w:fill="auto"/>
            <w:hideMark/>
          </w:tcPr>
          <w:p w14:paraId="3C11BC2A" w14:textId="77777777" w:rsidR="00F970D2" w:rsidRPr="006050E8" w:rsidRDefault="00F970D2" w:rsidP="001224CB">
            <w:pPr>
              <w:jc w:val="right"/>
              <w:rPr>
                <w:vanish/>
                <w:sz w:val="16"/>
                <w:szCs w:val="16"/>
                <w:lang w:val="es-ES"/>
              </w:rPr>
            </w:pPr>
            <w:r w:rsidRPr="006050E8">
              <w:rPr>
                <w:vanish/>
                <w:sz w:val="16"/>
                <w:lang w:val="es-ES" w:eastAsia="en-CA"/>
              </w:rPr>
              <w:t>251,317</w:t>
            </w:r>
          </w:p>
        </w:tc>
        <w:tc>
          <w:tcPr>
            <w:tcW w:w="856" w:type="dxa"/>
            <w:tcBorders>
              <w:top w:val="nil"/>
              <w:left w:val="nil"/>
              <w:bottom w:val="single" w:sz="4" w:space="0" w:color="auto"/>
              <w:right w:val="single" w:sz="4" w:space="0" w:color="auto"/>
            </w:tcBorders>
            <w:shd w:val="clear" w:color="auto" w:fill="auto"/>
            <w:hideMark/>
          </w:tcPr>
          <w:p w14:paraId="0F6C7CCA" w14:textId="77777777" w:rsidR="00F970D2" w:rsidRPr="006050E8" w:rsidRDefault="00F970D2" w:rsidP="001224CB">
            <w:pPr>
              <w:jc w:val="right"/>
              <w:rPr>
                <w:vanish/>
                <w:sz w:val="16"/>
                <w:szCs w:val="16"/>
                <w:lang w:val="es-ES"/>
              </w:rPr>
            </w:pPr>
            <w:r w:rsidRPr="006050E8">
              <w:rPr>
                <w:vanish/>
                <w:sz w:val="16"/>
                <w:lang w:val="es-ES" w:eastAsia="en-CA"/>
              </w:rPr>
              <w:t>308,375</w:t>
            </w:r>
          </w:p>
        </w:tc>
        <w:tc>
          <w:tcPr>
            <w:tcW w:w="933" w:type="dxa"/>
            <w:tcBorders>
              <w:top w:val="nil"/>
              <w:left w:val="nil"/>
              <w:bottom w:val="single" w:sz="4" w:space="0" w:color="auto"/>
              <w:right w:val="single" w:sz="4" w:space="0" w:color="auto"/>
            </w:tcBorders>
            <w:shd w:val="clear" w:color="auto" w:fill="auto"/>
            <w:hideMark/>
          </w:tcPr>
          <w:p w14:paraId="4FFC0994" w14:textId="77777777" w:rsidR="00F970D2" w:rsidRPr="006050E8" w:rsidRDefault="00F970D2" w:rsidP="001224CB">
            <w:pPr>
              <w:jc w:val="right"/>
              <w:rPr>
                <w:vanish/>
                <w:sz w:val="16"/>
                <w:szCs w:val="16"/>
                <w:lang w:val="es-ES"/>
              </w:rPr>
            </w:pPr>
            <w:r w:rsidRPr="006050E8">
              <w:rPr>
                <w:vanish/>
                <w:sz w:val="16"/>
                <w:lang w:val="es-ES" w:eastAsia="en-CA"/>
              </w:rPr>
              <w:t>381,004</w:t>
            </w:r>
          </w:p>
        </w:tc>
        <w:tc>
          <w:tcPr>
            <w:tcW w:w="856" w:type="dxa"/>
            <w:tcBorders>
              <w:top w:val="nil"/>
              <w:left w:val="nil"/>
              <w:bottom w:val="single" w:sz="4" w:space="0" w:color="auto"/>
              <w:right w:val="single" w:sz="4" w:space="0" w:color="auto"/>
            </w:tcBorders>
            <w:shd w:val="clear" w:color="auto" w:fill="auto"/>
            <w:hideMark/>
          </w:tcPr>
          <w:p w14:paraId="13085573" w14:textId="77777777" w:rsidR="00F970D2" w:rsidRPr="006050E8" w:rsidRDefault="00F970D2" w:rsidP="001224CB">
            <w:pPr>
              <w:jc w:val="right"/>
              <w:rPr>
                <w:vanish/>
                <w:sz w:val="16"/>
                <w:szCs w:val="16"/>
                <w:lang w:val="es-ES"/>
              </w:rPr>
            </w:pPr>
            <w:r w:rsidRPr="006050E8">
              <w:rPr>
                <w:vanish/>
                <w:sz w:val="16"/>
                <w:lang w:val="es-ES" w:eastAsia="en-CA"/>
              </w:rPr>
              <w:t>240,968</w:t>
            </w:r>
          </w:p>
        </w:tc>
        <w:tc>
          <w:tcPr>
            <w:tcW w:w="856" w:type="dxa"/>
            <w:tcBorders>
              <w:top w:val="nil"/>
              <w:left w:val="single" w:sz="4" w:space="0" w:color="auto"/>
              <w:bottom w:val="single" w:sz="4" w:space="0" w:color="auto"/>
              <w:right w:val="single" w:sz="4" w:space="0" w:color="auto"/>
            </w:tcBorders>
            <w:shd w:val="clear" w:color="auto" w:fill="auto"/>
            <w:hideMark/>
          </w:tcPr>
          <w:p w14:paraId="41C2D8B8" w14:textId="77777777" w:rsidR="00F970D2" w:rsidRPr="006050E8" w:rsidRDefault="00F970D2" w:rsidP="001224CB">
            <w:pPr>
              <w:jc w:val="right"/>
              <w:rPr>
                <w:vanish/>
                <w:sz w:val="16"/>
                <w:szCs w:val="16"/>
                <w:lang w:val="es-ES"/>
              </w:rPr>
            </w:pPr>
            <w:r w:rsidRPr="006050E8">
              <w:rPr>
                <w:vanish/>
                <w:sz w:val="16"/>
                <w:lang w:val="es-ES" w:eastAsia="en-CA"/>
              </w:rPr>
              <w:t>251,221</w:t>
            </w:r>
          </w:p>
        </w:tc>
        <w:tc>
          <w:tcPr>
            <w:tcW w:w="919" w:type="dxa"/>
            <w:tcBorders>
              <w:top w:val="nil"/>
              <w:left w:val="nil"/>
              <w:bottom w:val="single" w:sz="4" w:space="0" w:color="auto"/>
              <w:right w:val="single" w:sz="4" w:space="0" w:color="auto"/>
            </w:tcBorders>
            <w:shd w:val="clear" w:color="auto" w:fill="auto"/>
            <w:hideMark/>
          </w:tcPr>
          <w:p w14:paraId="6B00F0AB" w14:textId="77777777" w:rsidR="00F970D2" w:rsidRPr="006050E8" w:rsidRDefault="00F970D2" w:rsidP="001224CB">
            <w:pPr>
              <w:jc w:val="right"/>
              <w:rPr>
                <w:vanish/>
                <w:sz w:val="16"/>
                <w:szCs w:val="16"/>
                <w:lang w:val="es-ES"/>
              </w:rPr>
            </w:pPr>
            <w:r w:rsidRPr="006050E8">
              <w:rPr>
                <w:vanish/>
                <w:sz w:val="16"/>
                <w:lang w:val="es-ES" w:eastAsia="en-CA"/>
              </w:rPr>
              <w:t>250,000</w:t>
            </w:r>
          </w:p>
        </w:tc>
        <w:tc>
          <w:tcPr>
            <w:tcW w:w="910" w:type="dxa"/>
            <w:tcBorders>
              <w:top w:val="nil"/>
              <w:left w:val="nil"/>
              <w:bottom w:val="single" w:sz="4" w:space="0" w:color="auto"/>
              <w:right w:val="single" w:sz="4" w:space="0" w:color="auto"/>
            </w:tcBorders>
            <w:shd w:val="clear" w:color="auto" w:fill="auto"/>
            <w:noWrap/>
            <w:hideMark/>
          </w:tcPr>
          <w:p w14:paraId="1E1DCA8E" w14:textId="77777777" w:rsidR="00F970D2" w:rsidRPr="006050E8" w:rsidRDefault="00F970D2" w:rsidP="001224CB">
            <w:pPr>
              <w:jc w:val="right"/>
              <w:rPr>
                <w:vanish/>
                <w:sz w:val="16"/>
                <w:szCs w:val="16"/>
                <w:lang w:val="es-ES"/>
              </w:rPr>
            </w:pPr>
            <w:r w:rsidRPr="006050E8">
              <w:rPr>
                <w:vanish/>
                <w:sz w:val="16"/>
                <w:lang w:val="es-ES" w:eastAsia="en-CA"/>
              </w:rPr>
              <w:t>250,000</w:t>
            </w:r>
          </w:p>
        </w:tc>
        <w:tc>
          <w:tcPr>
            <w:tcW w:w="856" w:type="dxa"/>
            <w:tcBorders>
              <w:top w:val="nil"/>
              <w:left w:val="nil"/>
              <w:bottom w:val="single" w:sz="4" w:space="0" w:color="auto"/>
              <w:right w:val="single" w:sz="4" w:space="0" w:color="auto"/>
            </w:tcBorders>
            <w:shd w:val="clear" w:color="auto" w:fill="auto"/>
            <w:noWrap/>
            <w:hideMark/>
          </w:tcPr>
          <w:p w14:paraId="77F07BEE" w14:textId="77777777" w:rsidR="00F970D2" w:rsidRPr="006050E8" w:rsidRDefault="00F970D2" w:rsidP="001224CB">
            <w:pPr>
              <w:jc w:val="right"/>
              <w:rPr>
                <w:vanish/>
                <w:sz w:val="16"/>
                <w:szCs w:val="16"/>
                <w:lang w:val="es-ES"/>
              </w:rPr>
            </w:pPr>
            <w:r w:rsidRPr="006050E8">
              <w:rPr>
                <w:vanish/>
                <w:sz w:val="16"/>
                <w:lang w:val="es-ES" w:eastAsia="en-CA"/>
              </w:rPr>
              <w:t>250,000</w:t>
            </w:r>
          </w:p>
        </w:tc>
      </w:tr>
      <w:tr w:rsidR="00F970D2" w:rsidRPr="006050E8" w14:paraId="4F056907" w14:textId="77777777" w:rsidTr="001224CB">
        <w:trPr>
          <w:trHeight w:val="81"/>
          <w:hidden/>
        </w:trPr>
        <w:tc>
          <w:tcPr>
            <w:tcW w:w="3828" w:type="dxa"/>
            <w:tcBorders>
              <w:top w:val="nil"/>
              <w:left w:val="single" w:sz="4" w:space="0" w:color="auto"/>
              <w:bottom w:val="single" w:sz="4" w:space="0" w:color="auto"/>
              <w:right w:val="single" w:sz="4" w:space="0" w:color="auto"/>
            </w:tcBorders>
            <w:shd w:val="clear" w:color="auto" w:fill="auto"/>
            <w:hideMark/>
          </w:tcPr>
          <w:p w14:paraId="2E84D98A" w14:textId="77777777" w:rsidR="00F970D2" w:rsidRPr="006050E8" w:rsidRDefault="00F970D2" w:rsidP="001224CB">
            <w:pPr>
              <w:rPr>
                <w:vanish/>
                <w:sz w:val="16"/>
                <w:szCs w:val="16"/>
                <w:lang w:val="es-ES"/>
              </w:rPr>
            </w:pPr>
            <w:r w:rsidRPr="006050E8">
              <w:rPr>
                <w:vanish/>
                <w:sz w:val="16"/>
                <w:lang w:val="es-ES" w:eastAsia="en-CA"/>
              </w:rPr>
              <w:t>Adjustments (+ = underuse and - = overrun)</w:t>
            </w:r>
          </w:p>
        </w:tc>
        <w:tc>
          <w:tcPr>
            <w:tcW w:w="856" w:type="dxa"/>
            <w:tcBorders>
              <w:top w:val="nil"/>
              <w:left w:val="nil"/>
              <w:bottom w:val="single" w:sz="4" w:space="0" w:color="auto"/>
              <w:right w:val="single" w:sz="4" w:space="0" w:color="auto"/>
            </w:tcBorders>
            <w:shd w:val="clear" w:color="auto" w:fill="auto"/>
            <w:hideMark/>
          </w:tcPr>
          <w:p w14:paraId="399A6032" w14:textId="77777777" w:rsidR="00F970D2" w:rsidRPr="006050E8" w:rsidRDefault="00F970D2" w:rsidP="001224CB">
            <w:pPr>
              <w:jc w:val="right"/>
              <w:rPr>
                <w:vanish/>
                <w:sz w:val="16"/>
                <w:szCs w:val="16"/>
                <w:lang w:val="es-ES"/>
              </w:rPr>
            </w:pPr>
            <w:r w:rsidRPr="006050E8">
              <w:rPr>
                <w:vanish/>
                <w:sz w:val="16"/>
                <w:lang w:val="es-ES" w:eastAsia="en-CA"/>
              </w:rPr>
              <w:t>-837,220</w:t>
            </w:r>
          </w:p>
        </w:tc>
        <w:tc>
          <w:tcPr>
            <w:tcW w:w="856" w:type="dxa"/>
            <w:tcBorders>
              <w:top w:val="nil"/>
              <w:left w:val="nil"/>
              <w:bottom w:val="single" w:sz="4" w:space="0" w:color="auto"/>
              <w:right w:val="single" w:sz="4" w:space="0" w:color="auto"/>
            </w:tcBorders>
            <w:shd w:val="clear" w:color="auto" w:fill="auto"/>
            <w:hideMark/>
          </w:tcPr>
          <w:p w14:paraId="72692891" w14:textId="77777777" w:rsidR="00F970D2" w:rsidRPr="006050E8" w:rsidRDefault="00F970D2" w:rsidP="001224CB">
            <w:pPr>
              <w:jc w:val="right"/>
              <w:rPr>
                <w:vanish/>
                <w:sz w:val="16"/>
                <w:szCs w:val="16"/>
                <w:lang w:val="es-ES"/>
              </w:rPr>
            </w:pPr>
            <w:r w:rsidRPr="006050E8">
              <w:rPr>
                <w:vanish/>
                <w:sz w:val="16"/>
                <w:lang w:val="es-ES" w:eastAsia="en-CA"/>
              </w:rPr>
              <w:t>-849,676</w:t>
            </w:r>
          </w:p>
        </w:tc>
        <w:tc>
          <w:tcPr>
            <w:tcW w:w="856" w:type="dxa"/>
            <w:tcBorders>
              <w:top w:val="nil"/>
              <w:left w:val="nil"/>
              <w:bottom w:val="single" w:sz="4" w:space="0" w:color="auto"/>
              <w:right w:val="single" w:sz="4" w:space="0" w:color="auto"/>
            </w:tcBorders>
            <w:shd w:val="clear" w:color="auto" w:fill="auto"/>
            <w:hideMark/>
          </w:tcPr>
          <w:p w14:paraId="47462AAD" w14:textId="77777777" w:rsidR="00F970D2" w:rsidRPr="006050E8" w:rsidRDefault="00F970D2" w:rsidP="001224CB">
            <w:pPr>
              <w:jc w:val="right"/>
              <w:rPr>
                <w:vanish/>
                <w:sz w:val="16"/>
                <w:szCs w:val="16"/>
                <w:lang w:val="es-ES"/>
              </w:rPr>
            </w:pPr>
            <w:r w:rsidRPr="006050E8">
              <w:rPr>
                <w:vanish/>
                <w:sz w:val="16"/>
                <w:lang w:val="es-ES" w:eastAsia="en-CA"/>
              </w:rPr>
              <w:t>-658,389</w:t>
            </w:r>
          </w:p>
        </w:tc>
        <w:tc>
          <w:tcPr>
            <w:tcW w:w="856" w:type="dxa"/>
            <w:tcBorders>
              <w:top w:val="nil"/>
              <w:left w:val="nil"/>
              <w:bottom w:val="single" w:sz="4" w:space="0" w:color="auto"/>
              <w:right w:val="single" w:sz="4" w:space="0" w:color="auto"/>
            </w:tcBorders>
            <w:shd w:val="clear" w:color="auto" w:fill="auto"/>
            <w:hideMark/>
          </w:tcPr>
          <w:p w14:paraId="69E00D2E" w14:textId="77777777" w:rsidR="00F970D2" w:rsidRPr="006050E8" w:rsidRDefault="00F970D2" w:rsidP="001224CB">
            <w:pPr>
              <w:jc w:val="right"/>
              <w:rPr>
                <w:vanish/>
                <w:sz w:val="16"/>
                <w:szCs w:val="16"/>
                <w:lang w:val="es-ES"/>
              </w:rPr>
            </w:pPr>
            <w:r w:rsidRPr="006050E8">
              <w:rPr>
                <w:vanish/>
                <w:sz w:val="16"/>
                <w:lang w:val="es-ES" w:eastAsia="en-CA"/>
              </w:rPr>
              <w:t>-595,905</w:t>
            </w:r>
          </w:p>
        </w:tc>
        <w:tc>
          <w:tcPr>
            <w:tcW w:w="856" w:type="dxa"/>
            <w:tcBorders>
              <w:top w:val="nil"/>
              <w:left w:val="nil"/>
              <w:bottom w:val="single" w:sz="4" w:space="0" w:color="auto"/>
              <w:right w:val="single" w:sz="4" w:space="0" w:color="auto"/>
            </w:tcBorders>
            <w:shd w:val="clear" w:color="auto" w:fill="auto"/>
            <w:hideMark/>
          </w:tcPr>
          <w:p w14:paraId="536691D9" w14:textId="77777777" w:rsidR="00F970D2" w:rsidRPr="006050E8" w:rsidRDefault="00F970D2" w:rsidP="001224CB">
            <w:pPr>
              <w:jc w:val="right"/>
              <w:rPr>
                <w:vanish/>
                <w:sz w:val="16"/>
                <w:szCs w:val="16"/>
                <w:lang w:val="es-ES"/>
              </w:rPr>
            </w:pPr>
            <w:r w:rsidRPr="006050E8">
              <w:rPr>
                <w:vanish/>
                <w:sz w:val="16"/>
                <w:lang w:val="es-ES" w:eastAsia="en-CA"/>
              </w:rPr>
              <w:t>-585,526</w:t>
            </w:r>
          </w:p>
        </w:tc>
        <w:tc>
          <w:tcPr>
            <w:tcW w:w="856" w:type="dxa"/>
            <w:tcBorders>
              <w:top w:val="nil"/>
              <w:left w:val="nil"/>
              <w:bottom w:val="single" w:sz="4" w:space="0" w:color="auto"/>
              <w:right w:val="single" w:sz="4" w:space="0" w:color="auto"/>
            </w:tcBorders>
            <w:shd w:val="clear" w:color="auto" w:fill="auto"/>
            <w:hideMark/>
          </w:tcPr>
          <w:p w14:paraId="20F62081" w14:textId="77777777" w:rsidR="00F970D2" w:rsidRPr="006050E8" w:rsidRDefault="00F970D2" w:rsidP="001224CB">
            <w:pPr>
              <w:jc w:val="right"/>
              <w:rPr>
                <w:vanish/>
                <w:sz w:val="16"/>
                <w:szCs w:val="16"/>
                <w:lang w:val="es-ES"/>
              </w:rPr>
            </w:pPr>
            <w:r w:rsidRPr="006050E8">
              <w:rPr>
                <w:vanish/>
                <w:sz w:val="16"/>
                <w:lang w:val="es-ES" w:eastAsia="en-CA"/>
              </w:rPr>
              <w:t>-929,036</w:t>
            </w:r>
          </w:p>
        </w:tc>
        <w:tc>
          <w:tcPr>
            <w:tcW w:w="933" w:type="dxa"/>
            <w:tcBorders>
              <w:top w:val="nil"/>
              <w:left w:val="nil"/>
              <w:bottom w:val="single" w:sz="4" w:space="0" w:color="auto"/>
              <w:right w:val="single" w:sz="4" w:space="0" w:color="auto"/>
            </w:tcBorders>
            <w:shd w:val="clear" w:color="auto" w:fill="auto"/>
            <w:hideMark/>
          </w:tcPr>
          <w:p w14:paraId="1D49B335" w14:textId="77777777" w:rsidR="00F970D2" w:rsidRPr="006050E8" w:rsidRDefault="00F970D2" w:rsidP="001224CB">
            <w:pPr>
              <w:jc w:val="right"/>
              <w:rPr>
                <w:vanish/>
                <w:sz w:val="16"/>
                <w:szCs w:val="16"/>
                <w:lang w:val="es-ES"/>
              </w:rPr>
            </w:pPr>
            <w:r w:rsidRPr="006050E8">
              <w:rPr>
                <w:vanish/>
                <w:sz w:val="16"/>
                <w:lang w:val="es-ES" w:eastAsia="en-CA"/>
              </w:rPr>
              <w:t>-1,053,880</w:t>
            </w:r>
          </w:p>
        </w:tc>
        <w:tc>
          <w:tcPr>
            <w:tcW w:w="856" w:type="dxa"/>
            <w:tcBorders>
              <w:top w:val="nil"/>
              <w:left w:val="nil"/>
              <w:bottom w:val="single" w:sz="4" w:space="0" w:color="auto"/>
              <w:right w:val="single" w:sz="4" w:space="0" w:color="auto"/>
            </w:tcBorders>
            <w:shd w:val="clear" w:color="auto" w:fill="auto"/>
            <w:hideMark/>
          </w:tcPr>
          <w:p w14:paraId="2F6CB087" w14:textId="77777777" w:rsidR="00F970D2" w:rsidRPr="006050E8" w:rsidRDefault="00F970D2" w:rsidP="001224CB">
            <w:pPr>
              <w:jc w:val="right"/>
              <w:rPr>
                <w:vanish/>
                <w:sz w:val="16"/>
                <w:szCs w:val="16"/>
                <w:lang w:val="es-ES"/>
              </w:rPr>
            </w:pPr>
            <w:r w:rsidRPr="006050E8">
              <w:rPr>
                <w:vanish/>
                <w:sz w:val="16"/>
                <w:lang w:val="es-ES" w:eastAsia="en-CA"/>
              </w:rPr>
              <w:t>-904,918</w:t>
            </w:r>
          </w:p>
        </w:tc>
        <w:tc>
          <w:tcPr>
            <w:tcW w:w="856" w:type="dxa"/>
            <w:tcBorders>
              <w:top w:val="nil"/>
              <w:left w:val="single" w:sz="4" w:space="0" w:color="auto"/>
              <w:bottom w:val="single" w:sz="4" w:space="0" w:color="auto"/>
              <w:right w:val="single" w:sz="4" w:space="0" w:color="auto"/>
            </w:tcBorders>
            <w:shd w:val="clear" w:color="auto" w:fill="auto"/>
            <w:hideMark/>
          </w:tcPr>
          <w:p w14:paraId="77BCEE53" w14:textId="77777777" w:rsidR="00F970D2" w:rsidRPr="006050E8" w:rsidRDefault="00F970D2" w:rsidP="001224CB">
            <w:pPr>
              <w:jc w:val="right"/>
              <w:rPr>
                <w:vanish/>
                <w:sz w:val="16"/>
                <w:szCs w:val="16"/>
                <w:lang w:val="es-ES"/>
              </w:rPr>
            </w:pPr>
            <w:r w:rsidRPr="006050E8">
              <w:rPr>
                <w:vanish/>
                <w:sz w:val="16"/>
                <w:lang w:val="es-ES" w:eastAsia="en-CA"/>
              </w:rPr>
              <w:t>-601,414</w:t>
            </w:r>
          </w:p>
        </w:tc>
        <w:tc>
          <w:tcPr>
            <w:tcW w:w="919" w:type="dxa"/>
            <w:tcBorders>
              <w:top w:val="nil"/>
              <w:left w:val="nil"/>
              <w:bottom w:val="single" w:sz="4" w:space="0" w:color="auto"/>
              <w:right w:val="single" w:sz="4" w:space="0" w:color="auto"/>
            </w:tcBorders>
            <w:shd w:val="clear" w:color="auto" w:fill="auto"/>
            <w:hideMark/>
          </w:tcPr>
          <w:p w14:paraId="260FEAB4" w14:textId="77777777" w:rsidR="00F970D2" w:rsidRPr="006050E8" w:rsidRDefault="00F970D2" w:rsidP="001224CB">
            <w:pPr>
              <w:jc w:val="right"/>
              <w:rPr>
                <w:vanish/>
                <w:sz w:val="16"/>
                <w:szCs w:val="16"/>
                <w:lang w:val="es-ES"/>
              </w:rPr>
            </w:pPr>
            <w:r w:rsidRPr="006050E8">
              <w:rPr>
                <w:vanish/>
                <w:sz w:val="16"/>
                <w:lang w:val="es-ES" w:eastAsia="en-CA"/>
              </w:rPr>
              <w:t>-1,015,528</w:t>
            </w:r>
          </w:p>
        </w:tc>
        <w:tc>
          <w:tcPr>
            <w:tcW w:w="910" w:type="dxa"/>
            <w:tcBorders>
              <w:top w:val="nil"/>
              <w:left w:val="nil"/>
              <w:bottom w:val="single" w:sz="4" w:space="0" w:color="auto"/>
              <w:right w:val="single" w:sz="4" w:space="0" w:color="auto"/>
            </w:tcBorders>
            <w:shd w:val="clear" w:color="auto" w:fill="auto"/>
            <w:noWrap/>
            <w:hideMark/>
          </w:tcPr>
          <w:p w14:paraId="4BABBB4E" w14:textId="77777777" w:rsidR="00F970D2" w:rsidRPr="006050E8" w:rsidRDefault="00F970D2" w:rsidP="001224CB">
            <w:pPr>
              <w:jc w:val="right"/>
              <w:rPr>
                <w:vanish/>
                <w:sz w:val="16"/>
                <w:szCs w:val="16"/>
                <w:lang w:val="es-ES"/>
              </w:rPr>
            </w:pPr>
            <w:r w:rsidRPr="006050E8">
              <w:rPr>
                <w:vanish/>
                <w:sz w:val="16"/>
                <w:lang w:val="es-ES" w:eastAsia="en-CA"/>
              </w:rPr>
              <w:t>-673,909</w:t>
            </w:r>
          </w:p>
        </w:tc>
        <w:tc>
          <w:tcPr>
            <w:tcW w:w="856" w:type="dxa"/>
            <w:tcBorders>
              <w:top w:val="nil"/>
              <w:left w:val="nil"/>
              <w:bottom w:val="single" w:sz="4" w:space="0" w:color="auto"/>
              <w:right w:val="single" w:sz="4" w:space="0" w:color="auto"/>
            </w:tcBorders>
            <w:shd w:val="clear" w:color="auto" w:fill="auto"/>
            <w:noWrap/>
            <w:hideMark/>
          </w:tcPr>
          <w:p w14:paraId="163D76DB" w14:textId="77777777" w:rsidR="00F970D2" w:rsidRPr="006050E8" w:rsidRDefault="00F970D2" w:rsidP="001224CB">
            <w:pPr>
              <w:jc w:val="right"/>
              <w:rPr>
                <w:vanish/>
                <w:sz w:val="16"/>
                <w:szCs w:val="16"/>
                <w:lang w:val="es-ES"/>
              </w:rPr>
            </w:pPr>
            <w:r w:rsidRPr="006050E8">
              <w:rPr>
                <w:vanish/>
                <w:sz w:val="16"/>
                <w:lang w:val="es-ES" w:eastAsia="en-CA"/>
              </w:rPr>
              <w:t>-895,186</w:t>
            </w:r>
          </w:p>
        </w:tc>
      </w:tr>
      <w:tr w:rsidR="00F970D2" w:rsidRPr="006050E8" w14:paraId="7F21B9A7"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hideMark/>
          </w:tcPr>
          <w:p w14:paraId="1D9B1799" w14:textId="77777777" w:rsidR="00F970D2" w:rsidRPr="006050E8" w:rsidRDefault="00F970D2" w:rsidP="001224CB">
            <w:pPr>
              <w:rPr>
                <w:vanish/>
                <w:sz w:val="16"/>
                <w:szCs w:val="16"/>
                <w:lang w:val="es-ES"/>
              </w:rPr>
            </w:pPr>
            <w:r w:rsidRPr="006050E8">
              <w:rPr>
                <w:vanish/>
                <w:sz w:val="16"/>
                <w:lang w:val="es-ES" w:eastAsia="en-CA"/>
              </w:rPr>
              <w:t>Return of funds (- = returned funds)</w:t>
            </w:r>
          </w:p>
        </w:tc>
        <w:tc>
          <w:tcPr>
            <w:tcW w:w="856" w:type="dxa"/>
            <w:tcBorders>
              <w:top w:val="nil"/>
              <w:left w:val="nil"/>
              <w:bottom w:val="single" w:sz="4" w:space="0" w:color="auto"/>
              <w:right w:val="single" w:sz="4" w:space="0" w:color="auto"/>
            </w:tcBorders>
            <w:shd w:val="clear" w:color="auto" w:fill="auto"/>
            <w:hideMark/>
          </w:tcPr>
          <w:p w14:paraId="61E50B31" w14:textId="77777777" w:rsidR="00F970D2" w:rsidRPr="006050E8" w:rsidRDefault="00F970D2" w:rsidP="001224CB">
            <w:pPr>
              <w:jc w:val="right"/>
              <w:rPr>
                <w:vanish/>
                <w:sz w:val="16"/>
                <w:szCs w:val="16"/>
                <w:lang w:val="es-ES"/>
              </w:rPr>
            </w:pPr>
            <w:r w:rsidRPr="006050E8">
              <w:rPr>
                <w:vanish/>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2AEB4300" w14:textId="77777777" w:rsidR="00F970D2" w:rsidRPr="006050E8" w:rsidRDefault="00F970D2" w:rsidP="001224CB">
            <w:pPr>
              <w:jc w:val="right"/>
              <w:rPr>
                <w:vanish/>
                <w:sz w:val="16"/>
                <w:szCs w:val="16"/>
                <w:lang w:val="es-ES"/>
              </w:rPr>
            </w:pPr>
            <w:r w:rsidRPr="006050E8">
              <w:rPr>
                <w:vanish/>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1E761591" w14:textId="77777777" w:rsidR="00F970D2" w:rsidRPr="006050E8" w:rsidRDefault="00F970D2" w:rsidP="001224CB">
            <w:pPr>
              <w:jc w:val="right"/>
              <w:rPr>
                <w:vanish/>
                <w:sz w:val="16"/>
                <w:szCs w:val="16"/>
                <w:lang w:val="es-ES"/>
              </w:rPr>
            </w:pPr>
            <w:r w:rsidRPr="006050E8">
              <w:rPr>
                <w:vanish/>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332628DA" w14:textId="77777777" w:rsidR="00F970D2" w:rsidRPr="006050E8" w:rsidRDefault="00F970D2" w:rsidP="001224CB">
            <w:pPr>
              <w:jc w:val="right"/>
              <w:rPr>
                <w:vanish/>
                <w:sz w:val="16"/>
                <w:szCs w:val="16"/>
                <w:lang w:val="es-ES"/>
              </w:rPr>
            </w:pPr>
            <w:r w:rsidRPr="006050E8">
              <w:rPr>
                <w:vanish/>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59FA107B" w14:textId="77777777" w:rsidR="00F970D2" w:rsidRPr="006050E8" w:rsidRDefault="00F970D2" w:rsidP="001224CB">
            <w:pPr>
              <w:jc w:val="right"/>
              <w:rPr>
                <w:vanish/>
                <w:sz w:val="16"/>
                <w:szCs w:val="16"/>
                <w:lang w:val="es-ES"/>
              </w:rPr>
            </w:pPr>
            <w:r w:rsidRPr="006050E8">
              <w:rPr>
                <w:vanish/>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69571DF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3" w:type="dxa"/>
            <w:tcBorders>
              <w:top w:val="nil"/>
              <w:left w:val="nil"/>
              <w:bottom w:val="single" w:sz="4" w:space="0" w:color="auto"/>
              <w:right w:val="single" w:sz="4" w:space="0" w:color="auto"/>
            </w:tcBorders>
            <w:shd w:val="clear" w:color="auto" w:fill="auto"/>
            <w:hideMark/>
          </w:tcPr>
          <w:p w14:paraId="4E2674E9"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345FEE1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hideMark/>
          </w:tcPr>
          <w:p w14:paraId="5F3E4505" w14:textId="77777777" w:rsidR="00F970D2" w:rsidRPr="006050E8" w:rsidRDefault="00F970D2" w:rsidP="001224CB">
            <w:pPr>
              <w:jc w:val="right"/>
              <w:rPr>
                <w:vanish/>
                <w:sz w:val="16"/>
                <w:szCs w:val="16"/>
                <w:lang w:val="es-ES"/>
              </w:rPr>
            </w:pPr>
            <w:r w:rsidRPr="006050E8">
              <w:rPr>
                <w:vanish/>
                <w:sz w:val="16"/>
                <w:lang w:val="es-ES" w:eastAsia="en-CA"/>
              </w:rPr>
              <w:t>-32,878</w:t>
            </w:r>
          </w:p>
        </w:tc>
        <w:tc>
          <w:tcPr>
            <w:tcW w:w="919" w:type="dxa"/>
            <w:tcBorders>
              <w:top w:val="nil"/>
              <w:left w:val="nil"/>
              <w:bottom w:val="single" w:sz="4" w:space="0" w:color="auto"/>
              <w:right w:val="single" w:sz="4" w:space="0" w:color="auto"/>
            </w:tcBorders>
            <w:shd w:val="clear" w:color="auto" w:fill="auto"/>
            <w:hideMark/>
          </w:tcPr>
          <w:p w14:paraId="72EAA80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0" w:type="dxa"/>
            <w:tcBorders>
              <w:top w:val="nil"/>
              <w:left w:val="nil"/>
              <w:bottom w:val="single" w:sz="4" w:space="0" w:color="auto"/>
              <w:right w:val="single" w:sz="4" w:space="0" w:color="auto"/>
            </w:tcBorders>
            <w:shd w:val="clear" w:color="auto" w:fill="auto"/>
            <w:hideMark/>
          </w:tcPr>
          <w:p w14:paraId="2F3D253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57CA18AE" w14:textId="77777777" w:rsidR="00F970D2" w:rsidRPr="006050E8" w:rsidRDefault="00F970D2" w:rsidP="001224CB">
            <w:pPr>
              <w:jc w:val="right"/>
              <w:rPr>
                <w:vanish/>
                <w:sz w:val="16"/>
                <w:szCs w:val="16"/>
                <w:lang w:val="es-ES"/>
              </w:rPr>
            </w:pPr>
            <w:r w:rsidRPr="006050E8">
              <w:rPr>
                <w:vanish/>
                <w:sz w:val="16"/>
                <w:lang w:val="es-ES" w:eastAsia="en-CA"/>
              </w:rPr>
              <w:t> </w:t>
            </w:r>
          </w:p>
        </w:tc>
      </w:tr>
      <w:tr w:rsidR="00F970D2" w:rsidRPr="006050E8" w14:paraId="5F3E03D3" w14:textId="77777777" w:rsidTr="001224CB">
        <w:trPr>
          <w:trHeight w:val="116"/>
          <w:hidden/>
        </w:trPr>
        <w:tc>
          <w:tcPr>
            <w:tcW w:w="3828" w:type="dxa"/>
            <w:tcBorders>
              <w:top w:val="nil"/>
              <w:left w:val="single" w:sz="4" w:space="0" w:color="auto"/>
              <w:bottom w:val="single" w:sz="4" w:space="0" w:color="auto"/>
              <w:right w:val="single" w:sz="4" w:space="0" w:color="auto"/>
            </w:tcBorders>
            <w:shd w:val="clear" w:color="auto" w:fill="auto"/>
            <w:hideMark/>
          </w:tcPr>
          <w:p w14:paraId="4BDC31D4" w14:textId="77777777" w:rsidR="00F970D2" w:rsidRPr="006050E8" w:rsidRDefault="00F970D2" w:rsidP="001224CB">
            <w:pPr>
              <w:rPr>
                <w:b/>
                <w:bCs/>
                <w:vanish/>
                <w:sz w:val="16"/>
                <w:szCs w:val="16"/>
                <w:lang w:val="es-ES"/>
              </w:rPr>
            </w:pPr>
            <w:r w:rsidRPr="006050E8">
              <w:rPr>
                <w:b/>
                <w:vanish/>
                <w:sz w:val="16"/>
                <w:lang w:val="es-ES" w:eastAsia="en-CA"/>
              </w:rPr>
              <w:t>A. Sub-total core unit costs*</w:t>
            </w:r>
          </w:p>
        </w:tc>
        <w:tc>
          <w:tcPr>
            <w:tcW w:w="856" w:type="dxa"/>
            <w:tcBorders>
              <w:top w:val="nil"/>
              <w:left w:val="nil"/>
              <w:bottom w:val="single" w:sz="4" w:space="0" w:color="auto"/>
              <w:right w:val="single" w:sz="4" w:space="0" w:color="auto"/>
            </w:tcBorders>
            <w:shd w:val="clear" w:color="auto" w:fill="auto"/>
            <w:hideMark/>
          </w:tcPr>
          <w:p w14:paraId="59707D16" w14:textId="77777777" w:rsidR="00F970D2" w:rsidRPr="006050E8" w:rsidRDefault="00F970D2" w:rsidP="001224CB">
            <w:pPr>
              <w:jc w:val="right"/>
              <w:rPr>
                <w:b/>
                <w:bCs/>
                <w:vanish/>
                <w:sz w:val="16"/>
                <w:szCs w:val="16"/>
                <w:lang w:val="es-ES"/>
              </w:rPr>
            </w:pPr>
            <w:r w:rsidRPr="006050E8">
              <w:rPr>
                <w:b/>
                <w:vanish/>
                <w:sz w:val="16"/>
                <w:lang w:val="es-ES" w:eastAsia="en-CA"/>
              </w:rPr>
              <w:t>1,984,561</w:t>
            </w:r>
          </w:p>
        </w:tc>
        <w:tc>
          <w:tcPr>
            <w:tcW w:w="856" w:type="dxa"/>
            <w:tcBorders>
              <w:top w:val="nil"/>
              <w:left w:val="nil"/>
              <w:bottom w:val="single" w:sz="4" w:space="0" w:color="auto"/>
              <w:right w:val="single" w:sz="4" w:space="0" w:color="auto"/>
            </w:tcBorders>
            <w:shd w:val="clear" w:color="auto" w:fill="auto"/>
            <w:hideMark/>
          </w:tcPr>
          <w:p w14:paraId="4B7BA47C" w14:textId="77777777" w:rsidR="00F970D2" w:rsidRPr="006050E8" w:rsidRDefault="00F970D2" w:rsidP="001224CB">
            <w:pPr>
              <w:jc w:val="right"/>
              <w:rPr>
                <w:b/>
                <w:bCs/>
                <w:vanish/>
                <w:sz w:val="16"/>
                <w:szCs w:val="16"/>
                <w:lang w:val="es-ES"/>
              </w:rPr>
            </w:pPr>
            <w:r w:rsidRPr="006050E8">
              <w:rPr>
                <w:b/>
                <w:vanish/>
                <w:sz w:val="16"/>
                <w:lang w:val="es-ES" w:eastAsia="en-CA"/>
              </w:rPr>
              <w:t>1,998,453</w:t>
            </w:r>
          </w:p>
        </w:tc>
        <w:tc>
          <w:tcPr>
            <w:tcW w:w="856" w:type="dxa"/>
            <w:tcBorders>
              <w:top w:val="nil"/>
              <w:left w:val="nil"/>
              <w:bottom w:val="single" w:sz="4" w:space="0" w:color="auto"/>
              <w:right w:val="single" w:sz="4" w:space="0" w:color="auto"/>
            </w:tcBorders>
            <w:shd w:val="clear" w:color="auto" w:fill="auto"/>
            <w:hideMark/>
          </w:tcPr>
          <w:p w14:paraId="61620DAD" w14:textId="77777777" w:rsidR="00F970D2" w:rsidRPr="006050E8" w:rsidRDefault="00F970D2" w:rsidP="001224CB">
            <w:pPr>
              <w:jc w:val="right"/>
              <w:rPr>
                <w:b/>
                <w:bCs/>
                <w:vanish/>
                <w:sz w:val="16"/>
                <w:szCs w:val="16"/>
                <w:lang w:val="es-ES"/>
              </w:rPr>
            </w:pPr>
            <w:r w:rsidRPr="006050E8">
              <w:rPr>
                <w:b/>
                <w:vanish/>
                <w:sz w:val="16"/>
                <w:lang w:val="es-ES" w:eastAsia="en-CA"/>
              </w:rPr>
              <w:t>2,012,442</w:t>
            </w:r>
          </w:p>
        </w:tc>
        <w:tc>
          <w:tcPr>
            <w:tcW w:w="856" w:type="dxa"/>
            <w:tcBorders>
              <w:top w:val="nil"/>
              <w:left w:val="nil"/>
              <w:bottom w:val="single" w:sz="4" w:space="0" w:color="auto"/>
              <w:right w:val="single" w:sz="4" w:space="0" w:color="auto"/>
            </w:tcBorders>
            <w:shd w:val="clear" w:color="auto" w:fill="auto"/>
            <w:hideMark/>
          </w:tcPr>
          <w:p w14:paraId="09B37D84" w14:textId="77777777" w:rsidR="00F970D2" w:rsidRPr="006050E8" w:rsidRDefault="00F970D2" w:rsidP="001224CB">
            <w:pPr>
              <w:jc w:val="right"/>
              <w:rPr>
                <w:b/>
                <w:bCs/>
                <w:vanish/>
                <w:sz w:val="16"/>
                <w:szCs w:val="16"/>
                <w:lang w:val="es-ES"/>
              </w:rPr>
            </w:pPr>
            <w:r w:rsidRPr="006050E8">
              <w:rPr>
                <w:b/>
                <w:vanish/>
                <w:sz w:val="16"/>
                <w:lang w:val="es-ES" w:eastAsia="en-CA"/>
              </w:rPr>
              <w:t>2,026,529</w:t>
            </w:r>
          </w:p>
        </w:tc>
        <w:tc>
          <w:tcPr>
            <w:tcW w:w="856" w:type="dxa"/>
            <w:tcBorders>
              <w:top w:val="nil"/>
              <w:left w:val="nil"/>
              <w:bottom w:val="single" w:sz="4" w:space="0" w:color="auto"/>
              <w:right w:val="single" w:sz="4" w:space="0" w:color="auto"/>
            </w:tcBorders>
            <w:shd w:val="clear" w:color="auto" w:fill="auto"/>
            <w:hideMark/>
          </w:tcPr>
          <w:p w14:paraId="45E2F85C" w14:textId="77777777" w:rsidR="00F970D2" w:rsidRPr="006050E8" w:rsidRDefault="00F970D2" w:rsidP="001224CB">
            <w:pPr>
              <w:jc w:val="right"/>
              <w:rPr>
                <w:b/>
                <w:bCs/>
                <w:vanish/>
                <w:sz w:val="16"/>
                <w:szCs w:val="16"/>
                <w:lang w:val="es-ES"/>
              </w:rPr>
            </w:pPr>
            <w:r w:rsidRPr="006050E8">
              <w:rPr>
                <w:b/>
                <w:vanish/>
                <w:sz w:val="16"/>
                <w:lang w:val="es-ES" w:eastAsia="en-CA"/>
              </w:rPr>
              <w:t>2,040,715</w:t>
            </w:r>
          </w:p>
        </w:tc>
        <w:tc>
          <w:tcPr>
            <w:tcW w:w="856" w:type="dxa"/>
            <w:tcBorders>
              <w:top w:val="nil"/>
              <w:left w:val="nil"/>
              <w:bottom w:val="single" w:sz="4" w:space="0" w:color="auto"/>
              <w:right w:val="single" w:sz="4" w:space="0" w:color="auto"/>
            </w:tcBorders>
            <w:shd w:val="clear" w:color="auto" w:fill="auto"/>
            <w:hideMark/>
          </w:tcPr>
          <w:p w14:paraId="2F5EBF3C" w14:textId="77777777" w:rsidR="00F970D2" w:rsidRPr="006050E8" w:rsidRDefault="00F970D2" w:rsidP="001224CB">
            <w:pPr>
              <w:jc w:val="right"/>
              <w:rPr>
                <w:b/>
                <w:bCs/>
                <w:vanish/>
                <w:sz w:val="16"/>
                <w:szCs w:val="16"/>
                <w:lang w:val="es-ES"/>
              </w:rPr>
            </w:pPr>
            <w:r w:rsidRPr="006050E8">
              <w:rPr>
                <w:b/>
                <w:vanish/>
                <w:sz w:val="16"/>
                <w:lang w:val="es-ES" w:eastAsia="en-CA"/>
              </w:rPr>
              <w:t>2,055,000</w:t>
            </w:r>
          </w:p>
        </w:tc>
        <w:tc>
          <w:tcPr>
            <w:tcW w:w="933" w:type="dxa"/>
            <w:tcBorders>
              <w:top w:val="nil"/>
              <w:left w:val="nil"/>
              <w:bottom w:val="single" w:sz="4" w:space="0" w:color="auto"/>
              <w:right w:val="single" w:sz="4" w:space="0" w:color="auto"/>
            </w:tcBorders>
            <w:shd w:val="clear" w:color="auto" w:fill="auto"/>
            <w:hideMark/>
          </w:tcPr>
          <w:p w14:paraId="60DB2428" w14:textId="77777777" w:rsidR="00F970D2" w:rsidRPr="006050E8" w:rsidRDefault="00F970D2" w:rsidP="001224CB">
            <w:pPr>
              <w:jc w:val="right"/>
              <w:rPr>
                <w:b/>
                <w:bCs/>
                <w:vanish/>
                <w:sz w:val="16"/>
                <w:szCs w:val="16"/>
                <w:lang w:val="es-ES"/>
              </w:rPr>
            </w:pPr>
            <w:r w:rsidRPr="006050E8">
              <w:rPr>
                <w:b/>
                <w:vanish/>
                <w:sz w:val="16"/>
                <w:lang w:val="es-ES" w:eastAsia="en-CA"/>
              </w:rPr>
              <w:t>2,069,385</w:t>
            </w:r>
          </w:p>
        </w:tc>
        <w:tc>
          <w:tcPr>
            <w:tcW w:w="856" w:type="dxa"/>
            <w:tcBorders>
              <w:top w:val="nil"/>
              <w:left w:val="nil"/>
              <w:bottom w:val="single" w:sz="4" w:space="0" w:color="auto"/>
              <w:right w:val="single" w:sz="4" w:space="0" w:color="auto"/>
            </w:tcBorders>
            <w:shd w:val="clear" w:color="auto" w:fill="auto"/>
            <w:hideMark/>
          </w:tcPr>
          <w:p w14:paraId="5206F7AF" w14:textId="77777777" w:rsidR="00F970D2" w:rsidRPr="006050E8" w:rsidRDefault="00F970D2" w:rsidP="001224CB">
            <w:pPr>
              <w:jc w:val="right"/>
              <w:rPr>
                <w:b/>
                <w:bCs/>
                <w:vanish/>
                <w:sz w:val="16"/>
                <w:szCs w:val="16"/>
                <w:lang w:val="es-ES"/>
              </w:rPr>
            </w:pPr>
            <w:r w:rsidRPr="006050E8">
              <w:rPr>
                <w:b/>
                <w:vanish/>
                <w:sz w:val="16"/>
                <w:lang w:val="es-ES" w:eastAsia="en-CA"/>
              </w:rPr>
              <w:t>2,083,871</w:t>
            </w:r>
          </w:p>
        </w:tc>
        <w:tc>
          <w:tcPr>
            <w:tcW w:w="856" w:type="dxa"/>
            <w:tcBorders>
              <w:top w:val="nil"/>
              <w:left w:val="single" w:sz="4" w:space="0" w:color="auto"/>
              <w:bottom w:val="single" w:sz="4" w:space="0" w:color="auto"/>
              <w:right w:val="single" w:sz="4" w:space="0" w:color="auto"/>
            </w:tcBorders>
            <w:shd w:val="clear" w:color="auto" w:fill="auto"/>
            <w:hideMark/>
          </w:tcPr>
          <w:p w14:paraId="7058D6A7" w14:textId="77777777" w:rsidR="00F970D2" w:rsidRPr="006050E8" w:rsidRDefault="00F970D2" w:rsidP="001224CB">
            <w:pPr>
              <w:jc w:val="right"/>
              <w:rPr>
                <w:b/>
                <w:bCs/>
                <w:vanish/>
                <w:sz w:val="16"/>
                <w:szCs w:val="16"/>
                <w:lang w:val="es-ES"/>
              </w:rPr>
            </w:pPr>
            <w:r w:rsidRPr="006050E8">
              <w:rPr>
                <w:b/>
                <w:vanish/>
                <w:sz w:val="16"/>
                <w:lang w:val="es-ES" w:eastAsia="en-CA"/>
              </w:rPr>
              <w:t>2,098,458</w:t>
            </w:r>
          </w:p>
        </w:tc>
        <w:tc>
          <w:tcPr>
            <w:tcW w:w="919" w:type="dxa"/>
            <w:tcBorders>
              <w:top w:val="nil"/>
              <w:left w:val="nil"/>
              <w:bottom w:val="single" w:sz="4" w:space="0" w:color="auto"/>
              <w:right w:val="single" w:sz="4" w:space="0" w:color="auto"/>
            </w:tcBorders>
            <w:shd w:val="clear" w:color="auto" w:fill="auto"/>
            <w:hideMark/>
          </w:tcPr>
          <w:p w14:paraId="1B2FBBF5" w14:textId="77777777" w:rsidR="00F970D2" w:rsidRPr="006050E8" w:rsidRDefault="00F970D2" w:rsidP="001224CB">
            <w:pPr>
              <w:jc w:val="right"/>
              <w:rPr>
                <w:b/>
                <w:bCs/>
                <w:vanish/>
                <w:sz w:val="16"/>
                <w:szCs w:val="16"/>
                <w:lang w:val="es-ES"/>
              </w:rPr>
            </w:pPr>
            <w:r w:rsidRPr="006050E8">
              <w:rPr>
                <w:b/>
                <w:vanish/>
                <w:sz w:val="16"/>
                <w:lang w:val="es-ES" w:eastAsia="en-CA"/>
              </w:rPr>
              <w:t>2,113,148</w:t>
            </w:r>
          </w:p>
        </w:tc>
        <w:tc>
          <w:tcPr>
            <w:tcW w:w="910" w:type="dxa"/>
            <w:tcBorders>
              <w:top w:val="nil"/>
              <w:left w:val="nil"/>
              <w:bottom w:val="single" w:sz="4" w:space="0" w:color="auto"/>
              <w:right w:val="single" w:sz="4" w:space="0" w:color="auto"/>
            </w:tcBorders>
            <w:shd w:val="clear" w:color="auto" w:fill="auto"/>
            <w:hideMark/>
          </w:tcPr>
          <w:p w14:paraId="114A6014" w14:textId="77777777" w:rsidR="00F970D2" w:rsidRPr="006050E8" w:rsidRDefault="00F970D2" w:rsidP="001224CB">
            <w:pPr>
              <w:jc w:val="right"/>
              <w:rPr>
                <w:b/>
                <w:bCs/>
                <w:vanish/>
                <w:sz w:val="16"/>
                <w:szCs w:val="16"/>
                <w:lang w:val="es-ES"/>
              </w:rPr>
            </w:pPr>
            <w:r w:rsidRPr="006050E8">
              <w:rPr>
                <w:b/>
                <w:vanish/>
                <w:sz w:val="16"/>
                <w:lang w:val="es-ES" w:eastAsia="en-CA"/>
              </w:rPr>
              <w:t>2,113,148</w:t>
            </w:r>
          </w:p>
        </w:tc>
        <w:tc>
          <w:tcPr>
            <w:tcW w:w="856" w:type="dxa"/>
            <w:tcBorders>
              <w:top w:val="nil"/>
              <w:left w:val="nil"/>
              <w:bottom w:val="single" w:sz="4" w:space="0" w:color="auto"/>
              <w:right w:val="single" w:sz="4" w:space="0" w:color="auto"/>
            </w:tcBorders>
            <w:shd w:val="clear" w:color="auto" w:fill="auto"/>
            <w:hideMark/>
          </w:tcPr>
          <w:p w14:paraId="6D5489F9" w14:textId="77777777" w:rsidR="00F970D2" w:rsidRPr="006050E8" w:rsidRDefault="00F970D2" w:rsidP="001224CB">
            <w:pPr>
              <w:jc w:val="right"/>
              <w:rPr>
                <w:b/>
                <w:bCs/>
                <w:vanish/>
                <w:sz w:val="16"/>
                <w:szCs w:val="16"/>
                <w:lang w:val="es-ES"/>
              </w:rPr>
            </w:pPr>
            <w:r w:rsidRPr="006050E8">
              <w:rPr>
                <w:b/>
                <w:vanish/>
                <w:sz w:val="16"/>
                <w:lang w:val="es-ES" w:eastAsia="en-CA"/>
              </w:rPr>
              <w:t>2,127,940</w:t>
            </w:r>
          </w:p>
        </w:tc>
      </w:tr>
      <w:tr w:rsidR="00F970D2" w:rsidRPr="006050E8" w14:paraId="4C567638" w14:textId="77777777" w:rsidTr="001224CB">
        <w:trPr>
          <w:trHeight w:val="75"/>
          <w:hidden/>
        </w:trPr>
        <w:tc>
          <w:tcPr>
            <w:tcW w:w="3828" w:type="dxa"/>
            <w:tcBorders>
              <w:top w:val="nil"/>
              <w:left w:val="single" w:sz="4" w:space="0" w:color="auto"/>
              <w:bottom w:val="single" w:sz="4" w:space="0" w:color="auto"/>
              <w:right w:val="single" w:sz="4" w:space="0" w:color="auto"/>
            </w:tcBorders>
            <w:shd w:val="clear" w:color="auto" w:fill="auto"/>
            <w:hideMark/>
          </w:tcPr>
          <w:p w14:paraId="6925A4EB" w14:textId="77777777" w:rsidR="00F970D2" w:rsidRPr="006050E8" w:rsidRDefault="00F970D2" w:rsidP="001224CB">
            <w:pPr>
              <w:jc w:val="left"/>
              <w:rPr>
                <w:b/>
                <w:bCs/>
                <w:vanish/>
                <w:sz w:val="16"/>
                <w:szCs w:val="16"/>
                <w:lang w:val="es-ES"/>
              </w:rPr>
            </w:pPr>
            <w:r w:rsidRPr="006050E8">
              <w:rPr>
                <w:b/>
                <w:vanish/>
                <w:sz w:val="16"/>
                <w:lang w:val="es-ES" w:eastAsia="en-CA"/>
              </w:rPr>
              <w:t>B. Agency support costs/implementation</w:t>
            </w:r>
          </w:p>
        </w:tc>
        <w:tc>
          <w:tcPr>
            <w:tcW w:w="856" w:type="dxa"/>
            <w:tcBorders>
              <w:top w:val="nil"/>
              <w:left w:val="nil"/>
              <w:bottom w:val="single" w:sz="4" w:space="0" w:color="auto"/>
              <w:right w:val="single" w:sz="4" w:space="0" w:color="auto"/>
            </w:tcBorders>
            <w:shd w:val="clear" w:color="auto" w:fill="auto"/>
            <w:hideMark/>
          </w:tcPr>
          <w:p w14:paraId="6434C175"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56EE8988"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181F130E"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7B2AC218"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326513E5"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6AB917B9"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933" w:type="dxa"/>
            <w:tcBorders>
              <w:top w:val="nil"/>
              <w:left w:val="nil"/>
              <w:bottom w:val="single" w:sz="4" w:space="0" w:color="auto"/>
              <w:right w:val="single" w:sz="4" w:space="0" w:color="auto"/>
            </w:tcBorders>
            <w:shd w:val="clear" w:color="auto" w:fill="auto"/>
            <w:hideMark/>
          </w:tcPr>
          <w:p w14:paraId="59D004C0"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1C530CD9"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hideMark/>
          </w:tcPr>
          <w:p w14:paraId="3920A52B"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919" w:type="dxa"/>
            <w:tcBorders>
              <w:top w:val="nil"/>
              <w:left w:val="nil"/>
              <w:bottom w:val="single" w:sz="4" w:space="0" w:color="auto"/>
              <w:right w:val="single" w:sz="4" w:space="0" w:color="auto"/>
            </w:tcBorders>
            <w:shd w:val="clear" w:color="auto" w:fill="auto"/>
            <w:hideMark/>
          </w:tcPr>
          <w:p w14:paraId="346D2F46"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910" w:type="dxa"/>
            <w:tcBorders>
              <w:top w:val="nil"/>
              <w:left w:val="nil"/>
              <w:bottom w:val="single" w:sz="4" w:space="0" w:color="auto"/>
              <w:right w:val="single" w:sz="4" w:space="0" w:color="auto"/>
            </w:tcBorders>
            <w:shd w:val="clear" w:color="auto" w:fill="auto"/>
            <w:noWrap/>
            <w:vAlign w:val="bottom"/>
            <w:hideMark/>
          </w:tcPr>
          <w:p w14:paraId="5BBB634D" w14:textId="77777777" w:rsidR="00F970D2" w:rsidRPr="006050E8" w:rsidRDefault="00F970D2" w:rsidP="001224CB">
            <w:pPr>
              <w:jc w:val="right"/>
              <w:rPr>
                <w:vanish/>
                <w:sz w:val="16"/>
                <w:szCs w:val="16"/>
                <w:lang w:val="es-ES"/>
              </w:rPr>
            </w:pPr>
            <w:r w:rsidRPr="006050E8">
              <w:rPr>
                <w:vanish/>
                <w:sz w:val="16"/>
                <w:lang w:val="es-ES" w:eastAsia="en-CA"/>
              </w:rPr>
              <w:t>2,787,057</w:t>
            </w:r>
          </w:p>
        </w:tc>
        <w:tc>
          <w:tcPr>
            <w:tcW w:w="856" w:type="dxa"/>
            <w:tcBorders>
              <w:top w:val="nil"/>
              <w:left w:val="nil"/>
              <w:bottom w:val="single" w:sz="4" w:space="0" w:color="auto"/>
              <w:right w:val="single" w:sz="4" w:space="0" w:color="auto"/>
            </w:tcBorders>
            <w:shd w:val="clear" w:color="auto" w:fill="auto"/>
            <w:noWrap/>
            <w:vAlign w:val="bottom"/>
            <w:hideMark/>
          </w:tcPr>
          <w:p w14:paraId="3EDD56C4" w14:textId="77777777" w:rsidR="00F970D2" w:rsidRPr="006050E8" w:rsidRDefault="00F970D2" w:rsidP="001224CB">
            <w:pPr>
              <w:jc w:val="right"/>
              <w:rPr>
                <w:vanish/>
                <w:sz w:val="16"/>
                <w:szCs w:val="16"/>
                <w:lang w:val="es-ES"/>
              </w:rPr>
            </w:pPr>
            <w:r w:rsidRPr="006050E8">
              <w:rPr>
                <w:vanish/>
                <w:sz w:val="16"/>
                <w:lang w:val="es-ES" w:eastAsia="en-CA"/>
              </w:rPr>
              <w:t>3,023,126</w:t>
            </w:r>
          </w:p>
        </w:tc>
      </w:tr>
      <w:tr w:rsidR="00F970D2" w:rsidRPr="006050E8" w14:paraId="2449F494" w14:textId="77777777" w:rsidTr="001224CB">
        <w:trPr>
          <w:trHeight w:val="291"/>
          <w:hidden/>
        </w:trPr>
        <w:tc>
          <w:tcPr>
            <w:tcW w:w="3828" w:type="dxa"/>
            <w:tcBorders>
              <w:top w:val="nil"/>
              <w:left w:val="single" w:sz="4" w:space="0" w:color="auto"/>
              <w:bottom w:val="single" w:sz="4" w:space="0" w:color="auto"/>
              <w:right w:val="single" w:sz="4" w:space="0" w:color="auto"/>
            </w:tcBorders>
            <w:shd w:val="clear" w:color="auto" w:fill="auto"/>
            <w:hideMark/>
          </w:tcPr>
          <w:p w14:paraId="2C021418" w14:textId="77777777" w:rsidR="00F970D2" w:rsidRPr="006050E8" w:rsidRDefault="00F970D2" w:rsidP="001224CB">
            <w:pPr>
              <w:rPr>
                <w:vanish/>
                <w:sz w:val="16"/>
                <w:szCs w:val="16"/>
                <w:lang w:val="es-ES"/>
              </w:rPr>
            </w:pPr>
            <w:r w:rsidRPr="006050E8">
              <w:rPr>
                <w:vanish/>
                <w:sz w:val="16"/>
                <w:lang w:val="es-ES"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hideMark/>
          </w:tcPr>
          <w:p w14:paraId="66C996B6" w14:textId="77777777" w:rsidR="00F970D2" w:rsidRPr="006050E8" w:rsidRDefault="00F970D2" w:rsidP="001224CB">
            <w:pPr>
              <w:jc w:val="right"/>
              <w:rPr>
                <w:vanish/>
                <w:sz w:val="16"/>
                <w:szCs w:val="16"/>
                <w:lang w:val="es-ES"/>
              </w:rPr>
            </w:pPr>
            <w:r w:rsidRPr="006050E8">
              <w:rPr>
                <w:vanish/>
                <w:sz w:val="16"/>
                <w:lang w:val="es-ES" w:eastAsia="en-CA"/>
              </w:rPr>
              <w:t>1,828,279</w:t>
            </w:r>
          </w:p>
        </w:tc>
        <w:tc>
          <w:tcPr>
            <w:tcW w:w="856" w:type="dxa"/>
            <w:tcBorders>
              <w:top w:val="nil"/>
              <w:left w:val="nil"/>
              <w:bottom w:val="single" w:sz="4" w:space="0" w:color="auto"/>
              <w:right w:val="single" w:sz="4" w:space="0" w:color="auto"/>
            </w:tcBorders>
            <w:shd w:val="clear" w:color="auto" w:fill="auto"/>
            <w:hideMark/>
          </w:tcPr>
          <w:p w14:paraId="5EA7B495" w14:textId="77777777" w:rsidR="00F970D2" w:rsidRPr="006050E8" w:rsidRDefault="00F970D2" w:rsidP="001224CB">
            <w:pPr>
              <w:jc w:val="right"/>
              <w:rPr>
                <w:vanish/>
                <w:sz w:val="16"/>
                <w:szCs w:val="16"/>
                <w:lang w:val="es-ES"/>
              </w:rPr>
            </w:pPr>
            <w:r w:rsidRPr="006050E8">
              <w:rPr>
                <w:vanish/>
                <w:sz w:val="16"/>
                <w:lang w:val="es-ES" w:eastAsia="en-CA"/>
              </w:rPr>
              <w:t>2,442,896</w:t>
            </w:r>
          </w:p>
        </w:tc>
        <w:tc>
          <w:tcPr>
            <w:tcW w:w="856" w:type="dxa"/>
            <w:tcBorders>
              <w:top w:val="nil"/>
              <w:left w:val="nil"/>
              <w:bottom w:val="single" w:sz="4" w:space="0" w:color="auto"/>
              <w:right w:val="single" w:sz="4" w:space="0" w:color="auto"/>
            </w:tcBorders>
            <w:shd w:val="clear" w:color="auto" w:fill="auto"/>
            <w:hideMark/>
          </w:tcPr>
          <w:p w14:paraId="62C7AA9E" w14:textId="77777777" w:rsidR="00F970D2" w:rsidRPr="006050E8" w:rsidRDefault="00F970D2" w:rsidP="001224CB">
            <w:pPr>
              <w:jc w:val="right"/>
              <w:rPr>
                <w:vanish/>
                <w:sz w:val="16"/>
                <w:szCs w:val="16"/>
                <w:lang w:val="es-ES"/>
              </w:rPr>
            </w:pPr>
            <w:r w:rsidRPr="006050E8">
              <w:rPr>
                <w:vanish/>
                <w:sz w:val="16"/>
                <w:lang w:val="es-ES" w:eastAsia="en-CA"/>
              </w:rPr>
              <w:t>1,694,992</w:t>
            </w:r>
          </w:p>
        </w:tc>
        <w:tc>
          <w:tcPr>
            <w:tcW w:w="856" w:type="dxa"/>
            <w:tcBorders>
              <w:top w:val="nil"/>
              <w:left w:val="nil"/>
              <w:bottom w:val="single" w:sz="4" w:space="0" w:color="auto"/>
              <w:right w:val="single" w:sz="4" w:space="0" w:color="auto"/>
            </w:tcBorders>
            <w:shd w:val="clear" w:color="auto" w:fill="auto"/>
            <w:hideMark/>
          </w:tcPr>
          <w:p w14:paraId="20E95E38" w14:textId="77777777" w:rsidR="00F970D2" w:rsidRPr="006050E8" w:rsidRDefault="00F970D2" w:rsidP="001224CB">
            <w:pPr>
              <w:jc w:val="right"/>
              <w:rPr>
                <w:vanish/>
                <w:sz w:val="16"/>
                <w:szCs w:val="16"/>
                <w:lang w:val="es-ES"/>
              </w:rPr>
            </w:pPr>
            <w:r w:rsidRPr="006050E8">
              <w:rPr>
                <w:vanish/>
                <w:sz w:val="16"/>
                <w:lang w:val="es-ES" w:eastAsia="en-CA"/>
              </w:rPr>
              <w:t>1,775,969</w:t>
            </w:r>
          </w:p>
        </w:tc>
        <w:tc>
          <w:tcPr>
            <w:tcW w:w="856" w:type="dxa"/>
            <w:tcBorders>
              <w:top w:val="nil"/>
              <w:left w:val="nil"/>
              <w:bottom w:val="single" w:sz="4" w:space="0" w:color="auto"/>
              <w:right w:val="single" w:sz="4" w:space="0" w:color="auto"/>
            </w:tcBorders>
            <w:shd w:val="clear" w:color="auto" w:fill="auto"/>
            <w:hideMark/>
          </w:tcPr>
          <w:p w14:paraId="33D0569F" w14:textId="77777777" w:rsidR="00F970D2" w:rsidRPr="006050E8" w:rsidRDefault="00F970D2" w:rsidP="001224CB">
            <w:pPr>
              <w:jc w:val="right"/>
              <w:rPr>
                <w:vanish/>
                <w:sz w:val="16"/>
                <w:szCs w:val="16"/>
                <w:lang w:val="es-ES"/>
              </w:rPr>
            </w:pPr>
            <w:r w:rsidRPr="006050E8">
              <w:rPr>
                <w:vanish/>
                <w:sz w:val="16"/>
                <w:lang w:val="es-ES" w:eastAsia="en-CA"/>
              </w:rPr>
              <w:t>1,472,814</w:t>
            </w:r>
          </w:p>
        </w:tc>
        <w:tc>
          <w:tcPr>
            <w:tcW w:w="856" w:type="dxa"/>
            <w:tcBorders>
              <w:top w:val="nil"/>
              <w:left w:val="nil"/>
              <w:bottom w:val="single" w:sz="4" w:space="0" w:color="auto"/>
              <w:right w:val="single" w:sz="4" w:space="0" w:color="auto"/>
            </w:tcBorders>
            <w:shd w:val="clear" w:color="auto" w:fill="auto"/>
            <w:hideMark/>
          </w:tcPr>
          <w:p w14:paraId="5A97E827" w14:textId="77777777" w:rsidR="00F970D2" w:rsidRPr="006050E8" w:rsidRDefault="00F970D2" w:rsidP="001224CB">
            <w:pPr>
              <w:jc w:val="right"/>
              <w:rPr>
                <w:vanish/>
                <w:sz w:val="16"/>
                <w:szCs w:val="16"/>
                <w:lang w:val="es-ES"/>
              </w:rPr>
            </w:pPr>
            <w:r w:rsidRPr="006050E8">
              <w:rPr>
                <w:vanish/>
                <w:sz w:val="16"/>
                <w:lang w:val="es-ES" w:eastAsia="en-CA"/>
              </w:rPr>
              <w:t>1,749,877</w:t>
            </w:r>
          </w:p>
        </w:tc>
        <w:tc>
          <w:tcPr>
            <w:tcW w:w="933" w:type="dxa"/>
            <w:tcBorders>
              <w:top w:val="nil"/>
              <w:left w:val="nil"/>
              <w:bottom w:val="single" w:sz="4" w:space="0" w:color="auto"/>
              <w:right w:val="single" w:sz="4" w:space="0" w:color="auto"/>
            </w:tcBorders>
            <w:shd w:val="clear" w:color="auto" w:fill="auto"/>
            <w:hideMark/>
          </w:tcPr>
          <w:p w14:paraId="10B20A92" w14:textId="77777777" w:rsidR="00F970D2" w:rsidRPr="006050E8" w:rsidRDefault="00F970D2" w:rsidP="001224CB">
            <w:pPr>
              <w:jc w:val="right"/>
              <w:rPr>
                <w:vanish/>
                <w:sz w:val="16"/>
                <w:szCs w:val="16"/>
                <w:lang w:val="es-ES"/>
              </w:rPr>
            </w:pPr>
            <w:r w:rsidRPr="006050E8">
              <w:rPr>
                <w:vanish/>
                <w:sz w:val="16"/>
                <w:lang w:val="es-ES" w:eastAsia="en-CA"/>
              </w:rPr>
              <w:t>2,214,588</w:t>
            </w:r>
          </w:p>
        </w:tc>
        <w:tc>
          <w:tcPr>
            <w:tcW w:w="856" w:type="dxa"/>
            <w:tcBorders>
              <w:top w:val="nil"/>
              <w:left w:val="nil"/>
              <w:bottom w:val="single" w:sz="4" w:space="0" w:color="auto"/>
              <w:right w:val="single" w:sz="4" w:space="0" w:color="auto"/>
            </w:tcBorders>
            <w:shd w:val="clear" w:color="auto" w:fill="auto"/>
            <w:hideMark/>
          </w:tcPr>
          <w:p w14:paraId="194C33D2" w14:textId="77777777" w:rsidR="00F970D2" w:rsidRPr="006050E8" w:rsidRDefault="00F970D2" w:rsidP="001224CB">
            <w:pPr>
              <w:jc w:val="right"/>
              <w:rPr>
                <w:vanish/>
                <w:sz w:val="16"/>
                <w:szCs w:val="16"/>
                <w:lang w:val="es-ES"/>
              </w:rPr>
            </w:pPr>
            <w:r w:rsidRPr="006050E8">
              <w:rPr>
                <w:vanish/>
                <w:sz w:val="16"/>
                <w:lang w:val="es-ES" w:eastAsia="en-CA"/>
              </w:rPr>
              <w:t>488,288</w:t>
            </w:r>
          </w:p>
        </w:tc>
        <w:tc>
          <w:tcPr>
            <w:tcW w:w="856" w:type="dxa"/>
            <w:tcBorders>
              <w:top w:val="nil"/>
              <w:left w:val="single" w:sz="4" w:space="0" w:color="auto"/>
              <w:bottom w:val="single" w:sz="4" w:space="0" w:color="auto"/>
              <w:right w:val="single" w:sz="4" w:space="0" w:color="auto"/>
            </w:tcBorders>
            <w:shd w:val="clear" w:color="auto" w:fill="auto"/>
            <w:hideMark/>
          </w:tcPr>
          <w:p w14:paraId="1B6CBC49" w14:textId="77777777" w:rsidR="00F970D2" w:rsidRPr="006050E8" w:rsidRDefault="00F970D2" w:rsidP="001224CB">
            <w:pPr>
              <w:jc w:val="right"/>
              <w:rPr>
                <w:vanish/>
                <w:sz w:val="16"/>
                <w:szCs w:val="16"/>
                <w:lang w:val="es-ES"/>
              </w:rPr>
            </w:pPr>
            <w:r w:rsidRPr="006050E8">
              <w:rPr>
                <w:vanish/>
                <w:sz w:val="16"/>
                <w:lang w:val="es-ES" w:eastAsia="en-CA"/>
              </w:rPr>
              <w:t>1,077,150</w:t>
            </w:r>
          </w:p>
        </w:tc>
        <w:tc>
          <w:tcPr>
            <w:tcW w:w="919" w:type="dxa"/>
            <w:tcBorders>
              <w:top w:val="nil"/>
              <w:left w:val="nil"/>
              <w:bottom w:val="single" w:sz="4" w:space="0" w:color="auto"/>
              <w:right w:val="single" w:sz="4" w:space="0" w:color="auto"/>
            </w:tcBorders>
            <w:shd w:val="clear" w:color="auto" w:fill="auto"/>
            <w:hideMark/>
          </w:tcPr>
          <w:p w14:paraId="357FEA74" w14:textId="77777777" w:rsidR="00F970D2" w:rsidRPr="006050E8" w:rsidRDefault="00F970D2" w:rsidP="001224CB">
            <w:pPr>
              <w:jc w:val="right"/>
              <w:rPr>
                <w:vanish/>
                <w:sz w:val="16"/>
                <w:szCs w:val="16"/>
                <w:lang w:val="es-ES"/>
              </w:rPr>
            </w:pPr>
            <w:r w:rsidRPr="006050E8">
              <w:rPr>
                <w:vanish/>
                <w:sz w:val="16"/>
                <w:lang w:val="es-ES" w:eastAsia="en-CA"/>
              </w:rPr>
              <w:t>742,500</w:t>
            </w:r>
          </w:p>
        </w:tc>
        <w:tc>
          <w:tcPr>
            <w:tcW w:w="910" w:type="dxa"/>
            <w:tcBorders>
              <w:top w:val="nil"/>
              <w:left w:val="nil"/>
              <w:bottom w:val="single" w:sz="4" w:space="0" w:color="auto"/>
              <w:right w:val="single" w:sz="4" w:space="0" w:color="auto"/>
            </w:tcBorders>
            <w:shd w:val="clear" w:color="auto" w:fill="auto"/>
            <w:noWrap/>
            <w:hideMark/>
          </w:tcPr>
          <w:p w14:paraId="075224E2" w14:textId="77777777" w:rsidR="00F970D2" w:rsidRPr="006050E8" w:rsidRDefault="00F970D2" w:rsidP="001224CB">
            <w:pPr>
              <w:jc w:val="right"/>
              <w:rPr>
                <w:vanish/>
                <w:sz w:val="16"/>
                <w:szCs w:val="16"/>
                <w:lang w:val="es-ES"/>
              </w:rPr>
            </w:pPr>
            <w:r w:rsidRPr="006050E8">
              <w:rPr>
                <w:vanish/>
                <w:sz w:val="16"/>
                <w:lang w:val="es-ES" w:eastAsia="en-CA"/>
              </w:rPr>
              <w:t>742,500</w:t>
            </w:r>
          </w:p>
        </w:tc>
        <w:tc>
          <w:tcPr>
            <w:tcW w:w="856" w:type="dxa"/>
            <w:tcBorders>
              <w:top w:val="nil"/>
              <w:left w:val="nil"/>
              <w:bottom w:val="single" w:sz="4" w:space="0" w:color="auto"/>
              <w:right w:val="single" w:sz="4" w:space="0" w:color="auto"/>
            </w:tcBorders>
            <w:shd w:val="clear" w:color="auto" w:fill="auto"/>
            <w:noWrap/>
            <w:hideMark/>
          </w:tcPr>
          <w:p w14:paraId="755DA32D" w14:textId="77777777" w:rsidR="00F970D2" w:rsidRPr="006050E8" w:rsidRDefault="00F970D2" w:rsidP="001224CB">
            <w:pPr>
              <w:jc w:val="right"/>
              <w:rPr>
                <w:vanish/>
                <w:sz w:val="16"/>
                <w:szCs w:val="16"/>
                <w:lang w:val="es-ES"/>
              </w:rPr>
            </w:pPr>
            <w:r w:rsidRPr="006050E8">
              <w:rPr>
                <w:vanish/>
                <w:sz w:val="16"/>
                <w:lang w:val="es-ES" w:eastAsia="en-CA"/>
              </w:rPr>
              <w:t>742,500</w:t>
            </w:r>
          </w:p>
        </w:tc>
      </w:tr>
      <w:tr w:rsidR="00F970D2" w:rsidRPr="006050E8" w14:paraId="02CC5B68" w14:textId="77777777" w:rsidTr="001224CB">
        <w:trPr>
          <w:trHeight w:val="353"/>
          <w:hidden/>
        </w:trPr>
        <w:tc>
          <w:tcPr>
            <w:tcW w:w="3828" w:type="dxa"/>
            <w:tcBorders>
              <w:top w:val="nil"/>
              <w:left w:val="single" w:sz="4" w:space="0" w:color="auto"/>
              <w:bottom w:val="single" w:sz="4" w:space="0" w:color="auto"/>
              <w:right w:val="single" w:sz="4" w:space="0" w:color="auto"/>
            </w:tcBorders>
            <w:shd w:val="clear" w:color="auto" w:fill="auto"/>
            <w:hideMark/>
          </w:tcPr>
          <w:p w14:paraId="443895BA" w14:textId="77777777" w:rsidR="00F970D2" w:rsidRPr="006050E8" w:rsidRDefault="00F970D2" w:rsidP="001224CB">
            <w:pPr>
              <w:rPr>
                <w:vanish/>
                <w:sz w:val="16"/>
                <w:szCs w:val="16"/>
                <w:lang w:val="es-ES"/>
              </w:rPr>
            </w:pPr>
            <w:r w:rsidRPr="006050E8">
              <w:rPr>
                <w:vanish/>
                <w:sz w:val="16"/>
                <w:lang w:val="es-ES"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hideMark/>
          </w:tcPr>
          <w:p w14:paraId="49D4D0BE" w14:textId="77777777" w:rsidR="00F970D2" w:rsidRPr="006050E8" w:rsidRDefault="00F970D2" w:rsidP="001224CB">
            <w:pPr>
              <w:jc w:val="right"/>
              <w:rPr>
                <w:vanish/>
                <w:sz w:val="16"/>
                <w:szCs w:val="16"/>
                <w:lang w:val="es-ES"/>
              </w:rPr>
            </w:pPr>
            <w:r w:rsidRPr="006050E8">
              <w:rPr>
                <w:vanish/>
                <w:sz w:val="16"/>
                <w:lang w:val="es-ES" w:eastAsia="en-CA"/>
              </w:rPr>
              <w:t>612</w:t>
            </w:r>
          </w:p>
        </w:tc>
        <w:tc>
          <w:tcPr>
            <w:tcW w:w="856" w:type="dxa"/>
            <w:tcBorders>
              <w:top w:val="nil"/>
              <w:left w:val="nil"/>
              <w:bottom w:val="single" w:sz="4" w:space="0" w:color="auto"/>
              <w:right w:val="single" w:sz="4" w:space="0" w:color="auto"/>
            </w:tcBorders>
            <w:shd w:val="clear" w:color="auto" w:fill="auto"/>
            <w:hideMark/>
          </w:tcPr>
          <w:p w14:paraId="0458F081"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630F326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590E1D7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0D8E56D3"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28A58D4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3" w:type="dxa"/>
            <w:tcBorders>
              <w:top w:val="nil"/>
              <w:left w:val="nil"/>
              <w:bottom w:val="single" w:sz="4" w:space="0" w:color="auto"/>
              <w:right w:val="single" w:sz="4" w:space="0" w:color="auto"/>
            </w:tcBorders>
            <w:shd w:val="clear" w:color="auto" w:fill="auto"/>
            <w:hideMark/>
          </w:tcPr>
          <w:p w14:paraId="7229D892"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4A665BF0"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hideMark/>
          </w:tcPr>
          <w:p w14:paraId="53E1EC9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9" w:type="dxa"/>
            <w:tcBorders>
              <w:top w:val="nil"/>
              <w:left w:val="nil"/>
              <w:bottom w:val="single" w:sz="4" w:space="0" w:color="auto"/>
              <w:right w:val="single" w:sz="4" w:space="0" w:color="auto"/>
            </w:tcBorders>
            <w:shd w:val="clear" w:color="auto" w:fill="auto"/>
            <w:hideMark/>
          </w:tcPr>
          <w:p w14:paraId="1D3F287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0" w:type="dxa"/>
            <w:tcBorders>
              <w:top w:val="nil"/>
              <w:left w:val="nil"/>
              <w:bottom w:val="single" w:sz="4" w:space="0" w:color="auto"/>
              <w:right w:val="single" w:sz="4" w:space="0" w:color="auto"/>
            </w:tcBorders>
            <w:shd w:val="clear" w:color="auto" w:fill="auto"/>
            <w:hideMark/>
          </w:tcPr>
          <w:p w14:paraId="1B011B01"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1475B5CE"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27E08EDA" w14:textId="77777777" w:rsidTr="001224CB">
        <w:trPr>
          <w:trHeight w:val="117"/>
          <w:hidden/>
        </w:trPr>
        <w:tc>
          <w:tcPr>
            <w:tcW w:w="3828" w:type="dxa"/>
            <w:tcBorders>
              <w:top w:val="nil"/>
              <w:left w:val="single" w:sz="4" w:space="0" w:color="auto"/>
              <w:bottom w:val="single" w:sz="4" w:space="0" w:color="auto"/>
              <w:right w:val="single" w:sz="4" w:space="0" w:color="auto"/>
            </w:tcBorders>
            <w:shd w:val="clear" w:color="auto" w:fill="auto"/>
            <w:hideMark/>
          </w:tcPr>
          <w:p w14:paraId="74DB67C4" w14:textId="77777777" w:rsidR="00F970D2" w:rsidRPr="006050E8" w:rsidRDefault="00F970D2" w:rsidP="001224CB">
            <w:pPr>
              <w:rPr>
                <w:vanish/>
                <w:sz w:val="16"/>
                <w:szCs w:val="16"/>
                <w:lang w:val="es-ES"/>
              </w:rPr>
            </w:pPr>
            <w:r w:rsidRPr="006050E8">
              <w:rPr>
                <w:vanish/>
                <w:sz w:val="16"/>
                <w:lang w:val="es-ES"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hideMark/>
          </w:tcPr>
          <w:p w14:paraId="2028B2E2"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54634910"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7FF6D72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3BA90C66"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5F4D6A10"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37EACCD1"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3" w:type="dxa"/>
            <w:tcBorders>
              <w:top w:val="nil"/>
              <w:left w:val="nil"/>
              <w:bottom w:val="single" w:sz="4" w:space="0" w:color="auto"/>
              <w:right w:val="single" w:sz="4" w:space="0" w:color="auto"/>
            </w:tcBorders>
            <w:shd w:val="clear" w:color="auto" w:fill="auto"/>
            <w:hideMark/>
          </w:tcPr>
          <w:p w14:paraId="45C04212"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7BB385B3"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hideMark/>
          </w:tcPr>
          <w:p w14:paraId="311D2A13"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9" w:type="dxa"/>
            <w:tcBorders>
              <w:top w:val="nil"/>
              <w:left w:val="nil"/>
              <w:bottom w:val="single" w:sz="4" w:space="0" w:color="auto"/>
              <w:right w:val="single" w:sz="4" w:space="0" w:color="auto"/>
            </w:tcBorders>
            <w:shd w:val="clear" w:color="auto" w:fill="auto"/>
            <w:hideMark/>
          </w:tcPr>
          <w:p w14:paraId="46E3F31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0" w:type="dxa"/>
            <w:tcBorders>
              <w:top w:val="nil"/>
              <w:left w:val="nil"/>
              <w:bottom w:val="single" w:sz="4" w:space="0" w:color="auto"/>
              <w:right w:val="single" w:sz="4" w:space="0" w:color="auto"/>
            </w:tcBorders>
            <w:shd w:val="clear" w:color="auto" w:fill="auto"/>
            <w:hideMark/>
          </w:tcPr>
          <w:p w14:paraId="31F1B18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2034E276"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3244C6EF" w14:textId="77777777" w:rsidTr="001224CB">
        <w:trPr>
          <w:trHeight w:val="191"/>
          <w:hidden/>
        </w:trPr>
        <w:tc>
          <w:tcPr>
            <w:tcW w:w="3828" w:type="dxa"/>
            <w:tcBorders>
              <w:top w:val="nil"/>
              <w:left w:val="single" w:sz="4" w:space="0" w:color="auto"/>
              <w:bottom w:val="single" w:sz="4" w:space="0" w:color="auto"/>
              <w:right w:val="single" w:sz="4" w:space="0" w:color="auto"/>
            </w:tcBorders>
            <w:shd w:val="clear" w:color="auto" w:fill="auto"/>
            <w:hideMark/>
          </w:tcPr>
          <w:p w14:paraId="6CD50DB2" w14:textId="77777777" w:rsidR="00F970D2" w:rsidRPr="006050E8" w:rsidRDefault="00F970D2" w:rsidP="001224CB">
            <w:pPr>
              <w:rPr>
                <w:vanish/>
                <w:sz w:val="16"/>
                <w:szCs w:val="16"/>
                <w:lang w:val="es-ES"/>
              </w:rPr>
            </w:pPr>
            <w:r w:rsidRPr="006050E8">
              <w:rPr>
                <w:vanish/>
                <w:sz w:val="16"/>
                <w:lang w:val="es-ES"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hideMark/>
          </w:tcPr>
          <w:p w14:paraId="447B50F6"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49DDCB67"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5CD106AF"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59FA405D"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708412FD"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15D960A2"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933" w:type="dxa"/>
            <w:tcBorders>
              <w:top w:val="nil"/>
              <w:left w:val="nil"/>
              <w:bottom w:val="single" w:sz="4" w:space="0" w:color="auto"/>
              <w:right w:val="single" w:sz="4" w:space="0" w:color="auto"/>
            </w:tcBorders>
            <w:shd w:val="clear" w:color="auto" w:fill="auto"/>
            <w:hideMark/>
          </w:tcPr>
          <w:p w14:paraId="4F5CEFE8"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3B6C74F1"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ACF1D56"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9" w:type="dxa"/>
            <w:tcBorders>
              <w:top w:val="nil"/>
              <w:left w:val="nil"/>
              <w:bottom w:val="single" w:sz="4" w:space="0" w:color="auto"/>
              <w:right w:val="single" w:sz="4" w:space="0" w:color="auto"/>
            </w:tcBorders>
            <w:shd w:val="clear" w:color="auto" w:fill="auto"/>
            <w:noWrap/>
            <w:vAlign w:val="bottom"/>
            <w:hideMark/>
          </w:tcPr>
          <w:p w14:paraId="06A559A4"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106CA38D"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2CB09D4"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5E5C9BED" w14:textId="77777777" w:rsidTr="001224CB">
        <w:trPr>
          <w:trHeight w:val="112"/>
          <w:hidden/>
        </w:trPr>
        <w:tc>
          <w:tcPr>
            <w:tcW w:w="3828" w:type="dxa"/>
            <w:tcBorders>
              <w:top w:val="nil"/>
              <w:left w:val="single" w:sz="4" w:space="0" w:color="auto"/>
              <w:bottom w:val="single" w:sz="4" w:space="0" w:color="auto"/>
              <w:right w:val="single" w:sz="4" w:space="0" w:color="auto"/>
            </w:tcBorders>
            <w:shd w:val="clear" w:color="auto" w:fill="auto"/>
            <w:hideMark/>
          </w:tcPr>
          <w:p w14:paraId="13908C27" w14:textId="77777777" w:rsidR="00F970D2" w:rsidRPr="006050E8" w:rsidRDefault="00F970D2" w:rsidP="001224CB">
            <w:pPr>
              <w:rPr>
                <w:vanish/>
                <w:sz w:val="16"/>
                <w:szCs w:val="16"/>
                <w:lang w:val="es-ES"/>
              </w:rPr>
            </w:pPr>
            <w:r w:rsidRPr="006050E8">
              <w:rPr>
                <w:vanish/>
                <w:sz w:val="16"/>
                <w:lang w:val="es-ES" w:eastAsia="en-CA"/>
              </w:rPr>
              <w:t>Cost recovery</w:t>
            </w:r>
          </w:p>
        </w:tc>
        <w:tc>
          <w:tcPr>
            <w:tcW w:w="856" w:type="dxa"/>
            <w:tcBorders>
              <w:top w:val="nil"/>
              <w:left w:val="nil"/>
              <w:bottom w:val="single" w:sz="4" w:space="0" w:color="auto"/>
              <w:right w:val="single" w:sz="4" w:space="0" w:color="auto"/>
            </w:tcBorders>
            <w:shd w:val="clear" w:color="auto" w:fill="auto"/>
            <w:hideMark/>
          </w:tcPr>
          <w:p w14:paraId="2B5D7907" w14:textId="77777777" w:rsidR="00F970D2" w:rsidRPr="006050E8" w:rsidRDefault="00F970D2" w:rsidP="001224CB">
            <w:pPr>
              <w:jc w:val="right"/>
              <w:rPr>
                <w:vanish/>
                <w:sz w:val="16"/>
                <w:szCs w:val="16"/>
                <w:lang w:val="es-ES"/>
              </w:rPr>
            </w:pPr>
            <w:r w:rsidRPr="006050E8">
              <w:rPr>
                <w:vanish/>
                <w:sz w:val="16"/>
                <w:lang w:val="es-ES" w:eastAsia="en-CA"/>
              </w:rPr>
              <w:t>258,332</w:t>
            </w:r>
          </w:p>
        </w:tc>
        <w:tc>
          <w:tcPr>
            <w:tcW w:w="856" w:type="dxa"/>
            <w:tcBorders>
              <w:top w:val="nil"/>
              <w:left w:val="nil"/>
              <w:bottom w:val="single" w:sz="4" w:space="0" w:color="auto"/>
              <w:right w:val="single" w:sz="4" w:space="0" w:color="auto"/>
            </w:tcBorders>
            <w:shd w:val="clear" w:color="auto" w:fill="auto"/>
            <w:hideMark/>
          </w:tcPr>
          <w:p w14:paraId="3BF8D89C" w14:textId="77777777" w:rsidR="00F970D2" w:rsidRPr="006050E8" w:rsidRDefault="00F970D2" w:rsidP="001224CB">
            <w:pPr>
              <w:jc w:val="right"/>
              <w:rPr>
                <w:vanish/>
                <w:sz w:val="16"/>
                <w:szCs w:val="16"/>
                <w:lang w:val="es-ES"/>
              </w:rPr>
            </w:pPr>
            <w:r w:rsidRPr="006050E8">
              <w:rPr>
                <w:vanish/>
                <w:sz w:val="16"/>
                <w:lang w:val="es-ES" w:eastAsia="en-CA"/>
              </w:rPr>
              <w:t>384,704</w:t>
            </w:r>
          </w:p>
        </w:tc>
        <w:tc>
          <w:tcPr>
            <w:tcW w:w="856" w:type="dxa"/>
            <w:tcBorders>
              <w:top w:val="nil"/>
              <w:left w:val="nil"/>
              <w:bottom w:val="single" w:sz="4" w:space="0" w:color="auto"/>
              <w:right w:val="single" w:sz="4" w:space="0" w:color="auto"/>
            </w:tcBorders>
            <w:shd w:val="clear" w:color="auto" w:fill="auto"/>
            <w:hideMark/>
          </w:tcPr>
          <w:p w14:paraId="549AB50F" w14:textId="77777777" w:rsidR="00F970D2" w:rsidRPr="006050E8" w:rsidRDefault="00F970D2" w:rsidP="001224CB">
            <w:pPr>
              <w:jc w:val="right"/>
              <w:rPr>
                <w:vanish/>
                <w:sz w:val="16"/>
                <w:szCs w:val="16"/>
                <w:lang w:val="es-ES"/>
              </w:rPr>
            </w:pPr>
            <w:r w:rsidRPr="006050E8">
              <w:rPr>
                <w:vanish/>
                <w:sz w:val="16"/>
                <w:lang w:val="es-ES" w:eastAsia="en-CA"/>
              </w:rPr>
              <w:t>311,137</w:t>
            </w:r>
          </w:p>
        </w:tc>
        <w:tc>
          <w:tcPr>
            <w:tcW w:w="856" w:type="dxa"/>
            <w:tcBorders>
              <w:top w:val="nil"/>
              <w:left w:val="nil"/>
              <w:bottom w:val="single" w:sz="4" w:space="0" w:color="auto"/>
              <w:right w:val="single" w:sz="4" w:space="0" w:color="auto"/>
            </w:tcBorders>
            <w:shd w:val="clear" w:color="auto" w:fill="auto"/>
            <w:hideMark/>
          </w:tcPr>
          <w:p w14:paraId="4E20D8DD" w14:textId="77777777" w:rsidR="00F970D2" w:rsidRPr="006050E8" w:rsidRDefault="00F970D2" w:rsidP="001224CB">
            <w:pPr>
              <w:jc w:val="right"/>
              <w:rPr>
                <w:vanish/>
                <w:sz w:val="16"/>
                <w:szCs w:val="16"/>
                <w:lang w:val="es-ES"/>
              </w:rPr>
            </w:pPr>
            <w:r w:rsidRPr="006050E8">
              <w:rPr>
                <w:vanish/>
                <w:sz w:val="16"/>
                <w:lang w:val="es-ES" w:eastAsia="en-CA"/>
              </w:rPr>
              <w:t>317,160</w:t>
            </w:r>
          </w:p>
        </w:tc>
        <w:tc>
          <w:tcPr>
            <w:tcW w:w="856" w:type="dxa"/>
            <w:tcBorders>
              <w:top w:val="nil"/>
              <w:left w:val="nil"/>
              <w:bottom w:val="single" w:sz="4" w:space="0" w:color="auto"/>
              <w:right w:val="single" w:sz="4" w:space="0" w:color="auto"/>
            </w:tcBorders>
            <w:shd w:val="clear" w:color="auto" w:fill="auto"/>
            <w:hideMark/>
          </w:tcPr>
          <w:p w14:paraId="5D2C7D03" w14:textId="77777777" w:rsidR="00F970D2" w:rsidRPr="006050E8" w:rsidRDefault="00F970D2" w:rsidP="001224CB">
            <w:pPr>
              <w:jc w:val="right"/>
              <w:rPr>
                <w:vanish/>
                <w:sz w:val="16"/>
                <w:szCs w:val="16"/>
                <w:lang w:val="es-ES"/>
              </w:rPr>
            </w:pPr>
            <w:r w:rsidRPr="006050E8">
              <w:rPr>
                <w:vanish/>
                <w:sz w:val="16"/>
                <w:lang w:val="es-ES" w:eastAsia="en-CA"/>
              </w:rPr>
              <w:t>251,317</w:t>
            </w:r>
          </w:p>
        </w:tc>
        <w:tc>
          <w:tcPr>
            <w:tcW w:w="856" w:type="dxa"/>
            <w:tcBorders>
              <w:top w:val="nil"/>
              <w:left w:val="nil"/>
              <w:bottom w:val="single" w:sz="4" w:space="0" w:color="auto"/>
              <w:right w:val="single" w:sz="4" w:space="0" w:color="auto"/>
            </w:tcBorders>
            <w:shd w:val="clear" w:color="auto" w:fill="auto"/>
            <w:hideMark/>
          </w:tcPr>
          <w:p w14:paraId="0EC4B70E" w14:textId="77777777" w:rsidR="00F970D2" w:rsidRPr="006050E8" w:rsidRDefault="00F970D2" w:rsidP="001224CB">
            <w:pPr>
              <w:jc w:val="right"/>
              <w:rPr>
                <w:vanish/>
                <w:sz w:val="16"/>
                <w:szCs w:val="16"/>
                <w:lang w:val="es-ES"/>
              </w:rPr>
            </w:pPr>
            <w:r w:rsidRPr="006050E8">
              <w:rPr>
                <w:vanish/>
                <w:sz w:val="16"/>
                <w:lang w:val="es-ES" w:eastAsia="en-CA"/>
              </w:rPr>
              <w:t>308,375</w:t>
            </w:r>
          </w:p>
        </w:tc>
        <w:tc>
          <w:tcPr>
            <w:tcW w:w="933" w:type="dxa"/>
            <w:tcBorders>
              <w:top w:val="nil"/>
              <w:left w:val="nil"/>
              <w:bottom w:val="single" w:sz="4" w:space="0" w:color="auto"/>
              <w:right w:val="single" w:sz="4" w:space="0" w:color="auto"/>
            </w:tcBorders>
            <w:shd w:val="clear" w:color="auto" w:fill="auto"/>
            <w:hideMark/>
          </w:tcPr>
          <w:p w14:paraId="2BAF5B32" w14:textId="77777777" w:rsidR="00F970D2" w:rsidRPr="006050E8" w:rsidRDefault="00F970D2" w:rsidP="001224CB">
            <w:pPr>
              <w:jc w:val="right"/>
              <w:rPr>
                <w:vanish/>
                <w:sz w:val="16"/>
                <w:szCs w:val="16"/>
                <w:lang w:val="es-ES"/>
              </w:rPr>
            </w:pPr>
            <w:r w:rsidRPr="006050E8">
              <w:rPr>
                <w:vanish/>
                <w:sz w:val="16"/>
                <w:lang w:val="es-ES" w:eastAsia="en-CA"/>
              </w:rPr>
              <w:t>381,004</w:t>
            </w:r>
          </w:p>
        </w:tc>
        <w:tc>
          <w:tcPr>
            <w:tcW w:w="856" w:type="dxa"/>
            <w:tcBorders>
              <w:top w:val="nil"/>
              <w:left w:val="nil"/>
              <w:bottom w:val="single" w:sz="4" w:space="0" w:color="auto"/>
              <w:right w:val="single" w:sz="4" w:space="0" w:color="auto"/>
            </w:tcBorders>
            <w:shd w:val="clear" w:color="auto" w:fill="auto"/>
            <w:hideMark/>
          </w:tcPr>
          <w:p w14:paraId="014A4F1B" w14:textId="77777777" w:rsidR="00F970D2" w:rsidRPr="006050E8" w:rsidRDefault="00F970D2" w:rsidP="001224CB">
            <w:pPr>
              <w:jc w:val="right"/>
              <w:rPr>
                <w:vanish/>
                <w:sz w:val="16"/>
                <w:szCs w:val="16"/>
                <w:lang w:val="es-ES"/>
              </w:rPr>
            </w:pPr>
            <w:r w:rsidRPr="006050E8">
              <w:rPr>
                <w:vanish/>
                <w:sz w:val="16"/>
                <w:lang w:val="es-ES" w:eastAsia="en-CA"/>
              </w:rPr>
              <w:t>240,968</w:t>
            </w:r>
          </w:p>
        </w:tc>
        <w:tc>
          <w:tcPr>
            <w:tcW w:w="856" w:type="dxa"/>
            <w:tcBorders>
              <w:top w:val="nil"/>
              <w:left w:val="single" w:sz="4" w:space="0" w:color="auto"/>
              <w:bottom w:val="single" w:sz="4" w:space="0" w:color="auto"/>
              <w:right w:val="single" w:sz="4" w:space="0" w:color="auto"/>
            </w:tcBorders>
            <w:shd w:val="clear" w:color="auto" w:fill="auto"/>
            <w:hideMark/>
          </w:tcPr>
          <w:p w14:paraId="1AC96C4B" w14:textId="77777777" w:rsidR="00F970D2" w:rsidRPr="006050E8" w:rsidRDefault="00F970D2" w:rsidP="001224CB">
            <w:pPr>
              <w:jc w:val="right"/>
              <w:rPr>
                <w:vanish/>
                <w:sz w:val="16"/>
                <w:szCs w:val="16"/>
                <w:lang w:val="es-ES"/>
              </w:rPr>
            </w:pPr>
            <w:r w:rsidRPr="006050E8">
              <w:rPr>
                <w:vanish/>
                <w:sz w:val="16"/>
                <w:lang w:val="es-ES" w:eastAsia="en-CA"/>
              </w:rPr>
              <w:t>251,221</w:t>
            </w:r>
          </w:p>
        </w:tc>
        <w:tc>
          <w:tcPr>
            <w:tcW w:w="919" w:type="dxa"/>
            <w:tcBorders>
              <w:top w:val="nil"/>
              <w:left w:val="nil"/>
              <w:bottom w:val="single" w:sz="4" w:space="0" w:color="auto"/>
              <w:right w:val="single" w:sz="4" w:space="0" w:color="auto"/>
            </w:tcBorders>
            <w:shd w:val="clear" w:color="auto" w:fill="auto"/>
            <w:hideMark/>
          </w:tcPr>
          <w:p w14:paraId="3C4C368A" w14:textId="77777777" w:rsidR="00F970D2" w:rsidRPr="006050E8" w:rsidRDefault="00F970D2" w:rsidP="001224CB">
            <w:pPr>
              <w:jc w:val="right"/>
              <w:rPr>
                <w:vanish/>
                <w:sz w:val="16"/>
                <w:szCs w:val="16"/>
                <w:lang w:val="es-ES"/>
              </w:rPr>
            </w:pPr>
            <w:r w:rsidRPr="006050E8">
              <w:rPr>
                <w:vanish/>
                <w:sz w:val="16"/>
                <w:lang w:val="es-ES" w:eastAsia="en-CA"/>
              </w:rPr>
              <w:t>250,000</w:t>
            </w:r>
          </w:p>
        </w:tc>
        <w:tc>
          <w:tcPr>
            <w:tcW w:w="910" w:type="dxa"/>
            <w:tcBorders>
              <w:top w:val="nil"/>
              <w:left w:val="nil"/>
              <w:bottom w:val="single" w:sz="4" w:space="0" w:color="auto"/>
              <w:right w:val="single" w:sz="4" w:space="0" w:color="auto"/>
            </w:tcBorders>
            <w:shd w:val="clear" w:color="auto" w:fill="auto"/>
            <w:noWrap/>
            <w:hideMark/>
          </w:tcPr>
          <w:p w14:paraId="52D52170" w14:textId="77777777" w:rsidR="00F970D2" w:rsidRPr="006050E8" w:rsidRDefault="00F970D2" w:rsidP="001224CB">
            <w:pPr>
              <w:jc w:val="right"/>
              <w:rPr>
                <w:vanish/>
                <w:sz w:val="16"/>
                <w:szCs w:val="16"/>
                <w:lang w:val="es-ES"/>
              </w:rPr>
            </w:pPr>
            <w:r w:rsidRPr="006050E8">
              <w:rPr>
                <w:vanish/>
                <w:sz w:val="16"/>
                <w:lang w:val="es-ES" w:eastAsia="en-CA"/>
              </w:rPr>
              <w:t>250,000</w:t>
            </w:r>
          </w:p>
        </w:tc>
        <w:tc>
          <w:tcPr>
            <w:tcW w:w="856" w:type="dxa"/>
            <w:tcBorders>
              <w:top w:val="nil"/>
              <w:left w:val="nil"/>
              <w:bottom w:val="single" w:sz="4" w:space="0" w:color="auto"/>
              <w:right w:val="single" w:sz="4" w:space="0" w:color="auto"/>
            </w:tcBorders>
            <w:shd w:val="clear" w:color="auto" w:fill="auto"/>
            <w:noWrap/>
            <w:hideMark/>
          </w:tcPr>
          <w:p w14:paraId="5570AAFD" w14:textId="77777777" w:rsidR="00F970D2" w:rsidRPr="006050E8" w:rsidRDefault="00F970D2" w:rsidP="001224CB">
            <w:pPr>
              <w:jc w:val="right"/>
              <w:rPr>
                <w:vanish/>
                <w:sz w:val="16"/>
                <w:szCs w:val="16"/>
                <w:lang w:val="es-ES"/>
              </w:rPr>
            </w:pPr>
            <w:r w:rsidRPr="006050E8">
              <w:rPr>
                <w:vanish/>
                <w:sz w:val="16"/>
                <w:lang w:val="es-ES" w:eastAsia="en-CA"/>
              </w:rPr>
              <w:t>250,000</w:t>
            </w:r>
          </w:p>
        </w:tc>
      </w:tr>
      <w:tr w:rsidR="00F970D2" w:rsidRPr="006050E8" w14:paraId="6AB6A255" w14:textId="77777777" w:rsidTr="001224CB">
        <w:trPr>
          <w:trHeight w:val="199"/>
          <w:hidden/>
        </w:trPr>
        <w:tc>
          <w:tcPr>
            <w:tcW w:w="3828" w:type="dxa"/>
            <w:tcBorders>
              <w:top w:val="nil"/>
              <w:left w:val="single" w:sz="4" w:space="0" w:color="auto"/>
              <w:bottom w:val="single" w:sz="4" w:space="0" w:color="auto"/>
              <w:right w:val="single" w:sz="4" w:space="0" w:color="auto"/>
            </w:tcBorders>
            <w:shd w:val="clear" w:color="auto" w:fill="auto"/>
            <w:hideMark/>
          </w:tcPr>
          <w:p w14:paraId="21D6C225" w14:textId="77777777" w:rsidR="00F970D2" w:rsidRPr="006050E8" w:rsidRDefault="00F970D2" w:rsidP="001224CB">
            <w:pPr>
              <w:rPr>
                <w:vanish/>
                <w:sz w:val="16"/>
                <w:szCs w:val="16"/>
                <w:lang w:val="es-ES"/>
              </w:rPr>
            </w:pPr>
            <w:r w:rsidRPr="006050E8">
              <w:rPr>
                <w:vanish/>
                <w:sz w:val="16"/>
                <w:lang w:val="es-ES" w:eastAsia="en-CA"/>
              </w:rPr>
              <w:t>Adjustments (+ = overrun and - = underuse)</w:t>
            </w:r>
          </w:p>
        </w:tc>
        <w:tc>
          <w:tcPr>
            <w:tcW w:w="856" w:type="dxa"/>
            <w:tcBorders>
              <w:top w:val="nil"/>
              <w:left w:val="nil"/>
              <w:bottom w:val="single" w:sz="4" w:space="0" w:color="auto"/>
              <w:right w:val="single" w:sz="4" w:space="0" w:color="auto"/>
            </w:tcBorders>
            <w:shd w:val="clear" w:color="auto" w:fill="auto"/>
            <w:hideMark/>
          </w:tcPr>
          <w:p w14:paraId="46E2C043" w14:textId="77777777" w:rsidR="00F970D2" w:rsidRPr="006050E8" w:rsidRDefault="00F970D2" w:rsidP="001224CB">
            <w:pPr>
              <w:jc w:val="right"/>
              <w:rPr>
                <w:vanish/>
                <w:sz w:val="16"/>
                <w:szCs w:val="16"/>
                <w:lang w:val="es-ES"/>
              </w:rPr>
            </w:pPr>
            <w:r w:rsidRPr="006050E8">
              <w:rPr>
                <w:vanish/>
                <w:sz w:val="16"/>
                <w:lang w:val="es-ES" w:eastAsia="en-CA"/>
              </w:rPr>
              <w:t>837,220</w:t>
            </w:r>
          </w:p>
        </w:tc>
        <w:tc>
          <w:tcPr>
            <w:tcW w:w="856" w:type="dxa"/>
            <w:tcBorders>
              <w:top w:val="nil"/>
              <w:left w:val="nil"/>
              <w:bottom w:val="single" w:sz="4" w:space="0" w:color="auto"/>
              <w:right w:val="single" w:sz="4" w:space="0" w:color="auto"/>
            </w:tcBorders>
            <w:shd w:val="clear" w:color="auto" w:fill="auto"/>
            <w:hideMark/>
          </w:tcPr>
          <w:p w14:paraId="03F6945F" w14:textId="77777777" w:rsidR="00F970D2" w:rsidRPr="006050E8" w:rsidRDefault="00F970D2" w:rsidP="001224CB">
            <w:pPr>
              <w:jc w:val="right"/>
              <w:rPr>
                <w:vanish/>
                <w:sz w:val="16"/>
                <w:szCs w:val="16"/>
                <w:lang w:val="es-ES"/>
              </w:rPr>
            </w:pPr>
            <w:r w:rsidRPr="006050E8">
              <w:rPr>
                <w:vanish/>
                <w:sz w:val="16"/>
                <w:lang w:val="es-ES" w:eastAsia="en-CA"/>
              </w:rPr>
              <w:t>849,676</w:t>
            </w:r>
          </w:p>
        </w:tc>
        <w:tc>
          <w:tcPr>
            <w:tcW w:w="856" w:type="dxa"/>
            <w:tcBorders>
              <w:top w:val="nil"/>
              <w:left w:val="nil"/>
              <w:bottom w:val="single" w:sz="4" w:space="0" w:color="auto"/>
              <w:right w:val="single" w:sz="4" w:space="0" w:color="auto"/>
            </w:tcBorders>
            <w:shd w:val="clear" w:color="auto" w:fill="auto"/>
            <w:hideMark/>
          </w:tcPr>
          <w:p w14:paraId="25A6C5AC" w14:textId="77777777" w:rsidR="00F970D2" w:rsidRPr="006050E8" w:rsidRDefault="00F970D2" w:rsidP="001224CB">
            <w:pPr>
              <w:jc w:val="right"/>
              <w:rPr>
                <w:vanish/>
                <w:sz w:val="16"/>
                <w:szCs w:val="16"/>
                <w:lang w:val="es-ES"/>
              </w:rPr>
            </w:pPr>
            <w:r w:rsidRPr="006050E8">
              <w:rPr>
                <w:vanish/>
                <w:sz w:val="16"/>
                <w:lang w:val="es-ES" w:eastAsia="en-CA"/>
              </w:rPr>
              <w:t>658,389</w:t>
            </w:r>
          </w:p>
        </w:tc>
        <w:tc>
          <w:tcPr>
            <w:tcW w:w="856" w:type="dxa"/>
            <w:tcBorders>
              <w:top w:val="nil"/>
              <w:left w:val="nil"/>
              <w:bottom w:val="single" w:sz="4" w:space="0" w:color="auto"/>
              <w:right w:val="single" w:sz="4" w:space="0" w:color="auto"/>
            </w:tcBorders>
            <w:shd w:val="clear" w:color="auto" w:fill="auto"/>
            <w:hideMark/>
          </w:tcPr>
          <w:p w14:paraId="09FA2411" w14:textId="77777777" w:rsidR="00F970D2" w:rsidRPr="006050E8" w:rsidRDefault="00F970D2" w:rsidP="001224CB">
            <w:pPr>
              <w:jc w:val="right"/>
              <w:rPr>
                <w:vanish/>
                <w:sz w:val="16"/>
                <w:szCs w:val="16"/>
                <w:lang w:val="es-ES"/>
              </w:rPr>
            </w:pPr>
            <w:r w:rsidRPr="006050E8">
              <w:rPr>
                <w:vanish/>
                <w:sz w:val="16"/>
                <w:lang w:val="es-ES" w:eastAsia="en-CA"/>
              </w:rPr>
              <w:t>595,905</w:t>
            </w:r>
          </w:p>
        </w:tc>
        <w:tc>
          <w:tcPr>
            <w:tcW w:w="856" w:type="dxa"/>
            <w:tcBorders>
              <w:top w:val="nil"/>
              <w:left w:val="nil"/>
              <w:bottom w:val="single" w:sz="4" w:space="0" w:color="auto"/>
              <w:right w:val="single" w:sz="4" w:space="0" w:color="auto"/>
            </w:tcBorders>
            <w:shd w:val="clear" w:color="auto" w:fill="auto"/>
            <w:hideMark/>
          </w:tcPr>
          <w:p w14:paraId="5C4645B7" w14:textId="77777777" w:rsidR="00F970D2" w:rsidRPr="006050E8" w:rsidRDefault="00F970D2" w:rsidP="001224CB">
            <w:pPr>
              <w:jc w:val="right"/>
              <w:rPr>
                <w:vanish/>
                <w:sz w:val="16"/>
                <w:szCs w:val="16"/>
                <w:lang w:val="es-ES"/>
              </w:rPr>
            </w:pPr>
            <w:r w:rsidRPr="006050E8">
              <w:rPr>
                <w:vanish/>
                <w:sz w:val="16"/>
                <w:lang w:val="es-ES" w:eastAsia="en-CA"/>
              </w:rPr>
              <w:t>585,526</w:t>
            </w:r>
          </w:p>
        </w:tc>
        <w:tc>
          <w:tcPr>
            <w:tcW w:w="856" w:type="dxa"/>
            <w:tcBorders>
              <w:top w:val="nil"/>
              <w:left w:val="nil"/>
              <w:bottom w:val="single" w:sz="4" w:space="0" w:color="auto"/>
              <w:right w:val="single" w:sz="4" w:space="0" w:color="auto"/>
            </w:tcBorders>
            <w:shd w:val="clear" w:color="auto" w:fill="auto"/>
            <w:hideMark/>
          </w:tcPr>
          <w:p w14:paraId="0EED5766" w14:textId="77777777" w:rsidR="00F970D2" w:rsidRPr="006050E8" w:rsidRDefault="00F970D2" w:rsidP="001224CB">
            <w:pPr>
              <w:jc w:val="right"/>
              <w:rPr>
                <w:vanish/>
                <w:sz w:val="16"/>
                <w:szCs w:val="16"/>
                <w:lang w:val="es-ES"/>
              </w:rPr>
            </w:pPr>
            <w:r w:rsidRPr="006050E8">
              <w:rPr>
                <w:vanish/>
                <w:sz w:val="16"/>
                <w:lang w:val="es-ES" w:eastAsia="en-CA"/>
              </w:rPr>
              <w:t>929,036</w:t>
            </w:r>
          </w:p>
        </w:tc>
        <w:tc>
          <w:tcPr>
            <w:tcW w:w="933" w:type="dxa"/>
            <w:tcBorders>
              <w:top w:val="nil"/>
              <w:left w:val="nil"/>
              <w:bottom w:val="single" w:sz="4" w:space="0" w:color="auto"/>
              <w:right w:val="single" w:sz="4" w:space="0" w:color="auto"/>
            </w:tcBorders>
            <w:shd w:val="clear" w:color="auto" w:fill="auto"/>
            <w:hideMark/>
          </w:tcPr>
          <w:p w14:paraId="423E9655" w14:textId="77777777" w:rsidR="00F970D2" w:rsidRPr="006050E8" w:rsidRDefault="00F970D2" w:rsidP="001224CB">
            <w:pPr>
              <w:jc w:val="right"/>
              <w:rPr>
                <w:vanish/>
                <w:sz w:val="16"/>
                <w:szCs w:val="16"/>
                <w:lang w:val="es-ES"/>
              </w:rPr>
            </w:pPr>
            <w:r w:rsidRPr="006050E8">
              <w:rPr>
                <w:vanish/>
                <w:sz w:val="16"/>
                <w:lang w:val="es-ES" w:eastAsia="en-CA"/>
              </w:rPr>
              <w:t>1,053,880</w:t>
            </w:r>
          </w:p>
        </w:tc>
        <w:tc>
          <w:tcPr>
            <w:tcW w:w="856" w:type="dxa"/>
            <w:tcBorders>
              <w:top w:val="nil"/>
              <w:left w:val="nil"/>
              <w:bottom w:val="single" w:sz="4" w:space="0" w:color="auto"/>
              <w:right w:val="single" w:sz="4" w:space="0" w:color="auto"/>
            </w:tcBorders>
            <w:shd w:val="clear" w:color="auto" w:fill="auto"/>
            <w:hideMark/>
          </w:tcPr>
          <w:p w14:paraId="761A1025" w14:textId="77777777" w:rsidR="00F970D2" w:rsidRPr="006050E8" w:rsidRDefault="00F970D2" w:rsidP="001224CB">
            <w:pPr>
              <w:jc w:val="right"/>
              <w:rPr>
                <w:vanish/>
                <w:sz w:val="16"/>
                <w:szCs w:val="16"/>
                <w:lang w:val="es-ES"/>
              </w:rPr>
            </w:pPr>
            <w:r w:rsidRPr="006050E8">
              <w:rPr>
                <w:vanish/>
                <w:sz w:val="16"/>
                <w:lang w:val="es-ES" w:eastAsia="en-CA"/>
              </w:rPr>
              <w:t>904,918</w:t>
            </w:r>
          </w:p>
        </w:tc>
        <w:tc>
          <w:tcPr>
            <w:tcW w:w="856" w:type="dxa"/>
            <w:tcBorders>
              <w:top w:val="nil"/>
              <w:left w:val="single" w:sz="4" w:space="0" w:color="auto"/>
              <w:bottom w:val="single" w:sz="4" w:space="0" w:color="auto"/>
              <w:right w:val="single" w:sz="4" w:space="0" w:color="auto"/>
            </w:tcBorders>
            <w:shd w:val="clear" w:color="auto" w:fill="auto"/>
            <w:hideMark/>
          </w:tcPr>
          <w:p w14:paraId="60EA5067" w14:textId="77777777" w:rsidR="00F970D2" w:rsidRPr="006050E8" w:rsidRDefault="00F970D2" w:rsidP="001224CB">
            <w:pPr>
              <w:jc w:val="right"/>
              <w:rPr>
                <w:vanish/>
                <w:sz w:val="16"/>
                <w:szCs w:val="16"/>
                <w:lang w:val="es-ES"/>
              </w:rPr>
            </w:pPr>
            <w:r w:rsidRPr="006050E8">
              <w:rPr>
                <w:vanish/>
                <w:sz w:val="16"/>
                <w:lang w:val="es-ES" w:eastAsia="en-CA"/>
              </w:rPr>
              <w:t>601,414</w:t>
            </w:r>
          </w:p>
        </w:tc>
        <w:tc>
          <w:tcPr>
            <w:tcW w:w="919" w:type="dxa"/>
            <w:tcBorders>
              <w:top w:val="nil"/>
              <w:left w:val="nil"/>
              <w:bottom w:val="single" w:sz="4" w:space="0" w:color="auto"/>
              <w:right w:val="single" w:sz="4" w:space="0" w:color="auto"/>
            </w:tcBorders>
            <w:shd w:val="clear" w:color="auto" w:fill="auto"/>
            <w:hideMark/>
          </w:tcPr>
          <w:p w14:paraId="181B6E17" w14:textId="77777777" w:rsidR="00F970D2" w:rsidRPr="006050E8" w:rsidRDefault="00F970D2" w:rsidP="001224CB">
            <w:pPr>
              <w:jc w:val="right"/>
              <w:rPr>
                <w:vanish/>
                <w:sz w:val="16"/>
                <w:szCs w:val="16"/>
                <w:lang w:val="es-ES"/>
              </w:rPr>
            </w:pPr>
            <w:r w:rsidRPr="006050E8">
              <w:rPr>
                <w:vanish/>
                <w:sz w:val="16"/>
                <w:lang w:val="es-ES" w:eastAsia="en-CA"/>
              </w:rPr>
              <w:t>1,015,528</w:t>
            </w:r>
          </w:p>
        </w:tc>
        <w:tc>
          <w:tcPr>
            <w:tcW w:w="910" w:type="dxa"/>
            <w:tcBorders>
              <w:top w:val="nil"/>
              <w:left w:val="nil"/>
              <w:bottom w:val="single" w:sz="4" w:space="0" w:color="auto"/>
              <w:right w:val="single" w:sz="4" w:space="0" w:color="auto"/>
            </w:tcBorders>
            <w:shd w:val="clear" w:color="auto" w:fill="auto"/>
            <w:noWrap/>
            <w:hideMark/>
          </w:tcPr>
          <w:p w14:paraId="6F5B26B1" w14:textId="77777777" w:rsidR="00F970D2" w:rsidRPr="006050E8" w:rsidRDefault="00F970D2" w:rsidP="001224CB">
            <w:pPr>
              <w:jc w:val="right"/>
              <w:rPr>
                <w:vanish/>
                <w:sz w:val="16"/>
                <w:szCs w:val="16"/>
                <w:lang w:val="es-ES"/>
              </w:rPr>
            </w:pPr>
            <w:r w:rsidRPr="006050E8">
              <w:rPr>
                <w:vanish/>
                <w:sz w:val="16"/>
                <w:lang w:val="es-ES" w:eastAsia="en-CA"/>
              </w:rPr>
              <w:t>673,909</w:t>
            </w:r>
          </w:p>
        </w:tc>
        <w:tc>
          <w:tcPr>
            <w:tcW w:w="856" w:type="dxa"/>
            <w:tcBorders>
              <w:top w:val="nil"/>
              <w:left w:val="nil"/>
              <w:bottom w:val="single" w:sz="4" w:space="0" w:color="auto"/>
              <w:right w:val="single" w:sz="4" w:space="0" w:color="auto"/>
            </w:tcBorders>
            <w:shd w:val="clear" w:color="auto" w:fill="auto"/>
            <w:noWrap/>
            <w:hideMark/>
          </w:tcPr>
          <w:p w14:paraId="16E8594D" w14:textId="77777777" w:rsidR="00F970D2" w:rsidRPr="006050E8" w:rsidRDefault="00F970D2" w:rsidP="001224CB">
            <w:pPr>
              <w:jc w:val="right"/>
              <w:rPr>
                <w:vanish/>
                <w:sz w:val="16"/>
                <w:szCs w:val="16"/>
                <w:lang w:val="es-ES"/>
              </w:rPr>
            </w:pPr>
            <w:r w:rsidRPr="006050E8">
              <w:rPr>
                <w:vanish/>
                <w:sz w:val="16"/>
                <w:lang w:val="es-ES" w:eastAsia="en-CA"/>
              </w:rPr>
              <w:t>895,186</w:t>
            </w:r>
          </w:p>
        </w:tc>
      </w:tr>
      <w:tr w:rsidR="00F970D2" w:rsidRPr="006050E8" w14:paraId="6A96252B" w14:textId="77777777" w:rsidTr="001224CB">
        <w:trPr>
          <w:trHeight w:val="131"/>
          <w:hidden/>
        </w:trPr>
        <w:tc>
          <w:tcPr>
            <w:tcW w:w="3828" w:type="dxa"/>
            <w:tcBorders>
              <w:top w:val="nil"/>
              <w:left w:val="single" w:sz="4" w:space="0" w:color="auto"/>
              <w:bottom w:val="single" w:sz="4" w:space="0" w:color="auto"/>
              <w:right w:val="single" w:sz="4" w:space="0" w:color="auto"/>
            </w:tcBorders>
            <w:shd w:val="clear" w:color="auto" w:fill="auto"/>
            <w:hideMark/>
          </w:tcPr>
          <w:p w14:paraId="7B7E7C07" w14:textId="77777777" w:rsidR="00F970D2" w:rsidRPr="006050E8" w:rsidRDefault="00F970D2" w:rsidP="001224CB">
            <w:pPr>
              <w:rPr>
                <w:vanish/>
                <w:sz w:val="16"/>
                <w:szCs w:val="16"/>
                <w:lang w:val="es-ES"/>
              </w:rPr>
            </w:pPr>
            <w:r w:rsidRPr="006050E8">
              <w:rPr>
                <w:vanish/>
                <w:sz w:val="16"/>
                <w:lang w:val="es-ES"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hideMark/>
          </w:tcPr>
          <w:p w14:paraId="3E6920F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62235AE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01635DB0"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5C0DCF86"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18DF366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4637C45F"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3" w:type="dxa"/>
            <w:tcBorders>
              <w:top w:val="nil"/>
              <w:left w:val="nil"/>
              <w:bottom w:val="single" w:sz="4" w:space="0" w:color="auto"/>
              <w:right w:val="single" w:sz="4" w:space="0" w:color="auto"/>
            </w:tcBorders>
            <w:shd w:val="clear" w:color="auto" w:fill="auto"/>
            <w:hideMark/>
          </w:tcPr>
          <w:p w14:paraId="64754302"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01987D0C"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hideMark/>
          </w:tcPr>
          <w:p w14:paraId="5201D641"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9" w:type="dxa"/>
            <w:tcBorders>
              <w:top w:val="nil"/>
              <w:left w:val="nil"/>
              <w:bottom w:val="single" w:sz="4" w:space="0" w:color="auto"/>
              <w:right w:val="single" w:sz="4" w:space="0" w:color="auto"/>
            </w:tcBorders>
            <w:shd w:val="clear" w:color="auto" w:fill="auto"/>
            <w:hideMark/>
          </w:tcPr>
          <w:p w14:paraId="2B854B7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10" w:type="dxa"/>
            <w:tcBorders>
              <w:top w:val="nil"/>
              <w:left w:val="nil"/>
              <w:bottom w:val="single" w:sz="4" w:space="0" w:color="auto"/>
              <w:right w:val="single" w:sz="4" w:space="0" w:color="auto"/>
            </w:tcBorders>
            <w:shd w:val="clear" w:color="auto" w:fill="auto"/>
            <w:hideMark/>
          </w:tcPr>
          <w:p w14:paraId="33ADD17A"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2E4A11B5"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47D6FA17" w14:textId="77777777" w:rsidTr="001224CB">
        <w:trPr>
          <w:trHeight w:val="219"/>
          <w:hidden/>
        </w:trPr>
        <w:tc>
          <w:tcPr>
            <w:tcW w:w="3828" w:type="dxa"/>
            <w:tcBorders>
              <w:top w:val="nil"/>
              <w:left w:val="single" w:sz="4" w:space="0" w:color="auto"/>
              <w:bottom w:val="single" w:sz="4" w:space="0" w:color="auto"/>
              <w:right w:val="single" w:sz="4" w:space="0" w:color="auto"/>
            </w:tcBorders>
            <w:shd w:val="clear" w:color="auto" w:fill="auto"/>
            <w:hideMark/>
          </w:tcPr>
          <w:p w14:paraId="1D1CC95A" w14:textId="77777777" w:rsidR="00F970D2" w:rsidRPr="006050E8" w:rsidRDefault="00F970D2" w:rsidP="001224CB">
            <w:pPr>
              <w:jc w:val="left"/>
              <w:rPr>
                <w:b/>
                <w:bCs/>
                <w:vanish/>
                <w:sz w:val="16"/>
                <w:szCs w:val="16"/>
                <w:lang w:val="es-ES"/>
              </w:rPr>
            </w:pPr>
            <w:r w:rsidRPr="006050E8">
              <w:rPr>
                <w:b/>
                <w:vanish/>
                <w:sz w:val="16"/>
                <w:lang w:val="es-ES"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hideMark/>
          </w:tcPr>
          <w:p w14:paraId="7465364B"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69E0C8B7"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6F80FCDA"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4271385F"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0C8C740C" w14:textId="77777777" w:rsidR="00F970D2" w:rsidRPr="006050E8" w:rsidRDefault="00F970D2" w:rsidP="001224CB">
            <w:pPr>
              <w:jc w:val="right"/>
              <w:rPr>
                <w:b/>
                <w:bCs/>
                <w:vanish/>
                <w:sz w:val="16"/>
                <w:szCs w:val="16"/>
                <w:lang w:val="es-ES"/>
              </w:rPr>
            </w:pPr>
            <w:r w:rsidRPr="006050E8">
              <w:rPr>
                <w:b/>
                <w:vanish/>
                <w:sz w:val="16"/>
                <w:lang w:val="es-ES" w:eastAsia="en-CA"/>
              </w:rPr>
              <w:t>2,309,657</w:t>
            </w:r>
          </w:p>
        </w:tc>
        <w:tc>
          <w:tcPr>
            <w:tcW w:w="856" w:type="dxa"/>
            <w:tcBorders>
              <w:top w:val="nil"/>
              <w:left w:val="nil"/>
              <w:bottom w:val="single" w:sz="4" w:space="0" w:color="auto"/>
              <w:right w:val="single" w:sz="4" w:space="0" w:color="auto"/>
            </w:tcBorders>
            <w:shd w:val="clear" w:color="auto" w:fill="auto"/>
            <w:hideMark/>
          </w:tcPr>
          <w:p w14:paraId="034CBA8B" w14:textId="77777777" w:rsidR="00F970D2" w:rsidRPr="006050E8" w:rsidRDefault="00F970D2" w:rsidP="001224CB">
            <w:pPr>
              <w:jc w:val="right"/>
              <w:rPr>
                <w:b/>
                <w:bCs/>
                <w:vanish/>
                <w:sz w:val="16"/>
                <w:szCs w:val="16"/>
                <w:lang w:val="es-ES"/>
              </w:rPr>
            </w:pPr>
            <w:r w:rsidRPr="006050E8">
              <w:rPr>
                <w:b/>
                <w:vanish/>
                <w:sz w:val="16"/>
                <w:lang w:val="es-ES" w:eastAsia="en-CA"/>
              </w:rPr>
              <w:t>2,987,288</w:t>
            </w:r>
          </w:p>
        </w:tc>
        <w:tc>
          <w:tcPr>
            <w:tcW w:w="933" w:type="dxa"/>
            <w:tcBorders>
              <w:top w:val="nil"/>
              <w:left w:val="nil"/>
              <w:bottom w:val="single" w:sz="4" w:space="0" w:color="auto"/>
              <w:right w:val="single" w:sz="4" w:space="0" w:color="auto"/>
            </w:tcBorders>
            <w:shd w:val="clear" w:color="auto" w:fill="auto"/>
            <w:hideMark/>
          </w:tcPr>
          <w:p w14:paraId="319D133B" w14:textId="77777777" w:rsidR="00F970D2" w:rsidRPr="006050E8" w:rsidRDefault="00F970D2" w:rsidP="001224CB">
            <w:pPr>
              <w:jc w:val="right"/>
              <w:rPr>
                <w:b/>
                <w:bCs/>
                <w:vanish/>
                <w:sz w:val="16"/>
                <w:szCs w:val="16"/>
                <w:lang w:val="es-ES"/>
              </w:rPr>
            </w:pPr>
            <w:r w:rsidRPr="006050E8">
              <w:rPr>
                <w:b/>
                <w:vanish/>
                <w:sz w:val="16"/>
                <w:lang w:val="es-ES" w:eastAsia="en-CA"/>
              </w:rPr>
              <w:t>3,649,473</w:t>
            </w:r>
          </w:p>
        </w:tc>
        <w:tc>
          <w:tcPr>
            <w:tcW w:w="856" w:type="dxa"/>
            <w:tcBorders>
              <w:top w:val="nil"/>
              <w:left w:val="nil"/>
              <w:bottom w:val="single" w:sz="4" w:space="0" w:color="auto"/>
              <w:right w:val="single" w:sz="4" w:space="0" w:color="auto"/>
            </w:tcBorders>
            <w:shd w:val="clear" w:color="auto" w:fill="auto"/>
            <w:hideMark/>
          </w:tcPr>
          <w:p w14:paraId="71F782C5" w14:textId="77777777" w:rsidR="00F970D2" w:rsidRPr="006050E8" w:rsidRDefault="00F970D2" w:rsidP="001224CB">
            <w:pPr>
              <w:jc w:val="right"/>
              <w:rPr>
                <w:b/>
                <w:bCs/>
                <w:vanish/>
                <w:sz w:val="16"/>
                <w:szCs w:val="16"/>
                <w:lang w:val="es-ES"/>
              </w:rPr>
            </w:pPr>
            <w:r w:rsidRPr="006050E8">
              <w:rPr>
                <w:b/>
                <w:vanish/>
                <w:sz w:val="16"/>
                <w:lang w:val="es-ES" w:eastAsia="en-CA"/>
              </w:rPr>
              <w:t>1,634,174</w:t>
            </w:r>
          </w:p>
        </w:tc>
        <w:tc>
          <w:tcPr>
            <w:tcW w:w="856" w:type="dxa"/>
            <w:tcBorders>
              <w:top w:val="nil"/>
              <w:left w:val="single" w:sz="4" w:space="0" w:color="auto"/>
              <w:bottom w:val="single" w:sz="4" w:space="0" w:color="auto"/>
              <w:right w:val="single" w:sz="4" w:space="0" w:color="auto"/>
            </w:tcBorders>
            <w:shd w:val="clear" w:color="auto" w:fill="auto"/>
            <w:hideMark/>
          </w:tcPr>
          <w:p w14:paraId="3F60A339" w14:textId="77777777" w:rsidR="00F970D2" w:rsidRPr="006050E8" w:rsidRDefault="00F970D2" w:rsidP="001224CB">
            <w:pPr>
              <w:jc w:val="right"/>
              <w:rPr>
                <w:b/>
                <w:bCs/>
                <w:vanish/>
                <w:sz w:val="16"/>
                <w:szCs w:val="16"/>
                <w:lang w:val="es-ES"/>
              </w:rPr>
            </w:pPr>
            <w:r w:rsidRPr="006050E8">
              <w:rPr>
                <w:b/>
                <w:vanish/>
                <w:sz w:val="16"/>
                <w:lang w:val="es-ES" w:eastAsia="en-CA"/>
              </w:rPr>
              <w:t>1,929,785</w:t>
            </w:r>
          </w:p>
        </w:tc>
        <w:tc>
          <w:tcPr>
            <w:tcW w:w="919" w:type="dxa"/>
            <w:tcBorders>
              <w:top w:val="nil"/>
              <w:left w:val="nil"/>
              <w:bottom w:val="single" w:sz="4" w:space="0" w:color="auto"/>
              <w:right w:val="single" w:sz="4" w:space="0" w:color="auto"/>
            </w:tcBorders>
            <w:shd w:val="clear" w:color="auto" w:fill="auto"/>
            <w:hideMark/>
          </w:tcPr>
          <w:p w14:paraId="79628BA8" w14:textId="77777777" w:rsidR="00F970D2" w:rsidRPr="006050E8" w:rsidRDefault="00F970D2" w:rsidP="001224CB">
            <w:pPr>
              <w:jc w:val="right"/>
              <w:rPr>
                <w:b/>
                <w:bCs/>
                <w:vanish/>
                <w:sz w:val="16"/>
                <w:szCs w:val="16"/>
                <w:lang w:val="es-ES"/>
              </w:rPr>
            </w:pPr>
            <w:r w:rsidRPr="006050E8">
              <w:rPr>
                <w:b/>
                <w:vanish/>
                <w:sz w:val="16"/>
                <w:lang w:val="es-ES" w:eastAsia="en-CA"/>
              </w:rPr>
              <w:t>2,008,028</w:t>
            </w:r>
          </w:p>
        </w:tc>
        <w:tc>
          <w:tcPr>
            <w:tcW w:w="910" w:type="dxa"/>
            <w:tcBorders>
              <w:top w:val="nil"/>
              <w:left w:val="nil"/>
              <w:bottom w:val="single" w:sz="4" w:space="0" w:color="auto"/>
              <w:right w:val="single" w:sz="4" w:space="0" w:color="auto"/>
            </w:tcBorders>
            <w:shd w:val="clear" w:color="auto" w:fill="auto"/>
            <w:hideMark/>
          </w:tcPr>
          <w:p w14:paraId="5494B6F3" w14:textId="77777777" w:rsidR="00F970D2" w:rsidRPr="006050E8" w:rsidRDefault="00F970D2" w:rsidP="001224CB">
            <w:pPr>
              <w:jc w:val="right"/>
              <w:rPr>
                <w:b/>
                <w:bCs/>
                <w:vanish/>
                <w:sz w:val="16"/>
                <w:szCs w:val="16"/>
                <w:lang w:val="es-ES"/>
              </w:rPr>
            </w:pPr>
            <w:r w:rsidRPr="006050E8">
              <w:rPr>
                <w:b/>
                <w:vanish/>
                <w:sz w:val="16"/>
                <w:lang w:val="es-ES" w:eastAsia="en-CA"/>
              </w:rPr>
              <w:t>1,666,409</w:t>
            </w:r>
          </w:p>
        </w:tc>
        <w:tc>
          <w:tcPr>
            <w:tcW w:w="856" w:type="dxa"/>
            <w:tcBorders>
              <w:top w:val="nil"/>
              <w:left w:val="nil"/>
              <w:bottom w:val="single" w:sz="4" w:space="0" w:color="auto"/>
              <w:right w:val="single" w:sz="4" w:space="0" w:color="auto"/>
            </w:tcBorders>
            <w:shd w:val="clear" w:color="auto" w:fill="auto"/>
            <w:hideMark/>
          </w:tcPr>
          <w:p w14:paraId="683B591F" w14:textId="77777777" w:rsidR="00F970D2" w:rsidRPr="006050E8" w:rsidRDefault="00F970D2" w:rsidP="001224CB">
            <w:pPr>
              <w:jc w:val="right"/>
              <w:rPr>
                <w:b/>
                <w:bCs/>
                <w:vanish/>
                <w:sz w:val="16"/>
                <w:szCs w:val="16"/>
                <w:lang w:val="es-ES"/>
              </w:rPr>
            </w:pPr>
            <w:r w:rsidRPr="006050E8">
              <w:rPr>
                <w:b/>
                <w:vanish/>
                <w:sz w:val="16"/>
                <w:lang w:val="es-ES" w:eastAsia="en-CA"/>
              </w:rPr>
              <w:t>1,887,686</w:t>
            </w:r>
          </w:p>
        </w:tc>
      </w:tr>
      <w:tr w:rsidR="00F970D2" w:rsidRPr="006050E8" w14:paraId="2FBCE6E6" w14:textId="77777777" w:rsidTr="001224CB">
        <w:trPr>
          <w:trHeight w:val="125"/>
          <w:hidden/>
        </w:trPr>
        <w:tc>
          <w:tcPr>
            <w:tcW w:w="3828" w:type="dxa"/>
            <w:tcBorders>
              <w:top w:val="nil"/>
              <w:left w:val="single" w:sz="4" w:space="0" w:color="auto"/>
              <w:bottom w:val="single" w:sz="4" w:space="0" w:color="auto"/>
              <w:right w:val="single" w:sz="4" w:space="0" w:color="auto"/>
            </w:tcBorders>
            <w:shd w:val="clear" w:color="auto" w:fill="auto"/>
            <w:hideMark/>
          </w:tcPr>
          <w:p w14:paraId="1D45198D" w14:textId="77777777" w:rsidR="00F970D2" w:rsidRPr="006050E8" w:rsidRDefault="00F970D2" w:rsidP="001224CB">
            <w:pPr>
              <w:rPr>
                <w:b/>
                <w:bCs/>
                <w:vanish/>
                <w:sz w:val="16"/>
                <w:szCs w:val="16"/>
                <w:lang w:val="es-ES"/>
              </w:rPr>
            </w:pPr>
            <w:r w:rsidRPr="006050E8">
              <w:rPr>
                <w:b/>
                <w:vanish/>
                <w:sz w:val="16"/>
                <w:lang w:val="es-ES" w:eastAsia="en-CA"/>
              </w:rPr>
              <w:t>Total Administrative Support Costs</w:t>
            </w:r>
          </w:p>
        </w:tc>
        <w:tc>
          <w:tcPr>
            <w:tcW w:w="856" w:type="dxa"/>
            <w:tcBorders>
              <w:top w:val="nil"/>
              <w:left w:val="nil"/>
              <w:bottom w:val="single" w:sz="4" w:space="0" w:color="auto"/>
              <w:right w:val="single" w:sz="4" w:space="0" w:color="auto"/>
            </w:tcBorders>
            <w:shd w:val="clear" w:color="auto" w:fill="auto"/>
            <w:hideMark/>
          </w:tcPr>
          <w:p w14:paraId="7EF1FDDA" w14:textId="77777777" w:rsidR="00F970D2" w:rsidRPr="006050E8" w:rsidRDefault="00F970D2" w:rsidP="001224CB">
            <w:pPr>
              <w:jc w:val="right"/>
              <w:rPr>
                <w:b/>
                <w:bCs/>
                <w:vanish/>
                <w:sz w:val="16"/>
                <w:szCs w:val="16"/>
                <w:lang w:val="es-ES"/>
              </w:rPr>
            </w:pPr>
            <w:r w:rsidRPr="006050E8">
              <w:rPr>
                <w:b/>
                <w:vanish/>
                <w:sz w:val="16"/>
                <w:lang w:val="es-ES" w:eastAsia="en-CA"/>
              </w:rPr>
              <w:t>4,909,004</w:t>
            </w:r>
          </w:p>
        </w:tc>
        <w:tc>
          <w:tcPr>
            <w:tcW w:w="856" w:type="dxa"/>
            <w:tcBorders>
              <w:top w:val="nil"/>
              <w:left w:val="nil"/>
              <w:bottom w:val="single" w:sz="4" w:space="0" w:color="auto"/>
              <w:right w:val="single" w:sz="4" w:space="0" w:color="auto"/>
            </w:tcBorders>
            <w:shd w:val="clear" w:color="auto" w:fill="auto"/>
            <w:hideMark/>
          </w:tcPr>
          <w:p w14:paraId="24A486EA" w14:textId="77777777" w:rsidR="00F970D2" w:rsidRPr="006050E8" w:rsidRDefault="00F970D2" w:rsidP="001224CB">
            <w:pPr>
              <w:jc w:val="right"/>
              <w:rPr>
                <w:b/>
                <w:bCs/>
                <w:vanish/>
                <w:sz w:val="16"/>
                <w:szCs w:val="16"/>
                <w:lang w:val="es-ES"/>
              </w:rPr>
            </w:pPr>
            <w:r w:rsidRPr="006050E8">
              <w:rPr>
                <w:b/>
                <w:vanish/>
                <w:sz w:val="16"/>
                <w:lang w:val="es-ES" w:eastAsia="en-CA"/>
              </w:rPr>
              <w:t>5,675,729</w:t>
            </w:r>
          </w:p>
        </w:tc>
        <w:tc>
          <w:tcPr>
            <w:tcW w:w="856" w:type="dxa"/>
            <w:tcBorders>
              <w:top w:val="nil"/>
              <w:left w:val="nil"/>
              <w:bottom w:val="single" w:sz="4" w:space="0" w:color="auto"/>
              <w:right w:val="single" w:sz="4" w:space="0" w:color="auto"/>
            </w:tcBorders>
            <w:shd w:val="clear" w:color="auto" w:fill="auto"/>
            <w:hideMark/>
          </w:tcPr>
          <w:p w14:paraId="56D87614" w14:textId="77777777" w:rsidR="00F970D2" w:rsidRPr="006050E8" w:rsidRDefault="00F970D2" w:rsidP="001224CB">
            <w:pPr>
              <w:jc w:val="right"/>
              <w:rPr>
                <w:b/>
                <w:bCs/>
                <w:vanish/>
                <w:sz w:val="16"/>
                <w:szCs w:val="16"/>
                <w:lang w:val="es-ES"/>
              </w:rPr>
            </w:pPr>
            <w:r w:rsidRPr="006050E8">
              <w:rPr>
                <w:b/>
                <w:vanish/>
                <w:sz w:val="16"/>
                <w:lang w:val="es-ES" w:eastAsia="en-CA"/>
              </w:rPr>
              <w:t>4,676,959</w:t>
            </w:r>
          </w:p>
        </w:tc>
        <w:tc>
          <w:tcPr>
            <w:tcW w:w="856" w:type="dxa"/>
            <w:tcBorders>
              <w:top w:val="nil"/>
              <w:left w:val="nil"/>
              <w:bottom w:val="single" w:sz="4" w:space="0" w:color="auto"/>
              <w:right w:val="single" w:sz="4" w:space="0" w:color="auto"/>
            </w:tcBorders>
            <w:shd w:val="clear" w:color="auto" w:fill="auto"/>
            <w:hideMark/>
          </w:tcPr>
          <w:p w14:paraId="4936CA83" w14:textId="77777777" w:rsidR="00F970D2" w:rsidRPr="006050E8" w:rsidRDefault="00F970D2" w:rsidP="001224CB">
            <w:pPr>
              <w:jc w:val="right"/>
              <w:rPr>
                <w:b/>
                <w:bCs/>
                <w:vanish/>
                <w:sz w:val="16"/>
                <w:szCs w:val="16"/>
                <w:lang w:val="es-ES"/>
              </w:rPr>
            </w:pPr>
            <w:r w:rsidRPr="006050E8">
              <w:rPr>
                <w:b/>
                <w:vanish/>
                <w:sz w:val="16"/>
                <w:lang w:val="es-ES" w:eastAsia="en-CA"/>
              </w:rPr>
              <w:t>4,715,563</w:t>
            </w:r>
          </w:p>
        </w:tc>
        <w:tc>
          <w:tcPr>
            <w:tcW w:w="856" w:type="dxa"/>
            <w:tcBorders>
              <w:top w:val="nil"/>
              <w:left w:val="nil"/>
              <w:bottom w:val="single" w:sz="4" w:space="0" w:color="auto"/>
              <w:right w:val="single" w:sz="4" w:space="0" w:color="auto"/>
            </w:tcBorders>
            <w:shd w:val="clear" w:color="auto" w:fill="auto"/>
            <w:hideMark/>
          </w:tcPr>
          <w:p w14:paraId="5603D6FC" w14:textId="77777777" w:rsidR="00F970D2" w:rsidRPr="006050E8" w:rsidRDefault="00F970D2" w:rsidP="001224CB">
            <w:pPr>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6C5B61C1" w14:textId="77777777" w:rsidR="00F970D2" w:rsidRPr="006050E8" w:rsidRDefault="00F970D2" w:rsidP="001224CB">
            <w:pPr>
              <w:rPr>
                <w:vanish/>
                <w:sz w:val="16"/>
                <w:szCs w:val="16"/>
                <w:lang w:val="es-ES"/>
              </w:rPr>
            </w:pPr>
            <w:r w:rsidRPr="006050E8">
              <w:rPr>
                <w:vanish/>
                <w:sz w:val="16"/>
                <w:lang w:val="es-ES" w:eastAsia="en-CA"/>
              </w:rPr>
              <w:t> </w:t>
            </w:r>
          </w:p>
        </w:tc>
        <w:tc>
          <w:tcPr>
            <w:tcW w:w="933" w:type="dxa"/>
            <w:tcBorders>
              <w:top w:val="nil"/>
              <w:left w:val="nil"/>
              <w:bottom w:val="single" w:sz="4" w:space="0" w:color="auto"/>
              <w:right w:val="single" w:sz="4" w:space="0" w:color="auto"/>
            </w:tcBorders>
            <w:shd w:val="clear" w:color="auto" w:fill="auto"/>
            <w:hideMark/>
          </w:tcPr>
          <w:p w14:paraId="08C20BA6" w14:textId="77777777" w:rsidR="00F970D2" w:rsidRPr="006050E8" w:rsidRDefault="00F970D2" w:rsidP="001224CB">
            <w:pPr>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17458D63"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24DDDA3"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9" w:type="dxa"/>
            <w:tcBorders>
              <w:top w:val="nil"/>
              <w:left w:val="nil"/>
              <w:bottom w:val="single" w:sz="4" w:space="0" w:color="auto"/>
              <w:right w:val="single" w:sz="4" w:space="0" w:color="auto"/>
            </w:tcBorders>
            <w:shd w:val="clear" w:color="auto" w:fill="auto"/>
            <w:noWrap/>
            <w:vAlign w:val="bottom"/>
            <w:hideMark/>
          </w:tcPr>
          <w:p w14:paraId="603CABC7"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1296CAE9"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DF30969"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4F1EB310" w14:textId="77777777" w:rsidTr="001224CB">
        <w:trPr>
          <w:trHeight w:val="71"/>
          <w:hidden/>
        </w:trPr>
        <w:tc>
          <w:tcPr>
            <w:tcW w:w="3828" w:type="dxa"/>
            <w:tcBorders>
              <w:top w:val="nil"/>
              <w:left w:val="single" w:sz="4" w:space="0" w:color="auto"/>
              <w:bottom w:val="single" w:sz="4" w:space="0" w:color="auto"/>
              <w:right w:val="single" w:sz="4" w:space="0" w:color="auto"/>
            </w:tcBorders>
            <w:shd w:val="clear" w:color="auto" w:fill="auto"/>
            <w:hideMark/>
          </w:tcPr>
          <w:p w14:paraId="7CF2D2A7" w14:textId="77777777" w:rsidR="00F970D2" w:rsidRPr="006050E8" w:rsidRDefault="00F970D2" w:rsidP="001224CB">
            <w:pPr>
              <w:rPr>
                <w:vanish/>
                <w:sz w:val="16"/>
                <w:szCs w:val="16"/>
                <w:lang w:val="es-ES"/>
              </w:rPr>
            </w:pPr>
            <w:r w:rsidRPr="006050E8">
              <w:rPr>
                <w:vanish/>
                <w:sz w:val="16"/>
                <w:lang w:val="es-ES" w:eastAsia="en-CA"/>
              </w:rPr>
              <w:t>Supervisory costs incurred by MPU</w:t>
            </w:r>
          </w:p>
        </w:tc>
        <w:tc>
          <w:tcPr>
            <w:tcW w:w="856" w:type="dxa"/>
            <w:tcBorders>
              <w:top w:val="nil"/>
              <w:left w:val="nil"/>
              <w:bottom w:val="single" w:sz="4" w:space="0" w:color="auto"/>
              <w:right w:val="single" w:sz="4" w:space="0" w:color="auto"/>
            </w:tcBorders>
            <w:shd w:val="clear" w:color="auto" w:fill="auto"/>
            <w:hideMark/>
          </w:tcPr>
          <w:p w14:paraId="0A884D5A" w14:textId="77777777" w:rsidR="00F970D2" w:rsidRPr="006050E8" w:rsidRDefault="00F970D2" w:rsidP="001224CB">
            <w:pPr>
              <w:jc w:val="right"/>
              <w:rPr>
                <w:vanish/>
                <w:sz w:val="16"/>
                <w:szCs w:val="16"/>
                <w:lang w:val="es-ES"/>
              </w:rPr>
            </w:pPr>
            <w:r w:rsidRPr="006050E8">
              <w:rPr>
                <w:vanish/>
                <w:sz w:val="16"/>
                <w:lang w:val="es-ES" w:eastAsia="en-CA"/>
              </w:rPr>
              <w:t>47,028</w:t>
            </w:r>
          </w:p>
        </w:tc>
        <w:tc>
          <w:tcPr>
            <w:tcW w:w="856" w:type="dxa"/>
            <w:tcBorders>
              <w:top w:val="nil"/>
              <w:left w:val="nil"/>
              <w:bottom w:val="single" w:sz="4" w:space="0" w:color="auto"/>
              <w:right w:val="single" w:sz="4" w:space="0" w:color="auto"/>
            </w:tcBorders>
            <w:shd w:val="clear" w:color="auto" w:fill="auto"/>
            <w:hideMark/>
          </w:tcPr>
          <w:p w14:paraId="2A0C32C3" w14:textId="77777777" w:rsidR="00F970D2" w:rsidRPr="006050E8" w:rsidRDefault="00F970D2" w:rsidP="001224CB">
            <w:pPr>
              <w:jc w:val="right"/>
              <w:rPr>
                <w:vanish/>
                <w:sz w:val="16"/>
                <w:szCs w:val="16"/>
                <w:lang w:val="es-ES"/>
              </w:rPr>
            </w:pPr>
            <w:r w:rsidRPr="006050E8">
              <w:rPr>
                <w:vanish/>
                <w:sz w:val="16"/>
                <w:lang w:val="es-ES" w:eastAsia="en-CA"/>
              </w:rPr>
              <w:t>47,801</w:t>
            </w:r>
          </w:p>
        </w:tc>
        <w:tc>
          <w:tcPr>
            <w:tcW w:w="856" w:type="dxa"/>
            <w:tcBorders>
              <w:top w:val="nil"/>
              <w:left w:val="nil"/>
              <w:bottom w:val="single" w:sz="4" w:space="0" w:color="auto"/>
              <w:right w:val="single" w:sz="4" w:space="0" w:color="auto"/>
            </w:tcBorders>
            <w:shd w:val="clear" w:color="auto" w:fill="auto"/>
            <w:hideMark/>
          </w:tcPr>
          <w:p w14:paraId="31043E1B" w14:textId="77777777" w:rsidR="00F970D2" w:rsidRPr="006050E8" w:rsidRDefault="00F970D2" w:rsidP="001224CB">
            <w:pPr>
              <w:jc w:val="right"/>
              <w:rPr>
                <w:vanish/>
                <w:sz w:val="16"/>
                <w:szCs w:val="16"/>
                <w:lang w:val="es-ES"/>
              </w:rPr>
            </w:pPr>
            <w:r w:rsidRPr="006050E8">
              <w:rPr>
                <w:vanish/>
                <w:sz w:val="16"/>
                <w:lang w:val="es-ES" w:eastAsia="en-CA"/>
              </w:rPr>
              <w:t>53,814</w:t>
            </w:r>
          </w:p>
        </w:tc>
        <w:tc>
          <w:tcPr>
            <w:tcW w:w="856" w:type="dxa"/>
            <w:tcBorders>
              <w:top w:val="nil"/>
              <w:left w:val="nil"/>
              <w:bottom w:val="single" w:sz="4" w:space="0" w:color="auto"/>
              <w:right w:val="single" w:sz="4" w:space="0" w:color="auto"/>
            </w:tcBorders>
            <w:shd w:val="clear" w:color="auto" w:fill="auto"/>
            <w:hideMark/>
          </w:tcPr>
          <w:p w14:paraId="0ACF4E6E" w14:textId="77777777" w:rsidR="00F970D2" w:rsidRPr="006050E8" w:rsidRDefault="00F970D2" w:rsidP="001224CB">
            <w:pPr>
              <w:jc w:val="right"/>
              <w:rPr>
                <w:vanish/>
                <w:sz w:val="16"/>
                <w:szCs w:val="16"/>
                <w:lang w:val="es-ES"/>
              </w:rPr>
            </w:pPr>
            <w:r w:rsidRPr="006050E8">
              <w:rPr>
                <w:vanish/>
                <w:sz w:val="16"/>
                <w:lang w:val="es-ES" w:eastAsia="en-CA"/>
              </w:rPr>
              <w:t>56,970</w:t>
            </w:r>
          </w:p>
        </w:tc>
        <w:tc>
          <w:tcPr>
            <w:tcW w:w="856" w:type="dxa"/>
            <w:tcBorders>
              <w:top w:val="nil"/>
              <w:left w:val="nil"/>
              <w:bottom w:val="single" w:sz="4" w:space="0" w:color="auto"/>
              <w:right w:val="single" w:sz="4" w:space="0" w:color="auto"/>
            </w:tcBorders>
            <w:shd w:val="clear" w:color="auto" w:fill="auto"/>
            <w:hideMark/>
          </w:tcPr>
          <w:p w14:paraId="4E00836A" w14:textId="77777777" w:rsidR="00F970D2" w:rsidRPr="006050E8" w:rsidRDefault="00F970D2" w:rsidP="001224CB">
            <w:pPr>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04BE4EDB" w14:textId="77777777" w:rsidR="00F970D2" w:rsidRPr="006050E8" w:rsidRDefault="00F970D2" w:rsidP="001224CB">
            <w:pPr>
              <w:rPr>
                <w:vanish/>
                <w:sz w:val="16"/>
                <w:szCs w:val="16"/>
                <w:lang w:val="es-ES"/>
              </w:rPr>
            </w:pPr>
            <w:r w:rsidRPr="006050E8">
              <w:rPr>
                <w:vanish/>
                <w:sz w:val="16"/>
                <w:lang w:val="es-ES" w:eastAsia="en-CA"/>
              </w:rPr>
              <w:t> </w:t>
            </w:r>
          </w:p>
        </w:tc>
        <w:tc>
          <w:tcPr>
            <w:tcW w:w="933" w:type="dxa"/>
            <w:tcBorders>
              <w:top w:val="nil"/>
              <w:left w:val="nil"/>
              <w:bottom w:val="single" w:sz="4" w:space="0" w:color="auto"/>
              <w:right w:val="single" w:sz="4" w:space="0" w:color="auto"/>
            </w:tcBorders>
            <w:shd w:val="clear" w:color="auto" w:fill="auto"/>
            <w:hideMark/>
          </w:tcPr>
          <w:p w14:paraId="13E3D6C4" w14:textId="77777777" w:rsidR="00F970D2" w:rsidRPr="006050E8" w:rsidRDefault="00F970D2" w:rsidP="001224CB">
            <w:pPr>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vAlign w:val="bottom"/>
            <w:hideMark/>
          </w:tcPr>
          <w:p w14:paraId="26B2E151"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77A982C"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9" w:type="dxa"/>
            <w:tcBorders>
              <w:top w:val="nil"/>
              <w:left w:val="nil"/>
              <w:bottom w:val="single" w:sz="4" w:space="0" w:color="auto"/>
              <w:right w:val="single" w:sz="4" w:space="0" w:color="auto"/>
            </w:tcBorders>
            <w:shd w:val="clear" w:color="auto" w:fill="auto"/>
            <w:noWrap/>
            <w:vAlign w:val="bottom"/>
            <w:hideMark/>
          </w:tcPr>
          <w:p w14:paraId="752CAF37"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4E4ACC03"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68172D2"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70E71375" w14:textId="77777777" w:rsidTr="001224CB">
        <w:trPr>
          <w:trHeight w:val="159"/>
          <w:hidden/>
        </w:trPr>
        <w:tc>
          <w:tcPr>
            <w:tcW w:w="3828" w:type="dxa"/>
            <w:tcBorders>
              <w:top w:val="nil"/>
              <w:left w:val="single" w:sz="4" w:space="0" w:color="auto"/>
              <w:bottom w:val="single" w:sz="4" w:space="0" w:color="auto"/>
              <w:right w:val="single" w:sz="4" w:space="0" w:color="auto"/>
            </w:tcBorders>
            <w:shd w:val="clear" w:color="auto" w:fill="auto"/>
            <w:hideMark/>
          </w:tcPr>
          <w:p w14:paraId="67C83F4E" w14:textId="77777777" w:rsidR="00F970D2" w:rsidRPr="006050E8" w:rsidRDefault="00F970D2" w:rsidP="001224CB">
            <w:pPr>
              <w:rPr>
                <w:b/>
                <w:bCs/>
                <w:vanish/>
                <w:sz w:val="16"/>
                <w:szCs w:val="16"/>
                <w:lang w:val="es-ES"/>
              </w:rPr>
            </w:pPr>
            <w:r w:rsidRPr="006050E8">
              <w:rPr>
                <w:b/>
                <w:vanish/>
                <w:sz w:val="16"/>
                <w:lang w:val="es-ES" w:eastAsia="en-CA"/>
              </w:rPr>
              <w:t>Grand total (A + B)**</w:t>
            </w:r>
          </w:p>
        </w:tc>
        <w:tc>
          <w:tcPr>
            <w:tcW w:w="856" w:type="dxa"/>
            <w:tcBorders>
              <w:top w:val="nil"/>
              <w:left w:val="nil"/>
              <w:bottom w:val="single" w:sz="4" w:space="0" w:color="auto"/>
              <w:right w:val="single" w:sz="4" w:space="0" w:color="auto"/>
            </w:tcBorders>
            <w:shd w:val="clear" w:color="auto" w:fill="auto"/>
            <w:hideMark/>
          </w:tcPr>
          <w:p w14:paraId="08319304" w14:textId="77777777" w:rsidR="00F970D2" w:rsidRPr="006050E8" w:rsidRDefault="00F970D2" w:rsidP="001224CB">
            <w:pPr>
              <w:jc w:val="right"/>
              <w:rPr>
                <w:b/>
                <w:bCs/>
                <w:vanish/>
                <w:sz w:val="16"/>
                <w:szCs w:val="16"/>
                <w:lang w:val="es-ES"/>
              </w:rPr>
            </w:pPr>
            <w:r w:rsidRPr="006050E8">
              <w:rPr>
                <w:b/>
                <w:vanish/>
                <w:sz w:val="16"/>
                <w:lang w:val="es-ES" w:eastAsia="en-CA"/>
              </w:rPr>
              <w:t>4,956,032</w:t>
            </w:r>
          </w:p>
        </w:tc>
        <w:tc>
          <w:tcPr>
            <w:tcW w:w="856" w:type="dxa"/>
            <w:tcBorders>
              <w:top w:val="nil"/>
              <w:left w:val="nil"/>
              <w:bottom w:val="single" w:sz="4" w:space="0" w:color="auto"/>
              <w:right w:val="single" w:sz="4" w:space="0" w:color="auto"/>
            </w:tcBorders>
            <w:shd w:val="clear" w:color="auto" w:fill="auto"/>
            <w:hideMark/>
          </w:tcPr>
          <w:p w14:paraId="70E1C7B5" w14:textId="77777777" w:rsidR="00F970D2" w:rsidRPr="006050E8" w:rsidRDefault="00F970D2" w:rsidP="001224CB">
            <w:pPr>
              <w:jc w:val="right"/>
              <w:rPr>
                <w:b/>
                <w:bCs/>
                <w:vanish/>
                <w:sz w:val="16"/>
                <w:szCs w:val="16"/>
                <w:lang w:val="es-ES"/>
              </w:rPr>
            </w:pPr>
            <w:r w:rsidRPr="006050E8">
              <w:rPr>
                <w:b/>
                <w:vanish/>
                <w:sz w:val="16"/>
                <w:lang w:val="es-ES" w:eastAsia="en-CA"/>
              </w:rPr>
              <w:t>5,723,531</w:t>
            </w:r>
          </w:p>
        </w:tc>
        <w:tc>
          <w:tcPr>
            <w:tcW w:w="856" w:type="dxa"/>
            <w:tcBorders>
              <w:top w:val="nil"/>
              <w:left w:val="nil"/>
              <w:bottom w:val="single" w:sz="4" w:space="0" w:color="auto"/>
              <w:right w:val="single" w:sz="4" w:space="0" w:color="auto"/>
            </w:tcBorders>
            <w:shd w:val="clear" w:color="auto" w:fill="auto"/>
            <w:hideMark/>
          </w:tcPr>
          <w:p w14:paraId="20B760FE" w14:textId="77777777" w:rsidR="00F970D2" w:rsidRPr="006050E8" w:rsidRDefault="00F970D2" w:rsidP="001224CB">
            <w:pPr>
              <w:jc w:val="right"/>
              <w:rPr>
                <w:b/>
                <w:bCs/>
                <w:vanish/>
                <w:sz w:val="16"/>
                <w:szCs w:val="16"/>
                <w:lang w:val="es-ES"/>
              </w:rPr>
            </w:pPr>
            <w:r w:rsidRPr="006050E8">
              <w:rPr>
                <w:b/>
                <w:vanish/>
                <w:sz w:val="16"/>
                <w:lang w:val="es-ES" w:eastAsia="en-CA"/>
              </w:rPr>
              <w:t>4,730,773</w:t>
            </w:r>
          </w:p>
        </w:tc>
        <w:tc>
          <w:tcPr>
            <w:tcW w:w="856" w:type="dxa"/>
            <w:tcBorders>
              <w:top w:val="nil"/>
              <w:left w:val="nil"/>
              <w:bottom w:val="single" w:sz="4" w:space="0" w:color="auto"/>
              <w:right w:val="single" w:sz="4" w:space="0" w:color="auto"/>
            </w:tcBorders>
            <w:shd w:val="clear" w:color="auto" w:fill="auto"/>
            <w:hideMark/>
          </w:tcPr>
          <w:p w14:paraId="3610BC07" w14:textId="77777777" w:rsidR="00F970D2" w:rsidRPr="006050E8" w:rsidRDefault="00F970D2" w:rsidP="001224CB">
            <w:pPr>
              <w:jc w:val="right"/>
              <w:rPr>
                <w:b/>
                <w:bCs/>
                <w:vanish/>
                <w:sz w:val="16"/>
                <w:szCs w:val="16"/>
                <w:lang w:val="es-ES"/>
              </w:rPr>
            </w:pPr>
            <w:r w:rsidRPr="006050E8">
              <w:rPr>
                <w:b/>
                <w:vanish/>
                <w:sz w:val="16"/>
                <w:lang w:val="es-ES" w:eastAsia="en-CA"/>
              </w:rPr>
              <w:t>4,772,532</w:t>
            </w:r>
          </w:p>
        </w:tc>
        <w:tc>
          <w:tcPr>
            <w:tcW w:w="856" w:type="dxa"/>
            <w:tcBorders>
              <w:top w:val="nil"/>
              <w:left w:val="nil"/>
              <w:bottom w:val="single" w:sz="4" w:space="0" w:color="auto"/>
              <w:right w:val="single" w:sz="4" w:space="0" w:color="auto"/>
            </w:tcBorders>
            <w:shd w:val="clear" w:color="auto" w:fill="auto"/>
            <w:hideMark/>
          </w:tcPr>
          <w:p w14:paraId="3B0A2485" w14:textId="77777777" w:rsidR="00F970D2" w:rsidRPr="006050E8" w:rsidRDefault="00F970D2" w:rsidP="001224CB">
            <w:pPr>
              <w:jc w:val="right"/>
              <w:rPr>
                <w:b/>
                <w:bCs/>
                <w:vanish/>
                <w:sz w:val="16"/>
                <w:szCs w:val="16"/>
                <w:lang w:val="es-ES"/>
              </w:rPr>
            </w:pPr>
            <w:r w:rsidRPr="006050E8">
              <w:rPr>
                <w:b/>
                <w:vanish/>
                <w:sz w:val="16"/>
                <w:lang w:val="es-ES" w:eastAsia="en-CA"/>
              </w:rPr>
              <w:t>4,350,371</w:t>
            </w:r>
          </w:p>
        </w:tc>
        <w:tc>
          <w:tcPr>
            <w:tcW w:w="856" w:type="dxa"/>
            <w:tcBorders>
              <w:top w:val="nil"/>
              <w:left w:val="nil"/>
              <w:bottom w:val="single" w:sz="4" w:space="0" w:color="auto"/>
              <w:right w:val="single" w:sz="4" w:space="0" w:color="auto"/>
            </w:tcBorders>
            <w:shd w:val="clear" w:color="auto" w:fill="auto"/>
            <w:hideMark/>
          </w:tcPr>
          <w:p w14:paraId="0F27E334" w14:textId="77777777" w:rsidR="00F970D2" w:rsidRPr="006050E8" w:rsidRDefault="00F970D2" w:rsidP="001224CB">
            <w:pPr>
              <w:jc w:val="right"/>
              <w:rPr>
                <w:b/>
                <w:bCs/>
                <w:vanish/>
                <w:sz w:val="16"/>
                <w:szCs w:val="16"/>
                <w:lang w:val="es-ES"/>
              </w:rPr>
            </w:pPr>
            <w:r w:rsidRPr="006050E8">
              <w:rPr>
                <w:b/>
                <w:vanish/>
                <w:sz w:val="16"/>
                <w:lang w:val="es-ES" w:eastAsia="en-CA"/>
              </w:rPr>
              <w:t>5,042,289</w:t>
            </w:r>
          </w:p>
        </w:tc>
        <w:tc>
          <w:tcPr>
            <w:tcW w:w="933" w:type="dxa"/>
            <w:tcBorders>
              <w:top w:val="nil"/>
              <w:left w:val="nil"/>
              <w:bottom w:val="single" w:sz="4" w:space="0" w:color="auto"/>
              <w:right w:val="single" w:sz="4" w:space="0" w:color="auto"/>
            </w:tcBorders>
            <w:shd w:val="clear" w:color="auto" w:fill="auto"/>
            <w:hideMark/>
          </w:tcPr>
          <w:p w14:paraId="0843F00D" w14:textId="77777777" w:rsidR="00F970D2" w:rsidRPr="006050E8" w:rsidRDefault="00F970D2" w:rsidP="001224CB">
            <w:pPr>
              <w:jc w:val="right"/>
              <w:rPr>
                <w:b/>
                <w:bCs/>
                <w:vanish/>
                <w:sz w:val="16"/>
                <w:szCs w:val="16"/>
                <w:lang w:val="es-ES"/>
              </w:rPr>
            </w:pPr>
            <w:r w:rsidRPr="006050E8">
              <w:rPr>
                <w:b/>
                <w:vanish/>
                <w:sz w:val="16"/>
                <w:lang w:val="es-ES" w:eastAsia="en-CA"/>
              </w:rPr>
              <w:t>5,718,858</w:t>
            </w:r>
          </w:p>
        </w:tc>
        <w:tc>
          <w:tcPr>
            <w:tcW w:w="856" w:type="dxa"/>
            <w:tcBorders>
              <w:top w:val="nil"/>
              <w:left w:val="nil"/>
              <w:bottom w:val="single" w:sz="4" w:space="0" w:color="auto"/>
              <w:right w:val="single" w:sz="4" w:space="0" w:color="auto"/>
            </w:tcBorders>
            <w:shd w:val="clear" w:color="auto" w:fill="auto"/>
            <w:hideMark/>
          </w:tcPr>
          <w:p w14:paraId="315CD201" w14:textId="77777777" w:rsidR="00F970D2" w:rsidRPr="006050E8" w:rsidRDefault="00F970D2" w:rsidP="001224CB">
            <w:pPr>
              <w:jc w:val="right"/>
              <w:rPr>
                <w:b/>
                <w:bCs/>
                <w:vanish/>
                <w:sz w:val="16"/>
                <w:szCs w:val="16"/>
                <w:lang w:val="es-ES"/>
              </w:rPr>
            </w:pPr>
            <w:r w:rsidRPr="006050E8">
              <w:rPr>
                <w:b/>
                <w:vanish/>
                <w:sz w:val="16"/>
                <w:lang w:val="es-ES" w:eastAsia="en-CA"/>
              </w:rPr>
              <w:t>3,718,046</w:t>
            </w:r>
          </w:p>
        </w:tc>
        <w:tc>
          <w:tcPr>
            <w:tcW w:w="856" w:type="dxa"/>
            <w:tcBorders>
              <w:top w:val="nil"/>
              <w:left w:val="single" w:sz="4" w:space="0" w:color="auto"/>
              <w:bottom w:val="single" w:sz="4" w:space="0" w:color="auto"/>
              <w:right w:val="single" w:sz="4" w:space="0" w:color="auto"/>
            </w:tcBorders>
            <w:shd w:val="clear" w:color="auto" w:fill="auto"/>
            <w:hideMark/>
          </w:tcPr>
          <w:p w14:paraId="50F13B71" w14:textId="77777777" w:rsidR="00F970D2" w:rsidRPr="006050E8" w:rsidRDefault="00F970D2" w:rsidP="001224CB">
            <w:pPr>
              <w:jc w:val="right"/>
              <w:rPr>
                <w:b/>
                <w:bCs/>
                <w:vanish/>
                <w:sz w:val="16"/>
                <w:szCs w:val="16"/>
                <w:lang w:val="es-ES"/>
              </w:rPr>
            </w:pPr>
            <w:r w:rsidRPr="006050E8">
              <w:rPr>
                <w:b/>
                <w:vanish/>
                <w:sz w:val="16"/>
                <w:lang w:val="es-ES" w:eastAsia="en-CA"/>
              </w:rPr>
              <w:t>4,028,243</w:t>
            </w:r>
          </w:p>
        </w:tc>
        <w:tc>
          <w:tcPr>
            <w:tcW w:w="919" w:type="dxa"/>
            <w:tcBorders>
              <w:top w:val="nil"/>
              <w:left w:val="nil"/>
              <w:bottom w:val="single" w:sz="4" w:space="0" w:color="auto"/>
              <w:right w:val="single" w:sz="4" w:space="0" w:color="auto"/>
            </w:tcBorders>
            <w:shd w:val="clear" w:color="auto" w:fill="auto"/>
            <w:hideMark/>
          </w:tcPr>
          <w:p w14:paraId="5182380A" w14:textId="77777777" w:rsidR="00F970D2" w:rsidRPr="006050E8" w:rsidRDefault="00F970D2" w:rsidP="001224CB">
            <w:pPr>
              <w:jc w:val="right"/>
              <w:rPr>
                <w:b/>
                <w:bCs/>
                <w:vanish/>
                <w:sz w:val="16"/>
                <w:szCs w:val="16"/>
                <w:lang w:val="es-ES"/>
              </w:rPr>
            </w:pPr>
            <w:r w:rsidRPr="006050E8">
              <w:rPr>
                <w:b/>
                <w:vanish/>
                <w:sz w:val="16"/>
                <w:lang w:val="es-ES" w:eastAsia="en-CA"/>
              </w:rPr>
              <w:t>4,121,176</w:t>
            </w:r>
          </w:p>
        </w:tc>
        <w:tc>
          <w:tcPr>
            <w:tcW w:w="910" w:type="dxa"/>
            <w:tcBorders>
              <w:top w:val="nil"/>
              <w:left w:val="nil"/>
              <w:bottom w:val="single" w:sz="4" w:space="0" w:color="auto"/>
              <w:right w:val="single" w:sz="4" w:space="0" w:color="auto"/>
            </w:tcBorders>
            <w:shd w:val="clear" w:color="auto" w:fill="auto"/>
            <w:hideMark/>
          </w:tcPr>
          <w:p w14:paraId="0BACB73F" w14:textId="77777777" w:rsidR="00F970D2" w:rsidRPr="006050E8" w:rsidRDefault="00F970D2" w:rsidP="001224CB">
            <w:pPr>
              <w:jc w:val="right"/>
              <w:rPr>
                <w:b/>
                <w:bCs/>
                <w:vanish/>
                <w:sz w:val="16"/>
                <w:szCs w:val="16"/>
                <w:lang w:val="es-ES"/>
              </w:rPr>
            </w:pPr>
            <w:r w:rsidRPr="006050E8">
              <w:rPr>
                <w:b/>
                <w:vanish/>
                <w:sz w:val="16"/>
                <w:lang w:val="es-ES" w:eastAsia="en-CA"/>
              </w:rPr>
              <w:t>3,779,557</w:t>
            </w:r>
          </w:p>
        </w:tc>
        <w:tc>
          <w:tcPr>
            <w:tcW w:w="856" w:type="dxa"/>
            <w:tcBorders>
              <w:top w:val="nil"/>
              <w:left w:val="nil"/>
              <w:bottom w:val="single" w:sz="4" w:space="0" w:color="auto"/>
              <w:right w:val="single" w:sz="4" w:space="0" w:color="auto"/>
            </w:tcBorders>
            <w:shd w:val="clear" w:color="auto" w:fill="auto"/>
            <w:hideMark/>
          </w:tcPr>
          <w:p w14:paraId="7BFE96AB" w14:textId="77777777" w:rsidR="00F970D2" w:rsidRPr="006050E8" w:rsidRDefault="00F970D2" w:rsidP="001224CB">
            <w:pPr>
              <w:jc w:val="right"/>
              <w:rPr>
                <w:b/>
                <w:bCs/>
                <w:vanish/>
                <w:sz w:val="16"/>
                <w:szCs w:val="16"/>
                <w:lang w:val="es-ES"/>
              </w:rPr>
            </w:pPr>
            <w:r w:rsidRPr="006050E8">
              <w:rPr>
                <w:b/>
                <w:vanish/>
                <w:sz w:val="16"/>
                <w:lang w:val="es-ES" w:eastAsia="en-CA"/>
              </w:rPr>
              <w:t>4,015,626</w:t>
            </w:r>
          </w:p>
        </w:tc>
      </w:tr>
      <w:tr w:rsidR="00F970D2" w:rsidRPr="006050E8" w14:paraId="02997584" w14:textId="77777777" w:rsidTr="001224CB">
        <w:trPr>
          <w:trHeight w:val="106"/>
          <w:hidden/>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BE25AB9"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Net agency support costs plus core unit costs***</w:t>
            </w:r>
          </w:p>
        </w:tc>
        <w:tc>
          <w:tcPr>
            <w:tcW w:w="856" w:type="dxa"/>
            <w:tcBorders>
              <w:top w:val="nil"/>
              <w:left w:val="nil"/>
              <w:bottom w:val="single" w:sz="4" w:space="0" w:color="auto"/>
              <w:right w:val="single" w:sz="4" w:space="0" w:color="auto"/>
            </w:tcBorders>
            <w:shd w:val="clear" w:color="auto" w:fill="auto"/>
            <w:noWrap/>
            <w:vAlign w:val="center"/>
            <w:hideMark/>
          </w:tcPr>
          <w:p w14:paraId="65BF68B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4,499,632</w:t>
            </w:r>
          </w:p>
        </w:tc>
        <w:tc>
          <w:tcPr>
            <w:tcW w:w="856" w:type="dxa"/>
            <w:tcBorders>
              <w:top w:val="nil"/>
              <w:left w:val="nil"/>
              <w:bottom w:val="single" w:sz="4" w:space="0" w:color="auto"/>
              <w:right w:val="single" w:sz="4" w:space="0" w:color="auto"/>
            </w:tcBorders>
            <w:shd w:val="clear" w:color="auto" w:fill="auto"/>
            <w:vAlign w:val="center"/>
            <w:hideMark/>
          </w:tcPr>
          <w:p w14:paraId="7B20F18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4,501,941</w:t>
            </w:r>
          </w:p>
        </w:tc>
        <w:tc>
          <w:tcPr>
            <w:tcW w:w="856" w:type="dxa"/>
            <w:tcBorders>
              <w:top w:val="nil"/>
              <w:left w:val="nil"/>
              <w:bottom w:val="single" w:sz="4" w:space="0" w:color="auto"/>
              <w:right w:val="single" w:sz="4" w:space="0" w:color="auto"/>
            </w:tcBorders>
            <w:shd w:val="clear" w:color="auto" w:fill="auto"/>
            <w:vAlign w:val="center"/>
            <w:hideMark/>
          </w:tcPr>
          <w:p w14:paraId="39DF631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3,633,827</w:t>
            </w:r>
          </w:p>
        </w:tc>
        <w:tc>
          <w:tcPr>
            <w:tcW w:w="856" w:type="dxa"/>
            <w:tcBorders>
              <w:top w:val="nil"/>
              <w:left w:val="nil"/>
              <w:bottom w:val="single" w:sz="4" w:space="0" w:color="auto"/>
              <w:right w:val="single" w:sz="4" w:space="0" w:color="auto"/>
            </w:tcBorders>
            <w:shd w:val="clear" w:color="auto" w:fill="auto"/>
            <w:vAlign w:val="center"/>
            <w:hideMark/>
          </w:tcPr>
          <w:p w14:paraId="49EA7F6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4,456,969</w:t>
            </w:r>
          </w:p>
        </w:tc>
        <w:tc>
          <w:tcPr>
            <w:tcW w:w="856" w:type="dxa"/>
            <w:tcBorders>
              <w:top w:val="nil"/>
              <w:left w:val="nil"/>
              <w:bottom w:val="single" w:sz="4" w:space="0" w:color="auto"/>
              <w:right w:val="single" w:sz="4" w:space="0" w:color="auto"/>
            </w:tcBorders>
            <w:shd w:val="clear" w:color="auto" w:fill="auto"/>
            <w:vAlign w:val="center"/>
            <w:hideMark/>
          </w:tcPr>
          <w:p w14:paraId="4426051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5,029,025</w:t>
            </w:r>
          </w:p>
        </w:tc>
        <w:tc>
          <w:tcPr>
            <w:tcW w:w="856" w:type="dxa"/>
            <w:tcBorders>
              <w:top w:val="nil"/>
              <w:left w:val="nil"/>
              <w:bottom w:val="single" w:sz="4" w:space="0" w:color="auto"/>
              <w:right w:val="single" w:sz="4" w:space="0" w:color="auto"/>
            </w:tcBorders>
            <w:shd w:val="clear" w:color="auto" w:fill="auto"/>
            <w:vAlign w:val="center"/>
            <w:hideMark/>
          </w:tcPr>
          <w:p w14:paraId="019DC3B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4,550,866</w:t>
            </w:r>
          </w:p>
        </w:tc>
        <w:tc>
          <w:tcPr>
            <w:tcW w:w="933" w:type="dxa"/>
            <w:tcBorders>
              <w:top w:val="nil"/>
              <w:left w:val="nil"/>
              <w:bottom w:val="single" w:sz="4" w:space="0" w:color="auto"/>
              <w:right w:val="single" w:sz="4" w:space="0" w:color="auto"/>
            </w:tcBorders>
            <w:shd w:val="clear" w:color="auto" w:fill="auto"/>
            <w:vAlign w:val="center"/>
            <w:hideMark/>
          </w:tcPr>
          <w:p w14:paraId="1C6AB341" w14:textId="77777777" w:rsidR="00F970D2" w:rsidRPr="006050E8" w:rsidRDefault="00F970D2" w:rsidP="001224CB">
            <w:pPr>
              <w:jc w:val="right"/>
              <w:rPr>
                <w:vanish/>
                <w:sz w:val="16"/>
                <w:szCs w:val="16"/>
                <w:lang w:val="es-ES"/>
              </w:rPr>
            </w:pPr>
            <w:r w:rsidRPr="006050E8">
              <w:rPr>
                <w:vanish/>
                <w:sz w:val="16"/>
                <w:lang w:val="es-ES" w:eastAsia="en-CA"/>
              </w:rPr>
              <w:t>5,007,070</w:t>
            </w:r>
          </w:p>
        </w:tc>
        <w:tc>
          <w:tcPr>
            <w:tcW w:w="856" w:type="dxa"/>
            <w:tcBorders>
              <w:top w:val="nil"/>
              <w:left w:val="nil"/>
              <w:bottom w:val="single" w:sz="4" w:space="0" w:color="auto"/>
              <w:right w:val="single" w:sz="4" w:space="0" w:color="auto"/>
            </w:tcBorders>
            <w:shd w:val="clear" w:color="auto" w:fill="auto"/>
            <w:vAlign w:val="center"/>
            <w:hideMark/>
          </w:tcPr>
          <w:p w14:paraId="446B81AE" w14:textId="77777777" w:rsidR="00F970D2" w:rsidRPr="006050E8" w:rsidRDefault="00F970D2" w:rsidP="001224CB">
            <w:pPr>
              <w:jc w:val="right"/>
              <w:rPr>
                <w:vanish/>
                <w:sz w:val="16"/>
                <w:szCs w:val="16"/>
                <w:lang w:val="es-ES"/>
              </w:rPr>
            </w:pPr>
            <w:r w:rsidRPr="006050E8">
              <w:rPr>
                <w:vanish/>
                <w:sz w:val="16"/>
                <w:lang w:val="es-ES" w:eastAsia="en-CA"/>
              </w:rPr>
              <w:t>2,829,316</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B5AD6F9" w14:textId="77777777" w:rsidR="00F970D2" w:rsidRPr="006050E8" w:rsidRDefault="00F970D2" w:rsidP="001224CB">
            <w:pPr>
              <w:jc w:val="right"/>
              <w:rPr>
                <w:vanish/>
                <w:sz w:val="16"/>
                <w:szCs w:val="16"/>
                <w:lang w:val="es-ES"/>
              </w:rPr>
            </w:pPr>
            <w:r w:rsidRPr="006050E8">
              <w:rPr>
                <w:vanish/>
                <w:sz w:val="16"/>
                <w:lang w:val="es-ES" w:eastAsia="en-CA"/>
              </w:rPr>
              <w:t>4,236,224</w:t>
            </w:r>
          </w:p>
        </w:tc>
        <w:tc>
          <w:tcPr>
            <w:tcW w:w="919" w:type="dxa"/>
            <w:tcBorders>
              <w:top w:val="nil"/>
              <w:left w:val="nil"/>
              <w:bottom w:val="single" w:sz="4" w:space="0" w:color="auto"/>
              <w:right w:val="single" w:sz="4" w:space="0" w:color="auto"/>
            </w:tcBorders>
            <w:shd w:val="clear" w:color="auto" w:fill="auto"/>
            <w:vAlign w:val="center"/>
          </w:tcPr>
          <w:p w14:paraId="16F6000D"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766CB448" w14:textId="77777777" w:rsidR="00F970D2" w:rsidRPr="006050E8" w:rsidRDefault="00F970D2" w:rsidP="001224CB">
            <w:pPr>
              <w:jc w:val="right"/>
              <w:rPr>
                <w:vanish/>
                <w:color w:val="000000"/>
                <w:sz w:val="16"/>
                <w:szCs w:val="16"/>
                <w:lang w:val="es-ES"/>
              </w:rPr>
            </w:pPr>
            <w:r w:rsidRPr="006050E8">
              <w:rPr>
                <w:vanish/>
                <w:sz w:val="16"/>
                <w:lang w:val="es-ES" w:eastAsia="en-CA"/>
              </w:rPr>
              <w:t>4,203,082</w:t>
            </w:r>
          </w:p>
        </w:tc>
        <w:tc>
          <w:tcPr>
            <w:tcW w:w="856" w:type="dxa"/>
            <w:tcBorders>
              <w:top w:val="nil"/>
              <w:left w:val="nil"/>
              <w:bottom w:val="single" w:sz="4" w:space="0" w:color="auto"/>
              <w:right w:val="single" w:sz="4" w:space="0" w:color="auto"/>
            </w:tcBorders>
            <w:shd w:val="clear" w:color="auto" w:fill="auto"/>
            <w:noWrap/>
            <w:vAlign w:val="bottom"/>
            <w:hideMark/>
          </w:tcPr>
          <w:p w14:paraId="434D2BE3"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5FA4F7D2" w14:textId="77777777" w:rsidTr="001224CB">
        <w:trPr>
          <w:trHeight w:val="66"/>
          <w:hidden/>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43DF875"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Total administrative cost</w:t>
            </w:r>
          </w:p>
        </w:tc>
        <w:tc>
          <w:tcPr>
            <w:tcW w:w="856" w:type="dxa"/>
            <w:tcBorders>
              <w:top w:val="nil"/>
              <w:left w:val="nil"/>
              <w:bottom w:val="single" w:sz="4" w:space="0" w:color="auto"/>
              <w:right w:val="single" w:sz="4" w:space="0" w:color="auto"/>
            </w:tcBorders>
            <w:shd w:val="clear" w:color="auto" w:fill="auto"/>
            <w:noWrap/>
            <w:vAlign w:val="center"/>
            <w:hideMark/>
          </w:tcPr>
          <w:p w14:paraId="6871807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4,956,032</w:t>
            </w:r>
          </w:p>
        </w:tc>
        <w:tc>
          <w:tcPr>
            <w:tcW w:w="856" w:type="dxa"/>
            <w:tcBorders>
              <w:top w:val="nil"/>
              <w:left w:val="nil"/>
              <w:bottom w:val="single" w:sz="4" w:space="0" w:color="auto"/>
              <w:right w:val="single" w:sz="4" w:space="0" w:color="auto"/>
            </w:tcBorders>
            <w:shd w:val="clear" w:color="auto" w:fill="auto"/>
            <w:noWrap/>
            <w:vAlign w:val="center"/>
            <w:hideMark/>
          </w:tcPr>
          <w:p w14:paraId="655B200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5,723,531</w:t>
            </w:r>
          </w:p>
        </w:tc>
        <w:tc>
          <w:tcPr>
            <w:tcW w:w="856" w:type="dxa"/>
            <w:tcBorders>
              <w:top w:val="nil"/>
              <w:left w:val="nil"/>
              <w:bottom w:val="single" w:sz="4" w:space="0" w:color="auto"/>
              <w:right w:val="single" w:sz="4" w:space="0" w:color="auto"/>
            </w:tcBorders>
            <w:shd w:val="clear" w:color="auto" w:fill="auto"/>
            <w:noWrap/>
            <w:vAlign w:val="center"/>
            <w:hideMark/>
          </w:tcPr>
          <w:p w14:paraId="73E8F74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4,730,773</w:t>
            </w:r>
          </w:p>
        </w:tc>
        <w:tc>
          <w:tcPr>
            <w:tcW w:w="856" w:type="dxa"/>
            <w:tcBorders>
              <w:top w:val="nil"/>
              <w:left w:val="nil"/>
              <w:bottom w:val="single" w:sz="4" w:space="0" w:color="auto"/>
              <w:right w:val="single" w:sz="4" w:space="0" w:color="auto"/>
            </w:tcBorders>
            <w:shd w:val="clear" w:color="auto" w:fill="auto"/>
            <w:noWrap/>
            <w:vAlign w:val="center"/>
            <w:hideMark/>
          </w:tcPr>
          <w:p w14:paraId="4B640C6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4,772,532</w:t>
            </w:r>
          </w:p>
        </w:tc>
        <w:tc>
          <w:tcPr>
            <w:tcW w:w="856" w:type="dxa"/>
            <w:tcBorders>
              <w:top w:val="nil"/>
              <w:left w:val="nil"/>
              <w:bottom w:val="single" w:sz="4" w:space="0" w:color="auto"/>
              <w:right w:val="single" w:sz="4" w:space="0" w:color="auto"/>
            </w:tcBorders>
            <w:shd w:val="clear" w:color="auto" w:fill="auto"/>
            <w:noWrap/>
            <w:vAlign w:val="center"/>
            <w:hideMark/>
          </w:tcPr>
          <w:p w14:paraId="583BC31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4,350,371</w:t>
            </w:r>
          </w:p>
        </w:tc>
        <w:tc>
          <w:tcPr>
            <w:tcW w:w="856" w:type="dxa"/>
            <w:tcBorders>
              <w:top w:val="nil"/>
              <w:left w:val="nil"/>
              <w:bottom w:val="single" w:sz="4" w:space="0" w:color="auto"/>
              <w:right w:val="single" w:sz="4" w:space="0" w:color="auto"/>
            </w:tcBorders>
            <w:shd w:val="clear" w:color="auto" w:fill="auto"/>
            <w:vAlign w:val="center"/>
            <w:hideMark/>
          </w:tcPr>
          <w:p w14:paraId="07B96CF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5,042,289</w:t>
            </w:r>
          </w:p>
        </w:tc>
        <w:tc>
          <w:tcPr>
            <w:tcW w:w="933" w:type="dxa"/>
            <w:tcBorders>
              <w:top w:val="nil"/>
              <w:left w:val="nil"/>
              <w:bottom w:val="single" w:sz="4" w:space="0" w:color="auto"/>
              <w:right w:val="single" w:sz="4" w:space="0" w:color="auto"/>
            </w:tcBorders>
            <w:shd w:val="clear" w:color="auto" w:fill="auto"/>
            <w:vAlign w:val="center"/>
            <w:hideMark/>
          </w:tcPr>
          <w:p w14:paraId="6F95ADA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5,718,858</w:t>
            </w:r>
          </w:p>
        </w:tc>
        <w:tc>
          <w:tcPr>
            <w:tcW w:w="856" w:type="dxa"/>
            <w:tcBorders>
              <w:top w:val="nil"/>
              <w:left w:val="nil"/>
              <w:bottom w:val="single" w:sz="4" w:space="0" w:color="auto"/>
              <w:right w:val="single" w:sz="4" w:space="0" w:color="auto"/>
            </w:tcBorders>
            <w:shd w:val="clear" w:color="auto" w:fill="auto"/>
            <w:vAlign w:val="center"/>
            <w:hideMark/>
          </w:tcPr>
          <w:p w14:paraId="5C3481F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3,718,046</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569C819" w14:textId="77777777" w:rsidR="00F970D2" w:rsidRPr="006050E8" w:rsidRDefault="00F970D2" w:rsidP="001224CB">
            <w:pPr>
              <w:jc w:val="right"/>
              <w:rPr>
                <w:vanish/>
                <w:sz w:val="16"/>
                <w:szCs w:val="16"/>
                <w:lang w:val="es-ES"/>
              </w:rPr>
            </w:pPr>
            <w:r w:rsidRPr="006050E8">
              <w:rPr>
                <w:vanish/>
                <w:sz w:val="16"/>
                <w:lang w:val="es-ES" w:eastAsia="en-CA"/>
              </w:rPr>
              <w:t>4,028,243</w:t>
            </w:r>
          </w:p>
        </w:tc>
        <w:tc>
          <w:tcPr>
            <w:tcW w:w="919" w:type="dxa"/>
            <w:tcBorders>
              <w:top w:val="nil"/>
              <w:left w:val="nil"/>
              <w:bottom w:val="single" w:sz="4" w:space="0" w:color="auto"/>
              <w:right w:val="single" w:sz="4" w:space="0" w:color="auto"/>
            </w:tcBorders>
            <w:shd w:val="clear" w:color="auto" w:fill="auto"/>
            <w:noWrap/>
            <w:vAlign w:val="center"/>
          </w:tcPr>
          <w:p w14:paraId="262E6736"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5D3A4D52" w14:textId="77777777" w:rsidR="00F970D2" w:rsidRPr="006050E8" w:rsidRDefault="00F970D2" w:rsidP="001224CB">
            <w:pPr>
              <w:jc w:val="right"/>
              <w:rPr>
                <w:vanish/>
                <w:color w:val="000000"/>
                <w:sz w:val="16"/>
                <w:szCs w:val="16"/>
                <w:lang w:val="es-ES"/>
              </w:rPr>
            </w:pPr>
            <w:r w:rsidRPr="006050E8">
              <w:rPr>
                <w:vanish/>
                <w:sz w:val="16"/>
                <w:lang w:val="es-ES" w:eastAsia="en-CA"/>
              </w:rPr>
              <w:t>3,779,557</w:t>
            </w:r>
          </w:p>
        </w:tc>
        <w:tc>
          <w:tcPr>
            <w:tcW w:w="856" w:type="dxa"/>
            <w:tcBorders>
              <w:top w:val="nil"/>
              <w:left w:val="nil"/>
              <w:bottom w:val="single" w:sz="4" w:space="0" w:color="auto"/>
              <w:right w:val="single" w:sz="4" w:space="0" w:color="auto"/>
            </w:tcBorders>
            <w:shd w:val="clear" w:color="auto" w:fill="auto"/>
            <w:noWrap/>
            <w:vAlign w:val="bottom"/>
            <w:hideMark/>
          </w:tcPr>
          <w:p w14:paraId="20B5204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76C8CA7C"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6C428E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Balance per year</w:t>
            </w:r>
          </w:p>
        </w:tc>
        <w:tc>
          <w:tcPr>
            <w:tcW w:w="856" w:type="dxa"/>
            <w:tcBorders>
              <w:top w:val="nil"/>
              <w:left w:val="nil"/>
              <w:bottom w:val="single" w:sz="4" w:space="0" w:color="auto"/>
              <w:right w:val="single" w:sz="4" w:space="0" w:color="auto"/>
            </w:tcBorders>
            <w:shd w:val="clear" w:color="auto" w:fill="auto"/>
            <w:noWrap/>
            <w:vAlign w:val="center"/>
            <w:hideMark/>
          </w:tcPr>
          <w:p w14:paraId="3E62ECA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-456,400</w:t>
            </w:r>
          </w:p>
        </w:tc>
        <w:tc>
          <w:tcPr>
            <w:tcW w:w="856" w:type="dxa"/>
            <w:tcBorders>
              <w:top w:val="nil"/>
              <w:left w:val="nil"/>
              <w:bottom w:val="single" w:sz="4" w:space="0" w:color="auto"/>
              <w:right w:val="single" w:sz="4" w:space="0" w:color="auto"/>
            </w:tcBorders>
            <w:shd w:val="clear" w:color="auto" w:fill="auto"/>
            <w:noWrap/>
            <w:vAlign w:val="center"/>
            <w:hideMark/>
          </w:tcPr>
          <w:p w14:paraId="741EAE38" w14:textId="77777777" w:rsidR="00F970D2" w:rsidRPr="006050E8" w:rsidRDefault="00F970D2" w:rsidP="001224CB">
            <w:pPr>
              <w:ind w:left="-118"/>
              <w:jc w:val="right"/>
              <w:rPr>
                <w:vanish/>
                <w:color w:val="000000"/>
                <w:sz w:val="16"/>
                <w:szCs w:val="16"/>
                <w:lang w:val="es-ES"/>
              </w:rPr>
            </w:pPr>
            <w:r w:rsidRPr="006050E8">
              <w:rPr>
                <w:vanish/>
                <w:color w:val="000000"/>
                <w:sz w:val="16"/>
                <w:lang w:val="es-ES" w:eastAsia="en-CA"/>
              </w:rPr>
              <w:t>-1,221,590</w:t>
            </w:r>
          </w:p>
        </w:tc>
        <w:tc>
          <w:tcPr>
            <w:tcW w:w="856" w:type="dxa"/>
            <w:tcBorders>
              <w:top w:val="nil"/>
              <w:left w:val="nil"/>
              <w:bottom w:val="single" w:sz="4" w:space="0" w:color="auto"/>
              <w:right w:val="single" w:sz="4" w:space="0" w:color="auto"/>
            </w:tcBorders>
            <w:shd w:val="clear" w:color="auto" w:fill="auto"/>
            <w:noWrap/>
            <w:vAlign w:val="center"/>
            <w:hideMark/>
          </w:tcPr>
          <w:p w14:paraId="580E8078" w14:textId="77777777" w:rsidR="00F970D2" w:rsidRPr="006050E8" w:rsidRDefault="00F970D2" w:rsidP="001224CB">
            <w:pPr>
              <w:ind w:left="-118"/>
              <w:jc w:val="right"/>
              <w:rPr>
                <w:vanish/>
                <w:color w:val="000000"/>
                <w:sz w:val="16"/>
                <w:szCs w:val="16"/>
                <w:lang w:val="es-ES"/>
              </w:rPr>
            </w:pPr>
            <w:r w:rsidRPr="006050E8">
              <w:rPr>
                <w:vanish/>
                <w:color w:val="000000"/>
                <w:sz w:val="16"/>
                <w:lang w:val="es-ES" w:eastAsia="en-CA"/>
              </w:rPr>
              <w:t>-1,096,946</w:t>
            </w:r>
          </w:p>
        </w:tc>
        <w:tc>
          <w:tcPr>
            <w:tcW w:w="856" w:type="dxa"/>
            <w:tcBorders>
              <w:top w:val="nil"/>
              <w:left w:val="nil"/>
              <w:bottom w:val="single" w:sz="4" w:space="0" w:color="auto"/>
              <w:right w:val="single" w:sz="4" w:space="0" w:color="auto"/>
            </w:tcBorders>
            <w:shd w:val="clear" w:color="auto" w:fill="auto"/>
            <w:noWrap/>
            <w:vAlign w:val="center"/>
            <w:hideMark/>
          </w:tcPr>
          <w:p w14:paraId="3F636B9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-315,563</w:t>
            </w:r>
          </w:p>
        </w:tc>
        <w:tc>
          <w:tcPr>
            <w:tcW w:w="856" w:type="dxa"/>
            <w:tcBorders>
              <w:top w:val="nil"/>
              <w:left w:val="nil"/>
              <w:bottom w:val="single" w:sz="4" w:space="0" w:color="auto"/>
              <w:right w:val="single" w:sz="4" w:space="0" w:color="auto"/>
            </w:tcBorders>
            <w:shd w:val="clear" w:color="auto" w:fill="auto"/>
            <w:noWrap/>
            <w:vAlign w:val="center"/>
            <w:hideMark/>
          </w:tcPr>
          <w:p w14:paraId="64242EB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678,654</w:t>
            </w:r>
          </w:p>
        </w:tc>
        <w:tc>
          <w:tcPr>
            <w:tcW w:w="856" w:type="dxa"/>
            <w:tcBorders>
              <w:top w:val="nil"/>
              <w:left w:val="nil"/>
              <w:bottom w:val="single" w:sz="4" w:space="0" w:color="auto"/>
              <w:right w:val="single" w:sz="4" w:space="0" w:color="auto"/>
            </w:tcBorders>
            <w:shd w:val="clear" w:color="auto" w:fill="auto"/>
            <w:noWrap/>
            <w:vAlign w:val="center"/>
            <w:hideMark/>
          </w:tcPr>
          <w:p w14:paraId="5B2103A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-491,423</w:t>
            </w:r>
          </w:p>
        </w:tc>
        <w:tc>
          <w:tcPr>
            <w:tcW w:w="933" w:type="dxa"/>
            <w:tcBorders>
              <w:top w:val="nil"/>
              <w:left w:val="nil"/>
              <w:bottom w:val="single" w:sz="4" w:space="0" w:color="auto"/>
              <w:right w:val="single" w:sz="4" w:space="0" w:color="auto"/>
            </w:tcBorders>
            <w:shd w:val="clear" w:color="auto" w:fill="auto"/>
            <w:noWrap/>
            <w:vAlign w:val="center"/>
            <w:hideMark/>
          </w:tcPr>
          <w:p w14:paraId="1C965AC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-711,788</w:t>
            </w:r>
          </w:p>
        </w:tc>
        <w:tc>
          <w:tcPr>
            <w:tcW w:w="856" w:type="dxa"/>
            <w:tcBorders>
              <w:top w:val="nil"/>
              <w:left w:val="nil"/>
              <w:bottom w:val="single" w:sz="4" w:space="0" w:color="auto"/>
              <w:right w:val="single" w:sz="4" w:space="0" w:color="auto"/>
            </w:tcBorders>
            <w:shd w:val="clear" w:color="auto" w:fill="auto"/>
            <w:noWrap/>
            <w:vAlign w:val="center"/>
            <w:hideMark/>
          </w:tcPr>
          <w:p w14:paraId="4F25BC8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-888,730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5BEED1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207,981</w:t>
            </w:r>
          </w:p>
        </w:tc>
        <w:tc>
          <w:tcPr>
            <w:tcW w:w="919" w:type="dxa"/>
            <w:tcBorders>
              <w:top w:val="nil"/>
              <w:left w:val="nil"/>
              <w:bottom w:val="single" w:sz="4" w:space="0" w:color="auto"/>
              <w:right w:val="single" w:sz="4" w:space="0" w:color="auto"/>
            </w:tcBorders>
            <w:shd w:val="clear" w:color="auto" w:fill="auto"/>
            <w:noWrap/>
            <w:vAlign w:val="center"/>
          </w:tcPr>
          <w:p w14:paraId="3899BDCE" w14:textId="77777777" w:rsidR="00F970D2" w:rsidRPr="006050E8" w:rsidRDefault="00F970D2" w:rsidP="001224CB">
            <w:pPr>
              <w:jc w:val="right"/>
              <w:rPr>
                <w:vanish/>
                <w:color w:val="000000"/>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7D1361D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423,525</w:t>
            </w:r>
          </w:p>
        </w:tc>
        <w:tc>
          <w:tcPr>
            <w:tcW w:w="856" w:type="dxa"/>
            <w:tcBorders>
              <w:top w:val="nil"/>
              <w:left w:val="nil"/>
              <w:bottom w:val="single" w:sz="4" w:space="0" w:color="auto"/>
              <w:right w:val="single" w:sz="4" w:space="0" w:color="auto"/>
            </w:tcBorders>
            <w:shd w:val="clear" w:color="auto" w:fill="auto"/>
            <w:noWrap/>
            <w:vAlign w:val="bottom"/>
            <w:hideMark/>
          </w:tcPr>
          <w:p w14:paraId="6B9CBB42"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42EF5EB2" w14:textId="77777777" w:rsidTr="001224CB">
        <w:trPr>
          <w:trHeight w:val="50"/>
          <w:hidden/>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00CEC76"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Running balance****</w:t>
            </w:r>
          </w:p>
        </w:tc>
        <w:tc>
          <w:tcPr>
            <w:tcW w:w="856" w:type="dxa"/>
            <w:tcBorders>
              <w:top w:val="nil"/>
              <w:left w:val="nil"/>
              <w:bottom w:val="single" w:sz="4" w:space="0" w:color="auto"/>
              <w:right w:val="single" w:sz="4" w:space="0" w:color="auto"/>
            </w:tcBorders>
            <w:shd w:val="clear" w:color="auto" w:fill="auto"/>
            <w:noWrap/>
            <w:vAlign w:val="center"/>
            <w:hideMark/>
          </w:tcPr>
          <w:p w14:paraId="5AD8369E" w14:textId="77777777" w:rsidR="00F970D2" w:rsidRPr="006050E8" w:rsidRDefault="00F970D2" w:rsidP="001224CB">
            <w:pPr>
              <w:jc w:val="right"/>
              <w:rPr>
                <w:vanish/>
                <w:sz w:val="16"/>
                <w:szCs w:val="16"/>
                <w:lang w:val="es-ES"/>
              </w:rPr>
            </w:pPr>
            <w:r w:rsidRPr="006050E8">
              <w:rPr>
                <w:vanish/>
                <w:sz w:val="16"/>
                <w:lang w:val="es-ES" w:eastAsia="en-CA"/>
              </w:rPr>
              <w:t>2,746,670</w:t>
            </w:r>
          </w:p>
        </w:tc>
        <w:tc>
          <w:tcPr>
            <w:tcW w:w="856" w:type="dxa"/>
            <w:tcBorders>
              <w:top w:val="nil"/>
              <w:left w:val="nil"/>
              <w:bottom w:val="single" w:sz="4" w:space="0" w:color="auto"/>
              <w:right w:val="single" w:sz="4" w:space="0" w:color="auto"/>
            </w:tcBorders>
            <w:shd w:val="clear" w:color="auto" w:fill="auto"/>
            <w:noWrap/>
            <w:vAlign w:val="center"/>
            <w:hideMark/>
          </w:tcPr>
          <w:p w14:paraId="33B43DBD" w14:textId="77777777" w:rsidR="00F970D2" w:rsidRPr="006050E8" w:rsidRDefault="00F970D2" w:rsidP="001224CB">
            <w:pPr>
              <w:jc w:val="right"/>
              <w:rPr>
                <w:vanish/>
                <w:sz w:val="16"/>
                <w:szCs w:val="16"/>
                <w:lang w:val="es-ES"/>
              </w:rPr>
            </w:pPr>
            <w:r w:rsidRPr="006050E8">
              <w:rPr>
                <w:vanish/>
                <w:sz w:val="16"/>
                <w:lang w:val="es-ES" w:eastAsia="en-CA"/>
              </w:rPr>
              <w:t>1,525,079</w:t>
            </w:r>
          </w:p>
        </w:tc>
        <w:tc>
          <w:tcPr>
            <w:tcW w:w="856" w:type="dxa"/>
            <w:tcBorders>
              <w:top w:val="nil"/>
              <w:left w:val="nil"/>
              <w:bottom w:val="single" w:sz="4" w:space="0" w:color="auto"/>
              <w:right w:val="single" w:sz="4" w:space="0" w:color="auto"/>
            </w:tcBorders>
            <w:shd w:val="clear" w:color="auto" w:fill="auto"/>
            <w:noWrap/>
            <w:vAlign w:val="center"/>
            <w:hideMark/>
          </w:tcPr>
          <w:p w14:paraId="24B15C8B" w14:textId="77777777" w:rsidR="00F970D2" w:rsidRPr="006050E8" w:rsidRDefault="00F970D2" w:rsidP="001224CB">
            <w:pPr>
              <w:jc w:val="right"/>
              <w:rPr>
                <w:vanish/>
                <w:sz w:val="16"/>
                <w:szCs w:val="16"/>
                <w:lang w:val="es-ES"/>
              </w:rPr>
            </w:pPr>
            <w:r w:rsidRPr="006050E8">
              <w:rPr>
                <w:vanish/>
                <w:sz w:val="16"/>
                <w:lang w:val="es-ES" w:eastAsia="en-CA"/>
              </w:rPr>
              <w:t>428,133</w:t>
            </w:r>
          </w:p>
        </w:tc>
        <w:tc>
          <w:tcPr>
            <w:tcW w:w="856" w:type="dxa"/>
            <w:tcBorders>
              <w:top w:val="nil"/>
              <w:left w:val="nil"/>
              <w:bottom w:val="single" w:sz="4" w:space="0" w:color="auto"/>
              <w:right w:val="single" w:sz="4" w:space="0" w:color="auto"/>
            </w:tcBorders>
            <w:shd w:val="clear" w:color="auto" w:fill="auto"/>
            <w:noWrap/>
            <w:vAlign w:val="center"/>
            <w:hideMark/>
          </w:tcPr>
          <w:p w14:paraId="43381504" w14:textId="77777777" w:rsidR="00F970D2" w:rsidRPr="006050E8" w:rsidRDefault="00F970D2" w:rsidP="001224CB">
            <w:pPr>
              <w:jc w:val="right"/>
              <w:rPr>
                <w:vanish/>
                <w:sz w:val="16"/>
                <w:szCs w:val="16"/>
                <w:lang w:val="es-ES"/>
              </w:rPr>
            </w:pPr>
            <w:r w:rsidRPr="006050E8">
              <w:rPr>
                <w:vanish/>
                <w:sz w:val="16"/>
                <w:lang w:val="es-ES" w:eastAsia="en-CA"/>
              </w:rPr>
              <w:t>112,570</w:t>
            </w:r>
          </w:p>
        </w:tc>
        <w:tc>
          <w:tcPr>
            <w:tcW w:w="856" w:type="dxa"/>
            <w:tcBorders>
              <w:top w:val="nil"/>
              <w:left w:val="nil"/>
              <w:bottom w:val="single" w:sz="4" w:space="0" w:color="auto"/>
              <w:right w:val="single" w:sz="4" w:space="0" w:color="auto"/>
            </w:tcBorders>
            <w:shd w:val="clear" w:color="auto" w:fill="auto"/>
            <w:noWrap/>
            <w:vAlign w:val="center"/>
            <w:hideMark/>
          </w:tcPr>
          <w:p w14:paraId="598B1018" w14:textId="77777777" w:rsidR="00F970D2" w:rsidRPr="006050E8" w:rsidRDefault="00F970D2" w:rsidP="001224CB">
            <w:pPr>
              <w:jc w:val="right"/>
              <w:rPr>
                <w:vanish/>
                <w:sz w:val="16"/>
                <w:szCs w:val="16"/>
                <w:lang w:val="es-ES"/>
              </w:rPr>
            </w:pPr>
            <w:r w:rsidRPr="006050E8">
              <w:rPr>
                <w:vanish/>
                <w:sz w:val="16"/>
                <w:lang w:val="es-ES" w:eastAsia="en-CA"/>
              </w:rPr>
              <w:t>791,223</w:t>
            </w:r>
          </w:p>
        </w:tc>
        <w:tc>
          <w:tcPr>
            <w:tcW w:w="856" w:type="dxa"/>
            <w:tcBorders>
              <w:top w:val="nil"/>
              <w:left w:val="nil"/>
              <w:bottom w:val="single" w:sz="4" w:space="0" w:color="auto"/>
              <w:right w:val="single" w:sz="4" w:space="0" w:color="auto"/>
            </w:tcBorders>
            <w:shd w:val="clear" w:color="auto" w:fill="auto"/>
            <w:noWrap/>
            <w:vAlign w:val="center"/>
            <w:hideMark/>
          </w:tcPr>
          <w:p w14:paraId="46F55A29" w14:textId="77777777" w:rsidR="00F970D2" w:rsidRPr="006050E8" w:rsidRDefault="00F970D2" w:rsidP="001224CB">
            <w:pPr>
              <w:jc w:val="right"/>
              <w:rPr>
                <w:vanish/>
                <w:sz w:val="16"/>
                <w:szCs w:val="16"/>
                <w:lang w:val="es-ES"/>
              </w:rPr>
            </w:pPr>
            <w:r w:rsidRPr="006050E8">
              <w:rPr>
                <w:vanish/>
                <w:sz w:val="16"/>
                <w:lang w:val="es-ES" w:eastAsia="en-CA"/>
              </w:rPr>
              <w:t>299,801</w:t>
            </w:r>
          </w:p>
        </w:tc>
        <w:tc>
          <w:tcPr>
            <w:tcW w:w="933" w:type="dxa"/>
            <w:tcBorders>
              <w:top w:val="nil"/>
              <w:left w:val="nil"/>
              <w:bottom w:val="single" w:sz="4" w:space="0" w:color="auto"/>
              <w:right w:val="single" w:sz="4" w:space="0" w:color="auto"/>
            </w:tcBorders>
            <w:shd w:val="clear" w:color="auto" w:fill="auto"/>
            <w:noWrap/>
            <w:vAlign w:val="center"/>
            <w:hideMark/>
          </w:tcPr>
          <w:p w14:paraId="4D90B0E2" w14:textId="77777777" w:rsidR="00F970D2" w:rsidRPr="006050E8" w:rsidRDefault="00F970D2" w:rsidP="001224CB">
            <w:pPr>
              <w:jc w:val="right"/>
              <w:rPr>
                <w:vanish/>
                <w:sz w:val="16"/>
                <w:szCs w:val="16"/>
                <w:lang w:val="es-ES"/>
              </w:rPr>
            </w:pPr>
            <w:r w:rsidRPr="006050E8">
              <w:rPr>
                <w:vanish/>
                <w:sz w:val="16"/>
                <w:lang w:val="es-ES" w:eastAsia="en-CA"/>
              </w:rPr>
              <w:t>-411,987</w:t>
            </w:r>
          </w:p>
        </w:tc>
        <w:tc>
          <w:tcPr>
            <w:tcW w:w="856" w:type="dxa"/>
            <w:tcBorders>
              <w:top w:val="nil"/>
              <w:left w:val="nil"/>
              <w:bottom w:val="single" w:sz="4" w:space="0" w:color="auto"/>
              <w:right w:val="single" w:sz="4" w:space="0" w:color="auto"/>
            </w:tcBorders>
            <w:shd w:val="clear" w:color="auto" w:fill="auto"/>
            <w:noWrap/>
            <w:vAlign w:val="center"/>
            <w:hideMark/>
          </w:tcPr>
          <w:p w14:paraId="42DEADB6" w14:textId="77777777" w:rsidR="00F970D2" w:rsidRPr="006050E8" w:rsidRDefault="00F970D2" w:rsidP="001224CB">
            <w:pPr>
              <w:ind w:left="-114"/>
              <w:jc w:val="right"/>
              <w:rPr>
                <w:vanish/>
                <w:sz w:val="16"/>
                <w:szCs w:val="16"/>
                <w:lang w:val="es-ES"/>
              </w:rPr>
            </w:pPr>
            <w:r w:rsidRPr="006050E8">
              <w:rPr>
                <w:vanish/>
                <w:sz w:val="16"/>
                <w:lang w:val="es-ES" w:eastAsia="en-CA"/>
              </w:rPr>
              <w:t>-1,300,717</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3BAF043" w14:textId="77777777" w:rsidR="00F970D2" w:rsidRPr="006050E8" w:rsidRDefault="00F970D2" w:rsidP="001224CB">
            <w:pPr>
              <w:ind w:left="-123"/>
              <w:jc w:val="right"/>
              <w:rPr>
                <w:vanish/>
                <w:sz w:val="16"/>
                <w:szCs w:val="16"/>
                <w:lang w:val="es-ES"/>
              </w:rPr>
            </w:pPr>
            <w:r w:rsidRPr="006050E8">
              <w:rPr>
                <w:vanish/>
                <w:sz w:val="16"/>
                <w:lang w:val="es-ES" w:eastAsia="en-CA"/>
              </w:rPr>
              <w:t>-1,092,736</w:t>
            </w:r>
          </w:p>
        </w:tc>
        <w:tc>
          <w:tcPr>
            <w:tcW w:w="919" w:type="dxa"/>
            <w:tcBorders>
              <w:top w:val="nil"/>
              <w:left w:val="nil"/>
              <w:bottom w:val="single" w:sz="4" w:space="0" w:color="auto"/>
              <w:right w:val="single" w:sz="4" w:space="0" w:color="auto"/>
            </w:tcBorders>
            <w:shd w:val="clear" w:color="auto" w:fill="auto"/>
            <w:noWrap/>
            <w:vAlign w:val="center"/>
          </w:tcPr>
          <w:p w14:paraId="65A02FAD"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4D51EB12" w14:textId="77777777" w:rsidR="00F970D2" w:rsidRPr="006050E8" w:rsidRDefault="00F970D2" w:rsidP="001224CB">
            <w:pPr>
              <w:jc w:val="right"/>
              <w:rPr>
                <w:vanish/>
                <w:color w:val="000000"/>
                <w:sz w:val="16"/>
                <w:szCs w:val="16"/>
                <w:lang w:val="es-ES"/>
              </w:rPr>
            </w:pPr>
            <w:r w:rsidRPr="006050E8">
              <w:rPr>
                <w:vanish/>
                <w:sz w:val="16"/>
                <w:lang w:val="es-ES" w:eastAsia="en-CA"/>
              </w:rPr>
              <w:t>-669,211</w:t>
            </w:r>
          </w:p>
        </w:tc>
        <w:tc>
          <w:tcPr>
            <w:tcW w:w="856" w:type="dxa"/>
            <w:tcBorders>
              <w:top w:val="nil"/>
              <w:left w:val="nil"/>
              <w:bottom w:val="single" w:sz="4" w:space="0" w:color="auto"/>
              <w:right w:val="single" w:sz="4" w:space="0" w:color="auto"/>
            </w:tcBorders>
            <w:shd w:val="clear" w:color="auto" w:fill="auto"/>
            <w:noWrap/>
            <w:vAlign w:val="bottom"/>
            <w:hideMark/>
          </w:tcPr>
          <w:p w14:paraId="5AB3E89B"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bl>
    <w:p w14:paraId="7410AB14" w14:textId="77777777" w:rsidR="00F970D2" w:rsidRPr="006050E8" w:rsidRDefault="00F970D2" w:rsidP="00F970D2">
      <w:pPr>
        <w:keepLines/>
        <w:ind w:right="-59"/>
        <w:rPr>
          <w:vanish/>
          <w:sz w:val="16"/>
          <w:szCs w:val="16"/>
          <w:lang w:val="es-ES"/>
        </w:rPr>
      </w:pPr>
      <w:r w:rsidRPr="006050E8">
        <w:rPr>
          <w:vanish/>
          <w:sz w:val="16"/>
          <w:vertAlign w:val="superscript"/>
          <w:lang w:val="es-ES"/>
        </w:rPr>
        <w:t xml:space="preserve">* </w:t>
      </w:r>
      <w:r w:rsidRPr="006050E8">
        <w:rPr>
          <w:vanish/>
          <w:sz w:val="16"/>
          <w:lang w:val="es-ES"/>
        </w:rPr>
        <w:t>The cost of the core unit is higher than the allowed subtotal of US $1,984,561 in 2012, US $1,998,453 in 2013, US $2,012,442 in 2014, US $2,026,529 in 2015, US $2,040,715 in 2016, US $2,055,000 in 2017, US $2,069,385 in 2018, US $2,083,871 in 2019, US $2,098,458 in 2020 and US $2,113,148 in 2021. An adjustment line and a negative adjustment were, therefore, introduced to arrive at the required ceiling. A corresponding positive adjustment is also provided under agency support costs/implementation to ensure that the total costs incurred for administrative costs also reflect the amount exceeded by the agency.</w:t>
      </w:r>
    </w:p>
    <w:p w14:paraId="3E8004FE" w14:textId="77777777" w:rsidR="00F970D2" w:rsidRPr="006050E8" w:rsidRDefault="00F970D2" w:rsidP="00F970D2">
      <w:pPr>
        <w:keepLines/>
        <w:ind w:right="224"/>
        <w:rPr>
          <w:caps/>
          <w:vanish/>
          <w:sz w:val="16"/>
          <w:szCs w:val="16"/>
          <w:lang w:val="es-ES"/>
        </w:rPr>
      </w:pPr>
      <w:r w:rsidRPr="006050E8">
        <w:rPr>
          <w:vanish/>
          <w:sz w:val="16"/>
          <w:vertAlign w:val="superscript"/>
          <w:lang w:val="es-ES"/>
        </w:rPr>
        <w:t xml:space="preserve">** </w:t>
      </w:r>
      <w:r w:rsidRPr="006050E8">
        <w:rPr>
          <w:vanish/>
          <w:sz w:val="16"/>
          <w:lang w:val="es-ES"/>
        </w:rPr>
        <w:t>Reflects total annual amount provided by the Multilateral Fund. In the transition to the revised reporting format, the budget lines “t</w:t>
      </w:r>
      <w:r w:rsidRPr="006050E8">
        <w:rPr>
          <w:vanish/>
          <w:sz w:val="16"/>
          <w:lang w:val="es-ES" w:eastAsia="en-CA"/>
        </w:rPr>
        <w:t>otal administrative support costs”, and “supervisory costs incurred by Montreal Protocol Unit” are reflected in order to show trends in the period between 2011 and 2015. These lines will be removed over time.</w:t>
      </w:r>
    </w:p>
    <w:p w14:paraId="504C5F50" w14:textId="77777777" w:rsidR="00F970D2" w:rsidRPr="006050E8" w:rsidRDefault="00F970D2" w:rsidP="00F970D2">
      <w:pPr>
        <w:keepNext/>
        <w:keepLines/>
        <w:rPr>
          <w:caps/>
          <w:vanish/>
          <w:sz w:val="16"/>
          <w:szCs w:val="16"/>
          <w:lang w:val="es-ES"/>
        </w:rPr>
      </w:pPr>
      <w:r w:rsidRPr="006050E8">
        <w:rPr>
          <w:vanish/>
          <w:sz w:val="16"/>
          <w:vertAlign w:val="superscript"/>
          <w:lang w:val="es-ES"/>
        </w:rPr>
        <w:t>***</w:t>
      </w:r>
      <w:r w:rsidRPr="006050E8">
        <w:rPr>
          <w:vanish/>
          <w:sz w:val="16"/>
          <w:lang w:val="es-ES"/>
        </w:rPr>
        <w:t xml:space="preserve"> For 2021, including agency support costs approved at the 87</w:t>
      </w:r>
      <w:r w:rsidRPr="006050E8">
        <w:rPr>
          <w:vanish/>
          <w:sz w:val="16"/>
          <w:vertAlign w:val="superscript"/>
          <w:lang w:val="es-ES"/>
        </w:rPr>
        <w:t>th</w:t>
      </w:r>
      <w:r w:rsidRPr="006050E8">
        <w:rPr>
          <w:vanish/>
          <w:sz w:val="16"/>
          <w:lang w:val="es-ES"/>
        </w:rPr>
        <w:t xml:space="preserve"> meeting, and the value of agency support costs and core unit costs from submissions to the 88</w:t>
      </w:r>
      <w:r w:rsidRPr="006050E8">
        <w:rPr>
          <w:vanish/>
          <w:sz w:val="16"/>
          <w:vertAlign w:val="superscript"/>
          <w:lang w:val="es-ES"/>
        </w:rPr>
        <w:t>th</w:t>
      </w:r>
      <w:r w:rsidRPr="006050E8">
        <w:rPr>
          <w:vanish/>
          <w:sz w:val="16"/>
          <w:lang w:val="es-ES"/>
        </w:rPr>
        <w:t> meeting.</w:t>
      </w:r>
    </w:p>
    <w:p w14:paraId="1CF14E24" w14:textId="77777777" w:rsidR="00F970D2" w:rsidRPr="006050E8" w:rsidRDefault="00F970D2" w:rsidP="00F970D2">
      <w:pPr>
        <w:rPr>
          <w:vanish/>
          <w:sz w:val="16"/>
          <w:szCs w:val="16"/>
          <w:lang w:val="es-ES"/>
        </w:rPr>
      </w:pPr>
      <w:r w:rsidRPr="006050E8">
        <w:rPr>
          <w:vanish/>
          <w:sz w:val="16"/>
          <w:vertAlign w:val="superscript"/>
          <w:lang w:val="es-ES"/>
        </w:rPr>
        <w:t>****</w:t>
      </w:r>
      <w:r w:rsidRPr="006050E8">
        <w:rPr>
          <w:vanish/>
          <w:sz w:val="16"/>
          <w:lang w:val="es-ES"/>
        </w:rPr>
        <w:t xml:space="preserve"> Excludes any balance from years prior to 2002.</w:t>
      </w:r>
    </w:p>
    <w:p w14:paraId="704F78E4" w14:textId="77777777" w:rsidR="00F970D2" w:rsidRPr="006050E8" w:rsidRDefault="00F970D2" w:rsidP="00F970D2">
      <w:pPr>
        <w:keepNext/>
        <w:keepLines/>
        <w:rPr>
          <w:b/>
          <w:caps/>
          <w:vanish/>
          <w:lang w:val="es-ES"/>
        </w:rPr>
      </w:pPr>
      <w:r w:rsidRPr="006050E8">
        <w:rPr>
          <w:b/>
          <w:caps/>
          <w:vanish/>
          <w:lang w:val="es-ES"/>
        </w:rPr>
        <w:t>UNIDO</w:t>
      </w:r>
    </w:p>
    <w:tbl>
      <w:tblPr>
        <w:tblW w:w="13842" w:type="dxa"/>
        <w:tblInd w:w="11" w:type="dxa"/>
        <w:tblLook w:val="04A0" w:firstRow="1" w:lastRow="0" w:firstColumn="1" w:lastColumn="0" w:noHBand="0" w:noVBand="1"/>
      </w:tblPr>
      <w:tblGrid>
        <w:gridCol w:w="3415"/>
        <w:gridCol w:w="856"/>
        <w:gridCol w:w="856"/>
        <w:gridCol w:w="856"/>
        <w:gridCol w:w="856"/>
        <w:gridCol w:w="856"/>
        <w:gridCol w:w="856"/>
        <w:gridCol w:w="856"/>
        <w:gridCol w:w="856"/>
        <w:gridCol w:w="856"/>
        <w:gridCol w:w="856"/>
        <w:gridCol w:w="931"/>
        <w:gridCol w:w="936"/>
      </w:tblGrid>
      <w:tr w:rsidR="00F970D2" w:rsidRPr="006050E8" w14:paraId="3AC4906C" w14:textId="77777777" w:rsidTr="001224CB">
        <w:trPr>
          <w:trHeight w:val="50"/>
          <w:hidden/>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33DDBD69"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14:paraId="5CB84547"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2012</w:t>
            </w:r>
          </w:p>
        </w:tc>
        <w:tc>
          <w:tcPr>
            <w:tcW w:w="856" w:type="dxa"/>
            <w:tcBorders>
              <w:top w:val="single" w:sz="4" w:space="0" w:color="auto"/>
              <w:left w:val="nil"/>
              <w:bottom w:val="single" w:sz="4" w:space="0" w:color="auto"/>
              <w:right w:val="single" w:sz="4" w:space="0" w:color="auto"/>
            </w:tcBorders>
            <w:shd w:val="clear" w:color="auto" w:fill="auto"/>
            <w:hideMark/>
          </w:tcPr>
          <w:p w14:paraId="2446905B"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2013</w:t>
            </w:r>
          </w:p>
        </w:tc>
        <w:tc>
          <w:tcPr>
            <w:tcW w:w="856" w:type="dxa"/>
            <w:tcBorders>
              <w:top w:val="single" w:sz="4" w:space="0" w:color="auto"/>
              <w:left w:val="nil"/>
              <w:bottom w:val="single" w:sz="4" w:space="0" w:color="auto"/>
              <w:right w:val="single" w:sz="4" w:space="0" w:color="auto"/>
            </w:tcBorders>
            <w:shd w:val="clear" w:color="auto" w:fill="auto"/>
            <w:hideMark/>
          </w:tcPr>
          <w:p w14:paraId="421CCB8D"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14:paraId="65B9A78D"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14:paraId="1E5DC96E"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2016</w:t>
            </w:r>
          </w:p>
        </w:tc>
        <w:tc>
          <w:tcPr>
            <w:tcW w:w="856" w:type="dxa"/>
            <w:tcBorders>
              <w:top w:val="single" w:sz="4" w:space="0" w:color="auto"/>
              <w:left w:val="nil"/>
              <w:bottom w:val="single" w:sz="4" w:space="0" w:color="auto"/>
              <w:right w:val="single" w:sz="4" w:space="0" w:color="auto"/>
            </w:tcBorders>
            <w:shd w:val="clear" w:color="auto" w:fill="auto"/>
            <w:hideMark/>
          </w:tcPr>
          <w:p w14:paraId="0F054872"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2017</w:t>
            </w:r>
          </w:p>
        </w:tc>
        <w:tc>
          <w:tcPr>
            <w:tcW w:w="856" w:type="dxa"/>
            <w:tcBorders>
              <w:top w:val="single" w:sz="4" w:space="0" w:color="auto"/>
              <w:left w:val="nil"/>
              <w:bottom w:val="single" w:sz="4" w:space="0" w:color="auto"/>
              <w:right w:val="single" w:sz="4" w:space="0" w:color="auto"/>
            </w:tcBorders>
            <w:shd w:val="clear" w:color="auto" w:fill="auto"/>
            <w:hideMark/>
          </w:tcPr>
          <w:p w14:paraId="58B8FBD4" w14:textId="77777777" w:rsidR="00F970D2" w:rsidRPr="006050E8" w:rsidRDefault="00F970D2" w:rsidP="001224CB">
            <w:pPr>
              <w:jc w:val="center"/>
              <w:rPr>
                <w:b/>
                <w:bCs/>
                <w:vanish/>
                <w:sz w:val="16"/>
                <w:szCs w:val="16"/>
                <w:lang w:val="es-ES"/>
              </w:rPr>
            </w:pPr>
            <w:r w:rsidRPr="006050E8">
              <w:rPr>
                <w:b/>
                <w:vanish/>
                <w:sz w:val="16"/>
                <w:lang w:val="es-ES" w:eastAsia="en-CA"/>
              </w:rPr>
              <w:t>2018</w:t>
            </w:r>
          </w:p>
        </w:tc>
        <w:tc>
          <w:tcPr>
            <w:tcW w:w="856" w:type="dxa"/>
            <w:tcBorders>
              <w:top w:val="single" w:sz="4" w:space="0" w:color="auto"/>
              <w:left w:val="nil"/>
              <w:bottom w:val="single" w:sz="4" w:space="0" w:color="auto"/>
              <w:right w:val="single" w:sz="4" w:space="0" w:color="auto"/>
            </w:tcBorders>
            <w:shd w:val="clear" w:color="auto" w:fill="auto"/>
            <w:hideMark/>
          </w:tcPr>
          <w:p w14:paraId="4BA1D99E" w14:textId="77777777" w:rsidR="00F970D2" w:rsidRPr="006050E8" w:rsidRDefault="00F970D2" w:rsidP="001224CB">
            <w:pPr>
              <w:jc w:val="center"/>
              <w:rPr>
                <w:b/>
                <w:bCs/>
                <w:vanish/>
                <w:sz w:val="16"/>
                <w:szCs w:val="16"/>
                <w:lang w:val="es-ES"/>
              </w:rPr>
            </w:pPr>
            <w:r w:rsidRPr="006050E8">
              <w:rPr>
                <w:b/>
                <w:vanish/>
                <w:sz w:val="16"/>
                <w:lang w:val="es-ES" w:eastAsia="en-CA"/>
              </w:rPr>
              <w:t>2019</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1B2667EE"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2020</w:t>
            </w:r>
          </w:p>
        </w:tc>
        <w:tc>
          <w:tcPr>
            <w:tcW w:w="1787" w:type="dxa"/>
            <w:gridSpan w:val="2"/>
            <w:tcBorders>
              <w:top w:val="single" w:sz="4" w:space="0" w:color="auto"/>
              <w:left w:val="nil"/>
              <w:bottom w:val="single" w:sz="4" w:space="0" w:color="auto"/>
              <w:right w:val="single" w:sz="4" w:space="0" w:color="auto"/>
            </w:tcBorders>
            <w:shd w:val="clear" w:color="auto" w:fill="auto"/>
            <w:hideMark/>
          </w:tcPr>
          <w:p w14:paraId="2B6DCDA9"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2021</w:t>
            </w:r>
          </w:p>
        </w:tc>
        <w:tc>
          <w:tcPr>
            <w:tcW w:w="936" w:type="dxa"/>
            <w:tcBorders>
              <w:top w:val="single" w:sz="4" w:space="0" w:color="auto"/>
              <w:left w:val="nil"/>
              <w:bottom w:val="single" w:sz="4" w:space="0" w:color="auto"/>
              <w:right w:val="single" w:sz="4" w:space="0" w:color="auto"/>
            </w:tcBorders>
            <w:shd w:val="clear" w:color="auto" w:fill="auto"/>
            <w:hideMark/>
          </w:tcPr>
          <w:p w14:paraId="2E7788B7"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2022</w:t>
            </w:r>
          </w:p>
        </w:tc>
      </w:tr>
      <w:tr w:rsidR="00F970D2" w:rsidRPr="006050E8" w14:paraId="5B9DF8D3" w14:textId="77777777" w:rsidTr="001224CB">
        <w:trPr>
          <w:trHeight w:val="82"/>
          <w:hidden/>
        </w:trPr>
        <w:tc>
          <w:tcPr>
            <w:tcW w:w="3415" w:type="dxa"/>
            <w:tcBorders>
              <w:top w:val="nil"/>
              <w:left w:val="single" w:sz="4" w:space="0" w:color="auto"/>
              <w:bottom w:val="single" w:sz="4" w:space="0" w:color="auto"/>
              <w:right w:val="single" w:sz="4" w:space="0" w:color="auto"/>
            </w:tcBorders>
            <w:shd w:val="clear" w:color="auto" w:fill="auto"/>
            <w:hideMark/>
          </w:tcPr>
          <w:p w14:paraId="21E56510"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7862EAE1"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05D9B24D"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0B99F17E"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2BD2271F"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38339A84"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2EBB9405"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6D2A4407"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0980B3F0" w14:textId="77777777" w:rsidR="00F970D2" w:rsidRPr="006050E8" w:rsidRDefault="00F970D2" w:rsidP="001224CB">
            <w:pPr>
              <w:jc w:val="center"/>
              <w:rPr>
                <w:b/>
                <w:bCs/>
                <w:vanish/>
                <w:sz w:val="16"/>
                <w:szCs w:val="16"/>
                <w:lang w:val="es-ES"/>
              </w:rPr>
            </w:pPr>
            <w:r w:rsidRPr="006050E8">
              <w:rPr>
                <w:b/>
                <w:vanish/>
                <w:sz w:val="16"/>
                <w:lang w:val="es-ES" w:eastAsia="en-CA"/>
              </w:rPr>
              <w:t>Actual</w:t>
            </w:r>
          </w:p>
        </w:tc>
        <w:tc>
          <w:tcPr>
            <w:tcW w:w="856" w:type="dxa"/>
            <w:tcBorders>
              <w:top w:val="nil"/>
              <w:left w:val="single" w:sz="4" w:space="0" w:color="auto"/>
              <w:bottom w:val="single" w:sz="4" w:space="0" w:color="auto"/>
              <w:right w:val="single" w:sz="4" w:space="0" w:color="auto"/>
            </w:tcBorders>
            <w:shd w:val="clear" w:color="auto" w:fill="auto"/>
            <w:hideMark/>
          </w:tcPr>
          <w:p w14:paraId="2983A72D"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3AB12A89"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Budget</w:t>
            </w:r>
          </w:p>
        </w:tc>
        <w:tc>
          <w:tcPr>
            <w:tcW w:w="931" w:type="dxa"/>
            <w:tcBorders>
              <w:top w:val="nil"/>
              <w:left w:val="nil"/>
              <w:bottom w:val="single" w:sz="4" w:space="0" w:color="auto"/>
              <w:right w:val="single" w:sz="4" w:space="0" w:color="auto"/>
            </w:tcBorders>
            <w:shd w:val="clear" w:color="auto" w:fill="auto"/>
            <w:hideMark/>
          </w:tcPr>
          <w:p w14:paraId="39B9A4A9"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Estimated</w:t>
            </w:r>
          </w:p>
        </w:tc>
        <w:tc>
          <w:tcPr>
            <w:tcW w:w="936" w:type="dxa"/>
            <w:tcBorders>
              <w:top w:val="nil"/>
              <w:left w:val="nil"/>
              <w:bottom w:val="single" w:sz="4" w:space="0" w:color="auto"/>
              <w:right w:val="single" w:sz="4" w:space="0" w:color="auto"/>
            </w:tcBorders>
            <w:shd w:val="clear" w:color="auto" w:fill="auto"/>
            <w:hideMark/>
          </w:tcPr>
          <w:p w14:paraId="21EEA789" w14:textId="77777777" w:rsidR="00F970D2" w:rsidRPr="006050E8" w:rsidRDefault="00F970D2" w:rsidP="001224CB">
            <w:pPr>
              <w:jc w:val="center"/>
              <w:rPr>
                <w:b/>
                <w:bCs/>
                <w:vanish/>
                <w:sz w:val="16"/>
                <w:szCs w:val="16"/>
                <w:lang w:val="es-ES"/>
              </w:rPr>
            </w:pPr>
            <w:r w:rsidRPr="006050E8">
              <w:rPr>
                <w:b/>
                <w:vanish/>
                <w:sz w:val="16"/>
                <w:lang w:val="es-ES" w:eastAsia="en-CA"/>
              </w:rPr>
              <w:t>Proposed</w:t>
            </w:r>
          </w:p>
        </w:tc>
      </w:tr>
      <w:tr w:rsidR="00F970D2" w:rsidRPr="006050E8" w14:paraId="3DF4672F"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565FB07C"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A. Core unit</w:t>
            </w:r>
          </w:p>
        </w:tc>
        <w:tc>
          <w:tcPr>
            <w:tcW w:w="856" w:type="dxa"/>
            <w:tcBorders>
              <w:top w:val="nil"/>
              <w:left w:val="nil"/>
              <w:bottom w:val="single" w:sz="4" w:space="0" w:color="auto"/>
              <w:right w:val="single" w:sz="4" w:space="0" w:color="auto"/>
            </w:tcBorders>
            <w:shd w:val="clear" w:color="auto" w:fill="auto"/>
            <w:noWrap/>
            <w:hideMark/>
          </w:tcPr>
          <w:p w14:paraId="30026C39"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7FEA51D"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F1144A5"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4833220"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826DAB3"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5A10682"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D8357E9" w14:textId="77777777" w:rsidR="00F970D2" w:rsidRPr="006050E8" w:rsidRDefault="00F970D2" w:rsidP="001224CB">
            <w:pPr>
              <w:jc w:val="left"/>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2D03F58"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0A1AC134"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F729E24"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31" w:type="dxa"/>
            <w:tcBorders>
              <w:top w:val="nil"/>
              <w:left w:val="nil"/>
              <w:bottom w:val="single" w:sz="4" w:space="0" w:color="auto"/>
              <w:right w:val="single" w:sz="4" w:space="0" w:color="auto"/>
            </w:tcBorders>
            <w:shd w:val="clear" w:color="auto" w:fill="auto"/>
            <w:noWrap/>
            <w:hideMark/>
          </w:tcPr>
          <w:p w14:paraId="2B29A908"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6" w:type="dxa"/>
            <w:tcBorders>
              <w:top w:val="nil"/>
              <w:left w:val="nil"/>
              <w:bottom w:val="single" w:sz="4" w:space="0" w:color="auto"/>
              <w:right w:val="single" w:sz="4" w:space="0" w:color="auto"/>
            </w:tcBorders>
            <w:shd w:val="clear" w:color="auto" w:fill="auto"/>
            <w:noWrap/>
            <w:hideMark/>
          </w:tcPr>
          <w:p w14:paraId="784659EA"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1ADA8D81"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427559B" w14:textId="77777777" w:rsidR="00F970D2" w:rsidRPr="006050E8" w:rsidRDefault="00F970D2" w:rsidP="001224CB">
            <w:pPr>
              <w:rPr>
                <w:vanish/>
                <w:color w:val="000000"/>
                <w:sz w:val="16"/>
                <w:szCs w:val="16"/>
                <w:lang w:val="es-ES"/>
              </w:rPr>
            </w:pPr>
            <w:r w:rsidRPr="006050E8">
              <w:rPr>
                <w:vanish/>
                <w:color w:val="000000"/>
                <w:sz w:val="16"/>
                <w:lang w:val="es-ES" w:eastAsia="en-CA"/>
              </w:rPr>
              <w:t>Core unit personnel and contractual staff</w:t>
            </w:r>
          </w:p>
        </w:tc>
        <w:tc>
          <w:tcPr>
            <w:tcW w:w="856" w:type="dxa"/>
            <w:tcBorders>
              <w:top w:val="nil"/>
              <w:left w:val="nil"/>
              <w:bottom w:val="single" w:sz="4" w:space="0" w:color="auto"/>
              <w:right w:val="single" w:sz="4" w:space="0" w:color="auto"/>
            </w:tcBorders>
            <w:shd w:val="clear" w:color="auto" w:fill="auto"/>
            <w:noWrap/>
            <w:hideMark/>
          </w:tcPr>
          <w:p w14:paraId="540C0BD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1,550,900</w:t>
            </w:r>
          </w:p>
        </w:tc>
        <w:tc>
          <w:tcPr>
            <w:tcW w:w="856" w:type="dxa"/>
            <w:tcBorders>
              <w:top w:val="nil"/>
              <w:left w:val="nil"/>
              <w:bottom w:val="single" w:sz="4" w:space="0" w:color="auto"/>
              <w:right w:val="single" w:sz="4" w:space="0" w:color="auto"/>
            </w:tcBorders>
            <w:shd w:val="clear" w:color="auto" w:fill="auto"/>
            <w:noWrap/>
            <w:hideMark/>
          </w:tcPr>
          <w:p w14:paraId="6D2F7D4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1,445,700</w:t>
            </w:r>
          </w:p>
        </w:tc>
        <w:tc>
          <w:tcPr>
            <w:tcW w:w="856" w:type="dxa"/>
            <w:tcBorders>
              <w:top w:val="nil"/>
              <w:left w:val="nil"/>
              <w:bottom w:val="single" w:sz="4" w:space="0" w:color="auto"/>
              <w:right w:val="single" w:sz="4" w:space="0" w:color="auto"/>
            </w:tcBorders>
            <w:shd w:val="clear" w:color="auto" w:fill="auto"/>
            <w:noWrap/>
            <w:hideMark/>
          </w:tcPr>
          <w:p w14:paraId="51E66A9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1,380,600</w:t>
            </w:r>
          </w:p>
        </w:tc>
        <w:tc>
          <w:tcPr>
            <w:tcW w:w="856" w:type="dxa"/>
            <w:tcBorders>
              <w:top w:val="nil"/>
              <w:left w:val="nil"/>
              <w:bottom w:val="single" w:sz="4" w:space="0" w:color="auto"/>
              <w:right w:val="single" w:sz="4" w:space="0" w:color="auto"/>
            </w:tcBorders>
            <w:shd w:val="clear" w:color="auto" w:fill="auto"/>
            <w:noWrap/>
            <w:hideMark/>
          </w:tcPr>
          <w:p w14:paraId="0F93A2C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1,293,800</w:t>
            </w:r>
          </w:p>
        </w:tc>
        <w:tc>
          <w:tcPr>
            <w:tcW w:w="856" w:type="dxa"/>
            <w:tcBorders>
              <w:top w:val="nil"/>
              <w:left w:val="nil"/>
              <w:bottom w:val="single" w:sz="4" w:space="0" w:color="auto"/>
              <w:right w:val="single" w:sz="4" w:space="0" w:color="auto"/>
            </w:tcBorders>
            <w:shd w:val="clear" w:color="auto" w:fill="auto"/>
            <w:noWrap/>
            <w:hideMark/>
          </w:tcPr>
          <w:p w14:paraId="2DD8A58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1,383,600</w:t>
            </w:r>
          </w:p>
        </w:tc>
        <w:tc>
          <w:tcPr>
            <w:tcW w:w="856" w:type="dxa"/>
            <w:tcBorders>
              <w:top w:val="nil"/>
              <w:left w:val="nil"/>
              <w:bottom w:val="single" w:sz="4" w:space="0" w:color="auto"/>
              <w:right w:val="single" w:sz="4" w:space="0" w:color="auto"/>
            </w:tcBorders>
            <w:shd w:val="clear" w:color="auto" w:fill="auto"/>
            <w:noWrap/>
            <w:hideMark/>
          </w:tcPr>
          <w:p w14:paraId="6B5301D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1,501,300</w:t>
            </w:r>
          </w:p>
        </w:tc>
        <w:tc>
          <w:tcPr>
            <w:tcW w:w="856" w:type="dxa"/>
            <w:tcBorders>
              <w:top w:val="nil"/>
              <w:left w:val="nil"/>
              <w:bottom w:val="single" w:sz="4" w:space="0" w:color="auto"/>
              <w:right w:val="single" w:sz="4" w:space="0" w:color="auto"/>
            </w:tcBorders>
            <w:shd w:val="clear" w:color="auto" w:fill="auto"/>
            <w:noWrap/>
            <w:hideMark/>
          </w:tcPr>
          <w:p w14:paraId="6A7A47C1" w14:textId="77777777" w:rsidR="00F970D2" w:rsidRPr="006050E8" w:rsidRDefault="00F970D2" w:rsidP="001224CB">
            <w:pPr>
              <w:jc w:val="right"/>
              <w:rPr>
                <w:vanish/>
                <w:sz w:val="16"/>
                <w:szCs w:val="16"/>
                <w:lang w:val="es-ES"/>
              </w:rPr>
            </w:pPr>
            <w:r w:rsidRPr="006050E8">
              <w:rPr>
                <w:vanish/>
                <w:sz w:val="16"/>
                <w:lang w:val="es-ES" w:eastAsia="en-CA"/>
              </w:rPr>
              <w:t>1,307,624</w:t>
            </w:r>
          </w:p>
        </w:tc>
        <w:tc>
          <w:tcPr>
            <w:tcW w:w="856" w:type="dxa"/>
            <w:tcBorders>
              <w:top w:val="nil"/>
              <w:left w:val="nil"/>
              <w:bottom w:val="single" w:sz="4" w:space="0" w:color="auto"/>
              <w:right w:val="single" w:sz="4" w:space="0" w:color="auto"/>
            </w:tcBorders>
            <w:shd w:val="clear" w:color="auto" w:fill="auto"/>
            <w:noWrap/>
            <w:hideMark/>
          </w:tcPr>
          <w:p w14:paraId="701FAF39" w14:textId="77777777" w:rsidR="00F970D2" w:rsidRPr="006050E8" w:rsidRDefault="00F970D2" w:rsidP="001224CB">
            <w:pPr>
              <w:jc w:val="right"/>
              <w:rPr>
                <w:vanish/>
                <w:sz w:val="16"/>
                <w:szCs w:val="16"/>
                <w:lang w:val="es-ES"/>
              </w:rPr>
            </w:pPr>
            <w:r w:rsidRPr="006050E8">
              <w:rPr>
                <w:vanish/>
                <w:sz w:val="16"/>
                <w:lang w:val="es-ES" w:eastAsia="en-CA"/>
              </w:rPr>
              <w:t>1,351,602</w:t>
            </w:r>
          </w:p>
        </w:tc>
        <w:tc>
          <w:tcPr>
            <w:tcW w:w="856" w:type="dxa"/>
            <w:tcBorders>
              <w:top w:val="nil"/>
              <w:left w:val="single" w:sz="4" w:space="0" w:color="auto"/>
              <w:bottom w:val="single" w:sz="4" w:space="0" w:color="auto"/>
              <w:right w:val="single" w:sz="4" w:space="0" w:color="auto"/>
            </w:tcBorders>
            <w:shd w:val="clear" w:color="auto" w:fill="auto"/>
            <w:noWrap/>
            <w:hideMark/>
          </w:tcPr>
          <w:p w14:paraId="0A91FE12" w14:textId="77777777" w:rsidR="00F970D2" w:rsidRPr="006050E8" w:rsidRDefault="00F970D2" w:rsidP="001224CB">
            <w:pPr>
              <w:jc w:val="right"/>
              <w:rPr>
                <w:vanish/>
                <w:sz w:val="16"/>
                <w:szCs w:val="16"/>
                <w:lang w:val="es-ES"/>
              </w:rPr>
            </w:pPr>
            <w:r w:rsidRPr="006050E8">
              <w:rPr>
                <w:vanish/>
                <w:sz w:val="16"/>
                <w:lang w:val="es-ES" w:eastAsia="en-CA"/>
              </w:rPr>
              <w:t>1,416,184</w:t>
            </w:r>
          </w:p>
        </w:tc>
        <w:tc>
          <w:tcPr>
            <w:tcW w:w="856" w:type="dxa"/>
            <w:tcBorders>
              <w:top w:val="nil"/>
              <w:left w:val="nil"/>
              <w:bottom w:val="single" w:sz="4" w:space="0" w:color="auto"/>
              <w:right w:val="single" w:sz="4" w:space="0" w:color="auto"/>
            </w:tcBorders>
            <w:shd w:val="clear" w:color="auto" w:fill="auto"/>
            <w:noWrap/>
            <w:hideMark/>
          </w:tcPr>
          <w:p w14:paraId="1DCC9C6F" w14:textId="77777777" w:rsidR="00F970D2" w:rsidRPr="006050E8" w:rsidRDefault="00F970D2" w:rsidP="001224CB">
            <w:pPr>
              <w:jc w:val="right"/>
              <w:rPr>
                <w:vanish/>
                <w:sz w:val="16"/>
                <w:szCs w:val="16"/>
                <w:lang w:val="es-ES"/>
              </w:rPr>
            </w:pPr>
            <w:r w:rsidRPr="006050E8">
              <w:rPr>
                <w:vanish/>
                <w:sz w:val="16"/>
                <w:lang w:val="es-ES" w:eastAsia="en-CA"/>
              </w:rPr>
              <w:t>1,294,600</w:t>
            </w:r>
          </w:p>
        </w:tc>
        <w:tc>
          <w:tcPr>
            <w:tcW w:w="931" w:type="dxa"/>
            <w:tcBorders>
              <w:top w:val="nil"/>
              <w:left w:val="nil"/>
              <w:bottom w:val="single" w:sz="4" w:space="0" w:color="auto"/>
              <w:right w:val="single" w:sz="4" w:space="0" w:color="auto"/>
            </w:tcBorders>
            <w:shd w:val="clear" w:color="auto" w:fill="auto"/>
            <w:noWrap/>
            <w:hideMark/>
          </w:tcPr>
          <w:p w14:paraId="4D9A020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1,289,700</w:t>
            </w:r>
          </w:p>
        </w:tc>
        <w:tc>
          <w:tcPr>
            <w:tcW w:w="936" w:type="dxa"/>
            <w:tcBorders>
              <w:top w:val="nil"/>
              <w:left w:val="nil"/>
              <w:bottom w:val="single" w:sz="4" w:space="0" w:color="auto"/>
              <w:right w:val="single" w:sz="4" w:space="0" w:color="auto"/>
            </w:tcBorders>
            <w:shd w:val="clear" w:color="auto" w:fill="auto"/>
            <w:noWrap/>
            <w:hideMark/>
          </w:tcPr>
          <w:p w14:paraId="284C86C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1,395,100</w:t>
            </w:r>
          </w:p>
        </w:tc>
      </w:tr>
      <w:tr w:rsidR="00F970D2" w:rsidRPr="006050E8" w14:paraId="22399DEA"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4D735D36" w14:textId="77777777" w:rsidR="00F970D2" w:rsidRPr="006050E8" w:rsidRDefault="00F970D2" w:rsidP="001224CB">
            <w:pPr>
              <w:rPr>
                <w:vanish/>
                <w:color w:val="000000"/>
                <w:sz w:val="16"/>
                <w:szCs w:val="16"/>
                <w:lang w:val="es-ES"/>
              </w:rPr>
            </w:pPr>
            <w:r w:rsidRPr="006050E8">
              <w:rPr>
                <w:vanish/>
                <w:color w:val="000000"/>
                <w:sz w:val="16"/>
                <w:lang w:val="es-ES" w:eastAsia="en-CA"/>
              </w:rPr>
              <w:t>Travel (staff and consultant)</w:t>
            </w:r>
          </w:p>
        </w:tc>
        <w:tc>
          <w:tcPr>
            <w:tcW w:w="856" w:type="dxa"/>
            <w:tcBorders>
              <w:top w:val="nil"/>
              <w:left w:val="nil"/>
              <w:bottom w:val="single" w:sz="4" w:space="0" w:color="auto"/>
              <w:right w:val="single" w:sz="4" w:space="0" w:color="auto"/>
            </w:tcBorders>
            <w:shd w:val="clear" w:color="auto" w:fill="auto"/>
            <w:noWrap/>
            <w:hideMark/>
          </w:tcPr>
          <w:p w14:paraId="5DCBC82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175,100</w:t>
            </w:r>
          </w:p>
        </w:tc>
        <w:tc>
          <w:tcPr>
            <w:tcW w:w="856" w:type="dxa"/>
            <w:tcBorders>
              <w:top w:val="nil"/>
              <w:left w:val="nil"/>
              <w:bottom w:val="single" w:sz="4" w:space="0" w:color="auto"/>
              <w:right w:val="single" w:sz="4" w:space="0" w:color="auto"/>
            </w:tcBorders>
            <w:shd w:val="clear" w:color="auto" w:fill="auto"/>
            <w:noWrap/>
            <w:hideMark/>
          </w:tcPr>
          <w:p w14:paraId="6DCAF48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284,000</w:t>
            </w:r>
          </w:p>
        </w:tc>
        <w:tc>
          <w:tcPr>
            <w:tcW w:w="856" w:type="dxa"/>
            <w:tcBorders>
              <w:top w:val="nil"/>
              <w:left w:val="nil"/>
              <w:bottom w:val="single" w:sz="4" w:space="0" w:color="auto"/>
              <w:right w:val="single" w:sz="4" w:space="0" w:color="auto"/>
            </w:tcBorders>
            <w:shd w:val="clear" w:color="auto" w:fill="auto"/>
            <w:noWrap/>
            <w:hideMark/>
          </w:tcPr>
          <w:p w14:paraId="1E1305B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161,800</w:t>
            </w:r>
          </w:p>
        </w:tc>
        <w:tc>
          <w:tcPr>
            <w:tcW w:w="856" w:type="dxa"/>
            <w:tcBorders>
              <w:top w:val="nil"/>
              <w:left w:val="nil"/>
              <w:bottom w:val="single" w:sz="4" w:space="0" w:color="auto"/>
              <w:right w:val="single" w:sz="4" w:space="0" w:color="auto"/>
            </w:tcBorders>
            <w:shd w:val="clear" w:color="auto" w:fill="auto"/>
            <w:noWrap/>
            <w:hideMark/>
          </w:tcPr>
          <w:p w14:paraId="5ACF9CF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147,700</w:t>
            </w:r>
          </w:p>
        </w:tc>
        <w:tc>
          <w:tcPr>
            <w:tcW w:w="856" w:type="dxa"/>
            <w:tcBorders>
              <w:top w:val="nil"/>
              <w:left w:val="nil"/>
              <w:bottom w:val="single" w:sz="4" w:space="0" w:color="auto"/>
              <w:right w:val="single" w:sz="4" w:space="0" w:color="auto"/>
            </w:tcBorders>
            <w:shd w:val="clear" w:color="auto" w:fill="auto"/>
            <w:noWrap/>
            <w:hideMark/>
          </w:tcPr>
          <w:p w14:paraId="69C68FB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161,100</w:t>
            </w:r>
          </w:p>
        </w:tc>
        <w:tc>
          <w:tcPr>
            <w:tcW w:w="856" w:type="dxa"/>
            <w:tcBorders>
              <w:top w:val="nil"/>
              <w:left w:val="nil"/>
              <w:bottom w:val="single" w:sz="4" w:space="0" w:color="auto"/>
              <w:right w:val="single" w:sz="4" w:space="0" w:color="auto"/>
            </w:tcBorders>
            <w:shd w:val="clear" w:color="auto" w:fill="auto"/>
            <w:noWrap/>
            <w:hideMark/>
          </w:tcPr>
          <w:p w14:paraId="0185533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157,800</w:t>
            </w:r>
          </w:p>
        </w:tc>
        <w:tc>
          <w:tcPr>
            <w:tcW w:w="856" w:type="dxa"/>
            <w:tcBorders>
              <w:top w:val="nil"/>
              <w:left w:val="nil"/>
              <w:bottom w:val="single" w:sz="4" w:space="0" w:color="auto"/>
              <w:right w:val="single" w:sz="4" w:space="0" w:color="auto"/>
            </w:tcBorders>
            <w:shd w:val="clear" w:color="auto" w:fill="auto"/>
            <w:noWrap/>
            <w:hideMark/>
          </w:tcPr>
          <w:p w14:paraId="72D5A9EF" w14:textId="77777777" w:rsidR="00F970D2" w:rsidRPr="006050E8" w:rsidRDefault="00F970D2" w:rsidP="001224CB">
            <w:pPr>
              <w:jc w:val="right"/>
              <w:rPr>
                <w:vanish/>
                <w:sz w:val="16"/>
                <w:szCs w:val="16"/>
                <w:lang w:val="es-ES"/>
              </w:rPr>
            </w:pPr>
            <w:r w:rsidRPr="006050E8">
              <w:rPr>
                <w:vanish/>
                <w:sz w:val="16"/>
                <w:lang w:val="es-ES" w:eastAsia="en-CA"/>
              </w:rPr>
              <w:t>196,736</w:t>
            </w:r>
          </w:p>
        </w:tc>
        <w:tc>
          <w:tcPr>
            <w:tcW w:w="856" w:type="dxa"/>
            <w:tcBorders>
              <w:top w:val="nil"/>
              <w:left w:val="nil"/>
              <w:bottom w:val="single" w:sz="4" w:space="0" w:color="auto"/>
              <w:right w:val="single" w:sz="4" w:space="0" w:color="auto"/>
            </w:tcBorders>
            <w:shd w:val="clear" w:color="auto" w:fill="auto"/>
            <w:noWrap/>
            <w:hideMark/>
          </w:tcPr>
          <w:p w14:paraId="09E530F0" w14:textId="77777777" w:rsidR="00F970D2" w:rsidRPr="006050E8" w:rsidRDefault="00F970D2" w:rsidP="001224CB">
            <w:pPr>
              <w:jc w:val="right"/>
              <w:rPr>
                <w:vanish/>
                <w:sz w:val="16"/>
                <w:szCs w:val="16"/>
                <w:lang w:val="es-ES"/>
              </w:rPr>
            </w:pPr>
            <w:r w:rsidRPr="006050E8">
              <w:rPr>
                <w:vanish/>
                <w:sz w:val="16"/>
                <w:lang w:val="es-ES" w:eastAsia="en-CA"/>
              </w:rPr>
              <w:t>137,864</w:t>
            </w:r>
          </w:p>
        </w:tc>
        <w:tc>
          <w:tcPr>
            <w:tcW w:w="856" w:type="dxa"/>
            <w:tcBorders>
              <w:top w:val="nil"/>
              <w:left w:val="single" w:sz="4" w:space="0" w:color="auto"/>
              <w:bottom w:val="single" w:sz="4" w:space="0" w:color="auto"/>
              <w:right w:val="single" w:sz="4" w:space="0" w:color="auto"/>
            </w:tcBorders>
            <w:shd w:val="clear" w:color="auto" w:fill="auto"/>
            <w:noWrap/>
            <w:hideMark/>
          </w:tcPr>
          <w:p w14:paraId="389310A0" w14:textId="77777777" w:rsidR="00F970D2" w:rsidRPr="006050E8" w:rsidRDefault="00F970D2" w:rsidP="001224CB">
            <w:pPr>
              <w:jc w:val="right"/>
              <w:rPr>
                <w:vanish/>
                <w:sz w:val="16"/>
                <w:szCs w:val="16"/>
                <w:lang w:val="es-ES"/>
              </w:rPr>
            </w:pPr>
            <w:r w:rsidRPr="006050E8">
              <w:rPr>
                <w:vanish/>
                <w:sz w:val="16"/>
                <w:lang w:val="es-ES" w:eastAsia="en-CA"/>
              </w:rPr>
              <w:t>16,004</w:t>
            </w:r>
          </w:p>
        </w:tc>
        <w:tc>
          <w:tcPr>
            <w:tcW w:w="856" w:type="dxa"/>
            <w:tcBorders>
              <w:top w:val="nil"/>
              <w:left w:val="nil"/>
              <w:bottom w:val="single" w:sz="4" w:space="0" w:color="auto"/>
              <w:right w:val="single" w:sz="4" w:space="0" w:color="auto"/>
            </w:tcBorders>
            <w:shd w:val="clear" w:color="auto" w:fill="auto"/>
            <w:noWrap/>
            <w:hideMark/>
          </w:tcPr>
          <w:p w14:paraId="7CF18EC2" w14:textId="77777777" w:rsidR="00F970D2" w:rsidRPr="006050E8" w:rsidRDefault="00F970D2" w:rsidP="001224CB">
            <w:pPr>
              <w:jc w:val="right"/>
              <w:rPr>
                <w:vanish/>
                <w:sz w:val="16"/>
                <w:szCs w:val="16"/>
                <w:lang w:val="es-ES"/>
              </w:rPr>
            </w:pPr>
            <w:r w:rsidRPr="006050E8">
              <w:rPr>
                <w:vanish/>
                <w:sz w:val="16"/>
                <w:lang w:val="es-ES" w:eastAsia="en-CA"/>
              </w:rPr>
              <w:t>121,700</w:t>
            </w:r>
          </w:p>
        </w:tc>
        <w:tc>
          <w:tcPr>
            <w:tcW w:w="931" w:type="dxa"/>
            <w:tcBorders>
              <w:top w:val="nil"/>
              <w:left w:val="nil"/>
              <w:bottom w:val="single" w:sz="4" w:space="0" w:color="auto"/>
              <w:right w:val="single" w:sz="4" w:space="0" w:color="auto"/>
            </w:tcBorders>
            <w:shd w:val="clear" w:color="auto" w:fill="auto"/>
            <w:noWrap/>
            <w:hideMark/>
          </w:tcPr>
          <w:p w14:paraId="59FE910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160D95D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200,000</w:t>
            </w:r>
          </w:p>
        </w:tc>
      </w:tr>
      <w:tr w:rsidR="00F970D2" w:rsidRPr="006050E8" w14:paraId="6C8FC64F"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176BE0D1" w14:textId="77777777" w:rsidR="00F970D2" w:rsidRPr="006050E8" w:rsidRDefault="00F970D2" w:rsidP="001224CB">
            <w:pPr>
              <w:rPr>
                <w:vanish/>
                <w:color w:val="000000"/>
                <w:sz w:val="16"/>
                <w:szCs w:val="16"/>
                <w:lang w:val="es-ES"/>
              </w:rPr>
            </w:pPr>
            <w:r w:rsidRPr="006050E8">
              <w:rPr>
                <w:vanish/>
                <w:color w:val="000000"/>
                <w:sz w:val="16"/>
                <w:lang w:val="es-ES" w:eastAsia="en-CA"/>
              </w:rPr>
              <w:t>Space (rent and common costs)</w:t>
            </w:r>
          </w:p>
        </w:tc>
        <w:tc>
          <w:tcPr>
            <w:tcW w:w="856" w:type="dxa"/>
            <w:tcBorders>
              <w:top w:val="nil"/>
              <w:left w:val="nil"/>
              <w:bottom w:val="single" w:sz="4" w:space="0" w:color="auto"/>
              <w:right w:val="single" w:sz="4" w:space="0" w:color="auto"/>
            </w:tcBorders>
            <w:shd w:val="clear" w:color="auto" w:fill="auto"/>
            <w:noWrap/>
            <w:hideMark/>
          </w:tcPr>
          <w:p w14:paraId="209C7E5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89,300</w:t>
            </w:r>
          </w:p>
        </w:tc>
        <w:tc>
          <w:tcPr>
            <w:tcW w:w="856" w:type="dxa"/>
            <w:tcBorders>
              <w:top w:val="nil"/>
              <w:left w:val="nil"/>
              <w:bottom w:val="single" w:sz="4" w:space="0" w:color="auto"/>
              <w:right w:val="single" w:sz="4" w:space="0" w:color="auto"/>
            </w:tcBorders>
            <w:shd w:val="clear" w:color="auto" w:fill="auto"/>
            <w:noWrap/>
            <w:hideMark/>
          </w:tcPr>
          <w:p w14:paraId="2EA8270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99,400</w:t>
            </w:r>
          </w:p>
        </w:tc>
        <w:tc>
          <w:tcPr>
            <w:tcW w:w="856" w:type="dxa"/>
            <w:tcBorders>
              <w:top w:val="nil"/>
              <w:left w:val="nil"/>
              <w:bottom w:val="single" w:sz="4" w:space="0" w:color="auto"/>
              <w:right w:val="single" w:sz="4" w:space="0" w:color="auto"/>
            </w:tcBorders>
            <w:shd w:val="clear" w:color="auto" w:fill="auto"/>
            <w:noWrap/>
            <w:hideMark/>
          </w:tcPr>
          <w:p w14:paraId="03EDF35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71,800</w:t>
            </w:r>
          </w:p>
        </w:tc>
        <w:tc>
          <w:tcPr>
            <w:tcW w:w="856" w:type="dxa"/>
            <w:tcBorders>
              <w:top w:val="nil"/>
              <w:left w:val="nil"/>
              <w:bottom w:val="single" w:sz="4" w:space="0" w:color="auto"/>
              <w:right w:val="single" w:sz="4" w:space="0" w:color="auto"/>
            </w:tcBorders>
            <w:shd w:val="clear" w:color="auto" w:fill="auto"/>
            <w:noWrap/>
            <w:hideMark/>
          </w:tcPr>
          <w:p w14:paraId="5A9D022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75,400</w:t>
            </w:r>
          </w:p>
        </w:tc>
        <w:tc>
          <w:tcPr>
            <w:tcW w:w="856" w:type="dxa"/>
            <w:tcBorders>
              <w:top w:val="nil"/>
              <w:left w:val="nil"/>
              <w:bottom w:val="single" w:sz="4" w:space="0" w:color="auto"/>
              <w:right w:val="single" w:sz="4" w:space="0" w:color="auto"/>
            </w:tcBorders>
            <w:shd w:val="clear" w:color="auto" w:fill="auto"/>
            <w:noWrap/>
            <w:hideMark/>
          </w:tcPr>
          <w:p w14:paraId="5467AEA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76,200</w:t>
            </w:r>
          </w:p>
        </w:tc>
        <w:tc>
          <w:tcPr>
            <w:tcW w:w="856" w:type="dxa"/>
            <w:tcBorders>
              <w:top w:val="nil"/>
              <w:left w:val="nil"/>
              <w:bottom w:val="single" w:sz="4" w:space="0" w:color="auto"/>
              <w:right w:val="single" w:sz="4" w:space="0" w:color="auto"/>
            </w:tcBorders>
            <w:shd w:val="clear" w:color="auto" w:fill="auto"/>
            <w:noWrap/>
            <w:hideMark/>
          </w:tcPr>
          <w:p w14:paraId="28A4813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76,600</w:t>
            </w:r>
          </w:p>
        </w:tc>
        <w:tc>
          <w:tcPr>
            <w:tcW w:w="856" w:type="dxa"/>
            <w:tcBorders>
              <w:top w:val="nil"/>
              <w:left w:val="nil"/>
              <w:bottom w:val="single" w:sz="4" w:space="0" w:color="auto"/>
              <w:right w:val="single" w:sz="4" w:space="0" w:color="auto"/>
            </w:tcBorders>
            <w:shd w:val="clear" w:color="auto" w:fill="auto"/>
            <w:noWrap/>
            <w:hideMark/>
          </w:tcPr>
          <w:p w14:paraId="49FD92BD" w14:textId="77777777" w:rsidR="00F970D2" w:rsidRPr="006050E8" w:rsidRDefault="00F970D2" w:rsidP="001224CB">
            <w:pPr>
              <w:jc w:val="right"/>
              <w:rPr>
                <w:vanish/>
                <w:sz w:val="16"/>
                <w:szCs w:val="16"/>
                <w:lang w:val="es-ES"/>
              </w:rPr>
            </w:pPr>
            <w:r w:rsidRPr="006050E8">
              <w:rPr>
                <w:vanish/>
                <w:sz w:val="16"/>
                <w:lang w:val="es-ES" w:eastAsia="en-CA"/>
              </w:rPr>
              <w:t>80,548</w:t>
            </w:r>
          </w:p>
        </w:tc>
        <w:tc>
          <w:tcPr>
            <w:tcW w:w="856" w:type="dxa"/>
            <w:tcBorders>
              <w:top w:val="nil"/>
              <w:left w:val="nil"/>
              <w:bottom w:val="single" w:sz="4" w:space="0" w:color="auto"/>
              <w:right w:val="single" w:sz="4" w:space="0" w:color="auto"/>
            </w:tcBorders>
            <w:shd w:val="clear" w:color="auto" w:fill="auto"/>
            <w:noWrap/>
            <w:hideMark/>
          </w:tcPr>
          <w:p w14:paraId="1FF33740" w14:textId="77777777" w:rsidR="00F970D2" w:rsidRPr="006050E8" w:rsidRDefault="00F970D2" w:rsidP="001224CB">
            <w:pPr>
              <w:jc w:val="right"/>
              <w:rPr>
                <w:vanish/>
                <w:sz w:val="16"/>
                <w:szCs w:val="16"/>
                <w:lang w:val="es-ES"/>
              </w:rPr>
            </w:pPr>
            <w:r w:rsidRPr="006050E8">
              <w:rPr>
                <w:vanish/>
                <w:sz w:val="16"/>
                <w:lang w:val="es-ES" w:eastAsia="en-CA"/>
              </w:rPr>
              <w:t>84,323</w:t>
            </w:r>
          </w:p>
        </w:tc>
        <w:tc>
          <w:tcPr>
            <w:tcW w:w="856" w:type="dxa"/>
            <w:tcBorders>
              <w:top w:val="nil"/>
              <w:left w:val="single" w:sz="4" w:space="0" w:color="auto"/>
              <w:bottom w:val="single" w:sz="4" w:space="0" w:color="auto"/>
              <w:right w:val="single" w:sz="4" w:space="0" w:color="auto"/>
            </w:tcBorders>
            <w:shd w:val="clear" w:color="auto" w:fill="auto"/>
            <w:noWrap/>
            <w:hideMark/>
          </w:tcPr>
          <w:p w14:paraId="509B5CE1" w14:textId="77777777" w:rsidR="00F970D2" w:rsidRPr="006050E8" w:rsidRDefault="00F970D2" w:rsidP="001224CB">
            <w:pPr>
              <w:jc w:val="right"/>
              <w:rPr>
                <w:vanish/>
                <w:sz w:val="16"/>
                <w:szCs w:val="16"/>
                <w:lang w:val="es-ES"/>
              </w:rPr>
            </w:pPr>
            <w:r w:rsidRPr="006050E8">
              <w:rPr>
                <w:vanish/>
                <w:sz w:val="16"/>
                <w:lang w:val="es-ES" w:eastAsia="en-CA"/>
              </w:rPr>
              <w:t>84,131</w:t>
            </w:r>
          </w:p>
        </w:tc>
        <w:tc>
          <w:tcPr>
            <w:tcW w:w="856" w:type="dxa"/>
            <w:tcBorders>
              <w:top w:val="nil"/>
              <w:left w:val="nil"/>
              <w:bottom w:val="single" w:sz="4" w:space="0" w:color="auto"/>
              <w:right w:val="single" w:sz="4" w:space="0" w:color="auto"/>
            </w:tcBorders>
            <w:shd w:val="clear" w:color="auto" w:fill="auto"/>
            <w:noWrap/>
            <w:hideMark/>
          </w:tcPr>
          <w:p w14:paraId="7346FA47" w14:textId="77777777" w:rsidR="00F970D2" w:rsidRPr="006050E8" w:rsidRDefault="00F970D2" w:rsidP="001224CB">
            <w:pPr>
              <w:jc w:val="right"/>
              <w:rPr>
                <w:vanish/>
                <w:sz w:val="16"/>
                <w:szCs w:val="16"/>
                <w:lang w:val="es-ES"/>
              </w:rPr>
            </w:pPr>
            <w:r w:rsidRPr="006050E8">
              <w:rPr>
                <w:vanish/>
                <w:sz w:val="16"/>
                <w:lang w:val="es-ES" w:eastAsia="en-CA"/>
              </w:rPr>
              <w:t>73,900</w:t>
            </w:r>
          </w:p>
        </w:tc>
        <w:tc>
          <w:tcPr>
            <w:tcW w:w="931" w:type="dxa"/>
            <w:tcBorders>
              <w:top w:val="nil"/>
              <w:left w:val="nil"/>
              <w:bottom w:val="single" w:sz="4" w:space="0" w:color="auto"/>
              <w:right w:val="single" w:sz="4" w:space="0" w:color="auto"/>
            </w:tcBorders>
            <w:shd w:val="clear" w:color="auto" w:fill="auto"/>
            <w:noWrap/>
            <w:hideMark/>
          </w:tcPr>
          <w:p w14:paraId="04FC6E2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73,300</w:t>
            </w:r>
          </w:p>
        </w:tc>
        <w:tc>
          <w:tcPr>
            <w:tcW w:w="936" w:type="dxa"/>
            <w:tcBorders>
              <w:top w:val="nil"/>
              <w:left w:val="nil"/>
              <w:bottom w:val="single" w:sz="4" w:space="0" w:color="auto"/>
              <w:right w:val="single" w:sz="4" w:space="0" w:color="auto"/>
            </w:tcBorders>
            <w:shd w:val="clear" w:color="auto" w:fill="auto"/>
            <w:noWrap/>
            <w:hideMark/>
          </w:tcPr>
          <w:p w14:paraId="6319B70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71,800</w:t>
            </w:r>
          </w:p>
        </w:tc>
      </w:tr>
      <w:tr w:rsidR="00F970D2" w:rsidRPr="006050E8" w14:paraId="246C5390" w14:textId="77777777" w:rsidTr="001224CB">
        <w:trPr>
          <w:trHeight w:val="96"/>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2B7B012" w14:textId="77777777" w:rsidR="00F970D2" w:rsidRPr="006050E8" w:rsidRDefault="00F970D2" w:rsidP="001224CB">
            <w:pPr>
              <w:rPr>
                <w:vanish/>
                <w:color w:val="000000"/>
                <w:sz w:val="16"/>
                <w:szCs w:val="16"/>
                <w:lang w:val="es-ES"/>
              </w:rPr>
            </w:pPr>
            <w:r w:rsidRPr="006050E8">
              <w:rPr>
                <w:vanish/>
                <w:color w:val="000000"/>
                <w:sz w:val="16"/>
                <w:lang w:val="es-ES"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noWrap/>
            <w:hideMark/>
          </w:tcPr>
          <w:p w14:paraId="3BEA879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30,900</w:t>
            </w:r>
          </w:p>
        </w:tc>
        <w:tc>
          <w:tcPr>
            <w:tcW w:w="856" w:type="dxa"/>
            <w:tcBorders>
              <w:top w:val="nil"/>
              <w:left w:val="nil"/>
              <w:bottom w:val="single" w:sz="4" w:space="0" w:color="auto"/>
              <w:right w:val="single" w:sz="4" w:space="0" w:color="auto"/>
            </w:tcBorders>
            <w:shd w:val="clear" w:color="auto" w:fill="auto"/>
            <w:noWrap/>
            <w:hideMark/>
          </w:tcPr>
          <w:p w14:paraId="2F61938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51,800</w:t>
            </w:r>
          </w:p>
        </w:tc>
        <w:tc>
          <w:tcPr>
            <w:tcW w:w="856" w:type="dxa"/>
            <w:tcBorders>
              <w:top w:val="nil"/>
              <w:left w:val="nil"/>
              <w:bottom w:val="single" w:sz="4" w:space="0" w:color="auto"/>
              <w:right w:val="single" w:sz="4" w:space="0" w:color="auto"/>
            </w:tcBorders>
            <w:shd w:val="clear" w:color="auto" w:fill="auto"/>
            <w:noWrap/>
            <w:hideMark/>
          </w:tcPr>
          <w:p w14:paraId="4D64DDA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41,100</w:t>
            </w:r>
          </w:p>
        </w:tc>
        <w:tc>
          <w:tcPr>
            <w:tcW w:w="856" w:type="dxa"/>
            <w:tcBorders>
              <w:top w:val="nil"/>
              <w:left w:val="nil"/>
              <w:bottom w:val="single" w:sz="4" w:space="0" w:color="auto"/>
              <w:right w:val="single" w:sz="4" w:space="0" w:color="auto"/>
            </w:tcBorders>
            <w:shd w:val="clear" w:color="auto" w:fill="auto"/>
            <w:noWrap/>
            <w:hideMark/>
          </w:tcPr>
          <w:p w14:paraId="31976FE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52,600</w:t>
            </w:r>
          </w:p>
        </w:tc>
        <w:tc>
          <w:tcPr>
            <w:tcW w:w="856" w:type="dxa"/>
            <w:tcBorders>
              <w:top w:val="nil"/>
              <w:left w:val="nil"/>
              <w:bottom w:val="single" w:sz="4" w:space="0" w:color="auto"/>
              <w:right w:val="single" w:sz="4" w:space="0" w:color="auto"/>
            </w:tcBorders>
            <w:shd w:val="clear" w:color="auto" w:fill="auto"/>
            <w:noWrap/>
            <w:hideMark/>
          </w:tcPr>
          <w:p w14:paraId="19AD123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30,900</w:t>
            </w:r>
          </w:p>
        </w:tc>
        <w:tc>
          <w:tcPr>
            <w:tcW w:w="856" w:type="dxa"/>
            <w:tcBorders>
              <w:top w:val="nil"/>
              <w:left w:val="nil"/>
              <w:bottom w:val="single" w:sz="4" w:space="0" w:color="auto"/>
              <w:right w:val="single" w:sz="4" w:space="0" w:color="auto"/>
            </w:tcBorders>
            <w:shd w:val="clear" w:color="auto" w:fill="auto"/>
            <w:noWrap/>
            <w:hideMark/>
          </w:tcPr>
          <w:p w14:paraId="1FA18AC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48,000</w:t>
            </w:r>
          </w:p>
        </w:tc>
        <w:tc>
          <w:tcPr>
            <w:tcW w:w="856" w:type="dxa"/>
            <w:tcBorders>
              <w:top w:val="nil"/>
              <w:left w:val="nil"/>
              <w:bottom w:val="single" w:sz="4" w:space="0" w:color="auto"/>
              <w:right w:val="single" w:sz="4" w:space="0" w:color="auto"/>
            </w:tcBorders>
            <w:shd w:val="clear" w:color="auto" w:fill="auto"/>
            <w:noWrap/>
            <w:hideMark/>
          </w:tcPr>
          <w:p w14:paraId="135594E4" w14:textId="77777777" w:rsidR="00F970D2" w:rsidRPr="006050E8" w:rsidRDefault="00F970D2" w:rsidP="001224CB">
            <w:pPr>
              <w:jc w:val="right"/>
              <w:rPr>
                <w:vanish/>
                <w:sz w:val="16"/>
                <w:szCs w:val="16"/>
                <w:lang w:val="es-ES"/>
              </w:rPr>
            </w:pPr>
            <w:r w:rsidRPr="006050E8">
              <w:rPr>
                <w:vanish/>
                <w:sz w:val="16"/>
                <w:lang w:val="es-ES" w:eastAsia="en-CA"/>
              </w:rPr>
              <w:t>33,842</w:t>
            </w:r>
          </w:p>
        </w:tc>
        <w:tc>
          <w:tcPr>
            <w:tcW w:w="856" w:type="dxa"/>
            <w:tcBorders>
              <w:top w:val="nil"/>
              <w:left w:val="nil"/>
              <w:bottom w:val="single" w:sz="4" w:space="0" w:color="auto"/>
              <w:right w:val="single" w:sz="4" w:space="0" w:color="auto"/>
            </w:tcBorders>
            <w:shd w:val="clear" w:color="auto" w:fill="auto"/>
            <w:noWrap/>
            <w:hideMark/>
          </w:tcPr>
          <w:p w14:paraId="553DA2D4" w14:textId="77777777" w:rsidR="00F970D2" w:rsidRPr="006050E8" w:rsidRDefault="00F970D2" w:rsidP="001224CB">
            <w:pPr>
              <w:jc w:val="right"/>
              <w:rPr>
                <w:vanish/>
                <w:sz w:val="16"/>
                <w:szCs w:val="16"/>
                <w:lang w:val="es-ES"/>
              </w:rPr>
            </w:pPr>
            <w:r w:rsidRPr="006050E8">
              <w:rPr>
                <w:vanish/>
                <w:sz w:val="16"/>
                <w:lang w:val="es-ES" w:eastAsia="en-CA"/>
              </w:rPr>
              <w:t>63,164</w:t>
            </w:r>
          </w:p>
        </w:tc>
        <w:tc>
          <w:tcPr>
            <w:tcW w:w="856" w:type="dxa"/>
            <w:tcBorders>
              <w:top w:val="nil"/>
              <w:left w:val="single" w:sz="4" w:space="0" w:color="auto"/>
              <w:bottom w:val="single" w:sz="4" w:space="0" w:color="auto"/>
              <w:right w:val="single" w:sz="4" w:space="0" w:color="auto"/>
            </w:tcBorders>
            <w:shd w:val="clear" w:color="auto" w:fill="auto"/>
            <w:noWrap/>
            <w:hideMark/>
          </w:tcPr>
          <w:p w14:paraId="389C7B1A" w14:textId="77777777" w:rsidR="00F970D2" w:rsidRPr="006050E8" w:rsidRDefault="00F970D2" w:rsidP="001224CB">
            <w:pPr>
              <w:jc w:val="right"/>
              <w:rPr>
                <w:vanish/>
                <w:sz w:val="16"/>
                <w:szCs w:val="16"/>
                <w:lang w:val="es-ES"/>
              </w:rPr>
            </w:pPr>
            <w:r w:rsidRPr="006050E8">
              <w:rPr>
                <w:vanish/>
                <w:sz w:val="16"/>
                <w:lang w:val="es-ES" w:eastAsia="en-CA"/>
              </w:rPr>
              <w:t>33,721</w:t>
            </w:r>
          </w:p>
        </w:tc>
        <w:tc>
          <w:tcPr>
            <w:tcW w:w="856" w:type="dxa"/>
            <w:tcBorders>
              <w:top w:val="nil"/>
              <w:left w:val="nil"/>
              <w:bottom w:val="single" w:sz="4" w:space="0" w:color="auto"/>
              <w:right w:val="single" w:sz="4" w:space="0" w:color="auto"/>
            </w:tcBorders>
            <w:shd w:val="clear" w:color="auto" w:fill="auto"/>
            <w:noWrap/>
            <w:hideMark/>
          </w:tcPr>
          <w:p w14:paraId="662B7759" w14:textId="77777777" w:rsidR="00F970D2" w:rsidRPr="006050E8" w:rsidRDefault="00F970D2" w:rsidP="001224CB">
            <w:pPr>
              <w:jc w:val="right"/>
              <w:rPr>
                <w:vanish/>
                <w:sz w:val="16"/>
                <w:szCs w:val="16"/>
                <w:lang w:val="es-ES"/>
              </w:rPr>
            </w:pPr>
            <w:r w:rsidRPr="006050E8">
              <w:rPr>
                <w:vanish/>
                <w:sz w:val="16"/>
                <w:lang w:val="es-ES" w:eastAsia="en-CA"/>
              </w:rPr>
              <w:t>48,000</w:t>
            </w:r>
          </w:p>
        </w:tc>
        <w:tc>
          <w:tcPr>
            <w:tcW w:w="931" w:type="dxa"/>
            <w:tcBorders>
              <w:top w:val="nil"/>
              <w:left w:val="nil"/>
              <w:bottom w:val="single" w:sz="4" w:space="0" w:color="auto"/>
              <w:right w:val="single" w:sz="4" w:space="0" w:color="auto"/>
            </w:tcBorders>
            <w:shd w:val="clear" w:color="auto" w:fill="auto"/>
            <w:noWrap/>
            <w:hideMark/>
          </w:tcPr>
          <w:p w14:paraId="2C8E888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34,800</w:t>
            </w:r>
          </w:p>
        </w:tc>
        <w:tc>
          <w:tcPr>
            <w:tcW w:w="936" w:type="dxa"/>
            <w:tcBorders>
              <w:top w:val="nil"/>
              <w:left w:val="nil"/>
              <w:bottom w:val="single" w:sz="4" w:space="0" w:color="auto"/>
              <w:right w:val="single" w:sz="4" w:space="0" w:color="auto"/>
            </w:tcBorders>
            <w:shd w:val="clear" w:color="auto" w:fill="auto"/>
            <w:noWrap/>
            <w:hideMark/>
          </w:tcPr>
          <w:p w14:paraId="731915F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49,800</w:t>
            </w:r>
          </w:p>
        </w:tc>
      </w:tr>
      <w:tr w:rsidR="00F970D2" w:rsidRPr="006050E8" w14:paraId="258450EC"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ACE8304" w14:textId="77777777" w:rsidR="00F970D2" w:rsidRPr="006050E8" w:rsidRDefault="00F970D2" w:rsidP="001224CB">
            <w:pPr>
              <w:rPr>
                <w:vanish/>
                <w:color w:val="000000"/>
                <w:sz w:val="16"/>
                <w:szCs w:val="16"/>
                <w:lang w:val="es-ES"/>
              </w:rPr>
            </w:pPr>
            <w:r w:rsidRPr="006050E8">
              <w:rPr>
                <w:vanish/>
                <w:color w:val="000000"/>
                <w:sz w:val="16"/>
                <w:lang w:val="es-ES" w:eastAsia="en-CA"/>
              </w:rPr>
              <w:t>Contractual services (firms)</w:t>
            </w:r>
          </w:p>
        </w:tc>
        <w:tc>
          <w:tcPr>
            <w:tcW w:w="856" w:type="dxa"/>
            <w:tcBorders>
              <w:top w:val="nil"/>
              <w:left w:val="nil"/>
              <w:bottom w:val="single" w:sz="4" w:space="0" w:color="auto"/>
              <w:right w:val="single" w:sz="4" w:space="0" w:color="auto"/>
            </w:tcBorders>
            <w:shd w:val="clear" w:color="auto" w:fill="auto"/>
            <w:noWrap/>
            <w:hideMark/>
          </w:tcPr>
          <w:p w14:paraId="0F852A2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700</w:t>
            </w:r>
          </w:p>
        </w:tc>
        <w:tc>
          <w:tcPr>
            <w:tcW w:w="856" w:type="dxa"/>
            <w:tcBorders>
              <w:top w:val="nil"/>
              <w:left w:val="nil"/>
              <w:bottom w:val="single" w:sz="4" w:space="0" w:color="auto"/>
              <w:right w:val="single" w:sz="4" w:space="0" w:color="auto"/>
            </w:tcBorders>
            <w:shd w:val="clear" w:color="auto" w:fill="auto"/>
            <w:noWrap/>
            <w:hideMark/>
          </w:tcPr>
          <w:p w14:paraId="02AE59F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700</w:t>
            </w:r>
          </w:p>
        </w:tc>
        <w:tc>
          <w:tcPr>
            <w:tcW w:w="856" w:type="dxa"/>
            <w:tcBorders>
              <w:top w:val="nil"/>
              <w:left w:val="nil"/>
              <w:bottom w:val="single" w:sz="4" w:space="0" w:color="auto"/>
              <w:right w:val="single" w:sz="4" w:space="0" w:color="auto"/>
            </w:tcBorders>
            <w:shd w:val="clear" w:color="auto" w:fill="auto"/>
            <w:noWrap/>
            <w:hideMark/>
          </w:tcPr>
          <w:p w14:paraId="75BDCC4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w:t>
            </w:r>
          </w:p>
        </w:tc>
        <w:tc>
          <w:tcPr>
            <w:tcW w:w="856" w:type="dxa"/>
            <w:tcBorders>
              <w:top w:val="nil"/>
              <w:left w:val="nil"/>
              <w:bottom w:val="single" w:sz="4" w:space="0" w:color="auto"/>
              <w:right w:val="single" w:sz="4" w:space="0" w:color="auto"/>
            </w:tcBorders>
            <w:shd w:val="clear" w:color="auto" w:fill="auto"/>
            <w:noWrap/>
            <w:hideMark/>
          </w:tcPr>
          <w:p w14:paraId="0D532D3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17,500</w:t>
            </w:r>
          </w:p>
        </w:tc>
        <w:tc>
          <w:tcPr>
            <w:tcW w:w="856" w:type="dxa"/>
            <w:tcBorders>
              <w:top w:val="nil"/>
              <w:left w:val="nil"/>
              <w:bottom w:val="single" w:sz="4" w:space="0" w:color="auto"/>
              <w:right w:val="single" w:sz="4" w:space="0" w:color="auto"/>
            </w:tcBorders>
            <w:shd w:val="clear" w:color="auto" w:fill="auto"/>
            <w:noWrap/>
            <w:hideMark/>
          </w:tcPr>
          <w:p w14:paraId="4AFB85C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1,000</w:t>
            </w:r>
          </w:p>
        </w:tc>
        <w:tc>
          <w:tcPr>
            <w:tcW w:w="856" w:type="dxa"/>
            <w:tcBorders>
              <w:top w:val="nil"/>
              <w:left w:val="nil"/>
              <w:bottom w:val="single" w:sz="4" w:space="0" w:color="auto"/>
              <w:right w:val="single" w:sz="4" w:space="0" w:color="auto"/>
            </w:tcBorders>
            <w:shd w:val="clear" w:color="auto" w:fill="auto"/>
            <w:noWrap/>
            <w:hideMark/>
          </w:tcPr>
          <w:p w14:paraId="2E471BF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4,900</w:t>
            </w:r>
          </w:p>
        </w:tc>
        <w:tc>
          <w:tcPr>
            <w:tcW w:w="856" w:type="dxa"/>
            <w:tcBorders>
              <w:top w:val="nil"/>
              <w:left w:val="nil"/>
              <w:bottom w:val="single" w:sz="4" w:space="0" w:color="auto"/>
              <w:right w:val="single" w:sz="4" w:space="0" w:color="auto"/>
            </w:tcBorders>
            <w:shd w:val="clear" w:color="auto" w:fill="auto"/>
            <w:noWrap/>
            <w:hideMark/>
          </w:tcPr>
          <w:p w14:paraId="7908F7A5" w14:textId="77777777" w:rsidR="00F970D2" w:rsidRPr="006050E8" w:rsidRDefault="00F970D2" w:rsidP="001224CB">
            <w:pPr>
              <w:jc w:val="right"/>
              <w:rPr>
                <w:vanish/>
                <w:sz w:val="16"/>
                <w:szCs w:val="16"/>
                <w:lang w:val="es-ES"/>
              </w:rPr>
            </w:pPr>
            <w:r w:rsidRPr="006050E8">
              <w:rPr>
                <w:vanish/>
                <w:sz w:val="16"/>
                <w:lang w:val="es-ES" w:eastAsia="en-CA"/>
              </w:rPr>
              <w:t>580</w:t>
            </w:r>
          </w:p>
        </w:tc>
        <w:tc>
          <w:tcPr>
            <w:tcW w:w="856" w:type="dxa"/>
            <w:tcBorders>
              <w:top w:val="nil"/>
              <w:left w:val="nil"/>
              <w:bottom w:val="single" w:sz="4" w:space="0" w:color="auto"/>
              <w:right w:val="single" w:sz="4" w:space="0" w:color="auto"/>
            </w:tcBorders>
            <w:shd w:val="clear" w:color="auto" w:fill="auto"/>
            <w:noWrap/>
            <w:hideMark/>
          </w:tcPr>
          <w:p w14:paraId="68116D20" w14:textId="77777777" w:rsidR="00F970D2" w:rsidRPr="006050E8" w:rsidRDefault="00F970D2" w:rsidP="001224CB">
            <w:pPr>
              <w:jc w:val="right"/>
              <w:rPr>
                <w:vanish/>
                <w:sz w:val="16"/>
                <w:szCs w:val="16"/>
                <w:lang w:val="es-ES"/>
              </w:rPr>
            </w:pPr>
            <w:r w:rsidRPr="006050E8">
              <w:rPr>
                <w:vanish/>
                <w:sz w:val="16"/>
                <w:lang w:val="es-ES" w:eastAsia="en-CA"/>
              </w:rPr>
              <w:t>6,356</w:t>
            </w:r>
          </w:p>
        </w:tc>
        <w:tc>
          <w:tcPr>
            <w:tcW w:w="856" w:type="dxa"/>
            <w:tcBorders>
              <w:top w:val="nil"/>
              <w:left w:val="single" w:sz="4" w:space="0" w:color="auto"/>
              <w:bottom w:val="single" w:sz="4" w:space="0" w:color="auto"/>
              <w:right w:val="single" w:sz="4" w:space="0" w:color="auto"/>
            </w:tcBorders>
            <w:shd w:val="clear" w:color="auto" w:fill="auto"/>
            <w:noWrap/>
            <w:hideMark/>
          </w:tcPr>
          <w:p w14:paraId="7F944BF3" w14:textId="77777777" w:rsidR="00F970D2" w:rsidRPr="006050E8" w:rsidRDefault="00F970D2" w:rsidP="001224CB">
            <w:pPr>
              <w:jc w:val="right"/>
              <w:rPr>
                <w:vanish/>
                <w:sz w:val="16"/>
                <w:szCs w:val="16"/>
                <w:lang w:val="es-ES"/>
              </w:rPr>
            </w:pPr>
            <w:r w:rsidRPr="006050E8">
              <w:rPr>
                <w:vanish/>
                <w:sz w:val="16"/>
                <w:lang w:val="es-ES" w:eastAsia="en-CA"/>
              </w:rPr>
              <w:t>2,455</w:t>
            </w:r>
          </w:p>
        </w:tc>
        <w:tc>
          <w:tcPr>
            <w:tcW w:w="856" w:type="dxa"/>
            <w:tcBorders>
              <w:top w:val="nil"/>
              <w:left w:val="nil"/>
              <w:bottom w:val="single" w:sz="4" w:space="0" w:color="auto"/>
              <w:right w:val="single" w:sz="4" w:space="0" w:color="auto"/>
            </w:tcBorders>
            <w:shd w:val="clear" w:color="auto" w:fill="auto"/>
            <w:noWrap/>
            <w:hideMark/>
          </w:tcPr>
          <w:p w14:paraId="7732959F" w14:textId="77777777" w:rsidR="00F970D2" w:rsidRPr="006050E8" w:rsidRDefault="00F970D2" w:rsidP="001224CB">
            <w:pPr>
              <w:jc w:val="right"/>
              <w:rPr>
                <w:vanish/>
                <w:sz w:val="16"/>
                <w:szCs w:val="16"/>
                <w:lang w:val="es-ES"/>
              </w:rPr>
            </w:pPr>
            <w:r w:rsidRPr="006050E8">
              <w:rPr>
                <w:vanish/>
                <w:sz w:val="16"/>
                <w:lang w:val="es-ES" w:eastAsia="en-CA"/>
              </w:rPr>
              <w:t>16,700</w:t>
            </w:r>
          </w:p>
        </w:tc>
        <w:tc>
          <w:tcPr>
            <w:tcW w:w="931" w:type="dxa"/>
            <w:tcBorders>
              <w:top w:val="nil"/>
              <w:left w:val="nil"/>
              <w:bottom w:val="single" w:sz="4" w:space="0" w:color="auto"/>
              <w:right w:val="single" w:sz="4" w:space="0" w:color="auto"/>
            </w:tcBorders>
            <w:shd w:val="clear" w:color="auto" w:fill="auto"/>
            <w:noWrap/>
            <w:hideMark/>
          </w:tcPr>
          <w:p w14:paraId="6AA2E7C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06A2903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19,000</w:t>
            </w:r>
          </w:p>
        </w:tc>
      </w:tr>
      <w:tr w:rsidR="00F970D2" w:rsidRPr="006050E8" w14:paraId="78C8393A"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02142A0"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noWrap/>
            <w:hideMark/>
          </w:tcPr>
          <w:p w14:paraId="7705EC9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414,200</w:t>
            </w:r>
          </w:p>
        </w:tc>
        <w:tc>
          <w:tcPr>
            <w:tcW w:w="856" w:type="dxa"/>
            <w:tcBorders>
              <w:top w:val="nil"/>
              <w:left w:val="nil"/>
              <w:bottom w:val="single" w:sz="4" w:space="0" w:color="auto"/>
              <w:right w:val="single" w:sz="4" w:space="0" w:color="auto"/>
            </w:tcBorders>
            <w:shd w:val="clear" w:color="auto" w:fill="auto"/>
            <w:noWrap/>
            <w:hideMark/>
          </w:tcPr>
          <w:p w14:paraId="3952F98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498,800</w:t>
            </w:r>
          </w:p>
        </w:tc>
        <w:tc>
          <w:tcPr>
            <w:tcW w:w="856" w:type="dxa"/>
            <w:tcBorders>
              <w:top w:val="nil"/>
              <w:left w:val="nil"/>
              <w:bottom w:val="single" w:sz="4" w:space="0" w:color="auto"/>
              <w:right w:val="single" w:sz="4" w:space="0" w:color="auto"/>
            </w:tcBorders>
            <w:shd w:val="clear" w:color="auto" w:fill="auto"/>
            <w:noWrap/>
            <w:hideMark/>
          </w:tcPr>
          <w:p w14:paraId="3F3ACC2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454,200</w:t>
            </w:r>
          </w:p>
        </w:tc>
        <w:tc>
          <w:tcPr>
            <w:tcW w:w="856" w:type="dxa"/>
            <w:tcBorders>
              <w:top w:val="nil"/>
              <w:left w:val="nil"/>
              <w:bottom w:val="single" w:sz="4" w:space="0" w:color="auto"/>
              <w:right w:val="single" w:sz="4" w:space="0" w:color="auto"/>
            </w:tcBorders>
            <w:shd w:val="clear" w:color="auto" w:fill="auto"/>
            <w:noWrap/>
            <w:hideMark/>
          </w:tcPr>
          <w:p w14:paraId="4DB73C3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447,300</w:t>
            </w:r>
          </w:p>
        </w:tc>
        <w:tc>
          <w:tcPr>
            <w:tcW w:w="856" w:type="dxa"/>
            <w:tcBorders>
              <w:top w:val="nil"/>
              <w:left w:val="nil"/>
              <w:bottom w:val="single" w:sz="4" w:space="0" w:color="auto"/>
              <w:right w:val="single" w:sz="4" w:space="0" w:color="auto"/>
            </w:tcBorders>
            <w:shd w:val="clear" w:color="auto" w:fill="auto"/>
            <w:noWrap/>
            <w:hideMark/>
          </w:tcPr>
          <w:p w14:paraId="098E562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432,900</w:t>
            </w:r>
          </w:p>
        </w:tc>
        <w:tc>
          <w:tcPr>
            <w:tcW w:w="856" w:type="dxa"/>
            <w:tcBorders>
              <w:top w:val="nil"/>
              <w:left w:val="nil"/>
              <w:bottom w:val="single" w:sz="4" w:space="0" w:color="auto"/>
              <w:right w:val="single" w:sz="4" w:space="0" w:color="auto"/>
            </w:tcBorders>
            <w:shd w:val="clear" w:color="auto" w:fill="auto"/>
            <w:noWrap/>
            <w:hideMark/>
          </w:tcPr>
          <w:p w14:paraId="348C3B9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471,600</w:t>
            </w:r>
          </w:p>
        </w:tc>
        <w:tc>
          <w:tcPr>
            <w:tcW w:w="856" w:type="dxa"/>
            <w:tcBorders>
              <w:top w:val="nil"/>
              <w:left w:val="nil"/>
              <w:bottom w:val="single" w:sz="4" w:space="0" w:color="auto"/>
              <w:right w:val="single" w:sz="4" w:space="0" w:color="auto"/>
            </w:tcBorders>
            <w:shd w:val="clear" w:color="auto" w:fill="auto"/>
            <w:noWrap/>
            <w:hideMark/>
          </w:tcPr>
          <w:p w14:paraId="02D7ABEA" w14:textId="77777777" w:rsidR="00F970D2" w:rsidRPr="006050E8" w:rsidRDefault="00F970D2" w:rsidP="001224CB">
            <w:pPr>
              <w:jc w:val="right"/>
              <w:rPr>
                <w:vanish/>
                <w:sz w:val="16"/>
                <w:szCs w:val="16"/>
                <w:lang w:val="es-ES"/>
              </w:rPr>
            </w:pPr>
            <w:r w:rsidRPr="006050E8">
              <w:rPr>
                <w:vanish/>
                <w:sz w:val="16"/>
                <w:lang w:val="es-ES" w:eastAsia="en-CA"/>
              </w:rPr>
              <w:t>442,123</w:t>
            </w:r>
          </w:p>
        </w:tc>
        <w:tc>
          <w:tcPr>
            <w:tcW w:w="856" w:type="dxa"/>
            <w:tcBorders>
              <w:top w:val="nil"/>
              <w:left w:val="nil"/>
              <w:bottom w:val="single" w:sz="4" w:space="0" w:color="auto"/>
              <w:right w:val="single" w:sz="4" w:space="0" w:color="auto"/>
            </w:tcBorders>
            <w:shd w:val="clear" w:color="auto" w:fill="auto"/>
            <w:noWrap/>
            <w:hideMark/>
          </w:tcPr>
          <w:p w14:paraId="26EAD420" w14:textId="77777777" w:rsidR="00F970D2" w:rsidRPr="006050E8" w:rsidRDefault="00F970D2" w:rsidP="001224CB">
            <w:pPr>
              <w:jc w:val="right"/>
              <w:rPr>
                <w:vanish/>
                <w:sz w:val="16"/>
                <w:szCs w:val="16"/>
                <w:lang w:val="es-ES"/>
              </w:rPr>
            </w:pPr>
            <w:r w:rsidRPr="006050E8">
              <w:rPr>
                <w:vanish/>
                <w:sz w:val="16"/>
                <w:lang w:val="es-ES" w:eastAsia="en-CA"/>
              </w:rPr>
              <w:t>464,626</w:t>
            </w:r>
          </w:p>
        </w:tc>
        <w:tc>
          <w:tcPr>
            <w:tcW w:w="856" w:type="dxa"/>
            <w:tcBorders>
              <w:top w:val="nil"/>
              <w:left w:val="single" w:sz="4" w:space="0" w:color="auto"/>
              <w:bottom w:val="single" w:sz="4" w:space="0" w:color="auto"/>
              <w:right w:val="single" w:sz="4" w:space="0" w:color="auto"/>
            </w:tcBorders>
            <w:shd w:val="clear" w:color="auto" w:fill="auto"/>
            <w:noWrap/>
            <w:hideMark/>
          </w:tcPr>
          <w:p w14:paraId="19D8983C" w14:textId="77777777" w:rsidR="00F970D2" w:rsidRPr="006050E8" w:rsidRDefault="00F970D2" w:rsidP="001224CB">
            <w:pPr>
              <w:jc w:val="right"/>
              <w:rPr>
                <w:vanish/>
                <w:sz w:val="16"/>
                <w:szCs w:val="16"/>
                <w:lang w:val="es-ES"/>
              </w:rPr>
            </w:pPr>
            <w:r w:rsidRPr="006050E8">
              <w:rPr>
                <w:vanish/>
                <w:sz w:val="16"/>
                <w:lang w:val="es-ES" w:eastAsia="en-CA"/>
              </w:rPr>
              <w:t>496,559</w:t>
            </w:r>
          </w:p>
        </w:tc>
        <w:tc>
          <w:tcPr>
            <w:tcW w:w="856" w:type="dxa"/>
            <w:tcBorders>
              <w:top w:val="nil"/>
              <w:left w:val="nil"/>
              <w:bottom w:val="single" w:sz="4" w:space="0" w:color="auto"/>
              <w:right w:val="single" w:sz="4" w:space="0" w:color="auto"/>
            </w:tcBorders>
            <w:shd w:val="clear" w:color="auto" w:fill="auto"/>
            <w:noWrap/>
            <w:hideMark/>
          </w:tcPr>
          <w:p w14:paraId="255500A7" w14:textId="77777777" w:rsidR="00F970D2" w:rsidRPr="006050E8" w:rsidRDefault="00F970D2" w:rsidP="001224CB">
            <w:pPr>
              <w:jc w:val="right"/>
              <w:rPr>
                <w:vanish/>
                <w:sz w:val="16"/>
                <w:szCs w:val="16"/>
                <w:lang w:val="es-ES"/>
              </w:rPr>
            </w:pPr>
            <w:r w:rsidRPr="006050E8">
              <w:rPr>
                <w:vanish/>
                <w:sz w:val="16"/>
                <w:lang w:val="es-ES" w:eastAsia="en-CA"/>
              </w:rPr>
              <w:t>467,100</w:t>
            </w:r>
          </w:p>
        </w:tc>
        <w:tc>
          <w:tcPr>
            <w:tcW w:w="931" w:type="dxa"/>
            <w:tcBorders>
              <w:top w:val="nil"/>
              <w:left w:val="nil"/>
              <w:bottom w:val="single" w:sz="4" w:space="0" w:color="auto"/>
              <w:right w:val="single" w:sz="4" w:space="0" w:color="auto"/>
            </w:tcBorders>
            <w:shd w:val="clear" w:color="auto" w:fill="auto"/>
            <w:noWrap/>
            <w:hideMark/>
          </w:tcPr>
          <w:p w14:paraId="4906CBC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421,900</w:t>
            </w:r>
          </w:p>
        </w:tc>
        <w:tc>
          <w:tcPr>
            <w:tcW w:w="936" w:type="dxa"/>
            <w:tcBorders>
              <w:top w:val="nil"/>
              <w:left w:val="nil"/>
              <w:bottom w:val="single" w:sz="4" w:space="0" w:color="auto"/>
              <w:right w:val="single" w:sz="4" w:space="0" w:color="auto"/>
            </w:tcBorders>
            <w:shd w:val="clear" w:color="auto" w:fill="auto"/>
            <w:noWrap/>
            <w:hideMark/>
          </w:tcPr>
          <w:p w14:paraId="24C370B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541,200</w:t>
            </w:r>
          </w:p>
        </w:tc>
      </w:tr>
      <w:tr w:rsidR="00F970D2" w:rsidRPr="006050E8" w14:paraId="5E00F5F4"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344865F9" w14:textId="77777777" w:rsidR="00F970D2" w:rsidRPr="006050E8" w:rsidRDefault="00F970D2" w:rsidP="001224CB">
            <w:pPr>
              <w:rPr>
                <w:vanish/>
                <w:color w:val="000000"/>
                <w:sz w:val="16"/>
                <w:szCs w:val="16"/>
                <w:lang w:val="es-ES"/>
              </w:rPr>
            </w:pPr>
            <w:r w:rsidRPr="006050E8">
              <w:rPr>
                <w:vanish/>
                <w:color w:val="000000"/>
                <w:sz w:val="16"/>
                <w:lang w:val="es-ES" w:eastAsia="en-CA"/>
              </w:rPr>
              <w:t>Adjustments (+ = underuse and - = overrun)</w:t>
            </w:r>
          </w:p>
        </w:tc>
        <w:tc>
          <w:tcPr>
            <w:tcW w:w="856" w:type="dxa"/>
            <w:tcBorders>
              <w:top w:val="nil"/>
              <w:left w:val="nil"/>
              <w:bottom w:val="single" w:sz="4" w:space="0" w:color="auto"/>
              <w:right w:val="single" w:sz="4" w:space="0" w:color="auto"/>
            </w:tcBorders>
            <w:shd w:val="clear" w:color="auto" w:fill="auto"/>
            <w:noWrap/>
            <w:hideMark/>
          </w:tcPr>
          <w:p w14:paraId="587CDDB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-276,539</w:t>
            </w:r>
          </w:p>
        </w:tc>
        <w:tc>
          <w:tcPr>
            <w:tcW w:w="856" w:type="dxa"/>
            <w:tcBorders>
              <w:top w:val="nil"/>
              <w:left w:val="nil"/>
              <w:bottom w:val="single" w:sz="4" w:space="0" w:color="auto"/>
              <w:right w:val="single" w:sz="4" w:space="0" w:color="auto"/>
            </w:tcBorders>
            <w:shd w:val="clear" w:color="auto" w:fill="auto"/>
            <w:noWrap/>
            <w:hideMark/>
          </w:tcPr>
          <w:p w14:paraId="4951C02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-381,947</w:t>
            </w:r>
          </w:p>
        </w:tc>
        <w:tc>
          <w:tcPr>
            <w:tcW w:w="856" w:type="dxa"/>
            <w:tcBorders>
              <w:top w:val="nil"/>
              <w:left w:val="nil"/>
              <w:bottom w:val="single" w:sz="4" w:space="0" w:color="auto"/>
              <w:right w:val="single" w:sz="4" w:space="0" w:color="auto"/>
            </w:tcBorders>
            <w:shd w:val="clear" w:color="auto" w:fill="auto"/>
            <w:noWrap/>
            <w:hideMark/>
          </w:tcPr>
          <w:p w14:paraId="6045140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-99,058</w:t>
            </w:r>
          </w:p>
        </w:tc>
        <w:tc>
          <w:tcPr>
            <w:tcW w:w="856" w:type="dxa"/>
            <w:tcBorders>
              <w:top w:val="nil"/>
              <w:left w:val="nil"/>
              <w:bottom w:val="single" w:sz="4" w:space="0" w:color="auto"/>
              <w:right w:val="single" w:sz="4" w:space="0" w:color="auto"/>
            </w:tcBorders>
            <w:shd w:val="clear" w:color="auto" w:fill="auto"/>
            <w:noWrap/>
            <w:hideMark/>
          </w:tcPr>
          <w:p w14:paraId="551EEA9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-7,771</w:t>
            </w:r>
          </w:p>
        </w:tc>
        <w:tc>
          <w:tcPr>
            <w:tcW w:w="856" w:type="dxa"/>
            <w:tcBorders>
              <w:top w:val="nil"/>
              <w:left w:val="nil"/>
              <w:bottom w:val="single" w:sz="4" w:space="0" w:color="auto"/>
              <w:right w:val="single" w:sz="4" w:space="0" w:color="auto"/>
            </w:tcBorders>
            <w:shd w:val="clear" w:color="auto" w:fill="auto"/>
            <w:noWrap/>
            <w:hideMark/>
          </w:tcPr>
          <w:p w14:paraId="1E19D78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-44,985</w:t>
            </w:r>
          </w:p>
        </w:tc>
        <w:tc>
          <w:tcPr>
            <w:tcW w:w="856" w:type="dxa"/>
            <w:tcBorders>
              <w:top w:val="nil"/>
              <w:left w:val="nil"/>
              <w:bottom w:val="single" w:sz="4" w:space="0" w:color="auto"/>
              <w:right w:val="single" w:sz="4" w:space="0" w:color="auto"/>
            </w:tcBorders>
            <w:shd w:val="clear" w:color="auto" w:fill="auto"/>
            <w:noWrap/>
            <w:hideMark/>
          </w:tcPr>
          <w:p w14:paraId="606F275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-205,200</w:t>
            </w:r>
          </w:p>
        </w:tc>
        <w:tc>
          <w:tcPr>
            <w:tcW w:w="856" w:type="dxa"/>
            <w:tcBorders>
              <w:top w:val="nil"/>
              <w:left w:val="nil"/>
              <w:bottom w:val="single" w:sz="4" w:space="0" w:color="auto"/>
              <w:right w:val="single" w:sz="4" w:space="0" w:color="auto"/>
            </w:tcBorders>
            <w:shd w:val="clear" w:color="auto" w:fill="auto"/>
            <w:noWrap/>
            <w:hideMark/>
          </w:tcPr>
          <w:p w14:paraId="2346379D" w14:textId="77777777" w:rsidR="00F970D2" w:rsidRPr="006050E8" w:rsidRDefault="00F970D2" w:rsidP="001224CB">
            <w:pPr>
              <w:jc w:val="right"/>
              <w:rPr>
                <w:vanish/>
                <w:sz w:val="16"/>
                <w:szCs w:val="16"/>
                <w:lang w:val="es-ES"/>
              </w:rPr>
            </w:pPr>
            <w:r w:rsidRPr="006050E8">
              <w:rPr>
                <w:vanish/>
                <w:sz w:val="16"/>
                <w:lang w:val="es-ES" w:eastAsia="en-CA"/>
              </w:rPr>
              <w:t>7,931</w:t>
            </w:r>
          </w:p>
        </w:tc>
        <w:tc>
          <w:tcPr>
            <w:tcW w:w="856" w:type="dxa"/>
            <w:tcBorders>
              <w:top w:val="nil"/>
              <w:left w:val="nil"/>
              <w:bottom w:val="single" w:sz="4" w:space="0" w:color="auto"/>
              <w:right w:val="single" w:sz="4" w:space="0" w:color="auto"/>
            </w:tcBorders>
            <w:shd w:val="clear" w:color="auto" w:fill="auto"/>
            <w:noWrap/>
            <w:hideMark/>
          </w:tcPr>
          <w:p w14:paraId="57D03C2E" w14:textId="77777777" w:rsidR="00F970D2" w:rsidRPr="006050E8" w:rsidRDefault="00F970D2" w:rsidP="001224CB">
            <w:pPr>
              <w:jc w:val="right"/>
              <w:rPr>
                <w:vanish/>
                <w:sz w:val="16"/>
                <w:szCs w:val="16"/>
                <w:lang w:val="es-ES"/>
              </w:rPr>
            </w:pPr>
            <w:r w:rsidRPr="006050E8">
              <w:rPr>
                <w:vanish/>
                <w:sz w:val="16"/>
                <w:lang w:val="es-ES" w:eastAsia="en-CA"/>
              </w:rPr>
              <w:t>-24,066</w:t>
            </w:r>
          </w:p>
        </w:tc>
        <w:tc>
          <w:tcPr>
            <w:tcW w:w="856" w:type="dxa"/>
            <w:tcBorders>
              <w:top w:val="nil"/>
              <w:left w:val="single" w:sz="4" w:space="0" w:color="auto"/>
              <w:bottom w:val="single" w:sz="4" w:space="0" w:color="auto"/>
              <w:right w:val="single" w:sz="4" w:space="0" w:color="auto"/>
            </w:tcBorders>
            <w:shd w:val="clear" w:color="auto" w:fill="auto"/>
            <w:noWrap/>
            <w:hideMark/>
          </w:tcPr>
          <w:p w14:paraId="6AA188C0" w14:textId="77777777" w:rsidR="00F970D2" w:rsidRPr="006050E8" w:rsidRDefault="00F970D2" w:rsidP="001224CB">
            <w:pPr>
              <w:jc w:val="right"/>
              <w:rPr>
                <w:vanish/>
                <w:sz w:val="16"/>
                <w:szCs w:val="16"/>
                <w:lang w:val="es-ES"/>
              </w:rPr>
            </w:pPr>
            <w:r w:rsidRPr="006050E8">
              <w:rPr>
                <w:vanish/>
                <w:sz w:val="16"/>
                <w:lang w:val="es-ES" w:eastAsia="en-CA"/>
              </w:rPr>
              <w:t>49,404</w:t>
            </w:r>
          </w:p>
        </w:tc>
        <w:tc>
          <w:tcPr>
            <w:tcW w:w="856" w:type="dxa"/>
            <w:tcBorders>
              <w:top w:val="nil"/>
              <w:left w:val="nil"/>
              <w:bottom w:val="single" w:sz="4" w:space="0" w:color="auto"/>
              <w:right w:val="single" w:sz="4" w:space="0" w:color="auto"/>
            </w:tcBorders>
            <w:shd w:val="clear" w:color="auto" w:fill="auto"/>
            <w:noWrap/>
            <w:hideMark/>
          </w:tcPr>
          <w:p w14:paraId="520817FF"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1B8D813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202,300</w:t>
            </w:r>
          </w:p>
        </w:tc>
        <w:tc>
          <w:tcPr>
            <w:tcW w:w="936" w:type="dxa"/>
            <w:tcBorders>
              <w:top w:val="nil"/>
              <w:left w:val="nil"/>
              <w:bottom w:val="single" w:sz="4" w:space="0" w:color="auto"/>
              <w:right w:val="single" w:sz="4" w:space="0" w:color="auto"/>
            </w:tcBorders>
            <w:shd w:val="clear" w:color="auto" w:fill="auto"/>
            <w:noWrap/>
            <w:hideMark/>
          </w:tcPr>
          <w:p w14:paraId="1EA2937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-240,746</w:t>
            </w:r>
          </w:p>
        </w:tc>
      </w:tr>
      <w:tr w:rsidR="00F970D2" w:rsidRPr="006050E8" w14:paraId="5E9A8E75"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5E87FC9" w14:textId="77777777" w:rsidR="00F970D2" w:rsidRPr="006050E8" w:rsidRDefault="00F970D2" w:rsidP="001224CB">
            <w:pPr>
              <w:rPr>
                <w:vanish/>
                <w:color w:val="000000"/>
                <w:sz w:val="16"/>
                <w:szCs w:val="16"/>
                <w:lang w:val="es-ES"/>
              </w:rPr>
            </w:pPr>
            <w:r w:rsidRPr="006050E8">
              <w:rPr>
                <w:vanish/>
                <w:color w:val="000000"/>
                <w:sz w:val="16"/>
                <w:lang w:val="es-ES" w:eastAsia="en-CA"/>
              </w:rPr>
              <w:t>Return of funds (- = returned funds)</w:t>
            </w:r>
          </w:p>
        </w:tc>
        <w:tc>
          <w:tcPr>
            <w:tcW w:w="856" w:type="dxa"/>
            <w:tcBorders>
              <w:top w:val="nil"/>
              <w:left w:val="nil"/>
              <w:bottom w:val="single" w:sz="4" w:space="0" w:color="auto"/>
              <w:right w:val="single" w:sz="4" w:space="0" w:color="auto"/>
            </w:tcBorders>
            <w:shd w:val="clear" w:color="auto" w:fill="auto"/>
            <w:noWrap/>
            <w:hideMark/>
          </w:tcPr>
          <w:p w14:paraId="237B1C4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4F9D7D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FD953F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F76881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51509D8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56" w:type="dxa"/>
            <w:tcBorders>
              <w:top w:val="nil"/>
              <w:left w:val="nil"/>
              <w:bottom w:val="single" w:sz="4" w:space="0" w:color="auto"/>
              <w:right w:val="single" w:sz="4" w:space="0" w:color="auto"/>
            </w:tcBorders>
            <w:shd w:val="clear" w:color="auto" w:fill="auto"/>
            <w:noWrap/>
            <w:hideMark/>
          </w:tcPr>
          <w:p w14:paraId="1CB7E11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554401A8" w14:textId="77777777" w:rsidR="00F970D2" w:rsidRPr="006050E8" w:rsidRDefault="00F970D2" w:rsidP="001224CB">
            <w:pPr>
              <w:jc w:val="right"/>
              <w:rPr>
                <w:vanish/>
                <w:sz w:val="16"/>
                <w:szCs w:val="16"/>
                <w:lang w:val="es-ES"/>
              </w:rPr>
            </w:pPr>
            <w:r w:rsidRPr="006050E8">
              <w:rPr>
                <w:vanish/>
                <w:sz w:val="16"/>
                <w:lang w:val="es-ES" w:eastAsia="en-CA"/>
              </w:rPr>
              <w:t>-7,931</w:t>
            </w:r>
          </w:p>
        </w:tc>
        <w:tc>
          <w:tcPr>
            <w:tcW w:w="856" w:type="dxa"/>
            <w:tcBorders>
              <w:top w:val="nil"/>
              <w:left w:val="nil"/>
              <w:bottom w:val="single" w:sz="4" w:space="0" w:color="auto"/>
              <w:right w:val="single" w:sz="4" w:space="0" w:color="auto"/>
            </w:tcBorders>
            <w:shd w:val="clear" w:color="auto" w:fill="auto"/>
            <w:noWrap/>
            <w:hideMark/>
          </w:tcPr>
          <w:p w14:paraId="2D0067F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03A24C93" w14:textId="77777777" w:rsidR="00F970D2" w:rsidRPr="006050E8" w:rsidRDefault="00F970D2" w:rsidP="001224CB">
            <w:pPr>
              <w:jc w:val="right"/>
              <w:rPr>
                <w:vanish/>
                <w:sz w:val="16"/>
                <w:szCs w:val="16"/>
                <w:lang w:val="es-ES"/>
              </w:rPr>
            </w:pPr>
            <w:r w:rsidRPr="006050E8">
              <w:rPr>
                <w:vanish/>
                <w:sz w:val="16"/>
                <w:lang w:val="es-ES" w:eastAsia="en-CA"/>
              </w:rPr>
              <w:t>-49,404</w:t>
            </w:r>
          </w:p>
        </w:tc>
        <w:tc>
          <w:tcPr>
            <w:tcW w:w="856" w:type="dxa"/>
            <w:tcBorders>
              <w:top w:val="nil"/>
              <w:left w:val="nil"/>
              <w:bottom w:val="single" w:sz="4" w:space="0" w:color="auto"/>
              <w:right w:val="single" w:sz="4" w:space="0" w:color="auto"/>
            </w:tcBorders>
            <w:shd w:val="clear" w:color="auto" w:fill="auto"/>
            <w:noWrap/>
            <w:hideMark/>
          </w:tcPr>
          <w:p w14:paraId="046059F4"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7F67A21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45C2D60D"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0DB06096" w14:textId="77777777" w:rsidTr="001224CB">
        <w:trPr>
          <w:trHeight w:val="7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A580142"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A. Sub-total core unit costs*</w:t>
            </w:r>
          </w:p>
        </w:tc>
        <w:tc>
          <w:tcPr>
            <w:tcW w:w="856" w:type="dxa"/>
            <w:tcBorders>
              <w:top w:val="nil"/>
              <w:left w:val="nil"/>
              <w:bottom w:val="single" w:sz="4" w:space="0" w:color="auto"/>
              <w:right w:val="single" w:sz="4" w:space="0" w:color="auto"/>
            </w:tcBorders>
            <w:shd w:val="clear" w:color="auto" w:fill="auto"/>
            <w:noWrap/>
            <w:hideMark/>
          </w:tcPr>
          <w:p w14:paraId="4D352A40"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1,984,561</w:t>
            </w:r>
          </w:p>
        </w:tc>
        <w:tc>
          <w:tcPr>
            <w:tcW w:w="856" w:type="dxa"/>
            <w:tcBorders>
              <w:top w:val="nil"/>
              <w:left w:val="nil"/>
              <w:bottom w:val="single" w:sz="4" w:space="0" w:color="auto"/>
              <w:right w:val="single" w:sz="4" w:space="0" w:color="auto"/>
            </w:tcBorders>
            <w:shd w:val="clear" w:color="auto" w:fill="auto"/>
            <w:noWrap/>
            <w:hideMark/>
          </w:tcPr>
          <w:p w14:paraId="0BA2BAF6"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1,998,453</w:t>
            </w:r>
          </w:p>
        </w:tc>
        <w:tc>
          <w:tcPr>
            <w:tcW w:w="856" w:type="dxa"/>
            <w:tcBorders>
              <w:top w:val="nil"/>
              <w:left w:val="nil"/>
              <w:bottom w:val="single" w:sz="4" w:space="0" w:color="auto"/>
              <w:right w:val="single" w:sz="4" w:space="0" w:color="auto"/>
            </w:tcBorders>
            <w:shd w:val="clear" w:color="auto" w:fill="auto"/>
            <w:noWrap/>
            <w:hideMark/>
          </w:tcPr>
          <w:p w14:paraId="7CEB1D72"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2,012,442</w:t>
            </w:r>
          </w:p>
        </w:tc>
        <w:tc>
          <w:tcPr>
            <w:tcW w:w="856" w:type="dxa"/>
            <w:tcBorders>
              <w:top w:val="nil"/>
              <w:left w:val="nil"/>
              <w:bottom w:val="single" w:sz="4" w:space="0" w:color="auto"/>
              <w:right w:val="single" w:sz="4" w:space="0" w:color="auto"/>
            </w:tcBorders>
            <w:shd w:val="clear" w:color="auto" w:fill="auto"/>
            <w:noWrap/>
            <w:hideMark/>
          </w:tcPr>
          <w:p w14:paraId="62D59373"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2,026,529</w:t>
            </w:r>
          </w:p>
        </w:tc>
        <w:tc>
          <w:tcPr>
            <w:tcW w:w="856" w:type="dxa"/>
            <w:tcBorders>
              <w:top w:val="nil"/>
              <w:left w:val="nil"/>
              <w:bottom w:val="single" w:sz="4" w:space="0" w:color="auto"/>
              <w:right w:val="single" w:sz="4" w:space="0" w:color="auto"/>
            </w:tcBorders>
            <w:shd w:val="clear" w:color="auto" w:fill="auto"/>
            <w:noWrap/>
            <w:hideMark/>
          </w:tcPr>
          <w:p w14:paraId="3686987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2,040,715</w:t>
            </w:r>
          </w:p>
        </w:tc>
        <w:tc>
          <w:tcPr>
            <w:tcW w:w="856" w:type="dxa"/>
            <w:tcBorders>
              <w:top w:val="nil"/>
              <w:left w:val="nil"/>
              <w:bottom w:val="single" w:sz="4" w:space="0" w:color="auto"/>
              <w:right w:val="single" w:sz="4" w:space="0" w:color="auto"/>
            </w:tcBorders>
            <w:shd w:val="clear" w:color="auto" w:fill="auto"/>
            <w:noWrap/>
            <w:hideMark/>
          </w:tcPr>
          <w:p w14:paraId="6494DAF6"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2,055,000</w:t>
            </w:r>
          </w:p>
        </w:tc>
        <w:tc>
          <w:tcPr>
            <w:tcW w:w="856" w:type="dxa"/>
            <w:tcBorders>
              <w:top w:val="nil"/>
              <w:left w:val="nil"/>
              <w:bottom w:val="single" w:sz="4" w:space="0" w:color="auto"/>
              <w:right w:val="single" w:sz="4" w:space="0" w:color="auto"/>
            </w:tcBorders>
            <w:shd w:val="clear" w:color="auto" w:fill="auto"/>
            <w:noWrap/>
            <w:hideMark/>
          </w:tcPr>
          <w:p w14:paraId="3DA0EA41" w14:textId="77777777" w:rsidR="00F970D2" w:rsidRPr="006050E8" w:rsidRDefault="00F970D2" w:rsidP="001224CB">
            <w:pPr>
              <w:jc w:val="right"/>
              <w:rPr>
                <w:b/>
                <w:bCs/>
                <w:vanish/>
                <w:sz w:val="16"/>
                <w:szCs w:val="16"/>
                <w:lang w:val="es-ES"/>
              </w:rPr>
            </w:pPr>
            <w:r w:rsidRPr="006050E8">
              <w:rPr>
                <w:b/>
                <w:vanish/>
                <w:sz w:val="16"/>
                <w:lang w:val="es-ES" w:eastAsia="en-CA"/>
              </w:rPr>
              <w:t>2,061,454</w:t>
            </w:r>
          </w:p>
        </w:tc>
        <w:tc>
          <w:tcPr>
            <w:tcW w:w="856" w:type="dxa"/>
            <w:tcBorders>
              <w:top w:val="nil"/>
              <w:left w:val="nil"/>
              <w:bottom w:val="single" w:sz="4" w:space="0" w:color="auto"/>
              <w:right w:val="single" w:sz="4" w:space="0" w:color="auto"/>
            </w:tcBorders>
            <w:shd w:val="clear" w:color="auto" w:fill="auto"/>
            <w:noWrap/>
            <w:hideMark/>
          </w:tcPr>
          <w:p w14:paraId="6147A61D" w14:textId="77777777" w:rsidR="00F970D2" w:rsidRPr="006050E8" w:rsidRDefault="00F970D2" w:rsidP="001224CB">
            <w:pPr>
              <w:jc w:val="right"/>
              <w:rPr>
                <w:b/>
                <w:bCs/>
                <w:vanish/>
                <w:sz w:val="16"/>
                <w:szCs w:val="16"/>
                <w:lang w:val="es-ES"/>
              </w:rPr>
            </w:pPr>
            <w:r w:rsidRPr="006050E8">
              <w:rPr>
                <w:b/>
                <w:vanish/>
                <w:sz w:val="16"/>
                <w:lang w:val="es-ES" w:eastAsia="en-CA"/>
              </w:rPr>
              <w:t>2,083,870</w:t>
            </w:r>
          </w:p>
        </w:tc>
        <w:tc>
          <w:tcPr>
            <w:tcW w:w="856" w:type="dxa"/>
            <w:tcBorders>
              <w:top w:val="nil"/>
              <w:left w:val="single" w:sz="4" w:space="0" w:color="auto"/>
              <w:bottom w:val="single" w:sz="4" w:space="0" w:color="auto"/>
              <w:right w:val="single" w:sz="4" w:space="0" w:color="auto"/>
            </w:tcBorders>
            <w:shd w:val="clear" w:color="auto" w:fill="auto"/>
            <w:noWrap/>
            <w:hideMark/>
          </w:tcPr>
          <w:p w14:paraId="14BC92F6" w14:textId="77777777" w:rsidR="00F970D2" w:rsidRPr="006050E8" w:rsidRDefault="00F970D2" w:rsidP="001224CB">
            <w:pPr>
              <w:jc w:val="right"/>
              <w:rPr>
                <w:b/>
                <w:vanish/>
                <w:sz w:val="16"/>
                <w:szCs w:val="16"/>
                <w:lang w:val="es-ES"/>
              </w:rPr>
            </w:pPr>
            <w:r w:rsidRPr="006050E8">
              <w:rPr>
                <w:b/>
                <w:vanish/>
                <w:sz w:val="16"/>
                <w:lang w:val="es-ES" w:eastAsia="en-CA"/>
              </w:rPr>
              <w:t>2,049,054</w:t>
            </w:r>
          </w:p>
        </w:tc>
        <w:tc>
          <w:tcPr>
            <w:tcW w:w="856" w:type="dxa"/>
            <w:tcBorders>
              <w:top w:val="nil"/>
              <w:left w:val="nil"/>
              <w:bottom w:val="single" w:sz="4" w:space="0" w:color="auto"/>
              <w:right w:val="single" w:sz="4" w:space="0" w:color="auto"/>
            </w:tcBorders>
            <w:shd w:val="clear" w:color="auto" w:fill="auto"/>
            <w:noWrap/>
            <w:hideMark/>
          </w:tcPr>
          <w:p w14:paraId="215E947A" w14:textId="77777777" w:rsidR="00F970D2" w:rsidRPr="006050E8" w:rsidRDefault="00F970D2" w:rsidP="001224CB">
            <w:pPr>
              <w:jc w:val="right"/>
              <w:rPr>
                <w:b/>
                <w:bCs/>
                <w:vanish/>
                <w:sz w:val="16"/>
                <w:szCs w:val="16"/>
                <w:lang w:val="es-ES"/>
              </w:rPr>
            </w:pPr>
            <w:r w:rsidRPr="006050E8">
              <w:rPr>
                <w:b/>
                <w:vanish/>
                <w:sz w:val="16"/>
                <w:lang w:val="es-ES" w:eastAsia="en-CA"/>
              </w:rPr>
              <w:t>2,022,000</w:t>
            </w:r>
          </w:p>
        </w:tc>
        <w:tc>
          <w:tcPr>
            <w:tcW w:w="931" w:type="dxa"/>
            <w:tcBorders>
              <w:top w:val="nil"/>
              <w:left w:val="nil"/>
              <w:bottom w:val="single" w:sz="4" w:space="0" w:color="auto"/>
              <w:right w:val="single" w:sz="4" w:space="0" w:color="auto"/>
            </w:tcBorders>
            <w:shd w:val="clear" w:color="auto" w:fill="auto"/>
            <w:noWrap/>
            <w:hideMark/>
          </w:tcPr>
          <w:p w14:paraId="4472CD22" w14:textId="77777777" w:rsidR="00F970D2" w:rsidRPr="006050E8" w:rsidRDefault="00F970D2" w:rsidP="001224CB">
            <w:pPr>
              <w:jc w:val="right"/>
              <w:rPr>
                <w:b/>
                <w:bCs/>
                <w:vanish/>
                <w:sz w:val="16"/>
                <w:szCs w:val="16"/>
                <w:lang w:val="es-ES"/>
              </w:rPr>
            </w:pPr>
            <w:r w:rsidRPr="006050E8">
              <w:rPr>
                <w:b/>
                <w:vanish/>
                <w:sz w:val="16"/>
                <w:lang w:val="es-ES" w:eastAsia="en-CA"/>
              </w:rPr>
              <w:t>2,022,000</w:t>
            </w:r>
          </w:p>
        </w:tc>
        <w:tc>
          <w:tcPr>
            <w:tcW w:w="936" w:type="dxa"/>
            <w:tcBorders>
              <w:top w:val="nil"/>
              <w:left w:val="nil"/>
              <w:bottom w:val="single" w:sz="4" w:space="0" w:color="auto"/>
              <w:right w:val="single" w:sz="4" w:space="0" w:color="auto"/>
            </w:tcBorders>
            <w:shd w:val="clear" w:color="auto" w:fill="auto"/>
            <w:noWrap/>
            <w:hideMark/>
          </w:tcPr>
          <w:p w14:paraId="03346FC4" w14:textId="77777777" w:rsidR="00F970D2" w:rsidRPr="006050E8" w:rsidRDefault="00F970D2" w:rsidP="001224CB">
            <w:pPr>
              <w:jc w:val="right"/>
              <w:rPr>
                <w:b/>
                <w:bCs/>
                <w:vanish/>
                <w:sz w:val="16"/>
                <w:szCs w:val="16"/>
                <w:lang w:val="es-ES"/>
              </w:rPr>
            </w:pPr>
            <w:r w:rsidRPr="006050E8">
              <w:rPr>
                <w:b/>
                <w:vanish/>
                <w:sz w:val="16"/>
                <w:lang w:val="es-ES" w:eastAsia="en-CA"/>
              </w:rPr>
              <w:t>2,036,154</w:t>
            </w:r>
          </w:p>
        </w:tc>
      </w:tr>
      <w:tr w:rsidR="00F970D2" w:rsidRPr="006050E8" w14:paraId="27F0D6CC"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42761EAE"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B. Agency support costs/implementation</w:t>
            </w:r>
          </w:p>
        </w:tc>
        <w:tc>
          <w:tcPr>
            <w:tcW w:w="856" w:type="dxa"/>
            <w:tcBorders>
              <w:top w:val="nil"/>
              <w:left w:val="nil"/>
              <w:bottom w:val="single" w:sz="4" w:space="0" w:color="auto"/>
              <w:right w:val="single" w:sz="4" w:space="0" w:color="auto"/>
            </w:tcBorders>
            <w:shd w:val="clear" w:color="auto" w:fill="auto"/>
            <w:noWrap/>
            <w:hideMark/>
          </w:tcPr>
          <w:p w14:paraId="4883CEE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3A65283"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EB81B19"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7F447B4"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16F9205"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0418431"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C78EC04"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60359B3"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7995272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A0CF2F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1" w:type="dxa"/>
            <w:tcBorders>
              <w:top w:val="nil"/>
              <w:left w:val="nil"/>
              <w:bottom w:val="single" w:sz="4" w:space="0" w:color="auto"/>
              <w:right w:val="single" w:sz="4" w:space="0" w:color="auto"/>
            </w:tcBorders>
            <w:shd w:val="clear" w:color="auto" w:fill="auto"/>
            <w:noWrap/>
            <w:hideMark/>
          </w:tcPr>
          <w:p w14:paraId="0DD2C7A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6" w:type="dxa"/>
            <w:tcBorders>
              <w:top w:val="nil"/>
              <w:left w:val="nil"/>
              <w:bottom w:val="single" w:sz="4" w:space="0" w:color="auto"/>
              <w:right w:val="single" w:sz="4" w:space="0" w:color="auto"/>
            </w:tcBorders>
            <w:shd w:val="clear" w:color="auto" w:fill="auto"/>
            <w:noWrap/>
            <w:hideMark/>
          </w:tcPr>
          <w:p w14:paraId="6A4303AC"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0693864E" w14:textId="77777777" w:rsidTr="001224CB">
        <w:trPr>
          <w:trHeight w:val="245"/>
          <w:hidden/>
        </w:trPr>
        <w:tc>
          <w:tcPr>
            <w:tcW w:w="3415" w:type="dxa"/>
            <w:tcBorders>
              <w:top w:val="nil"/>
              <w:left w:val="single" w:sz="4" w:space="0" w:color="auto"/>
              <w:bottom w:val="single" w:sz="4" w:space="0" w:color="auto"/>
              <w:right w:val="single" w:sz="4" w:space="0" w:color="auto"/>
            </w:tcBorders>
            <w:shd w:val="clear" w:color="auto" w:fill="auto"/>
            <w:noWrap/>
            <w:hideMark/>
          </w:tcPr>
          <w:p w14:paraId="5D6D0681"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noWrap/>
            <w:hideMark/>
          </w:tcPr>
          <w:p w14:paraId="3A9F7E1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1,818,300</w:t>
            </w:r>
          </w:p>
        </w:tc>
        <w:tc>
          <w:tcPr>
            <w:tcW w:w="856" w:type="dxa"/>
            <w:tcBorders>
              <w:top w:val="nil"/>
              <w:left w:val="nil"/>
              <w:bottom w:val="single" w:sz="4" w:space="0" w:color="auto"/>
              <w:right w:val="single" w:sz="4" w:space="0" w:color="auto"/>
            </w:tcBorders>
            <w:shd w:val="clear" w:color="auto" w:fill="auto"/>
            <w:noWrap/>
            <w:hideMark/>
          </w:tcPr>
          <w:p w14:paraId="13B63D6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3,602,000</w:t>
            </w:r>
          </w:p>
        </w:tc>
        <w:tc>
          <w:tcPr>
            <w:tcW w:w="856" w:type="dxa"/>
            <w:tcBorders>
              <w:top w:val="nil"/>
              <w:left w:val="nil"/>
              <w:bottom w:val="single" w:sz="4" w:space="0" w:color="auto"/>
              <w:right w:val="single" w:sz="4" w:space="0" w:color="auto"/>
            </w:tcBorders>
            <w:shd w:val="clear" w:color="auto" w:fill="auto"/>
            <w:noWrap/>
            <w:hideMark/>
          </w:tcPr>
          <w:p w14:paraId="515DB57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1,814,900</w:t>
            </w:r>
          </w:p>
        </w:tc>
        <w:tc>
          <w:tcPr>
            <w:tcW w:w="856" w:type="dxa"/>
            <w:tcBorders>
              <w:top w:val="nil"/>
              <w:left w:val="nil"/>
              <w:bottom w:val="single" w:sz="4" w:space="0" w:color="auto"/>
              <w:right w:val="single" w:sz="4" w:space="0" w:color="auto"/>
            </w:tcBorders>
            <w:shd w:val="clear" w:color="auto" w:fill="auto"/>
            <w:noWrap/>
            <w:hideMark/>
          </w:tcPr>
          <w:p w14:paraId="1306658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1,327,500</w:t>
            </w:r>
          </w:p>
        </w:tc>
        <w:tc>
          <w:tcPr>
            <w:tcW w:w="856" w:type="dxa"/>
            <w:tcBorders>
              <w:top w:val="nil"/>
              <w:left w:val="nil"/>
              <w:bottom w:val="single" w:sz="4" w:space="0" w:color="auto"/>
              <w:right w:val="single" w:sz="4" w:space="0" w:color="auto"/>
            </w:tcBorders>
            <w:shd w:val="clear" w:color="auto" w:fill="auto"/>
            <w:noWrap/>
            <w:hideMark/>
          </w:tcPr>
          <w:p w14:paraId="7772A03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1,145,400</w:t>
            </w:r>
          </w:p>
        </w:tc>
        <w:tc>
          <w:tcPr>
            <w:tcW w:w="856" w:type="dxa"/>
            <w:tcBorders>
              <w:top w:val="nil"/>
              <w:left w:val="nil"/>
              <w:bottom w:val="single" w:sz="4" w:space="0" w:color="auto"/>
              <w:right w:val="single" w:sz="4" w:space="0" w:color="auto"/>
            </w:tcBorders>
            <w:shd w:val="clear" w:color="auto" w:fill="auto"/>
            <w:noWrap/>
            <w:hideMark/>
          </w:tcPr>
          <w:p w14:paraId="037987E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584,300</w:t>
            </w:r>
          </w:p>
        </w:tc>
        <w:tc>
          <w:tcPr>
            <w:tcW w:w="856" w:type="dxa"/>
            <w:tcBorders>
              <w:top w:val="nil"/>
              <w:left w:val="nil"/>
              <w:bottom w:val="single" w:sz="4" w:space="0" w:color="auto"/>
              <w:right w:val="single" w:sz="4" w:space="0" w:color="auto"/>
            </w:tcBorders>
            <w:shd w:val="clear" w:color="auto" w:fill="auto"/>
            <w:noWrap/>
            <w:hideMark/>
          </w:tcPr>
          <w:p w14:paraId="68601AB6" w14:textId="77777777" w:rsidR="00F970D2" w:rsidRPr="006050E8" w:rsidRDefault="00F970D2" w:rsidP="001224CB">
            <w:pPr>
              <w:jc w:val="right"/>
              <w:rPr>
                <w:vanish/>
                <w:sz w:val="16"/>
                <w:szCs w:val="16"/>
                <w:lang w:val="es-ES"/>
              </w:rPr>
            </w:pPr>
            <w:r w:rsidRPr="006050E8">
              <w:rPr>
                <w:vanish/>
                <w:sz w:val="16"/>
                <w:lang w:val="es-ES" w:eastAsia="en-CA"/>
              </w:rPr>
              <w:t>729,854</w:t>
            </w:r>
          </w:p>
        </w:tc>
        <w:tc>
          <w:tcPr>
            <w:tcW w:w="856" w:type="dxa"/>
            <w:tcBorders>
              <w:top w:val="nil"/>
              <w:left w:val="nil"/>
              <w:bottom w:val="single" w:sz="4" w:space="0" w:color="auto"/>
              <w:right w:val="single" w:sz="4" w:space="0" w:color="auto"/>
            </w:tcBorders>
            <w:shd w:val="clear" w:color="auto" w:fill="auto"/>
            <w:noWrap/>
            <w:hideMark/>
          </w:tcPr>
          <w:p w14:paraId="49ED97E0" w14:textId="77777777" w:rsidR="00F970D2" w:rsidRPr="006050E8" w:rsidRDefault="00F970D2" w:rsidP="001224CB">
            <w:pPr>
              <w:jc w:val="right"/>
              <w:rPr>
                <w:vanish/>
                <w:sz w:val="16"/>
                <w:szCs w:val="16"/>
                <w:lang w:val="es-ES"/>
              </w:rPr>
            </w:pPr>
            <w:r w:rsidRPr="006050E8">
              <w:rPr>
                <w:vanish/>
                <w:sz w:val="16"/>
                <w:lang w:val="es-ES" w:eastAsia="en-CA"/>
              </w:rPr>
              <w:t>1,339,603</w:t>
            </w:r>
          </w:p>
        </w:tc>
        <w:tc>
          <w:tcPr>
            <w:tcW w:w="856" w:type="dxa"/>
            <w:tcBorders>
              <w:top w:val="nil"/>
              <w:left w:val="single" w:sz="4" w:space="0" w:color="auto"/>
              <w:bottom w:val="single" w:sz="4" w:space="0" w:color="auto"/>
              <w:right w:val="single" w:sz="4" w:space="0" w:color="auto"/>
            </w:tcBorders>
            <w:shd w:val="clear" w:color="auto" w:fill="auto"/>
            <w:noWrap/>
            <w:hideMark/>
          </w:tcPr>
          <w:p w14:paraId="3AE84B76" w14:textId="77777777" w:rsidR="00F970D2" w:rsidRPr="006050E8" w:rsidRDefault="00F970D2" w:rsidP="001224CB">
            <w:pPr>
              <w:jc w:val="right"/>
              <w:rPr>
                <w:vanish/>
                <w:sz w:val="16"/>
                <w:szCs w:val="16"/>
                <w:lang w:val="es-ES"/>
              </w:rPr>
            </w:pPr>
            <w:r w:rsidRPr="006050E8">
              <w:rPr>
                <w:vanish/>
                <w:sz w:val="16"/>
                <w:lang w:val="es-ES" w:eastAsia="en-CA"/>
              </w:rPr>
              <w:t>814,755</w:t>
            </w:r>
          </w:p>
        </w:tc>
        <w:tc>
          <w:tcPr>
            <w:tcW w:w="856" w:type="dxa"/>
            <w:tcBorders>
              <w:top w:val="nil"/>
              <w:left w:val="nil"/>
              <w:bottom w:val="single" w:sz="4" w:space="0" w:color="auto"/>
              <w:right w:val="single" w:sz="4" w:space="0" w:color="auto"/>
            </w:tcBorders>
            <w:shd w:val="clear" w:color="auto" w:fill="auto"/>
            <w:noWrap/>
            <w:hideMark/>
          </w:tcPr>
          <w:p w14:paraId="7CA3B499" w14:textId="77777777" w:rsidR="00F970D2" w:rsidRPr="006050E8" w:rsidRDefault="00F970D2" w:rsidP="001224CB">
            <w:pPr>
              <w:jc w:val="right"/>
              <w:rPr>
                <w:vanish/>
                <w:sz w:val="16"/>
                <w:szCs w:val="16"/>
                <w:lang w:val="es-ES"/>
              </w:rPr>
            </w:pPr>
            <w:r w:rsidRPr="006050E8">
              <w:rPr>
                <w:vanish/>
                <w:sz w:val="16"/>
                <w:lang w:val="es-ES" w:eastAsia="en-CA"/>
              </w:rPr>
              <w:t>1,444,000</w:t>
            </w:r>
          </w:p>
        </w:tc>
        <w:tc>
          <w:tcPr>
            <w:tcW w:w="931" w:type="dxa"/>
            <w:tcBorders>
              <w:top w:val="nil"/>
              <w:left w:val="nil"/>
              <w:bottom w:val="single" w:sz="4" w:space="0" w:color="auto"/>
              <w:right w:val="single" w:sz="4" w:space="0" w:color="auto"/>
            </w:tcBorders>
            <w:shd w:val="clear" w:color="auto" w:fill="auto"/>
            <w:noWrap/>
            <w:hideMark/>
          </w:tcPr>
          <w:p w14:paraId="2F543D6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916,900</w:t>
            </w:r>
          </w:p>
        </w:tc>
        <w:tc>
          <w:tcPr>
            <w:tcW w:w="936" w:type="dxa"/>
            <w:tcBorders>
              <w:top w:val="nil"/>
              <w:left w:val="nil"/>
              <w:bottom w:val="single" w:sz="4" w:space="0" w:color="auto"/>
              <w:right w:val="single" w:sz="4" w:space="0" w:color="auto"/>
            </w:tcBorders>
            <w:shd w:val="clear" w:color="auto" w:fill="auto"/>
            <w:noWrap/>
            <w:hideMark/>
          </w:tcPr>
          <w:p w14:paraId="4DC480F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906,800</w:t>
            </w:r>
          </w:p>
        </w:tc>
      </w:tr>
      <w:tr w:rsidR="00F970D2" w:rsidRPr="006050E8" w14:paraId="54B99B80" w14:textId="77777777" w:rsidTr="001224CB">
        <w:trPr>
          <w:trHeight w:val="165"/>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4940F43" w14:textId="77777777" w:rsidR="00F970D2" w:rsidRPr="006050E8" w:rsidRDefault="00F970D2" w:rsidP="001224CB">
            <w:pPr>
              <w:rPr>
                <w:vanish/>
                <w:color w:val="000000"/>
                <w:sz w:val="16"/>
                <w:szCs w:val="16"/>
                <w:lang w:val="es-ES"/>
              </w:rPr>
            </w:pPr>
            <w:r w:rsidRPr="006050E8">
              <w:rPr>
                <w:vanish/>
                <w:color w:val="000000"/>
                <w:sz w:val="16"/>
                <w:lang w:val="es-ES"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noWrap/>
            <w:hideMark/>
          </w:tcPr>
          <w:p w14:paraId="1F1A6EA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2,900,900</w:t>
            </w:r>
          </w:p>
        </w:tc>
        <w:tc>
          <w:tcPr>
            <w:tcW w:w="856" w:type="dxa"/>
            <w:tcBorders>
              <w:top w:val="nil"/>
              <w:left w:val="nil"/>
              <w:bottom w:val="single" w:sz="4" w:space="0" w:color="auto"/>
              <w:right w:val="single" w:sz="4" w:space="0" w:color="auto"/>
            </w:tcBorders>
            <w:shd w:val="clear" w:color="auto" w:fill="auto"/>
            <w:noWrap/>
            <w:hideMark/>
          </w:tcPr>
          <w:p w14:paraId="541308E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3,302,800</w:t>
            </w:r>
          </w:p>
        </w:tc>
        <w:tc>
          <w:tcPr>
            <w:tcW w:w="856" w:type="dxa"/>
            <w:tcBorders>
              <w:top w:val="nil"/>
              <w:left w:val="nil"/>
              <w:bottom w:val="single" w:sz="4" w:space="0" w:color="auto"/>
              <w:right w:val="single" w:sz="4" w:space="0" w:color="auto"/>
            </w:tcBorders>
            <w:shd w:val="clear" w:color="auto" w:fill="auto"/>
            <w:noWrap/>
            <w:hideMark/>
          </w:tcPr>
          <w:p w14:paraId="79496DC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2,913,500</w:t>
            </w:r>
          </w:p>
        </w:tc>
        <w:tc>
          <w:tcPr>
            <w:tcW w:w="856" w:type="dxa"/>
            <w:tcBorders>
              <w:top w:val="nil"/>
              <w:left w:val="nil"/>
              <w:bottom w:val="single" w:sz="4" w:space="0" w:color="auto"/>
              <w:right w:val="single" w:sz="4" w:space="0" w:color="auto"/>
            </w:tcBorders>
            <w:shd w:val="clear" w:color="auto" w:fill="auto"/>
            <w:noWrap/>
            <w:hideMark/>
          </w:tcPr>
          <w:p w14:paraId="1104EEF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2,289,600</w:t>
            </w:r>
          </w:p>
        </w:tc>
        <w:tc>
          <w:tcPr>
            <w:tcW w:w="856" w:type="dxa"/>
            <w:tcBorders>
              <w:top w:val="nil"/>
              <w:left w:val="nil"/>
              <w:bottom w:val="single" w:sz="4" w:space="0" w:color="auto"/>
              <w:right w:val="single" w:sz="4" w:space="0" w:color="auto"/>
            </w:tcBorders>
            <w:shd w:val="clear" w:color="auto" w:fill="auto"/>
            <w:noWrap/>
            <w:hideMark/>
          </w:tcPr>
          <w:p w14:paraId="05504FD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1,600,400</w:t>
            </w:r>
          </w:p>
        </w:tc>
        <w:tc>
          <w:tcPr>
            <w:tcW w:w="856" w:type="dxa"/>
            <w:tcBorders>
              <w:top w:val="nil"/>
              <w:left w:val="nil"/>
              <w:bottom w:val="single" w:sz="4" w:space="0" w:color="auto"/>
              <w:right w:val="single" w:sz="4" w:space="0" w:color="auto"/>
            </w:tcBorders>
            <w:shd w:val="clear" w:color="auto" w:fill="auto"/>
            <w:noWrap/>
            <w:hideMark/>
          </w:tcPr>
          <w:p w14:paraId="7513202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1,703,200</w:t>
            </w:r>
          </w:p>
        </w:tc>
        <w:tc>
          <w:tcPr>
            <w:tcW w:w="856" w:type="dxa"/>
            <w:tcBorders>
              <w:top w:val="nil"/>
              <w:left w:val="nil"/>
              <w:bottom w:val="single" w:sz="4" w:space="0" w:color="auto"/>
              <w:right w:val="single" w:sz="4" w:space="0" w:color="auto"/>
            </w:tcBorders>
            <w:shd w:val="clear" w:color="auto" w:fill="auto"/>
            <w:noWrap/>
            <w:hideMark/>
          </w:tcPr>
          <w:p w14:paraId="79C645F8" w14:textId="77777777" w:rsidR="00F970D2" w:rsidRPr="006050E8" w:rsidRDefault="00F970D2" w:rsidP="001224CB">
            <w:pPr>
              <w:jc w:val="right"/>
              <w:rPr>
                <w:vanish/>
                <w:sz w:val="16"/>
                <w:szCs w:val="16"/>
                <w:lang w:val="es-ES"/>
              </w:rPr>
            </w:pPr>
            <w:r w:rsidRPr="006050E8">
              <w:rPr>
                <w:vanish/>
                <w:sz w:val="16"/>
                <w:lang w:val="es-ES" w:eastAsia="en-CA"/>
              </w:rPr>
              <w:t>1,354,611</w:t>
            </w:r>
          </w:p>
        </w:tc>
        <w:tc>
          <w:tcPr>
            <w:tcW w:w="856" w:type="dxa"/>
            <w:tcBorders>
              <w:top w:val="nil"/>
              <w:left w:val="nil"/>
              <w:bottom w:val="single" w:sz="4" w:space="0" w:color="auto"/>
              <w:right w:val="single" w:sz="4" w:space="0" w:color="auto"/>
            </w:tcBorders>
            <w:shd w:val="clear" w:color="auto" w:fill="auto"/>
            <w:noWrap/>
            <w:hideMark/>
          </w:tcPr>
          <w:p w14:paraId="46774363" w14:textId="77777777" w:rsidR="00F970D2" w:rsidRPr="006050E8" w:rsidRDefault="00F970D2" w:rsidP="001224CB">
            <w:pPr>
              <w:jc w:val="right"/>
              <w:rPr>
                <w:vanish/>
                <w:sz w:val="16"/>
                <w:szCs w:val="16"/>
                <w:lang w:val="es-ES"/>
              </w:rPr>
            </w:pPr>
            <w:r w:rsidRPr="006050E8">
              <w:rPr>
                <w:vanish/>
                <w:sz w:val="16"/>
                <w:lang w:val="es-ES" w:eastAsia="en-CA"/>
              </w:rPr>
              <w:t>1,386,593</w:t>
            </w:r>
          </w:p>
        </w:tc>
        <w:tc>
          <w:tcPr>
            <w:tcW w:w="856" w:type="dxa"/>
            <w:tcBorders>
              <w:top w:val="nil"/>
              <w:left w:val="single" w:sz="4" w:space="0" w:color="auto"/>
              <w:bottom w:val="single" w:sz="4" w:space="0" w:color="auto"/>
              <w:right w:val="single" w:sz="4" w:space="0" w:color="auto"/>
            </w:tcBorders>
            <w:shd w:val="clear" w:color="auto" w:fill="auto"/>
            <w:noWrap/>
            <w:hideMark/>
          </w:tcPr>
          <w:p w14:paraId="68611663" w14:textId="77777777" w:rsidR="00F970D2" w:rsidRPr="006050E8" w:rsidRDefault="00F970D2" w:rsidP="001224CB">
            <w:pPr>
              <w:jc w:val="right"/>
              <w:rPr>
                <w:vanish/>
                <w:sz w:val="16"/>
                <w:szCs w:val="16"/>
                <w:lang w:val="es-ES"/>
              </w:rPr>
            </w:pPr>
            <w:r w:rsidRPr="006050E8">
              <w:rPr>
                <w:vanish/>
                <w:sz w:val="16"/>
                <w:lang w:val="es-ES" w:eastAsia="en-CA"/>
              </w:rPr>
              <w:t>1,352,699</w:t>
            </w:r>
          </w:p>
        </w:tc>
        <w:tc>
          <w:tcPr>
            <w:tcW w:w="856" w:type="dxa"/>
            <w:tcBorders>
              <w:top w:val="nil"/>
              <w:left w:val="nil"/>
              <w:bottom w:val="single" w:sz="4" w:space="0" w:color="auto"/>
              <w:right w:val="single" w:sz="4" w:space="0" w:color="auto"/>
            </w:tcBorders>
            <w:shd w:val="clear" w:color="auto" w:fill="auto"/>
            <w:noWrap/>
            <w:hideMark/>
          </w:tcPr>
          <w:p w14:paraId="6FA4C39B" w14:textId="77777777" w:rsidR="00F970D2" w:rsidRPr="006050E8" w:rsidRDefault="00F970D2" w:rsidP="001224CB">
            <w:pPr>
              <w:jc w:val="right"/>
              <w:rPr>
                <w:vanish/>
                <w:sz w:val="16"/>
                <w:szCs w:val="16"/>
                <w:lang w:val="es-ES"/>
              </w:rPr>
            </w:pPr>
            <w:r w:rsidRPr="006050E8">
              <w:rPr>
                <w:vanish/>
                <w:sz w:val="16"/>
                <w:lang w:val="es-ES" w:eastAsia="en-CA"/>
              </w:rPr>
              <w:t>1,586,200</w:t>
            </w:r>
          </w:p>
        </w:tc>
        <w:tc>
          <w:tcPr>
            <w:tcW w:w="931" w:type="dxa"/>
            <w:tcBorders>
              <w:top w:val="nil"/>
              <w:left w:val="nil"/>
              <w:bottom w:val="single" w:sz="4" w:space="0" w:color="auto"/>
              <w:right w:val="single" w:sz="4" w:space="0" w:color="auto"/>
            </w:tcBorders>
            <w:shd w:val="clear" w:color="auto" w:fill="auto"/>
            <w:noWrap/>
            <w:hideMark/>
          </w:tcPr>
          <w:p w14:paraId="1EF103E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762,100</w:t>
            </w:r>
          </w:p>
        </w:tc>
        <w:tc>
          <w:tcPr>
            <w:tcW w:w="936" w:type="dxa"/>
            <w:tcBorders>
              <w:top w:val="nil"/>
              <w:left w:val="nil"/>
              <w:bottom w:val="single" w:sz="4" w:space="0" w:color="auto"/>
              <w:right w:val="single" w:sz="4" w:space="0" w:color="auto"/>
            </w:tcBorders>
            <w:shd w:val="clear" w:color="auto" w:fill="auto"/>
            <w:noWrap/>
            <w:hideMark/>
          </w:tcPr>
          <w:p w14:paraId="1F2E77E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1,686,200</w:t>
            </w:r>
          </w:p>
        </w:tc>
      </w:tr>
      <w:tr w:rsidR="00F970D2" w:rsidRPr="006050E8" w14:paraId="6DB8140C" w14:textId="77777777" w:rsidTr="001224CB">
        <w:trPr>
          <w:trHeight w:val="72"/>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F8F5025" w14:textId="77777777" w:rsidR="00F970D2" w:rsidRPr="006050E8" w:rsidRDefault="00F970D2" w:rsidP="001224CB">
            <w:pPr>
              <w:rPr>
                <w:vanish/>
                <w:color w:val="000000"/>
                <w:sz w:val="16"/>
                <w:szCs w:val="16"/>
                <w:lang w:val="es-ES"/>
              </w:rPr>
            </w:pPr>
            <w:r w:rsidRPr="006050E8">
              <w:rPr>
                <w:vanish/>
                <w:color w:val="000000"/>
                <w:sz w:val="16"/>
                <w:lang w:val="es-ES"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noWrap/>
            <w:hideMark/>
          </w:tcPr>
          <w:p w14:paraId="680282B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35CA5D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5452949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F1AAE1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D953DE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2175DFA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4211DDB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42746DD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07A74E5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8761D87"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2657926B"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0898EC90"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0A017C34" w14:textId="77777777" w:rsidTr="001224CB">
        <w:trPr>
          <w:trHeight w:val="145"/>
          <w:hidden/>
        </w:trPr>
        <w:tc>
          <w:tcPr>
            <w:tcW w:w="3415" w:type="dxa"/>
            <w:tcBorders>
              <w:top w:val="nil"/>
              <w:left w:val="single" w:sz="4" w:space="0" w:color="auto"/>
              <w:bottom w:val="single" w:sz="4" w:space="0" w:color="auto"/>
              <w:right w:val="single" w:sz="4" w:space="0" w:color="auto"/>
            </w:tcBorders>
            <w:shd w:val="clear" w:color="auto" w:fill="auto"/>
            <w:noWrap/>
            <w:hideMark/>
          </w:tcPr>
          <w:p w14:paraId="49E5F1FE"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noWrap/>
            <w:hideMark/>
          </w:tcPr>
          <w:p w14:paraId="15816AD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0EBFA6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7F2A59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52C6D5E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1093FD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AE3AA3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B0520C0"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EC61E66"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0188EED3"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D3EB7DE" w14:textId="77777777" w:rsidR="00F970D2" w:rsidRPr="006050E8" w:rsidRDefault="00F970D2" w:rsidP="001224CB">
            <w:pPr>
              <w:jc w:val="right"/>
              <w:rPr>
                <w:vanish/>
                <w:sz w:val="16"/>
                <w:szCs w:val="16"/>
                <w:lang w:val="es-ES"/>
              </w:rPr>
            </w:pPr>
            <w:r w:rsidRPr="006050E8">
              <w:rPr>
                <w:vanish/>
                <w:sz w:val="16"/>
                <w:lang w:val="es-ES" w:eastAsia="en-CA"/>
              </w:rPr>
              <w:t> </w:t>
            </w:r>
          </w:p>
        </w:tc>
        <w:tc>
          <w:tcPr>
            <w:tcW w:w="931" w:type="dxa"/>
            <w:tcBorders>
              <w:top w:val="nil"/>
              <w:left w:val="nil"/>
              <w:bottom w:val="single" w:sz="4" w:space="0" w:color="auto"/>
              <w:right w:val="single" w:sz="4" w:space="0" w:color="auto"/>
            </w:tcBorders>
            <w:shd w:val="clear" w:color="auto" w:fill="auto"/>
            <w:noWrap/>
            <w:hideMark/>
          </w:tcPr>
          <w:p w14:paraId="6A20A7B9"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6" w:type="dxa"/>
            <w:tcBorders>
              <w:top w:val="nil"/>
              <w:left w:val="nil"/>
              <w:bottom w:val="single" w:sz="4" w:space="0" w:color="auto"/>
              <w:right w:val="single" w:sz="4" w:space="0" w:color="auto"/>
            </w:tcBorders>
            <w:shd w:val="clear" w:color="auto" w:fill="auto"/>
            <w:noWrap/>
            <w:hideMark/>
          </w:tcPr>
          <w:p w14:paraId="01CF5521"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3DF9DBCC"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7606869F" w14:textId="77777777" w:rsidR="00F970D2" w:rsidRPr="006050E8" w:rsidRDefault="00F970D2" w:rsidP="001224CB">
            <w:pPr>
              <w:rPr>
                <w:vanish/>
                <w:color w:val="000000"/>
                <w:sz w:val="16"/>
                <w:szCs w:val="16"/>
                <w:lang w:val="es-ES"/>
              </w:rPr>
            </w:pPr>
            <w:r w:rsidRPr="006050E8">
              <w:rPr>
                <w:vanish/>
                <w:color w:val="000000"/>
                <w:sz w:val="16"/>
                <w:lang w:val="es-ES" w:eastAsia="en-CA"/>
              </w:rPr>
              <w:t>Cost recovery</w:t>
            </w:r>
          </w:p>
        </w:tc>
        <w:tc>
          <w:tcPr>
            <w:tcW w:w="856" w:type="dxa"/>
            <w:tcBorders>
              <w:top w:val="nil"/>
              <w:left w:val="nil"/>
              <w:bottom w:val="single" w:sz="4" w:space="0" w:color="auto"/>
              <w:right w:val="single" w:sz="4" w:space="0" w:color="auto"/>
            </w:tcBorders>
            <w:shd w:val="clear" w:color="auto" w:fill="auto"/>
            <w:noWrap/>
            <w:hideMark/>
          </w:tcPr>
          <w:p w14:paraId="7367674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0F2048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FA3B07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5B68D4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7564C1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54B1AE6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F7D5B8C"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472DDC6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456E483E"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2D65C06"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6495226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48569E0B"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21C9A994"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3571E5BF" w14:textId="77777777" w:rsidR="00F970D2" w:rsidRPr="006050E8" w:rsidRDefault="00F970D2" w:rsidP="001224CB">
            <w:pPr>
              <w:rPr>
                <w:vanish/>
                <w:color w:val="000000"/>
                <w:sz w:val="16"/>
                <w:szCs w:val="16"/>
                <w:lang w:val="es-ES"/>
              </w:rPr>
            </w:pPr>
            <w:r w:rsidRPr="006050E8">
              <w:rPr>
                <w:vanish/>
                <w:color w:val="000000"/>
                <w:sz w:val="16"/>
                <w:lang w:val="es-ES" w:eastAsia="en-CA"/>
              </w:rPr>
              <w:t>Adjustments (+ = overrun and - = underuse)</w:t>
            </w:r>
          </w:p>
        </w:tc>
        <w:tc>
          <w:tcPr>
            <w:tcW w:w="856" w:type="dxa"/>
            <w:tcBorders>
              <w:top w:val="nil"/>
              <w:left w:val="nil"/>
              <w:bottom w:val="single" w:sz="4" w:space="0" w:color="auto"/>
              <w:right w:val="single" w:sz="4" w:space="0" w:color="auto"/>
            </w:tcBorders>
            <w:shd w:val="clear" w:color="auto" w:fill="auto"/>
            <w:noWrap/>
            <w:hideMark/>
          </w:tcPr>
          <w:p w14:paraId="6D87928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276,539</w:t>
            </w:r>
          </w:p>
        </w:tc>
        <w:tc>
          <w:tcPr>
            <w:tcW w:w="856" w:type="dxa"/>
            <w:tcBorders>
              <w:top w:val="nil"/>
              <w:left w:val="nil"/>
              <w:bottom w:val="single" w:sz="4" w:space="0" w:color="auto"/>
              <w:right w:val="single" w:sz="4" w:space="0" w:color="auto"/>
            </w:tcBorders>
            <w:shd w:val="clear" w:color="auto" w:fill="auto"/>
            <w:noWrap/>
            <w:hideMark/>
          </w:tcPr>
          <w:p w14:paraId="050DED9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381,947</w:t>
            </w:r>
          </w:p>
        </w:tc>
        <w:tc>
          <w:tcPr>
            <w:tcW w:w="856" w:type="dxa"/>
            <w:tcBorders>
              <w:top w:val="nil"/>
              <w:left w:val="nil"/>
              <w:bottom w:val="single" w:sz="4" w:space="0" w:color="auto"/>
              <w:right w:val="single" w:sz="4" w:space="0" w:color="auto"/>
            </w:tcBorders>
            <w:shd w:val="clear" w:color="auto" w:fill="auto"/>
            <w:noWrap/>
            <w:hideMark/>
          </w:tcPr>
          <w:p w14:paraId="0261511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99,058</w:t>
            </w:r>
          </w:p>
        </w:tc>
        <w:tc>
          <w:tcPr>
            <w:tcW w:w="856" w:type="dxa"/>
            <w:tcBorders>
              <w:top w:val="nil"/>
              <w:left w:val="nil"/>
              <w:bottom w:val="single" w:sz="4" w:space="0" w:color="auto"/>
              <w:right w:val="single" w:sz="4" w:space="0" w:color="auto"/>
            </w:tcBorders>
            <w:shd w:val="clear" w:color="auto" w:fill="auto"/>
            <w:noWrap/>
            <w:hideMark/>
          </w:tcPr>
          <w:p w14:paraId="6A719E6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7,771</w:t>
            </w:r>
          </w:p>
        </w:tc>
        <w:tc>
          <w:tcPr>
            <w:tcW w:w="856" w:type="dxa"/>
            <w:tcBorders>
              <w:top w:val="nil"/>
              <w:left w:val="nil"/>
              <w:bottom w:val="single" w:sz="4" w:space="0" w:color="auto"/>
              <w:right w:val="single" w:sz="4" w:space="0" w:color="auto"/>
            </w:tcBorders>
            <w:shd w:val="clear" w:color="auto" w:fill="auto"/>
            <w:noWrap/>
            <w:hideMark/>
          </w:tcPr>
          <w:p w14:paraId="23D6993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44,985</w:t>
            </w:r>
          </w:p>
        </w:tc>
        <w:tc>
          <w:tcPr>
            <w:tcW w:w="856" w:type="dxa"/>
            <w:tcBorders>
              <w:top w:val="nil"/>
              <w:left w:val="nil"/>
              <w:bottom w:val="single" w:sz="4" w:space="0" w:color="auto"/>
              <w:right w:val="single" w:sz="4" w:space="0" w:color="auto"/>
            </w:tcBorders>
            <w:shd w:val="clear" w:color="auto" w:fill="auto"/>
            <w:noWrap/>
            <w:hideMark/>
          </w:tcPr>
          <w:p w14:paraId="7AC145A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205,200</w:t>
            </w:r>
          </w:p>
        </w:tc>
        <w:tc>
          <w:tcPr>
            <w:tcW w:w="856" w:type="dxa"/>
            <w:tcBorders>
              <w:top w:val="nil"/>
              <w:left w:val="nil"/>
              <w:bottom w:val="single" w:sz="4" w:space="0" w:color="auto"/>
              <w:right w:val="single" w:sz="4" w:space="0" w:color="auto"/>
            </w:tcBorders>
            <w:shd w:val="clear" w:color="auto" w:fill="auto"/>
            <w:noWrap/>
            <w:hideMark/>
          </w:tcPr>
          <w:p w14:paraId="639ABE22"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427D18DC" w14:textId="77777777" w:rsidR="00F970D2" w:rsidRPr="006050E8" w:rsidRDefault="00F970D2" w:rsidP="001224CB">
            <w:pPr>
              <w:jc w:val="right"/>
              <w:rPr>
                <w:vanish/>
                <w:sz w:val="16"/>
                <w:szCs w:val="16"/>
                <w:lang w:val="es-ES"/>
              </w:rPr>
            </w:pPr>
            <w:r w:rsidRPr="006050E8">
              <w:rPr>
                <w:vanish/>
                <w:sz w:val="16"/>
                <w:lang w:val="es-ES" w:eastAsia="en-CA"/>
              </w:rPr>
              <w:t>24,066</w:t>
            </w:r>
          </w:p>
        </w:tc>
        <w:tc>
          <w:tcPr>
            <w:tcW w:w="856" w:type="dxa"/>
            <w:tcBorders>
              <w:top w:val="nil"/>
              <w:left w:val="single" w:sz="4" w:space="0" w:color="auto"/>
              <w:bottom w:val="single" w:sz="4" w:space="0" w:color="auto"/>
              <w:right w:val="single" w:sz="4" w:space="0" w:color="auto"/>
            </w:tcBorders>
            <w:shd w:val="clear" w:color="auto" w:fill="auto"/>
            <w:noWrap/>
            <w:hideMark/>
          </w:tcPr>
          <w:p w14:paraId="542F8916"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EAAF0AD"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3EDFF4F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-202,300</w:t>
            </w:r>
          </w:p>
        </w:tc>
        <w:tc>
          <w:tcPr>
            <w:tcW w:w="936" w:type="dxa"/>
            <w:tcBorders>
              <w:top w:val="nil"/>
              <w:left w:val="nil"/>
              <w:bottom w:val="single" w:sz="4" w:space="0" w:color="auto"/>
              <w:right w:val="single" w:sz="4" w:space="0" w:color="auto"/>
            </w:tcBorders>
            <w:shd w:val="clear" w:color="auto" w:fill="auto"/>
            <w:noWrap/>
            <w:hideMark/>
          </w:tcPr>
          <w:p w14:paraId="30C5729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240,746</w:t>
            </w:r>
          </w:p>
        </w:tc>
      </w:tr>
      <w:tr w:rsidR="00F970D2" w:rsidRPr="006050E8" w14:paraId="5EC90157" w14:textId="77777777" w:rsidTr="001224CB">
        <w:trPr>
          <w:trHeight w:val="99"/>
          <w:hidden/>
        </w:trPr>
        <w:tc>
          <w:tcPr>
            <w:tcW w:w="3415" w:type="dxa"/>
            <w:tcBorders>
              <w:top w:val="nil"/>
              <w:left w:val="single" w:sz="4" w:space="0" w:color="auto"/>
              <w:bottom w:val="single" w:sz="4" w:space="0" w:color="auto"/>
              <w:right w:val="single" w:sz="4" w:space="0" w:color="auto"/>
            </w:tcBorders>
            <w:shd w:val="clear" w:color="auto" w:fill="auto"/>
            <w:noWrap/>
            <w:hideMark/>
          </w:tcPr>
          <w:p w14:paraId="507B5860" w14:textId="77777777" w:rsidR="00F970D2" w:rsidRPr="006050E8" w:rsidRDefault="00F970D2" w:rsidP="001224CB">
            <w:pPr>
              <w:rPr>
                <w:vanish/>
                <w:color w:val="000000"/>
                <w:sz w:val="16"/>
                <w:szCs w:val="16"/>
                <w:lang w:val="es-ES"/>
              </w:rPr>
            </w:pPr>
            <w:r w:rsidRPr="006050E8">
              <w:rPr>
                <w:vanish/>
                <w:color w:val="000000"/>
                <w:sz w:val="16"/>
                <w:lang w:val="es-ES"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noWrap/>
            <w:hideMark/>
          </w:tcPr>
          <w:p w14:paraId="26FA2AE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64C931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2B3DBE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907309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53E0C3C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-187,800</w:t>
            </w:r>
          </w:p>
        </w:tc>
        <w:tc>
          <w:tcPr>
            <w:tcW w:w="856" w:type="dxa"/>
            <w:tcBorders>
              <w:top w:val="nil"/>
              <w:left w:val="nil"/>
              <w:bottom w:val="single" w:sz="4" w:space="0" w:color="auto"/>
              <w:right w:val="single" w:sz="4" w:space="0" w:color="auto"/>
            </w:tcBorders>
            <w:shd w:val="clear" w:color="auto" w:fill="auto"/>
            <w:noWrap/>
            <w:hideMark/>
          </w:tcPr>
          <w:p w14:paraId="70C2E9A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-134,800</w:t>
            </w:r>
          </w:p>
        </w:tc>
        <w:tc>
          <w:tcPr>
            <w:tcW w:w="856" w:type="dxa"/>
            <w:tcBorders>
              <w:top w:val="nil"/>
              <w:left w:val="nil"/>
              <w:bottom w:val="single" w:sz="4" w:space="0" w:color="auto"/>
              <w:right w:val="single" w:sz="4" w:space="0" w:color="auto"/>
            </w:tcBorders>
            <w:shd w:val="clear" w:color="auto" w:fill="auto"/>
            <w:noWrap/>
            <w:hideMark/>
          </w:tcPr>
          <w:p w14:paraId="008B89E3" w14:textId="77777777" w:rsidR="00F970D2" w:rsidRPr="006050E8" w:rsidRDefault="00F970D2" w:rsidP="001224CB">
            <w:pPr>
              <w:jc w:val="right"/>
              <w:rPr>
                <w:vanish/>
                <w:sz w:val="16"/>
                <w:szCs w:val="16"/>
                <w:lang w:val="es-ES"/>
              </w:rPr>
            </w:pPr>
            <w:r w:rsidRPr="006050E8">
              <w:rPr>
                <w:vanish/>
                <w:sz w:val="16"/>
                <w:lang w:val="es-ES" w:eastAsia="en-CA"/>
              </w:rPr>
              <w:t>-136,283</w:t>
            </w:r>
          </w:p>
        </w:tc>
        <w:tc>
          <w:tcPr>
            <w:tcW w:w="856" w:type="dxa"/>
            <w:tcBorders>
              <w:top w:val="nil"/>
              <w:left w:val="nil"/>
              <w:bottom w:val="single" w:sz="4" w:space="0" w:color="auto"/>
              <w:right w:val="single" w:sz="4" w:space="0" w:color="auto"/>
            </w:tcBorders>
            <w:shd w:val="clear" w:color="auto" w:fill="auto"/>
            <w:noWrap/>
            <w:hideMark/>
          </w:tcPr>
          <w:p w14:paraId="04357CA5" w14:textId="77777777" w:rsidR="00F970D2" w:rsidRPr="006050E8" w:rsidRDefault="00F970D2" w:rsidP="001224CB">
            <w:pPr>
              <w:jc w:val="right"/>
              <w:rPr>
                <w:vanish/>
                <w:sz w:val="16"/>
                <w:szCs w:val="16"/>
                <w:lang w:val="es-ES"/>
              </w:rPr>
            </w:pPr>
            <w:r w:rsidRPr="006050E8">
              <w:rPr>
                <w:vanish/>
                <w:sz w:val="16"/>
                <w:lang w:val="es-ES" w:eastAsia="en-CA"/>
              </w:rPr>
              <w:t>-38,099</w:t>
            </w:r>
          </w:p>
        </w:tc>
        <w:tc>
          <w:tcPr>
            <w:tcW w:w="856" w:type="dxa"/>
            <w:tcBorders>
              <w:top w:val="nil"/>
              <w:left w:val="single" w:sz="4" w:space="0" w:color="auto"/>
              <w:bottom w:val="single" w:sz="4" w:space="0" w:color="auto"/>
              <w:right w:val="single" w:sz="4" w:space="0" w:color="auto"/>
            </w:tcBorders>
            <w:shd w:val="clear" w:color="auto" w:fill="auto"/>
            <w:noWrap/>
            <w:hideMark/>
          </w:tcPr>
          <w:p w14:paraId="12FB7BBF"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54C6F70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1" w:type="dxa"/>
            <w:tcBorders>
              <w:top w:val="nil"/>
              <w:left w:val="nil"/>
              <w:bottom w:val="single" w:sz="4" w:space="0" w:color="auto"/>
              <w:right w:val="single" w:sz="4" w:space="0" w:color="auto"/>
            </w:tcBorders>
            <w:shd w:val="clear" w:color="auto" w:fill="auto"/>
            <w:noWrap/>
            <w:hideMark/>
          </w:tcPr>
          <w:p w14:paraId="6FFFC1A8" w14:textId="77777777" w:rsidR="00F970D2" w:rsidRPr="006050E8" w:rsidRDefault="00F970D2" w:rsidP="001224CB">
            <w:pPr>
              <w:jc w:val="right"/>
              <w:rPr>
                <w:vanish/>
                <w:sz w:val="16"/>
                <w:szCs w:val="16"/>
                <w:lang w:val="es-ES"/>
              </w:rPr>
            </w:pPr>
            <w:r w:rsidRPr="006050E8">
              <w:rPr>
                <w:vanish/>
                <w:sz w:val="16"/>
                <w:lang w:val="es-ES" w:eastAsia="en-CA"/>
              </w:rPr>
              <w:t>0</w:t>
            </w:r>
          </w:p>
        </w:tc>
        <w:tc>
          <w:tcPr>
            <w:tcW w:w="936" w:type="dxa"/>
            <w:tcBorders>
              <w:top w:val="nil"/>
              <w:left w:val="nil"/>
              <w:bottom w:val="single" w:sz="4" w:space="0" w:color="auto"/>
              <w:right w:val="single" w:sz="4" w:space="0" w:color="auto"/>
            </w:tcBorders>
            <w:shd w:val="clear" w:color="auto" w:fill="auto"/>
            <w:noWrap/>
            <w:hideMark/>
          </w:tcPr>
          <w:p w14:paraId="41B52E96" w14:textId="77777777" w:rsidR="00F970D2" w:rsidRPr="006050E8" w:rsidRDefault="00F970D2" w:rsidP="001224CB">
            <w:pPr>
              <w:jc w:val="right"/>
              <w:rPr>
                <w:vanish/>
                <w:sz w:val="16"/>
                <w:szCs w:val="16"/>
                <w:lang w:val="es-ES"/>
              </w:rPr>
            </w:pPr>
            <w:r w:rsidRPr="006050E8">
              <w:rPr>
                <w:vanish/>
                <w:sz w:val="16"/>
                <w:lang w:val="es-ES" w:eastAsia="en-CA"/>
              </w:rPr>
              <w:t>0</w:t>
            </w:r>
          </w:p>
        </w:tc>
      </w:tr>
      <w:tr w:rsidR="00F970D2" w:rsidRPr="006050E8" w14:paraId="789CB34F"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0454011"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noWrap/>
            <w:hideMark/>
          </w:tcPr>
          <w:p w14:paraId="5BB7C7BB"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4763EE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758FCD0"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BE794EC"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2E490803"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2,602,985</w:t>
            </w:r>
          </w:p>
        </w:tc>
        <w:tc>
          <w:tcPr>
            <w:tcW w:w="856" w:type="dxa"/>
            <w:tcBorders>
              <w:top w:val="nil"/>
              <w:left w:val="nil"/>
              <w:bottom w:val="single" w:sz="4" w:space="0" w:color="auto"/>
              <w:right w:val="single" w:sz="4" w:space="0" w:color="auto"/>
            </w:tcBorders>
            <w:shd w:val="clear" w:color="auto" w:fill="auto"/>
            <w:noWrap/>
            <w:hideMark/>
          </w:tcPr>
          <w:p w14:paraId="42C532A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2,357,900</w:t>
            </w:r>
          </w:p>
        </w:tc>
        <w:tc>
          <w:tcPr>
            <w:tcW w:w="856" w:type="dxa"/>
            <w:tcBorders>
              <w:top w:val="nil"/>
              <w:left w:val="nil"/>
              <w:bottom w:val="single" w:sz="4" w:space="0" w:color="auto"/>
              <w:right w:val="single" w:sz="4" w:space="0" w:color="auto"/>
            </w:tcBorders>
            <w:shd w:val="clear" w:color="auto" w:fill="auto"/>
            <w:noWrap/>
            <w:hideMark/>
          </w:tcPr>
          <w:p w14:paraId="22362404" w14:textId="77777777" w:rsidR="00F970D2" w:rsidRPr="006050E8" w:rsidRDefault="00F970D2" w:rsidP="001224CB">
            <w:pPr>
              <w:jc w:val="right"/>
              <w:rPr>
                <w:b/>
                <w:bCs/>
                <w:vanish/>
                <w:sz w:val="16"/>
                <w:szCs w:val="16"/>
                <w:lang w:val="es-ES"/>
              </w:rPr>
            </w:pPr>
            <w:r w:rsidRPr="006050E8">
              <w:rPr>
                <w:b/>
                <w:vanish/>
                <w:sz w:val="16"/>
                <w:lang w:val="es-ES" w:eastAsia="en-CA"/>
              </w:rPr>
              <w:t>1,948,182</w:t>
            </w:r>
          </w:p>
        </w:tc>
        <w:tc>
          <w:tcPr>
            <w:tcW w:w="856" w:type="dxa"/>
            <w:tcBorders>
              <w:top w:val="nil"/>
              <w:left w:val="nil"/>
              <w:bottom w:val="single" w:sz="4" w:space="0" w:color="auto"/>
              <w:right w:val="single" w:sz="4" w:space="0" w:color="auto"/>
            </w:tcBorders>
            <w:shd w:val="clear" w:color="auto" w:fill="auto"/>
            <w:noWrap/>
            <w:hideMark/>
          </w:tcPr>
          <w:p w14:paraId="12106906" w14:textId="77777777" w:rsidR="00F970D2" w:rsidRPr="006050E8" w:rsidRDefault="00F970D2" w:rsidP="001224CB">
            <w:pPr>
              <w:jc w:val="right"/>
              <w:rPr>
                <w:b/>
                <w:bCs/>
                <w:vanish/>
                <w:sz w:val="16"/>
                <w:szCs w:val="16"/>
                <w:lang w:val="es-ES"/>
              </w:rPr>
            </w:pPr>
            <w:r w:rsidRPr="006050E8">
              <w:rPr>
                <w:b/>
                <w:vanish/>
                <w:sz w:val="16"/>
                <w:lang w:val="es-ES" w:eastAsia="en-CA"/>
              </w:rPr>
              <w:t>2,712,163</w:t>
            </w:r>
          </w:p>
        </w:tc>
        <w:tc>
          <w:tcPr>
            <w:tcW w:w="856" w:type="dxa"/>
            <w:tcBorders>
              <w:top w:val="nil"/>
              <w:left w:val="single" w:sz="4" w:space="0" w:color="auto"/>
              <w:bottom w:val="single" w:sz="4" w:space="0" w:color="auto"/>
              <w:right w:val="single" w:sz="4" w:space="0" w:color="auto"/>
            </w:tcBorders>
            <w:shd w:val="clear" w:color="auto" w:fill="auto"/>
            <w:noWrap/>
            <w:hideMark/>
          </w:tcPr>
          <w:p w14:paraId="1A99CE2B" w14:textId="77777777" w:rsidR="00F970D2" w:rsidRPr="006050E8" w:rsidRDefault="00F970D2" w:rsidP="001224CB">
            <w:pPr>
              <w:jc w:val="right"/>
              <w:rPr>
                <w:b/>
                <w:bCs/>
                <w:vanish/>
                <w:sz w:val="16"/>
                <w:szCs w:val="16"/>
                <w:lang w:val="es-ES"/>
              </w:rPr>
            </w:pPr>
            <w:r w:rsidRPr="006050E8">
              <w:rPr>
                <w:b/>
                <w:vanish/>
                <w:sz w:val="16"/>
                <w:lang w:val="es-ES" w:eastAsia="en-CA"/>
              </w:rPr>
              <w:t>2,167,455</w:t>
            </w:r>
          </w:p>
        </w:tc>
        <w:tc>
          <w:tcPr>
            <w:tcW w:w="856" w:type="dxa"/>
            <w:tcBorders>
              <w:top w:val="nil"/>
              <w:left w:val="nil"/>
              <w:bottom w:val="single" w:sz="4" w:space="0" w:color="auto"/>
              <w:right w:val="single" w:sz="4" w:space="0" w:color="auto"/>
            </w:tcBorders>
            <w:shd w:val="clear" w:color="auto" w:fill="auto"/>
            <w:noWrap/>
            <w:hideMark/>
          </w:tcPr>
          <w:p w14:paraId="198709EF" w14:textId="77777777" w:rsidR="00F970D2" w:rsidRPr="006050E8" w:rsidRDefault="00F970D2" w:rsidP="001224CB">
            <w:pPr>
              <w:jc w:val="right"/>
              <w:rPr>
                <w:b/>
                <w:bCs/>
                <w:vanish/>
                <w:sz w:val="16"/>
                <w:szCs w:val="16"/>
                <w:lang w:val="es-ES"/>
              </w:rPr>
            </w:pPr>
            <w:r w:rsidRPr="006050E8">
              <w:rPr>
                <w:b/>
                <w:vanish/>
                <w:sz w:val="16"/>
                <w:lang w:val="es-ES" w:eastAsia="en-CA"/>
              </w:rPr>
              <w:t>3,030,200</w:t>
            </w:r>
          </w:p>
        </w:tc>
        <w:tc>
          <w:tcPr>
            <w:tcW w:w="931" w:type="dxa"/>
            <w:tcBorders>
              <w:top w:val="nil"/>
              <w:left w:val="nil"/>
              <w:bottom w:val="single" w:sz="4" w:space="0" w:color="auto"/>
              <w:right w:val="single" w:sz="4" w:space="0" w:color="auto"/>
            </w:tcBorders>
            <w:shd w:val="clear" w:color="auto" w:fill="auto"/>
            <w:noWrap/>
            <w:hideMark/>
          </w:tcPr>
          <w:p w14:paraId="6C94E625" w14:textId="77777777" w:rsidR="00F970D2" w:rsidRPr="006050E8" w:rsidRDefault="00F970D2" w:rsidP="001224CB">
            <w:pPr>
              <w:jc w:val="right"/>
              <w:rPr>
                <w:b/>
                <w:bCs/>
                <w:vanish/>
                <w:sz w:val="16"/>
                <w:szCs w:val="16"/>
                <w:lang w:val="es-ES"/>
              </w:rPr>
            </w:pPr>
            <w:r w:rsidRPr="006050E8">
              <w:rPr>
                <w:b/>
                <w:vanish/>
                <w:sz w:val="16"/>
                <w:lang w:val="es-ES" w:eastAsia="en-CA"/>
              </w:rPr>
              <w:t>1,476,700</w:t>
            </w:r>
          </w:p>
        </w:tc>
        <w:tc>
          <w:tcPr>
            <w:tcW w:w="936" w:type="dxa"/>
            <w:tcBorders>
              <w:top w:val="nil"/>
              <w:left w:val="nil"/>
              <w:bottom w:val="single" w:sz="4" w:space="0" w:color="auto"/>
              <w:right w:val="single" w:sz="4" w:space="0" w:color="auto"/>
            </w:tcBorders>
            <w:shd w:val="clear" w:color="auto" w:fill="auto"/>
            <w:noWrap/>
            <w:hideMark/>
          </w:tcPr>
          <w:p w14:paraId="274E0EDB" w14:textId="77777777" w:rsidR="00F970D2" w:rsidRPr="006050E8" w:rsidRDefault="00F970D2" w:rsidP="001224CB">
            <w:pPr>
              <w:jc w:val="right"/>
              <w:rPr>
                <w:b/>
                <w:bCs/>
                <w:vanish/>
                <w:sz w:val="16"/>
                <w:szCs w:val="16"/>
                <w:lang w:val="es-ES"/>
              </w:rPr>
            </w:pPr>
            <w:r w:rsidRPr="006050E8">
              <w:rPr>
                <w:b/>
                <w:vanish/>
                <w:sz w:val="16"/>
                <w:lang w:val="es-ES" w:eastAsia="en-CA"/>
              </w:rPr>
              <w:t>2,833,746</w:t>
            </w:r>
          </w:p>
        </w:tc>
      </w:tr>
      <w:tr w:rsidR="00F970D2" w:rsidRPr="006050E8" w14:paraId="7AE9772A"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2E97D00B"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Total administrative support costs</w:t>
            </w:r>
          </w:p>
        </w:tc>
        <w:tc>
          <w:tcPr>
            <w:tcW w:w="856" w:type="dxa"/>
            <w:tcBorders>
              <w:top w:val="nil"/>
              <w:left w:val="nil"/>
              <w:bottom w:val="single" w:sz="4" w:space="0" w:color="auto"/>
              <w:right w:val="single" w:sz="4" w:space="0" w:color="auto"/>
            </w:tcBorders>
            <w:shd w:val="clear" w:color="auto" w:fill="auto"/>
            <w:noWrap/>
            <w:hideMark/>
          </w:tcPr>
          <w:p w14:paraId="1114F0AB"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6,980,300</w:t>
            </w:r>
          </w:p>
        </w:tc>
        <w:tc>
          <w:tcPr>
            <w:tcW w:w="856" w:type="dxa"/>
            <w:tcBorders>
              <w:top w:val="nil"/>
              <w:left w:val="nil"/>
              <w:bottom w:val="single" w:sz="4" w:space="0" w:color="auto"/>
              <w:right w:val="single" w:sz="4" w:space="0" w:color="auto"/>
            </w:tcBorders>
            <w:shd w:val="clear" w:color="auto" w:fill="auto"/>
            <w:noWrap/>
            <w:hideMark/>
          </w:tcPr>
          <w:p w14:paraId="6B618C36"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9,285,200</w:t>
            </w:r>
          </w:p>
        </w:tc>
        <w:tc>
          <w:tcPr>
            <w:tcW w:w="856" w:type="dxa"/>
            <w:tcBorders>
              <w:top w:val="nil"/>
              <w:left w:val="nil"/>
              <w:bottom w:val="single" w:sz="4" w:space="0" w:color="auto"/>
              <w:right w:val="single" w:sz="4" w:space="0" w:color="auto"/>
            </w:tcBorders>
            <w:shd w:val="clear" w:color="auto" w:fill="auto"/>
            <w:noWrap/>
            <w:hideMark/>
          </w:tcPr>
          <w:p w14:paraId="184CE762"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6,839,900</w:t>
            </w:r>
          </w:p>
        </w:tc>
        <w:tc>
          <w:tcPr>
            <w:tcW w:w="856" w:type="dxa"/>
            <w:tcBorders>
              <w:top w:val="nil"/>
              <w:left w:val="nil"/>
              <w:bottom w:val="single" w:sz="4" w:space="0" w:color="auto"/>
              <w:right w:val="single" w:sz="4" w:space="0" w:color="auto"/>
            </w:tcBorders>
            <w:shd w:val="clear" w:color="auto" w:fill="auto"/>
            <w:noWrap/>
            <w:hideMark/>
          </w:tcPr>
          <w:p w14:paraId="59556681"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5,651,400</w:t>
            </w:r>
          </w:p>
        </w:tc>
        <w:tc>
          <w:tcPr>
            <w:tcW w:w="856" w:type="dxa"/>
            <w:tcBorders>
              <w:top w:val="nil"/>
              <w:left w:val="nil"/>
              <w:bottom w:val="single" w:sz="4" w:space="0" w:color="auto"/>
              <w:right w:val="single" w:sz="4" w:space="0" w:color="auto"/>
            </w:tcBorders>
            <w:shd w:val="clear" w:color="auto" w:fill="auto"/>
            <w:noWrap/>
            <w:hideMark/>
          </w:tcPr>
          <w:p w14:paraId="3C4A3CC7"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70A76F0"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7818418" w14:textId="77777777" w:rsidR="00F970D2" w:rsidRPr="006050E8" w:rsidRDefault="00F970D2" w:rsidP="001224CB">
            <w:pPr>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EB55B51"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0E7D2106"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1689A8D"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31" w:type="dxa"/>
            <w:tcBorders>
              <w:top w:val="nil"/>
              <w:left w:val="nil"/>
              <w:bottom w:val="single" w:sz="4" w:space="0" w:color="auto"/>
              <w:right w:val="single" w:sz="4" w:space="0" w:color="auto"/>
            </w:tcBorders>
            <w:shd w:val="clear" w:color="auto" w:fill="auto"/>
            <w:noWrap/>
            <w:hideMark/>
          </w:tcPr>
          <w:p w14:paraId="54FDF5FA"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6" w:type="dxa"/>
            <w:tcBorders>
              <w:top w:val="nil"/>
              <w:left w:val="nil"/>
              <w:bottom w:val="single" w:sz="4" w:space="0" w:color="auto"/>
              <w:right w:val="single" w:sz="4" w:space="0" w:color="auto"/>
            </w:tcBorders>
            <w:shd w:val="clear" w:color="auto" w:fill="auto"/>
            <w:noWrap/>
            <w:hideMark/>
          </w:tcPr>
          <w:p w14:paraId="2DD2613F"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6E044D8D"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98D78D2"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 xml:space="preserve">Minus project-related costs </w:t>
            </w:r>
          </w:p>
        </w:tc>
        <w:tc>
          <w:tcPr>
            <w:tcW w:w="856" w:type="dxa"/>
            <w:tcBorders>
              <w:top w:val="nil"/>
              <w:left w:val="nil"/>
              <w:bottom w:val="single" w:sz="4" w:space="0" w:color="auto"/>
              <w:right w:val="single" w:sz="4" w:space="0" w:color="auto"/>
            </w:tcBorders>
            <w:shd w:val="clear" w:color="auto" w:fill="auto"/>
            <w:noWrap/>
            <w:hideMark/>
          </w:tcPr>
          <w:p w14:paraId="73610626" w14:textId="77777777" w:rsidR="00F970D2" w:rsidRPr="006050E8" w:rsidRDefault="00F970D2" w:rsidP="001224CB">
            <w:pPr>
              <w:ind w:left="-117"/>
              <w:jc w:val="right"/>
              <w:rPr>
                <w:vanish/>
                <w:color w:val="000000"/>
                <w:sz w:val="16"/>
                <w:szCs w:val="16"/>
                <w:lang w:val="es-ES"/>
              </w:rPr>
            </w:pPr>
            <w:r w:rsidRPr="006050E8">
              <w:rPr>
                <w:vanish/>
                <w:color w:val="000000"/>
                <w:sz w:val="16"/>
                <w:lang w:val="es-ES" w:eastAsia="en-CA"/>
              </w:rPr>
              <w:t>-1,798,710</w:t>
            </w:r>
          </w:p>
        </w:tc>
        <w:tc>
          <w:tcPr>
            <w:tcW w:w="856" w:type="dxa"/>
            <w:tcBorders>
              <w:top w:val="nil"/>
              <w:left w:val="nil"/>
              <w:bottom w:val="single" w:sz="4" w:space="0" w:color="auto"/>
              <w:right w:val="single" w:sz="4" w:space="0" w:color="auto"/>
            </w:tcBorders>
            <w:shd w:val="clear" w:color="auto" w:fill="auto"/>
            <w:noWrap/>
            <w:hideMark/>
          </w:tcPr>
          <w:p w14:paraId="6C35D54A" w14:textId="77777777" w:rsidR="00F970D2" w:rsidRPr="006050E8" w:rsidRDefault="00F970D2" w:rsidP="001224CB">
            <w:pPr>
              <w:ind w:left="-117"/>
              <w:jc w:val="right"/>
              <w:rPr>
                <w:vanish/>
                <w:color w:val="000000"/>
                <w:sz w:val="16"/>
                <w:szCs w:val="16"/>
                <w:lang w:val="es-ES"/>
              </w:rPr>
            </w:pPr>
            <w:r w:rsidRPr="006050E8">
              <w:rPr>
                <w:vanish/>
                <w:color w:val="000000"/>
                <w:sz w:val="16"/>
                <w:lang w:val="es-ES" w:eastAsia="en-CA"/>
              </w:rPr>
              <w:t>-2,464,200</w:t>
            </w:r>
          </w:p>
        </w:tc>
        <w:tc>
          <w:tcPr>
            <w:tcW w:w="856" w:type="dxa"/>
            <w:tcBorders>
              <w:top w:val="nil"/>
              <w:left w:val="nil"/>
              <w:bottom w:val="single" w:sz="4" w:space="0" w:color="auto"/>
              <w:right w:val="single" w:sz="4" w:space="0" w:color="auto"/>
            </w:tcBorders>
            <w:shd w:val="clear" w:color="auto" w:fill="auto"/>
            <w:noWrap/>
            <w:hideMark/>
          </w:tcPr>
          <w:p w14:paraId="684470E4" w14:textId="77777777" w:rsidR="00F970D2" w:rsidRPr="006050E8" w:rsidRDefault="00F970D2" w:rsidP="001224CB">
            <w:pPr>
              <w:ind w:left="-126"/>
              <w:jc w:val="right"/>
              <w:rPr>
                <w:vanish/>
                <w:color w:val="000000"/>
                <w:sz w:val="16"/>
                <w:szCs w:val="16"/>
                <w:lang w:val="es-ES"/>
              </w:rPr>
            </w:pPr>
            <w:r w:rsidRPr="006050E8">
              <w:rPr>
                <w:vanish/>
                <w:color w:val="000000"/>
                <w:sz w:val="16"/>
                <w:lang w:val="es-ES" w:eastAsia="en-CA"/>
              </w:rPr>
              <w:t>-2,308,000</w:t>
            </w:r>
          </w:p>
        </w:tc>
        <w:tc>
          <w:tcPr>
            <w:tcW w:w="856" w:type="dxa"/>
            <w:tcBorders>
              <w:top w:val="nil"/>
              <w:left w:val="nil"/>
              <w:bottom w:val="single" w:sz="4" w:space="0" w:color="auto"/>
              <w:right w:val="single" w:sz="4" w:space="0" w:color="auto"/>
            </w:tcBorders>
            <w:shd w:val="clear" w:color="auto" w:fill="auto"/>
            <w:noWrap/>
            <w:hideMark/>
          </w:tcPr>
          <w:p w14:paraId="24ABC22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-977,800</w:t>
            </w:r>
          </w:p>
        </w:tc>
        <w:tc>
          <w:tcPr>
            <w:tcW w:w="856" w:type="dxa"/>
            <w:tcBorders>
              <w:top w:val="nil"/>
              <w:left w:val="nil"/>
              <w:bottom w:val="single" w:sz="4" w:space="0" w:color="auto"/>
              <w:right w:val="single" w:sz="4" w:space="0" w:color="auto"/>
            </w:tcBorders>
            <w:shd w:val="clear" w:color="auto" w:fill="auto"/>
            <w:noWrap/>
            <w:hideMark/>
          </w:tcPr>
          <w:p w14:paraId="6C443E83"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11F1A75"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146BF83" w14:textId="77777777" w:rsidR="00F970D2" w:rsidRPr="006050E8" w:rsidRDefault="00F970D2" w:rsidP="001224CB">
            <w:pPr>
              <w:rPr>
                <w:b/>
                <w:bCs/>
                <w:vanish/>
                <w:sz w:val="16"/>
                <w:szCs w:val="16"/>
                <w:lang w:val="es-ES"/>
              </w:rPr>
            </w:pPr>
            <w:r w:rsidRPr="006050E8">
              <w:rPr>
                <w:b/>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22DE998"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7667405C" w14:textId="77777777" w:rsidR="00F970D2" w:rsidRPr="006050E8" w:rsidRDefault="00F970D2" w:rsidP="001224CB">
            <w:pPr>
              <w:jc w:val="left"/>
              <w:rPr>
                <w:vanish/>
                <w:sz w:val="16"/>
                <w:szCs w:val="16"/>
                <w:lang w:val="es-ES"/>
              </w:rPr>
            </w:pPr>
            <w:r w:rsidRPr="006050E8">
              <w:rPr>
                <w:vanish/>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721D08F2" w14:textId="77777777" w:rsidR="00F970D2" w:rsidRPr="006050E8" w:rsidRDefault="00F970D2" w:rsidP="001224CB">
            <w:pPr>
              <w:jc w:val="left"/>
              <w:rPr>
                <w:vanish/>
                <w:sz w:val="16"/>
                <w:szCs w:val="16"/>
                <w:lang w:val="es-ES"/>
              </w:rPr>
            </w:pPr>
            <w:r w:rsidRPr="006050E8">
              <w:rPr>
                <w:vanish/>
                <w:sz w:val="16"/>
                <w:lang w:val="es-ES" w:eastAsia="en-CA"/>
              </w:rPr>
              <w:t> </w:t>
            </w:r>
          </w:p>
        </w:tc>
        <w:tc>
          <w:tcPr>
            <w:tcW w:w="931" w:type="dxa"/>
            <w:tcBorders>
              <w:top w:val="nil"/>
              <w:left w:val="nil"/>
              <w:bottom w:val="single" w:sz="4" w:space="0" w:color="auto"/>
              <w:right w:val="single" w:sz="4" w:space="0" w:color="auto"/>
            </w:tcBorders>
            <w:shd w:val="clear" w:color="auto" w:fill="auto"/>
            <w:noWrap/>
            <w:hideMark/>
          </w:tcPr>
          <w:p w14:paraId="5EED321C"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36" w:type="dxa"/>
            <w:tcBorders>
              <w:top w:val="nil"/>
              <w:left w:val="nil"/>
              <w:bottom w:val="single" w:sz="4" w:space="0" w:color="auto"/>
              <w:right w:val="single" w:sz="4" w:space="0" w:color="auto"/>
            </w:tcBorders>
            <w:shd w:val="clear" w:color="auto" w:fill="auto"/>
            <w:noWrap/>
            <w:hideMark/>
          </w:tcPr>
          <w:p w14:paraId="4CA8424C"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36E5FCB0"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3620024D"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Grand total (A + B)**</w:t>
            </w:r>
          </w:p>
        </w:tc>
        <w:tc>
          <w:tcPr>
            <w:tcW w:w="856" w:type="dxa"/>
            <w:tcBorders>
              <w:top w:val="nil"/>
              <w:left w:val="nil"/>
              <w:bottom w:val="single" w:sz="4" w:space="0" w:color="auto"/>
              <w:right w:val="single" w:sz="4" w:space="0" w:color="auto"/>
            </w:tcBorders>
            <w:shd w:val="clear" w:color="auto" w:fill="auto"/>
            <w:noWrap/>
            <w:hideMark/>
          </w:tcPr>
          <w:p w14:paraId="050502F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5,181,590</w:t>
            </w:r>
          </w:p>
        </w:tc>
        <w:tc>
          <w:tcPr>
            <w:tcW w:w="856" w:type="dxa"/>
            <w:tcBorders>
              <w:top w:val="nil"/>
              <w:left w:val="nil"/>
              <w:bottom w:val="single" w:sz="4" w:space="0" w:color="auto"/>
              <w:right w:val="single" w:sz="4" w:space="0" w:color="auto"/>
            </w:tcBorders>
            <w:shd w:val="clear" w:color="auto" w:fill="auto"/>
            <w:noWrap/>
            <w:hideMark/>
          </w:tcPr>
          <w:p w14:paraId="2C507489"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6,821,000</w:t>
            </w:r>
          </w:p>
        </w:tc>
        <w:tc>
          <w:tcPr>
            <w:tcW w:w="856" w:type="dxa"/>
            <w:tcBorders>
              <w:top w:val="nil"/>
              <w:left w:val="nil"/>
              <w:bottom w:val="single" w:sz="4" w:space="0" w:color="auto"/>
              <w:right w:val="single" w:sz="4" w:space="0" w:color="auto"/>
            </w:tcBorders>
            <w:shd w:val="clear" w:color="auto" w:fill="auto"/>
            <w:noWrap/>
            <w:hideMark/>
          </w:tcPr>
          <w:p w14:paraId="25937055"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4,531,900</w:t>
            </w:r>
          </w:p>
        </w:tc>
        <w:tc>
          <w:tcPr>
            <w:tcW w:w="856" w:type="dxa"/>
            <w:tcBorders>
              <w:top w:val="nil"/>
              <w:left w:val="nil"/>
              <w:bottom w:val="single" w:sz="4" w:space="0" w:color="auto"/>
              <w:right w:val="single" w:sz="4" w:space="0" w:color="auto"/>
            </w:tcBorders>
            <w:shd w:val="clear" w:color="auto" w:fill="auto"/>
            <w:noWrap/>
            <w:hideMark/>
          </w:tcPr>
          <w:p w14:paraId="24492813"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4,673,600</w:t>
            </w:r>
          </w:p>
        </w:tc>
        <w:tc>
          <w:tcPr>
            <w:tcW w:w="856" w:type="dxa"/>
            <w:tcBorders>
              <w:top w:val="nil"/>
              <w:left w:val="nil"/>
              <w:bottom w:val="single" w:sz="4" w:space="0" w:color="auto"/>
              <w:right w:val="single" w:sz="4" w:space="0" w:color="auto"/>
            </w:tcBorders>
            <w:shd w:val="clear" w:color="auto" w:fill="auto"/>
            <w:noWrap/>
            <w:hideMark/>
          </w:tcPr>
          <w:p w14:paraId="25932769"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4,643,700</w:t>
            </w:r>
          </w:p>
        </w:tc>
        <w:tc>
          <w:tcPr>
            <w:tcW w:w="856" w:type="dxa"/>
            <w:tcBorders>
              <w:top w:val="nil"/>
              <w:left w:val="nil"/>
              <w:bottom w:val="single" w:sz="4" w:space="0" w:color="auto"/>
              <w:right w:val="single" w:sz="4" w:space="0" w:color="auto"/>
            </w:tcBorders>
            <w:shd w:val="clear" w:color="auto" w:fill="auto"/>
            <w:noWrap/>
            <w:hideMark/>
          </w:tcPr>
          <w:p w14:paraId="195BBE10"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4,412,900</w:t>
            </w:r>
          </w:p>
        </w:tc>
        <w:tc>
          <w:tcPr>
            <w:tcW w:w="856" w:type="dxa"/>
            <w:tcBorders>
              <w:top w:val="nil"/>
              <w:left w:val="nil"/>
              <w:bottom w:val="single" w:sz="4" w:space="0" w:color="auto"/>
              <w:right w:val="single" w:sz="4" w:space="0" w:color="auto"/>
            </w:tcBorders>
            <w:shd w:val="clear" w:color="auto" w:fill="auto"/>
            <w:noWrap/>
            <w:hideMark/>
          </w:tcPr>
          <w:p w14:paraId="6F973A43" w14:textId="77777777" w:rsidR="00F970D2" w:rsidRPr="006050E8" w:rsidRDefault="00F970D2" w:rsidP="001224CB">
            <w:pPr>
              <w:jc w:val="right"/>
              <w:rPr>
                <w:b/>
                <w:bCs/>
                <w:vanish/>
                <w:sz w:val="16"/>
                <w:szCs w:val="16"/>
                <w:lang w:val="es-ES"/>
              </w:rPr>
            </w:pPr>
            <w:r w:rsidRPr="006050E8">
              <w:rPr>
                <w:b/>
                <w:vanish/>
                <w:sz w:val="16"/>
                <w:lang w:val="es-ES" w:eastAsia="en-CA"/>
              </w:rPr>
              <w:t>4,009,636</w:t>
            </w:r>
          </w:p>
        </w:tc>
        <w:tc>
          <w:tcPr>
            <w:tcW w:w="856" w:type="dxa"/>
            <w:tcBorders>
              <w:top w:val="nil"/>
              <w:left w:val="nil"/>
              <w:bottom w:val="single" w:sz="4" w:space="0" w:color="auto"/>
              <w:right w:val="single" w:sz="4" w:space="0" w:color="auto"/>
            </w:tcBorders>
            <w:shd w:val="clear" w:color="auto" w:fill="auto"/>
            <w:noWrap/>
            <w:hideMark/>
          </w:tcPr>
          <w:p w14:paraId="17A2FD00" w14:textId="77777777" w:rsidR="00F970D2" w:rsidRPr="006050E8" w:rsidRDefault="00F970D2" w:rsidP="001224CB">
            <w:pPr>
              <w:jc w:val="right"/>
              <w:rPr>
                <w:b/>
                <w:bCs/>
                <w:vanish/>
                <w:sz w:val="16"/>
                <w:szCs w:val="16"/>
                <w:lang w:val="es-ES"/>
              </w:rPr>
            </w:pPr>
            <w:r w:rsidRPr="006050E8">
              <w:rPr>
                <w:b/>
                <w:vanish/>
                <w:sz w:val="16"/>
                <w:lang w:val="es-ES" w:eastAsia="en-CA"/>
              </w:rPr>
              <w:t>4,796,033</w:t>
            </w:r>
          </w:p>
        </w:tc>
        <w:tc>
          <w:tcPr>
            <w:tcW w:w="856" w:type="dxa"/>
            <w:tcBorders>
              <w:top w:val="nil"/>
              <w:left w:val="single" w:sz="4" w:space="0" w:color="auto"/>
              <w:bottom w:val="single" w:sz="4" w:space="0" w:color="auto"/>
              <w:right w:val="single" w:sz="4" w:space="0" w:color="auto"/>
            </w:tcBorders>
            <w:shd w:val="clear" w:color="auto" w:fill="auto"/>
            <w:noWrap/>
            <w:hideMark/>
          </w:tcPr>
          <w:p w14:paraId="62D0A8C3" w14:textId="77777777" w:rsidR="00F970D2" w:rsidRPr="006050E8" w:rsidRDefault="00F970D2" w:rsidP="001224CB">
            <w:pPr>
              <w:jc w:val="right"/>
              <w:rPr>
                <w:b/>
                <w:bCs/>
                <w:vanish/>
                <w:sz w:val="16"/>
                <w:szCs w:val="16"/>
                <w:lang w:val="es-ES"/>
              </w:rPr>
            </w:pPr>
            <w:r w:rsidRPr="006050E8">
              <w:rPr>
                <w:b/>
                <w:vanish/>
                <w:sz w:val="16"/>
                <w:lang w:val="es-ES" w:eastAsia="en-CA"/>
              </w:rPr>
              <w:t>4,216,509</w:t>
            </w:r>
          </w:p>
        </w:tc>
        <w:tc>
          <w:tcPr>
            <w:tcW w:w="856" w:type="dxa"/>
            <w:tcBorders>
              <w:top w:val="nil"/>
              <w:left w:val="nil"/>
              <w:bottom w:val="single" w:sz="4" w:space="0" w:color="auto"/>
              <w:right w:val="single" w:sz="4" w:space="0" w:color="auto"/>
            </w:tcBorders>
            <w:shd w:val="clear" w:color="auto" w:fill="auto"/>
            <w:noWrap/>
            <w:hideMark/>
          </w:tcPr>
          <w:p w14:paraId="79E730C8" w14:textId="77777777" w:rsidR="00F970D2" w:rsidRPr="006050E8" w:rsidRDefault="00F970D2" w:rsidP="001224CB">
            <w:pPr>
              <w:jc w:val="right"/>
              <w:rPr>
                <w:b/>
                <w:bCs/>
                <w:vanish/>
                <w:sz w:val="16"/>
                <w:szCs w:val="16"/>
                <w:lang w:val="es-ES"/>
              </w:rPr>
            </w:pPr>
            <w:r w:rsidRPr="006050E8">
              <w:rPr>
                <w:b/>
                <w:vanish/>
                <w:sz w:val="16"/>
                <w:lang w:val="es-ES" w:eastAsia="en-CA"/>
              </w:rPr>
              <w:t>5,052,200</w:t>
            </w:r>
          </w:p>
        </w:tc>
        <w:tc>
          <w:tcPr>
            <w:tcW w:w="931" w:type="dxa"/>
            <w:tcBorders>
              <w:top w:val="nil"/>
              <w:left w:val="nil"/>
              <w:bottom w:val="single" w:sz="4" w:space="0" w:color="auto"/>
              <w:right w:val="single" w:sz="4" w:space="0" w:color="auto"/>
            </w:tcBorders>
            <w:shd w:val="clear" w:color="auto" w:fill="auto"/>
            <w:noWrap/>
            <w:hideMark/>
          </w:tcPr>
          <w:p w14:paraId="354750BC" w14:textId="77777777" w:rsidR="00F970D2" w:rsidRPr="006050E8" w:rsidRDefault="00F970D2" w:rsidP="001224CB">
            <w:pPr>
              <w:jc w:val="right"/>
              <w:rPr>
                <w:b/>
                <w:bCs/>
                <w:vanish/>
                <w:sz w:val="16"/>
                <w:szCs w:val="16"/>
                <w:lang w:val="es-ES"/>
              </w:rPr>
            </w:pPr>
            <w:r w:rsidRPr="006050E8">
              <w:rPr>
                <w:b/>
                <w:vanish/>
                <w:sz w:val="16"/>
                <w:lang w:val="es-ES" w:eastAsia="en-CA"/>
              </w:rPr>
              <w:t>3,498,700</w:t>
            </w:r>
          </w:p>
        </w:tc>
        <w:tc>
          <w:tcPr>
            <w:tcW w:w="936" w:type="dxa"/>
            <w:tcBorders>
              <w:top w:val="nil"/>
              <w:left w:val="nil"/>
              <w:bottom w:val="single" w:sz="4" w:space="0" w:color="auto"/>
              <w:right w:val="single" w:sz="4" w:space="0" w:color="auto"/>
            </w:tcBorders>
            <w:shd w:val="clear" w:color="auto" w:fill="auto"/>
            <w:noWrap/>
            <w:hideMark/>
          </w:tcPr>
          <w:p w14:paraId="0BF0FB51" w14:textId="77777777" w:rsidR="00F970D2" w:rsidRPr="006050E8" w:rsidRDefault="00F970D2" w:rsidP="001224CB">
            <w:pPr>
              <w:jc w:val="right"/>
              <w:rPr>
                <w:b/>
                <w:bCs/>
                <w:vanish/>
                <w:sz w:val="16"/>
                <w:szCs w:val="16"/>
                <w:lang w:val="es-ES"/>
              </w:rPr>
            </w:pPr>
            <w:r w:rsidRPr="006050E8">
              <w:rPr>
                <w:b/>
                <w:vanish/>
                <w:sz w:val="16"/>
                <w:lang w:val="es-ES" w:eastAsia="en-CA"/>
              </w:rPr>
              <w:t>4,869,900</w:t>
            </w:r>
          </w:p>
        </w:tc>
      </w:tr>
      <w:tr w:rsidR="00F970D2" w:rsidRPr="006050E8" w14:paraId="437E3624" w14:textId="77777777" w:rsidTr="001224CB">
        <w:trPr>
          <w:trHeight w:val="73"/>
          <w:hidden/>
        </w:trPr>
        <w:tc>
          <w:tcPr>
            <w:tcW w:w="3415" w:type="dxa"/>
            <w:tcBorders>
              <w:top w:val="nil"/>
              <w:left w:val="single" w:sz="4" w:space="0" w:color="auto"/>
              <w:bottom w:val="single" w:sz="4" w:space="0" w:color="auto"/>
              <w:right w:val="single" w:sz="4" w:space="0" w:color="auto"/>
            </w:tcBorders>
            <w:shd w:val="clear" w:color="auto" w:fill="auto"/>
            <w:noWrap/>
            <w:hideMark/>
          </w:tcPr>
          <w:p w14:paraId="301BB080" w14:textId="77777777" w:rsidR="00F970D2" w:rsidRPr="006050E8" w:rsidRDefault="00F970D2" w:rsidP="001224CB">
            <w:pPr>
              <w:jc w:val="left"/>
              <w:rPr>
                <w:vanish/>
                <w:sz w:val="16"/>
                <w:szCs w:val="16"/>
                <w:lang w:val="es-ES"/>
              </w:rPr>
            </w:pPr>
            <w:r w:rsidRPr="006050E8">
              <w:rPr>
                <w:vanish/>
                <w:sz w:val="16"/>
                <w:lang w:val="es-ES" w:eastAsia="en-CA"/>
              </w:rPr>
              <w:t>Net support costs plus core unit costs***</w:t>
            </w:r>
          </w:p>
        </w:tc>
        <w:tc>
          <w:tcPr>
            <w:tcW w:w="856" w:type="dxa"/>
            <w:tcBorders>
              <w:top w:val="nil"/>
              <w:left w:val="nil"/>
              <w:bottom w:val="single" w:sz="4" w:space="0" w:color="auto"/>
              <w:right w:val="single" w:sz="4" w:space="0" w:color="auto"/>
            </w:tcBorders>
            <w:shd w:val="clear" w:color="auto" w:fill="auto"/>
            <w:hideMark/>
          </w:tcPr>
          <w:p w14:paraId="314ED9B2" w14:textId="77777777" w:rsidR="00F970D2" w:rsidRPr="006050E8" w:rsidRDefault="00F970D2" w:rsidP="001224CB">
            <w:pPr>
              <w:jc w:val="right"/>
              <w:rPr>
                <w:vanish/>
                <w:sz w:val="16"/>
                <w:szCs w:val="16"/>
                <w:lang w:val="es-ES"/>
              </w:rPr>
            </w:pPr>
            <w:r w:rsidRPr="006050E8">
              <w:rPr>
                <w:vanish/>
                <w:sz w:val="16"/>
                <w:lang w:val="es-ES" w:eastAsia="en-CA"/>
              </w:rPr>
              <w:t>4,369,868</w:t>
            </w:r>
          </w:p>
        </w:tc>
        <w:tc>
          <w:tcPr>
            <w:tcW w:w="856" w:type="dxa"/>
            <w:tcBorders>
              <w:top w:val="nil"/>
              <w:left w:val="nil"/>
              <w:bottom w:val="single" w:sz="4" w:space="0" w:color="auto"/>
              <w:right w:val="single" w:sz="4" w:space="0" w:color="auto"/>
            </w:tcBorders>
            <w:shd w:val="clear" w:color="auto" w:fill="auto"/>
            <w:hideMark/>
          </w:tcPr>
          <w:p w14:paraId="3902482C" w14:textId="77777777" w:rsidR="00F970D2" w:rsidRPr="006050E8" w:rsidRDefault="00F970D2" w:rsidP="001224CB">
            <w:pPr>
              <w:jc w:val="right"/>
              <w:rPr>
                <w:vanish/>
                <w:sz w:val="16"/>
                <w:szCs w:val="16"/>
                <w:lang w:val="es-ES"/>
              </w:rPr>
            </w:pPr>
            <w:r w:rsidRPr="006050E8">
              <w:rPr>
                <w:vanish/>
                <w:sz w:val="16"/>
                <w:lang w:val="es-ES" w:eastAsia="en-CA"/>
              </w:rPr>
              <w:t>4,216,594</w:t>
            </w:r>
          </w:p>
        </w:tc>
        <w:tc>
          <w:tcPr>
            <w:tcW w:w="856" w:type="dxa"/>
            <w:tcBorders>
              <w:top w:val="nil"/>
              <w:left w:val="nil"/>
              <w:bottom w:val="single" w:sz="4" w:space="0" w:color="auto"/>
              <w:right w:val="single" w:sz="4" w:space="0" w:color="auto"/>
            </w:tcBorders>
            <w:shd w:val="clear" w:color="auto" w:fill="auto"/>
            <w:hideMark/>
          </w:tcPr>
          <w:p w14:paraId="279796E7" w14:textId="77777777" w:rsidR="00F970D2" w:rsidRPr="006050E8" w:rsidRDefault="00F970D2" w:rsidP="001224CB">
            <w:pPr>
              <w:jc w:val="right"/>
              <w:rPr>
                <w:vanish/>
                <w:sz w:val="16"/>
                <w:szCs w:val="16"/>
                <w:lang w:val="es-ES"/>
              </w:rPr>
            </w:pPr>
            <w:r w:rsidRPr="006050E8">
              <w:rPr>
                <w:vanish/>
                <w:sz w:val="16"/>
                <w:lang w:val="es-ES" w:eastAsia="en-CA"/>
              </w:rPr>
              <w:t>3,996,254</w:t>
            </w:r>
          </w:p>
        </w:tc>
        <w:tc>
          <w:tcPr>
            <w:tcW w:w="856" w:type="dxa"/>
            <w:tcBorders>
              <w:top w:val="nil"/>
              <w:left w:val="nil"/>
              <w:bottom w:val="single" w:sz="4" w:space="0" w:color="auto"/>
              <w:right w:val="single" w:sz="4" w:space="0" w:color="auto"/>
            </w:tcBorders>
            <w:shd w:val="clear" w:color="auto" w:fill="auto"/>
            <w:hideMark/>
          </w:tcPr>
          <w:p w14:paraId="7D84EA5D" w14:textId="77777777" w:rsidR="00F970D2" w:rsidRPr="006050E8" w:rsidRDefault="00F970D2" w:rsidP="001224CB">
            <w:pPr>
              <w:jc w:val="right"/>
              <w:rPr>
                <w:vanish/>
                <w:sz w:val="16"/>
                <w:szCs w:val="16"/>
                <w:lang w:val="es-ES"/>
              </w:rPr>
            </w:pPr>
            <w:r w:rsidRPr="006050E8">
              <w:rPr>
                <w:vanish/>
                <w:sz w:val="16"/>
                <w:lang w:val="es-ES" w:eastAsia="en-CA"/>
              </w:rPr>
              <w:t>4,706,844</w:t>
            </w:r>
          </w:p>
        </w:tc>
        <w:tc>
          <w:tcPr>
            <w:tcW w:w="856" w:type="dxa"/>
            <w:tcBorders>
              <w:top w:val="nil"/>
              <w:left w:val="nil"/>
              <w:bottom w:val="single" w:sz="4" w:space="0" w:color="auto"/>
              <w:right w:val="single" w:sz="4" w:space="0" w:color="auto"/>
            </w:tcBorders>
            <w:shd w:val="clear" w:color="auto" w:fill="auto"/>
            <w:hideMark/>
          </w:tcPr>
          <w:p w14:paraId="6F1FF8CE" w14:textId="77777777" w:rsidR="00F970D2" w:rsidRPr="006050E8" w:rsidRDefault="00F970D2" w:rsidP="001224CB">
            <w:pPr>
              <w:jc w:val="right"/>
              <w:rPr>
                <w:vanish/>
                <w:sz w:val="16"/>
                <w:szCs w:val="16"/>
                <w:lang w:val="es-ES"/>
              </w:rPr>
            </w:pPr>
            <w:r w:rsidRPr="006050E8">
              <w:rPr>
                <w:vanish/>
                <w:sz w:val="16"/>
                <w:lang w:val="es-ES" w:eastAsia="en-CA"/>
              </w:rPr>
              <w:t>4,581,895</w:t>
            </w:r>
          </w:p>
        </w:tc>
        <w:tc>
          <w:tcPr>
            <w:tcW w:w="856" w:type="dxa"/>
            <w:tcBorders>
              <w:top w:val="nil"/>
              <w:left w:val="nil"/>
              <w:bottom w:val="single" w:sz="4" w:space="0" w:color="auto"/>
              <w:right w:val="single" w:sz="4" w:space="0" w:color="auto"/>
            </w:tcBorders>
            <w:shd w:val="clear" w:color="auto" w:fill="auto"/>
            <w:hideMark/>
          </w:tcPr>
          <w:p w14:paraId="3898DCF7" w14:textId="77777777" w:rsidR="00F970D2" w:rsidRPr="006050E8" w:rsidRDefault="00F970D2" w:rsidP="001224CB">
            <w:pPr>
              <w:jc w:val="right"/>
              <w:rPr>
                <w:vanish/>
                <w:sz w:val="16"/>
                <w:szCs w:val="16"/>
                <w:lang w:val="es-ES"/>
              </w:rPr>
            </w:pPr>
            <w:r w:rsidRPr="006050E8">
              <w:rPr>
                <w:vanish/>
                <w:sz w:val="16"/>
                <w:lang w:val="es-ES" w:eastAsia="en-CA"/>
              </w:rPr>
              <w:t>3,411,570</w:t>
            </w:r>
          </w:p>
        </w:tc>
        <w:tc>
          <w:tcPr>
            <w:tcW w:w="856" w:type="dxa"/>
            <w:tcBorders>
              <w:top w:val="nil"/>
              <w:left w:val="nil"/>
              <w:bottom w:val="single" w:sz="4" w:space="0" w:color="auto"/>
              <w:right w:val="single" w:sz="4" w:space="0" w:color="auto"/>
            </w:tcBorders>
            <w:shd w:val="clear" w:color="auto" w:fill="auto"/>
            <w:hideMark/>
          </w:tcPr>
          <w:p w14:paraId="5B61B962" w14:textId="77777777" w:rsidR="00F970D2" w:rsidRPr="006050E8" w:rsidRDefault="00F970D2" w:rsidP="001224CB">
            <w:pPr>
              <w:jc w:val="right"/>
              <w:rPr>
                <w:vanish/>
                <w:sz w:val="16"/>
                <w:szCs w:val="16"/>
                <w:lang w:val="es-ES"/>
              </w:rPr>
            </w:pPr>
            <w:r w:rsidRPr="006050E8">
              <w:rPr>
                <w:vanish/>
                <w:sz w:val="16"/>
                <w:lang w:val="es-ES" w:eastAsia="en-CA"/>
              </w:rPr>
              <w:t>4,378,967</w:t>
            </w:r>
          </w:p>
        </w:tc>
        <w:tc>
          <w:tcPr>
            <w:tcW w:w="856" w:type="dxa"/>
            <w:tcBorders>
              <w:top w:val="nil"/>
              <w:left w:val="nil"/>
              <w:bottom w:val="single" w:sz="4" w:space="0" w:color="auto"/>
              <w:right w:val="single" w:sz="4" w:space="0" w:color="auto"/>
            </w:tcBorders>
            <w:shd w:val="clear" w:color="auto" w:fill="auto"/>
            <w:hideMark/>
          </w:tcPr>
          <w:p w14:paraId="4F11D3A5" w14:textId="77777777" w:rsidR="00F970D2" w:rsidRPr="006050E8" w:rsidRDefault="00F970D2" w:rsidP="001224CB">
            <w:pPr>
              <w:jc w:val="right"/>
              <w:rPr>
                <w:vanish/>
                <w:sz w:val="16"/>
                <w:szCs w:val="16"/>
                <w:lang w:val="es-ES"/>
              </w:rPr>
            </w:pPr>
            <w:r w:rsidRPr="006050E8">
              <w:rPr>
                <w:vanish/>
                <w:sz w:val="16"/>
                <w:lang w:val="es-ES" w:eastAsia="en-CA"/>
              </w:rPr>
              <w:t>3,469,402</w:t>
            </w:r>
          </w:p>
        </w:tc>
        <w:tc>
          <w:tcPr>
            <w:tcW w:w="856" w:type="dxa"/>
            <w:tcBorders>
              <w:top w:val="nil"/>
              <w:left w:val="single" w:sz="4" w:space="0" w:color="auto"/>
              <w:bottom w:val="single" w:sz="4" w:space="0" w:color="auto"/>
              <w:right w:val="single" w:sz="4" w:space="0" w:color="auto"/>
            </w:tcBorders>
            <w:shd w:val="clear" w:color="auto" w:fill="auto"/>
            <w:hideMark/>
          </w:tcPr>
          <w:p w14:paraId="79F1421F" w14:textId="77777777" w:rsidR="00F970D2" w:rsidRPr="006050E8" w:rsidRDefault="00F970D2" w:rsidP="001224CB">
            <w:pPr>
              <w:jc w:val="right"/>
              <w:rPr>
                <w:vanish/>
                <w:sz w:val="16"/>
                <w:szCs w:val="16"/>
                <w:lang w:val="es-ES"/>
              </w:rPr>
            </w:pPr>
            <w:r w:rsidRPr="006050E8">
              <w:rPr>
                <w:vanish/>
                <w:sz w:val="16"/>
                <w:lang w:val="es-ES" w:eastAsia="en-CA"/>
              </w:rPr>
              <w:t>3,142,479</w:t>
            </w:r>
          </w:p>
        </w:tc>
        <w:tc>
          <w:tcPr>
            <w:tcW w:w="856" w:type="dxa"/>
            <w:tcBorders>
              <w:top w:val="nil"/>
              <w:left w:val="nil"/>
              <w:bottom w:val="single" w:sz="4" w:space="0" w:color="auto"/>
              <w:right w:val="single" w:sz="4" w:space="0" w:color="auto"/>
            </w:tcBorders>
            <w:shd w:val="clear" w:color="auto" w:fill="auto"/>
          </w:tcPr>
          <w:p w14:paraId="37828FA8" w14:textId="77777777" w:rsidR="00F970D2" w:rsidRPr="006050E8" w:rsidRDefault="00F970D2" w:rsidP="001224CB">
            <w:pPr>
              <w:jc w:val="right"/>
              <w:rPr>
                <w:vanish/>
                <w:sz w:val="16"/>
                <w:szCs w:val="16"/>
                <w:lang w:val="es-ES" w:eastAsia="en-CA"/>
              </w:rPr>
            </w:pPr>
          </w:p>
        </w:tc>
        <w:tc>
          <w:tcPr>
            <w:tcW w:w="931" w:type="dxa"/>
            <w:tcBorders>
              <w:top w:val="nil"/>
              <w:left w:val="nil"/>
              <w:bottom w:val="single" w:sz="4" w:space="0" w:color="auto"/>
              <w:right w:val="single" w:sz="4" w:space="0" w:color="auto"/>
            </w:tcBorders>
            <w:shd w:val="clear" w:color="auto" w:fill="auto"/>
            <w:noWrap/>
            <w:hideMark/>
          </w:tcPr>
          <w:p w14:paraId="26CDE531" w14:textId="77777777" w:rsidR="00F970D2" w:rsidRPr="006050E8" w:rsidRDefault="00F970D2" w:rsidP="001224CB">
            <w:pPr>
              <w:jc w:val="right"/>
              <w:rPr>
                <w:vanish/>
                <w:sz w:val="16"/>
                <w:szCs w:val="16"/>
                <w:lang w:val="es-ES"/>
              </w:rPr>
            </w:pPr>
            <w:r w:rsidRPr="006050E8">
              <w:rPr>
                <w:vanish/>
                <w:sz w:val="16"/>
                <w:lang w:val="es-ES" w:eastAsia="en-CA"/>
              </w:rPr>
              <w:t>3,841,253</w:t>
            </w:r>
          </w:p>
        </w:tc>
        <w:tc>
          <w:tcPr>
            <w:tcW w:w="936" w:type="dxa"/>
            <w:tcBorders>
              <w:top w:val="nil"/>
              <w:left w:val="nil"/>
              <w:bottom w:val="single" w:sz="4" w:space="0" w:color="auto"/>
              <w:right w:val="single" w:sz="4" w:space="0" w:color="auto"/>
            </w:tcBorders>
            <w:shd w:val="clear" w:color="auto" w:fill="auto"/>
            <w:noWrap/>
            <w:hideMark/>
          </w:tcPr>
          <w:p w14:paraId="43DE5561"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635FFF8A"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5BEFDCFE" w14:textId="77777777" w:rsidR="00F970D2" w:rsidRPr="006050E8" w:rsidRDefault="00F970D2" w:rsidP="001224CB">
            <w:pPr>
              <w:jc w:val="left"/>
              <w:rPr>
                <w:vanish/>
                <w:sz w:val="16"/>
                <w:szCs w:val="16"/>
                <w:lang w:val="es-ES"/>
              </w:rPr>
            </w:pPr>
            <w:r w:rsidRPr="006050E8">
              <w:rPr>
                <w:vanish/>
                <w:sz w:val="16"/>
                <w:lang w:val="es-ES" w:eastAsia="en-CA"/>
              </w:rPr>
              <w:t>Total administrative cost excluding project</w:t>
            </w:r>
            <w:r w:rsidRPr="006050E8">
              <w:rPr>
                <w:vanish/>
                <w:sz w:val="16"/>
                <w:lang w:val="es-ES"/>
              </w:rPr>
              <w:noBreakHyphen/>
            </w:r>
            <w:r w:rsidRPr="006050E8">
              <w:rPr>
                <w:vanish/>
                <w:sz w:val="16"/>
                <w:lang w:val="es-ES" w:eastAsia="en-CA"/>
              </w:rPr>
              <w:t>related costs</w:t>
            </w:r>
          </w:p>
        </w:tc>
        <w:tc>
          <w:tcPr>
            <w:tcW w:w="856" w:type="dxa"/>
            <w:tcBorders>
              <w:top w:val="nil"/>
              <w:left w:val="nil"/>
              <w:bottom w:val="single" w:sz="4" w:space="0" w:color="auto"/>
              <w:right w:val="single" w:sz="4" w:space="0" w:color="auto"/>
            </w:tcBorders>
            <w:shd w:val="clear" w:color="auto" w:fill="auto"/>
            <w:hideMark/>
          </w:tcPr>
          <w:p w14:paraId="1BFDD4EB" w14:textId="77777777" w:rsidR="00F970D2" w:rsidRPr="006050E8" w:rsidRDefault="00F970D2" w:rsidP="001224CB">
            <w:pPr>
              <w:jc w:val="right"/>
              <w:rPr>
                <w:vanish/>
                <w:sz w:val="16"/>
                <w:szCs w:val="16"/>
                <w:lang w:val="es-ES"/>
              </w:rPr>
            </w:pPr>
            <w:r w:rsidRPr="006050E8">
              <w:rPr>
                <w:vanish/>
                <w:sz w:val="16"/>
                <w:lang w:val="es-ES" w:eastAsia="en-CA"/>
              </w:rPr>
              <w:t>5,181,590</w:t>
            </w:r>
          </w:p>
        </w:tc>
        <w:tc>
          <w:tcPr>
            <w:tcW w:w="856" w:type="dxa"/>
            <w:tcBorders>
              <w:top w:val="nil"/>
              <w:left w:val="nil"/>
              <w:bottom w:val="single" w:sz="4" w:space="0" w:color="auto"/>
              <w:right w:val="single" w:sz="4" w:space="0" w:color="auto"/>
            </w:tcBorders>
            <w:shd w:val="clear" w:color="auto" w:fill="auto"/>
            <w:hideMark/>
          </w:tcPr>
          <w:p w14:paraId="73DDEA46" w14:textId="77777777" w:rsidR="00F970D2" w:rsidRPr="006050E8" w:rsidRDefault="00F970D2" w:rsidP="001224CB">
            <w:pPr>
              <w:jc w:val="right"/>
              <w:rPr>
                <w:vanish/>
                <w:sz w:val="16"/>
                <w:szCs w:val="16"/>
                <w:lang w:val="es-ES"/>
              </w:rPr>
            </w:pPr>
            <w:r w:rsidRPr="006050E8">
              <w:rPr>
                <w:vanish/>
                <w:sz w:val="16"/>
                <w:lang w:val="es-ES" w:eastAsia="en-CA"/>
              </w:rPr>
              <w:t>6,821,000</w:t>
            </w:r>
          </w:p>
        </w:tc>
        <w:tc>
          <w:tcPr>
            <w:tcW w:w="856" w:type="dxa"/>
            <w:tcBorders>
              <w:top w:val="nil"/>
              <w:left w:val="nil"/>
              <w:bottom w:val="single" w:sz="4" w:space="0" w:color="auto"/>
              <w:right w:val="single" w:sz="4" w:space="0" w:color="auto"/>
            </w:tcBorders>
            <w:shd w:val="clear" w:color="auto" w:fill="auto"/>
            <w:hideMark/>
          </w:tcPr>
          <w:p w14:paraId="23717465" w14:textId="77777777" w:rsidR="00F970D2" w:rsidRPr="006050E8" w:rsidRDefault="00F970D2" w:rsidP="001224CB">
            <w:pPr>
              <w:jc w:val="right"/>
              <w:rPr>
                <w:vanish/>
                <w:sz w:val="16"/>
                <w:szCs w:val="16"/>
                <w:lang w:val="es-ES"/>
              </w:rPr>
            </w:pPr>
            <w:r w:rsidRPr="006050E8">
              <w:rPr>
                <w:vanish/>
                <w:sz w:val="16"/>
                <w:lang w:val="es-ES" w:eastAsia="en-CA"/>
              </w:rPr>
              <w:t>4,531,900</w:t>
            </w:r>
          </w:p>
        </w:tc>
        <w:tc>
          <w:tcPr>
            <w:tcW w:w="856" w:type="dxa"/>
            <w:tcBorders>
              <w:top w:val="nil"/>
              <w:left w:val="nil"/>
              <w:bottom w:val="single" w:sz="4" w:space="0" w:color="auto"/>
              <w:right w:val="single" w:sz="4" w:space="0" w:color="auto"/>
            </w:tcBorders>
            <w:shd w:val="clear" w:color="auto" w:fill="auto"/>
            <w:hideMark/>
          </w:tcPr>
          <w:p w14:paraId="528B0EFF" w14:textId="77777777" w:rsidR="00F970D2" w:rsidRPr="006050E8" w:rsidRDefault="00F970D2" w:rsidP="001224CB">
            <w:pPr>
              <w:jc w:val="right"/>
              <w:rPr>
                <w:vanish/>
                <w:sz w:val="16"/>
                <w:szCs w:val="16"/>
                <w:lang w:val="es-ES"/>
              </w:rPr>
            </w:pPr>
            <w:r w:rsidRPr="006050E8">
              <w:rPr>
                <w:vanish/>
                <w:sz w:val="16"/>
                <w:lang w:val="es-ES" w:eastAsia="en-CA"/>
              </w:rPr>
              <w:t>4,673,600</w:t>
            </w:r>
          </w:p>
        </w:tc>
        <w:tc>
          <w:tcPr>
            <w:tcW w:w="856" w:type="dxa"/>
            <w:tcBorders>
              <w:top w:val="nil"/>
              <w:left w:val="nil"/>
              <w:bottom w:val="single" w:sz="4" w:space="0" w:color="auto"/>
              <w:right w:val="single" w:sz="4" w:space="0" w:color="auto"/>
            </w:tcBorders>
            <w:shd w:val="clear" w:color="auto" w:fill="auto"/>
            <w:hideMark/>
          </w:tcPr>
          <w:p w14:paraId="3BCB3157" w14:textId="77777777" w:rsidR="00F970D2" w:rsidRPr="006050E8" w:rsidRDefault="00F970D2" w:rsidP="001224CB">
            <w:pPr>
              <w:jc w:val="right"/>
              <w:rPr>
                <w:vanish/>
                <w:sz w:val="16"/>
                <w:szCs w:val="16"/>
                <w:lang w:val="es-ES"/>
              </w:rPr>
            </w:pPr>
            <w:r w:rsidRPr="006050E8">
              <w:rPr>
                <w:vanish/>
                <w:sz w:val="16"/>
                <w:lang w:val="es-ES" w:eastAsia="en-CA"/>
              </w:rPr>
              <w:t>4,643,700</w:t>
            </w:r>
          </w:p>
        </w:tc>
        <w:tc>
          <w:tcPr>
            <w:tcW w:w="856" w:type="dxa"/>
            <w:tcBorders>
              <w:top w:val="nil"/>
              <w:left w:val="nil"/>
              <w:bottom w:val="single" w:sz="4" w:space="0" w:color="auto"/>
              <w:right w:val="single" w:sz="4" w:space="0" w:color="auto"/>
            </w:tcBorders>
            <w:shd w:val="clear" w:color="auto" w:fill="auto"/>
            <w:hideMark/>
          </w:tcPr>
          <w:p w14:paraId="7D30B53D" w14:textId="77777777" w:rsidR="00F970D2" w:rsidRPr="006050E8" w:rsidRDefault="00F970D2" w:rsidP="001224CB">
            <w:pPr>
              <w:jc w:val="right"/>
              <w:rPr>
                <w:vanish/>
                <w:sz w:val="16"/>
                <w:szCs w:val="16"/>
                <w:lang w:val="es-ES"/>
              </w:rPr>
            </w:pPr>
            <w:r w:rsidRPr="006050E8">
              <w:rPr>
                <w:vanish/>
                <w:sz w:val="16"/>
                <w:lang w:val="es-ES" w:eastAsia="en-CA"/>
              </w:rPr>
              <w:t>4,412,900</w:t>
            </w:r>
          </w:p>
        </w:tc>
        <w:tc>
          <w:tcPr>
            <w:tcW w:w="856" w:type="dxa"/>
            <w:tcBorders>
              <w:top w:val="nil"/>
              <w:left w:val="nil"/>
              <w:bottom w:val="single" w:sz="4" w:space="0" w:color="auto"/>
              <w:right w:val="single" w:sz="4" w:space="0" w:color="auto"/>
            </w:tcBorders>
            <w:shd w:val="clear" w:color="auto" w:fill="auto"/>
            <w:hideMark/>
          </w:tcPr>
          <w:p w14:paraId="50A5CECF" w14:textId="77777777" w:rsidR="00F970D2" w:rsidRPr="006050E8" w:rsidRDefault="00F970D2" w:rsidP="001224CB">
            <w:pPr>
              <w:jc w:val="right"/>
              <w:rPr>
                <w:vanish/>
                <w:sz w:val="16"/>
                <w:szCs w:val="16"/>
                <w:lang w:val="es-ES"/>
              </w:rPr>
            </w:pPr>
            <w:r w:rsidRPr="006050E8">
              <w:rPr>
                <w:vanish/>
                <w:sz w:val="16"/>
                <w:lang w:val="es-ES" w:eastAsia="en-CA"/>
              </w:rPr>
              <w:t>4,009,636</w:t>
            </w:r>
          </w:p>
        </w:tc>
        <w:tc>
          <w:tcPr>
            <w:tcW w:w="856" w:type="dxa"/>
            <w:tcBorders>
              <w:top w:val="nil"/>
              <w:left w:val="nil"/>
              <w:bottom w:val="single" w:sz="4" w:space="0" w:color="auto"/>
              <w:right w:val="single" w:sz="4" w:space="0" w:color="auto"/>
            </w:tcBorders>
            <w:shd w:val="clear" w:color="auto" w:fill="auto"/>
            <w:hideMark/>
          </w:tcPr>
          <w:p w14:paraId="03FBB98A" w14:textId="77777777" w:rsidR="00F970D2" w:rsidRPr="006050E8" w:rsidRDefault="00F970D2" w:rsidP="001224CB">
            <w:pPr>
              <w:jc w:val="right"/>
              <w:rPr>
                <w:vanish/>
                <w:sz w:val="16"/>
                <w:szCs w:val="16"/>
                <w:lang w:val="es-ES"/>
              </w:rPr>
            </w:pPr>
            <w:r w:rsidRPr="006050E8">
              <w:rPr>
                <w:vanish/>
                <w:sz w:val="16"/>
                <w:lang w:val="es-ES" w:eastAsia="en-CA"/>
              </w:rPr>
              <w:t>4,796,033</w:t>
            </w:r>
          </w:p>
        </w:tc>
        <w:tc>
          <w:tcPr>
            <w:tcW w:w="856" w:type="dxa"/>
            <w:tcBorders>
              <w:top w:val="nil"/>
              <w:left w:val="single" w:sz="4" w:space="0" w:color="auto"/>
              <w:bottom w:val="single" w:sz="4" w:space="0" w:color="auto"/>
              <w:right w:val="single" w:sz="4" w:space="0" w:color="auto"/>
            </w:tcBorders>
            <w:shd w:val="clear" w:color="auto" w:fill="auto"/>
            <w:noWrap/>
            <w:hideMark/>
          </w:tcPr>
          <w:p w14:paraId="6B098A8B" w14:textId="77777777" w:rsidR="00F970D2" w:rsidRPr="006050E8" w:rsidRDefault="00F970D2" w:rsidP="001224CB">
            <w:pPr>
              <w:jc w:val="right"/>
              <w:rPr>
                <w:vanish/>
                <w:sz w:val="16"/>
                <w:szCs w:val="16"/>
                <w:lang w:val="es-ES"/>
              </w:rPr>
            </w:pPr>
            <w:r w:rsidRPr="006050E8">
              <w:rPr>
                <w:vanish/>
                <w:sz w:val="16"/>
                <w:lang w:val="es-ES" w:eastAsia="en-CA"/>
              </w:rPr>
              <w:t>4,216,509</w:t>
            </w:r>
          </w:p>
        </w:tc>
        <w:tc>
          <w:tcPr>
            <w:tcW w:w="856" w:type="dxa"/>
            <w:tcBorders>
              <w:top w:val="nil"/>
              <w:left w:val="nil"/>
              <w:bottom w:val="single" w:sz="4" w:space="0" w:color="auto"/>
              <w:right w:val="single" w:sz="4" w:space="0" w:color="auto"/>
            </w:tcBorders>
            <w:shd w:val="clear" w:color="auto" w:fill="auto"/>
            <w:noWrap/>
          </w:tcPr>
          <w:p w14:paraId="6814E52A" w14:textId="77777777" w:rsidR="00F970D2" w:rsidRPr="006050E8" w:rsidRDefault="00F970D2" w:rsidP="001224CB">
            <w:pPr>
              <w:jc w:val="right"/>
              <w:rPr>
                <w:vanish/>
                <w:sz w:val="16"/>
                <w:szCs w:val="16"/>
                <w:lang w:val="es-ES" w:eastAsia="en-CA"/>
              </w:rPr>
            </w:pPr>
          </w:p>
        </w:tc>
        <w:tc>
          <w:tcPr>
            <w:tcW w:w="931" w:type="dxa"/>
            <w:tcBorders>
              <w:top w:val="nil"/>
              <w:left w:val="nil"/>
              <w:bottom w:val="single" w:sz="4" w:space="0" w:color="auto"/>
              <w:right w:val="single" w:sz="4" w:space="0" w:color="auto"/>
            </w:tcBorders>
            <w:shd w:val="clear" w:color="auto" w:fill="auto"/>
            <w:noWrap/>
            <w:hideMark/>
          </w:tcPr>
          <w:p w14:paraId="04A8610A" w14:textId="77777777" w:rsidR="00F970D2" w:rsidRPr="006050E8" w:rsidRDefault="00F970D2" w:rsidP="001224CB">
            <w:pPr>
              <w:jc w:val="right"/>
              <w:rPr>
                <w:vanish/>
                <w:sz w:val="16"/>
                <w:szCs w:val="16"/>
                <w:lang w:val="es-ES"/>
              </w:rPr>
            </w:pPr>
            <w:r w:rsidRPr="006050E8">
              <w:rPr>
                <w:vanish/>
                <w:sz w:val="16"/>
                <w:lang w:val="es-ES" w:eastAsia="en-CA"/>
              </w:rPr>
              <w:t>3,498,700</w:t>
            </w:r>
          </w:p>
        </w:tc>
        <w:tc>
          <w:tcPr>
            <w:tcW w:w="936" w:type="dxa"/>
            <w:tcBorders>
              <w:top w:val="nil"/>
              <w:left w:val="nil"/>
              <w:bottom w:val="single" w:sz="4" w:space="0" w:color="auto"/>
              <w:right w:val="single" w:sz="4" w:space="0" w:color="auto"/>
            </w:tcBorders>
            <w:shd w:val="clear" w:color="auto" w:fill="auto"/>
            <w:noWrap/>
            <w:hideMark/>
          </w:tcPr>
          <w:p w14:paraId="4A9F7BDF"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5E5E743B"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74DB2FB0" w14:textId="77777777" w:rsidR="00F970D2" w:rsidRPr="006050E8" w:rsidRDefault="00F970D2" w:rsidP="001224CB">
            <w:pPr>
              <w:jc w:val="left"/>
              <w:rPr>
                <w:vanish/>
                <w:sz w:val="16"/>
                <w:szCs w:val="16"/>
                <w:lang w:val="es-ES"/>
              </w:rPr>
            </w:pPr>
            <w:r w:rsidRPr="006050E8">
              <w:rPr>
                <w:vanish/>
                <w:sz w:val="16"/>
                <w:lang w:val="es-ES" w:eastAsia="en-CA"/>
              </w:rPr>
              <w:t>Balance per year</w:t>
            </w:r>
          </w:p>
        </w:tc>
        <w:tc>
          <w:tcPr>
            <w:tcW w:w="856" w:type="dxa"/>
            <w:tcBorders>
              <w:top w:val="nil"/>
              <w:left w:val="nil"/>
              <w:bottom w:val="single" w:sz="4" w:space="0" w:color="auto"/>
              <w:right w:val="single" w:sz="4" w:space="0" w:color="auto"/>
            </w:tcBorders>
            <w:shd w:val="clear" w:color="auto" w:fill="auto"/>
            <w:hideMark/>
          </w:tcPr>
          <w:p w14:paraId="17C17BFC" w14:textId="77777777" w:rsidR="00F970D2" w:rsidRPr="006050E8" w:rsidRDefault="00F970D2" w:rsidP="001224CB">
            <w:pPr>
              <w:jc w:val="right"/>
              <w:rPr>
                <w:vanish/>
                <w:sz w:val="16"/>
                <w:szCs w:val="16"/>
                <w:lang w:val="es-ES"/>
              </w:rPr>
            </w:pPr>
            <w:r w:rsidRPr="006050E8">
              <w:rPr>
                <w:vanish/>
                <w:sz w:val="16"/>
                <w:lang w:val="es-ES" w:eastAsia="en-CA"/>
              </w:rPr>
              <w:t>-811,722</w:t>
            </w:r>
          </w:p>
        </w:tc>
        <w:tc>
          <w:tcPr>
            <w:tcW w:w="856" w:type="dxa"/>
            <w:tcBorders>
              <w:top w:val="nil"/>
              <w:left w:val="nil"/>
              <w:bottom w:val="single" w:sz="4" w:space="0" w:color="auto"/>
              <w:right w:val="single" w:sz="4" w:space="0" w:color="auto"/>
            </w:tcBorders>
            <w:shd w:val="clear" w:color="auto" w:fill="auto"/>
            <w:hideMark/>
          </w:tcPr>
          <w:p w14:paraId="74BE2E90" w14:textId="77777777" w:rsidR="00F970D2" w:rsidRPr="006050E8" w:rsidRDefault="00F970D2" w:rsidP="001224CB">
            <w:pPr>
              <w:ind w:left="-117"/>
              <w:jc w:val="right"/>
              <w:rPr>
                <w:vanish/>
                <w:sz w:val="16"/>
                <w:szCs w:val="16"/>
                <w:lang w:val="es-ES"/>
              </w:rPr>
            </w:pPr>
            <w:r w:rsidRPr="006050E8">
              <w:rPr>
                <w:vanish/>
                <w:sz w:val="16"/>
                <w:lang w:val="es-ES" w:eastAsia="en-CA"/>
              </w:rPr>
              <w:t>-2,604,406</w:t>
            </w:r>
          </w:p>
        </w:tc>
        <w:tc>
          <w:tcPr>
            <w:tcW w:w="856" w:type="dxa"/>
            <w:tcBorders>
              <w:top w:val="nil"/>
              <w:left w:val="nil"/>
              <w:bottom w:val="single" w:sz="4" w:space="0" w:color="auto"/>
              <w:right w:val="single" w:sz="4" w:space="0" w:color="auto"/>
            </w:tcBorders>
            <w:shd w:val="clear" w:color="auto" w:fill="auto"/>
            <w:hideMark/>
          </w:tcPr>
          <w:p w14:paraId="3F0D371C" w14:textId="77777777" w:rsidR="00F970D2" w:rsidRPr="006050E8" w:rsidRDefault="00F970D2" w:rsidP="001224CB">
            <w:pPr>
              <w:jc w:val="right"/>
              <w:rPr>
                <w:vanish/>
                <w:sz w:val="16"/>
                <w:szCs w:val="16"/>
                <w:lang w:val="es-ES"/>
              </w:rPr>
            </w:pPr>
            <w:r w:rsidRPr="006050E8">
              <w:rPr>
                <w:vanish/>
                <w:sz w:val="16"/>
                <w:lang w:val="es-ES" w:eastAsia="en-CA"/>
              </w:rPr>
              <w:t>-535,646</w:t>
            </w:r>
          </w:p>
        </w:tc>
        <w:tc>
          <w:tcPr>
            <w:tcW w:w="856" w:type="dxa"/>
            <w:tcBorders>
              <w:top w:val="nil"/>
              <w:left w:val="nil"/>
              <w:bottom w:val="single" w:sz="4" w:space="0" w:color="auto"/>
              <w:right w:val="single" w:sz="4" w:space="0" w:color="auto"/>
            </w:tcBorders>
            <w:shd w:val="clear" w:color="auto" w:fill="auto"/>
            <w:hideMark/>
          </w:tcPr>
          <w:p w14:paraId="7907FD1E" w14:textId="77777777" w:rsidR="00F970D2" w:rsidRPr="006050E8" w:rsidRDefault="00F970D2" w:rsidP="001224CB">
            <w:pPr>
              <w:jc w:val="right"/>
              <w:rPr>
                <w:vanish/>
                <w:sz w:val="16"/>
                <w:szCs w:val="16"/>
                <w:lang w:val="es-ES"/>
              </w:rPr>
            </w:pPr>
            <w:r w:rsidRPr="006050E8">
              <w:rPr>
                <w:vanish/>
                <w:sz w:val="16"/>
                <w:lang w:val="es-ES" w:eastAsia="en-CA"/>
              </w:rPr>
              <w:t>33,244</w:t>
            </w:r>
          </w:p>
        </w:tc>
        <w:tc>
          <w:tcPr>
            <w:tcW w:w="856" w:type="dxa"/>
            <w:tcBorders>
              <w:top w:val="nil"/>
              <w:left w:val="nil"/>
              <w:bottom w:val="single" w:sz="4" w:space="0" w:color="auto"/>
              <w:right w:val="single" w:sz="4" w:space="0" w:color="auto"/>
            </w:tcBorders>
            <w:shd w:val="clear" w:color="auto" w:fill="auto"/>
            <w:hideMark/>
          </w:tcPr>
          <w:p w14:paraId="428660D5" w14:textId="77777777" w:rsidR="00F970D2" w:rsidRPr="006050E8" w:rsidRDefault="00F970D2" w:rsidP="001224CB">
            <w:pPr>
              <w:jc w:val="right"/>
              <w:rPr>
                <w:vanish/>
                <w:sz w:val="16"/>
                <w:szCs w:val="16"/>
                <w:lang w:val="es-ES"/>
              </w:rPr>
            </w:pPr>
            <w:r w:rsidRPr="006050E8">
              <w:rPr>
                <w:vanish/>
                <w:sz w:val="16"/>
                <w:lang w:val="es-ES" w:eastAsia="en-CA"/>
              </w:rPr>
              <w:t>-61,805</w:t>
            </w:r>
          </w:p>
        </w:tc>
        <w:tc>
          <w:tcPr>
            <w:tcW w:w="856" w:type="dxa"/>
            <w:tcBorders>
              <w:top w:val="nil"/>
              <w:left w:val="nil"/>
              <w:bottom w:val="single" w:sz="4" w:space="0" w:color="auto"/>
              <w:right w:val="single" w:sz="4" w:space="0" w:color="auto"/>
            </w:tcBorders>
            <w:shd w:val="clear" w:color="auto" w:fill="auto"/>
            <w:hideMark/>
          </w:tcPr>
          <w:p w14:paraId="383DABD0" w14:textId="77777777" w:rsidR="00F970D2" w:rsidRPr="006050E8" w:rsidRDefault="00F970D2" w:rsidP="001224CB">
            <w:pPr>
              <w:ind w:left="-145"/>
              <w:jc w:val="right"/>
              <w:rPr>
                <w:vanish/>
                <w:sz w:val="16"/>
                <w:szCs w:val="16"/>
                <w:lang w:val="es-ES"/>
              </w:rPr>
            </w:pPr>
            <w:r w:rsidRPr="006050E8">
              <w:rPr>
                <w:vanish/>
                <w:sz w:val="16"/>
                <w:lang w:val="es-ES" w:eastAsia="en-CA"/>
              </w:rPr>
              <w:t>-1,001,330</w:t>
            </w:r>
          </w:p>
        </w:tc>
        <w:tc>
          <w:tcPr>
            <w:tcW w:w="856" w:type="dxa"/>
            <w:tcBorders>
              <w:top w:val="nil"/>
              <w:left w:val="nil"/>
              <w:bottom w:val="single" w:sz="4" w:space="0" w:color="auto"/>
              <w:right w:val="single" w:sz="4" w:space="0" w:color="auto"/>
            </w:tcBorders>
            <w:shd w:val="clear" w:color="auto" w:fill="auto"/>
            <w:hideMark/>
          </w:tcPr>
          <w:p w14:paraId="30F51BA3" w14:textId="77777777" w:rsidR="00F970D2" w:rsidRPr="006050E8" w:rsidRDefault="00F970D2" w:rsidP="001224CB">
            <w:pPr>
              <w:jc w:val="right"/>
              <w:rPr>
                <w:vanish/>
                <w:sz w:val="16"/>
                <w:szCs w:val="16"/>
                <w:lang w:val="es-ES"/>
              </w:rPr>
            </w:pPr>
            <w:r w:rsidRPr="006050E8">
              <w:rPr>
                <w:vanish/>
                <w:sz w:val="16"/>
                <w:lang w:val="es-ES" w:eastAsia="en-CA"/>
              </w:rPr>
              <w:t>369,331</w:t>
            </w:r>
          </w:p>
        </w:tc>
        <w:tc>
          <w:tcPr>
            <w:tcW w:w="856" w:type="dxa"/>
            <w:tcBorders>
              <w:top w:val="nil"/>
              <w:left w:val="nil"/>
              <w:bottom w:val="single" w:sz="4" w:space="0" w:color="auto"/>
              <w:right w:val="single" w:sz="4" w:space="0" w:color="auto"/>
            </w:tcBorders>
            <w:shd w:val="clear" w:color="auto" w:fill="auto"/>
            <w:hideMark/>
          </w:tcPr>
          <w:p w14:paraId="46320439" w14:textId="77777777" w:rsidR="00F970D2" w:rsidRPr="006050E8" w:rsidRDefault="00F970D2" w:rsidP="001224CB">
            <w:pPr>
              <w:ind w:left="-154"/>
              <w:jc w:val="right"/>
              <w:rPr>
                <w:vanish/>
                <w:sz w:val="16"/>
                <w:szCs w:val="16"/>
                <w:lang w:val="es-ES"/>
              </w:rPr>
            </w:pPr>
            <w:r w:rsidRPr="006050E8">
              <w:rPr>
                <w:vanish/>
                <w:sz w:val="16"/>
                <w:lang w:val="es-ES" w:eastAsia="en-CA"/>
              </w:rPr>
              <w:t>-1,326,631</w:t>
            </w:r>
          </w:p>
        </w:tc>
        <w:tc>
          <w:tcPr>
            <w:tcW w:w="856" w:type="dxa"/>
            <w:tcBorders>
              <w:top w:val="nil"/>
              <w:left w:val="single" w:sz="4" w:space="0" w:color="auto"/>
              <w:bottom w:val="single" w:sz="4" w:space="0" w:color="auto"/>
              <w:right w:val="single" w:sz="4" w:space="0" w:color="auto"/>
            </w:tcBorders>
            <w:shd w:val="clear" w:color="auto" w:fill="auto"/>
            <w:hideMark/>
          </w:tcPr>
          <w:p w14:paraId="07D8C78B" w14:textId="77777777" w:rsidR="00F970D2" w:rsidRPr="006050E8" w:rsidRDefault="00F970D2" w:rsidP="001224CB">
            <w:pPr>
              <w:ind w:left="-77"/>
              <w:jc w:val="right"/>
              <w:rPr>
                <w:vanish/>
                <w:sz w:val="16"/>
                <w:szCs w:val="16"/>
                <w:lang w:val="es-ES"/>
              </w:rPr>
            </w:pPr>
            <w:r w:rsidRPr="006050E8">
              <w:rPr>
                <w:vanish/>
                <w:sz w:val="16"/>
                <w:lang w:val="es-ES" w:eastAsia="en-CA"/>
              </w:rPr>
              <w:t>-1,074,030</w:t>
            </w:r>
          </w:p>
        </w:tc>
        <w:tc>
          <w:tcPr>
            <w:tcW w:w="856" w:type="dxa"/>
            <w:tcBorders>
              <w:top w:val="nil"/>
              <w:left w:val="nil"/>
              <w:bottom w:val="single" w:sz="4" w:space="0" w:color="auto"/>
              <w:right w:val="single" w:sz="4" w:space="0" w:color="auto"/>
            </w:tcBorders>
            <w:shd w:val="clear" w:color="auto" w:fill="auto"/>
          </w:tcPr>
          <w:p w14:paraId="226BC1E4" w14:textId="77777777" w:rsidR="00F970D2" w:rsidRPr="006050E8" w:rsidRDefault="00F970D2" w:rsidP="001224CB">
            <w:pPr>
              <w:jc w:val="right"/>
              <w:rPr>
                <w:vanish/>
                <w:sz w:val="16"/>
                <w:szCs w:val="16"/>
                <w:lang w:val="es-ES" w:eastAsia="en-CA"/>
              </w:rPr>
            </w:pPr>
          </w:p>
        </w:tc>
        <w:tc>
          <w:tcPr>
            <w:tcW w:w="931" w:type="dxa"/>
            <w:tcBorders>
              <w:top w:val="nil"/>
              <w:left w:val="nil"/>
              <w:bottom w:val="single" w:sz="4" w:space="0" w:color="auto"/>
              <w:right w:val="single" w:sz="4" w:space="0" w:color="auto"/>
            </w:tcBorders>
            <w:shd w:val="clear" w:color="auto" w:fill="auto"/>
            <w:noWrap/>
            <w:hideMark/>
          </w:tcPr>
          <w:p w14:paraId="1AFA099E" w14:textId="77777777" w:rsidR="00F970D2" w:rsidRPr="006050E8" w:rsidRDefault="00F970D2" w:rsidP="001224CB">
            <w:pPr>
              <w:jc w:val="right"/>
              <w:rPr>
                <w:vanish/>
                <w:sz w:val="16"/>
                <w:szCs w:val="16"/>
                <w:lang w:val="es-ES"/>
              </w:rPr>
            </w:pPr>
            <w:r w:rsidRPr="006050E8">
              <w:rPr>
                <w:vanish/>
                <w:sz w:val="16"/>
                <w:lang w:val="es-ES" w:eastAsia="en-CA"/>
              </w:rPr>
              <w:t>342,553</w:t>
            </w:r>
          </w:p>
        </w:tc>
        <w:tc>
          <w:tcPr>
            <w:tcW w:w="936" w:type="dxa"/>
            <w:tcBorders>
              <w:top w:val="nil"/>
              <w:left w:val="nil"/>
              <w:bottom w:val="single" w:sz="4" w:space="0" w:color="auto"/>
              <w:right w:val="single" w:sz="4" w:space="0" w:color="auto"/>
            </w:tcBorders>
            <w:shd w:val="clear" w:color="auto" w:fill="auto"/>
            <w:noWrap/>
            <w:hideMark/>
          </w:tcPr>
          <w:p w14:paraId="054FB84F" w14:textId="77777777" w:rsidR="00F970D2" w:rsidRPr="006050E8" w:rsidRDefault="00F970D2" w:rsidP="001224CB">
            <w:pPr>
              <w:jc w:val="left"/>
              <w:rPr>
                <w:vanish/>
                <w:sz w:val="16"/>
                <w:szCs w:val="16"/>
                <w:lang w:val="es-ES"/>
              </w:rPr>
            </w:pPr>
            <w:r w:rsidRPr="006050E8">
              <w:rPr>
                <w:vanish/>
                <w:sz w:val="16"/>
                <w:lang w:val="es-ES" w:eastAsia="en-CA"/>
              </w:rPr>
              <w:t> </w:t>
            </w:r>
          </w:p>
        </w:tc>
      </w:tr>
      <w:tr w:rsidR="00F970D2" w:rsidRPr="006050E8" w14:paraId="4714AD58" w14:textId="77777777" w:rsidTr="001224CB">
        <w:trPr>
          <w:trHeight w:val="50"/>
          <w:hidden/>
        </w:trPr>
        <w:tc>
          <w:tcPr>
            <w:tcW w:w="3415" w:type="dxa"/>
            <w:tcBorders>
              <w:top w:val="nil"/>
              <w:left w:val="single" w:sz="4" w:space="0" w:color="auto"/>
              <w:bottom w:val="single" w:sz="4" w:space="0" w:color="auto"/>
              <w:right w:val="single" w:sz="4" w:space="0" w:color="auto"/>
            </w:tcBorders>
            <w:shd w:val="clear" w:color="auto" w:fill="auto"/>
            <w:noWrap/>
            <w:hideMark/>
          </w:tcPr>
          <w:p w14:paraId="689DEADA" w14:textId="77777777" w:rsidR="00F970D2" w:rsidRPr="006050E8" w:rsidRDefault="00F970D2" w:rsidP="001224CB">
            <w:pPr>
              <w:jc w:val="left"/>
              <w:rPr>
                <w:vanish/>
                <w:sz w:val="16"/>
                <w:szCs w:val="16"/>
                <w:lang w:val="es-ES"/>
              </w:rPr>
            </w:pPr>
            <w:r w:rsidRPr="006050E8">
              <w:rPr>
                <w:vanish/>
                <w:sz w:val="16"/>
                <w:lang w:val="es-ES" w:eastAsia="en-CA"/>
              </w:rPr>
              <w:t>Running balance****</w:t>
            </w:r>
          </w:p>
        </w:tc>
        <w:tc>
          <w:tcPr>
            <w:tcW w:w="856" w:type="dxa"/>
            <w:tcBorders>
              <w:top w:val="nil"/>
              <w:left w:val="nil"/>
              <w:bottom w:val="single" w:sz="4" w:space="0" w:color="auto"/>
              <w:right w:val="single" w:sz="4" w:space="0" w:color="auto"/>
            </w:tcBorders>
            <w:shd w:val="clear" w:color="auto" w:fill="auto"/>
            <w:hideMark/>
          </w:tcPr>
          <w:p w14:paraId="0D478ADC" w14:textId="77777777" w:rsidR="00F970D2" w:rsidRPr="006050E8" w:rsidRDefault="00F970D2" w:rsidP="001224CB">
            <w:pPr>
              <w:jc w:val="right"/>
              <w:rPr>
                <w:vanish/>
                <w:sz w:val="16"/>
                <w:szCs w:val="16"/>
                <w:lang w:val="es-ES"/>
              </w:rPr>
            </w:pPr>
            <w:r w:rsidRPr="006050E8">
              <w:rPr>
                <w:vanish/>
                <w:sz w:val="16"/>
                <w:lang w:val="es-ES" w:eastAsia="en-CA"/>
              </w:rPr>
              <w:t>1,057,129</w:t>
            </w:r>
          </w:p>
        </w:tc>
        <w:tc>
          <w:tcPr>
            <w:tcW w:w="856" w:type="dxa"/>
            <w:tcBorders>
              <w:top w:val="nil"/>
              <w:left w:val="nil"/>
              <w:bottom w:val="single" w:sz="4" w:space="0" w:color="auto"/>
              <w:right w:val="single" w:sz="4" w:space="0" w:color="auto"/>
            </w:tcBorders>
            <w:shd w:val="clear" w:color="auto" w:fill="auto"/>
            <w:hideMark/>
          </w:tcPr>
          <w:p w14:paraId="0CA6CF59" w14:textId="77777777" w:rsidR="00F970D2" w:rsidRPr="006050E8" w:rsidRDefault="00F970D2" w:rsidP="001224CB">
            <w:pPr>
              <w:ind w:left="-117"/>
              <w:jc w:val="right"/>
              <w:rPr>
                <w:vanish/>
                <w:sz w:val="16"/>
                <w:szCs w:val="16"/>
                <w:lang w:val="es-ES"/>
              </w:rPr>
            </w:pPr>
            <w:r w:rsidRPr="006050E8">
              <w:rPr>
                <w:vanish/>
                <w:sz w:val="16"/>
                <w:lang w:val="es-ES" w:eastAsia="en-CA"/>
              </w:rPr>
              <w:t>-1,547,277</w:t>
            </w:r>
          </w:p>
        </w:tc>
        <w:tc>
          <w:tcPr>
            <w:tcW w:w="856" w:type="dxa"/>
            <w:tcBorders>
              <w:top w:val="nil"/>
              <w:left w:val="nil"/>
              <w:bottom w:val="single" w:sz="4" w:space="0" w:color="auto"/>
              <w:right w:val="single" w:sz="4" w:space="0" w:color="auto"/>
            </w:tcBorders>
            <w:shd w:val="clear" w:color="auto" w:fill="auto"/>
            <w:hideMark/>
          </w:tcPr>
          <w:p w14:paraId="766D505C" w14:textId="77777777" w:rsidR="00F970D2" w:rsidRPr="006050E8" w:rsidRDefault="00F970D2" w:rsidP="001224CB">
            <w:pPr>
              <w:ind w:left="-126"/>
              <w:jc w:val="right"/>
              <w:rPr>
                <w:vanish/>
                <w:sz w:val="16"/>
                <w:szCs w:val="16"/>
                <w:lang w:val="es-ES"/>
              </w:rPr>
            </w:pPr>
            <w:r w:rsidRPr="006050E8">
              <w:rPr>
                <w:vanish/>
                <w:sz w:val="16"/>
                <w:lang w:val="es-ES" w:eastAsia="en-CA"/>
              </w:rPr>
              <w:t>-2,082,924</w:t>
            </w:r>
          </w:p>
        </w:tc>
        <w:tc>
          <w:tcPr>
            <w:tcW w:w="856" w:type="dxa"/>
            <w:tcBorders>
              <w:top w:val="nil"/>
              <w:left w:val="nil"/>
              <w:bottom w:val="single" w:sz="4" w:space="0" w:color="auto"/>
              <w:right w:val="single" w:sz="4" w:space="0" w:color="auto"/>
            </w:tcBorders>
            <w:shd w:val="clear" w:color="auto" w:fill="auto"/>
            <w:hideMark/>
          </w:tcPr>
          <w:p w14:paraId="5AB0E11E" w14:textId="77777777" w:rsidR="00F970D2" w:rsidRPr="006050E8" w:rsidRDefault="00F970D2" w:rsidP="001224CB">
            <w:pPr>
              <w:ind w:left="-267"/>
              <w:jc w:val="right"/>
              <w:rPr>
                <w:vanish/>
                <w:sz w:val="16"/>
                <w:szCs w:val="16"/>
                <w:lang w:val="es-ES"/>
              </w:rPr>
            </w:pPr>
            <w:r w:rsidRPr="006050E8">
              <w:rPr>
                <w:vanish/>
                <w:sz w:val="16"/>
                <w:lang w:val="es-ES" w:eastAsia="en-CA"/>
              </w:rPr>
              <w:t>-2,049,680</w:t>
            </w:r>
          </w:p>
        </w:tc>
        <w:tc>
          <w:tcPr>
            <w:tcW w:w="856" w:type="dxa"/>
            <w:tcBorders>
              <w:top w:val="nil"/>
              <w:left w:val="nil"/>
              <w:bottom w:val="single" w:sz="4" w:space="0" w:color="auto"/>
              <w:right w:val="single" w:sz="4" w:space="0" w:color="auto"/>
            </w:tcBorders>
            <w:shd w:val="clear" w:color="auto" w:fill="auto"/>
            <w:hideMark/>
          </w:tcPr>
          <w:p w14:paraId="4EB913F0" w14:textId="77777777" w:rsidR="00F970D2" w:rsidRPr="006050E8" w:rsidRDefault="00F970D2" w:rsidP="001224CB">
            <w:pPr>
              <w:ind w:left="-135"/>
              <w:jc w:val="right"/>
              <w:rPr>
                <w:vanish/>
                <w:sz w:val="16"/>
                <w:szCs w:val="16"/>
                <w:lang w:val="es-ES"/>
              </w:rPr>
            </w:pPr>
            <w:r w:rsidRPr="006050E8">
              <w:rPr>
                <w:vanish/>
                <w:sz w:val="16"/>
                <w:lang w:val="es-ES" w:eastAsia="en-CA"/>
              </w:rPr>
              <w:t>-2,111,485</w:t>
            </w:r>
          </w:p>
        </w:tc>
        <w:tc>
          <w:tcPr>
            <w:tcW w:w="856" w:type="dxa"/>
            <w:tcBorders>
              <w:top w:val="nil"/>
              <w:left w:val="nil"/>
              <w:bottom w:val="single" w:sz="4" w:space="0" w:color="auto"/>
              <w:right w:val="single" w:sz="4" w:space="0" w:color="auto"/>
            </w:tcBorders>
            <w:shd w:val="clear" w:color="auto" w:fill="auto"/>
            <w:hideMark/>
          </w:tcPr>
          <w:p w14:paraId="2D3EC870" w14:textId="77777777" w:rsidR="00F970D2" w:rsidRPr="006050E8" w:rsidRDefault="00F970D2" w:rsidP="001224CB">
            <w:pPr>
              <w:ind w:left="-145"/>
              <w:jc w:val="right"/>
              <w:rPr>
                <w:vanish/>
                <w:sz w:val="16"/>
                <w:szCs w:val="16"/>
                <w:lang w:val="es-ES"/>
              </w:rPr>
            </w:pPr>
            <w:r w:rsidRPr="006050E8">
              <w:rPr>
                <w:vanish/>
                <w:sz w:val="16"/>
                <w:lang w:val="es-ES" w:eastAsia="en-CA"/>
              </w:rPr>
              <w:t>-3,112,815</w:t>
            </w:r>
          </w:p>
        </w:tc>
        <w:tc>
          <w:tcPr>
            <w:tcW w:w="856" w:type="dxa"/>
            <w:tcBorders>
              <w:top w:val="nil"/>
              <w:left w:val="nil"/>
              <w:bottom w:val="single" w:sz="4" w:space="0" w:color="auto"/>
              <w:right w:val="single" w:sz="4" w:space="0" w:color="auto"/>
            </w:tcBorders>
            <w:shd w:val="clear" w:color="auto" w:fill="auto"/>
            <w:hideMark/>
          </w:tcPr>
          <w:p w14:paraId="5C9C39E4" w14:textId="77777777" w:rsidR="00F970D2" w:rsidRPr="006050E8" w:rsidRDefault="00F970D2" w:rsidP="001224CB">
            <w:pPr>
              <w:ind w:left="-154"/>
              <w:jc w:val="right"/>
              <w:rPr>
                <w:vanish/>
                <w:sz w:val="16"/>
                <w:szCs w:val="16"/>
                <w:lang w:val="es-ES"/>
              </w:rPr>
            </w:pPr>
            <w:r w:rsidRPr="006050E8">
              <w:rPr>
                <w:vanish/>
                <w:sz w:val="16"/>
                <w:lang w:val="es-ES" w:eastAsia="en-CA"/>
              </w:rPr>
              <w:t>-2,743,484</w:t>
            </w:r>
          </w:p>
        </w:tc>
        <w:tc>
          <w:tcPr>
            <w:tcW w:w="856" w:type="dxa"/>
            <w:tcBorders>
              <w:top w:val="nil"/>
              <w:left w:val="nil"/>
              <w:bottom w:val="single" w:sz="4" w:space="0" w:color="auto"/>
              <w:right w:val="single" w:sz="4" w:space="0" w:color="auto"/>
            </w:tcBorders>
            <w:shd w:val="clear" w:color="auto" w:fill="auto"/>
            <w:hideMark/>
          </w:tcPr>
          <w:p w14:paraId="7065CB6C" w14:textId="77777777" w:rsidR="00F970D2" w:rsidRPr="006050E8" w:rsidRDefault="00F970D2" w:rsidP="001224CB">
            <w:pPr>
              <w:ind w:left="-156"/>
              <w:jc w:val="right"/>
              <w:rPr>
                <w:vanish/>
                <w:sz w:val="16"/>
                <w:szCs w:val="16"/>
                <w:lang w:val="es-ES"/>
              </w:rPr>
            </w:pPr>
            <w:r w:rsidRPr="006050E8">
              <w:rPr>
                <w:vanish/>
                <w:sz w:val="16"/>
                <w:lang w:val="es-ES" w:eastAsia="en-CA"/>
              </w:rPr>
              <w:t>-4,070,115</w:t>
            </w:r>
          </w:p>
        </w:tc>
        <w:tc>
          <w:tcPr>
            <w:tcW w:w="856" w:type="dxa"/>
            <w:tcBorders>
              <w:top w:val="nil"/>
              <w:left w:val="single" w:sz="4" w:space="0" w:color="auto"/>
              <w:bottom w:val="single" w:sz="4" w:space="0" w:color="auto"/>
              <w:right w:val="single" w:sz="4" w:space="0" w:color="auto"/>
            </w:tcBorders>
            <w:shd w:val="clear" w:color="auto" w:fill="auto"/>
            <w:hideMark/>
          </w:tcPr>
          <w:p w14:paraId="0C39E825" w14:textId="77777777" w:rsidR="00F970D2" w:rsidRPr="006050E8" w:rsidRDefault="00F970D2" w:rsidP="001224CB">
            <w:pPr>
              <w:ind w:left="-77"/>
              <w:jc w:val="right"/>
              <w:rPr>
                <w:vanish/>
                <w:sz w:val="16"/>
                <w:szCs w:val="16"/>
                <w:lang w:val="es-ES"/>
              </w:rPr>
            </w:pPr>
            <w:r w:rsidRPr="006050E8">
              <w:rPr>
                <w:vanish/>
                <w:sz w:val="16"/>
                <w:lang w:val="es-ES" w:eastAsia="en-CA"/>
              </w:rPr>
              <w:t>-5,144,145</w:t>
            </w:r>
          </w:p>
        </w:tc>
        <w:tc>
          <w:tcPr>
            <w:tcW w:w="856" w:type="dxa"/>
            <w:tcBorders>
              <w:top w:val="nil"/>
              <w:left w:val="nil"/>
              <w:bottom w:val="single" w:sz="4" w:space="0" w:color="auto"/>
              <w:right w:val="single" w:sz="4" w:space="0" w:color="auto"/>
            </w:tcBorders>
            <w:shd w:val="clear" w:color="auto" w:fill="auto"/>
          </w:tcPr>
          <w:p w14:paraId="248B9B4D" w14:textId="77777777" w:rsidR="00F970D2" w:rsidRPr="006050E8" w:rsidRDefault="00F970D2" w:rsidP="001224CB">
            <w:pPr>
              <w:ind w:left="-90"/>
              <w:jc w:val="right"/>
              <w:rPr>
                <w:vanish/>
                <w:sz w:val="16"/>
                <w:szCs w:val="16"/>
                <w:lang w:val="es-ES" w:eastAsia="en-CA"/>
              </w:rPr>
            </w:pPr>
          </w:p>
        </w:tc>
        <w:tc>
          <w:tcPr>
            <w:tcW w:w="931" w:type="dxa"/>
            <w:tcBorders>
              <w:top w:val="nil"/>
              <w:left w:val="nil"/>
              <w:bottom w:val="single" w:sz="4" w:space="0" w:color="auto"/>
              <w:right w:val="single" w:sz="4" w:space="0" w:color="auto"/>
            </w:tcBorders>
            <w:shd w:val="clear" w:color="auto" w:fill="auto"/>
            <w:noWrap/>
            <w:hideMark/>
          </w:tcPr>
          <w:p w14:paraId="1AD193DE" w14:textId="77777777" w:rsidR="00F970D2" w:rsidRPr="006050E8" w:rsidRDefault="00F970D2" w:rsidP="001224CB">
            <w:pPr>
              <w:jc w:val="right"/>
              <w:rPr>
                <w:vanish/>
                <w:sz w:val="16"/>
                <w:szCs w:val="16"/>
                <w:lang w:val="es-ES"/>
              </w:rPr>
            </w:pPr>
            <w:r w:rsidRPr="006050E8">
              <w:rPr>
                <w:vanish/>
                <w:sz w:val="16"/>
                <w:lang w:val="es-ES" w:eastAsia="en-CA"/>
              </w:rPr>
              <w:t>-4,801,592</w:t>
            </w:r>
          </w:p>
        </w:tc>
        <w:tc>
          <w:tcPr>
            <w:tcW w:w="936" w:type="dxa"/>
            <w:tcBorders>
              <w:top w:val="nil"/>
              <w:left w:val="nil"/>
              <w:bottom w:val="single" w:sz="4" w:space="0" w:color="auto"/>
              <w:right w:val="single" w:sz="4" w:space="0" w:color="auto"/>
            </w:tcBorders>
            <w:shd w:val="clear" w:color="auto" w:fill="auto"/>
            <w:noWrap/>
            <w:hideMark/>
          </w:tcPr>
          <w:p w14:paraId="75227CA5" w14:textId="77777777" w:rsidR="00F970D2" w:rsidRPr="006050E8" w:rsidRDefault="00F970D2" w:rsidP="001224CB">
            <w:pPr>
              <w:jc w:val="left"/>
              <w:rPr>
                <w:vanish/>
                <w:sz w:val="16"/>
                <w:szCs w:val="16"/>
                <w:lang w:val="es-ES"/>
              </w:rPr>
            </w:pPr>
            <w:r w:rsidRPr="006050E8">
              <w:rPr>
                <w:vanish/>
                <w:sz w:val="16"/>
                <w:lang w:val="es-ES" w:eastAsia="en-CA"/>
              </w:rPr>
              <w:t> </w:t>
            </w:r>
          </w:p>
        </w:tc>
      </w:tr>
    </w:tbl>
    <w:p w14:paraId="7F4AD5EB" w14:textId="77777777" w:rsidR="00F970D2" w:rsidRPr="006050E8" w:rsidRDefault="00F970D2" w:rsidP="00F970D2">
      <w:pPr>
        <w:keepLines/>
        <w:ind w:right="508"/>
        <w:rPr>
          <w:vanish/>
          <w:sz w:val="16"/>
          <w:szCs w:val="16"/>
          <w:lang w:val="es-ES"/>
        </w:rPr>
      </w:pPr>
      <w:r w:rsidRPr="006050E8">
        <w:rPr>
          <w:vanish/>
          <w:sz w:val="16"/>
          <w:lang w:val="es-ES"/>
        </w:rPr>
        <w:t>* The cost of the core unit is higher than the allowed subtotal of US $1,984,561 in 2012, US $1,998,453 in 2013, US $2,012,442 in 2014, US $2,026,529 in 2015, US $2,040,715 in 2016, US $2,055,000 in 2017 and US $2,083,870 in 2019. An adjustment line and a negative adjustment were, therefore, introduced to arrive at the required ceiling. A corresponding positive adjustment is also provided under agency support costs/implementation to ensure that the total costs incurred for administrative costs also reflect the amount exceeded by the agency.</w:t>
      </w:r>
    </w:p>
    <w:p w14:paraId="74FD871D" w14:textId="77777777" w:rsidR="00F970D2" w:rsidRPr="006050E8" w:rsidRDefault="00F970D2" w:rsidP="00F970D2">
      <w:pPr>
        <w:pStyle w:val="Title1"/>
        <w:ind w:right="508"/>
        <w:jc w:val="both"/>
        <w:outlineLvl w:val="9"/>
        <w:rPr>
          <w:b w:val="0"/>
          <w:caps w:val="0"/>
          <w:vanish/>
          <w:sz w:val="16"/>
          <w:szCs w:val="16"/>
          <w:lang w:val="es-ES"/>
        </w:rPr>
      </w:pPr>
      <w:r w:rsidRPr="006050E8">
        <w:rPr>
          <w:b w:val="0"/>
          <w:caps w:val="0"/>
          <w:vanish/>
          <w:sz w:val="16"/>
          <w:lang w:val="es-ES"/>
        </w:rPr>
        <w:t>** Reflects total annual amount provided by the Multilateral Fund. In the transition to the revised reporting format, the budget lines “t</w:t>
      </w:r>
      <w:r w:rsidRPr="006050E8">
        <w:rPr>
          <w:b w:val="0"/>
          <w:caps w:val="0"/>
          <w:vanish/>
          <w:sz w:val="16"/>
          <w:lang w:val="es-ES" w:eastAsia="en-CA"/>
        </w:rPr>
        <w:t>otal administrative support costs”, and “minus project</w:t>
      </w:r>
      <w:r w:rsidRPr="006050E8">
        <w:rPr>
          <w:b w:val="0"/>
          <w:caps w:val="0"/>
          <w:vanish/>
          <w:sz w:val="16"/>
          <w:lang w:val="es-ES"/>
        </w:rPr>
        <w:noBreakHyphen/>
      </w:r>
      <w:r w:rsidRPr="006050E8">
        <w:rPr>
          <w:b w:val="0"/>
          <w:caps w:val="0"/>
          <w:vanish/>
          <w:sz w:val="16"/>
          <w:lang w:val="es-ES" w:eastAsia="en-CA"/>
        </w:rPr>
        <w:t>related costs” are reflected in order to show trends in the period between 2011 and 2015. These lines will be removed over time.</w:t>
      </w:r>
    </w:p>
    <w:p w14:paraId="3D354F5C" w14:textId="77777777" w:rsidR="00F970D2" w:rsidRPr="006050E8" w:rsidRDefault="00F970D2" w:rsidP="00F970D2">
      <w:pPr>
        <w:rPr>
          <w:vanish/>
          <w:sz w:val="16"/>
          <w:szCs w:val="16"/>
          <w:lang w:val="es-ES"/>
        </w:rPr>
      </w:pPr>
      <w:r w:rsidRPr="006050E8">
        <w:rPr>
          <w:vanish/>
          <w:sz w:val="16"/>
          <w:lang w:val="es-ES"/>
        </w:rPr>
        <w:t>*** For 2021, including agency support costs approved at the 87</w:t>
      </w:r>
      <w:r w:rsidRPr="006050E8">
        <w:rPr>
          <w:vanish/>
          <w:sz w:val="16"/>
          <w:vertAlign w:val="superscript"/>
          <w:lang w:val="es-ES"/>
        </w:rPr>
        <w:t>th</w:t>
      </w:r>
      <w:r w:rsidRPr="006050E8">
        <w:rPr>
          <w:vanish/>
          <w:sz w:val="16"/>
          <w:lang w:val="es-ES"/>
        </w:rPr>
        <w:t xml:space="preserve"> meeting, and the value of agency support costs and core unit costs from submissions to the 88</w:t>
      </w:r>
      <w:r w:rsidRPr="006050E8">
        <w:rPr>
          <w:vanish/>
          <w:sz w:val="16"/>
          <w:vertAlign w:val="superscript"/>
          <w:lang w:val="es-ES"/>
        </w:rPr>
        <w:t>th</w:t>
      </w:r>
      <w:r w:rsidRPr="006050E8">
        <w:rPr>
          <w:vanish/>
          <w:sz w:val="16"/>
          <w:lang w:val="es-ES"/>
        </w:rPr>
        <w:t> meeting.</w:t>
      </w:r>
    </w:p>
    <w:p w14:paraId="41323E95" w14:textId="77777777" w:rsidR="00F970D2" w:rsidRPr="006050E8" w:rsidRDefault="00F970D2" w:rsidP="00F970D2">
      <w:pPr>
        <w:rPr>
          <w:caps/>
          <w:vanish/>
          <w:sz w:val="16"/>
          <w:szCs w:val="16"/>
          <w:lang w:val="es-ES"/>
        </w:rPr>
      </w:pPr>
      <w:r w:rsidRPr="006050E8">
        <w:rPr>
          <w:vanish/>
          <w:sz w:val="16"/>
          <w:lang w:val="es-ES"/>
        </w:rPr>
        <w:t>**** The Secretariat had estimated a running balance in 2007 since 2002 of US $2,127,930, but UNIDO’s balance of US $1,828,243 is used instead of the Secretariat’s calculation.</w:t>
      </w:r>
    </w:p>
    <w:p w14:paraId="3F97C2E1" w14:textId="77777777" w:rsidR="00F970D2" w:rsidRPr="006050E8" w:rsidRDefault="00F970D2" w:rsidP="00F970D2">
      <w:pPr>
        <w:jc w:val="left"/>
        <w:rPr>
          <w:bCs/>
          <w:vanish/>
          <w:sz w:val="16"/>
          <w:szCs w:val="16"/>
          <w:lang w:val="es-ES"/>
        </w:rPr>
      </w:pPr>
      <w:r w:rsidRPr="006050E8">
        <w:rPr>
          <w:b/>
          <w:caps/>
          <w:vanish/>
          <w:sz w:val="16"/>
          <w:lang w:val="es-ES"/>
        </w:rPr>
        <w:br w:type="page"/>
      </w:r>
    </w:p>
    <w:p w14:paraId="3C1C0908" w14:textId="77777777" w:rsidR="00F970D2" w:rsidRPr="006050E8" w:rsidRDefault="00F970D2" w:rsidP="00F970D2">
      <w:pPr>
        <w:keepNext/>
        <w:keepLines/>
        <w:rPr>
          <w:b/>
          <w:caps/>
          <w:vanish/>
          <w:lang w:val="es-ES"/>
        </w:rPr>
      </w:pPr>
      <w:r w:rsidRPr="006050E8">
        <w:rPr>
          <w:b/>
          <w:caps/>
          <w:vanish/>
          <w:lang w:val="es-ES"/>
        </w:rPr>
        <w:t>THE WORLD BANK</w:t>
      </w:r>
    </w:p>
    <w:tbl>
      <w:tblPr>
        <w:tblW w:w="13552" w:type="dxa"/>
        <w:tblLook w:val="04A0" w:firstRow="1" w:lastRow="0" w:firstColumn="1" w:lastColumn="0" w:noHBand="0" w:noVBand="1"/>
      </w:tblPr>
      <w:tblGrid>
        <w:gridCol w:w="3114"/>
        <w:gridCol w:w="856"/>
        <w:gridCol w:w="862"/>
        <w:gridCol w:w="857"/>
        <w:gridCol w:w="856"/>
        <w:gridCol w:w="856"/>
        <w:gridCol w:w="857"/>
        <w:gridCol w:w="960"/>
        <w:gridCol w:w="856"/>
        <w:gridCol w:w="856"/>
        <w:gridCol w:w="856"/>
        <w:gridCol w:w="910"/>
        <w:gridCol w:w="856"/>
      </w:tblGrid>
      <w:tr w:rsidR="00F970D2" w:rsidRPr="006050E8" w14:paraId="6F9C7736" w14:textId="77777777" w:rsidTr="001224CB">
        <w:trPr>
          <w:trHeight w:val="58"/>
          <w:hidden/>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342D6"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Cost item</w:t>
            </w:r>
          </w:p>
        </w:tc>
        <w:tc>
          <w:tcPr>
            <w:tcW w:w="856" w:type="dxa"/>
            <w:tcBorders>
              <w:top w:val="single" w:sz="4" w:space="0" w:color="auto"/>
              <w:left w:val="nil"/>
              <w:bottom w:val="single" w:sz="4" w:space="0" w:color="auto"/>
              <w:right w:val="single" w:sz="4" w:space="0" w:color="auto"/>
            </w:tcBorders>
            <w:shd w:val="clear" w:color="auto" w:fill="auto"/>
            <w:hideMark/>
          </w:tcPr>
          <w:p w14:paraId="1E77D7CC"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2012</w:t>
            </w:r>
          </w:p>
        </w:tc>
        <w:tc>
          <w:tcPr>
            <w:tcW w:w="862" w:type="dxa"/>
            <w:tcBorders>
              <w:top w:val="single" w:sz="4" w:space="0" w:color="auto"/>
              <w:left w:val="nil"/>
              <w:bottom w:val="single" w:sz="4" w:space="0" w:color="auto"/>
              <w:right w:val="single" w:sz="4" w:space="0" w:color="auto"/>
            </w:tcBorders>
            <w:shd w:val="clear" w:color="auto" w:fill="auto"/>
            <w:hideMark/>
          </w:tcPr>
          <w:p w14:paraId="769E6E98"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2013</w:t>
            </w:r>
          </w:p>
        </w:tc>
        <w:tc>
          <w:tcPr>
            <w:tcW w:w="857" w:type="dxa"/>
            <w:tcBorders>
              <w:top w:val="single" w:sz="4" w:space="0" w:color="auto"/>
              <w:left w:val="nil"/>
              <w:bottom w:val="single" w:sz="4" w:space="0" w:color="auto"/>
              <w:right w:val="single" w:sz="4" w:space="0" w:color="auto"/>
            </w:tcBorders>
            <w:shd w:val="clear" w:color="auto" w:fill="auto"/>
            <w:hideMark/>
          </w:tcPr>
          <w:p w14:paraId="3705B3FB"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2014</w:t>
            </w:r>
          </w:p>
        </w:tc>
        <w:tc>
          <w:tcPr>
            <w:tcW w:w="856" w:type="dxa"/>
            <w:tcBorders>
              <w:top w:val="single" w:sz="4" w:space="0" w:color="auto"/>
              <w:left w:val="nil"/>
              <w:bottom w:val="single" w:sz="4" w:space="0" w:color="auto"/>
              <w:right w:val="single" w:sz="4" w:space="0" w:color="auto"/>
            </w:tcBorders>
            <w:shd w:val="clear" w:color="auto" w:fill="auto"/>
            <w:hideMark/>
          </w:tcPr>
          <w:p w14:paraId="70D67A46"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2015</w:t>
            </w:r>
          </w:p>
        </w:tc>
        <w:tc>
          <w:tcPr>
            <w:tcW w:w="856" w:type="dxa"/>
            <w:tcBorders>
              <w:top w:val="single" w:sz="4" w:space="0" w:color="auto"/>
              <w:left w:val="nil"/>
              <w:bottom w:val="single" w:sz="4" w:space="0" w:color="auto"/>
              <w:right w:val="single" w:sz="4" w:space="0" w:color="auto"/>
            </w:tcBorders>
            <w:shd w:val="clear" w:color="auto" w:fill="auto"/>
            <w:hideMark/>
          </w:tcPr>
          <w:p w14:paraId="6F1DC451"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2016</w:t>
            </w:r>
          </w:p>
        </w:tc>
        <w:tc>
          <w:tcPr>
            <w:tcW w:w="857" w:type="dxa"/>
            <w:tcBorders>
              <w:top w:val="single" w:sz="4" w:space="0" w:color="auto"/>
              <w:left w:val="nil"/>
              <w:bottom w:val="single" w:sz="4" w:space="0" w:color="auto"/>
              <w:right w:val="single" w:sz="4" w:space="0" w:color="auto"/>
            </w:tcBorders>
            <w:shd w:val="clear" w:color="auto" w:fill="auto"/>
            <w:hideMark/>
          </w:tcPr>
          <w:p w14:paraId="64013F0D"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2017</w:t>
            </w:r>
          </w:p>
        </w:tc>
        <w:tc>
          <w:tcPr>
            <w:tcW w:w="960" w:type="dxa"/>
            <w:tcBorders>
              <w:top w:val="single" w:sz="4" w:space="0" w:color="auto"/>
              <w:left w:val="nil"/>
              <w:bottom w:val="single" w:sz="4" w:space="0" w:color="auto"/>
              <w:right w:val="single" w:sz="4" w:space="0" w:color="auto"/>
            </w:tcBorders>
            <w:shd w:val="clear" w:color="auto" w:fill="auto"/>
            <w:hideMark/>
          </w:tcPr>
          <w:p w14:paraId="1EDCB7A8"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2018</w:t>
            </w:r>
          </w:p>
        </w:tc>
        <w:tc>
          <w:tcPr>
            <w:tcW w:w="856" w:type="dxa"/>
            <w:tcBorders>
              <w:top w:val="single" w:sz="4" w:space="0" w:color="auto"/>
              <w:left w:val="nil"/>
              <w:bottom w:val="single" w:sz="4" w:space="0" w:color="auto"/>
              <w:right w:val="single" w:sz="4" w:space="0" w:color="auto"/>
            </w:tcBorders>
            <w:shd w:val="clear" w:color="auto" w:fill="auto"/>
            <w:hideMark/>
          </w:tcPr>
          <w:p w14:paraId="147E6B05"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2019</w:t>
            </w:r>
          </w:p>
        </w:tc>
        <w:tc>
          <w:tcPr>
            <w:tcW w:w="856" w:type="dxa"/>
            <w:tcBorders>
              <w:top w:val="single" w:sz="4" w:space="0" w:color="auto"/>
              <w:left w:val="single" w:sz="4" w:space="0" w:color="auto"/>
              <w:bottom w:val="single" w:sz="4" w:space="0" w:color="auto"/>
              <w:right w:val="nil"/>
            </w:tcBorders>
            <w:shd w:val="clear" w:color="auto" w:fill="auto"/>
            <w:hideMark/>
          </w:tcPr>
          <w:p w14:paraId="50DC6121"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2020</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86FF50"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2021</w:t>
            </w:r>
          </w:p>
        </w:tc>
        <w:tc>
          <w:tcPr>
            <w:tcW w:w="856" w:type="dxa"/>
            <w:tcBorders>
              <w:top w:val="single" w:sz="4" w:space="0" w:color="auto"/>
              <w:left w:val="nil"/>
              <w:bottom w:val="single" w:sz="4" w:space="0" w:color="auto"/>
              <w:right w:val="single" w:sz="4" w:space="0" w:color="auto"/>
            </w:tcBorders>
            <w:shd w:val="clear" w:color="auto" w:fill="auto"/>
            <w:hideMark/>
          </w:tcPr>
          <w:p w14:paraId="22FD6F1D" w14:textId="77777777" w:rsidR="00F970D2" w:rsidRPr="006050E8" w:rsidRDefault="00F970D2" w:rsidP="001224CB">
            <w:pPr>
              <w:jc w:val="center"/>
              <w:rPr>
                <w:b/>
                <w:bCs/>
                <w:vanish/>
                <w:sz w:val="16"/>
                <w:szCs w:val="16"/>
                <w:lang w:val="es-ES"/>
              </w:rPr>
            </w:pPr>
            <w:r w:rsidRPr="006050E8">
              <w:rPr>
                <w:b/>
                <w:vanish/>
                <w:sz w:val="16"/>
                <w:lang w:val="es-ES" w:eastAsia="en-CA"/>
              </w:rPr>
              <w:t>2022</w:t>
            </w:r>
          </w:p>
        </w:tc>
      </w:tr>
      <w:tr w:rsidR="00F970D2" w:rsidRPr="006050E8" w14:paraId="5AA20B7E" w14:textId="77777777" w:rsidTr="001224CB">
        <w:trPr>
          <w:trHeight w:val="82"/>
          <w:hidden/>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0963DFD" w14:textId="77777777" w:rsidR="00F970D2" w:rsidRPr="006050E8" w:rsidRDefault="00F970D2" w:rsidP="001224CB">
            <w:pPr>
              <w:jc w:val="left"/>
              <w:rPr>
                <w:b/>
                <w:bCs/>
                <w:vanish/>
                <w:color w:val="000000"/>
                <w:sz w:val="16"/>
                <w:szCs w:val="16"/>
                <w:lang w:val="es-ES" w:eastAsia="en-CA"/>
              </w:rPr>
            </w:pPr>
          </w:p>
        </w:tc>
        <w:tc>
          <w:tcPr>
            <w:tcW w:w="856" w:type="dxa"/>
            <w:tcBorders>
              <w:top w:val="nil"/>
              <w:left w:val="nil"/>
              <w:bottom w:val="single" w:sz="4" w:space="0" w:color="auto"/>
              <w:right w:val="single" w:sz="4" w:space="0" w:color="auto"/>
            </w:tcBorders>
            <w:shd w:val="clear" w:color="auto" w:fill="auto"/>
            <w:hideMark/>
          </w:tcPr>
          <w:p w14:paraId="7ED4F7FC"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62" w:type="dxa"/>
            <w:tcBorders>
              <w:top w:val="nil"/>
              <w:left w:val="nil"/>
              <w:bottom w:val="single" w:sz="4" w:space="0" w:color="auto"/>
              <w:right w:val="single" w:sz="4" w:space="0" w:color="auto"/>
            </w:tcBorders>
            <w:shd w:val="clear" w:color="auto" w:fill="auto"/>
            <w:hideMark/>
          </w:tcPr>
          <w:p w14:paraId="4B3A8006"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7" w:type="dxa"/>
            <w:tcBorders>
              <w:top w:val="nil"/>
              <w:left w:val="nil"/>
              <w:bottom w:val="single" w:sz="4" w:space="0" w:color="auto"/>
              <w:right w:val="single" w:sz="4" w:space="0" w:color="auto"/>
            </w:tcBorders>
            <w:shd w:val="clear" w:color="auto" w:fill="auto"/>
            <w:hideMark/>
          </w:tcPr>
          <w:p w14:paraId="1E4E3B3A"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3A42D9C4"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nil"/>
              <w:bottom w:val="single" w:sz="4" w:space="0" w:color="auto"/>
              <w:right w:val="single" w:sz="4" w:space="0" w:color="auto"/>
            </w:tcBorders>
            <w:shd w:val="clear" w:color="auto" w:fill="auto"/>
            <w:hideMark/>
          </w:tcPr>
          <w:p w14:paraId="31A908CC"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7" w:type="dxa"/>
            <w:tcBorders>
              <w:top w:val="nil"/>
              <w:left w:val="nil"/>
              <w:bottom w:val="single" w:sz="4" w:space="0" w:color="auto"/>
              <w:right w:val="single" w:sz="4" w:space="0" w:color="auto"/>
            </w:tcBorders>
            <w:shd w:val="clear" w:color="auto" w:fill="auto"/>
            <w:hideMark/>
          </w:tcPr>
          <w:p w14:paraId="3CC356B9"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960" w:type="dxa"/>
            <w:tcBorders>
              <w:top w:val="nil"/>
              <w:left w:val="nil"/>
              <w:bottom w:val="single" w:sz="4" w:space="0" w:color="auto"/>
              <w:right w:val="single" w:sz="4" w:space="0" w:color="auto"/>
            </w:tcBorders>
            <w:shd w:val="clear" w:color="auto" w:fill="auto"/>
            <w:hideMark/>
          </w:tcPr>
          <w:p w14:paraId="2CE2BE2A"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single" w:sz="4" w:space="0" w:color="auto"/>
              <w:left w:val="nil"/>
              <w:bottom w:val="single" w:sz="4" w:space="0" w:color="auto"/>
              <w:right w:val="nil"/>
            </w:tcBorders>
            <w:shd w:val="clear" w:color="auto" w:fill="auto"/>
            <w:hideMark/>
          </w:tcPr>
          <w:p w14:paraId="11A62BA0"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single" w:sz="4" w:space="0" w:color="auto"/>
              <w:left w:val="single" w:sz="4" w:space="0" w:color="auto"/>
              <w:bottom w:val="single" w:sz="4" w:space="0" w:color="auto"/>
              <w:right w:val="nil"/>
            </w:tcBorders>
            <w:shd w:val="clear" w:color="auto" w:fill="auto"/>
            <w:hideMark/>
          </w:tcPr>
          <w:p w14:paraId="2EE44EDA"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Actual</w:t>
            </w:r>
          </w:p>
        </w:tc>
        <w:tc>
          <w:tcPr>
            <w:tcW w:w="856" w:type="dxa"/>
            <w:tcBorders>
              <w:top w:val="nil"/>
              <w:left w:val="single" w:sz="4" w:space="0" w:color="auto"/>
              <w:bottom w:val="single" w:sz="4" w:space="0" w:color="auto"/>
              <w:right w:val="single" w:sz="4" w:space="0" w:color="auto"/>
            </w:tcBorders>
            <w:shd w:val="clear" w:color="auto" w:fill="auto"/>
            <w:hideMark/>
          </w:tcPr>
          <w:p w14:paraId="07B1BDBE"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Budget</w:t>
            </w:r>
          </w:p>
        </w:tc>
        <w:tc>
          <w:tcPr>
            <w:tcW w:w="910" w:type="dxa"/>
            <w:tcBorders>
              <w:top w:val="nil"/>
              <w:left w:val="nil"/>
              <w:bottom w:val="single" w:sz="4" w:space="0" w:color="auto"/>
              <w:right w:val="single" w:sz="4" w:space="0" w:color="auto"/>
            </w:tcBorders>
            <w:shd w:val="clear" w:color="auto" w:fill="auto"/>
            <w:hideMark/>
          </w:tcPr>
          <w:p w14:paraId="48C8CC82" w14:textId="77777777" w:rsidR="00F970D2" w:rsidRPr="006050E8" w:rsidRDefault="00F970D2" w:rsidP="001224CB">
            <w:pPr>
              <w:jc w:val="center"/>
              <w:rPr>
                <w:b/>
                <w:bCs/>
                <w:vanish/>
                <w:color w:val="000000"/>
                <w:sz w:val="16"/>
                <w:szCs w:val="16"/>
                <w:lang w:val="es-ES"/>
              </w:rPr>
            </w:pPr>
            <w:r w:rsidRPr="006050E8">
              <w:rPr>
                <w:b/>
                <w:vanish/>
                <w:color w:val="000000"/>
                <w:sz w:val="16"/>
                <w:lang w:val="es-ES" w:eastAsia="en-CA"/>
              </w:rPr>
              <w:t>Estimated</w:t>
            </w:r>
          </w:p>
        </w:tc>
        <w:tc>
          <w:tcPr>
            <w:tcW w:w="856" w:type="dxa"/>
            <w:tcBorders>
              <w:top w:val="nil"/>
              <w:left w:val="nil"/>
              <w:bottom w:val="single" w:sz="4" w:space="0" w:color="auto"/>
              <w:right w:val="single" w:sz="4" w:space="0" w:color="auto"/>
            </w:tcBorders>
            <w:shd w:val="clear" w:color="auto" w:fill="auto"/>
            <w:hideMark/>
          </w:tcPr>
          <w:p w14:paraId="5A5A70B1" w14:textId="77777777" w:rsidR="00F970D2" w:rsidRPr="006050E8" w:rsidRDefault="00F970D2" w:rsidP="001224CB">
            <w:pPr>
              <w:jc w:val="center"/>
              <w:rPr>
                <w:b/>
                <w:bCs/>
                <w:vanish/>
                <w:sz w:val="16"/>
                <w:szCs w:val="16"/>
                <w:lang w:val="es-ES"/>
              </w:rPr>
            </w:pPr>
            <w:r w:rsidRPr="006050E8">
              <w:rPr>
                <w:b/>
                <w:vanish/>
                <w:sz w:val="16"/>
                <w:lang w:val="es-ES" w:eastAsia="en-CA"/>
              </w:rPr>
              <w:t>Proposed</w:t>
            </w:r>
          </w:p>
        </w:tc>
      </w:tr>
      <w:tr w:rsidR="00F970D2" w:rsidRPr="006050E8" w14:paraId="4B359A5B" w14:textId="77777777" w:rsidTr="001224CB">
        <w:trPr>
          <w:trHeight w:val="240"/>
          <w:hidden/>
        </w:trPr>
        <w:tc>
          <w:tcPr>
            <w:tcW w:w="3114" w:type="dxa"/>
            <w:tcBorders>
              <w:top w:val="nil"/>
              <w:left w:val="single" w:sz="4" w:space="0" w:color="auto"/>
              <w:bottom w:val="single" w:sz="4" w:space="0" w:color="auto"/>
              <w:right w:val="nil"/>
            </w:tcBorders>
            <w:shd w:val="clear" w:color="auto" w:fill="auto"/>
            <w:hideMark/>
          </w:tcPr>
          <w:p w14:paraId="159FCEC5"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A. Core unit</w:t>
            </w:r>
          </w:p>
        </w:tc>
        <w:tc>
          <w:tcPr>
            <w:tcW w:w="856" w:type="dxa"/>
            <w:tcBorders>
              <w:top w:val="nil"/>
              <w:left w:val="nil"/>
              <w:bottom w:val="single" w:sz="4" w:space="0" w:color="auto"/>
              <w:right w:val="nil"/>
            </w:tcBorders>
            <w:shd w:val="clear" w:color="auto" w:fill="auto"/>
            <w:hideMark/>
          </w:tcPr>
          <w:p w14:paraId="2ECC27EB"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62" w:type="dxa"/>
            <w:tcBorders>
              <w:top w:val="nil"/>
              <w:left w:val="nil"/>
              <w:bottom w:val="single" w:sz="4" w:space="0" w:color="auto"/>
              <w:right w:val="nil"/>
            </w:tcBorders>
            <w:shd w:val="clear" w:color="auto" w:fill="auto"/>
            <w:hideMark/>
          </w:tcPr>
          <w:p w14:paraId="69243FBB"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7" w:type="dxa"/>
            <w:tcBorders>
              <w:top w:val="nil"/>
              <w:left w:val="nil"/>
              <w:bottom w:val="single" w:sz="4" w:space="0" w:color="auto"/>
              <w:right w:val="nil"/>
            </w:tcBorders>
            <w:shd w:val="clear" w:color="auto" w:fill="auto"/>
            <w:hideMark/>
          </w:tcPr>
          <w:p w14:paraId="2EADCF36"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5CF32222"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7671522F"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7" w:type="dxa"/>
            <w:tcBorders>
              <w:top w:val="nil"/>
              <w:left w:val="nil"/>
              <w:bottom w:val="single" w:sz="4" w:space="0" w:color="auto"/>
              <w:right w:val="nil"/>
            </w:tcBorders>
            <w:shd w:val="clear" w:color="auto" w:fill="auto"/>
            <w:hideMark/>
          </w:tcPr>
          <w:p w14:paraId="746ABB20"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960" w:type="dxa"/>
            <w:tcBorders>
              <w:top w:val="nil"/>
              <w:left w:val="nil"/>
              <w:bottom w:val="single" w:sz="4" w:space="0" w:color="auto"/>
              <w:right w:val="nil"/>
            </w:tcBorders>
            <w:shd w:val="clear" w:color="auto" w:fill="auto"/>
            <w:hideMark/>
          </w:tcPr>
          <w:p w14:paraId="3D99A3C0"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4A2BD098"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0DEE3AE0"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7556D2F"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734A5453"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0591F376"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783F4E64" w14:textId="77777777" w:rsidTr="001224CB">
        <w:trPr>
          <w:trHeight w:val="61"/>
          <w:hidden/>
        </w:trPr>
        <w:tc>
          <w:tcPr>
            <w:tcW w:w="3114" w:type="dxa"/>
            <w:tcBorders>
              <w:top w:val="nil"/>
              <w:left w:val="single" w:sz="4" w:space="0" w:color="auto"/>
              <w:bottom w:val="single" w:sz="4" w:space="0" w:color="auto"/>
              <w:right w:val="single" w:sz="4" w:space="0" w:color="auto"/>
            </w:tcBorders>
            <w:shd w:val="clear" w:color="auto" w:fill="auto"/>
            <w:hideMark/>
          </w:tcPr>
          <w:p w14:paraId="626F8081" w14:textId="77777777" w:rsidR="00F970D2" w:rsidRPr="006050E8" w:rsidRDefault="00F970D2" w:rsidP="001224CB">
            <w:pPr>
              <w:rPr>
                <w:vanish/>
                <w:color w:val="000000"/>
                <w:sz w:val="16"/>
                <w:szCs w:val="16"/>
                <w:lang w:val="es-ES"/>
              </w:rPr>
            </w:pPr>
            <w:r w:rsidRPr="006050E8">
              <w:rPr>
                <w:vanish/>
                <w:color w:val="000000"/>
                <w:sz w:val="16"/>
                <w:lang w:val="es-ES" w:eastAsia="en-CA"/>
              </w:rPr>
              <w:t>Core unit personnel and contractual staff</w:t>
            </w:r>
          </w:p>
        </w:tc>
        <w:tc>
          <w:tcPr>
            <w:tcW w:w="856" w:type="dxa"/>
            <w:tcBorders>
              <w:top w:val="nil"/>
              <w:left w:val="nil"/>
              <w:bottom w:val="single" w:sz="4" w:space="0" w:color="auto"/>
              <w:right w:val="single" w:sz="4" w:space="0" w:color="auto"/>
            </w:tcBorders>
            <w:shd w:val="clear" w:color="auto" w:fill="auto"/>
            <w:hideMark/>
          </w:tcPr>
          <w:p w14:paraId="6AA1C0D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1,184,796</w:t>
            </w:r>
          </w:p>
        </w:tc>
        <w:tc>
          <w:tcPr>
            <w:tcW w:w="862" w:type="dxa"/>
            <w:tcBorders>
              <w:top w:val="nil"/>
              <w:left w:val="nil"/>
              <w:bottom w:val="single" w:sz="4" w:space="0" w:color="auto"/>
              <w:right w:val="single" w:sz="4" w:space="0" w:color="auto"/>
            </w:tcBorders>
            <w:shd w:val="clear" w:color="auto" w:fill="auto"/>
            <w:hideMark/>
          </w:tcPr>
          <w:p w14:paraId="5A6FA1C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984,571</w:t>
            </w:r>
          </w:p>
        </w:tc>
        <w:tc>
          <w:tcPr>
            <w:tcW w:w="857" w:type="dxa"/>
            <w:tcBorders>
              <w:top w:val="nil"/>
              <w:left w:val="nil"/>
              <w:bottom w:val="single" w:sz="4" w:space="0" w:color="auto"/>
              <w:right w:val="single" w:sz="4" w:space="0" w:color="auto"/>
            </w:tcBorders>
            <w:shd w:val="clear" w:color="auto" w:fill="auto"/>
            <w:hideMark/>
          </w:tcPr>
          <w:p w14:paraId="079DB5B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1,022,179</w:t>
            </w:r>
          </w:p>
        </w:tc>
        <w:tc>
          <w:tcPr>
            <w:tcW w:w="856" w:type="dxa"/>
            <w:tcBorders>
              <w:top w:val="nil"/>
              <w:left w:val="nil"/>
              <w:bottom w:val="single" w:sz="4" w:space="0" w:color="auto"/>
              <w:right w:val="single" w:sz="4" w:space="0" w:color="auto"/>
            </w:tcBorders>
            <w:shd w:val="clear" w:color="auto" w:fill="auto"/>
            <w:hideMark/>
          </w:tcPr>
          <w:p w14:paraId="4852162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827,111</w:t>
            </w:r>
          </w:p>
        </w:tc>
        <w:tc>
          <w:tcPr>
            <w:tcW w:w="856" w:type="dxa"/>
            <w:tcBorders>
              <w:top w:val="nil"/>
              <w:left w:val="nil"/>
              <w:bottom w:val="single" w:sz="4" w:space="0" w:color="auto"/>
              <w:right w:val="single" w:sz="4" w:space="0" w:color="auto"/>
            </w:tcBorders>
            <w:shd w:val="clear" w:color="auto" w:fill="auto"/>
            <w:hideMark/>
          </w:tcPr>
          <w:p w14:paraId="1029F2F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1,089,481</w:t>
            </w:r>
          </w:p>
        </w:tc>
        <w:tc>
          <w:tcPr>
            <w:tcW w:w="857" w:type="dxa"/>
            <w:tcBorders>
              <w:top w:val="nil"/>
              <w:left w:val="nil"/>
              <w:bottom w:val="single" w:sz="4" w:space="0" w:color="auto"/>
              <w:right w:val="single" w:sz="4" w:space="0" w:color="auto"/>
            </w:tcBorders>
            <w:shd w:val="clear" w:color="auto" w:fill="auto"/>
            <w:hideMark/>
          </w:tcPr>
          <w:p w14:paraId="345A210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1,086,340</w:t>
            </w:r>
          </w:p>
        </w:tc>
        <w:tc>
          <w:tcPr>
            <w:tcW w:w="960" w:type="dxa"/>
            <w:tcBorders>
              <w:top w:val="nil"/>
              <w:left w:val="nil"/>
              <w:bottom w:val="single" w:sz="4" w:space="0" w:color="auto"/>
              <w:right w:val="single" w:sz="4" w:space="0" w:color="auto"/>
            </w:tcBorders>
            <w:shd w:val="clear" w:color="auto" w:fill="auto"/>
            <w:hideMark/>
          </w:tcPr>
          <w:p w14:paraId="00B0FD3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1,226,215</w:t>
            </w:r>
          </w:p>
        </w:tc>
        <w:tc>
          <w:tcPr>
            <w:tcW w:w="856" w:type="dxa"/>
            <w:tcBorders>
              <w:top w:val="nil"/>
              <w:left w:val="nil"/>
              <w:bottom w:val="single" w:sz="4" w:space="0" w:color="auto"/>
              <w:right w:val="nil"/>
            </w:tcBorders>
            <w:shd w:val="clear" w:color="auto" w:fill="auto"/>
            <w:hideMark/>
          </w:tcPr>
          <w:p w14:paraId="20EE859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1,250,888</w:t>
            </w:r>
          </w:p>
        </w:tc>
        <w:tc>
          <w:tcPr>
            <w:tcW w:w="856" w:type="dxa"/>
            <w:tcBorders>
              <w:top w:val="nil"/>
              <w:left w:val="single" w:sz="4" w:space="0" w:color="auto"/>
              <w:bottom w:val="single" w:sz="4" w:space="0" w:color="auto"/>
              <w:right w:val="single" w:sz="4" w:space="0" w:color="auto"/>
            </w:tcBorders>
            <w:shd w:val="clear" w:color="auto" w:fill="auto"/>
            <w:noWrap/>
            <w:hideMark/>
          </w:tcPr>
          <w:p w14:paraId="7986BEB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1,055,231</w:t>
            </w:r>
          </w:p>
        </w:tc>
        <w:tc>
          <w:tcPr>
            <w:tcW w:w="856" w:type="dxa"/>
            <w:tcBorders>
              <w:top w:val="nil"/>
              <w:left w:val="nil"/>
              <w:bottom w:val="single" w:sz="4" w:space="0" w:color="auto"/>
              <w:right w:val="single" w:sz="4" w:space="0" w:color="auto"/>
            </w:tcBorders>
            <w:shd w:val="clear" w:color="auto" w:fill="auto"/>
            <w:noWrap/>
            <w:hideMark/>
          </w:tcPr>
          <w:p w14:paraId="414ED91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1,235,000</w:t>
            </w:r>
          </w:p>
        </w:tc>
        <w:tc>
          <w:tcPr>
            <w:tcW w:w="910" w:type="dxa"/>
            <w:tcBorders>
              <w:top w:val="nil"/>
              <w:left w:val="nil"/>
              <w:bottom w:val="single" w:sz="4" w:space="0" w:color="auto"/>
              <w:right w:val="single" w:sz="4" w:space="0" w:color="auto"/>
            </w:tcBorders>
            <w:shd w:val="clear" w:color="auto" w:fill="auto"/>
            <w:noWrap/>
            <w:hideMark/>
          </w:tcPr>
          <w:p w14:paraId="08EC2E5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1,235,000</w:t>
            </w:r>
          </w:p>
        </w:tc>
        <w:tc>
          <w:tcPr>
            <w:tcW w:w="856" w:type="dxa"/>
            <w:tcBorders>
              <w:top w:val="nil"/>
              <w:left w:val="nil"/>
              <w:bottom w:val="single" w:sz="4" w:space="0" w:color="auto"/>
              <w:right w:val="single" w:sz="4" w:space="0" w:color="auto"/>
            </w:tcBorders>
            <w:shd w:val="clear" w:color="auto" w:fill="auto"/>
            <w:noWrap/>
            <w:hideMark/>
          </w:tcPr>
          <w:p w14:paraId="67BA7C4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1,235,000</w:t>
            </w:r>
          </w:p>
        </w:tc>
      </w:tr>
      <w:tr w:rsidR="00F970D2" w:rsidRPr="006050E8" w14:paraId="4816F625"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2FAF49EA" w14:textId="77777777" w:rsidR="00F970D2" w:rsidRPr="006050E8" w:rsidRDefault="00F970D2" w:rsidP="001224CB">
            <w:pPr>
              <w:rPr>
                <w:vanish/>
                <w:color w:val="000000"/>
                <w:sz w:val="16"/>
                <w:szCs w:val="16"/>
                <w:lang w:val="es-ES"/>
              </w:rPr>
            </w:pPr>
            <w:r w:rsidRPr="006050E8">
              <w:rPr>
                <w:vanish/>
                <w:color w:val="000000"/>
                <w:sz w:val="16"/>
                <w:lang w:val="es-ES" w:eastAsia="en-CA"/>
              </w:rPr>
              <w:t>Travel (staff and consultant)</w:t>
            </w:r>
          </w:p>
        </w:tc>
        <w:tc>
          <w:tcPr>
            <w:tcW w:w="856" w:type="dxa"/>
            <w:tcBorders>
              <w:top w:val="nil"/>
              <w:left w:val="nil"/>
              <w:bottom w:val="single" w:sz="4" w:space="0" w:color="auto"/>
              <w:right w:val="single" w:sz="4" w:space="0" w:color="auto"/>
            </w:tcBorders>
            <w:shd w:val="clear" w:color="auto" w:fill="auto"/>
            <w:hideMark/>
          </w:tcPr>
          <w:p w14:paraId="72B36BF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205,425</w:t>
            </w:r>
          </w:p>
        </w:tc>
        <w:tc>
          <w:tcPr>
            <w:tcW w:w="862" w:type="dxa"/>
            <w:tcBorders>
              <w:top w:val="nil"/>
              <w:left w:val="nil"/>
              <w:bottom w:val="single" w:sz="4" w:space="0" w:color="auto"/>
              <w:right w:val="single" w:sz="4" w:space="0" w:color="auto"/>
            </w:tcBorders>
            <w:shd w:val="clear" w:color="auto" w:fill="auto"/>
            <w:hideMark/>
          </w:tcPr>
          <w:p w14:paraId="6841303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111,021</w:t>
            </w:r>
          </w:p>
        </w:tc>
        <w:tc>
          <w:tcPr>
            <w:tcW w:w="857" w:type="dxa"/>
            <w:tcBorders>
              <w:top w:val="nil"/>
              <w:left w:val="nil"/>
              <w:bottom w:val="single" w:sz="4" w:space="0" w:color="auto"/>
              <w:right w:val="single" w:sz="4" w:space="0" w:color="auto"/>
            </w:tcBorders>
            <w:shd w:val="clear" w:color="auto" w:fill="auto"/>
            <w:hideMark/>
          </w:tcPr>
          <w:p w14:paraId="27E4111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155,778</w:t>
            </w:r>
          </w:p>
        </w:tc>
        <w:tc>
          <w:tcPr>
            <w:tcW w:w="856" w:type="dxa"/>
            <w:tcBorders>
              <w:top w:val="nil"/>
              <w:left w:val="nil"/>
              <w:bottom w:val="single" w:sz="4" w:space="0" w:color="auto"/>
              <w:right w:val="single" w:sz="4" w:space="0" w:color="auto"/>
            </w:tcBorders>
            <w:shd w:val="clear" w:color="auto" w:fill="auto"/>
            <w:hideMark/>
          </w:tcPr>
          <w:p w14:paraId="7370680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205,498</w:t>
            </w:r>
          </w:p>
        </w:tc>
        <w:tc>
          <w:tcPr>
            <w:tcW w:w="856" w:type="dxa"/>
            <w:tcBorders>
              <w:top w:val="nil"/>
              <w:left w:val="nil"/>
              <w:bottom w:val="single" w:sz="4" w:space="0" w:color="auto"/>
              <w:right w:val="single" w:sz="4" w:space="0" w:color="auto"/>
            </w:tcBorders>
            <w:shd w:val="clear" w:color="auto" w:fill="auto"/>
            <w:hideMark/>
          </w:tcPr>
          <w:p w14:paraId="3A54027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216,356</w:t>
            </w:r>
          </w:p>
        </w:tc>
        <w:tc>
          <w:tcPr>
            <w:tcW w:w="857" w:type="dxa"/>
            <w:tcBorders>
              <w:top w:val="nil"/>
              <w:left w:val="nil"/>
              <w:bottom w:val="single" w:sz="4" w:space="0" w:color="auto"/>
              <w:right w:val="single" w:sz="4" w:space="0" w:color="auto"/>
            </w:tcBorders>
            <w:shd w:val="clear" w:color="auto" w:fill="auto"/>
            <w:hideMark/>
          </w:tcPr>
          <w:p w14:paraId="43EEE63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178,550</w:t>
            </w:r>
          </w:p>
        </w:tc>
        <w:tc>
          <w:tcPr>
            <w:tcW w:w="960" w:type="dxa"/>
            <w:tcBorders>
              <w:top w:val="nil"/>
              <w:left w:val="nil"/>
              <w:bottom w:val="single" w:sz="4" w:space="0" w:color="auto"/>
              <w:right w:val="single" w:sz="4" w:space="0" w:color="auto"/>
            </w:tcBorders>
            <w:shd w:val="clear" w:color="auto" w:fill="auto"/>
            <w:hideMark/>
          </w:tcPr>
          <w:p w14:paraId="3F03CB0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180,873</w:t>
            </w:r>
          </w:p>
        </w:tc>
        <w:tc>
          <w:tcPr>
            <w:tcW w:w="856" w:type="dxa"/>
            <w:tcBorders>
              <w:top w:val="nil"/>
              <w:left w:val="nil"/>
              <w:bottom w:val="single" w:sz="4" w:space="0" w:color="auto"/>
              <w:right w:val="nil"/>
            </w:tcBorders>
            <w:shd w:val="clear" w:color="auto" w:fill="auto"/>
            <w:hideMark/>
          </w:tcPr>
          <w:p w14:paraId="0F9020E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151,281</w:t>
            </w:r>
          </w:p>
        </w:tc>
        <w:tc>
          <w:tcPr>
            <w:tcW w:w="856" w:type="dxa"/>
            <w:tcBorders>
              <w:top w:val="nil"/>
              <w:left w:val="single" w:sz="4" w:space="0" w:color="auto"/>
              <w:bottom w:val="single" w:sz="4" w:space="0" w:color="auto"/>
              <w:right w:val="single" w:sz="4" w:space="0" w:color="auto"/>
            </w:tcBorders>
            <w:shd w:val="clear" w:color="auto" w:fill="auto"/>
            <w:noWrap/>
            <w:hideMark/>
          </w:tcPr>
          <w:p w14:paraId="274B56E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13,481</w:t>
            </w:r>
          </w:p>
        </w:tc>
        <w:tc>
          <w:tcPr>
            <w:tcW w:w="856" w:type="dxa"/>
            <w:tcBorders>
              <w:top w:val="nil"/>
              <w:left w:val="nil"/>
              <w:bottom w:val="single" w:sz="4" w:space="0" w:color="auto"/>
              <w:right w:val="single" w:sz="4" w:space="0" w:color="auto"/>
            </w:tcBorders>
            <w:shd w:val="clear" w:color="auto" w:fill="auto"/>
            <w:noWrap/>
            <w:hideMark/>
          </w:tcPr>
          <w:p w14:paraId="1052722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200,000</w:t>
            </w:r>
          </w:p>
        </w:tc>
        <w:tc>
          <w:tcPr>
            <w:tcW w:w="910" w:type="dxa"/>
            <w:tcBorders>
              <w:top w:val="nil"/>
              <w:left w:val="nil"/>
              <w:bottom w:val="single" w:sz="4" w:space="0" w:color="auto"/>
              <w:right w:val="single" w:sz="4" w:space="0" w:color="auto"/>
            </w:tcBorders>
            <w:shd w:val="clear" w:color="auto" w:fill="auto"/>
            <w:noWrap/>
            <w:hideMark/>
          </w:tcPr>
          <w:p w14:paraId="45F1200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10,000</w:t>
            </w:r>
          </w:p>
        </w:tc>
        <w:tc>
          <w:tcPr>
            <w:tcW w:w="856" w:type="dxa"/>
            <w:tcBorders>
              <w:top w:val="nil"/>
              <w:left w:val="nil"/>
              <w:bottom w:val="single" w:sz="4" w:space="0" w:color="auto"/>
              <w:right w:val="single" w:sz="4" w:space="0" w:color="auto"/>
            </w:tcBorders>
            <w:shd w:val="clear" w:color="auto" w:fill="auto"/>
            <w:noWrap/>
            <w:hideMark/>
          </w:tcPr>
          <w:p w14:paraId="4E665D5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200,000</w:t>
            </w:r>
          </w:p>
        </w:tc>
      </w:tr>
      <w:tr w:rsidR="00F970D2" w:rsidRPr="006050E8" w14:paraId="37784518" w14:textId="77777777" w:rsidTr="001224CB">
        <w:trPr>
          <w:trHeight w:val="94"/>
          <w:hidden/>
        </w:trPr>
        <w:tc>
          <w:tcPr>
            <w:tcW w:w="3114" w:type="dxa"/>
            <w:tcBorders>
              <w:top w:val="nil"/>
              <w:left w:val="single" w:sz="4" w:space="0" w:color="auto"/>
              <w:bottom w:val="single" w:sz="4" w:space="0" w:color="auto"/>
              <w:right w:val="single" w:sz="4" w:space="0" w:color="auto"/>
            </w:tcBorders>
            <w:shd w:val="clear" w:color="auto" w:fill="auto"/>
            <w:hideMark/>
          </w:tcPr>
          <w:p w14:paraId="33EDBDBD" w14:textId="77777777" w:rsidR="00F970D2" w:rsidRPr="006050E8" w:rsidRDefault="00F970D2" w:rsidP="001224CB">
            <w:pPr>
              <w:rPr>
                <w:vanish/>
                <w:color w:val="000000"/>
                <w:sz w:val="16"/>
                <w:szCs w:val="16"/>
                <w:lang w:val="es-ES"/>
              </w:rPr>
            </w:pPr>
            <w:r w:rsidRPr="006050E8">
              <w:rPr>
                <w:vanish/>
                <w:color w:val="000000"/>
                <w:sz w:val="16"/>
                <w:lang w:val="es-ES" w:eastAsia="en-CA"/>
              </w:rPr>
              <w:t>Space (rent and common costs)</w:t>
            </w:r>
          </w:p>
        </w:tc>
        <w:tc>
          <w:tcPr>
            <w:tcW w:w="856" w:type="dxa"/>
            <w:tcBorders>
              <w:top w:val="nil"/>
              <w:left w:val="nil"/>
              <w:bottom w:val="single" w:sz="4" w:space="0" w:color="auto"/>
              <w:right w:val="single" w:sz="4" w:space="0" w:color="auto"/>
            </w:tcBorders>
            <w:shd w:val="clear" w:color="auto" w:fill="auto"/>
            <w:hideMark/>
          </w:tcPr>
          <w:p w14:paraId="4294BC6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55,607</w:t>
            </w:r>
          </w:p>
        </w:tc>
        <w:tc>
          <w:tcPr>
            <w:tcW w:w="862" w:type="dxa"/>
            <w:tcBorders>
              <w:top w:val="nil"/>
              <w:left w:val="nil"/>
              <w:bottom w:val="single" w:sz="4" w:space="0" w:color="auto"/>
              <w:right w:val="single" w:sz="4" w:space="0" w:color="auto"/>
            </w:tcBorders>
            <w:shd w:val="clear" w:color="auto" w:fill="auto"/>
            <w:hideMark/>
          </w:tcPr>
          <w:p w14:paraId="5F0C6C7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56,906</w:t>
            </w:r>
          </w:p>
        </w:tc>
        <w:tc>
          <w:tcPr>
            <w:tcW w:w="857" w:type="dxa"/>
            <w:tcBorders>
              <w:top w:val="nil"/>
              <w:left w:val="nil"/>
              <w:bottom w:val="single" w:sz="4" w:space="0" w:color="auto"/>
              <w:right w:val="single" w:sz="4" w:space="0" w:color="auto"/>
            </w:tcBorders>
            <w:shd w:val="clear" w:color="auto" w:fill="auto"/>
            <w:hideMark/>
          </w:tcPr>
          <w:p w14:paraId="7AAB1D0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44,130</w:t>
            </w:r>
          </w:p>
        </w:tc>
        <w:tc>
          <w:tcPr>
            <w:tcW w:w="856" w:type="dxa"/>
            <w:tcBorders>
              <w:top w:val="nil"/>
              <w:left w:val="nil"/>
              <w:bottom w:val="single" w:sz="4" w:space="0" w:color="auto"/>
              <w:right w:val="single" w:sz="4" w:space="0" w:color="auto"/>
            </w:tcBorders>
            <w:shd w:val="clear" w:color="auto" w:fill="auto"/>
            <w:hideMark/>
          </w:tcPr>
          <w:p w14:paraId="1184732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434</w:t>
            </w:r>
          </w:p>
        </w:tc>
        <w:tc>
          <w:tcPr>
            <w:tcW w:w="856" w:type="dxa"/>
            <w:tcBorders>
              <w:top w:val="nil"/>
              <w:left w:val="nil"/>
              <w:bottom w:val="single" w:sz="4" w:space="0" w:color="auto"/>
              <w:right w:val="single" w:sz="4" w:space="0" w:color="auto"/>
            </w:tcBorders>
            <w:shd w:val="clear" w:color="auto" w:fill="auto"/>
            <w:hideMark/>
          </w:tcPr>
          <w:p w14:paraId="214347A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1,027</w:t>
            </w:r>
          </w:p>
        </w:tc>
        <w:tc>
          <w:tcPr>
            <w:tcW w:w="857" w:type="dxa"/>
            <w:tcBorders>
              <w:top w:val="nil"/>
              <w:left w:val="nil"/>
              <w:bottom w:val="single" w:sz="4" w:space="0" w:color="auto"/>
              <w:right w:val="single" w:sz="4" w:space="0" w:color="auto"/>
            </w:tcBorders>
            <w:shd w:val="clear" w:color="auto" w:fill="auto"/>
            <w:hideMark/>
          </w:tcPr>
          <w:p w14:paraId="2D20EEB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60" w:type="dxa"/>
            <w:tcBorders>
              <w:top w:val="nil"/>
              <w:left w:val="nil"/>
              <w:bottom w:val="single" w:sz="4" w:space="0" w:color="auto"/>
              <w:right w:val="single" w:sz="4" w:space="0" w:color="auto"/>
            </w:tcBorders>
            <w:shd w:val="clear" w:color="auto" w:fill="auto"/>
            <w:hideMark/>
          </w:tcPr>
          <w:p w14:paraId="6372D7E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47D137D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40592B05"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37D443D2"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653AA36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159CB27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0A1AF9ED" w14:textId="77777777" w:rsidTr="001224CB">
        <w:trPr>
          <w:trHeight w:val="182"/>
          <w:hidden/>
        </w:trPr>
        <w:tc>
          <w:tcPr>
            <w:tcW w:w="3114" w:type="dxa"/>
            <w:tcBorders>
              <w:top w:val="nil"/>
              <w:left w:val="single" w:sz="4" w:space="0" w:color="auto"/>
              <w:bottom w:val="single" w:sz="4" w:space="0" w:color="auto"/>
              <w:right w:val="single" w:sz="4" w:space="0" w:color="auto"/>
            </w:tcBorders>
            <w:shd w:val="clear" w:color="auto" w:fill="auto"/>
            <w:hideMark/>
          </w:tcPr>
          <w:p w14:paraId="1BFF81D6" w14:textId="77777777" w:rsidR="00F970D2" w:rsidRPr="006050E8" w:rsidRDefault="00F970D2" w:rsidP="001224CB">
            <w:pPr>
              <w:rPr>
                <w:vanish/>
                <w:color w:val="000000"/>
                <w:sz w:val="16"/>
                <w:szCs w:val="16"/>
                <w:lang w:val="es-ES"/>
              </w:rPr>
            </w:pPr>
            <w:r w:rsidRPr="006050E8">
              <w:rPr>
                <w:vanish/>
                <w:color w:val="000000"/>
                <w:sz w:val="16"/>
                <w:lang w:val="es-ES" w:eastAsia="en-CA"/>
              </w:rPr>
              <w:t>Equipment supplies and other costs (computers, supplies, etc.)</w:t>
            </w:r>
          </w:p>
        </w:tc>
        <w:tc>
          <w:tcPr>
            <w:tcW w:w="856" w:type="dxa"/>
            <w:tcBorders>
              <w:top w:val="nil"/>
              <w:left w:val="nil"/>
              <w:bottom w:val="single" w:sz="4" w:space="0" w:color="auto"/>
              <w:right w:val="single" w:sz="4" w:space="0" w:color="auto"/>
            </w:tcBorders>
            <w:shd w:val="clear" w:color="auto" w:fill="auto"/>
            <w:hideMark/>
          </w:tcPr>
          <w:p w14:paraId="3424B99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92,303</w:t>
            </w:r>
          </w:p>
        </w:tc>
        <w:tc>
          <w:tcPr>
            <w:tcW w:w="862" w:type="dxa"/>
            <w:tcBorders>
              <w:top w:val="nil"/>
              <w:left w:val="nil"/>
              <w:bottom w:val="single" w:sz="4" w:space="0" w:color="auto"/>
              <w:right w:val="single" w:sz="4" w:space="0" w:color="auto"/>
            </w:tcBorders>
            <w:shd w:val="clear" w:color="auto" w:fill="auto"/>
            <w:hideMark/>
          </w:tcPr>
          <w:p w14:paraId="7FF0E7A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31,169</w:t>
            </w:r>
          </w:p>
        </w:tc>
        <w:tc>
          <w:tcPr>
            <w:tcW w:w="857" w:type="dxa"/>
            <w:tcBorders>
              <w:top w:val="nil"/>
              <w:left w:val="nil"/>
              <w:bottom w:val="single" w:sz="4" w:space="0" w:color="auto"/>
              <w:right w:val="single" w:sz="4" w:space="0" w:color="auto"/>
            </w:tcBorders>
            <w:shd w:val="clear" w:color="auto" w:fill="auto"/>
            <w:hideMark/>
          </w:tcPr>
          <w:p w14:paraId="57F450B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55,508</w:t>
            </w:r>
          </w:p>
        </w:tc>
        <w:tc>
          <w:tcPr>
            <w:tcW w:w="856" w:type="dxa"/>
            <w:tcBorders>
              <w:top w:val="nil"/>
              <w:left w:val="nil"/>
              <w:bottom w:val="single" w:sz="4" w:space="0" w:color="auto"/>
              <w:right w:val="single" w:sz="4" w:space="0" w:color="auto"/>
            </w:tcBorders>
            <w:shd w:val="clear" w:color="auto" w:fill="auto"/>
            <w:hideMark/>
          </w:tcPr>
          <w:p w14:paraId="52C9E60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19,618</w:t>
            </w:r>
          </w:p>
        </w:tc>
        <w:tc>
          <w:tcPr>
            <w:tcW w:w="856" w:type="dxa"/>
            <w:tcBorders>
              <w:top w:val="nil"/>
              <w:left w:val="nil"/>
              <w:bottom w:val="single" w:sz="4" w:space="0" w:color="auto"/>
              <w:right w:val="single" w:sz="4" w:space="0" w:color="auto"/>
            </w:tcBorders>
            <w:shd w:val="clear" w:color="auto" w:fill="auto"/>
            <w:hideMark/>
          </w:tcPr>
          <w:p w14:paraId="268AA16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33,178</w:t>
            </w:r>
          </w:p>
        </w:tc>
        <w:tc>
          <w:tcPr>
            <w:tcW w:w="857" w:type="dxa"/>
            <w:tcBorders>
              <w:top w:val="nil"/>
              <w:left w:val="nil"/>
              <w:bottom w:val="single" w:sz="4" w:space="0" w:color="auto"/>
              <w:right w:val="single" w:sz="4" w:space="0" w:color="auto"/>
            </w:tcBorders>
            <w:shd w:val="clear" w:color="auto" w:fill="auto"/>
            <w:hideMark/>
          </w:tcPr>
          <w:p w14:paraId="2F5F378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262</w:t>
            </w:r>
          </w:p>
        </w:tc>
        <w:tc>
          <w:tcPr>
            <w:tcW w:w="960" w:type="dxa"/>
            <w:tcBorders>
              <w:top w:val="nil"/>
              <w:left w:val="nil"/>
              <w:bottom w:val="single" w:sz="4" w:space="0" w:color="auto"/>
              <w:right w:val="single" w:sz="4" w:space="0" w:color="auto"/>
            </w:tcBorders>
            <w:shd w:val="clear" w:color="auto" w:fill="auto"/>
            <w:hideMark/>
          </w:tcPr>
          <w:p w14:paraId="72E2E01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1,637</w:t>
            </w:r>
          </w:p>
        </w:tc>
        <w:tc>
          <w:tcPr>
            <w:tcW w:w="856" w:type="dxa"/>
            <w:tcBorders>
              <w:top w:val="nil"/>
              <w:left w:val="nil"/>
              <w:bottom w:val="single" w:sz="4" w:space="0" w:color="auto"/>
              <w:right w:val="nil"/>
            </w:tcBorders>
            <w:shd w:val="clear" w:color="auto" w:fill="auto"/>
            <w:hideMark/>
          </w:tcPr>
          <w:p w14:paraId="04BC5B6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490A5D8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2DB39E6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5ECF8C8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5B4F3E6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04B36734"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47F2A528" w14:textId="77777777" w:rsidR="00F970D2" w:rsidRPr="006050E8" w:rsidRDefault="00F970D2" w:rsidP="001224CB">
            <w:pPr>
              <w:rPr>
                <w:vanish/>
                <w:color w:val="000000"/>
                <w:sz w:val="16"/>
                <w:szCs w:val="16"/>
                <w:lang w:val="es-ES"/>
              </w:rPr>
            </w:pPr>
            <w:r w:rsidRPr="006050E8">
              <w:rPr>
                <w:vanish/>
                <w:color w:val="000000"/>
                <w:sz w:val="16"/>
                <w:lang w:val="es-ES" w:eastAsia="en-CA"/>
              </w:rPr>
              <w:t>Contractual services (firms)</w:t>
            </w:r>
          </w:p>
        </w:tc>
        <w:tc>
          <w:tcPr>
            <w:tcW w:w="856" w:type="dxa"/>
            <w:tcBorders>
              <w:top w:val="nil"/>
              <w:left w:val="nil"/>
              <w:bottom w:val="single" w:sz="4" w:space="0" w:color="auto"/>
              <w:right w:val="single" w:sz="4" w:space="0" w:color="auto"/>
            </w:tcBorders>
            <w:shd w:val="clear" w:color="auto" w:fill="auto"/>
            <w:hideMark/>
          </w:tcPr>
          <w:p w14:paraId="42B6C1E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25,769</w:t>
            </w:r>
          </w:p>
        </w:tc>
        <w:tc>
          <w:tcPr>
            <w:tcW w:w="862" w:type="dxa"/>
            <w:tcBorders>
              <w:top w:val="nil"/>
              <w:left w:val="nil"/>
              <w:bottom w:val="single" w:sz="4" w:space="0" w:color="auto"/>
              <w:right w:val="single" w:sz="4" w:space="0" w:color="auto"/>
            </w:tcBorders>
            <w:shd w:val="clear" w:color="auto" w:fill="auto"/>
            <w:hideMark/>
          </w:tcPr>
          <w:p w14:paraId="7838A01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13,389</w:t>
            </w:r>
          </w:p>
        </w:tc>
        <w:tc>
          <w:tcPr>
            <w:tcW w:w="857" w:type="dxa"/>
            <w:tcBorders>
              <w:top w:val="nil"/>
              <w:left w:val="nil"/>
              <w:bottom w:val="single" w:sz="4" w:space="0" w:color="auto"/>
              <w:right w:val="single" w:sz="4" w:space="0" w:color="auto"/>
            </w:tcBorders>
            <w:shd w:val="clear" w:color="auto" w:fill="auto"/>
            <w:hideMark/>
          </w:tcPr>
          <w:p w14:paraId="2F636E6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14,828</w:t>
            </w:r>
          </w:p>
        </w:tc>
        <w:tc>
          <w:tcPr>
            <w:tcW w:w="856" w:type="dxa"/>
            <w:tcBorders>
              <w:top w:val="nil"/>
              <w:left w:val="nil"/>
              <w:bottom w:val="single" w:sz="4" w:space="0" w:color="auto"/>
              <w:right w:val="single" w:sz="4" w:space="0" w:color="auto"/>
            </w:tcBorders>
            <w:shd w:val="clear" w:color="auto" w:fill="auto"/>
            <w:hideMark/>
          </w:tcPr>
          <w:p w14:paraId="148F0E4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49,989</w:t>
            </w:r>
          </w:p>
        </w:tc>
        <w:tc>
          <w:tcPr>
            <w:tcW w:w="856" w:type="dxa"/>
            <w:tcBorders>
              <w:top w:val="nil"/>
              <w:left w:val="nil"/>
              <w:bottom w:val="single" w:sz="4" w:space="0" w:color="auto"/>
              <w:right w:val="single" w:sz="4" w:space="0" w:color="auto"/>
            </w:tcBorders>
            <w:shd w:val="clear" w:color="auto" w:fill="auto"/>
            <w:hideMark/>
          </w:tcPr>
          <w:p w14:paraId="4F22AD3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96,839</w:t>
            </w:r>
          </w:p>
        </w:tc>
        <w:tc>
          <w:tcPr>
            <w:tcW w:w="857" w:type="dxa"/>
            <w:tcBorders>
              <w:top w:val="nil"/>
              <w:left w:val="nil"/>
              <w:bottom w:val="single" w:sz="4" w:space="0" w:color="auto"/>
              <w:right w:val="single" w:sz="4" w:space="0" w:color="auto"/>
            </w:tcBorders>
            <w:shd w:val="clear" w:color="auto" w:fill="auto"/>
            <w:hideMark/>
          </w:tcPr>
          <w:p w14:paraId="005C6D3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189,400</w:t>
            </w:r>
          </w:p>
        </w:tc>
        <w:tc>
          <w:tcPr>
            <w:tcW w:w="960" w:type="dxa"/>
            <w:tcBorders>
              <w:top w:val="nil"/>
              <w:left w:val="nil"/>
              <w:bottom w:val="single" w:sz="4" w:space="0" w:color="auto"/>
              <w:right w:val="single" w:sz="4" w:space="0" w:color="auto"/>
            </w:tcBorders>
            <w:shd w:val="clear" w:color="auto" w:fill="auto"/>
            <w:hideMark/>
          </w:tcPr>
          <w:p w14:paraId="74D6234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73,389</w:t>
            </w:r>
          </w:p>
        </w:tc>
        <w:tc>
          <w:tcPr>
            <w:tcW w:w="856" w:type="dxa"/>
            <w:tcBorders>
              <w:top w:val="nil"/>
              <w:left w:val="nil"/>
              <w:bottom w:val="single" w:sz="4" w:space="0" w:color="auto"/>
              <w:right w:val="nil"/>
            </w:tcBorders>
            <w:shd w:val="clear" w:color="auto" w:fill="auto"/>
            <w:hideMark/>
          </w:tcPr>
          <w:p w14:paraId="56144E4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38,983</w:t>
            </w:r>
          </w:p>
        </w:tc>
        <w:tc>
          <w:tcPr>
            <w:tcW w:w="856" w:type="dxa"/>
            <w:tcBorders>
              <w:top w:val="nil"/>
              <w:left w:val="single" w:sz="4" w:space="0" w:color="auto"/>
              <w:bottom w:val="single" w:sz="4" w:space="0" w:color="auto"/>
              <w:right w:val="single" w:sz="4" w:space="0" w:color="auto"/>
            </w:tcBorders>
            <w:shd w:val="clear" w:color="auto" w:fill="auto"/>
            <w:noWrap/>
            <w:hideMark/>
          </w:tcPr>
          <w:p w14:paraId="640B1EC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10,292</w:t>
            </w:r>
          </w:p>
        </w:tc>
        <w:tc>
          <w:tcPr>
            <w:tcW w:w="856" w:type="dxa"/>
            <w:tcBorders>
              <w:top w:val="nil"/>
              <w:left w:val="nil"/>
              <w:bottom w:val="single" w:sz="4" w:space="0" w:color="auto"/>
              <w:right w:val="single" w:sz="4" w:space="0" w:color="auto"/>
            </w:tcBorders>
            <w:shd w:val="clear" w:color="auto" w:fill="auto"/>
            <w:noWrap/>
            <w:hideMark/>
          </w:tcPr>
          <w:p w14:paraId="19A7B7B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85,000</w:t>
            </w:r>
          </w:p>
        </w:tc>
        <w:tc>
          <w:tcPr>
            <w:tcW w:w="910" w:type="dxa"/>
            <w:tcBorders>
              <w:top w:val="nil"/>
              <w:left w:val="nil"/>
              <w:bottom w:val="single" w:sz="4" w:space="0" w:color="auto"/>
              <w:right w:val="single" w:sz="4" w:space="0" w:color="auto"/>
            </w:tcBorders>
            <w:shd w:val="clear" w:color="auto" w:fill="auto"/>
            <w:noWrap/>
            <w:hideMark/>
          </w:tcPr>
          <w:p w14:paraId="523FCD0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85,000</w:t>
            </w:r>
          </w:p>
        </w:tc>
        <w:tc>
          <w:tcPr>
            <w:tcW w:w="856" w:type="dxa"/>
            <w:tcBorders>
              <w:top w:val="nil"/>
              <w:left w:val="nil"/>
              <w:bottom w:val="single" w:sz="4" w:space="0" w:color="auto"/>
              <w:right w:val="single" w:sz="4" w:space="0" w:color="auto"/>
            </w:tcBorders>
            <w:shd w:val="clear" w:color="auto" w:fill="auto"/>
            <w:noWrap/>
            <w:hideMark/>
          </w:tcPr>
          <w:p w14:paraId="74A8A44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85,000</w:t>
            </w:r>
          </w:p>
        </w:tc>
      </w:tr>
      <w:tr w:rsidR="00F970D2" w:rsidRPr="006050E8" w14:paraId="40614E61"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718AF1E8"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central services for core unit staff</w:t>
            </w:r>
          </w:p>
        </w:tc>
        <w:tc>
          <w:tcPr>
            <w:tcW w:w="856" w:type="dxa"/>
            <w:tcBorders>
              <w:top w:val="nil"/>
              <w:left w:val="nil"/>
              <w:bottom w:val="single" w:sz="4" w:space="0" w:color="auto"/>
              <w:right w:val="single" w:sz="4" w:space="0" w:color="auto"/>
            </w:tcBorders>
            <w:shd w:val="clear" w:color="auto" w:fill="auto"/>
            <w:hideMark/>
          </w:tcPr>
          <w:p w14:paraId="7A6F3E1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156,762</w:t>
            </w:r>
          </w:p>
        </w:tc>
        <w:tc>
          <w:tcPr>
            <w:tcW w:w="862" w:type="dxa"/>
            <w:tcBorders>
              <w:top w:val="nil"/>
              <w:left w:val="nil"/>
              <w:bottom w:val="single" w:sz="4" w:space="0" w:color="auto"/>
              <w:right w:val="single" w:sz="4" w:space="0" w:color="auto"/>
            </w:tcBorders>
            <w:shd w:val="clear" w:color="auto" w:fill="auto"/>
            <w:hideMark/>
          </w:tcPr>
          <w:p w14:paraId="18AD553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113,539</w:t>
            </w:r>
          </w:p>
        </w:tc>
        <w:tc>
          <w:tcPr>
            <w:tcW w:w="857" w:type="dxa"/>
            <w:tcBorders>
              <w:top w:val="nil"/>
              <w:left w:val="nil"/>
              <w:bottom w:val="single" w:sz="4" w:space="0" w:color="auto"/>
              <w:right w:val="single" w:sz="4" w:space="0" w:color="auto"/>
            </w:tcBorders>
            <w:shd w:val="clear" w:color="auto" w:fill="auto"/>
            <w:hideMark/>
          </w:tcPr>
          <w:p w14:paraId="4CAAF1A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90,624</w:t>
            </w:r>
          </w:p>
        </w:tc>
        <w:tc>
          <w:tcPr>
            <w:tcW w:w="856" w:type="dxa"/>
            <w:tcBorders>
              <w:top w:val="nil"/>
              <w:left w:val="nil"/>
              <w:bottom w:val="single" w:sz="4" w:space="0" w:color="auto"/>
              <w:right w:val="single" w:sz="4" w:space="0" w:color="auto"/>
            </w:tcBorders>
            <w:shd w:val="clear" w:color="auto" w:fill="auto"/>
            <w:hideMark/>
          </w:tcPr>
          <w:p w14:paraId="55046E6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210,909</w:t>
            </w:r>
          </w:p>
        </w:tc>
        <w:tc>
          <w:tcPr>
            <w:tcW w:w="856" w:type="dxa"/>
            <w:tcBorders>
              <w:top w:val="nil"/>
              <w:left w:val="nil"/>
              <w:bottom w:val="single" w:sz="4" w:space="0" w:color="auto"/>
              <w:right w:val="single" w:sz="4" w:space="0" w:color="auto"/>
            </w:tcBorders>
            <w:shd w:val="clear" w:color="auto" w:fill="auto"/>
            <w:hideMark/>
          </w:tcPr>
          <w:p w14:paraId="260B3E4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225,643</w:t>
            </w:r>
          </w:p>
        </w:tc>
        <w:tc>
          <w:tcPr>
            <w:tcW w:w="857" w:type="dxa"/>
            <w:tcBorders>
              <w:top w:val="nil"/>
              <w:left w:val="nil"/>
              <w:bottom w:val="single" w:sz="4" w:space="0" w:color="auto"/>
              <w:right w:val="single" w:sz="4" w:space="0" w:color="auto"/>
            </w:tcBorders>
            <w:shd w:val="clear" w:color="auto" w:fill="auto"/>
            <w:hideMark/>
          </w:tcPr>
          <w:p w14:paraId="1860143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210,378</w:t>
            </w:r>
          </w:p>
        </w:tc>
        <w:tc>
          <w:tcPr>
            <w:tcW w:w="960" w:type="dxa"/>
            <w:tcBorders>
              <w:top w:val="nil"/>
              <w:left w:val="nil"/>
              <w:bottom w:val="single" w:sz="4" w:space="0" w:color="auto"/>
              <w:right w:val="single" w:sz="4" w:space="0" w:color="auto"/>
            </w:tcBorders>
            <w:shd w:val="clear" w:color="auto" w:fill="auto"/>
            <w:hideMark/>
          </w:tcPr>
          <w:p w14:paraId="38F52CB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245,946</w:t>
            </w:r>
          </w:p>
        </w:tc>
        <w:tc>
          <w:tcPr>
            <w:tcW w:w="856" w:type="dxa"/>
            <w:tcBorders>
              <w:top w:val="nil"/>
              <w:left w:val="nil"/>
              <w:bottom w:val="single" w:sz="4" w:space="0" w:color="auto"/>
              <w:right w:val="nil"/>
            </w:tcBorders>
            <w:shd w:val="clear" w:color="auto" w:fill="auto"/>
            <w:hideMark/>
          </w:tcPr>
          <w:p w14:paraId="30C1706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249,954</w:t>
            </w:r>
          </w:p>
        </w:tc>
        <w:tc>
          <w:tcPr>
            <w:tcW w:w="856" w:type="dxa"/>
            <w:tcBorders>
              <w:top w:val="nil"/>
              <w:left w:val="single" w:sz="4" w:space="0" w:color="auto"/>
              <w:bottom w:val="single" w:sz="4" w:space="0" w:color="auto"/>
              <w:right w:val="single" w:sz="4" w:space="0" w:color="auto"/>
            </w:tcBorders>
            <w:shd w:val="clear" w:color="auto" w:fill="auto"/>
            <w:noWrap/>
            <w:hideMark/>
          </w:tcPr>
          <w:p w14:paraId="0801E5E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212,792</w:t>
            </w:r>
          </w:p>
        </w:tc>
        <w:tc>
          <w:tcPr>
            <w:tcW w:w="856" w:type="dxa"/>
            <w:tcBorders>
              <w:top w:val="nil"/>
              <w:left w:val="nil"/>
              <w:bottom w:val="single" w:sz="4" w:space="0" w:color="auto"/>
              <w:right w:val="single" w:sz="4" w:space="0" w:color="auto"/>
            </w:tcBorders>
            <w:shd w:val="clear" w:color="auto" w:fill="auto"/>
            <w:noWrap/>
            <w:hideMark/>
          </w:tcPr>
          <w:p w14:paraId="4BDE8C0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215,000</w:t>
            </w:r>
          </w:p>
        </w:tc>
        <w:tc>
          <w:tcPr>
            <w:tcW w:w="910" w:type="dxa"/>
            <w:tcBorders>
              <w:top w:val="nil"/>
              <w:left w:val="nil"/>
              <w:bottom w:val="single" w:sz="4" w:space="0" w:color="auto"/>
              <w:right w:val="single" w:sz="4" w:space="0" w:color="auto"/>
            </w:tcBorders>
            <w:shd w:val="clear" w:color="auto" w:fill="auto"/>
            <w:noWrap/>
            <w:hideMark/>
          </w:tcPr>
          <w:p w14:paraId="33AE43E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255,000</w:t>
            </w:r>
          </w:p>
        </w:tc>
        <w:tc>
          <w:tcPr>
            <w:tcW w:w="856" w:type="dxa"/>
            <w:tcBorders>
              <w:top w:val="nil"/>
              <w:left w:val="nil"/>
              <w:bottom w:val="single" w:sz="4" w:space="0" w:color="auto"/>
              <w:right w:val="single" w:sz="4" w:space="0" w:color="auto"/>
            </w:tcBorders>
            <w:shd w:val="clear" w:color="auto" w:fill="auto"/>
            <w:noWrap/>
            <w:hideMark/>
          </w:tcPr>
          <w:p w14:paraId="3F6FD59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215,000</w:t>
            </w:r>
          </w:p>
        </w:tc>
      </w:tr>
      <w:tr w:rsidR="00F970D2" w:rsidRPr="006050E8" w14:paraId="51986603"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7008C13E" w14:textId="77777777" w:rsidR="00F970D2" w:rsidRPr="006050E8" w:rsidRDefault="00F970D2" w:rsidP="001224CB">
            <w:pPr>
              <w:rPr>
                <w:vanish/>
                <w:color w:val="000000"/>
                <w:sz w:val="16"/>
                <w:szCs w:val="16"/>
                <w:lang w:val="es-ES"/>
              </w:rPr>
            </w:pPr>
            <w:r w:rsidRPr="006050E8">
              <w:rPr>
                <w:vanish/>
                <w:color w:val="000000"/>
                <w:sz w:val="16"/>
                <w:lang w:val="es-ES" w:eastAsia="en-CA"/>
              </w:rPr>
              <w:t>Adjustments (+ = underuse and - = overrun)</w:t>
            </w:r>
          </w:p>
        </w:tc>
        <w:tc>
          <w:tcPr>
            <w:tcW w:w="856" w:type="dxa"/>
            <w:tcBorders>
              <w:top w:val="nil"/>
              <w:left w:val="nil"/>
              <w:bottom w:val="single" w:sz="4" w:space="0" w:color="auto"/>
              <w:right w:val="single" w:sz="4" w:space="0" w:color="auto"/>
            </w:tcBorders>
            <w:shd w:val="clear" w:color="auto" w:fill="auto"/>
            <w:hideMark/>
          </w:tcPr>
          <w:p w14:paraId="1AEA57D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62" w:type="dxa"/>
            <w:tcBorders>
              <w:top w:val="nil"/>
              <w:left w:val="nil"/>
              <w:bottom w:val="single" w:sz="4" w:space="0" w:color="auto"/>
              <w:right w:val="single" w:sz="4" w:space="0" w:color="auto"/>
            </w:tcBorders>
            <w:shd w:val="clear" w:color="auto" w:fill="auto"/>
            <w:hideMark/>
          </w:tcPr>
          <w:p w14:paraId="2B38B7B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39ED7EF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672C912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33C8C98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62,476</w:t>
            </w:r>
          </w:p>
        </w:tc>
        <w:tc>
          <w:tcPr>
            <w:tcW w:w="857" w:type="dxa"/>
            <w:tcBorders>
              <w:top w:val="nil"/>
              <w:left w:val="nil"/>
              <w:bottom w:val="single" w:sz="4" w:space="0" w:color="auto"/>
              <w:right w:val="single" w:sz="4" w:space="0" w:color="auto"/>
            </w:tcBorders>
            <w:shd w:val="clear" w:color="auto" w:fill="auto"/>
            <w:hideMark/>
          </w:tcPr>
          <w:p w14:paraId="38E8036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60,070</w:t>
            </w:r>
          </w:p>
        </w:tc>
        <w:tc>
          <w:tcPr>
            <w:tcW w:w="960" w:type="dxa"/>
            <w:tcBorders>
              <w:top w:val="nil"/>
              <w:left w:val="nil"/>
              <w:bottom w:val="single" w:sz="4" w:space="0" w:color="auto"/>
              <w:right w:val="single" w:sz="4" w:space="0" w:color="auto"/>
            </w:tcBorders>
            <w:shd w:val="clear" w:color="auto" w:fill="auto"/>
            <w:hideMark/>
          </w:tcPr>
          <w:p w14:paraId="37D76B9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6,940</w:t>
            </w:r>
          </w:p>
        </w:tc>
        <w:tc>
          <w:tcPr>
            <w:tcW w:w="856" w:type="dxa"/>
            <w:tcBorders>
              <w:top w:val="nil"/>
              <w:left w:val="nil"/>
              <w:bottom w:val="single" w:sz="4" w:space="0" w:color="auto"/>
              <w:right w:val="nil"/>
            </w:tcBorders>
            <w:shd w:val="clear" w:color="auto" w:fill="auto"/>
            <w:hideMark/>
          </w:tcPr>
          <w:p w14:paraId="5E46A21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43,894</w:t>
            </w:r>
          </w:p>
        </w:tc>
        <w:tc>
          <w:tcPr>
            <w:tcW w:w="856" w:type="dxa"/>
            <w:tcBorders>
              <w:top w:val="nil"/>
              <w:left w:val="single" w:sz="4" w:space="0" w:color="auto"/>
              <w:bottom w:val="single" w:sz="4" w:space="0" w:color="auto"/>
              <w:right w:val="single" w:sz="4" w:space="0" w:color="auto"/>
            </w:tcBorders>
            <w:shd w:val="clear" w:color="auto" w:fill="auto"/>
            <w:noWrap/>
            <w:hideMark/>
          </w:tcPr>
          <w:p w14:paraId="56C6502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443,204</w:t>
            </w:r>
          </w:p>
        </w:tc>
        <w:tc>
          <w:tcPr>
            <w:tcW w:w="856" w:type="dxa"/>
            <w:tcBorders>
              <w:top w:val="nil"/>
              <w:left w:val="nil"/>
              <w:bottom w:val="single" w:sz="4" w:space="0" w:color="auto"/>
              <w:right w:val="single" w:sz="4" w:space="0" w:color="auto"/>
            </w:tcBorders>
            <w:shd w:val="clear" w:color="auto" w:fill="auto"/>
            <w:noWrap/>
            <w:hideMark/>
          </w:tcPr>
          <w:p w14:paraId="10FEFB8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21037B4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150,000</w:t>
            </w:r>
          </w:p>
        </w:tc>
        <w:tc>
          <w:tcPr>
            <w:tcW w:w="856" w:type="dxa"/>
            <w:tcBorders>
              <w:top w:val="nil"/>
              <w:left w:val="nil"/>
              <w:bottom w:val="single" w:sz="4" w:space="0" w:color="auto"/>
              <w:right w:val="single" w:sz="4" w:space="0" w:color="auto"/>
            </w:tcBorders>
            <w:shd w:val="clear" w:color="auto" w:fill="auto"/>
            <w:noWrap/>
            <w:hideMark/>
          </w:tcPr>
          <w:p w14:paraId="1D9E00F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0BC36564"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5E8E7035" w14:textId="77777777" w:rsidR="00F970D2" w:rsidRPr="006050E8" w:rsidRDefault="00F970D2" w:rsidP="001224CB">
            <w:pPr>
              <w:rPr>
                <w:vanish/>
                <w:color w:val="000000"/>
                <w:sz w:val="16"/>
                <w:szCs w:val="16"/>
                <w:lang w:val="es-ES"/>
              </w:rPr>
            </w:pPr>
            <w:r w:rsidRPr="006050E8">
              <w:rPr>
                <w:vanish/>
                <w:color w:val="000000"/>
                <w:sz w:val="16"/>
                <w:lang w:val="es-ES" w:eastAsia="en-CA"/>
              </w:rPr>
              <w:t>Return of funds (- = returned funds)</w:t>
            </w:r>
          </w:p>
        </w:tc>
        <w:tc>
          <w:tcPr>
            <w:tcW w:w="856" w:type="dxa"/>
            <w:tcBorders>
              <w:top w:val="nil"/>
              <w:left w:val="nil"/>
              <w:bottom w:val="single" w:sz="4" w:space="0" w:color="auto"/>
              <w:right w:val="single" w:sz="4" w:space="0" w:color="auto"/>
            </w:tcBorders>
            <w:shd w:val="clear" w:color="auto" w:fill="auto"/>
            <w:hideMark/>
          </w:tcPr>
          <w:p w14:paraId="1973896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-3,981</w:t>
            </w:r>
          </w:p>
        </w:tc>
        <w:tc>
          <w:tcPr>
            <w:tcW w:w="862" w:type="dxa"/>
            <w:tcBorders>
              <w:top w:val="nil"/>
              <w:left w:val="nil"/>
              <w:bottom w:val="single" w:sz="4" w:space="0" w:color="auto"/>
              <w:right w:val="single" w:sz="4" w:space="0" w:color="auto"/>
            </w:tcBorders>
            <w:shd w:val="clear" w:color="auto" w:fill="auto"/>
            <w:hideMark/>
          </w:tcPr>
          <w:p w14:paraId="006B20B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-414,405</w:t>
            </w:r>
          </w:p>
        </w:tc>
        <w:tc>
          <w:tcPr>
            <w:tcW w:w="857" w:type="dxa"/>
            <w:tcBorders>
              <w:top w:val="nil"/>
              <w:left w:val="nil"/>
              <w:bottom w:val="single" w:sz="4" w:space="0" w:color="auto"/>
              <w:right w:val="single" w:sz="4" w:space="0" w:color="auto"/>
            </w:tcBorders>
            <w:shd w:val="clear" w:color="auto" w:fill="auto"/>
            <w:hideMark/>
          </w:tcPr>
          <w:p w14:paraId="28D1EBD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-341,953</w:t>
            </w:r>
          </w:p>
        </w:tc>
        <w:tc>
          <w:tcPr>
            <w:tcW w:w="856" w:type="dxa"/>
            <w:tcBorders>
              <w:top w:val="nil"/>
              <w:left w:val="nil"/>
              <w:bottom w:val="single" w:sz="4" w:space="0" w:color="auto"/>
              <w:right w:val="single" w:sz="4" w:space="0" w:color="auto"/>
            </w:tcBorders>
            <w:shd w:val="clear" w:color="auto" w:fill="auto"/>
            <w:hideMark/>
          </w:tcPr>
          <w:p w14:paraId="185139C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-411,441</w:t>
            </w:r>
          </w:p>
        </w:tc>
        <w:tc>
          <w:tcPr>
            <w:tcW w:w="856" w:type="dxa"/>
            <w:tcBorders>
              <w:top w:val="nil"/>
              <w:left w:val="nil"/>
              <w:bottom w:val="single" w:sz="4" w:space="0" w:color="auto"/>
              <w:right w:val="single" w:sz="4" w:space="0" w:color="auto"/>
            </w:tcBorders>
            <w:shd w:val="clear" w:color="auto" w:fill="auto"/>
            <w:hideMark/>
          </w:tcPr>
          <w:p w14:paraId="7F23304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-62,476</w:t>
            </w:r>
          </w:p>
        </w:tc>
        <w:tc>
          <w:tcPr>
            <w:tcW w:w="857" w:type="dxa"/>
            <w:tcBorders>
              <w:top w:val="nil"/>
              <w:left w:val="nil"/>
              <w:bottom w:val="single" w:sz="4" w:space="0" w:color="auto"/>
              <w:right w:val="single" w:sz="4" w:space="0" w:color="auto"/>
            </w:tcBorders>
            <w:shd w:val="clear" w:color="auto" w:fill="auto"/>
            <w:hideMark/>
          </w:tcPr>
          <w:p w14:paraId="03FFB18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-60,070</w:t>
            </w:r>
          </w:p>
        </w:tc>
        <w:tc>
          <w:tcPr>
            <w:tcW w:w="960" w:type="dxa"/>
            <w:tcBorders>
              <w:top w:val="nil"/>
              <w:left w:val="nil"/>
              <w:bottom w:val="single" w:sz="4" w:space="0" w:color="auto"/>
              <w:right w:val="single" w:sz="4" w:space="0" w:color="auto"/>
            </w:tcBorders>
            <w:shd w:val="clear" w:color="auto" w:fill="auto"/>
            <w:hideMark/>
          </w:tcPr>
          <w:p w14:paraId="0349696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-6940</w:t>
            </w:r>
          </w:p>
        </w:tc>
        <w:tc>
          <w:tcPr>
            <w:tcW w:w="856" w:type="dxa"/>
            <w:tcBorders>
              <w:top w:val="nil"/>
              <w:left w:val="nil"/>
              <w:bottom w:val="single" w:sz="4" w:space="0" w:color="auto"/>
              <w:right w:val="nil"/>
            </w:tcBorders>
            <w:shd w:val="clear" w:color="auto" w:fill="auto"/>
            <w:hideMark/>
          </w:tcPr>
          <w:p w14:paraId="325E199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-43,894</w:t>
            </w:r>
          </w:p>
        </w:tc>
        <w:tc>
          <w:tcPr>
            <w:tcW w:w="856" w:type="dxa"/>
            <w:tcBorders>
              <w:top w:val="nil"/>
              <w:left w:val="single" w:sz="4" w:space="0" w:color="auto"/>
              <w:bottom w:val="single" w:sz="4" w:space="0" w:color="auto"/>
              <w:right w:val="single" w:sz="4" w:space="0" w:color="auto"/>
            </w:tcBorders>
            <w:shd w:val="clear" w:color="auto" w:fill="auto"/>
            <w:noWrap/>
            <w:hideMark/>
          </w:tcPr>
          <w:p w14:paraId="5F09A3E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-443,204</w:t>
            </w:r>
          </w:p>
        </w:tc>
        <w:tc>
          <w:tcPr>
            <w:tcW w:w="856" w:type="dxa"/>
            <w:tcBorders>
              <w:top w:val="nil"/>
              <w:left w:val="nil"/>
              <w:bottom w:val="single" w:sz="4" w:space="0" w:color="auto"/>
              <w:right w:val="single" w:sz="4" w:space="0" w:color="auto"/>
            </w:tcBorders>
            <w:shd w:val="clear" w:color="auto" w:fill="auto"/>
            <w:noWrap/>
            <w:hideMark/>
          </w:tcPr>
          <w:p w14:paraId="0FE0EBA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42BCEAE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-150,000</w:t>
            </w:r>
          </w:p>
        </w:tc>
        <w:tc>
          <w:tcPr>
            <w:tcW w:w="856" w:type="dxa"/>
            <w:tcBorders>
              <w:top w:val="nil"/>
              <w:left w:val="nil"/>
              <w:bottom w:val="single" w:sz="4" w:space="0" w:color="auto"/>
              <w:right w:val="single" w:sz="4" w:space="0" w:color="auto"/>
            </w:tcBorders>
            <w:shd w:val="clear" w:color="auto" w:fill="auto"/>
            <w:noWrap/>
            <w:hideMark/>
          </w:tcPr>
          <w:p w14:paraId="648CE1E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715CF8B3"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62155437"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A. Sub-total core unit costs</w:t>
            </w:r>
          </w:p>
        </w:tc>
        <w:tc>
          <w:tcPr>
            <w:tcW w:w="856" w:type="dxa"/>
            <w:tcBorders>
              <w:top w:val="nil"/>
              <w:left w:val="nil"/>
              <w:bottom w:val="single" w:sz="4" w:space="0" w:color="auto"/>
              <w:right w:val="single" w:sz="4" w:space="0" w:color="auto"/>
            </w:tcBorders>
            <w:shd w:val="clear" w:color="auto" w:fill="auto"/>
            <w:hideMark/>
          </w:tcPr>
          <w:p w14:paraId="674CA63C"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1,716,681</w:t>
            </w:r>
          </w:p>
        </w:tc>
        <w:tc>
          <w:tcPr>
            <w:tcW w:w="862" w:type="dxa"/>
            <w:tcBorders>
              <w:top w:val="nil"/>
              <w:left w:val="nil"/>
              <w:bottom w:val="single" w:sz="4" w:space="0" w:color="auto"/>
              <w:right w:val="single" w:sz="4" w:space="0" w:color="auto"/>
            </w:tcBorders>
            <w:shd w:val="clear" w:color="auto" w:fill="auto"/>
            <w:hideMark/>
          </w:tcPr>
          <w:p w14:paraId="029226FD"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896,190</w:t>
            </w:r>
          </w:p>
        </w:tc>
        <w:tc>
          <w:tcPr>
            <w:tcW w:w="857" w:type="dxa"/>
            <w:tcBorders>
              <w:top w:val="nil"/>
              <w:left w:val="nil"/>
              <w:bottom w:val="single" w:sz="4" w:space="0" w:color="auto"/>
              <w:right w:val="single" w:sz="4" w:space="0" w:color="auto"/>
            </w:tcBorders>
            <w:shd w:val="clear" w:color="auto" w:fill="auto"/>
            <w:hideMark/>
          </w:tcPr>
          <w:p w14:paraId="3BEE6D8F"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1,041,094</w:t>
            </w:r>
          </w:p>
        </w:tc>
        <w:tc>
          <w:tcPr>
            <w:tcW w:w="856" w:type="dxa"/>
            <w:tcBorders>
              <w:top w:val="nil"/>
              <w:left w:val="nil"/>
              <w:bottom w:val="single" w:sz="4" w:space="0" w:color="auto"/>
              <w:right w:val="single" w:sz="4" w:space="0" w:color="auto"/>
            </w:tcBorders>
            <w:shd w:val="clear" w:color="auto" w:fill="auto"/>
            <w:hideMark/>
          </w:tcPr>
          <w:p w14:paraId="44EDE2E3"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902,118</w:t>
            </w:r>
          </w:p>
        </w:tc>
        <w:tc>
          <w:tcPr>
            <w:tcW w:w="856" w:type="dxa"/>
            <w:tcBorders>
              <w:top w:val="nil"/>
              <w:left w:val="nil"/>
              <w:bottom w:val="single" w:sz="4" w:space="0" w:color="auto"/>
              <w:right w:val="single" w:sz="4" w:space="0" w:color="auto"/>
            </w:tcBorders>
            <w:shd w:val="clear" w:color="auto" w:fill="auto"/>
            <w:hideMark/>
          </w:tcPr>
          <w:p w14:paraId="75260A6F"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1,662,524</w:t>
            </w:r>
          </w:p>
        </w:tc>
        <w:tc>
          <w:tcPr>
            <w:tcW w:w="857" w:type="dxa"/>
            <w:tcBorders>
              <w:top w:val="nil"/>
              <w:left w:val="nil"/>
              <w:bottom w:val="single" w:sz="4" w:space="0" w:color="auto"/>
              <w:right w:val="single" w:sz="4" w:space="0" w:color="auto"/>
            </w:tcBorders>
            <w:shd w:val="clear" w:color="auto" w:fill="auto"/>
            <w:hideMark/>
          </w:tcPr>
          <w:p w14:paraId="4F6B3AB6"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1,664,930</w:t>
            </w:r>
          </w:p>
        </w:tc>
        <w:tc>
          <w:tcPr>
            <w:tcW w:w="960" w:type="dxa"/>
            <w:tcBorders>
              <w:top w:val="nil"/>
              <w:left w:val="nil"/>
              <w:bottom w:val="single" w:sz="4" w:space="0" w:color="auto"/>
              <w:right w:val="single" w:sz="4" w:space="0" w:color="auto"/>
            </w:tcBorders>
            <w:shd w:val="clear" w:color="auto" w:fill="auto"/>
            <w:hideMark/>
          </w:tcPr>
          <w:p w14:paraId="5FB831A8"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1,728,060</w:t>
            </w:r>
          </w:p>
        </w:tc>
        <w:tc>
          <w:tcPr>
            <w:tcW w:w="856" w:type="dxa"/>
            <w:tcBorders>
              <w:top w:val="nil"/>
              <w:left w:val="nil"/>
              <w:bottom w:val="single" w:sz="4" w:space="0" w:color="auto"/>
              <w:right w:val="single" w:sz="4" w:space="0" w:color="auto"/>
            </w:tcBorders>
            <w:shd w:val="clear" w:color="auto" w:fill="auto"/>
            <w:hideMark/>
          </w:tcPr>
          <w:p w14:paraId="3855D632"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1,691,106</w:t>
            </w:r>
          </w:p>
        </w:tc>
        <w:tc>
          <w:tcPr>
            <w:tcW w:w="856" w:type="dxa"/>
            <w:tcBorders>
              <w:top w:val="nil"/>
              <w:left w:val="nil"/>
              <w:bottom w:val="single" w:sz="4" w:space="0" w:color="auto"/>
              <w:right w:val="single" w:sz="4" w:space="0" w:color="auto"/>
            </w:tcBorders>
            <w:shd w:val="clear" w:color="auto" w:fill="auto"/>
            <w:hideMark/>
          </w:tcPr>
          <w:p w14:paraId="5006FFAC" w14:textId="77777777" w:rsidR="00F970D2" w:rsidRPr="006050E8" w:rsidRDefault="00F970D2" w:rsidP="001224CB">
            <w:pPr>
              <w:jc w:val="right"/>
              <w:rPr>
                <w:b/>
                <w:bCs/>
                <w:vanish/>
                <w:sz w:val="16"/>
                <w:szCs w:val="16"/>
                <w:lang w:val="es-ES"/>
              </w:rPr>
            </w:pPr>
            <w:r w:rsidRPr="006050E8">
              <w:rPr>
                <w:b/>
                <w:vanish/>
                <w:sz w:val="16"/>
                <w:lang w:val="es-ES" w:eastAsia="en-CA"/>
              </w:rPr>
              <w:t>1,291,796</w:t>
            </w:r>
          </w:p>
        </w:tc>
        <w:tc>
          <w:tcPr>
            <w:tcW w:w="856" w:type="dxa"/>
            <w:tcBorders>
              <w:top w:val="nil"/>
              <w:left w:val="nil"/>
              <w:bottom w:val="single" w:sz="4" w:space="0" w:color="auto"/>
              <w:right w:val="single" w:sz="4" w:space="0" w:color="auto"/>
            </w:tcBorders>
            <w:shd w:val="clear" w:color="auto" w:fill="auto"/>
            <w:hideMark/>
          </w:tcPr>
          <w:p w14:paraId="378B5C93" w14:textId="77777777" w:rsidR="00F970D2" w:rsidRPr="006050E8" w:rsidRDefault="00F970D2" w:rsidP="001224CB">
            <w:pPr>
              <w:jc w:val="right"/>
              <w:rPr>
                <w:b/>
                <w:bCs/>
                <w:vanish/>
                <w:sz w:val="16"/>
                <w:szCs w:val="16"/>
                <w:lang w:val="es-ES"/>
              </w:rPr>
            </w:pPr>
            <w:r w:rsidRPr="006050E8">
              <w:rPr>
                <w:b/>
                <w:vanish/>
                <w:sz w:val="16"/>
                <w:lang w:val="es-ES" w:eastAsia="en-CA"/>
              </w:rPr>
              <w:t>1,735,000</w:t>
            </w:r>
          </w:p>
        </w:tc>
        <w:tc>
          <w:tcPr>
            <w:tcW w:w="910" w:type="dxa"/>
            <w:tcBorders>
              <w:top w:val="nil"/>
              <w:left w:val="nil"/>
              <w:bottom w:val="single" w:sz="4" w:space="0" w:color="auto"/>
              <w:right w:val="single" w:sz="4" w:space="0" w:color="auto"/>
            </w:tcBorders>
            <w:shd w:val="clear" w:color="auto" w:fill="auto"/>
            <w:hideMark/>
          </w:tcPr>
          <w:p w14:paraId="786B4D3D" w14:textId="77777777" w:rsidR="00F970D2" w:rsidRPr="006050E8" w:rsidRDefault="00F970D2" w:rsidP="001224CB">
            <w:pPr>
              <w:jc w:val="right"/>
              <w:rPr>
                <w:b/>
                <w:bCs/>
                <w:vanish/>
                <w:sz w:val="16"/>
                <w:szCs w:val="16"/>
                <w:lang w:val="es-ES"/>
              </w:rPr>
            </w:pPr>
            <w:r w:rsidRPr="006050E8">
              <w:rPr>
                <w:b/>
                <w:vanish/>
                <w:sz w:val="16"/>
                <w:lang w:val="es-ES" w:eastAsia="en-CA"/>
              </w:rPr>
              <w:t>1,585,000</w:t>
            </w:r>
          </w:p>
        </w:tc>
        <w:tc>
          <w:tcPr>
            <w:tcW w:w="856" w:type="dxa"/>
            <w:tcBorders>
              <w:top w:val="nil"/>
              <w:left w:val="nil"/>
              <w:bottom w:val="single" w:sz="4" w:space="0" w:color="auto"/>
              <w:right w:val="single" w:sz="4" w:space="0" w:color="auto"/>
            </w:tcBorders>
            <w:shd w:val="clear" w:color="auto" w:fill="auto"/>
            <w:hideMark/>
          </w:tcPr>
          <w:p w14:paraId="477F1532" w14:textId="77777777" w:rsidR="00F970D2" w:rsidRPr="006050E8" w:rsidRDefault="00F970D2" w:rsidP="001224CB">
            <w:pPr>
              <w:jc w:val="right"/>
              <w:rPr>
                <w:b/>
                <w:bCs/>
                <w:vanish/>
                <w:sz w:val="16"/>
                <w:szCs w:val="16"/>
                <w:lang w:val="es-ES"/>
              </w:rPr>
            </w:pPr>
            <w:r w:rsidRPr="006050E8">
              <w:rPr>
                <w:b/>
                <w:vanish/>
                <w:sz w:val="16"/>
                <w:lang w:val="es-ES" w:eastAsia="en-CA"/>
              </w:rPr>
              <w:t>1,735,000</w:t>
            </w:r>
          </w:p>
        </w:tc>
      </w:tr>
      <w:tr w:rsidR="00F970D2" w:rsidRPr="006050E8" w14:paraId="2BD47504" w14:textId="77777777" w:rsidTr="001224CB">
        <w:trPr>
          <w:trHeight w:val="75"/>
          <w:hidden/>
        </w:trPr>
        <w:tc>
          <w:tcPr>
            <w:tcW w:w="3114" w:type="dxa"/>
            <w:tcBorders>
              <w:top w:val="nil"/>
              <w:left w:val="single" w:sz="4" w:space="0" w:color="auto"/>
              <w:bottom w:val="single" w:sz="4" w:space="0" w:color="auto"/>
              <w:right w:val="nil"/>
            </w:tcBorders>
            <w:shd w:val="clear" w:color="auto" w:fill="auto"/>
            <w:hideMark/>
          </w:tcPr>
          <w:p w14:paraId="16BDED8E"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B. Agency support costs/implementation</w:t>
            </w:r>
          </w:p>
        </w:tc>
        <w:tc>
          <w:tcPr>
            <w:tcW w:w="856" w:type="dxa"/>
            <w:tcBorders>
              <w:top w:val="nil"/>
              <w:left w:val="nil"/>
              <w:bottom w:val="single" w:sz="4" w:space="0" w:color="auto"/>
              <w:right w:val="nil"/>
            </w:tcBorders>
            <w:shd w:val="clear" w:color="auto" w:fill="auto"/>
            <w:hideMark/>
          </w:tcPr>
          <w:p w14:paraId="0F4F2440"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62" w:type="dxa"/>
            <w:tcBorders>
              <w:top w:val="nil"/>
              <w:left w:val="nil"/>
              <w:bottom w:val="single" w:sz="4" w:space="0" w:color="auto"/>
              <w:right w:val="nil"/>
            </w:tcBorders>
            <w:shd w:val="clear" w:color="auto" w:fill="auto"/>
            <w:hideMark/>
          </w:tcPr>
          <w:p w14:paraId="6A2E5F8C"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7" w:type="dxa"/>
            <w:tcBorders>
              <w:top w:val="nil"/>
              <w:left w:val="nil"/>
              <w:bottom w:val="single" w:sz="4" w:space="0" w:color="auto"/>
              <w:right w:val="nil"/>
            </w:tcBorders>
            <w:shd w:val="clear" w:color="auto" w:fill="auto"/>
            <w:hideMark/>
          </w:tcPr>
          <w:p w14:paraId="101475D3"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7BF8CBB5"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12ABD777"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7" w:type="dxa"/>
            <w:tcBorders>
              <w:top w:val="nil"/>
              <w:left w:val="nil"/>
              <w:bottom w:val="single" w:sz="4" w:space="0" w:color="auto"/>
              <w:right w:val="nil"/>
            </w:tcBorders>
            <w:shd w:val="clear" w:color="auto" w:fill="auto"/>
            <w:hideMark/>
          </w:tcPr>
          <w:p w14:paraId="6575BBAE"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960" w:type="dxa"/>
            <w:tcBorders>
              <w:top w:val="nil"/>
              <w:left w:val="nil"/>
              <w:bottom w:val="single" w:sz="4" w:space="0" w:color="auto"/>
              <w:right w:val="nil"/>
            </w:tcBorders>
            <w:shd w:val="clear" w:color="auto" w:fill="auto"/>
            <w:hideMark/>
          </w:tcPr>
          <w:p w14:paraId="70ADFF0A"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5E1E13FF"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42F21718"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5C6CDE6A"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579D7B86"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F98968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11C8F172" w14:textId="77777777" w:rsidTr="001224CB">
        <w:trPr>
          <w:trHeight w:val="305"/>
          <w:hidden/>
        </w:trPr>
        <w:tc>
          <w:tcPr>
            <w:tcW w:w="3114" w:type="dxa"/>
            <w:tcBorders>
              <w:top w:val="nil"/>
              <w:left w:val="single" w:sz="4" w:space="0" w:color="auto"/>
              <w:bottom w:val="single" w:sz="4" w:space="0" w:color="auto"/>
              <w:right w:val="single" w:sz="4" w:space="0" w:color="auto"/>
            </w:tcBorders>
            <w:shd w:val="clear" w:color="auto" w:fill="auto"/>
            <w:hideMark/>
          </w:tcPr>
          <w:p w14:paraId="1099F379"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country offices and national execution, including overheads</w:t>
            </w:r>
          </w:p>
        </w:tc>
        <w:tc>
          <w:tcPr>
            <w:tcW w:w="856" w:type="dxa"/>
            <w:tcBorders>
              <w:top w:val="nil"/>
              <w:left w:val="nil"/>
              <w:bottom w:val="single" w:sz="4" w:space="0" w:color="auto"/>
              <w:right w:val="single" w:sz="4" w:space="0" w:color="auto"/>
            </w:tcBorders>
            <w:shd w:val="clear" w:color="auto" w:fill="auto"/>
            <w:hideMark/>
          </w:tcPr>
          <w:p w14:paraId="7D1E145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1,829,418</w:t>
            </w:r>
          </w:p>
        </w:tc>
        <w:tc>
          <w:tcPr>
            <w:tcW w:w="862" w:type="dxa"/>
            <w:tcBorders>
              <w:top w:val="nil"/>
              <w:left w:val="nil"/>
              <w:bottom w:val="single" w:sz="4" w:space="0" w:color="auto"/>
              <w:right w:val="single" w:sz="4" w:space="0" w:color="auto"/>
            </w:tcBorders>
            <w:shd w:val="clear" w:color="auto" w:fill="auto"/>
            <w:hideMark/>
          </w:tcPr>
          <w:p w14:paraId="05FF2DF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1,611,939</w:t>
            </w:r>
          </w:p>
        </w:tc>
        <w:tc>
          <w:tcPr>
            <w:tcW w:w="857" w:type="dxa"/>
            <w:tcBorders>
              <w:top w:val="nil"/>
              <w:left w:val="nil"/>
              <w:bottom w:val="single" w:sz="4" w:space="0" w:color="auto"/>
              <w:right w:val="single" w:sz="4" w:space="0" w:color="auto"/>
            </w:tcBorders>
            <w:shd w:val="clear" w:color="auto" w:fill="auto"/>
            <w:hideMark/>
          </w:tcPr>
          <w:p w14:paraId="299326F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1,298,103</w:t>
            </w:r>
          </w:p>
        </w:tc>
        <w:tc>
          <w:tcPr>
            <w:tcW w:w="856" w:type="dxa"/>
            <w:tcBorders>
              <w:top w:val="nil"/>
              <w:left w:val="nil"/>
              <w:bottom w:val="single" w:sz="4" w:space="0" w:color="auto"/>
              <w:right w:val="single" w:sz="4" w:space="0" w:color="auto"/>
            </w:tcBorders>
            <w:shd w:val="clear" w:color="auto" w:fill="auto"/>
            <w:hideMark/>
          </w:tcPr>
          <w:p w14:paraId="0D4B6B9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1,210,733</w:t>
            </w:r>
          </w:p>
        </w:tc>
        <w:tc>
          <w:tcPr>
            <w:tcW w:w="856" w:type="dxa"/>
            <w:tcBorders>
              <w:top w:val="nil"/>
              <w:left w:val="nil"/>
              <w:bottom w:val="single" w:sz="4" w:space="0" w:color="auto"/>
              <w:right w:val="single" w:sz="4" w:space="0" w:color="auto"/>
            </w:tcBorders>
            <w:shd w:val="clear" w:color="auto" w:fill="auto"/>
            <w:hideMark/>
          </w:tcPr>
          <w:p w14:paraId="216C264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1,249,361</w:t>
            </w:r>
          </w:p>
        </w:tc>
        <w:tc>
          <w:tcPr>
            <w:tcW w:w="857" w:type="dxa"/>
            <w:tcBorders>
              <w:top w:val="nil"/>
              <w:left w:val="nil"/>
              <w:bottom w:val="single" w:sz="4" w:space="0" w:color="auto"/>
              <w:right w:val="single" w:sz="4" w:space="0" w:color="auto"/>
            </w:tcBorders>
            <w:shd w:val="clear" w:color="auto" w:fill="auto"/>
            <w:hideMark/>
          </w:tcPr>
          <w:p w14:paraId="4D04324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1,491,814</w:t>
            </w:r>
          </w:p>
        </w:tc>
        <w:tc>
          <w:tcPr>
            <w:tcW w:w="960" w:type="dxa"/>
            <w:tcBorders>
              <w:top w:val="nil"/>
              <w:left w:val="nil"/>
              <w:bottom w:val="single" w:sz="4" w:space="0" w:color="auto"/>
              <w:right w:val="single" w:sz="4" w:space="0" w:color="auto"/>
            </w:tcBorders>
            <w:shd w:val="clear" w:color="auto" w:fill="auto"/>
            <w:hideMark/>
          </w:tcPr>
          <w:p w14:paraId="35099D2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2,114,429</w:t>
            </w:r>
          </w:p>
        </w:tc>
        <w:tc>
          <w:tcPr>
            <w:tcW w:w="856" w:type="dxa"/>
            <w:tcBorders>
              <w:top w:val="nil"/>
              <w:left w:val="nil"/>
              <w:bottom w:val="single" w:sz="4" w:space="0" w:color="auto"/>
              <w:right w:val="nil"/>
            </w:tcBorders>
            <w:shd w:val="clear" w:color="auto" w:fill="auto"/>
            <w:hideMark/>
          </w:tcPr>
          <w:p w14:paraId="4CDE55A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1,258,437</w:t>
            </w:r>
          </w:p>
        </w:tc>
        <w:tc>
          <w:tcPr>
            <w:tcW w:w="856" w:type="dxa"/>
            <w:tcBorders>
              <w:top w:val="nil"/>
              <w:left w:val="single" w:sz="4" w:space="0" w:color="auto"/>
              <w:bottom w:val="single" w:sz="4" w:space="0" w:color="auto"/>
              <w:right w:val="single" w:sz="4" w:space="0" w:color="auto"/>
            </w:tcBorders>
            <w:shd w:val="clear" w:color="auto" w:fill="auto"/>
            <w:noWrap/>
            <w:hideMark/>
          </w:tcPr>
          <w:p w14:paraId="0887DC6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1,172,183</w:t>
            </w:r>
          </w:p>
        </w:tc>
        <w:tc>
          <w:tcPr>
            <w:tcW w:w="856" w:type="dxa"/>
            <w:tcBorders>
              <w:top w:val="nil"/>
              <w:left w:val="nil"/>
              <w:bottom w:val="single" w:sz="4" w:space="0" w:color="auto"/>
              <w:right w:val="single" w:sz="4" w:space="0" w:color="auto"/>
            </w:tcBorders>
            <w:shd w:val="clear" w:color="auto" w:fill="auto"/>
            <w:noWrap/>
            <w:hideMark/>
          </w:tcPr>
          <w:p w14:paraId="5F1E356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2,000,000</w:t>
            </w:r>
          </w:p>
        </w:tc>
        <w:tc>
          <w:tcPr>
            <w:tcW w:w="910" w:type="dxa"/>
            <w:tcBorders>
              <w:top w:val="nil"/>
              <w:left w:val="nil"/>
              <w:bottom w:val="single" w:sz="4" w:space="0" w:color="auto"/>
              <w:right w:val="single" w:sz="4" w:space="0" w:color="auto"/>
            </w:tcBorders>
            <w:shd w:val="clear" w:color="auto" w:fill="auto"/>
            <w:noWrap/>
            <w:hideMark/>
          </w:tcPr>
          <w:p w14:paraId="24F2904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800,000</w:t>
            </w:r>
          </w:p>
        </w:tc>
        <w:tc>
          <w:tcPr>
            <w:tcW w:w="856" w:type="dxa"/>
            <w:tcBorders>
              <w:top w:val="nil"/>
              <w:left w:val="nil"/>
              <w:bottom w:val="single" w:sz="4" w:space="0" w:color="auto"/>
              <w:right w:val="single" w:sz="4" w:space="0" w:color="auto"/>
            </w:tcBorders>
            <w:shd w:val="clear" w:color="auto" w:fill="auto"/>
            <w:noWrap/>
            <w:hideMark/>
          </w:tcPr>
          <w:p w14:paraId="0896871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2,000,000</w:t>
            </w:r>
          </w:p>
        </w:tc>
      </w:tr>
      <w:tr w:rsidR="00F970D2" w:rsidRPr="006050E8" w14:paraId="306B2757" w14:textId="77777777" w:rsidTr="001224CB">
        <w:trPr>
          <w:trHeight w:val="211"/>
          <w:hidden/>
        </w:trPr>
        <w:tc>
          <w:tcPr>
            <w:tcW w:w="3114" w:type="dxa"/>
            <w:tcBorders>
              <w:top w:val="nil"/>
              <w:left w:val="single" w:sz="4" w:space="0" w:color="auto"/>
              <w:bottom w:val="single" w:sz="4" w:space="0" w:color="auto"/>
              <w:right w:val="single" w:sz="4" w:space="0" w:color="auto"/>
            </w:tcBorders>
            <w:shd w:val="clear" w:color="auto" w:fill="auto"/>
            <w:hideMark/>
          </w:tcPr>
          <w:p w14:paraId="64E35A75" w14:textId="77777777" w:rsidR="00F970D2" w:rsidRPr="006050E8" w:rsidRDefault="00F970D2" w:rsidP="001224CB">
            <w:pPr>
              <w:rPr>
                <w:vanish/>
                <w:color w:val="000000"/>
                <w:sz w:val="16"/>
                <w:szCs w:val="16"/>
                <w:lang w:val="es-ES"/>
              </w:rPr>
            </w:pPr>
            <w:r w:rsidRPr="006050E8">
              <w:rPr>
                <w:vanish/>
                <w:color w:val="000000"/>
                <w:sz w:val="16"/>
                <w:lang w:val="es-ES" w:eastAsia="en-CA"/>
              </w:rPr>
              <w:t>Executing agency support cost (internal), including overheads</w:t>
            </w:r>
          </w:p>
        </w:tc>
        <w:tc>
          <w:tcPr>
            <w:tcW w:w="856" w:type="dxa"/>
            <w:tcBorders>
              <w:top w:val="nil"/>
              <w:left w:val="nil"/>
              <w:bottom w:val="single" w:sz="4" w:space="0" w:color="auto"/>
              <w:right w:val="single" w:sz="4" w:space="0" w:color="auto"/>
            </w:tcBorders>
            <w:shd w:val="clear" w:color="auto" w:fill="auto"/>
            <w:hideMark/>
          </w:tcPr>
          <w:p w14:paraId="0112359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62" w:type="dxa"/>
            <w:tcBorders>
              <w:top w:val="nil"/>
              <w:left w:val="nil"/>
              <w:bottom w:val="single" w:sz="4" w:space="0" w:color="auto"/>
              <w:right w:val="single" w:sz="4" w:space="0" w:color="auto"/>
            </w:tcBorders>
            <w:shd w:val="clear" w:color="auto" w:fill="auto"/>
            <w:hideMark/>
          </w:tcPr>
          <w:p w14:paraId="329F8C3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2DD3256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184F86D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3DF5168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7E6DF32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60" w:type="dxa"/>
            <w:tcBorders>
              <w:top w:val="nil"/>
              <w:left w:val="nil"/>
              <w:bottom w:val="single" w:sz="4" w:space="0" w:color="auto"/>
              <w:right w:val="single" w:sz="4" w:space="0" w:color="auto"/>
            </w:tcBorders>
            <w:shd w:val="clear" w:color="auto" w:fill="auto"/>
            <w:hideMark/>
          </w:tcPr>
          <w:p w14:paraId="5B15E08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nil"/>
            </w:tcBorders>
            <w:shd w:val="clear" w:color="auto" w:fill="auto"/>
            <w:hideMark/>
          </w:tcPr>
          <w:p w14:paraId="71529DA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0978473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6650367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2E470D6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76DA513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1D8F2C0C" w14:textId="77777777" w:rsidTr="001224CB">
        <w:trPr>
          <w:trHeight w:val="117"/>
          <w:hidden/>
        </w:trPr>
        <w:tc>
          <w:tcPr>
            <w:tcW w:w="3114" w:type="dxa"/>
            <w:tcBorders>
              <w:top w:val="nil"/>
              <w:left w:val="single" w:sz="4" w:space="0" w:color="auto"/>
              <w:bottom w:val="single" w:sz="4" w:space="0" w:color="auto"/>
              <w:right w:val="single" w:sz="4" w:space="0" w:color="auto"/>
            </w:tcBorders>
            <w:shd w:val="clear" w:color="auto" w:fill="auto"/>
            <w:hideMark/>
          </w:tcPr>
          <w:p w14:paraId="19D10575" w14:textId="77777777" w:rsidR="00F970D2" w:rsidRPr="006050E8" w:rsidRDefault="00F970D2" w:rsidP="001224CB">
            <w:pPr>
              <w:rPr>
                <w:vanish/>
                <w:color w:val="000000"/>
                <w:sz w:val="16"/>
                <w:szCs w:val="16"/>
                <w:lang w:val="es-ES"/>
              </w:rPr>
            </w:pPr>
            <w:r w:rsidRPr="006050E8">
              <w:rPr>
                <w:vanish/>
                <w:color w:val="000000"/>
                <w:sz w:val="16"/>
                <w:lang w:val="es-ES" w:eastAsia="en-CA"/>
              </w:rPr>
              <w:t>Financial intermediaries, including overheads</w:t>
            </w:r>
          </w:p>
        </w:tc>
        <w:tc>
          <w:tcPr>
            <w:tcW w:w="856" w:type="dxa"/>
            <w:tcBorders>
              <w:top w:val="nil"/>
              <w:left w:val="nil"/>
              <w:bottom w:val="single" w:sz="4" w:space="0" w:color="auto"/>
              <w:right w:val="single" w:sz="4" w:space="0" w:color="auto"/>
            </w:tcBorders>
            <w:shd w:val="clear" w:color="auto" w:fill="auto"/>
            <w:hideMark/>
          </w:tcPr>
          <w:p w14:paraId="02CB0C9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121,740</w:t>
            </w:r>
          </w:p>
        </w:tc>
        <w:tc>
          <w:tcPr>
            <w:tcW w:w="862" w:type="dxa"/>
            <w:tcBorders>
              <w:top w:val="nil"/>
              <w:left w:val="nil"/>
              <w:bottom w:val="single" w:sz="4" w:space="0" w:color="auto"/>
              <w:right w:val="single" w:sz="4" w:space="0" w:color="auto"/>
            </w:tcBorders>
            <w:shd w:val="clear" w:color="auto" w:fill="auto"/>
            <w:hideMark/>
          </w:tcPr>
          <w:p w14:paraId="42AF6B8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10,000</w:t>
            </w:r>
          </w:p>
        </w:tc>
        <w:tc>
          <w:tcPr>
            <w:tcW w:w="857" w:type="dxa"/>
            <w:tcBorders>
              <w:top w:val="nil"/>
              <w:left w:val="nil"/>
              <w:bottom w:val="single" w:sz="4" w:space="0" w:color="auto"/>
              <w:right w:val="single" w:sz="4" w:space="0" w:color="auto"/>
            </w:tcBorders>
            <w:shd w:val="clear" w:color="auto" w:fill="auto"/>
            <w:hideMark/>
          </w:tcPr>
          <w:p w14:paraId="5EBBFB7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6CAC1A7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2181281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72EAFB5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60" w:type="dxa"/>
            <w:tcBorders>
              <w:top w:val="nil"/>
              <w:left w:val="nil"/>
              <w:bottom w:val="single" w:sz="4" w:space="0" w:color="auto"/>
              <w:right w:val="single" w:sz="4" w:space="0" w:color="auto"/>
            </w:tcBorders>
            <w:shd w:val="clear" w:color="auto" w:fill="auto"/>
            <w:hideMark/>
          </w:tcPr>
          <w:p w14:paraId="3BB98A1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nil"/>
            </w:tcBorders>
            <w:shd w:val="clear" w:color="auto" w:fill="auto"/>
            <w:hideMark/>
          </w:tcPr>
          <w:p w14:paraId="57F4028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4712C5C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639FBA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6977C40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32A9222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11764986" w14:textId="77777777" w:rsidTr="001224CB">
        <w:trPr>
          <w:trHeight w:val="191"/>
          <w:hidden/>
        </w:trPr>
        <w:tc>
          <w:tcPr>
            <w:tcW w:w="3114" w:type="dxa"/>
            <w:tcBorders>
              <w:top w:val="nil"/>
              <w:left w:val="single" w:sz="4" w:space="0" w:color="auto"/>
              <w:bottom w:val="single" w:sz="4" w:space="0" w:color="auto"/>
              <w:right w:val="single" w:sz="4" w:space="0" w:color="auto"/>
            </w:tcBorders>
            <w:shd w:val="clear" w:color="auto" w:fill="auto"/>
            <w:hideMark/>
          </w:tcPr>
          <w:p w14:paraId="18999CF5" w14:textId="77777777" w:rsidR="00F970D2" w:rsidRPr="006050E8" w:rsidRDefault="00F970D2" w:rsidP="001224CB">
            <w:pPr>
              <w:rPr>
                <w:vanish/>
                <w:color w:val="000000"/>
                <w:sz w:val="16"/>
                <w:szCs w:val="16"/>
                <w:lang w:val="es-ES"/>
              </w:rPr>
            </w:pPr>
            <w:r w:rsidRPr="006050E8">
              <w:rPr>
                <w:vanish/>
                <w:color w:val="000000"/>
                <w:sz w:val="16"/>
                <w:lang w:val="es-ES" w:eastAsia="en-CA"/>
              </w:rPr>
              <w:t>Reimbursement of central services for core unit staff (including overhead)</w:t>
            </w:r>
          </w:p>
        </w:tc>
        <w:tc>
          <w:tcPr>
            <w:tcW w:w="856" w:type="dxa"/>
            <w:tcBorders>
              <w:top w:val="nil"/>
              <w:left w:val="nil"/>
              <w:bottom w:val="single" w:sz="4" w:space="0" w:color="auto"/>
              <w:right w:val="single" w:sz="4" w:space="0" w:color="auto"/>
            </w:tcBorders>
            <w:shd w:val="clear" w:color="auto" w:fill="auto"/>
            <w:hideMark/>
          </w:tcPr>
          <w:p w14:paraId="5827194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62" w:type="dxa"/>
            <w:tcBorders>
              <w:top w:val="nil"/>
              <w:left w:val="nil"/>
              <w:bottom w:val="single" w:sz="4" w:space="0" w:color="auto"/>
              <w:right w:val="single" w:sz="4" w:space="0" w:color="auto"/>
            </w:tcBorders>
            <w:shd w:val="clear" w:color="auto" w:fill="auto"/>
            <w:hideMark/>
          </w:tcPr>
          <w:p w14:paraId="6F00999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7" w:type="dxa"/>
            <w:tcBorders>
              <w:top w:val="nil"/>
              <w:left w:val="nil"/>
              <w:bottom w:val="single" w:sz="4" w:space="0" w:color="auto"/>
              <w:right w:val="single" w:sz="4" w:space="0" w:color="auto"/>
            </w:tcBorders>
            <w:shd w:val="clear" w:color="auto" w:fill="auto"/>
            <w:hideMark/>
          </w:tcPr>
          <w:p w14:paraId="0510506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5DE95BA7"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5C6E0682"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7" w:type="dxa"/>
            <w:tcBorders>
              <w:top w:val="nil"/>
              <w:left w:val="nil"/>
              <w:bottom w:val="single" w:sz="4" w:space="0" w:color="auto"/>
              <w:right w:val="single" w:sz="4" w:space="0" w:color="auto"/>
            </w:tcBorders>
            <w:shd w:val="clear" w:color="auto" w:fill="auto"/>
            <w:hideMark/>
          </w:tcPr>
          <w:p w14:paraId="03FC9833"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60" w:type="dxa"/>
            <w:tcBorders>
              <w:top w:val="nil"/>
              <w:left w:val="nil"/>
              <w:bottom w:val="single" w:sz="4" w:space="0" w:color="auto"/>
              <w:right w:val="single" w:sz="4" w:space="0" w:color="auto"/>
            </w:tcBorders>
            <w:shd w:val="clear" w:color="auto" w:fill="auto"/>
            <w:hideMark/>
          </w:tcPr>
          <w:p w14:paraId="0C67906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7C1AA76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25946C1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A0464C8"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259B3B1A"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F37243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7C553D2B"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01EF5BD8" w14:textId="77777777" w:rsidR="00F970D2" w:rsidRPr="006050E8" w:rsidRDefault="00F970D2" w:rsidP="001224CB">
            <w:pPr>
              <w:rPr>
                <w:vanish/>
                <w:color w:val="000000"/>
                <w:sz w:val="16"/>
                <w:szCs w:val="16"/>
                <w:lang w:val="es-ES"/>
              </w:rPr>
            </w:pPr>
            <w:r w:rsidRPr="006050E8">
              <w:rPr>
                <w:vanish/>
                <w:color w:val="000000"/>
                <w:sz w:val="16"/>
                <w:lang w:val="es-ES" w:eastAsia="en-CA"/>
              </w:rPr>
              <w:t>Cost recovery</w:t>
            </w:r>
          </w:p>
        </w:tc>
        <w:tc>
          <w:tcPr>
            <w:tcW w:w="856" w:type="dxa"/>
            <w:tcBorders>
              <w:top w:val="nil"/>
              <w:left w:val="nil"/>
              <w:bottom w:val="single" w:sz="4" w:space="0" w:color="auto"/>
              <w:right w:val="single" w:sz="4" w:space="0" w:color="auto"/>
            </w:tcBorders>
            <w:shd w:val="clear" w:color="auto" w:fill="auto"/>
            <w:hideMark/>
          </w:tcPr>
          <w:p w14:paraId="56A32FD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62" w:type="dxa"/>
            <w:tcBorders>
              <w:top w:val="nil"/>
              <w:left w:val="nil"/>
              <w:bottom w:val="single" w:sz="4" w:space="0" w:color="auto"/>
              <w:right w:val="single" w:sz="4" w:space="0" w:color="auto"/>
            </w:tcBorders>
            <w:shd w:val="clear" w:color="auto" w:fill="auto"/>
            <w:hideMark/>
          </w:tcPr>
          <w:p w14:paraId="4D6FBBD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52867C2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0C54C0F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2A7BF92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71115DA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60" w:type="dxa"/>
            <w:tcBorders>
              <w:top w:val="nil"/>
              <w:left w:val="nil"/>
              <w:bottom w:val="single" w:sz="4" w:space="0" w:color="auto"/>
              <w:right w:val="single" w:sz="4" w:space="0" w:color="auto"/>
            </w:tcBorders>
            <w:shd w:val="clear" w:color="auto" w:fill="auto"/>
            <w:hideMark/>
          </w:tcPr>
          <w:p w14:paraId="424384E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nil"/>
            </w:tcBorders>
            <w:shd w:val="clear" w:color="auto" w:fill="auto"/>
            <w:hideMark/>
          </w:tcPr>
          <w:p w14:paraId="334E374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5AAC9DA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2B29D6B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7F1F987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7A286FC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69FD504B"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6D18A204" w14:textId="77777777" w:rsidR="00F970D2" w:rsidRPr="006050E8" w:rsidRDefault="00F970D2" w:rsidP="001224CB">
            <w:pPr>
              <w:rPr>
                <w:vanish/>
                <w:color w:val="000000"/>
                <w:sz w:val="16"/>
                <w:szCs w:val="16"/>
                <w:lang w:val="es-ES"/>
              </w:rPr>
            </w:pPr>
            <w:r w:rsidRPr="006050E8">
              <w:rPr>
                <w:vanish/>
                <w:color w:val="000000"/>
                <w:sz w:val="16"/>
                <w:lang w:val="es-ES" w:eastAsia="en-CA"/>
              </w:rPr>
              <w:t>Adjustments (+ = overrun and - = underuse)</w:t>
            </w:r>
          </w:p>
        </w:tc>
        <w:tc>
          <w:tcPr>
            <w:tcW w:w="856" w:type="dxa"/>
            <w:tcBorders>
              <w:top w:val="nil"/>
              <w:left w:val="nil"/>
              <w:bottom w:val="single" w:sz="4" w:space="0" w:color="auto"/>
              <w:right w:val="single" w:sz="4" w:space="0" w:color="auto"/>
            </w:tcBorders>
            <w:shd w:val="clear" w:color="auto" w:fill="auto"/>
            <w:hideMark/>
          </w:tcPr>
          <w:p w14:paraId="650C55F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62" w:type="dxa"/>
            <w:tcBorders>
              <w:top w:val="nil"/>
              <w:left w:val="nil"/>
              <w:bottom w:val="single" w:sz="4" w:space="0" w:color="auto"/>
              <w:right w:val="single" w:sz="4" w:space="0" w:color="auto"/>
            </w:tcBorders>
            <w:shd w:val="clear" w:color="auto" w:fill="auto"/>
            <w:hideMark/>
          </w:tcPr>
          <w:p w14:paraId="254B78F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5B6D76F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0 </w:t>
            </w:r>
          </w:p>
        </w:tc>
        <w:tc>
          <w:tcPr>
            <w:tcW w:w="856" w:type="dxa"/>
            <w:tcBorders>
              <w:top w:val="nil"/>
              <w:left w:val="nil"/>
              <w:bottom w:val="single" w:sz="4" w:space="0" w:color="auto"/>
              <w:right w:val="single" w:sz="4" w:space="0" w:color="auto"/>
            </w:tcBorders>
            <w:shd w:val="clear" w:color="auto" w:fill="auto"/>
            <w:hideMark/>
          </w:tcPr>
          <w:p w14:paraId="1179177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hideMark/>
          </w:tcPr>
          <w:p w14:paraId="6D867CE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7" w:type="dxa"/>
            <w:tcBorders>
              <w:top w:val="nil"/>
              <w:left w:val="nil"/>
              <w:bottom w:val="single" w:sz="4" w:space="0" w:color="auto"/>
              <w:right w:val="single" w:sz="4" w:space="0" w:color="auto"/>
            </w:tcBorders>
            <w:shd w:val="clear" w:color="auto" w:fill="auto"/>
            <w:hideMark/>
          </w:tcPr>
          <w:p w14:paraId="5B73BFF4"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60" w:type="dxa"/>
            <w:tcBorders>
              <w:top w:val="nil"/>
              <w:left w:val="nil"/>
              <w:bottom w:val="single" w:sz="4" w:space="0" w:color="auto"/>
              <w:right w:val="single" w:sz="4" w:space="0" w:color="auto"/>
            </w:tcBorders>
            <w:shd w:val="clear" w:color="auto" w:fill="auto"/>
            <w:hideMark/>
          </w:tcPr>
          <w:p w14:paraId="0297D97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nil"/>
            </w:tcBorders>
            <w:shd w:val="clear" w:color="auto" w:fill="auto"/>
            <w:hideMark/>
          </w:tcPr>
          <w:p w14:paraId="167EA4A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single" w:sz="4" w:space="0" w:color="auto"/>
              <w:bottom w:val="single" w:sz="4" w:space="0" w:color="auto"/>
              <w:right w:val="single" w:sz="4" w:space="0" w:color="auto"/>
            </w:tcBorders>
            <w:shd w:val="clear" w:color="auto" w:fill="auto"/>
            <w:noWrap/>
            <w:hideMark/>
          </w:tcPr>
          <w:p w14:paraId="137FDFF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2BBF8E7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910" w:type="dxa"/>
            <w:tcBorders>
              <w:top w:val="nil"/>
              <w:left w:val="nil"/>
              <w:bottom w:val="single" w:sz="4" w:space="0" w:color="auto"/>
              <w:right w:val="single" w:sz="4" w:space="0" w:color="auto"/>
            </w:tcBorders>
            <w:shd w:val="clear" w:color="auto" w:fill="auto"/>
            <w:noWrap/>
            <w:hideMark/>
          </w:tcPr>
          <w:p w14:paraId="6EC8A07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c>
          <w:tcPr>
            <w:tcW w:w="856" w:type="dxa"/>
            <w:tcBorders>
              <w:top w:val="nil"/>
              <w:left w:val="nil"/>
              <w:bottom w:val="single" w:sz="4" w:space="0" w:color="auto"/>
              <w:right w:val="single" w:sz="4" w:space="0" w:color="auto"/>
            </w:tcBorders>
            <w:shd w:val="clear" w:color="auto" w:fill="auto"/>
            <w:noWrap/>
            <w:hideMark/>
          </w:tcPr>
          <w:p w14:paraId="21C0515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0</w:t>
            </w:r>
          </w:p>
        </w:tc>
      </w:tr>
      <w:tr w:rsidR="00F970D2" w:rsidRPr="006050E8" w14:paraId="0A1B5F8E" w14:textId="77777777" w:rsidTr="001224CB">
        <w:trPr>
          <w:trHeight w:val="146"/>
          <w:hidden/>
        </w:trPr>
        <w:tc>
          <w:tcPr>
            <w:tcW w:w="3114" w:type="dxa"/>
            <w:tcBorders>
              <w:top w:val="nil"/>
              <w:left w:val="single" w:sz="4" w:space="0" w:color="auto"/>
              <w:bottom w:val="single" w:sz="4" w:space="0" w:color="auto"/>
              <w:right w:val="single" w:sz="4" w:space="0" w:color="auto"/>
            </w:tcBorders>
            <w:shd w:val="clear" w:color="auto" w:fill="auto"/>
            <w:hideMark/>
          </w:tcPr>
          <w:p w14:paraId="35FE3758" w14:textId="77777777" w:rsidR="00F970D2" w:rsidRPr="006050E8" w:rsidRDefault="00F970D2" w:rsidP="001224CB">
            <w:pPr>
              <w:rPr>
                <w:vanish/>
                <w:color w:val="000000"/>
                <w:sz w:val="16"/>
                <w:szCs w:val="16"/>
                <w:lang w:val="es-ES"/>
              </w:rPr>
            </w:pPr>
            <w:r w:rsidRPr="006050E8">
              <w:rPr>
                <w:vanish/>
                <w:color w:val="000000"/>
                <w:sz w:val="16"/>
                <w:lang w:val="es-ES" w:eastAsia="en-CA"/>
              </w:rPr>
              <w:t>Project costs (- = to be deducted and thus removed)</w:t>
            </w:r>
          </w:p>
        </w:tc>
        <w:tc>
          <w:tcPr>
            <w:tcW w:w="856" w:type="dxa"/>
            <w:tcBorders>
              <w:top w:val="nil"/>
              <w:left w:val="nil"/>
              <w:bottom w:val="single" w:sz="4" w:space="0" w:color="auto"/>
              <w:right w:val="single" w:sz="4" w:space="0" w:color="auto"/>
            </w:tcBorders>
            <w:shd w:val="clear" w:color="auto" w:fill="auto"/>
            <w:hideMark/>
          </w:tcPr>
          <w:p w14:paraId="749E0C99"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62" w:type="dxa"/>
            <w:tcBorders>
              <w:top w:val="nil"/>
              <w:left w:val="nil"/>
              <w:bottom w:val="single" w:sz="4" w:space="0" w:color="auto"/>
              <w:right w:val="single" w:sz="4" w:space="0" w:color="auto"/>
            </w:tcBorders>
            <w:shd w:val="clear" w:color="auto" w:fill="auto"/>
            <w:hideMark/>
          </w:tcPr>
          <w:p w14:paraId="6E563D6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7" w:type="dxa"/>
            <w:tcBorders>
              <w:top w:val="nil"/>
              <w:left w:val="nil"/>
              <w:bottom w:val="single" w:sz="4" w:space="0" w:color="auto"/>
              <w:right w:val="single" w:sz="4" w:space="0" w:color="auto"/>
            </w:tcBorders>
            <w:shd w:val="clear" w:color="auto" w:fill="auto"/>
            <w:hideMark/>
          </w:tcPr>
          <w:p w14:paraId="7D7F2B2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12A8608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608CB6C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7" w:type="dxa"/>
            <w:tcBorders>
              <w:top w:val="nil"/>
              <w:left w:val="nil"/>
              <w:bottom w:val="single" w:sz="4" w:space="0" w:color="auto"/>
              <w:right w:val="single" w:sz="4" w:space="0" w:color="auto"/>
            </w:tcBorders>
            <w:shd w:val="clear" w:color="auto" w:fill="auto"/>
            <w:hideMark/>
          </w:tcPr>
          <w:p w14:paraId="114D851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960" w:type="dxa"/>
            <w:tcBorders>
              <w:top w:val="nil"/>
              <w:left w:val="nil"/>
              <w:bottom w:val="single" w:sz="4" w:space="0" w:color="auto"/>
              <w:right w:val="single" w:sz="4" w:space="0" w:color="auto"/>
            </w:tcBorders>
            <w:shd w:val="clear" w:color="auto" w:fill="auto"/>
            <w:hideMark/>
          </w:tcPr>
          <w:p w14:paraId="65F7295A"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nil"/>
            </w:tcBorders>
            <w:shd w:val="clear" w:color="auto" w:fill="auto"/>
            <w:hideMark/>
          </w:tcPr>
          <w:p w14:paraId="55FA60C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 </w:t>
            </w:r>
          </w:p>
        </w:tc>
        <w:tc>
          <w:tcPr>
            <w:tcW w:w="856" w:type="dxa"/>
            <w:tcBorders>
              <w:top w:val="nil"/>
              <w:left w:val="single" w:sz="4" w:space="0" w:color="auto"/>
              <w:bottom w:val="single" w:sz="4" w:space="0" w:color="auto"/>
              <w:right w:val="single" w:sz="4" w:space="0" w:color="auto"/>
            </w:tcBorders>
            <w:shd w:val="clear" w:color="auto" w:fill="auto"/>
            <w:noWrap/>
            <w:hideMark/>
          </w:tcPr>
          <w:p w14:paraId="015F682C"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442C041A"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910" w:type="dxa"/>
            <w:tcBorders>
              <w:top w:val="nil"/>
              <w:left w:val="nil"/>
              <w:bottom w:val="single" w:sz="4" w:space="0" w:color="auto"/>
              <w:right w:val="single" w:sz="4" w:space="0" w:color="auto"/>
            </w:tcBorders>
            <w:shd w:val="clear" w:color="auto" w:fill="auto"/>
            <w:noWrap/>
            <w:hideMark/>
          </w:tcPr>
          <w:p w14:paraId="67A6220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noWrap/>
            <w:hideMark/>
          </w:tcPr>
          <w:p w14:paraId="6B753266"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466C4048" w14:textId="77777777" w:rsidTr="001224CB">
        <w:trPr>
          <w:trHeight w:val="193"/>
          <w:hidden/>
        </w:trPr>
        <w:tc>
          <w:tcPr>
            <w:tcW w:w="3114" w:type="dxa"/>
            <w:tcBorders>
              <w:top w:val="nil"/>
              <w:left w:val="single" w:sz="4" w:space="0" w:color="auto"/>
              <w:bottom w:val="single" w:sz="4" w:space="0" w:color="auto"/>
              <w:right w:val="single" w:sz="4" w:space="0" w:color="auto"/>
            </w:tcBorders>
            <w:shd w:val="clear" w:color="auto" w:fill="auto"/>
            <w:hideMark/>
          </w:tcPr>
          <w:p w14:paraId="572D7EA9" w14:textId="77777777" w:rsidR="00F970D2" w:rsidRPr="006050E8" w:rsidRDefault="00F970D2" w:rsidP="001224CB">
            <w:pPr>
              <w:jc w:val="left"/>
              <w:rPr>
                <w:b/>
                <w:bCs/>
                <w:vanish/>
                <w:color w:val="000000"/>
                <w:sz w:val="16"/>
                <w:szCs w:val="16"/>
                <w:lang w:val="es-ES"/>
              </w:rPr>
            </w:pPr>
            <w:r w:rsidRPr="006050E8">
              <w:rPr>
                <w:b/>
                <w:vanish/>
                <w:color w:val="000000"/>
                <w:sz w:val="16"/>
                <w:lang w:val="es-ES" w:eastAsia="en-CA"/>
              </w:rPr>
              <w:t>B. Sub-total agency support costs/ implementation costs</w:t>
            </w:r>
          </w:p>
        </w:tc>
        <w:tc>
          <w:tcPr>
            <w:tcW w:w="856" w:type="dxa"/>
            <w:tcBorders>
              <w:top w:val="nil"/>
              <w:left w:val="nil"/>
              <w:bottom w:val="single" w:sz="4" w:space="0" w:color="auto"/>
              <w:right w:val="single" w:sz="4" w:space="0" w:color="auto"/>
            </w:tcBorders>
            <w:shd w:val="clear" w:color="auto" w:fill="auto"/>
            <w:hideMark/>
          </w:tcPr>
          <w:p w14:paraId="0760FC74"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62" w:type="dxa"/>
            <w:tcBorders>
              <w:top w:val="nil"/>
              <w:left w:val="nil"/>
              <w:bottom w:val="single" w:sz="4" w:space="0" w:color="auto"/>
              <w:right w:val="single" w:sz="4" w:space="0" w:color="auto"/>
            </w:tcBorders>
            <w:shd w:val="clear" w:color="auto" w:fill="auto"/>
            <w:hideMark/>
          </w:tcPr>
          <w:p w14:paraId="2EC1A690"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7" w:type="dxa"/>
            <w:tcBorders>
              <w:top w:val="nil"/>
              <w:left w:val="nil"/>
              <w:bottom w:val="single" w:sz="4" w:space="0" w:color="auto"/>
              <w:right w:val="single" w:sz="4" w:space="0" w:color="auto"/>
            </w:tcBorders>
            <w:shd w:val="clear" w:color="auto" w:fill="auto"/>
            <w:hideMark/>
          </w:tcPr>
          <w:p w14:paraId="561FB389"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193764B7"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 </w:t>
            </w:r>
          </w:p>
        </w:tc>
        <w:tc>
          <w:tcPr>
            <w:tcW w:w="856" w:type="dxa"/>
            <w:tcBorders>
              <w:top w:val="nil"/>
              <w:left w:val="nil"/>
              <w:bottom w:val="single" w:sz="4" w:space="0" w:color="auto"/>
              <w:right w:val="single" w:sz="4" w:space="0" w:color="auto"/>
            </w:tcBorders>
            <w:shd w:val="clear" w:color="auto" w:fill="auto"/>
            <w:hideMark/>
          </w:tcPr>
          <w:p w14:paraId="7D1F8111"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1,249,361</w:t>
            </w:r>
          </w:p>
        </w:tc>
        <w:tc>
          <w:tcPr>
            <w:tcW w:w="857" w:type="dxa"/>
            <w:tcBorders>
              <w:top w:val="nil"/>
              <w:left w:val="nil"/>
              <w:bottom w:val="single" w:sz="4" w:space="0" w:color="auto"/>
              <w:right w:val="single" w:sz="4" w:space="0" w:color="auto"/>
            </w:tcBorders>
            <w:shd w:val="clear" w:color="auto" w:fill="auto"/>
            <w:hideMark/>
          </w:tcPr>
          <w:p w14:paraId="3CA7590B"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1,491,814</w:t>
            </w:r>
          </w:p>
        </w:tc>
        <w:tc>
          <w:tcPr>
            <w:tcW w:w="960" w:type="dxa"/>
            <w:tcBorders>
              <w:top w:val="nil"/>
              <w:left w:val="nil"/>
              <w:bottom w:val="single" w:sz="4" w:space="0" w:color="auto"/>
              <w:right w:val="single" w:sz="4" w:space="0" w:color="auto"/>
            </w:tcBorders>
            <w:shd w:val="clear" w:color="auto" w:fill="auto"/>
            <w:hideMark/>
          </w:tcPr>
          <w:p w14:paraId="7B0FDC2D"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2,114,429</w:t>
            </w:r>
          </w:p>
        </w:tc>
        <w:tc>
          <w:tcPr>
            <w:tcW w:w="856" w:type="dxa"/>
            <w:tcBorders>
              <w:top w:val="nil"/>
              <w:left w:val="nil"/>
              <w:bottom w:val="single" w:sz="4" w:space="0" w:color="auto"/>
              <w:right w:val="nil"/>
            </w:tcBorders>
            <w:shd w:val="clear" w:color="auto" w:fill="auto"/>
            <w:hideMark/>
          </w:tcPr>
          <w:p w14:paraId="2A7E9AB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1,258,437</w:t>
            </w:r>
          </w:p>
        </w:tc>
        <w:tc>
          <w:tcPr>
            <w:tcW w:w="856" w:type="dxa"/>
            <w:tcBorders>
              <w:top w:val="nil"/>
              <w:left w:val="single" w:sz="4" w:space="0" w:color="auto"/>
              <w:bottom w:val="single" w:sz="4" w:space="0" w:color="auto"/>
              <w:right w:val="single" w:sz="4" w:space="0" w:color="auto"/>
            </w:tcBorders>
            <w:shd w:val="clear" w:color="auto" w:fill="auto"/>
            <w:noWrap/>
            <w:hideMark/>
          </w:tcPr>
          <w:p w14:paraId="5603302E"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1,172,183</w:t>
            </w:r>
          </w:p>
        </w:tc>
        <w:tc>
          <w:tcPr>
            <w:tcW w:w="856" w:type="dxa"/>
            <w:tcBorders>
              <w:top w:val="nil"/>
              <w:left w:val="nil"/>
              <w:bottom w:val="single" w:sz="4" w:space="0" w:color="auto"/>
              <w:right w:val="single" w:sz="4" w:space="0" w:color="auto"/>
            </w:tcBorders>
            <w:shd w:val="clear" w:color="auto" w:fill="auto"/>
            <w:hideMark/>
          </w:tcPr>
          <w:p w14:paraId="535C47A6" w14:textId="77777777" w:rsidR="00F970D2" w:rsidRPr="006050E8" w:rsidRDefault="00F970D2" w:rsidP="001224CB">
            <w:pPr>
              <w:jc w:val="right"/>
              <w:rPr>
                <w:b/>
                <w:bCs/>
                <w:vanish/>
                <w:sz w:val="16"/>
                <w:szCs w:val="16"/>
                <w:lang w:val="es-ES"/>
              </w:rPr>
            </w:pPr>
            <w:r w:rsidRPr="006050E8">
              <w:rPr>
                <w:b/>
                <w:vanish/>
                <w:sz w:val="16"/>
                <w:lang w:val="es-ES" w:eastAsia="en-CA"/>
              </w:rPr>
              <w:t>2,000,000</w:t>
            </w:r>
          </w:p>
        </w:tc>
        <w:tc>
          <w:tcPr>
            <w:tcW w:w="910" w:type="dxa"/>
            <w:tcBorders>
              <w:top w:val="nil"/>
              <w:left w:val="nil"/>
              <w:bottom w:val="single" w:sz="4" w:space="0" w:color="auto"/>
              <w:right w:val="single" w:sz="4" w:space="0" w:color="auto"/>
            </w:tcBorders>
            <w:shd w:val="clear" w:color="auto" w:fill="auto"/>
            <w:noWrap/>
            <w:hideMark/>
          </w:tcPr>
          <w:p w14:paraId="16359D93"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800,000</w:t>
            </w:r>
          </w:p>
        </w:tc>
        <w:tc>
          <w:tcPr>
            <w:tcW w:w="856" w:type="dxa"/>
            <w:tcBorders>
              <w:top w:val="nil"/>
              <w:left w:val="nil"/>
              <w:bottom w:val="single" w:sz="4" w:space="0" w:color="auto"/>
              <w:right w:val="single" w:sz="4" w:space="0" w:color="auto"/>
            </w:tcBorders>
            <w:shd w:val="clear" w:color="auto" w:fill="auto"/>
            <w:hideMark/>
          </w:tcPr>
          <w:p w14:paraId="21EAC3F5" w14:textId="77777777" w:rsidR="00F970D2" w:rsidRPr="006050E8" w:rsidRDefault="00F970D2" w:rsidP="001224CB">
            <w:pPr>
              <w:jc w:val="right"/>
              <w:rPr>
                <w:b/>
                <w:bCs/>
                <w:vanish/>
                <w:sz w:val="16"/>
                <w:szCs w:val="16"/>
                <w:lang w:val="es-ES"/>
              </w:rPr>
            </w:pPr>
            <w:r w:rsidRPr="006050E8">
              <w:rPr>
                <w:b/>
                <w:vanish/>
                <w:sz w:val="16"/>
                <w:lang w:val="es-ES" w:eastAsia="en-CA"/>
              </w:rPr>
              <w:t>2,000,000</w:t>
            </w:r>
          </w:p>
        </w:tc>
      </w:tr>
      <w:tr w:rsidR="00F970D2" w:rsidRPr="006050E8" w14:paraId="5A8D0261"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hideMark/>
          </w:tcPr>
          <w:p w14:paraId="41EADF6D" w14:textId="77777777" w:rsidR="00F970D2" w:rsidRPr="006050E8" w:rsidRDefault="00F970D2" w:rsidP="001224CB">
            <w:pPr>
              <w:rPr>
                <w:b/>
                <w:bCs/>
                <w:vanish/>
                <w:color w:val="000000"/>
                <w:sz w:val="16"/>
                <w:szCs w:val="16"/>
                <w:lang w:val="es-ES"/>
              </w:rPr>
            </w:pPr>
            <w:r w:rsidRPr="006050E8">
              <w:rPr>
                <w:b/>
                <w:vanish/>
                <w:color w:val="000000"/>
                <w:sz w:val="16"/>
                <w:lang w:val="es-ES" w:eastAsia="en-CA"/>
              </w:rPr>
              <w:t>Grand total (A + B)</w:t>
            </w:r>
          </w:p>
        </w:tc>
        <w:tc>
          <w:tcPr>
            <w:tcW w:w="856" w:type="dxa"/>
            <w:tcBorders>
              <w:top w:val="nil"/>
              <w:left w:val="nil"/>
              <w:bottom w:val="single" w:sz="4" w:space="0" w:color="auto"/>
              <w:right w:val="single" w:sz="4" w:space="0" w:color="auto"/>
            </w:tcBorders>
            <w:shd w:val="clear" w:color="auto" w:fill="auto"/>
            <w:hideMark/>
          </w:tcPr>
          <w:p w14:paraId="6A8A2732"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3,667,839</w:t>
            </w:r>
          </w:p>
        </w:tc>
        <w:tc>
          <w:tcPr>
            <w:tcW w:w="862" w:type="dxa"/>
            <w:tcBorders>
              <w:top w:val="nil"/>
              <w:left w:val="nil"/>
              <w:bottom w:val="single" w:sz="4" w:space="0" w:color="auto"/>
              <w:right w:val="single" w:sz="4" w:space="0" w:color="auto"/>
            </w:tcBorders>
            <w:shd w:val="clear" w:color="auto" w:fill="auto"/>
            <w:hideMark/>
          </w:tcPr>
          <w:p w14:paraId="510E97C2"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2,518,129</w:t>
            </w:r>
          </w:p>
        </w:tc>
        <w:tc>
          <w:tcPr>
            <w:tcW w:w="857" w:type="dxa"/>
            <w:tcBorders>
              <w:top w:val="nil"/>
              <w:left w:val="nil"/>
              <w:bottom w:val="single" w:sz="4" w:space="0" w:color="auto"/>
              <w:right w:val="single" w:sz="4" w:space="0" w:color="auto"/>
            </w:tcBorders>
            <w:shd w:val="clear" w:color="auto" w:fill="auto"/>
            <w:hideMark/>
          </w:tcPr>
          <w:p w14:paraId="37E0CB36"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2,339,197</w:t>
            </w:r>
          </w:p>
        </w:tc>
        <w:tc>
          <w:tcPr>
            <w:tcW w:w="856" w:type="dxa"/>
            <w:tcBorders>
              <w:top w:val="nil"/>
              <w:left w:val="nil"/>
              <w:bottom w:val="single" w:sz="4" w:space="0" w:color="auto"/>
              <w:right w:val="single" w:sz="4" w:space="0" w:color="auto"/>
            </w:tcBorders>
            <w:shd w:val="clear" w:color="auto" w:fill="auto"/>
            <w:hideMark/>
          </w:tcPr>
          <w:p w14:paraId="45E0B95F"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2,112,851</w:t>
            </w:r>
          </w:p>
        </w:tc>
        <w:tc>
          <w:tcPr>
            <w:tcW w:w="856" w:type="dxa"/>
            <w:tcBorders>
              <w:top w:val="nil"/>
              <w:left w:val="nil"/>
              <w:bottom w:val="single" w:sz="4" w:space="0" w:color="auto"/>
              <w:right w:val="single" w:sz="4" w:space="0" w:color="auto"/>
            </w:tcBorders>
            <w:shd w:val="clear" w:color="auto" w:fill="auto"/>
            <w:hideMark/>
          </w:tcPr>
          <w:p w14:paraId="59345AC9"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2,911,885</w:t>
            </w:r>
          </w:p>
        </w:tc>
        <w:tc>
          <w:tcPr>
            <w:tcW w:w="857" w:type="dxa"/>
            <w:tcBorders>
              <w:top w:val="nil"/>
              <w:left w:val="nil"/>
              <w:bottom w:val="single" w:sz="4" w:space="0" w:color="auto"/>
              <w:right w:val="single" w:sz="4" w:space="0" w:color="auto"/>
            </w:tcBorders>
            <w:shd w:val="clear" w:color="auto" w:fill="auto"/>
            <w:hideMark/>
          </w:tcPr>
          <w:p w14:paraId="488BB2BA"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3,156,744</w:t>
            </w:r>
          </w:p>
        </w:tc>
        <w:tc>
          <w:tcPr>
            <w:tcW w:w="960" w:type="dxa"/>
            <w:tcBorders>
              <w:top w:val="nil"/>
              <w:left w:val="nil"/>
              <w:bottom w:val="single" w:sz="4" w:space="0" w:color="auto"/>
              <w:right w:val="single" w:sz="4" w:space="0" w:color="auto"/>
            </w:tcBorders>
            <w:shd w:val="clear" w:color="auto" w:fill="auto"/>
            <w:hideMark/>
          </w:tcPr>
          <w:p w14:paraId="32545E04"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3,842,489</w:t>
            </w:r>
          </w:p>
        </w:tc>
        <w:tc>
          <w:tcPr>
            <w:tcW w:w="856" w:type="dxa"/>
            <w:tcBorders>
              <w:top w:val="nil"/>
              <w:left w:val="nil"/>
              <w:bottom w:val="single" w:sz="4" w:space="0" w:color="auto"/>
              <w:right w:val="single" w:sz="4" w:space="0" w:color="auto"/>
            </w:tcBorders>
            <w:shd w:val="clear" w:color="auto" w:fill="auto"/>
            <w:hideMark/>
          </w:tcPr>
          <w:p w14:paraId="69A78E20" w14:textId="77777777" w:rsidR="00F970D2" w:rsidRPr="006050E8" w:rsidRDefault="00F970D2" w:rsidP="001224CB">
            <w:pPr>
              <w:jc w:val="right"/>
              <w:rPr>
                <w:b/>
                <w:bCs/>
                <w:vanish/>
                <w:color w:val="000000"/>
                <w:sz w:val="16"/>
                <w:szCs w:val="16"/>
                <w:lang w:val="es-ES"/>
              </w:rPr>
            </w:pPr>
            <w:r w:rsidRPr="006050E8">
              <w:rPr>
                <w:b/>
                <w:vanish/>
                <w:color w:val="000000"/>
                <w:sz w:val="16"/>
                <w:lang w:val="es-ES" w:eastAsia="en-CA"/>
              </w:rPr>
              <w:t>2,949,544</w:t>
            </w:r>
          </w:p>
        </w:tc>
        <w:tc>
          <w:tcPr>
            <w:tcW w:w="856" w:type="dxa"/>
            <w:tcBorders>
              <w:top w:val="nil"/>
              <w:left w:val="single" w:sz="4" w:space="0" w:color="auto"/>
              <w:bottom w:val="single" w:sz="4" w:space="0" w:color="auto"/>
              <w:right w:val="single" w:sz="4" w:space="0" w:color="auto"/>
            </w:tcBorders>
            <w:shd w:val="clear" w:color="auto" w:fill="auto"/>
            <w:hideMark/>
          </w:tcPr>
          <w:p w14:paraId="5C045730" w14:textId="77777777" w:rsidR="00F970D2" w:rsidRPr="006050E8" w:rsidRDefault="00F970D2" w:rsidP="001224CB">
            <w:pPr>
              <w:jc w:val="right"/>
              <w:rPr>
                <w:b/>
                <w:bCs/>
                <w:vanish/>
                <w:sz w:val="16"/>
                <w:szCs w:val="16"/>
                <w:lang w:val="es-ES"/>
              </w:rPr>
            </w:pPr>
            <w:r w:rsidRPr="006050E8">
              <w:rPr>
                <w:b/>
                <w:vanish/>
                <w:sz w:val="16"/>
                <w:lang w:val="es-ES" w:eastAsia="en-CA"/>
              </w:rPr>
              <w:t>2,463,979</w:t>
            </w:r>
          </w:p>
        </w:tc>
        <w:tc>
          <w:tcPr>
            <w:tcW w:w="856" w:type="dxa"/>
            <w:tcBorders>
              <w:top w:val="nil"/>
              <w:left w:val="nil"/>
              <w:bottom w:val="single" w:sz="4" w:space="0" w:color="auto"/>
              <w:right w:val="single" w:sz="4" w:space="0" w:color="auto"/>
            </w:tcBorders>
            <w:shd w:val="clear" w:color="auto" w:fill="auto"/>
            <w:hideMark/>
          </w:tcPr>
          <w:p w14:paraId="2D91A60E" w14:textId="77777777" w:rsidR="00F970D2" w:rsidRPr="006050E8" w:rsidRDefault="00F970D2" w:rsidP="001224CB">
            <w:pPr>
              <w:jc w:val="right"/>
              <w:rPr>
                <w:b/>
                <w:bCs/>
                <w:vanish/>
                <w:sz w:val="16"/>
                <w:szCs w:val="16"/>
                <w:lang w:val="es-ES"/>
              </w:rPr>
            </w:pPr>
            <w:r w:rsidRPr="006050E8">
              <w:rPr>
                <w:b/>
                <w:vanish/>
                <w:sz w:val="16"/>
                <w:lang w:val="es-ES" w:eastAsia="en-CA"/>
              </w:rPr>
              <w:t>3,735,000</w:t>
            </w:r>
          </w:p>
        </w:tc>
        <w:tc>
          <w:tcPr>
            <w:tcW w:w="910" w:type="dxa"/>
            <w:tcBorders>
              <w:top w:val="nil"/>
              <w:left w:val="nil"/>
              <w:bottom w:val="single" w:sz="4" w:space="0" w:color="auto"/>
              <w:right w:val="single" w:sz="4" w:space="0" w:color="auto"/>
            </w:tcBorders>
            <w:shd w:val="clear" w:color="auto" w:fill="auto"/>
            <w:hideMark/>
          </w:tcPr>
          <w:p w14:paraId="479C23DA" w14:textId="77777777" w:rsidR="00F970D2" w:rsidRPr="006050E8" w:rsidRDefault="00F970D2" w:rsidP="001224CB">
            <w:pPr>
              <w:jc w:val="right"/>
              <w:rPr>
                <w:b/>
                <w:bCs/>
                <w:vanish/>
                <w:sz w:val="16"/>
                <w:szCs w:val="16"/>
                <w:lang w:val="es-ES"/>
              </w:rPr>
            </w:pPr>
            <w:r w:rsidRPr="006050E8">
              <w:rPr>
                <w:b/>
                <w:vanish/>
                <w:sz w:val="16"/>
                <w:lang w:val="es-ES" w:eastAsia="en-CA"/>
              </w:rPr>
              <w:t>2,385,000</w:t>
            </w:r>
          </w:p>
        </w:tc>
        <w:tc>
          <w:tcPr>
            <w:tcW w:w="856" w:type="dxa"/>
            <w:tcBorders>
              <w:top w:val="nil"/>
              <w:left w:val="nil"/>
              <w:bottom w:val="single" w:sz="4" w:space="0" w:color="auto"/>
              <w:right w:val="single" w:sz="4" w:space="0" w:color="auto"/>
            </w:tcBorders>
            <w:shd w:val="clear" w:color="auto" w:fill="auto"/>
            <w:hideMark/>
          </w:tcPr>
          <w:p w14:paraId="4C1847F3" w14:textId="77777777" w:rsidR="00F970D2" w:rsidRPr="006050E8" w:rsidRDefault="00F970D2" w:rsidP="001224CB">
            <w:pPr>
              <w:jc w:val="right"/>
              <w:rPr>
                <w:b/>
                <w:bCs/>
                <w:vanish/>
                <w:sz w:val="16"/>
                <w:szCs w:val="16"/>
                <w:lang w:val="es-ES"/>
              </w:rPr>
            </w:pPr>
            <w:r w:rsidRPr="006050E8">
              <w:rPr>
                <w:b/>
                <w:vanish/>
                <w:sz w:val="16"/>
                <w:lang w:val="es-ES" w:eastAsia="en-CA"/>
              </w:rPr>
              <w:t>3,735,000</w:t>
            </w:r>
          </w:p>
        </w:tc>
      </w:tr>
      <w:tr w:rsidR="00F970D2" w:rsidRPr="006050E8" w14:paraId="590D917C"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EA1198E"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Net agency support costs plus core unit costs*</w:t>
            </w:r>
          </w:p>
        </w:tc>
        <w:tc>
          <w:tcPr>
            <w:tcW w:w="856" w:type="dxa"/>
            <w:tcBorders>
              <w:top w:val="nil"/>
              <w:left w:val="nil"/>
              <w:bottom w:val="single" w:sz="4" w:space="0" w:color="auto"/>
              <w:right w:val="single" w:sz="4" w:space="0" w:color="auto"/>
            </w:tcBorders>
            <w:shd w:val="clear" w:color="auto" w:fill="auto"/>
            <w:hideMark/>
          </w:tcPr>
          <w:p w14:paraId="355E4004" w14:textId="77777777" w:rsidR="00F970D2" w:rsidRPr="006050E8" w:rsidRDefault="00F970D2" w:rsidP="001224CB">
            <w:pPr>
              <w:jc w:val="right"/>
              <w:rPr>
                <w:vanish/>
                <w:sz w:val="16"/>
                <w:szCs w:val="16"/>
                <w:lang w:val="es-ES"/>
              </w:rPr>
            </w:pPr>
            <w:r w:rsidRPr="006050E8">
              <w:rPr>
                <w:vanish/>
                <w:sz w:val="16"/>
                <w:lang w:val="es-ES" w:eastAsia="en-CA"/>
              </w:rPr>
              <w:t>2,136,706</w:t>
            </w:r>
          </w:p>
        </w:tc>
        <w:tc>
          <w:tcPr>
            <w:tcW w:w="862" w:type="dxa"/>
            <w:tcBorders>
              <w:top w:val="nil"/>
              <w:left w:val="nil"/>
              <w:bottom w:val="single" w:sz="4" w:space="0" w:color="auto"/>
              <w:right w:val="single" w:sz="4" w:space="0" w:color="auto"/>
            </w:tcBorders>
            <w:shd w:val="clear" w:color="auto" w:fill="auto"/>
            <w:hideMark/>
          </w:tcPr>
          <w:p w14:paraId="7BCAB4CA" w14:textId="77777777" w:rsidR="00F970D2" w:rsidRPr="006050E8" w:rsidRDefault="00F970D2" w:rsidP="001224CB">
            <w:pPr>
              <w:jc w:val="right"/>
              <w:rPr>
                <w:vanish/>
                <w:sz w:val="16"/>
                <w:szCs w:val="16"/>
                <w:lang w:val="es-ES"/>
              </w:rPr>
            </w:pPr>
            <w:r w:rsidRPr="006050E8">
              <w:rPr>
                <w:vanish/>
                <w:sz w:val="16"/>
                <w:lang w:val="es-ES" w:eastAsia="en-CA"/>
              </w:rPr>
              <w:t>4,139,161</w:t>
            </w:r>
          </w:p>
        </w:tc>
        <w:tc>
          <w:tcPr>
            <w:tcW w:w="857" w:type="dxa"/>
            <w:tcBorders>
              <w:top w:val="nil"/>
              <w:left w:val="nil"/>
              <w:bottom w:val="single" w:sz="4" w:space="0" w:color="auto"/>
              <w:right w:val="single" w:sz="4" w:space="0" w:color="auto"/>
            </w:tcBorders>
            <w:shd w:val="clear" w:color="auto" w:fill="auto"/>
            <w:hideMark/>
          </w:tcPr>
          <w:p w14:paraId="2A869355" w14:textId="77777777" w:rsidR="00F970D2" w:rsidRPr="006050E8" w:rsidRDefault="00F970D2" w:rsidP="001224CB">
            <w:pPr>
              <w:jc w:val="right"/>
              <w:rPr>
                <w:vanish/>
                <w:sz w:val="16"/>
                <w:szCs w:val="16"/>
                <w:lang w:val="es-ES"/>
              </w:rPr>
            </w:pPr>
            <w:r w:rsidRPr="006050E8">
              <w:rPr>
                <w:vanish/>
                <w:sz w:val="16"/>
                <w:lang w:val="es-ES" w:eastAsia="en-CA"/>
              </w:rPr>
              <w:t>2,975,314</w:t>
            </w:r>
          </w:p>
        </w:tc>
        <w:tc>
          <w:tcPr>
            <w:tcW w:w="856" w:type="dxa"/>
            <w:tcBorders>
              <w:top w:val="nil"/>
              <w:left w:val="nil"/>
              <w:bottom w:val="single" w:sz="4" w:space="0" w:color="auto"/>
              <w:right w:val="single" w:sz="4" w:space="0" w:color="auto"/>
            </w:tcBorders>
            <w:shd w:val="clear" w:color="auto" w:fill="auto"/>
            <w:hideMark/>
          </w:tcPr>
          <w:p w14:paraId="07CEF7BA" w14:textId="77777777" w:rsidR="00F970D2" w:rsidRPr="006050E8" w:rsidRDefault="00F970D2" w:rsidP="001224CB">
            <w:pPr>
              <w:jc w:val="right"/>
              <w:rPr>
                <w:vanish/>
                <w:sz w:val="16"/>
                <w:szCs w:val="16"/>
                <w:lang w:val="es-ES"/>
              </w:rPr>
            </w:pPr>
            <w:r w:rsidRPr="006050E8">
              <w:rPr>
                <w:vanish/>
                <w:sz w:val="16"/>
                <w:lang w:val="es-ES" w:eastAsia="en-CA"/>
              </w:rPr>
              <w:t>5,458,181</w:t>
            </w:r>
          </w:p>
        </w:tc>
        <w:tc>
          <w:tcPr>
            <w:tcW w:w="856" w:type="dxa"/>
            <w:tcBorders>
              <w:top w:val="nil"/>
              <w:left w:val="nil"/>
              <w:bottom w:val="single" w:sz="4" w:space="0" w:color="auto"/>
              <w:right w:val="single" w:sz="4" w:space="0" w:color="auto"/>
            </w:tcBorders>
            <w:shd w:val="clear" w:color="auto" w:fill="auto"/>
            <w:hideMark/>
          </w:tcPr>
          <w:p w14:paraId="2A0257DD" w14:textId="77777777" w:rsidR="00F970D2" w:rsidRPr="006050E8" w:rsidRDefault="00F970D2" w:rsidP="001224CB">
            <w:pPr>
              <w:jc w:val="right"/>
              <w:rPr>
                <w:vanish/>
                <w:sz w:val="16"/>
                <w:szCs w:val="16"/>
                <w:lang w:val="es-ES"/>
              </w:rPr>
            </w:pPr>
            <w:r w:rsidRPr="006050E8">
              <w:rPr>
                <w:vanish/>
                <w:sz w:val="16"/>
                <w:lang w:val="es-ES" w:eastAsia="en-CA"/>
              </w:rPr>
              <w:t>2,549,351</w:t>
            </w:r>
          </w:p>
        </w:tc>
        <w:tc>
          <w:tcPr>
            <w:tcW w:w="857" w:type="dxa"/>
            <w:tcBorders>
              <w:top w:val="nil"/>
              <w:left w:val="nil"/>
              <w:bottom w:val="single" w:sz="4" w:space="0" w:color="auto"/>
              <w:right w:val="single" w:sz="4" w:space="0" w:color="auto"/>
            </w:tcBorders>
            <w:shd w:val="clear" w:color="auto" w:fill="auto"/>
            <w:hideMark/>
          </w:tcPr>
          <w:p w14:paraId="36F18317" w14:textId="77777777" w:rsidR="00F970D2" w:rsidRPr="006050E8" w:rsidRDefault="00F970D2" w:rsidP="001224CB">
            <w:pPr>
              <w:jc w:val="right"/>
              <w:rPr>
                <w:vanish/>
                <w:sz w:val="16"/>
                <w:szCs w:val="16"/>
                <w:lang w:val="es-ES"/>
              </w:rPr>
            </w:pPr>
            <w:r w:rsidRPr="006050E8">
              <w:rPr>
                <w:vanish/>
                <w:sz w:val="16"/>
                <w:lang w:val="es-ES" w:eastAsia="en-CA"/>
              </w:rPr>
              <w:t>1,882,431</w:t>
            </w:r>
          </w:p>
        </w:tc>
        <w:tc>
          <w:tcPr>
            <w:tcW w:w="960" w:type="dxa"/>
            <w:tcBorders>
              <w:top w:val="nil"/>
              <w:left w:val="nil"/>
              <w:bottom w:val="single" w:sz="4" w:space="0" w:color="auto"/>
              <w:right w:val="single" w:sz="4" w:space="0" w:color="auto"/>
            </w:tcBorders>
            <w:shd w:val="clear" w:color="auto" w:fill="auto"/>
            <w:hideMark/>
          </w:tcPr>
          <w:p w14:paraId="6A3EDFF8" w14:textId="77777777" w:rsidR="00F970D2" w:rsidRPr="006050E8" w:rsidRDefault="00F970D2" w:rsidP="001224CB">
            <w:pPr>
              <w:jc w:val="right"/>
              <w:rPr>
                <w:vanish/>
                <w:sz w:val="16"/>
                <w:szCs w:val="16"/>
                <w:lang w:val="es-ES"/>
              </w:rPr>
            </w:pPr>
            <w:r w:rsidRPr="006050E8">
              <w:rPr>
                <w:vanish/>
                <w:sz w:val="16"/>
                <w:lang w:val="es-ES" w:eastAsia="en-CA"/>
              </w:rPr>
              <w:t>3,251,742</w:t>
            </w:r>
          </w:p>
        </w:tc>
        <w:tc>
          <w:tcPr>
            <w:tcW w:w="856" w:type="dxa"/>
            <w:tcBorders>
              <w:top w:val="nil"/>
              <w:left w:val="nil"/>
              <w:bottom w:val="single" w:sz="4" w:space="0" w:color="auto"/>
              <w:right w:val="single" w:sz="4" w:space="0" w:color="auto"/>
            </w:tcBorders>
            <w:shd w:val="clear" w:color="auto" w:fill="auto"/>
            <w:hideMark/>
          </w:tcPr>
          <w:p w14:paraId="09232C67" w14:textId="77777777" w:rsidR="00F970D2" w:rsidRPr="006050E8" w:rsidRDefault="00F970D2" w:rsidP="001224CB">
            <w:pPr>
              <w:jc w:val="right"/>
              <w:rPr>
                <w:vanish/>
                <w:sz w:val="16"/>
                <w:szCs w:val="16"/>
                <w:lang w:val="es-ES"/>
              </w:rPr>
            </w:pPr>
            <w:r w:rsidRPr="006050E8">
              <w:rPr>
                <w:vanish/>
                <w:sz w:val="16"/>
                <w:lang w:val="es-ES" w:eastAsia="en-CA"/>
              </w:rPr>
              <w:t>1,915,543</w:t>
            </w:r>
          </w:p>
        </w:tc>
        <w:tc>
          <w:tcPr>
            <w:tcW w:w="856" w:type="dxa"/>
            <w:tcBorders>
              <w:top w:val="nil"/>
              <w:left w:val="single" w:sz="4" w:space="0" w:color="auto"/>
              <w:bottom w:val="single" w:sz="4" w:space="0" w:color="auto"/>
              <w:right w:val="single" w:sz="4" w:space="0" w:color="auto"/>
            </w:tcBorders>
            <w:shd w:val="clear" w:color="auto" w:fill="auto"/>
            <w:hideMark/>
          </w:tcPr>
          <w:p w14:paraId="256B0FD6" w14:textId="77777777" w:rsidR="00F970D2" w:rsidRPr="006050E8" w:rsidRDefault="00F970D2" w:rsidP="001224CB">
            <w:pPr>
              <w:jc w:val="right"/>
              <w:rPr>
                <w:vanish/>
                <w:sz w:val="16"/>
                <w:szCs w:val="16"/>
                <w:lang w:val="es-ES"/>
              </w:rPr>
            </w:pPr>
            <w:r w:rsidRPr="006050E8">
              <w:rPr>
                <w:vanish/>
                <w:sz w:val="16"/>
                <w:lang w:val="es-ES" w:eastAsia="en-CA"/>
              </w:rPr>
              <w:t>1,879,691</w:t>
            </w:r>
          </w:p>
        </w:tc>
        <w:tc>
          <w:tcPr>
            <w:tcW w:w="856" w:type="dxa"/>
            <w:tcBorders>
              <w:top w:val="nil"/>
              <w:left w:val="nil"/>
              <w:bottom w:val="single" w:sz="4" w:space="0" w:color="auto"/>
              <w:right w:val="single" w:sz="4" w:space="0" w:color="auto"/>
            </w:tcBorders>
            <w:shd w:val="clear" w:color="auto" w:fill="auto"/>
          </w:tcPr>
          <w:p w14:paraId="174B42DC"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hideMark/>
          </w:tcPr>
          <w:p w14:paraId="3D50BBA7" w14:textId="77777777" w:rsidR="00F970D2" w:rsidRPr="006050E8" w:rsidRDefault="00F970D2" w:rsidP="001224CB">
            <w:pPr>
              <w:jc w:val="right"/>
              <w:rPr>
                <w:vanish/>
                <w:sz w:val="16"/>
                <w:szCs w:val="16"/>
                <w:lang w:val="es-ES"/>
              </w:rPr>
            </w:pPr>
            <w:r w:rsidRPr="006050E8">
              <w:rPr>
                <w:vanish/>
                <w:sz w:val="16"/>
                <w:lang w:val="es-ES" w:eastAsia="en-CA"/>
              </w:rPr>
              <w:t>2,412,800</w:t>
            </w:r>
          </w:p>
        </w:tc>
        <w:tc>
          <w:tcPr>
            <w:tcW w:w="856" w:type="dxa"/>
            <w:tcBorders>
              <w:top w:val="nil"/>
              <w:left w:val="nil"/>
              <w:bottom w:val="single" w:sz="4" w:space="0" w:color="auto"/>
              <w:right w:val="single" w:sz="4" w:space="0" w:color="auto"/>
            </w:tcBorders>
            <w:shd w:val="clear" w:color="auto" w:fill="auto"/>
            <w:noWrap/>
            <w:hideMark/>
          </w:tcPr>
          <w:p w14:paraId="5D3BC551"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63142E19"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9332D0"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Total administrative cost</w:t>
            </w:r>
          </w:p>
        </w:tc>
        <w:tc>
          <w:tcPr>
            <w:tcW w:w="856" w:type="dxa"/>
            <w:tcBorders>
              <w:top w:val="nil"/>
              <w:left w:val="nil"/>
              <w:bottom w:val="single" w:sz="4" w:space="0" w:color="auto"/>
              <w:right w:val="single" w:sz="4" w:space="0" w:color="auto"/>
            </w:tcBorders>
            <w:shd w:val="clear" w:color="auto" w:fill="auto"/>
            <w:vAlign w:val="center"/>
            <w:hideMark/>
          </w:tcPr>
          <w:p w14:paraId="42113D90"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3,667,839</w:t>
            </w:r>
          </w:p>
        </w:tc>
        <w:tc>
          <w:tcPr>
            <w:tcW w:w="862" w:type="dxa"/>
            <w:tcBorders>
              <w:top w:val="nil"/>
              <w:left w:val="nil"/>
              <w:bottom w:val="single" w:sz="4" w:space="0" w:color="auto"/>
              <w:right w:val="single" w:sz="4" w:space="0" w:color="auto"/>
            </w:tcBorders>
            <w:shd w:val="clear" w:color="auto" w:fill="auto"/>
            <w:vAlign w:val="center"/>
            <w:hideMark/>
          </w:tcPr>
          <w:p w14:paraId="2A739BA6"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2,518,129</w:t>
            </w:r>
          </w:p>
        </w:tc>
        <w:tc>
          <w:tcPr>
            <w:tcW w:w="857" w:type="dxa"/>
            <w:tcBorders>
              <w:top w:val="nil"/>
              <w:left w:val="nil"/>
              <w:bottom w:val="single" w:sz="4" w:space="0" w:color="auto"/>
              <w:right w:val="single" w:sz="4" w:space="0" w:color="auto"/>
            </w:tcBorders>
            <w:shd w:val="clear" w:color="auto" w:fill="auto"/>
            <w:vAlign w:val="center"/>
            <w:hideMark/>
          </w:tcPr>
          <w:p w14:paraId="3026FD1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2,339,197</w:t>
            </w:r>
          </w:p>
        </w:tc>
        <w:tc>
          <w:tcPr>
            <w:tcW w:w="856" w:type="dxa"/>
            <w:tcBorders>
              <w:top w:val="nil"/>
              <w:left w:val="nil"/>
              <w:bottom w:val="single" w:sz="4" w:space="0" w:color="auto"/>
              <w:right w:val="single" w:sz="4" w:space="0" w:color="auto"/>
            </w:tcBorders>
            <w:shd w:val="clear" w:color="auto" w:fill="auto"/>
            <w:vAlign w:val="center"/>
            <w:hideMark/>
          </w:tcPr>
          <w:p w14:paraId="62C7D6EF"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2,112,851</w:t>
            </w:r>
          </w:p>
        </w:tc>
        <w:tc>
          <w:tcPr>
            <w:tcW w:w="856" w:type="dxa"/>
            <w:tcBorders>
              <w:top w:val="nil"/>
              <w:left w:val="nil"/>
              <w:bottom w:val="single" w:sz="4" w:space="0" w:color="auto"/>
              <w:right w:val="single" w:sz="4" w:space="0" w:color="auto"/>
            </w:tcBorders>
            <w:shd w:val="clear" w:color="auto" w:fill="auto"/>
            <w:vAlign w:val="center"/>
            <w:hideMark/>
          </w:tcPr>
          <w:p w14:paraId="278D7388"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2,911,885</w:t>
            </w:r>
          </w:p>
        </w:tc>
        <w:tc>
          <w:tcPr>
            <w:tcW w:w="857" w:type="dxa"/>
            <w:tcBorders>
              <w:top w:val="nil"/>
              <w:left w:val="nil"/>
              <w:bottom w:val="single" w:sz="4" w:space="0" w:color="auto"/>
              <w:right w:val="single" w:sz="4" w:space="0" w:color="auto"/>
            </w:tcBorders>
            <w:shd w:val="clear" w:color="auto" w:fill="auto"/>
            <w:noWrap/>
            <w:vAlign w:val="center"/>
            <w:hideMark/>
          </w:tcPr>
          <w:p w14:paraId="7895E0A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3,156,744</w:t>
            </w:r>
          </w:p>
        </w:tc>
        <w:tc>
          <w:tcPr>
            <w:tcW w:w="960" w:type="dxa"/>
            <w:tcBorders>
              <w:top w:val="nil"/>
              <w:left w:val="nil"/>
              <w:bottom w:val="single" w:sz="4" w:space="0" w:color="auto"/>
              <w:right w:val="single" w:sz="4" w:space="0" w:color="auto"/>
            </w:tcBorders>
            <w:shd w:val="clear" w:color="auto" w:fill="auto"/>
            <w:noWrap/>
            <w:vAlign w:val="center"/>
            <w:hideMark/>
          </w:tcPr>
          <w:p w14:paraId="28D93680" w14:textId="77777777" w:rsidR="00F970D2" w:rsidRPr="006050E8" w:rsidRDefault="00F970D2" w:rsidP="001224CB">
            <w:pPr>
              <w:jc w:val="right"/>
              <w:rPr>
                <w:vanish/>
                <w:sz w:val="16"/>
                <w:szCs w:val="16"/>
                <w:lang w:val="es-ES"/>
              </w:rPr>
            </w:pPr>
            <w:r w:rsidRPr="006050E8">
              <w:rPr>
                <w:vanish/>
                <w:sz w:val="16"/>
                <w:lang w:val="es-ES" w:eastAsia="en-CA"/>
              </w:rPr>
              <w:t>3,842,489</w:t>
            </w:r>
          </w:p>
        </w:tc>
        <w:tc>
          <w:tcPr>
            <w:tcW w:w="856" w:type="dxa"/>
            <w:tcBorders>
              <w:top w:val="nil"/>
              <w:left w:val="nil"/>
              <w:bottom w:val="single" w:sz="4" w:space="0" w:color="auto"/>
              <w:right w:val="single" w:sz="4" w:space="0" w:color="auto"/>
            </w:tcBorders>
            <w:shd w:val="clear" w:color="auto" w:fill="auto"/>
            <w:noWrap/>
            <w:vAlign w:val="center"/>
            <w:hideMark/>
          </w:tcPr>
          <w:p w14:paraId="300C8479" w14:textId="77777777" w:rsidR="00F970D2" w:rsidRPr="006050E8" w:rsidRDefault="00F970D2" w:rsidP="001224CB">
            <w:pPr>
              <w:jc w:val="right"/>
              <w:rPr>
                <w:vanish/>
                <w:sz w:val="16"/>
                <w:szCs w:val="16"/>
                <w:lang w:val="es-ES"/>
              </w:rPr>
            </w:pPr>
            <w:r w:rsidRPr="006050E8">
              <w:rPr>
                <w:vanish/>
                <w:sz w:val="16"/>
                <w:lang w:val="es-ES" w:eastAsia="en-CA"/>
              </w:rPr>
              <w:t>2,949,544</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B42E3BB" w14:textId="77777777" w:rsidR="00F970D2" w:rsidRPr="006050E8" w:rsidRDefault="00F970D2" w:rsidP="001224CB">
            <w:pPr>
              <w:jc w:val="right"/>
              <w:rPr>
                <w:vanish/>
                <w:sz w:val="16"/>
                <w:szCs w:val="16"/>
                <w:lang w:val="es-ES"/>
              </w:rPr>
            </w:pPr>
            <w:r w:rsidRPr="006050E8">
              <w:rPr>
                <w:vanish/>
                <w:sz w:val="16"/>
                <w:lang w:val="es-ES" w:eastAsia="en-CA"/>
              </w:rPr>
              <w:t>2,463,979</w:t>
            </w:r>
          </w:p>
        </w:tc>
        <w:tc>
          <w:tcPr>
            <w:tcW w:w="856" w:type="dxa"/>
            <w:tcBorders>
              <w:top w:val="nil"/>
              <w:left w:val="nil"/>
              <w:bottom w:val="single" w:sz="4" w:space="0" w:color="auto"/>
              <w:right w:val="single" w:sz="4" w:space="0" w:color="auto"/>
            </w:tcBorders>
            <w:shd w:val="clear" w:color="auto" w:fill="auto"/>
            <w:noWrap/>
            <w:vAlign w:val="center"/>
          </w:tcPr>
          <w:p w14:paraId="00276B9B"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0357D7BA" w14:textId="77777777" w:rsidR="00F970D2" w:rsidRPr="006050E8" w:rsidRDefault="00F970D2" w:rsidP="001224CB">
            <w:pPr>
              <w:jc w:val="right"/>
              <w:rPr>
                <w:vanish/>
                <w:sz w:val="16"/>
                <w:szCs w:val="16"/>
                <w:lang w:val="es-ES"/>
              </w:rPr>
            </w:pPr>
            <w:r w:rsidRPr="006050E8">
              <w:rPr>
                <w:vanish/>
                <w:sz w:val="16"/>
                <w:lang w:val="es-ES" w:eastAsia="en-CA"/>
              </w:rPr>
              <w:t>2,385,000</w:t>
            </w:r>
          </w:p>
        </w:tc>
        <w:tc>
          <w:tcPr>
            <w:tcW w:w="856" w:type="dxa"/>
            <w:tcBorders>
              <w:top w:val="nil"/>
              <w:left w:val="nil"/>
              <w:bottom w:val="single" w:sz="4" w:space="0" w:color="auto"/>
              <w:right w:val="single" w:sz="4" w:space="0" w:color="auto"/>
            </w:tcBorders>
            <w:shd w:val="clear" w:color="auto" w:fill="auto"/>
            <w:noWrap/>
            <w:hideMark/>
          </w:tcPr>
          <w:p w14:paraId="5BFBB9CF"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0F14E7B9"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8395E5C"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Balance per year</w:t>
            </w:r>
          </w:p>
        </w:tc>
        <w:tc>
          <w:tcPr>
            <w:tcW w:w="856" w:type="dxa"/>
            <w:tcBorders>
              <w:top w:val="nil"/>
              <w:left w:val="nil"/>
              <w:bottom w:val="single" w:sz="4" w:space="0" w:color="auto"/>
              <w:right w:val="single" w:sz="4" w:space="0" w:color="auto"/>
            </w:tcBorders>
            <w:shd w:val="clear" w:color="auto" w:fill="auto"/>
            <w:vAlign w:val="center"/>
            <w:hideMark/>
          </w:tcPr>
          <w:p w14:paraId="6BE5AAC3" w14:textId="77777777" w:rsidR="00F970D2" w:rsidRPr="006050E8" w:rsidRDefault="00F970D2" w:rsidP="001224CB">
            <w:pPr>
              <w:ind w:left="-161"/>
              <w:jc w:val="right"/>
              <w:rPr>
                <w:vanish/>
                <w:color w:val="000000"/>
                <w:sz w:val="16"/>
                <w:szCs w:val="16"/>
                <w:lang w:val="es-ES"/>
              </w:rPr>
            </w:pPr>
            <w:r w:rsidRPr="006050E8">
              <w:rPr>
                <w:vanish/>
                <w:color w:val="000000"/>
                <w:sz w:val="16"/>
                <w:lang w:val="es-ES" w:eastAsia="en-CA"/>
              </w:rPr>
              <w:t>-1,531,133</w:t>
            </w:r>
          </w:p>
        </w:tc>
        <w:tc>
          <w:tcPr>
            <w:tcW w:w="862" w:type="dxa"/>
            <w:tcBorders>
              <w:top w:val="nil"/>
              <w:left w:val="nil"/>
              <w:bottom w:val="single" w:sz="4" w:space="0" w:color="auto"/>
              <w:right w:val="single" w:sz="4" w:space="0" w:color="auto"/>
            </w:tcBorders>
            <w:shd w:val="clear" w:color="auto" w:fill="auto"/>
            <w:vAlign w:val="center"/>
            <w:hideMark/>
          </w:tcPr>
          <w:p w14:paraId="64D4F5A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1,621,032</w:t>
            </w:r>
          </w:p>
        </w:tc>
        <w:tc>
          <w:tcPr>
            <w:tcW w:w="857" w:type="dxa"/>
            <w:tcBorders>
              <w:top w:val="nil"/>
              <w:left w:val="nil"/>
              <w:bottom w:val="single" w:sz="4" w:space="0" w:color="auto"/>
              <w:right w:val="single" w:sz="4" w:space="0" w:color="auto"/>
            </w:tcBorders>
            <w:shd w:val="clear" w:color="auto" w:fill="auto"/>
            <w:vAlign w:val="center"/>
            <w:hideMark/>
          </w:tcPr>
          <w:p w14:paraId="58E0B00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636,117</w:t>
            </w:r>
          </w:p>
        </w:tc>
        <w:tc>
          <w:tcPr>
            <w:tcW w:w="856" w:type="dxa"/>
            <w:tcBorders>
              <w:top w:val="nil"/>
              <w:left w:val="nil"/>
              <w:bottom w:val="single" w:sz="4" w:space="0" w:color="auto"/>
              <w:right w:val="single" w:sz="4" w:space="0" w:color="auto"/>
            </w:tcBorders>
            <w:shd w:val="clear" w:color="auto" w:fill="auto"/>
            <w:vAlign w:val="center"/>
            <w:hideMark/>
          </w:tcPr>
          <w:p w14:paraId="3ECEDF4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3,345,330</w:t>
            </w:r>
          </w:p>
        </w:tc>
        <w:tc>
          <w:tcPr>
            <w:tcW w:w="856" w:type="dxa"/>
            <w:tcBorders>
              <w:top w:val="nil"/>
              <w:left w:val="nil"/>
              <w:bottom w:val="single" w:sz="4" w:space="0" w:color="auto"/>
              <w:right w:val="single" w:sz="4" w:space="0" w:color="auto"/>
            </w:tcBorders>
            <w:shd w:val="clear" w:color="auto" w:fill="auto"/>
            <w:vAlign w:val="center"/>
            <w:hideMark/>
          </w:tcPr>
          <w:p w14:paraId="2157961C"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-362,534</w:t>
            </w:r>
          </w:p>
        </w:tc>
        <w:tc>
          <w:tcPr>
            <w:tcW w:w="857" w:type="dxa"/>
            <w:tcBorders>
              <w:top w:val="nil"/>
              <w:left w:val="nil"/>
              <w:bottom w:val="single" w:sz="4" w:space="0" w:color="auto"/>
              <w:right w:val="single" w:sz="4" w:space="0" w:color="auto"/>
            </w:tcBorders>
            <w:shd w:val="clear" w:color="auto" w:fill="auto"/>
            <w:vAlign w:val="center"/>
            <w:hideMark/>
          </w:tcPr>
          <w:p w14:paraId="38266D50" w14:textId="77777777" w:rsidR="00F970D2" w:rsidRPr="006050E8" w:rsidRDefault="00F970D2" w:rsidP="001224CB">
            <w:pPr>
              <w:ind w:left="-192"/>
              <w:jc w:val="right"/>
              <w:rPr>
                <w:vanish/>
                <w:color w:val="000000"/>
                <w:sz w:val="16"/>
                <w:szCs w:val="16"/>
                <w:lang w:val="es-ES"/>
              </w:rPr>
            </w:pPr>
            <w:r w:rsidRPr="006050E8">
              <w:rPr>
                <w:vanish/>
                <w:color w:val="000000"/>
                <w:sz w:val="16"/>
                <w:lang w:val="es-ES" w:eastAsia="en-CA"/>
              </w:rPr>
              <w:t>-1,274,313</w:t>
            </w:r>
          </w:p>
        </w:tc>
        <w:tc>
          <w:tcPr>
            <w:tcW w:w="960" w:type="dxa"/>
            <w:tcBorders>
              <w:top w:val="nil"/>
              <w:left w:val="nil"/>
              <w:bottom w:val="single" w:sz="4" w:space="0" w:color="auto"/>
              <w:right w:val="single" w:sz="4" w:space="0" w:color="auto"/>
            </w:tcBorders>
            <w:shd w:val="clear" w:color="auto" w:fill="auto"/>
            <w:vAlign w:val="center"/>
            <w:hideMark/>
          </w:tcPr>
          <w:p w14:paraId="353C784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-590,747</w:t>
            </w:r>
          </w:p>
        </w:tc>
        <w:tc>
          <w:tcPr>
            <w:tcW w:w="856" w:type="dxa"/>
            <w:tcBorders>
              <w:top w:val="nil"/>
              <w:left w:val="nil"/>
              <w:bottom w:val="single" w:sz="4" w:space="0" w:color="auto"/>
              <w:right w:val="single" w:sz="4" w:space="0" w:color="auto"/>
            </w:tcBorders>
            <w:shd w:val="clear" w:color="auto" w:fill="auto"/>
            <w:vAlign w:val="center"/>
            <w:hideMark/>
          </w:tcPr>
          <w:p w14:paraId="6BDFB41A" w14:textId="77777777" w:rsidR="00F970D2" w:rsidRPr="006050E8" w:rsidRDefault="00F970D2" w:rsidP="001224CB">
            <w:pPr>
              <w:ind w:left="-174"/>
              <w:jc w:val="right"/>
              <w:rPr>
                <w:vanish/>
                <w:color w:val="000000"/>
                <w:sz w:val="16"/>
                <w:szCs w:val="16"/>
                <w:lang w:val="es-ES"/>
              </w:rPr>
            </w:pPr>
            <w:r w:rsidRPr="006050E8">
              <w:rPr>
                <w:vanish/>
                <w:color w:val="000000"/>
                <w:sz w:val="16"/>
                <w:lang w:val="es-ES" w:eastAsia="en-CA"/>
              </w:rPr>
              <w:t>-1,034,001</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000D4801"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-584,288</w:t>
            </w:r>
          </w:p>
        </w:tc>
        <w:tc>
          <w:tcPr>
            <w:tcW w:w="856" w:type="dxa"/>
            <w:tcBorders>
              <w:top w:val="nil"/>
              <w:left w:val="nil"/>
              <w:bottom w:val="single" w:sz="4" w:space="0" w:color="auto"/>
              <w:right w:val="single" w:sz="4" w:space="0" w:color="auto"/>
            </w:tcBorders>
            <w:shd w:val="clear" w:color="auto" w:fill="auto"/>
            <w:vAlign w:val="center"/>
          </w:tcPr>
          <w:p w14:paraId="188FF9E6"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6672B47C" w14:textId="77777777" w:rsidR="00F970D2" w:rsidRPr="006050E8" w:rsidRDefault="00F970D2" w:rsidP="001224CB">
            <w:pPr>
              <w:jc w:val="right"/>
              <w:rPr>
                <w:vanish/>
                <w:sz w:val="16"/>
                <w:szCs w:val="16"/>
                <w:lang w:val="es-ES"/>
              </w:rPr>
            </w:pPr>
            <w:r w:rsidRPr="006050E8">
              <w:rPr>
                <w:vanish/>
                <w:sz w:val="16"/>
                <w:lang w:val="es-ES" w:eastAsia="en-CA"/>
              </w:rPr>
              <w:t>27,800</w:t>
            </w:r>
          </w:p>
        </w:tc>
        <w:tc>
          <w:tcPr>
            <w:tcW w:w="856" w:type="dxa"/>
            <w:tcBorders>
              <w:top w:val="nil"/>
              <w:left w:val="nil"/>
              <w:bottom w:val="single" w:sz="4" w:space="0" w:color="auto"/>
              <w:right w:val="single" w:sz="4" w:space="0" w:color="auto"/>
            </w:tcBorders>
            <w:shd w:val="clear" w:color="auto" w:fill="auto"/>
            <w:noWrap/>
            <w:hideMark/>
          </w:tcPr>
          <w:p w14:paraId="5982EEE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r w:rsidR="00F970D2" w:rsidRPr="006050E8" w14:paraId="741F9B7B" w14:textId="77777777" w:rsidTr="001224CB">
        <w:trPr>
          <w:trHeight w:val="58"/>
          <w:hidden/>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0A4DB8"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Running balance**</w:t>
            </w:r>
          </w:p>
        </w:tc>
        <w:tc>
          <w:tcPr>
            <w:tcW w:w="856" w:type="dxa"/>
            <w:tcBorders>
              <w:top w:val="nil"/>
              <w:left w:val="nil"/>
              <w:bottom w:val="single" w:sz="4" w:space="0" w:color="auto"/>
              <w:right w:val="single" w:sz="4" w:space="0" w:color="auto"/>
            </w:tcBorders>
            <w:shd w:val="clear" w:color="auto" w:fill="auto"/>
            <w:vAlign w:val="center"/>
            <w:hideMark/>
          </w:tcPr>
          <w:p w14:paraId="16545773"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-9,162</w:t>
            </w:r>
          </w:p>
        </w:tc>
        <w:tc>
          <w:tcPr>
            <w:tcW w:w="862" w:type="dxa"/>
            <w:tcBorders>
              <w:top w:val="nil"/>
              <w:left w:val="nil"/>
              <w:bottom w:val="single" w:sz="4" w:space="0" w:color="auto"/>
              <w:right w:val="single" w:sz="4" w:space="0" w:color="auto"/>
            </w:tcBorders>
            <w:shd w:val="clear" w:color="auto" w:fill="auto"/>
            <w:vAlign w:val="center"/>
            <w:hideMark/>
          </w:tcPr>
          <w:p w14:paraId="3CAB94D2"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1,611,870</w:t>
            </w:r>
          </w:p>
        </w:tc>
        <w:tc>
          <w:tcPr>
            <w:tcW w:w="857" w:type="dxa"/>
            <w:tcBorders>
              <w:top w:val="nil"/>
              <w:left w:val="nil"/>
              <w:bottom w:val="single" w:sz="4" w:space="0" w:color="auto"/>
              <w:right w:val="single" w:sz="4" w:space="0" w:color="auto"/>
            </w:tcBorders>
            <w:shd w:val="clear" w:color="auto" w:fill="auto"/>
            <w:vAlign w:val="center"/>
            <w:hideMark/>
          </w:tcPr>
          <w:p w14:paraId="1D78FF0D"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2,247,987</w:t>
            </w:r>
          </w:p>
        </w:tc>
        <w:tc>
          <w:tcPr>
            <w:tcW w:w="856" w:type="dxa"/>
            <w:tcBorders>
              <w:top w:val="nil"/>
              <w:left w:val="nil"/>
              <w:bottom w:val="single" w:sz="4" w:space="0" w:color="auto"/>
              <w:right w:val="single" w:sz="4" w:space="0" w:color="auto"/>
            </w:tcBorders>
            <w:shd w:val="clear" w:color="auto" w:fill="auto"/>
            <w:vAlign w:val="center"/>
            <w:hideMark/>
          </w:tcPr>
          <w:p w14:paraId="45DD697E"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5,593,317</w:t>
            </w:r>
          </w:p>
        </w:tc>
        <w:tc>
          <w:tcPr>
            <w:tcW w:w="856" w:type="dxa"/>
            <w:tcBorders>
              <w:top w:val="nil"/>
              <w:left w:val="nil"/>
              <w:bottom w:val="single" w:sz="4" w:space="0" w:color="auto"/>
              <w:right w:val="single" w:sz="4" w:space="0" w:color="auto"/>
            </w:tcBorders>
            <w:shd w:val="clear" w:color="auto" w:fill="auto"/>
            <w:vAlign w:val="center"/>
            <w:hideMark/>
          </w:tcPr>
          <w:p w14:paraId="5A24E375"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5,230,783</w:t>
            </w:r>
          </w:p>
        </w:tc>
        <w:tc>
          <w:tcPr>
            <w:tcW w:w="857" w:type="dxa"/>
            <w:tcBorders>
              <w:top w:val="nil"/>
              <w:left w:val="nil"/>
              <w:bottom w:val="single" w:sz="4" w:space="0" w:color="auto"/>
              <w:right w:val="single" w:sz="4" w:space="0" w:color="auto"/>
            </w:tcBorders>
            <w:shd w:val="clear" w:color="auto" w:fill="auto"/>
            <w:vAlign w:val="center"/>
            <w:hideMark/>
          </w:tcPr>
          <w:p w14:paraId="5436F3CB" w14:textId="77777777" w:rsidR="00F970D2" w:rsidRPr="006050E8" w:rsidRDefault="00F970D2" w:rsidP="001224CB">
            <w:pPr>
              <w:jc w:val="right"/>
              <w:rPr>
                <w:vanish/>
                <w:color w:val="000000"/>
                <w:sz w:val="16"/>
                <w:szCs w:val="16"/>
                <w:lang w:val="es-ES"/>
              </w:rPr>
            </w:pPr>
            <w:r w:rsidRPr="006050E8">
              <w:rPr>
                <w:vanish/>
                <w:color w:val="000000"/>
                <w:sz w:val="16"/>
                <w:lang w:val="es-ES" w:eastAsia="en-CA"/>
              </w:rPr>
              <w:t>3,956,470</w:t>
            </w:r>
          </w:p>
        </w:tc>
        <w:tc>
          <w:tcPr>
            <w:tcW w:w="960" w:type="dxa"/>
            <w:tcBorders>
              <w:top w:val="nil"/>
              <w:left w:val="nil"/>
              <w:bottom w:val="single" w:sz="4" w:space="0" w:color="auto"/>
              <w:right w:val="single" w:sz="4" w:space="0" w:color="auto"/>
            </w:tcBorders>
            <w:shd w:val="clear" w:color="auto" w:fill="auto"/>
            <w:vAlign w:val="center"/>
            <w:hideMark/>
          </w:tcPr>
          <w:p w14:paraId="5B3388FD" w14:textId="77777777" w:rsidR="00F970D2" w:rsidRPr="006050E8" w:rsidRDefault="00F970D2" w:rsidP="001224CB">
            <w:pPr>
              <w:jc w:val="right"/>
              <w:rPr>
                <w:vanish/>
                <w:sz w:val="16"/>
                <w:szCs w:val="16"/>
                <w:lang w:val="es-ES"/>
              </w:rPr>
            </w:pPr>
            <w:r w:rsidRPr="006050E8">
              <w:rPr>
                <w:vanish/>
                <w:sz w:val="16"/>
                <w:lang w:val="es-ES" w:eastAsia="en-CA"/>
              </w:rPr>
              <w:t>3,365,723</w:t>
            </w:r>
          </w:p>
        </w:tc>
        <w:tc>
          <w:tcPr>
            <w:tcW w:w="856" w:type="dxa"/>
            <w:tcBorders>
              <w:top w:val="nil"/>
              <w:left w:val="nil"/>
              <w:bottom w:val="single" w:sz="4" w:space="0" w:color="auto"/>
              <w:right w:val="single" w:sz="4" w:space="0" w:color="auto"/>
            </w:tcBorders>
            <w:shd w:val="clear" w:color="auto" w:fill="auto"/>
            <w:vAlign w:val="center"/>
            <w:hideMark/>
          </w:tcPr>
          <w:p w14:paraId="631B2E5F" w14:textId="77777777" w:rsidR="00F970D2" w:rsidRPr="006050E8" w:rsidRDefault="00F970D2" w:rsidP="001224CB">
            <w:pPr>
              <w:jc w:val="right"/>
              <w:rPr>
                <w:vanish/>
                <w:sz w:val="16"/>
                <w:szCs w:val="16"/>
                <w:lang w:val="es-ES"/>
              </w:rPr>
            </w:pPr>
            <w:r w:rsidRPr="006050E8">
              <w:rPr>
                <w:vanish/>
                <w:sz w:val="16"/>
                <w:lang w:val="es-ES" w:eastAsia="en-CA"/>
              </w:rPr>
              <w:t>2,331,723</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24CED1E6" w14:textId="77777777" w:rsidR="00F970D2" w:rsidRPr="006050E8" w:rsidRDefault="00F970D2" w:rsidP="001224CB">
            <w:pPr>
              <w:jc w:val="right"/>
              <w:rPr>
                <w:vanish/>
                <w:sz w:val="16"/>
                <w:szCs w:val="16"/>
                <w:lang w:val="es-ES"/>
              </w:rPr>
            </w:pPr>
            <w:r w:rsidRPr="006050E8">
              <w:rPr>
                <w:vanish/>
                <w:sz w:val="16"/>
                <w:lang w:val="es-ES" w:eastAsia="en-CA"/>
              </w:rPr>
              <w:t>1,747,435</w:t>
            </w:r>
          </w:p>
        </w:tc>
        <w:tc>
          <w:tcPr>
            <w:tcW w:w="856" w:type="dxa"/>
            <w:tcBorders>
              <w:top w:val="nil"/>
              <w:left w:val="nil"/>
              <w:bottom w:val="single" w:sz="4" w:space="0" w:color="auto"/>
              <w:right w:val="single" w:sz="4" w:space="0" w:color="auto"/>
            </w:tcBorders>
            <w:shd w:val="clear" w:color="auto" w:fill="auto"/>
            <w:vAlign w:val="center"/>
          </w:tcPr>
          <w:p w14:paraId="2D5720CC" w14:textId="77777777" w:rsidR="00F970D2" w:rsidRPr="006050E8" w:rsidRDefault="00F970D2" w:rsidP="001224CB">
            <w:pPr>
              <w:jc w:val="right"/>
              <w:rPr>
                <w:vanish/>
                <w:sz w:val="16"/>
                <w:szCs w:val="16"/>
                <w:lang w:val="es-ES" w:eastAsia="en-CA"/>
              </w:rPr>
            </w:pPr>
          </w:p>
        </w:tc>
        <w:tc>
          <w:tcPr>
            <w:tcW w:w="910" w:type="dxa"/>
            <w:tcBorders>
              <w:top w:val="nil"/>
              <w:left w:val="nil"/>
              <w:bottom w:val="single" w:sz="4" w:space="0" w:color="auto"/>
              <w:right w:val="single" w:sz="4" w:space="0" w:color="auto"/>
            </w:tcBorders>
            <w:shd w:val="clear" w:color="auto" w:fill="auto"/>
            <w:noWrap/>
            <w:vAlign w:val="center"/>
            <w:hideMark/>
          </w:tcPr>
          <w:p w14:paraId="02920D73" w14:textId="77777777" w:rsidR="00F970D2" w:rsidRPr="006050E8" w:rsidRDefault="00F970D2" w:rsidP="001224CB">
            <w:pPr>
              <w:jc w:val="right"/>
              <w:rPr>
                <w:vanish/>
                <w:sz w:val="16"/>
                <w:szCs w:val="16"/>
                <w:lang w:val="es-ES"/>
              </w:rPr>
            </w:pPr>
            <w:r w:rsidRPr="006050E8">
              <w:rPr>
                <w:vanish/>
                <w:sz w:val="16"/>
                <w:lang w:val="es-ES" w:eastAsia="en-CA"/>
              </w:rPr>
              <w:t>1,775,235</w:t>
            </w:r>
          </w:p>
        </w:tc>
        <w:tc>
          <w:tcPr>
            <w:tcW w:w="856" w:type="dxa"/>
            <w:tcBorders>
              <w:top w:val="nil"/>
              <w:left w:val="nil"/>
              <w:bottom w:val="single" w:sz="4" w:space="0" w:color="auto"/>
              <w:right w:val="single" w:sz="4" w:space="0" w:color="auto"/>
            </w:tcBorders>
            <w:shd w:val="clear" w:color="auto" w:fill="auto"/>
            <w:noWrap/>
            <w:hideMark/>
          </w:tcPr>
          <w:p w14:paraId="381AB85D" w14:textId="77777777" w:rsidR="00F970D2" w:rsidRPr="006050E8" w:rsidRDefault="00F970D2" w:rsidP="001224CB">
            <w:pPr>
              <w:jc w:val="left"/>
              <w:rPr>
                <w:vanish/>
                <w:color w:val="000000"/>
                <w:sz w:val="16"/>
                <w:szCs w:val="16"/>
                <w:lang w:val="es-ES"/>
              </w:rPr>
            </w:pPr>
            <w:r w:rsidRPr="006050E8">
              <w:rPr>
                <w:vanish/>
                <w:color w:val="000000"/>
                <w:sz w:val="16"/>
                <w:lang w:val="es-ES" w:eastAsia="en-CA"/>
              </w:rPr>
              <w:t> </w:t>
            </w:r>
          </w:p>
        </w:tc>
      </w:tr>
    </w:tbl>
    <w:p w14:paraId="7B9CAA67" w14:textId="77777777" w:rsidR="00F970D2" w:rsidRPr="006050E8" w:rsidRDefault="00F970D2" w:rsidP="00F970D2">
      <w:pPr>
        <w:keepNext/>
        <w:keepLines/>
        <w:rPr>
          <w:caps/>
          <w:vanish/>
          <w:sz w:val="16"/>
          <w:szCs w:val="16"/>
          <w:lang w:val="es-ES"/>
        </w:rPr>
      </w:pPr>
      <w:r w:rsidRPr="006050E8">
        <w:rPr>
          <w:vanish/>
          <w:sz w:val="16"/>
          <w:lang w:val="es-ES"/>
        </w:rPr>
        <w:t>* For 2021, including agency support costs approved at the 87</w:t>
      </w:r>
      <w:r w:rsidRPr="006050E8">
        <w:rPr>
          <w:vanish/>
          <w:sz w:val="16"/>
          <w:vertAlign w:val="superscript"/>
          <w:lang w:val="es-ES"/>
        </w:rPr>
        <w:t>th</w:t>
      </w:r>
      <w:r w:rsidRPr="006050E8">
        <w:rPr>
          <w:vanish/>
          <w:sz w:val="16"/>
          <w:lang w:val="es-ES"/>
        </w:rPr>
        <w:t xml:space="preserve"> meeting, and the value of agency support costs and core unit costs from submissions to the 88</w:t>
      </w:r>
      <w:r w:rsidRPr="006050E8">
        <w:rPr>
          <w:vanish/>
          <w:sz w:val="16"/>
          <w:vertAlign w:val="superscript"/>
          <w:lang w:val="es-ES"/>
        </w:rPr>
        <w:t>th</w:t>
      </w:r>
      <w:r w:rsidRPr="006050E8">
        <w:rPr>
          <w:vanish/>
          <w:sz w:val="16"/>
          <w:lang w:val="es-ES"/>
        </w:rPr>
        <w:t> meeting.</w:t>
      </w:r>
    </w:p>
    <w:p w14:paraId="444220D6" w14:textId="77777777" w:rsidR="00F970D2" w:rsidRPr="006050E8" w:rsidRDefault="00F970D2" w:rsidP="00F970D2">
      <w:pPr>
        <w:keepNext/>
        <w:keepLines/>
        <w:rPr>
          <w:vanish/>
          <w:sz w:val="16"/>
          <w:szCs w:val="16"/>
          <w:lang w:val="es-ES"/>
        </w:rPr>
      </w:pPr>
      <w:r w:rsidRPr="006050E8">
        <w:rPr>
          <w:vanish/>
          <w:sz w:val="16"/>
          <w:lang w:val="es-ES"/>
        </w:rPr>
        <w:t>** Excludes any balance from years prior to 2002.</w:t>
      </w:r>
    </w:p>
    <w:p w14:paraId="37F28F7A" w14:textId="77777777" w:rsidR="00F970D2" w:rsidRPr="006050E8" w:rsidRDefault="00F970D2" w:rsidP="00F970D2">
      <w:pPr>
        <w:rPr>
          <w:vanish/>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F970D2" w:rsidRPr="006050E8" w14:paraId="77D8121A" w14:textId="77777777" w:rsidTr="001224CB">
        <w:trPr>
          <w:jc w:val="center"/>
          <w:hidden/>
        </w:trPr>
        <w:tc>
          <w:tcPr>
            <w:tcW w:w="1915" w:type="dxa"/>
          </w:tcPr>
          <w:p w14:paraId="6F771E13" w14:textId="77777777" w:rsidR="00F970D2" w:rsidRPr="006050E8" w:rsidRDefault="00F970D2" w:rsidP="001224CB">
            <w:pPr>
              <w:rPr>
                <w:vanish/>
                <w:lang w:val="es-ES"/>
              </w:rPr>
            </w:pPr>
          </w:p>
        </w:tc>
        <w:tc>
          <w:tcPr>
            <w:tcW w:w="1915" w:type="dxa"/>
          </w:tcPr>
          <w:p w14:paraId="47C9A82D" w14:textId="77777777" w:rsidR="00F970D2" w:rsidRPr="006050E8" w:rsidRDefault="00F970D2" w:rsidP="001224CB">
            <w:pPr>
              <w:rPr>
                <w:vanish/>
                <w:lang w:val="es-ES"/>
              </w:rPr>
            </w:pPr>
          </w:p>
        </w:tc>
        <w:tc>
          <w:tcPr>
            <w:tcW w:w="1915" w:type="dxa"/>
            <w:tcBorders>
              <w:bottom w:val="single" w:sz="4" w:space="0" w:color="auto"/>
            </w:tcBorders>
          </w:tcPr>
          <w:p w14:paraId="1E45A822" w14:textId="77777777" w:rsidR="00F970D2" w:rsidRPr="006050E8" w:rsidRDefault="00F970D2" w:rsidP="001224CB">
            <w:pPr>
              <w:rPr>
                <w:vanish/>
                <w:lang w:val="es-ES"/>
              </w:rPr>
            </w:pPr>
          </w:p>
        </w:tc>
        <w:tc>
          <w:tcPr>
            <w:tcW w:w="1915" w:type="dxa"/>
          </w:tcPr>
          <w:p w14:paraId="714FD566" w14:textId="77777777" w:rsidR="00F970D2" w:rsidRPr="006050E8" w:rsidRDefault="00F970D2" w:rsidP="001224CB">
            <w:pPr>
              <w:rPr>
                <w:vanish/>
                <w:lang w:val="es-ES"/>
              </w:rPr>
            </w:pPr>
          </w:p>
        </w:tc>
        <w:tc>
          <w:tcPr>
            <w:tcW w:w="1916" w:type="dxa"/>
          </w:tcPr>
          <w:p w14:paraId="1EBA9AF9" w14:textId="77777777" w:rsidR="00F970D2" w:rsidRPr="006050E8" w:rsidRDefault="00F970D2" w:rsidP="001224CB">
            <w:pPr>
              <w:rPr>
                <w:vanish/>
                <w:lang w:val="es-ES"/>
              </w:rPr>
            </w:pPr>
          </w:p>
        </w:tc>
      </w:tr>
    </w:tbl>
    <w:p w14:paraId="373B72DF" w14:textId="77777777" w:rsidR="00F970D2" w:rsidRPr="00DA2A45" w:rsidRDefault="00F970D2" w:rsidP="00F970D2">
      <w:pPr>
        <w:rPr>
          <w:vanish/>
        </w:rPr>
      </w:pPr>
    </w:p>
    <w:p w14:paraId="7EB29F90" w14:textId="77777777" w:rsidR="00F970D2" w:rsidRPr="00DA2A45" w:rsidRDefault="00F970D2" w:rsidP="00F970D2">
      <w:pPr>
        <w:rPr>
          <w:vanish/>
        </w:rPr>
      </w:pPr>
    </w:p>
    <w:p w14:paraId="2EB9E760" w14:textId="7A339063" w:rsidR="0087455A" w:rsidRPr="00B76AEE" w:rsidRDefault="0087455A" w:rsidP="00B76AEE">
      <w:pPr>
        <w:jc w:val="center"/>
        <w:rPr>
          <w:b/>
          <w:bCs/>
          <w:lang w:val="es-ES"/>
        </w:rPr>
      </w:pPr>
    </w:p>
    <w:sectPr w:rsidR="0087455A" w:rsidRPr="00B76AEE" w:rsidSect="00386D07">
      <w:headerReference w:type="even" r:id="rId17"/>
      <w:headerReference w:type="default" r:id="rId18"/>
      <w:headerReference w:type="first" r:id="rId19"/>
      <w:footerReference w:type="first" r:id="rId20"/>
      <w:pgSz w:w="15840" w:h="12240" w:orient="landscape" w:code="1"/>
      <w:pgMar w:top="1440" w:right="720" w:bottom="1440" w:left="864" w:header="720" w:footer="475"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D49C" w14:textId="77777777" w:rsidR="00333649" w:rsidRDefault="00333649">
      <w:r>
        <w:separator/>
      </w:r>
    </w:p>
  </w:endnote>
  <w:endnote w:type="continuationSeparator" w:id="0">
    <w:p w14:paraId="0BBD1753" w14:textId="77777777" w:rsidR="00333649" w:rsidRDefault="0033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447B" w14:textId="11E9ECF9" w:rsidR="00EA2BA9" w:rsidRPr="0033525D" w:rsidRDefault="00EA2BA9">
    <w:pPr>
      <w:jc w:val="center"/>
    </w:pPr>
    <w:r>
      <w:fldChar w:fldCharType="begin"/>
    </w:r>
    <w:r>
      <w:instrText xml:space="preserve"> PAGE </w:instrText>
    </w:r>
    <w:r>
      <w:fldChar w:fldCharType="separate"/>
    </w:r>
    <w:r w:rsidR="00AD4A60">
      <w:rPr>
        <w:noProof/>
      </w:rPr>
      <w:t>12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0889" w14:textId="064185E2" w:rsidR="00EA2BA9" w:rsidRPr="0033525D" w:rsidRDefault="00EA2BA9">
    <w:pPr>
      <w:jc w:val="center"/>
    </w:pPr>
    <w:r>
      <w:fldChar w:fldCharType="begin"/>
    </w:r>
    <w:r>
      <w:instrText xml:space="preserve"> PAGE </w:instrText>
    </w:r>
    <w:r>
      <w:fldChar w:fldCharType="separate"/>
    </w:r>
    <w:r w:rsidR="00AD4A60">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9568" w14:textId="77777777" w:rsidR="00EA2BA9" w:rsidRPr="00467010" w:rsidRDefault="00EA2BA9" w:rsidP="00EA2BA9">
    <w:pPr>
      <w:pBdr>
        <w:top w:val="single" w:sz="4" w:space="1" w:color="auto"/>
        <w:left w:val="single" w:sz="4" w:space="4" w:color="auto"/>
        <w:bottom w:val="single" w:sz="4" w:space="1" w:color="auto"/>
        <w:right w:val="single" w:sz="4" w:space="4" w:color="auto"/>
      </w:pBdr>
      <w:jc w:val="center"/>
      <w:rPr>
        <w:sz w:val="16"/>
        <w:szCs w:val="16"/>
        <w:lang w:val="es-ES"/>
      </w:rPr>
    </w:pPr>
    <w:r w:rsidRPr="00467010">
      <w:rPr>
        <w:sz w:val="16"/>
        <w:szCs w:val="20"/>
        <w:lang w:val="es-ES"/>
      </w:rPr>
      <w:t>Los documentos previos al período de sesiones del Comité Ejecutivo del Fondo Multilateral para la aplicación del Protocolo de Montreal no van en perjuicio de cualquier decisión que el Comité Ejecutivo pudiera adoptar con posterioridad a la emisión de los mismos.</w:t>
    </w:r>
  </w:p>
  <w:p w14:paraId="45BEA23A" w14:textId="77777777" w:rsidR="00EA2BA9" w:rsidRPr="00467010" w:rsidRDefault="00EA2BA9" w:rsidP="00EA2BA9">
    <w:pPr>
      <w:pBdr>
        <w:top w:val="single" w:sz="4" w:space="1" w:color="auto"/>
        <w:left w:val="single" w:sz="4" w:space="4" w:color="auto"/>
        <w:bottom w:val="single" w:sz="4" w:space="1" w:color="auto"/>
        <w:right w:val="single" w:sz="4" w:space="4" w:color="auto"/>
      </w:pBdr>
      <w:jc w:val="center"/>
      <w:rPr>
        <w:sz w:val="16"/>
        <w:szCs w:val="16"/>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84727"/>
      <w:docPartObj>
        <w:docPartGallery w:val="Page Numbers (Bottom of Page)"/>
        <w:docPartUnique/>
      </w:docPartObj>
    </w:sdtPr>
    <w:sdtEndPr>
      <w:rPr>
        <w:noProof/>
      </w:rPr>
    </w:sdtEndPr>
    <w:sdtContent>
      <w:p w14:paraId="5C9C05D0" w14:textId="4F25BC26" w:rsidR="001564EE" w:rsidRDefault="005B1BC5">
        <w:pPr>
          <w:pStyle w:val="Footer"/>
          <w:jc w:val="center"/>
        </w:pPr>
        <w:r>
          <w:fldChar w:fldCharType="begin"/>
        </w:r>
        <w:r>
          <w:instrText xml:space="preserve"> PAGE   \* MERGEFORMAT </w:instrText>
        </w:r>
        <w:r>
          <w:fldChar w:fldCharType="separate"/>
        </w:r>
        <w:r w:rsidR="00AD4A60">
          <w:rPr>
            <w:noProof/>
          </w:rPr>
          <w:t>1</w:t>
        </w:r>
        <w:r>
          <w:fldChar w:fldCharType="end"/>
        </w:r>
      </w:p>
    </w:sdtContent>
  </w:sdt>
  <w:p w14:paraId="6897EF0D" w14:textId="77777777" w:rsidR="001564EE" w:rsidRPr="00386D07" w:rsidRDefault="00333649" w:rsidP="00386D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A650" w14:textId="77777777" w:rsidR="00333649" w:rsidRDefault="00333649">
      <w:r>
        <w:separator/>
      </w:r>
    </w:p>
  </w:footnote>
  <w:footnote w:type="continuationSeparator" w:id="0">
    <w:p w14:paraId="6525285F" w14:textId="77777777" w:rsidR="00333649" w:rsidRDefault="00333649">
      <w:r>
        <w:continuationSeparator/>
      </w:r>
    </w:p>
  </w:footnote>
  <w:footnote w:id="1">
    <w:p w14:paraId="7B57B75F" w14:textId="77777777" w:rsidR="00EA2BA9" w:rsidRPr="00B76AEE" w:rsidRDefault="00EA2BA9" w:rsidP="001174E9">
      <w:pPr>
        <w:pStyle w:val="FootnoteText"/>
        <w:rPr>
          <w:lang w:val="es-ES"/>
        </w:rPr>
      </w:pPr>
      <w:r w:rsidRPr="00B76AEE">
        <w:rPr>
          <w:rStyle w:val="FootnoteReference"/>
          <w:lang w:val="es-ES"/>
        </w:rPr>
        <w:footnoteRef/>
      </w:r>
      <w:r w:rsidRPr="00B76AEE">
        <w:rPr>
          <w:lang w:val="es-ES"/>
        </w:rPr>
        <w:t xml:space="preserve"> En noviembre y diciembre de 2021 se celebrarán reuniones en línea y se llevará a cabo el proceso de aprobación entre períodos de sesiones, debido al coronavirus (COVID-19).</w:t>
      </w:r>
    </w:p>
  </w:footnote>
  <w:footnote w:id="2">
    <w:p w14:paraId="0E9EF883" w14:textId="52B017FB" w:rsidR="00B76AEE" w:rsidRDefault="00B76AEE" w:rsidP="00B76AEE">
      <w:pPr>
        <w:pStyle w:val="Heading1"/>
        <w:spacing w:after="0"/>
        <w:rPr>
          <w:sz w:val="20"/>
          <w:lang w:val="es-ES"/>
        </w:rPr>
      </w:pPr>
      <w:r w:rsidRPr="00B76AEE">
        <w:rPr>
          <w:rStyle w:val="FootnoteReference"/>
          <w:lang w:val="es-ES"/>
        </w:rPr>
        <w:footnoteRef/>
      </w:r>
      <w:r w:rsidRPr="00B76AEE">
        <w:rPr>
          <w:lang w:val="es-ES"/>
        </w:rPr>
        <w:t xml:space="preserve"> </w:t>
      </w:r>
      <w:r w:rsidRPr="00B76AEE">
        <w:rPr>
          <w:sz w:val="20"/>
          <w:lang w:val="es-ES"/>
        </w:rPr>
        <w:t>La asignación de costos administrativos para el PNUD, la ONUDI y el Banco Mundial cambió en noviembre de 1998 (decisión 26/41) de una tasa fija del 13% aplicada a todos los proyectos a una escala graduada. Los costos cambiaron nuevamente en diciembre de 2002 a una escala más baja que incluía una subvención de financiación básica unitaria de 1,5 millones de $EUA por organismo (decisión 38/68). Se han registrado aumentos anuales para la mayoría de los organismos desde la 46ª reunión. En la decisión 41/94 d) se pidió a la Secretaría que continuara supervisando anualmente el régimen de costos administrativos. En la decisión 56/41 se prorrogó la aplicación de la decisión 38/68 y su régimen de costos administrativos, que se aplicaría al trienio 2009-2011. En la 67ª reunión, el Comité Ejecutivo decidió aplicar un nuevo régimen de costos administrativos para el trienio 2012</w:t>
      </w:r>
      <w:r w:rsidR="00F970D2">
        <w:rPr>
          <w:sz w:val="20"/>
          <w:lang w:val="es-ES"/>
        </w:rPr>
        <w:noBreakHyphen/>
      </w:r>
      <w:r w:rsidRPr="00B76AEE">
        <w:rPr>
          <w:sz w:val="20"/>
          <w:lang w:val="es-ES"/>
        </w:rPr>
        <w:t>2014 al PNUD, a la ONUDI y al Banco Mundial, que constaría de la financiación de unidad central anual para la que se podría considerar un incremento anual del 0,7% como máximo, sujeto a un examen anual, y aplicar los siguientes honorarios de organismo sobre la base de la financiación por organismo: un honorario de organismo del 7% para proyectos cuyo costo supere 250 000 $EUA, incluidos los proyectos de fortalecimiento institucional y la preparación de proyectos; un honorario de organismo del 9% para proyectos cuyo costo sea igual o inferior a 250 000 $EUA; un honorario de organismo no mayor que el 6,5%, que se determinaría caso a caso, aplicable a proyectos del sector de producción (decisión 67/15 b)). En la 73ª reunión, el Comité Ejecutivo decidió aplicar el régimen de costos administrativos vigente para los organismos bilaterales y de ejecución durante el trienio 2015</w:t>
      </w:r>
      <w:r w:rsidR="00F970D2">
        <w:rPr>
          <w:sz w:val="20"/>
          <w:lang w:val="es-ES"/>
        </w:rPr>
        <w:noBreakHyphen/>
      </w:r>
      <w:r w:rsidRPr="00B76AEE">
        <w:rPr>
          <w:sz w:val="20"/>
          <w:lang w:val="es-ES"/>
        </w:rPr>
        <w:t>2017; solicitar un examen del régimen de costos administrativos y de su presupuesto de financiación de las dependencias básicas en la primera reunión de 2017 (decisión 73/62 b) y c)). En la 79ª reunión, el Comité Ejecutivo decidió mantener el régimen de costos administrativos vigente del Fondo Multilateral durante el trienio 2018</w:t>
      </w:r>
      <w:r w:rsidRPr="00B76AEE">
        <w:rPr>
          <w:sz w:val="20"/>
          <w:lang w:val="es-ES"/>
        </w:rPr>
        <w:noBreakHyphen/>
        <w:t>2020; y pedir al PNUD, la ONUDI y el Banco Mundial que presentaran sus informes anuales sobre financiación de unidad central utilizando el formato revisado (decisión 79/41 c) y e)).</w:t>
      </w:r>
    </w:p>
    <w:p w14:paraId="4894D58B" w14:textId="05677CDC" w:rsidR="00467010" w:rsidRDefault="00467010" w:rsidP="00467010">
      <w:pPr>
        <w:rPr>
          <w:lang w:val="es-ES"/>
        </w:rPr>
      </w:pPr>
    </w:p>
    <w:p w14:paraId="6E2DBB37" w14:textId="77777777" w:rsidR="00467010" w:rsidRPr="00467010" w:rsidRDefault="00467010" w:rsidP="00467010">
      <w:pPr>
        <w:rPr>
          <w:lang w:val="es-ES"/>
        </w:rPr>
      </w:pPr>
    </w:p>
  </w:footnote>
  <w:footnote w:id="3">
    <w:p w14:paraId="03B0790F"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Los organismos utilizaron el formato revisado para la presentación de informes sobre los costos administrativos que figura en el Anexo XVIII del documento UNEP/</w:t>
      </w:r>
      <w:proofErr w:type="spellStart"/>
      <w:r w:rsidRPr="00B76AEE">
        <w:rPr>
          <w:lang w:val="es-ES"/>
        </w:rPr>
        <w:t>OzL.Pro</w:t>
      </w:r>
      <w:proofErr w:type="spellEnd"/>
      <w:r w:rsidRPr="00B76AEE">
        <w:rPr>
          <w:lang w:val="es-ES"/>
        </w:rPr>
        <w:t>/</w:t>
      </w:r>
      <w:proofErr w:type="spellStart"/>
      <w:r w:rsidRPr="00B76AEE">
        <w:rPr>
          <w:lang w:val="es-ES"/>
        </w:rPr>
        <w:t>ExCom</w:t>
      </w:r>
      <w:proofErr w:type="spellEnd"/>
      <w:r w:rsidRPr="00B76AEE">
        <w:rPr>
          <w:lang w:val="es-ES"/>
        </w:rPr>
        <w:t>/79/51, de conformidad con la decisión 79/41 e).</w:t>
      </w:r>
    </w:p>
  </w:footnote>
  <w:footnote w:id="4">
    <w:p w14:paraId="2420E228"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El PNUD presentó originalmente una solicitud de 2 444 912 $EUA para su unidad central de 2022, principalmente debido al personal adicional para gestionar las actividades de reducción de los HFC. Durante el proceso de examen, la Secretaría informó al PNUD que las políticas actuales de financiación de unidad central no permiten considerar un aumento superior al 0,7%. Posteriormente, el PNUD ajustó la solicitud de financiación del modo correspondiente. </w:t>
      </w:r>
    </w:p>
  </w:footnote>
  <w:footnote w:id="5">
    <w:p w14:paraId="1C90EABB"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En cinco ocasiones durante los últimos nueve años el nivel de costos de unidad central ha sido superior a 800 000 $EUA: 837 220 $EUA en 2012, 849 676 $EUA en 2013, 929 036 $EUA en 2017, 1 053 880 $EUA en 2018, 904 918 $EUA en 2019 y 601 414 $EUA en 2020. En 2021, el PNUD excederá sus costos en la suma de 673 909 $EUA (alrededor del 31,9% por encima del presupuesto).  </w:t>
      </w:r>
    </w:p>
  </w:footnote>
  <w:footnote w:id="6">
    <w:p w14:paraId="7E89C55F"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La ONUDI nunca ha contado con un sistema de contabilidad de centro de costos apropiado que facilite la presentación de informes sobre la base de datos reales con registros de auditoría. La ONUDI ha indicado que en 2017 se estableció una armonización para indicar los costos administrativos totales, incluidos aquellos que, con arreglo a la metodología actual de la ONUDI, se podrían haber asignado como posibles costos administrativos relacionados con los proyectos.</w:t>
      </w:r>
    </w:p>
  </w:footnote>
  <w:footnote w:id="7">
    <w:p w14:paraId="0665CB9F"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La ONUDI ha solicitado que se considere el supuesto para su modelo de costos administrativos y en las solicitudes futuras de financiación de unidad central a fin de proporcionar información sobre los costos administrativos que distinga las actividades relacionadas con los proyectos de los costos administrativos. Posteriormente, en la decisión 59/28 c), el Comité Ejecutivo tomó nota de la metodología para identificar los costos relacionados con los proyectos en el informe anual de la ONUDI sobre los costos administrativos (UNEP/</w:t>
      </w:r>
      <w:proofErr w:type="spellStart"/>
      <w:r w:rsidRPr="00B76AEE">
        <w:rPr>
          <w:lang w:val="es-ES"/>
        </w:rPr>
        <w:t>OzL.Pro</w:t>
      </w:r>
      <w:proofErr w:type="spellEnd"/>
      <w:r w:rsidRPr="00B76AEE">
        <w:rPr>
          <w:lang w:val="es-ES"/>
        </w:rPr>
        <w:t>/</w:t>
      </w:r>
      <w:proofErr w:type="spellStart"/>
      <w:r w:rsidRPr="00B76AEE">
        <w:rPr>
          <w:lang w:val="es-ES"/>
        </w:rPr>
        <w:t>ExCom</w:t>
      </w:r>
      <w:proofErr w:type="spellEnd"/>
      <w:r w:rsidRPr="00B76AEE">
        <w:rPr>
          <w:lang w:val="es-ES"/>
        </w:rPr>
        <w:t xml:space="preserve">/60/51). </w:t>
      </w:r>
    </w:p>
  </w:footnote>
  <w:footnote w:id="8">
    <w:p w14:paraId="0A413ADA"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La 42ª reunión del Grupo de trabajo de composición abierta (Montreal, Canadá, 13 a 17 de julio de 2020) y la 12ª reunión de la Conferencia de las Partes en el Convenio de Viena para la Protección de la Capa de Ozono y la 32ª Reunión de las Partes en el Protocolo de Montreal relativo a las Sustancias que Agotan la Capa de Ozono, celebradas de manera conjunta (</w:t>
      </w:r>
      <w:proofErr w:type="spellStart"/>
      <w:r w:rsidRPr="00B76AEE">
        <w:rPr>
          <w:lang w:val="es-ES"/>
        </w:rPr>
        <w:t>Tashkent</w:t>
      </w:r>
      <w:proofErr w:type="spellEnd"/>
      <w:r w:rsidRPr="00B76AEE">
        <w:rPr>
          <w:lang w:val="es-ES"/>
        </w:rPr>
        <w:t>, Uzbekistán, 23 a 27 de noviembre de 2020).</w:t>
      </w:r>
    </w:p>
  </w:footnote>
  <w:footnote w:id="9">
    <w:p w14:paraId="037B777E"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Reunión en línea, celebrada del 23 al 27 de noviembre de 2020.</w:t>
      </w:r>
    </w:p>
  </w:footnote>
  <w:footnote w:id="10">
    <w:p w14:paraId="32A3DC64" w14:textId="49E4D018"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En línea, 23</w:t>
      </w:r>
      <w:r w:rsidR="00F970D2">
        <w:rPr>
          <w:lang w:val="es-ES"/>
        </w:rPr>
        <w:noBreakHyphen/>
      </w:r>
      <w:r w:rsidRPr="00B76AEE">
        <w:rPr>
          <w:lang w:val="es-ES"/>
        </w:rPr>
        <w:t>29 de octubre de 2021.</w:t>
      </w:r>
    </w:p>
  </w:footnote>
  <w:footnote w:id="11">
    <w:p w14:paraId="534AA3F8"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En línea, 29 de octubre de 2021.</w:t>
      </w:r>
    </w:p>
  </w:footnote>
  <w:footnote w:id="12">
    <w:p w14:paraId="71815169"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Alemania, Australia, Austria, Bélgica, Bulgaria, Chipre, Croacia, Dinamarca, Eslovaquia, Eslovenia, España, Estonia, Finlandia, Francia, Grecia, Hungría, Irlanda, Italia, Letonia, Lituania, Luxemburgo, Malta, Noruega, Nueva Zelandia, Países Bajos, Polonia, Portugal, Reino Unido de Gran Bretaña e Irlanda del Norte, República Checa, Rumania y Suecia.</w:t>
      </w:r>
    </w:p>
  </w:footnote>
  <w:footnote w:id="13">
    <w:p w14:paraId="091D0DB4" w14:textId="77777777" w:rsidR="00B76AEE" w:rsidRPr="00B76AEE" w:rsidRDefault="00B76AEE" w:rsidP="00B76AEE">
      <w:pPr>
        <w:pStyle w:val="FootnoteText"/>
        <w:rPr>
          <w:lang w:val="es-ES"/>
        </w:rPr>
      </w:pPr>
      <w:r w:rsidRPr="00B76AEE">
        <w:rPr>
          <w:rStyle w:val="FootnoteReference"/>
          <w:lang w:val="es-ES"/>
        </w:rPr>
        <w:footnoteRef/>
      </w:r>
      <w:r w:rsidRPr="00B76AEE">
        <w:rPr>
          <w:lang w:val="es-ES"/>
        </w:rPr>
        <w:t xml:space="preserve"> UNEP/</w:t>
      </w:r>
      <w:proofErr w:type="spellStart"/>
      <w:r w:rsidRPr="00B76AEE">
        <w:rPr>
          <w:lang w:val="es-ES"/>
        </w:rPr>
        <w:t>OzL.Pro</w:t>
      </w:r>
      <w:proofErr w:type="spellEnd"/>
      <w:r w:rsidRPr="00B76AEE">
        <w:rPr>
          <w:lang w:val="es-ES"/>
        </w:rPr>
        <w:t>/</w:t>
      </w:r>
      <w:proofErr w:type="spellStart"/>
      <w:r w:rsidRPr="00B76AEE">
        <w:rPr>
          <w:lang w:val="es-ES"/>
        </w:rPr>
        <w:t>ExCom</w:t>
      </w:r>
      <w:proofErr w:type="spellEnd"/>
      <w:r w:rsidRPr="00B76AEE">
        <w:rPr>
          <w:lang w:val="es-ES"/>
        </w:rPr>
        <w:t>/88/68.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B436" w14:textId="4BB1476B" w:rsidR="00EA2BA9" w:rsidRPr="0033525D" w:rsidRDefault="00333649">
    <w:r>
      <w:fldChar w:fldCharType="begin"/>
    </w:r>
    <w:r>
      <w:instrText xml:space="preserve"> DOCPROPERTY "Document number"  \* MERGEFORMAT </w:instrText>
    </w:r>
    <w:r>
      <w:fldChar w:fldCharType="separate"/>
    </w:r>
    <w:r w:rsidR="00AD4A60">
      <w:t>UNEP/</w:t>
    </w:r>
    <w:proofErr w:type="spellStart"/>
    <w:r w:rsidR="00AD4A60">
      <w:t>OzL.Pro</w:t>
    </w:r>
    <w:proofErr w:type="spellEnd"/>
    <w:r w:rsidR="00AD4A60">
      <w:t>/</w:t>
    </w:r>
    <w:proofErr w:type="spellStart"/>
    <w:r w:rsidR="00AD4A60">
      <w:t>ExCom</w:t>
    </w:r>
    <w:proofErr w:type="spellEnd"/>
    <w:r w:rsidR="00AD4A60">
      <w:t>/88/35</w:t>
    </w:r>
    <w:r>
      <w:fldChar w:fldCharType="end"/>
    </w:r>
    <w:bookmarkStart w:id="0" w:name="_GoBack"/>
    <w:bookmarkEnd w:id="0"/>
  </w:p>
  <w:p w14:paraId="07454966" w14:textId="77777777" w:rsidR="00EA2BA9" w:rsidRPr="0033525D" w:rsidRDefault="00EA2BA9"/>
  <w:p w14:paraId="081D7000" w14:textId="77777777" w:rsidR="00EA2BA9" w:rsidRPr="0033525D" w:rsidRDefault="00EA2B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DE3D" w14:textId="6B6B2C0A" w:rsidR="00EA2BA9" w:rsidRPr="0033525D" w:rsidRDefault="00333649">
    <w:pPr>
      <w:jc w:val="right"/>
    </w:pPr>
    <w:r>
      <w:fldChar w:fldCharType="begin"/>
    </w:r>
    <w:r>
      <w:instrText xml:space="preserve"> DOCPROPERTY "Document number"  \* MERGEFORMAT </w:instrText>
    </w:r>
    <w:r>
      <w:fldChar w:fldCharType="separate"/>
    </w:r>
    <w:r w:rsidR="00B76AEE">
      <w:t>UNEP/</w:t>
    </w:r>
    <w:proofErr w:type="spellStart"/>
    <w:r w:rsidR="00B76AEE">
      <w:t>OzL.Pro</w:t>
    </w:r>
    <w:proofErr w:type="spellEnd"/>
    <w:r w:rsidR="00B76AEE">
      <w:t>/</w:t>
    </w:r>
    <w:proofErr w:type="spellStart"/>
    <w:r w:rsidR="00B76AEE">
      <w:t>ExCom</w:t>
    </w:r>
    <w:proofErr w:type="spellEnd"/>
    <w:r w:rsidR="00B76AEE">
      <w:t>/88/35</w:t>
    </w:r>
    <w:r>
      <w:fldChar w:fldCharType="end"/>
    </w:r>
  </w:p>
  <w:p w14:paraId="2B49B3E3" w14:textId="77777777" w:rsidR="00EA2BA9" w:rsidRDefault="00EA2BA9">
    <w:pPr>
      <w:pStyle w:val="Header"/>
    </w:pPr>
  </w:p>
  <w:p w14:paraId="4586CA54" w14:textId="77777777" w:rsidR="00EA2BA9" w:rsidRPr="0033525D" w:rsidRDefault="00EA2B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8250" w14:textId="77777777" w:rsidR="00AD4A60" w:rsidRDefault="00AD4A6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4D40" w14:textId="77777777" w:rsidR="001564EE" w:rsidRPr="0033525D" w:rsidRDefault="00333649">
    <w:r>
      <w:fldChar w:fldCharType="begin"/>
    </w:r>
    <w:r>
      <w:instrText xml:space="preserve"> DOCPROPERTY "Document number"  \* MERGEFORMAT </w:instrText>
    </w:r>
    <w:r>
      <w:fldChar w:fldCharType="separate"/>
    </w:r>
    <w:r w:rsidR="005B1BC5">
      <w:t>UNEP/</w:t>
    </w:r>
    <w:proofErr w:type="spellStart"/>
    <w:r w:rsidR="005B1BC5">
      <w:t>OzL.Pro</w:t>
    </w:r>
    <w:proofErr w:type="spellEnd"/>
    <w:r w:rsidR="005B1BC5">
      <w:t>/</w:t>
    </w:r>
    <w:proofErr w:type="spellStart"/>
    <w:r w:rsidR="005B1BC5">
      <w:t>ExCom</w:t>
    </w:r>
    <w:proofErr w:type="spellEnd"/>
    <w:r w:rsidR="005B1BC5">
      <w:t>/88/35</w:t>
    </w:r>
    <w:r>
      <w:fldChar w:fldCharType="end"/>
    </w:r>
  </w:p>
  <w:p w14:paraId="11C0667F" w14:textId="77777777" w:rsidR="001564EE" w:rsidRPr="0033525D" w:rsidRDefault="005B1BC5">
    <w:proofErr w:type="spellStart"/>
    <w:r>
      <w:t>Anexo</w:t>
    </w:r>
    <w:proofErr w:type="spellEnd"/>
    <w:r>
      <w:t> I</w:t>
    </w:r>
  </w:p>
  <w:p w14:paraId="1D28CC3D" w14:textId="77777777" w:rsidR="001564EE" w:rsidRPr="0033525D" w:rsidRDefault="0033364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3C50" w14:textId="77777777" w:rsidR="001564EE" w:rsidRDefault="00333649">
    <w:pPr>
      <w:jc w:val="right"/>
    </w:pPr>
    <w:r>
      <w:fldChar w:fldCharType="begin"/>
    </w:r>
    <w:r>
      <w:instrText xml:space="preserve"> DOCPROPERTY "Document number"  \* MERGEFORMAT </w:instrText>
    </w:r>
    <w:r>
      <w:fldChar w:fldCharType="separate"/>
    </w:r>
    <w:r w:rsidR="005B1BC5">
      <w:t>UNEP/</w:t>
    </w:r>
    <w:proofErr w:type="spellStart"/>
    <w:r w:rsidR="005B1BC5">
      <w:t>OzL.Pro</w:t>
    </w:r>
    <w:proofErr w:type="spellEnd"/>
    <w:r w:rsidR="005B1BC5">
      <w:t>/</w:t>
    </w:r>
    <w:proofErr w:type="spellStart"/>
    <w:r w:rsidR="005B1BC5">
      <w:t>ExCom</w:t>
    </w:r>
    <w:proofErr w:type="spellEnd"/>
    <w:r w:rsidR="005B1BC5">
      <w:t>/88/35</w:t>
    </w:r>
    <w:r>
      <w:fldChar w:fldCharType="end"/>
    </w:r>
  </w:p>
  <w:p w14:paraId="4151CAC3" w14:textId="77777777" w:rsidR="001564EE" w:rsidRPr="0033525D" w:rsidRDefault="005B1BC5">
    <w:pPr>
      <w:jc w:val="right"/>
    </w:pPr>
    <w:proofErr w:type="spellStart"/>
    <w:r>
      <w:t>Anexo</w:t>
    </w:r>
    <w:proofErr w:type="spellEnd"/>
    <w:r>
      <w:t> I</w:t>
    </w:r>
  </w:p>
  <w:p w14:paraId="79DC84C9" w14:textId="77777777" w:rsidR="001564EE" w:rsidRDefault="00333649" w:rsidP="00386D07">
    <w:pP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8E0F" w14:textId="77777777" w:rsidR="001564EE" w:rsidRPr="0033525D" w:rsidRDefault="00333649" w:rsidP="00386D07">
    <w:pPr>
      <w:jc w:val="right"/>
    </w:pPr>
    <w:r>
      <w:fldChar w:fldCharType="begin"/>
    </w:r>
    <w:r>
      <w:instrText xml:space="preserve"> DOCPROPERTY "Document number"  \* MERGEFORMAT </w:instrText>
    </w:r>
    <w:r>
      <w:fldChar w:fldCharType="separate"/>
    </w:r>
    <w:r w:rsidR="005B1BC5">
      <w:t>UNEP/</w:t>
    </w:r>
    <w:proofErr w:type="spellStart"/>
    <w:r w:rsidR="005B1BC5">
      <w:t>OzL.Pro</w:t>
    </w:r>
    <w:proofErr w:type="spellEnd"/>
    <w:r w:rsidR="005B1BC5">
      <w:t>/</w:t>
    </w:r>
    <w:proofErr w:type="spellStart"/>
    <w:r w:rsidR="005B1BC5">
      <w:t>ExCom</w:t>
    </w:r>
    <w:proofErr w:type="spellEnd"/>
    <w:r w:rsidR="005B1BC5">
      <w:t>/88/35</w:t>
    </w:r>
    <w:r>
      <w:fldChar w:fldCharType="end"/>
    </w:r>
  </w:p>
  <w:p w14:paraId="0B27AE78" w14:textId="77777777" w:rsidR="001564EE" w:rsidRDefault="005B1BC5" w:rsidP="00386D07">
    <w:pPr>
      <w:pStyle w:val="Header"/>
      <w:jc w:val="right"/>
    </w:pPr>
    <w:proofErr w:type="spellStart"/>
    <w:r>
      <w:t>Anexo</w:t>
    </w:r>
    <w:proofErr w:type="spellEnd"/>
    <w:r>
      <w:t> I</w:t>
    </w:r>
  </w:p>
  <w:p w14:paraId="0C5CDCFB" w14:textId="77777777" w:rsidR="001564EE" w:rsidRDefault="00333649" w:rsidP="00386D0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6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580B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A06C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E64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0BE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06D1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8D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A263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E4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A2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121AD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699D"/>
    <w:multiLevelType w:val="multilevel"/>
    <w:tmpl w:val="5128CA10"/>
    <w:lvl w:ilvl="0">
      <w:start w:val="1"/>
      <w:numFmt w:val="decimal"/>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5353F28"/>
    <w:multiLevelType w:val="multilevel"/>
    <w:tmpl w:val="50507BB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4B37BB"/>
    <w:multiLevelType w:val="multilevel"/>
    <w:tmpl w:val="6E400F6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5" w15:restartNumberingAfterBreak="0">
    <w:nsid w:val="627158DF"/>
    <w:multiLevelType w:val="hybridMultilevel"/>
    <w:tmpl w:val="6584F23C"/>
    <w:lvl w:ilvl="0" w:tplc="33406B0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6"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40611"/>
    <w:multiLevelType w:val="hybridMultilevel"/>
    <w:tmpl w:val="4A82DD82"/>
    <w:lvl w:ilvl="0" w:tplc="B86216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22"/>
  </w:num>
  <w:num w:numId="19">
    <w:abstractNumId w:val="3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28"/>
  </w:num>
  <w:num w:numId="31">
    <w:abstractNumId w:val="26"/>
  </w:num>
  <w:num w:numId="32">
    <w:abstractNumId w:val="12"/>
  </w:num>
  <w:num w:numId="33">
    <w:abstractNumId w:val="19"/>
  </w:num>
  <w:num w:numId="34">
    <w:abstractNumId w:val="23"/>
  </w:num>
  <w:num w:numId="35">
    <w:abstractNumId w:val="24"/>
  </w:num>
  <w:num w:numId="36">
    <w:abstractNumId w:val="13"/>
  </w:num>
  <w:num w:numId="37">
    <w:abstractNumId w:val="2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8"/>
  </w:num>
  <w:num w:numId="4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64429"/>
    <w:rsid w:val="00094075"/>
    <w:rsid w:val="00106F6E"/>
    <w:rsid w:val="00114CAA"/>
    <w:rsid w:val="001174E9"/>
    <w:rsid w:val="001354E9"/>
    <w:rsid w:val="001C2D22"/>
    <w:rsid w:val="001F4047"/>
    <w:rsid w:val="002030E1"/>
    <w:rsid w:val="00235D4C"/>
    <w:rsid w:val="002404D1"/>
    <w:rsid w:val="0024162E"/>
    <w:rsid w:val="002425B4"/>
    <w:rsid w:val="00244477"/>
    <w:rsid w:val="002959B4"/>
    <w:rsid w:val="0031390B"/>
    <w:rsid w:val="00333649"/>
    <w:rsid w:val="00344D96"/>
    <w:rsid w:val="00344EAB"/>
    <w:rsid w:val="003863A4"/>
    <w:rsid w:val="003B7115"/>
    <w:rsid w:val="00455352"/>
    <w:rsid w:val="00467010"/>
    <w:rsid w:val="00476E28"/>
    <w:rsid w:val="004D05FC"/>
    <w:rsid w:val="00532F5D"/>
    <w:rsid w:val="005A76B5"/>
    <w:rsid w:val="005B1BC5"/>
    <w:rsid w:val="00604727"/>
    <w:rsid w:val="006050E8"/>
    <w:rsid w:val="00651D87"/>
    <w:rsid w:val="00792A47"/>
    <w:rsid w:val="007A1571"/>
    <w:rsid w:val="00831BC5"/>
    <w:rsid w:val="0087455A"/>
    <w:rsid w:val="008C0F58"/>
    <w:rsid w:val="008D1E30"/>
    <w:rsid w:val="00922F89"/>
    <w:rsid w:val="00A46398"/>
    <w:rsid w:val="00AB2928"/>
    <w:rsid w:val="00AB56E5"/>
    <w:rsid w:val="00AC7A52"/>
    <w:rsid w:val="00AD4A60"/>
    <w:rsid w:val="00B60EEC"/>
    <w:rsid w:val="00B76AEE"/>
    <w:rsid w:val="00B84ACF"/>
    <w:rsid w:val="00C14E67"/>
    <w:rsid w:val="00CB3D7A"/>
    <w:rsid w:val="00D3313A"/>
    <w:rsid w:val="00D84B6F"/>
    <w:rsid w:val="00DB795B"/>
    <w:rsid w:val="00DF2EFB"/>
    <w:rsid w:val="00E17F97"/>
    <w:rsid w:val="00EA2BA9"/>
    <w:rsid w:val="00EA3302"/>
    <w:rsid w:val="00F10CD9"/>
    <w:rsid w:val="00F12B29"/>
    <w:rsid w:val="00F25F7C"/>
    <w:rsid w:val="00F67824"/>
    <w:rsid w:val="00F9224D"/>
    <w:rsid w:val="00F97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9D265"/>
  <w15:docId w15:val="{80D39446-5A10-44B7-8A75-2D2EAA5E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48"/>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link w:val="Heading3Char"/>
    <w:qFormat/>
    <w:pPr>
      <w:widowControl w:val="0"/>
      <w:numPr>
        <w:ilvl w:val="2"/>
        <w:numId w:val="48"/>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48"/>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48"/>
      </w:numPr>
      <w:spacing w:before="240" w:after="60"/>
      <w:outlineLvl w:val="5"/>
    </w:pPr>
    <w:rPr>
      <w:rFonts w:ascii="Arial" w:hAnsi="Arial"/>
      <w:i/>
    </w:rPr>
  </w:style>
  <w:style w:type="paragraph" w:styleId="Heading7">
    <w:name w:val="heading 7"/>
    <w:basedOn w:val="Normal"/>
    <w:next w:val="Normal"/>
    <w:link w:val="Heading7Char"/>
    <w:qFormat/>
    <w:pPr>
      <w:numPr>
        <w:ilvl w:val="6"/>
        <w:numId w:val="48"/>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4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f"/>
    <w:basedOn w:val="Normal"/>
    <w:link w:val="FootnoteTextChar"/>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f Char"/>
    <w:basedOn w:val="DefaultParagraphFont"/>
    <w:link w:val="FootnoteText"/>
    <w:rsid w:val="002959B4"/>
    <w:rPr>
      <w:lang w:val="en-GB"/>
    </w:rPr>
  </w:style>
  <w:style w:type="character" w:styleId="FootnoteReference">
    <w:name w:val="footnote reference"/>
    <w:aliases w:val="Footnote text,Footnote Text1,Footnote Text2,ftref,16 Point,Superscript 6 Point,-E Fußnotenzeichen,number,Footnote reference number,Footnote symbol,note TESI,SUPERS,stylish,Footnote Reference Superscript,-E Fuﬂnotenzeichen,fr"/>
    <w:basedOn w:val="DefaultParagraphFont"/>
    <w:link w:val="CharCharCharCharCarChar"/>
    <w:unhideWhenUsed/>
    <w:qFormat/>
    <w:rsid w:val="002959B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404D1"/>
    <w:rPr>
      <w:sz w:val="22"/>
      <w:szCs w:val="22"/>
      <w:lang w:val="en-GB"/>
    </w:rPr>
  </w:style>
  <w:style w:type="paragraph" w:styleId="Revision">
    <w:name w:val="Revision"/>
    <w:hidden/>
    <w:uiPriority w:val="99"/>
    <w:semiHidden/>
    <w:rsid w:val="002404D1"/>
    <w:rPr>
      <w:sz w:val="22"/>
      <w:szCs w:val="22"/>
      <w:lang w:val="es-ES"/>
    </w:rPr>
  </w:style>
  <w:style w:type="table" w:customStyle="1" w:styleId="TableGrid20">
    <w:name w:val="Table Grid2"/>
    <w:basedOn w:val="TableNormal"/>
    <w:next w:val="TableGrid"/>
    <w:rsid w:val="002404D1"/>
    <w:pPr>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04D1"/>
    <w:rPr>
      <w:sz w:val="20"/>
      <w:szCs w:val="20"/>
      <w:lang w:val="es-ES"/>
    </w:rPr>
  </w:style>
  <w:style w:type="character" w:customStyle="1" w:styleId="EndnoteTextChar">
    <w:name w:val="Endnote Text Char"/>
    <w:basedOn w:val="DefaultParagraphFont"/>
    <w:link w:val="EndnoteText"/>
    <w:uiPriority w:val="99"/>
    <w:semiHidden/>
    <w:rsid w:val="002404D1"/>
    <w:rPr>
      <w:lang w:val="es-ES"/>
    </w:rPr>
  </w:style>
  <w:style w:type="character" w:styleId="EndnoteReference">
    <w:name w:val="endnote reference"/>
    <w:basedOn w:val="DefaultParagraphFont"/>
    <w:uiPriority w:val="99"/>
    <w:semiHidden/>
    <w:unhideWhenUsed/>
    <w:rsid w:val="002404D1"/>
    <w:rPr>
      <w:vertAlign w:val="superscript"/>
    </w:rPr>
  </w:style>
  <w:style w:type="character" w:customStyle="1" w:styleId="Heading3Char">
    <w:name w:val="Heading 3 Char"/>
    <w:aliases w:val="Char Char3,Heading 3 Char1 Char1,Heading 3 Char Char Char1,Char Char Char Char1,Char Char1 Char1,Heading 3 Char1 Char Char,Heading 3 Char Char Char Char,Char Char Char Char Char,Char Char1 Char Char,Char Char Char2,Heading 3 Char2 Char"/>
    <w:basedOn w:val="DefaultParagraphFont"/>
    <w:link w:val="Heading3"/>
    <w:uiPriority w:val="9"/>
    <w:rsid w:val="002404D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2404D1"/>
    <w:rPr>
      <w:sz w:val="22"/>
      <w:szCs w:val="22"/>
      <w:lang w:val="en-GB"/>
    </w:rPr>
  </w:style>
  <w:style w:type="character" w:customStyle="1" w:styleId="Heading5Char">
    <w:name w:val="Heading 5 Char"/>
    <w:basedOn w:val="DefaultParagraphFont"/>
    <w:link w:val="Heading5"/>
    <w:uiPriority w:val="99"/>
    <w:rsid w:val="002404D1"/>
    <w:rPr>
      <w:sz w:val="22"/>
      <w:szCs w:val="22"/>
      <w:lang w:val="en-GB"/>
    </w:rPr>
  </w:style>
  <w:style w:type="character" w:customStyle="1" w:styleId="Heading6Char">
    <w:name w:val="Heading 6 Char"/>
    <w:basedOn w:val="DefaultParagraphFont"/>
    <w:link w:val="Heading6"/>
    <w:rsid w:val="002404D1"/>
    <w:rPr>
      <w:rFonts w:ascii="Arial" w:hAnsi="Arial"/>
      <w:i/>
      <w:sz w:val="22"/>
      <w:szCs w:val="22"/>
      <w:lang w:val="en-GB"/>
    </w:rPr>
  </w:style>
  <w:style w:type="character" w:customStyle="1" w:styleId="Heading7Char">
    <w:name w:val="Heading 7 Char"/>
    <w:basedOn w:val="DefaultParagraphFont"/>
    <w:link w:val="Heading7"/>
    <w:rsid w:val="002404D1"/>
    <w:rPr>
      <w:rFonts w:ascii="Arial" w:hAnsi="Arial"/>
      <w:sz w:val="22"/>
      <w:szCs w:val="22"/>
      <w:lang w:val="en-GB"/>
    </w:rPr>
  </w:style>
  <w:style w:type="character" w:customStyle="1" w:styleId="Heading8Char">
    <w:name w:val="Heading 8 Char"/>
    <w:basedOn w:val="DefaultParagraphFont"/>
    <w:link w:val="Heading8"/>
    <w:rsid w:val="002404D1"/>
    <w:rPr>
      <w:b/>
      <w:sz w:val="22"/>
      <w:szCs w:val="22"/>
      <w:lang w:val="en-GB"/>
    </w:rPr>
  </w:style>
  <w:style w:type="character" w:customStyle="1" w:styleId="Heading9Char">
    <w:name w:val="Heading 9 Char"/>
    <w:basedOn w:val="DefaultParagraphFont"/>
    <w:link w:val="Heading9"/>
    <w:rsid w:val="002404D1"/>
    <w:rPr>
      <w:rFonts w:ascii="Arial" w:hAnsi="Arial"/>
      <w:i/>
      <w:sz w:val="18"/>
      <w:szCs w:val="22"/>
      <w:lang w:val="en-GB"/>
    </w:rPr>
  </w:style>
  <w:style w:type="numbering" w:customStyle="1" w:styleId="1111111">
    <w:name w:val="1 / 1.1 / 1.1.11"/>
    <w:basedOn w:val="NoList"/>
    <w:next w:val="111111"/>
    <w:semiHidden/>
    <w:rsid w:val="002404D1"/>
  </w:style>
  <w:style w:type="character" w:customStyle="1" w:styleId="HeaderChar">
    <w:name w:val="Header Char"/>
    <w:basedOn w:val="DefaultParagraphFont"/>
    <w:link w:val="Header"/>
    <w:uiPriority w:val="99"/>
    <w:rsid w:val="002404D1"/>
    <w:rPr>
      <w:sz w:val="22"/>
      <w:szCs w:val="22"/>
      <w:lang w:val="en-GB"/>
    </w:rPr>
  </w:style>
  <w:style w:type="numbering" w:customStyle="1" w:styleId="1ai1">
    <w:name w:val="1 / a / i1"/>
    <w:basedOn w:val="NoList"/>
    <w:next w:val="1ai"/>
    <w:semiHidden/>
    <w:rsid w:val="002404D1"/>
  </w:style>
  <w:style w:type="numbering" w:customStyle="1" w:styleId="ArticleSection1">
    <w:name w:val="Article / Section1"/>
    <w:basedOn w:val="NoList"/>
    <w:next w:val="ArticleSection"/>
    <w:semiHidden/>
    <w:rsid w:val="002404D1"/>
  </w:style>
  <w:style w:type="character" w:customStyle="1" w:styleId="BodyText3Char">
    <w:name w:val="Body Text 3 Char"/>
    <w:basedOn w:val="DefaultParagraphFont"/>
    <w:link w:val="BodyText3"/>
    <w:semiHidden/>
    <w:rsid w:val="002404D1"/>
    <w:rPr>
      <w:sz w:val="16"/>
      <w:szCs w:val="16"/>
      <w:lang w:val="en-GB"/>
    </w:rPr>
  </w:style>
  <w:style w:type="character" w:customStyle="1" w:styleId="BodyTextIndent3Char">
    <w:name w:val="Body Text Indent 3 Char"/>
    <w:basedOn w:val="DefaultParagraphFont"/>
    <w:link w:val="BodyTextIndent3"/>
    <w:semiHidden/>
    <w:rsid w:val="002404D1"/>
    <w:rPr>
      <w:sz w:val="16"/>
      <w:szCs w:val="16"/>
      <w:lang w:val="en-GB"/>
    </w:rPr>
  </w:style>
  <w:style w:type="character" w:customStyle="1" w:styleId="PlainTextChar">
    <w:name w:val="Plain Text Char"/>
    <w:basedOn w:val="DefaultParagraphFont"/>
    <w:link w:val="PlainText"/>
    <w:rsid w:val="002404D1"/>
    <w:rPr>
      <w:rFonts w:ascii="Courier New" w:hAnsi="Courier New" w:cs="Courier New"/>
      <w:szCs w:val="22"/>
      <w:lang w:val="en-GB"/>
    </w:rPr>
  </w:style>
  <w:style w:type="character" w:customStyle="1" w:styleId="SubtitleChar">
    <w:name w:val="Subtitle Char"/>
    <w:basedOn w:val="DefaultParagraphFont"/>
    <w:link w:val="Subtitle"/>
    <w:uiPriority w:val="99"/>
    <w:rsid w:val="002404D1"/>
    <w:rPr>
      <w:rFonts w:ascii="Arial" w:hAnsi="Arial" w:cs="Arial"/>
      <w:sz w:val="22"/>
      <w:szCs w:val="22"/>
      <w:lang w:val="en-GB"/>
    </w:rPr>
  </w:style>
  <w:style w:type="character" w:customStyle="1" w:styleId="TitleChar">
    <w:name w:val="Title Char"/>
    <w:basedOn w:val="DefaultParagraphFont"/>
    <w:link w:val="Title"/>
    <w:uiPriority w:val="99"/>
    <w:rsid w:val="002404D1"/>
    <w:rPr>
      <w:rFonts w:ascii="Arial" w:hAnsi="Arial" w:cs="Arial"/>
      <w:b/>
      <w:bCs/>
      <w:kern w:val="28"/>
      <w:sz w:val="22"/>
      <w:szCs w:val="22"/>
      <w:lang w:val="en-GB"/>
    </w:rPr>
  </w:style>
  <w:style w:type="character" w:customStyle="1" w:styleId="DateChar">
    <w:name w:val="Date Char"/>
    <w:basedOn w:val="DefaultParagraphFont"/>
    <w:link w:val="Date"/>
    <w:uiPriority w:val="99"/>
    <w:rsid w:val="002404D1"/>
    <w:rPr>
      <w:sz w:val="22"/>
      <w:szCs w:val="22"/>
      <w:lang w:val="en-GB"/>
    </w:rPr>
  </w:style>
  <w:style w:type="table" w:customStyle="1" w:styleId="TableGrid10">
    <w:name w:val="Table Grid1"/>
    <w:basedOn w:val="TableNormal"/>
    <w:next w:val="TableGrid"/>
    <w:rsid w:val="002404D1"/>
    <w:pPr>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1174E9"/>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174E9"/>
    <w:pPr>
      <w:spacing w:after="160" w:line="240" w:lineRule="exact"/>
    </w:pPr>
    <w:rPr>
      <w:sz w:val="20"/>
      <w:szCs w:val="20"/>
      <w:vertAlign w:val="superscript"/>
      <w:lang w:val="en-US"/>
    </w:rPr>
  </w:style>
  <w:style w:type="paragraph" w:styleId="ListParagraph">
    <w:name w:val="List Paragraph"/>
    <w:basedOn w:val="Normal"/>
    <w:uiPriority w:val="34"/>
    <w:qFormat/>
    <w:rsid w:val="001174E9"/>
    <w:pPr>
      <w:spacing w:after="200" w:line="276" w:lineRule="auto"/>
      <w:ind w:left="720"/>
      <w:contextualSpacing/>
      <w:jc w:val="left"/>
    </w:pPr>
    <w:rPr>
      <w:rFonts w:ascii="Calibri" w:hAnsi="Calibri" w:cs="Calibri"/>
      <w:lang w:val="es-ES"/>
    </w:rPr>
  </w:style>
  <w:style w:type="character" w:styleId="PageNumber">
    <w:name w:val="page number"/>
    <w:rsid w:val="001174E9"/>
    <w:rPr>
      <w:sz w:val="22"/>
      <w:szCs w:val="22"/>
    </w:rPr>
  </w:style>
  <w:style w:type="paragraph" w:styleId="BodyText">
    <w:name w:val="Body Text"/>
    <w:basedOn w:val="Normal"/>
    <w:link w:val="BodyTextChar"/>
    <w:semiHidden/>
    <w:rsid w:val="001174E9"/>
    <w:pPr>
      <w:spacing w:after="120"/>
    </w:pPr>
    <w:rPr>
      <w:lang w:val="es-ES"/>
    </w:rPr>
  </w:style>
  <w:style w:type="character" w:customStyle="1" w:styleId="BodyTextChar">
    <w:name w:val="Body Text Char"/>
    <w:basedOn w:val="DefaultParagraphFont"/>
    <w:link w:val="BodyText"/>
    <w:semiHidden/>
    <w:rsid w:val="001174E9"/>
    <w:rPr>
      <w:sz w:val="22"/>
      <w:szCs w:val="22"/>
      <w:lang w:val="es-ES"/>
    </w:rPr>
  </w:style>
  <w:style w:type="paragraph" w:styleId="BodyText2">
    <w:name w:val="Body Text 2"/>
    <w:basedOn w:val="Normal"/>
    <w:link w:val="BodyText2Char"/>
    <w:semiHidden/>
    <w:rsid w:val="001174E9"/>
    <w:pPr>
      <w:spacing w:after="120" w:line="480" w:lineRule="auto"/>
    </w:pPr>
    <w:rPr>
      <w:lang w:val="es-ES"/>
    </w:rPr>
  </w:style>
  <w:style w:type="character" w:customStyle="1" w:styleId="BodyText2Char">
    <w:name w:val="Body Text 2 Char"/>
    <w:basedOn w:val="DefaultParagraphFont"/>
    <w:link w:val="BodyText2"/>
    <w:semiHidden/>
    <w:rsid w:val="001174E9"/>
    <w:rPr>
      <w:sz w:val="22"/>
      <w:szCs w:val="22"/>
      <w:lang w:val="es-ES"/>
    </w:rPr>
  </w:style>
  <w:style w:type="paragraph" w:styleId="BodyTextFirstIndent">
    <w:name w:val="Body Text First Indent"/>
    <w:basedOn w:val="BodyText"/>
    <w:link w:val="BodyTextFirstIndentChar"/>
    <w:semiHidden/>
    <w:rsid w:val="001174E9"/>
    <w:pPr>
      <w:ind w:firstLine="210"/>
    </w:pPr>
  </w:style>
  <w:style w:type="character" w:customStyle="1" w:styleId="BodyTextFirstIndentChar">
    <w:name w:val="Body Text First Indent Char"/>
    <w:basedOn w:val="BodyTextChar"/>
    <w:link w:val="BodyTextFirstIndent"/>
    <w:semiHidden/>
    <w:rsid w:val="001174E9"/>
    <w:rPr>
      <w:sz w:val="22"/>
      <w:szCs w:val="22"/>
      <w:lang w:val="es-ES"/>
    </w:rPr>
  </w:style>
  <w:style w:type="paragraph" w:styleId="BodyTextIndent">
    <w:name w:val="Body Text Indent"/>
    <w:basedOn w:val="Normal"/>
    <w:link w:val="BodyTextIndentChar"/>
    <w:semiHidden/>
    <w:rsid w:val="001174E9"/>
    <w:pPr>
      <w:spacing w:after="120"/>
      <w:ind w:left="360"/>
    </w:pPr>
    <w:rPr>
      <w:lang w:val="es-ES"/>
    </w:rPr>
  </w:style>
  <w:style w:type="character" w:customStyle="1" w:styleId="BodyTextIndentChar">
    <w:name w:val="Body Text Indent Char"/>
    <w:basedOn w:val="DefaultParagraphFont"/>
    <w:link w:val="BodyTextIndent"/>
    <w:semiHidden/>
    <w:rsid w:val="001174E9"/>
    <w:rPr>
      <w:sz w:val="22"/>
      <w:szCs w:val="22"/>
      <w:lang w:val="es-ES"/>
    </w:rPr>
  </w:style>
  <w:style w:type="paragraph" w:styleId="BodyTextFirstIndent2">
    <w:name w:val="Body Text First Indent 2"/>
    <w:basedOn w:val="BodyTextIndent"/>
    <w:link w:val="BodyTextFirstIndent2Char"/>
    <w:semiHidden/>
    <w:rsid w:val="001174E9"/>
    <w:pPr>
      <w:ind w:firstLine="210"/>
    </w:pPr>
  </w:style>
  <w:style w:type="character" w:customStyle="1" w:styleId="BodyTextFirstIndent2Char">
    <w:name w:val="Body Text First Indent 2 Char"/>
    <w:basedOn w:val="BodyTextIndentChar"/>
    <w:link w:val="BodyTextFirstIndent2"/>
    <w:semiHidden/>
    <w:rsid w:val="001174E9"/>
    <w:rPr>
      <w:sz w:val="22"/>
      <w:szCs w:val="22"/>
      <w:lang w:val="es-ES"/>
    </w:rPr>
  </w:style>
  <w:style w:type="paragraph" w:styleId="BodyTextIndent2">
    <w:name w:val="Body Text Indent 2"/>
    <w:basedOn w:val="Normal"/>
    <w:link w:val="BodyTextIndent2Char"/>
    <w:semiHidden/>
    <w:rsid w:val="001174E9"/>
    <w:pPr>
      <w:spacing w:after="120" w:line="480" w:lineRule="auto"/>
      <w:ind w:left="360"/>
    </w:pPr>
    <w:rPr>
      <w:lang w:val="es-ES"/>
    </w:rPr>
  </w:style>
  <w:style w:type="character" w:customStyle="1" w:styleId="BodyTextIndent2Char">
    <w:name w:val="Body Text Indent 2 Char"/>
    <w:basedOn w:val="DefaultParagraphFont"/>
    <w:link w:val="BodyTextIndent2"/>
    <w:semiHidden/>
    <w:rsid w:val="001174E9"/>
    <w:rPr>
      <w:sz w:val="22"/>
      <w:szCs w:val="22"/>
      <w:lang w:val="es-ES"/>
    </w:rPr>
  </w:style>
  <w:style w:type="paragraph" w:styleId="Closing">
    <w:name w:val="Closing"/>
    <w:basedOn w:val="Normal"/>
    <w:link w:val="ClosingChar"/>
    <w:semiHidden/>
    <w:rsid w:val="001174E9"/>
    <w:pPr>
      <w:ind w:left="4320"/>
    </w:pPr>
    <w:rPr>
      <w:lang w:val="es-ES"/>
    </w:rPr>
  </w:style>
  <w:style w:type="character" w:customStyle="1" w:styleId="ClosingChar">
    <w:name w:val="Closing Char"/>
    <w:basedOn w:val="DefaultParagraphFont"/>
    <w:link w:val="Closing"/>
    <w:semiHidden/>
    <w:rsid w:val="001174E9"/>
    <w:rPr>
      <w:sz w:val="22"/>
      <w:szCs w:val="22"/>
      <w:lang w:val="es-ES"/>
    </w:rPr>
  </w:style>
  <w:style w:type="paragraph" w:styleId="E-mailSignature">
    <w:name w:val="E-mail Signature"/>
    <w:basedOn w:val="Normal"/>
    <w:link w:val="E-mailSignatureChar"/>
    <w:semiHidden/>
    <w:rsid w:val="001174E9"/>
    <w:rPr>
      <w:lang w:val="es-ES"/>
    </w:rPr>
  </w:style>
  <w:style w:type="character" w:customStyle="1" w:styleId="E-mailSignatureChar">
    <w:name w:val="E-mail Signature Char"/>
    <w:basedOn w:val="DefaultParagraphFont"/>
    <w:link w:val="E-mailSignature"/>
    <w:semiHidden/>
    <w:rsid w:val="001174E9"/>
    <w:rPr>
      <w:sz w:val="22"/>
      <w:szCs w:val="22"/>
      <w:lang w:val="es-ES"/>
    </w:rPr>
  </w:style>
  <w:style w:type="character" w:styleId="Emphasis">
    <w:name w:val="Emphasis"/>
    <w:qFormat/>
    <w:rsid w:val="001174E9"/>
    <w:rPr>
      <w:i/>
      <w:iCs/>
    </w:rPr>
  </w:style>
  <w:style w:type="paragraph" w:styleId="EnvelopeAddress">
    <w:name w:val="envelope address"/>
    <w:basedOn w:val="Normal"/>
    <w:semiHidden/>
    <w:rsid w:val="001174E9"/>
    <w:pPr>
      <w:framePr w:w="7920" w:h="1980" w:hRule="exact" w:hSpace="180" w:wrap="auto" w:hAnchor="page" w:xAlign="center" w:yAlign="bottom"/>
      <w:ind w:left="2880"/>
    </w:pPr>
    <w:rPr>
      <w:rFonts w:ascii="Arial" w:hAnsi="Arial" w:cs="Arial"/>
      <w:szCs w:val="24"/>
      <w:lang w:val="es-ES"/>
    </w:rPr>
  </w:style>
  <w:style w:type="paragraph" w:styleId="EnvelopeReturn">
    <w:name w:val="envelope return"/>
    <w:basedOn w:val="Normal"/>
    <w:semiHidden/>
    <w:rsid w:val="001174E9"/>
    <w:rPr>
      <w:rFonts w:ascii="Arial" w:hAnsi="Arial" w:cs="Arial"/>
      <w:sz w:val="20"/>
      <w:lang w:val="es-ES"/>
    </w:rPr>
  </w:style>
  <w:style w:type="character" w:styleId="FollowedHyperlink">
    <w:name w:val="FollowedHyperlink"/>
    <w:uiPriority w:val="99"/>
    <w:semiHidden/>
    <w:rsid w:val="001174E9"/>
    <w:rPr>
      <w:color w:val="800080"/>
      <w:u w:val="single"/>
    </w:rPr>
  </w:style>
  <w:style w:type="character" w:styleId="HTMLAcronym">
    <w:name w:val="HTML Acronym"/>
    <w:basedOn w:val="DefaultParagraphFont"/>
    <w:semiHidden/>
    <w:rsid w:val="001174E9"/>
  </w:style>
  <w:style w:type="paragraph" w:styleId="HTMLAddress">
    <w:name w:val="HTML Address"/>
    <w:basedOn w:val="Normal"/>
    <w:link w:val="HTMLAddressChar"/>
    <w:semiHidden/>
    <w:rsid w:val="001174E9"/>
    <w:rPr>
      <w:i/>
      <w:iCs/>
      <w:lang w:val="es-ES"/>
    </w:rPr>
  </w:style>
  <w:style w:type="character" w:customStyle="1" w:styleId="HTMLAddressChar">
    <w:name w:val="HTML Address Char"/>
    <w:basedOn w:val="DefaultParagraphFont"/>
    <w:link w:val="HTMLAddress"/>
    <w:semiHidden/>
    <w:rsid w:val="001174E9"/>
    <w:rPr>
      <w:i/>
      <w:iCs/>
      <w:sz w:val="22"/>
      <w:szCs w:val="22"/>
      <w:lang w:val="es-ES"/>
    </w:rPr>
  </w:style>
  <w:style w:type="character" w:styleId="HTMLCite">
    <w:name w:val="HTML Cite"/>
    <w:semiHidden/>
    <w:rsid w:val="001174E9"/>
    <w:rPr>
      <w:i/>
      <w:iCs/>
    </w:rPr>
  </w:style>
  <w:style w:type="character" w:styleId="HTMLCode">
    <w:name w:val="HTML Code"/>
    <w:semiHidden/>
    <w:rsid w:val="001174E9"/>
    <w:rPr>
      <w:rFonts w:ascii="Courier New" w:hAnsi="Courier New" w:cs="Courier New"/>
      <w:sz w:val="20"/>
      <w:szCs w:val="20"/>
    </w:rPr>
  </w:style>
  <w:style w:type="character" w:styleId="HTMLDefinition">
    <w:name w:val="HTML Definition"/>
    <w:semiHidden/>
    <w:rsid w:val="001174E9"/>
    <w:rPr>
      <w:i/>
      <w:iCs/>
    </w:rPr>
  </w:style>
  <w:style w:type="character" w:styleId="HTMLKeyboard">
    <w:name w:val="HTML Keyboard"/>
    <w:semiHidden/>
    <w:rsid w:val="001174E9"/>
    <w:rPr>
      <w:rFonts w:ascii="Courier New" w:hAnsi="Courier New" w:cs="Courier New"/>
      <w:sz w:val="20"/>
      <w:szCs w:val="20"/>
    </w:rPr>
  </w:style>
  <w:style w:type="paragraph" w:styleId="HTMLPreformatted">
    <w:name w:val="HTML Preformatted"/>
    <w:basedOn w:val="Normal"/>
    <w:link w:val="HTMLPreformattedChar"/>
    <w:semiHidden/>
    <w:rsid w:val="001174E9"/>
    <w:rPr>
      <w:rFonts w:ascii="Courier New" w:hAnsi="Courier New" w:cs="Courier New"/>
      <w:sz w:val="20"/>
      <w:lang w:val="es-ES"/>
    </w:rPr>
  </w:style>
  <w:style w:type="character" w:customStyle="1" w:styleId="HTMLPreformattedChar">
    <w:name w:val="HTML Preformatted Char"/>
    <w:basedOn w:val="DefaultParagraphFont"/>
    <w:link w:val="HTMLPreformatted"/>
    <w:semiHidden/>
    <w:rsid w:val="001174E9"/>
    <w:rPr>
      <w:rFonts w:ascii="Courier New" w:hAnsi="Courier New" w:cs="Courier New"/>
      <w:szCs w:val="22"/>
      <w:lang w:val="es-ES"/>
    </w:rPr>
  </w:style>
  <w:style w:type="character" w:styleId="HTMLSample">
    <w:name w:val="HTML Sample"/>
    <w:semiHidden/>
    <w:rsid w:val="001174E9"/>
    <w:rPr>
      <w:rFonts w:ascii="Courier New" w:hAnsi="Courier New" w:cs="Courier New"/>
    </w:rPr>
  </w:style>
  <w:style w:type="character" w:styleId="HTMLTypewriter">
    <w:name w:val="HTML Typewriter"/>
    <w:semiHidden/>
    <w:rsid w:val="001174E9"/>
    <w:rPr>
      <w:rFonts w:ascii="Courier New" w:hAnsi="Courier New" w:cs="Courier New"/>
      <w:sz w:val="20"/>
      <w:szCs w:val="20"/>
    </w:rPr>
  </w:style>
  <w:style w:type="character" w:styleId="HTMLVariable">
    <w:name w:val="HTML Variable"/>
    <w:semiHidden/>
    <w:rsid w:val="001174E9"/>
    <w:rPr>
      <w:i/>
      <w:iCs/>
    </w:rPr>
  </w:style>
  <w:style w:type="character" w:styleId="Hyperlink">
    <w:name w:val="Hyperlink"/>
    <w:uiPriority w:val="99"/>
    <w:semiHidden/>
    <w:rsid w:val="001174E9"/>
    <w:rPr>
      <w:color w:val="0000FF"/>
      <w:u w:val="single"/>
    </w:rPr>
  </w:style>
  <w:style w:type="character" w:styleId="LineNumber">
    <w:name w:val="line number"/>
    <w:basedOn w:val="DefaultParagraphFont"/>
    <w:semiHidden/>
    <w:rsid w:val="001174E9"/>
  </w:style>
  <w:style w:type="paragraph" w:styleId="List">
    <w:name w:val="List"/>
    <w:basedOn w:val="Normal"/>
    <w:semiHidden/>
    <w:rsid w:val="001174E9"/>
    <w:pPr>
      <w:ind w:left="360" w:hanging="360"/>
    </w:pPr>
    <w:rPr>
      <w:lang w:val="es-ES"/>
    </w:rPr>
  </w:style>
  <w:style w:type="paragraph" w:styleId="List2">
    <w:name w:val="List 2"/>
    <w:basedOn w:val="Normal"/>
    <w:semiHidden/>
    <w:rsid w:val="001174E9"/>
    <w:pPr>
      <w:ind w:left="720" w:hanging="360"/>
    </w:pPr>
    <w:rPr>
      <w:lang w:val="es-ES"/>
    </w:rPr>
  </w:style>
  <w:style w:type="paragraph" w:styleId="List3">
    <w:name w:val="List 3"/>
    <w:basedOn w:val="Normal"/>
    <w:semiHidden/>
    <w:rsid w:val="001174E9"/>
    <w:pPr>
      <w:ind w:left="1080" w:hanging="360"/>
    </w:pPr>
    <w:rPr>
      <w:lang w:val="es-ES"/>
    </w:rPr>
  </w:style>
  <w:style w:type="paragraph" w:styleId="List4">
    <w:name w:val="List 4"/>
    <w:basedOn w:val="Normal"/>
    <w:semiHidden/>
    <w:rsid w:val="001174E9"/>
    <w:pPr>
      <w:ind w:left="1440" w:hanging="360"/>
    </w:pPr>
    <w:rPr>
      <w:lang w:val="es-ES"/>
    </w:rPr>
  </w:style>
  <w:style w:type="paragraph" w:styleId="List5">
    <w:name w:val="List 5"/>
    <w:basedOn w:val="Normal"/>
    <w:semiHidden/>
    <w:rsid w:val="001174E9"/>
    <w:pPr>
      <w:ind w:left="1800" w:hanging="360"/>
    </w:pPr>
    <w:rPr>
      <w:lang w:val="es-ES"/>
    </w:rPr>
  </w:style>
  <w:style w:type="paragraph" w:styleId="ListBullet">
    <w:name w:val="List Bullet"/>
    <w:basedOn w:val="Normal"/>
    <w:autoRedefine/>
    <w:semiHidden/>
    <w:rsid w:val="001174E9"/>
    <w:pPr>
      <w:tabs>
        <w:tab w:val="num" w:pos="360"/>
      </w:tabs>
      <w:ind w:left="360" w:hanging="360"/>
    </w:pPr>
    <w:rPr>
      <w:lang w:val="es-ES"/>
    </w:rPr>
  </w:style>
  <w:style w:type="paragraph" w:styleId="ListBullet2">
    <w:name w:val="List Bullet 2"/>
    <w:basedOn w:val="Normal"/>
    <w:autoRedefine/>
    <w:semiHidden/>
    <w:rsid w:val="001174E9"/>
    <w:pPr>
      <w:tabs>
        <w:tab w:val="num" w:pos="720"/>
      </w:tabs>
      <w:ind w:left="720" w:hanging="360"/>
    </w:pPr>
    <w:rPr>
      <w:lang w:val="es-ES"/>
    </w:rPr>
  </w:style>
  <w:style w:type="paragraph" w:styleId="ListBullet3">
    <w:name w:val="List Bullet 3"/>
    <w:basedOn w:val="Normal"/>
    <w:autoRedefine/>
    <w:semiHidden/>
    <w:rsid w:val="001174E9"/>
    <w:pPr>
      <w:tabs>
        <w:tab w:val="num" w:pos="1080"/>
      </w:tabs>
      <w:ind w:left="1080" w:hanging="360"/>
    </w:pPr>
    <w:rPr>
      <w:lang w:val="es-ES"/>
    </w:rPr>
  </w:style>
  <w:style w:type="paragraph" w:styleId="ListBullet4">
    <w:name w:val="List Bullet 4"/>
    <w:basedOn w:val="Normal"/>
    <w:autoRedefine/>
    <w:semiHidden/>
    <w:rsid w:val="001174E9"/>
    <w:pPr>
      <w:tabs>
        <w:tab w:val="num" w:pos="1440"/>
      </w:tabs>
      <w:ind w:left="1440" w:hanging="360"/>
    </w:pPr>
    <w:rPr>
      <w:lang w:val="es-ES"/>
    </w:rPr>
  </w:style>
  <w:style w:type="paragraph" w:styleId="ListBullet5">
    <w:name w:val="List Bullet 5"/>
    <w:basedOn w:val="Normal"/>
    <w:autoRedefine/>
    <w:semiHidden/>
    <w:rsid w:val="001174E9"/>
    <w:pPr>
      <w:tabs>
        <w:tab w:val="num" w:pos="1800"/>
      </w:tabs>
      <w:ind w:left="1800" w:hanging="360"/>
    </w:pPr>
    <w:rPr>
      <w:lang w:val="es-ES"/>
    </w:rPr>
  </w:style>
  <w:style w:type="paragraph" w:styleId="ListContinue">
    <w:name w:val="List Continue"/>
    <w:basedOn w:val="Normal"/>
    <w:semiHidden/>
    <w:rsid w:val="001174E9"/>
    <w:pPr>
      <w:spacing w:after="120"/>
      <w:ind w:left="360"/>
    </w:pPr>
    <w:rPr>
      <w:lang w:val="es-ES"/>
    </w:rPr>
  </w:style>
  <w:style w:type="paragraph" w:styleId="ListContinue2">
    <w:name w:val="List Continue 2"/>
    <w:basedOn w:val="Normal"/>
    <w:semiHidden/>
    <w:rsid w:val="001174E9"/>
    <w:pPr>
      <w:spacing w:after="120"/>
      <w:ind w:left="720"/>
    </w:pPr>
    <w:rPr>
      <w:lang w:val="es-ES"/>
    </w:rPr>
  </w:style>
  <w:style w:type="paragraph" w:styleId="ListContinue3">
    <w:name w:val="List Continue 3"/>
    <w:basedOn w:val="Normal"/>
    <w:semiHidden/>
    <w:rsid w:val="001174E9"/>
    <w:pPr>
      <w:spacing w:after="120"/>
      <w:ind w:left="1080"/>
    </w:pPr>
    <w:rPr>
      <w:lang w:val="es-ES"/>
    </w:rPr>
  </w:style>
  <w:style w:type="paragraph" w:styleId="ListContinue4">
    <w:name w:val="List Continue 4"/>
    <w:basedOn w:val="Normal"/>
    <w:semiHidden/>
    <w:rsid w:val="001174E9"/>
    <w:pPr>
      <w:spacing w:after="120"/>
      <w:ind w:left="1440"/>
    </w:pPr>
    <w:rPr>
      <w:lang w:val="es-ES"/>
    </w:rPr>
  </w:style>
  <w:style w:type="paragraph" w:styleId="ListContinue5">
    <w:name w:val="List Continue 5"/>
    <w:basedOn w:val="Normal"/>
    <w:semiHidden/>
    <w:rsid w:val="001174E9"/>
    <w:pPr>
      <w:spacing w:after="120"/>
      <w:ind w:left="1800"/>
    </w:pPr>
    <w:rPr>
      <w:lang w:val="es-ES"/>
    </w:rPr>
  </w:style>
  <w:style w:type="paragraph" w:styleId="ListNumber">
    <w:name w:val="List Number"/>
    <w:basedOn w:val="Normal"/>
    <w:semiHidden/>
    <w:rsid w:val="001174E9"/>
    <w:pPr>
      <w:tabs>
        <w:tab w:val="num" w:pos="360"/>
      </w:tabs>
      <w:ind w:left="360" w:hanging="360"/>
    </w:pPr>
    <w:rPr>
      <w:lang w:val="es-ES"/>
    </w:rPr>
  </w:style>
  <w:style w:type="paragraph" w:styleId="ListNumber2">
    <w:name w:val="List Number 2"/>
    <w:basedOn w:val="Normal"/>
    <w:semiHidden/>
    <w:rsid w:val="001174E9"/>
    <w:pPr>
      <w:tabs>
        <w:tab w:val="num" w:pos="720"/>
      </w:tabs>
      <w:ind w:left="720" w:hanging="360"/>
    </w:pPr>
    <w:rPr>
      <w:lang w:val="es-ES"/>
    </w:rPr>
  </w:style>
  <w:style w:type="paragraph" w:styleId="ListNumber3">
    <w:name w:val="List Number 3"/>
    <w:basedOn w:val="Normal"/>
    <w:semiHidden/>
    <w:rsid w:val="001174E9"/>
    <w:pPr>
      <w:tabs>
        <w:tab w:val="num" w:pos="1080"/>
      </w:tabs>
      <w:ind w:left="1080" w:hanging="360"/>
    </w:pPr>
    <w:rPr>
      <w:lang w:val="es-ES"/>
    </w:rPr>
  </w:style>
  <w:style w:type="paragraph" w:styleId="ListNumber4">
    <w:name w:val="List Number 4"/>
    <w:basedOn w:val="Normal"/>
    <w:semiHidden/>
    <w:rsid w:val="001174E9"/>
    <w:pPr>
      <w:tabs>
        <w:tab w:val="num" w:pos="1440"/>
      </w:tabs>
      <w:ind w:left="1440" w:hanging="360"/>
    </w:pPr>
    <w:rPr>
      <w:lang w:val="es-ES"/>
    </w:rPr>
  </w:style>
  <w:style w:type="paragraph" w:styleId="ListNumber5">
    <w:name w:val="List Number 5"/>
    <w:basedOn w:val="Normal"/>
    <w:semiHidden/>
    <w:rsid w:val="001174E9"/>
    <w:pPr>
      <w:tabs>
        <w:tab w:val="num" w:pos="1800"/>
      </w:tabs>
      <w:ind w:left="1800" w:hanging="360"/>
    </w:pPr>
    <w:rPr>
      <w:lang w:val="es-ES"/>
    </w:rPr>
  </w:style>
  <w:style w:type="paragraph" w:styleId="MessageHeader">
    <w:name w:val="Message Header"/>
    <w:basedOn w:val="Normal"/>
    <w:link w:val="MessageHeaderChar"/>
    <w:semiHidden/>
    <w:rsid w:val="001174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s-ES"/>
    </w:rPr>
  </w:style>
  <w:style w:type="character" w:customStyle="1" w:styleId="MessageHeaderChar">
    <w:name w:val="Message Header Char"/>
    <w:basedOn w:val="DefaultParagraphFont"/>
    <w:link w:val="MessageHeader"/>
    <w:semiHidden/>
    <w:rsid w:val="001174E9"/>
    <w:rPr>
      <w:rFonts w:ascii="Arial" w:hAnsi="Arial" w:cs="Arial"/>
      <w:sz w:val="22"/>
      <w:szCs w:val="24"/>
      <w:shd w:val="pct20" w:color="auto" w:fill="auto"/>
      <w:lang w:val="es-ES"/>
    </w:rPr>
  </w:style>
  <w:style w:type="paragraph" w:styleId="NormalWeb">
    <w:name w:val="Normal (Web)"/>
    <w:basedOn w:val="Normal"/>
    <w:semiHidden/>
    <w:rsid w:val="001174E9"/>
    <w:rPr>
      <w:szCs w:val="24"/>
      <w:lang w:val="es-ES"/>
    </w:rPr>
  </w:style>
  <w:style w:type="paragraph" w:styleId="NormalIndent">
    <w:name w:val="Normal Indent"/>
    <w:basedOn w:val="Normal"/>
    <w:semiHidden/>
    <w:rsid w:val="001174E9"/>
    <w:pPr>
      <w:ind w:left="720"/>
    </w:pPr>
    <w:rPr>
      <w:lang w:val="es-ES"/>
    </w:rPr>
  </w:style>
  <w:style w:type="paragraph" w:styleId="NoteHeading">
    <w:name w:val="Note Heading"/>
    <w:basedOn w:val="Normal"/>
    <w:next w:val="Normal"/>
    <w:link w:val="NoteHeadingChar"/>
    <w:semiHidden/>
    <w:rsid w:val="001174E9"/>
    <w:rPr>
      <w:lang w:val="es-ES"/>
    </w:rPr>
  </w:style>
  <w:style w:type="character" w:customStyle="1" w:styleId="NoteHeadingChar">
    <w:name w:val="Note Heading Char"/>
    <w:basedOn w:val="DefaultParagraphFont"/>
    <w:link w:val="NoteHeading"/>
    <w:semiHidden/>
    <w:rsid w:val="001174E9"/>
    <w:rPr>
      <w:sz w:val="22"/>
      <w:szCs w:val="22"/>
      <w:lang w:val="es-ES"/>
    </w:rPr>
  </w:style>
  <w:style w:type="paragraph" w:styleId="Salutation">
    <w:name w:val="Salutation"/>
    <w:basedOn w:val="Normal"/>
    <w:next w:val="Normal"/>
    <w:link w:val="SalutationChar"/>
    <w:semiHidden/>
    <w:rsid w:val="001174E9"/>
    <w:rPr>
      <w:lang w:val="es-ES"/>
    </w:rPr>
  </w:style>
  <w:style w:type="character" w:customStyle="1" w:styleId="SalutationChar">
    <w:name w:val="Salutation Char"/>
    <w:basedOn w:val="DefaultParagraphFont"/>
    <w:link w:val="Salutation"/>
    <w:semiHidden/>
    <w:rsid w:val="001174E9"/>
    <w:rPr>
      <w:sz w:val="22"/>
      <w:szCs w:val="22"/>
      <w:lang w:val="es-ES"/>
    </w:rPr>
  </w:style>
  <w:style w:type="paragraph" w:styleId="Signature">
    <w:name w:val="Signature"/>
    <w:basedOn w:val="Normal"/>
    <w:link w:val="SignatureChar"/>
    <w:semiHidden/>
    <w:rsid w:val="001174E9"/>
    <w:pPr>
      <w:ind w:left="4320"/>
    </w:pPr>
    <w:rPr>
      <w:lang w:val="es-ES"/>
    </w:rPr>
  </w:style>
  <w:style w:type="character" w:customStyle="1" w:styleId="SignatureChar">
    <w:name w:val="Signature Char"/>
    <w:basedOn w:val="DefaultParagraphFont"/>
    <w:link w:val="Signature"/>
    <w:semiHidden/>
    <w:rsid w:val="001174E9"/>
    <w:rPr>
      <w:sz w:val="22"/>
      <w:szCs w:val="22"/>
      <w:lang w:val="es-ES"/>
    </w:rPr>
  </w:style>
  <w:style w:type="character" w:styleId="Strong">
    <w:name w:val="Strong"/>
    <w:qFormat/>
    <w:rsid w:val="001174E9"/>
    <w:rPr>
      <w:b/>
      <w:bCs/>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1174E9"/>
    <w:rPr>
      <w:sz w:val="24"/>
      <w:lang w:val="es-ES" w:eastAsia="en-US" w:bidi="ar-SA"/>
    </w:rPr>
  </w:style>
  <w:style w:type="paragraph" w:customStyle="1" w:styleId="Heading">
    <w:name w:val="Heading"/>
    <w:basedOn w:val="Header"/>
    <w:next w:val="Header"/>
    <w:rsid w:val="001174E9"/>
    <w:pPr>
      <w:tabs>
        <w:tab w:val="clear" w:pos="4320"/>
        <w:tab w:val="clear" w:pos="8640"/>
      </w:tabs>
    </w:pPr>
    <w:rPr>
      <w:b/>
      <w:sz w:val="24"/>
      <w:szCs w:val="20"/>
      <w:u w:val="single"/>
      <w:lang w:val="es-ES"/>
    </w:rPr>
  </w:style>
  <w:style w:type="paragraph" w:customStyle="1" w:styleId="ChapterNumber">
    <w:name w:val="ChapterNumber"/>
    <w:basedOn w:val="Normal"/>
    <w:next w:val="Normal"/>
    <w:rsid w:val="001174E9"/>
    <w:pPr>
      <w:spacing w:after="360"/>
      <w:jc w:val="left"/>
    </w:pPr>
    <w:rPr>
      <w:sz w:val="24"/>
      <w:szCs w:val="20"/>
      <w:lang w:val="es-ES" w:eastAsia="fr-FR"/>
    </w:rPr>
  </w:style>
  <w:style w:type="paragraph" w:customStyle="1" w:styleId="BankNormal">
    <w:name w:val="BankNormal"/>
    <w:basedOn w:val="Normal"/>
    <w:rsid w:val="001174E9"/>
    <w:pPr>
      <w:spacing w:after="240"/>
      <w:jc w:val="left"/>
    </w:pPr>
    <w:rPr>
      <w:sz w:val="24"/>
      <w:szCs w:val="20"/>
      <w:lang w:val="es-ES" w:eastAsia="fr-FR"/>
    </w:rPr>
  </w:style>
  <w:style w:type="paragraph" w:customStyle="1" w:styleId="subhead">
    <w:name w:val="subhead"/>
    <w:basedOn w:val="Normal"/>
    <w:next w:val="Normal"/>
    <w:rsid w:val="001174E9"/>
    <w:pPr>
      <w:tabs>
        <w:tab w:val="left" w:pos="-720"/>
        <w:tab w:val="left" w:pos="0"/>
        <w:tab w:val="left" w:pos="720"/>
        <w:tab w:val="left" w:pos="1440"/>
        <w:tab w:val="left" w:pos="2160"/>
        <w:tab w:val="left" w:pos="2880"/>
        <w:tab w:val="left" w:pos="3600"/>
      </w:tabs>
      <w:jc w:val="center"/>
    </w:pPr>
    <w:rPr>
      <w:sz w:val="24"/>
      <w:szCs w:val="20"/>
      <w:lang w:val="es-ES" w:eastAsia="fr-FR"/>
    </w:rPr>
  </w:style>
  <w:style w:type="paragraph" w:customStyle="1" w:styleId="a-a">
    <w:name w:val="a-(a)"/>
    <w:basedOn w:val="Normal"/>
    <w:next w:val="Normal"/>
    <w:rsid w:val="001174E9"/>
    <w:pPr>
      <w:keepLines/>
      <w:tabs>
        <w:tab w:val="left" w:pos="-1440"/>
        <w:tab w:val="left" w:pos="-720"/>
        <w:tab w:val="left" w:pos="0"/>
        <w:tab w:val="left" w:pos="720"/>
        <w:tab w:val="left" w:pos="1440"/>
        <w:tab w:val="left" w:pos="2160"/>
        <w:tab w:val="left" w:pos="2880"/>
        <w:tab w:val="left" w:pos="3600"/>
      </w:tabs>
      <w:ind w:left="720" w:hanging="720"/>
    </w:pPr>
    <w:rPr>
      <w:b/>
      <w:sz w:val="24"/>
      <w:szCs w:val="20"/>
      <w:lang w:val="es-ES" w:eastAsia="fr-FR"/>
    </w:rPr>
  </w:style>
  <w:style w:type="paragraph" w:customStyle="1" w:styleId="a-agenda">
    <w:name w:val="a-agenda"/>
    <w:basedOn w:val="Normal"/>
    <w:next w:val="Normal"/>
    <w:rsid w:val="001174E9"/>
    <w:pPr>
      <w:keepNext/>
      <w:keepLines/>
      <w:tabs>
        <w:tab w:val="left" w:pos="-1440"/>
        <w:tab w:val="left" w:pos="-720"/>
        <w:tab w:val="left" w:pos="0"/>
        <w:tab w:val="left" w:pos="720"/>
        <w:tab w:val="left" w:pos="1440"/>
        <w:tab w:val="left" w:pos="2160"/>
        <w:tab w:val="left" w:pos="2880"/>
        <w:tab w:val="left" w:pos="3600"/>
      </w:tabs>
    </w:pPr>
    <w:rPr>
      <w:b/>
      <w:caps/>
      <w:sz w:val="24"/>
      <w:szCs w:val="20"/>
      <w:lang w:val="es-ES" w:eastAsia="fr-FR"/>
    </w:rPr>
  </w:style>
  <w:style w:type="paragraph" w:customStyle="1" w:styleId="a-smalla">
    <w:name w:val="a-small(a)"/>
    <w:basedOn w:val="Normal"/>
    <w:next w:val="Normal"/>
    <w:rsid w:val="001174E9"/>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s-ES" w:eastAsia="fr-FR"/>
    </w:rPr>
  </w:style>
  <w:style w:type="paragraph" w:customStyle="1" w:styleId="a-smalli">
    <w:name w:val="a-small(i)"/>
    <w:basedOn w:val="Normal"/>
    <w:next w:val="Normal"/>
    <w:rsid w:val="001174E9"/>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s-ES" w:eastAsia="fr-FR"/>
    </w:rPr>
  </w:style>
  <w:style w:type="paragraph" w:customStyle="1" w:styleId="a-smalla0">
    <w:name w:val="a-small.a."/>
    <w:basedOn w:val="a-smalli"/>
    <w:next w:val="Normal"/>
    <w:rsid w:val="001174E9"/>
    <w:pPr>
      <w:ind w:left="2880"/>
    </w:pPr>
  </w:style>
  <w:style w:type="character" w:customStyle="1" w:styleId="EquationCaption">
    <w:name w:val="_Equation Caption"/>
    <w:rsid w:val="001174E9"/>
  </w:style>
  <w:style w:type="paragraph" w:customStyle="1" w:styleId="Style1">
    <w:name w:val="Style1"/>
    <w:basedOn w:val="Normal"/>
    <w:rsid w:val="001174E9"/>
    <w:pPr>
      <w:spacing w:after="120"/>
      <w:jc w:val="left"/>
    </w:pPr>
    <w:rPr>
      <w:rFonts w:ascii="Symbol" w:hAnsi="Symbol"/>
      <w:sz w:val="24"/>
      <w:szCs w:val="20"/>
      <w:lang w:val="es-ES" w:eastAsia="fr-FR"/>
    </w:rPr>
  </w:style>
  <w:style w:type="paragraph" w:customStyle="1" w:styleId="wfxRecipient">
    <w:name w:val="wfxRecipient"/>
    <w:basedOn w:val="Normal"/>
    <w:rsid w:val="001174E9"/>
    <w:pPr>
      <w:spacing w:after="120"/>
      <w:jc w:val="left"/>
    </w:pPr>
    <w:rPr>
      <w:sz w:val="24"/>
      <w:szCs w:val="20"/>
      <w:lang w:val="es-ES" w:eastAsia="fr-FR"/>
    </w:rPr>
  </w:style>
  <w:style w:type="paragraph" w:customStyle="1" w:styleId="wfxFaxNum">
    <w:name w:val="wfxFaxNum"/>
    <w:basedOn w:val="Normal"/>
    <w:rsid w:val="001174E9"/>
    <w:pPr>
      <w:spacing w:after="120"/>
      <w:jc w:val="left"/>
    </w:pPr>
    <w:rPr>
      <w:sz w:val="24"/>
      <w:szCs w:val="20"/>
      <w:lang w:val="es-ES" w:eastAsia="fr-FR"/>
    </w:rPr>
  </w:style>
  <w:style w:type="paragraph" w:customStyle="1" w:styleId="FaxBod">
    <w:name w:val="FaxBod"/>
    <w:basedOn w:val="Heading5"/>
    <w:rsid w:val="001174E9"/>
    <w:pPr>
      <w:keepNext w:val="0"/>
      <w:numPr>
        <w:numId w:val="0"/>
      </w:numPr>
      <w:tabs>
        <w:tab w:val="left" w:pos="-540"/>
      </w:tabs>
      <w:ind w:left="450"/>
      <w:jc w:val="left"/>
      <w:outlineLvl w:val="9"/>
    </w:pPr>
    <w:rPr>
      <w:sz w:val="24"/>
      <w:szCs w:val="20"/>
      <w:lang w:val="es-ES"/>
    </w:rPr>
  </w:style>
  <w:style w:type="paragraph" w:customStyle="1" w:styleId="xl34">
    <w:name w:val="xl34"/>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fr-CA"/>
    </w:rPr>
  </w:style>
  <w:style w:type="paragraph" w:customStyle="1" w:styleId="xl35">
    <w:name w:val="xl35"/>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eastAsia="fr-CA"/>
    </w:rPr>
  </w:style>
  <w:style w:type="paragraph" w:customStyle="1" w:styleId="xl36">
    <w:name w:val="xl36"/>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fr-CA"/>
    </w:rPr>
  </w:style>
  <w:style w:type="paragraph" w:customStyle="1" w:styleId="xl37">
    <w:name w:val="xl37"/>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fr-CA"/>
    </w:rPr>
  </w:style>
  <w:style w:type="paragraph" w:customStyle="1" w:styleId="xl38">
    <w:name w:val="xl3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fr-CA"/>
    </w:rPr>
  </w:style>
  <w:style w:type="paragraph" w:customStyle="1" w:styleId="xl39">
    <w:name w:val="xl39"/>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0">
    <w:name w:val="xl40"/>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1">
    <w:name w:val="xl41"/>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2">
    <w:name w:val="xl42"/>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3">
    <w:name w:val="xl43"/>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fr-CA"/>
    </w:rPr>
  </w:style>
  <w:style w:type="paragraph" w:customStyle="1" w:styleId="xl44">
    <w:name w:val="xl44"/>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5">
    <w:name w:val="xl45"/>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fr-CA"/>
    </w:rPr>
  </w:style>
  <w:style w:type="paragraph" w:customStyle="1" w:styleId="xl46">
    <w:name w:val="xl46"/>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eastAsia="fr-CA"/>
    </w:rPr>
  </w:style>
  <w:style w:type="paragraph" w:customStyle="1" w:styleId="xl47">
    <w:name w:val="xl47"/>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eastAsia="fr-CA"/>
    </w:rPr>
  </w:style>
  <w:style w:type="paragraph" w:customStyle="1" w:styleId="xl48">
    <w:name w:val="xl4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eastAsia="fr-CA"/>
    </w:rPr>
  </w:style>
  <w:style w:type="paragraph" w:customStyle="1" w:styleId="xl49">
    <w:name w:val="xl49"/>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eastAsia="fr-CA"/>
    </w:rPr>
  </w:style>
  <w:style w:type="paragraph" w:customStyle="1" w:styleId="country">
    <w:name w:val="country"/>
    <w:basedOn w:val="Normal"/>
    <w:rsid w:val="001174E9"/>
    <w:pPr>
      <w:widowControl w:val="0"/>
      <w:tabs>
        <w:tab w:val="left" w:pos="3600"/>
      </w:tabs>
      <w:autoSpaceDE w:val="0"/>
      <w:autoSpaceDN w:val="0"/>
      <w:adjustRightInd w:val="0"/>
      <w:jc w:val="left"/>
    </w:pPr>
    <w:rPr>
      <w:b/>
      <w:sz w:val="28"/>
      <w:szCs w:val="28"/>
      <w:lang w:val="es-ES"/>
    </w:rPr>
  </w:style>
  <w:style w:type="paragraph" w:customStyle="1" w:styleId="Parastyle">
    <w:name w:val="Para style"/>
    <w:basedOn w:val="Normal"/>
    <w:rsid w:val="001174E9"/>
    <w:pPr>
      <w:widowControl w:val="0"/>
      <w:numPr>
        <w:numId w:val="28"/>
      </w:numPr>
      <w:tabs>
        <w:tab w:val="left" w:pos="90"/>
        <w:tab w:val="left" w:pos="2590"/>
        <w:tab w:val="left" w:pos="7654"/>
        <w:tab w:val="right" w:pos="9964"/>
      </w:tabs>
      <w:autoSpaceDE w:val="0"/>
      <w:autoSpaceDN w:val="0"/>
      <w:adjustRightInd w:val="0"/>
      <w:spacing w:before="377"/>
      <w:jc w:val="left"/>
    </w:pPr>
    <w:rPr>
      <w:sz w:val="24"/>
      <w:szCs w:val="20"/>
      <w:lang w:val="es-ES"/>
    </w:rPr>
  </w:style>
  <w:style w:type="paragraph" w:customStyle="1" w:styleId="xl50">
    <w:name w:val="xl50"/>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s-ES"/>
    </w:rPr>
  </w:style>
  <w:style w:type="paragraph" w:customStyle="1" w:styleId="xl76">
    <w:name w:val="xl76"/>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7">
    <w:name w:val="xl77"/>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8">
    <w:name w:val="xl7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9">
    <w:name w:val="xl79"/>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80">
    <w:name w:val="xl80"/>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rPr>
  </w:style>
  <w:style w:type="paragraph" w:customStyle="1" w:styleId="xl81">
    <w:name w:val="xl81"/>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82">
    <w:name w:val="xl82"/>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83">
    <w:name w:val="xl83"/>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s-ES"/>
    </w:rPr>
  </w:style>
  <w:style w:type="paragraph" w:customStyle="1" w:styleId="xl84">
    <w:name w:val="xl84"/>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5">
    <w:name w:val="xl85"/>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6">
    <w:name w:val="xl86"/>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7">
    <w:name w:val="xl87"/>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rPr>
  </w:style>
  <w:style w:type="paragraph" w:customStyle="1" w:styleId="xl88">
    <w:name w:val="xl8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89">
    <w:name w:val="xl89"/>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0">
    <w:name w:val="xl90"/>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1">
    <w:name w:val="xl91"/>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2">
    <w:name w:val="xl92"/>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s-ES"/>
    </w:rPr>
  </w:style>
  <w:style w:type="paragraph" w:customStyle="1" w:styleId="xl93">
    <w:name w:val="xl93"/>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4">
    <w:name w:val="xl94"/>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5">
    <w:name w:val="xl95"/>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6">
    <w:name w:val="xl96"/>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7">
    <w:name w:val="xl97"/>
    <w:basedOn w:val="Normal"/>
    <w:rsid w:val="001174E9"/>
    <w:pPr>
      <w:spacing w:before="100" w:beforeAutospacing="1" w:after="100" w:afterAutospacing="1"/>
      <w:jc w:val="left"/>
    </w:pPr>
    <w:rPr>
      <w:b/>
      <w:bCs/>
      <w:sz w:val="16"/>
      <w:szCs w:val="16"/>
      <w:lang w:val="es-ES"/>
    </w:rPr>
  </w:style>
  <w:style w:type="paragraph" w:customStyle="1" w:styleId="xl75">
    <w:name w:val="xl75"/>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s-ES" w:eastAsia="en-CA"/>
    </w:rPr>
  </w:style>
  <w:style w:type="paragraph" w:customStyle="1" w:styleId="xl98">
    <w:name w:val="xl9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s-ES" w:eastAsia="en-CA"/>
    </w:rPr>
  </w:style>
  <w:style w:type="paragraph" w:customStyle="1" w:styleId="xl99">
    <w:name w:val="xl99"/>
    <w:basedOn w:val="Normal"/>
    <w:rsid w:val="001174E9"/>
    <w:pPr>
      <w:spacing w:before="100" w:beforeAutospacing="1" w:after="100" w:afterAutospacing="1"/>
      <w:jc w:val="left"/>
    </w:pPr>
    <w:rPr>
      <w:b/>
      <w:bCs/>
      <w:sz w:val="24"/>
      <w:szCs w:val="24"/>
      <w:lang w:val="es-ES" w:eastAsia="en-CA"/>
    </w:rPr>
  </w:style>
  <w:style w:type="paragraph" w:customStyle="1" w:styleId="xl66">
    <w:name w:val="xl66"/>
    <w:basedOn w:val="Normal"/>
    <w:rsid w:val="001174E9"/>
    <w:pPr>
      <w:spacing w:before="100" w:beforeAutospacing="1" w:after="100" w:afterAutospacing="1"/>
      <w:jc w:val="center"/>
      <w:textAlignment w:val="top"/>
    </w:pPr>
    <w:rPr>
      <w:sz w:val="16"/>
      <w:szCs w:val="16"/>
      <w:lang w:val="es-ES" w:eastAsia="en-CA"/>
    </w:rPr>
  </w:style>
  <w:style w:type="paragraph" w:customStyle="1" w:styleId="xl67">
    <w:name w:val="xl67"/>
    <w:basedOn w:val="Normal"/>
    <w:rsid w:val="001174E9"/>
    <w:pPr>
      <w:spacing w:before="100" w:beforeAutospacing="1" w:after="100" w:afterAutospacing="1"/>
      <w:jc w:val="left"/>
    </w:pPr>
    <w:rPr>
      <w:sz w:val="16"/>
      <w:szCs w:val="16"/>
      <w:lang w:val="es-ES" w:eastAsia="en-CA"/>
    </w:rPr>
  </w:style>
  <w:style w:type="paragraph" w:customStyle="1" w:styleId="xl68">
    <w:name w:val="xl68"/>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69">
    <w:name w:val="xl69"/>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70">
    <w:name w:val="xl70"/>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71">
    <w:name w:val="xl71"/>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72">
    <w:name w:val="xl72"/>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xl73">
    <w:name w:val="xl73"/>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4">
    <w:name w:val="xl74"/>
    <w:basedOn w:val="Normal"/>
    <w:rsid w:val="001174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eastAsia="en-CA"/>
    </w:rPr>
  </w:style>
  <w:style w:type="paragraph" w:customStyle="1" w:styleId="font5">
    <w:name w:val="font5"/>
    <w:basedOn w:val="Normal"/>
    <w:rsid w:val="001174E9"/>
    <w:pPr>
      <w:spacing w:before="100" w:beforeAutospacing="1" w:after="100" w:afterAutospacing="1"/>
      <w:jc w:val="left"/>
    </w:pPr>
    <w:rPr>
      <w:sz w:val="16"/>
      <w:szCs w:val="16"/>
      <w:lang w:val="es-ES" w:eastAsia="en-CA"/>
    </w:rPr>
  </w:style>
  <w:style w:type="paragraph" w:customStyle="1" w:styleId="font6">
    <w:name w:val="font6"/>
    <w:basedOn w:val="Normal"/>
    <w:rsid w:val="001174E9"/>
    <w:pPr>
      <w:spacing w:before="100" w:beforeAutospacing="1" w:after="100" w:afterAutospacing="1"/>
      <w:jc w:val="left"/>
    </w:pPr>
    <w:rPr>
      <w:sz w:val="16"/>
      <w:szCs w:val="16"/>
      <w:lang w:val="es-ES" w:eastAsia="en-CA"/>
    </w:rPr>
  </w:style>
  <w:style w:type="paragraph" w:customStyle="1" w:styleId="xl63">
    <w:name w:val="xl63"/>
    <w:basedOn w:val="Normal"/>
    <w:rsid w:val="001174E9"/>
    <w:pPr>
      <w:spacing w:before="100" w:beforeAutospacing="1" w:after="100" w:afterAutospacing="1"/>
      <w:jc w:val="center"/>
      <w:textAlignment w:val="top"/>
    </w:pPr>
    <w:rPr>
      <w:b/>
      <w:bCs/>
      <w:sz w:val="16"/>
      <w:szCs w:val="16"/>
      <w:lang w:val="es-ES" w:eastAsia="en-CA"/>
    </w:rPr>
  </w:style>
  <w:style w:type="paragraph" w:customStyle="1" w:styleId="xl64">
    <w:name w:val="xl64"/>
    <w:basedOn w:val="Normal"/>
    <w:rsid w:val="001174E9"/>
    <w:pPr>
      <w:spacing w:before="100" w:beforeAutospacing="1" w:after="100" w:afterAutospacing="1"/>
      <w:jc w:val="center"/>
      <w:textAlignment w:val="top"/>
    </w:pPr>
    <w:rPr>
      <w:b/>
      <w:bCs/>
      <w:sz w:val="16"/>
      <w:szCs w:val="16"/>
      <w:lang w:val="es-ES" w:eastAsia="en-CA"/>
    </w:rPr>
  </w:style>
  <w:style w:type="paragraph" w:customStyle="1" w:styleId="xl65">
    <w:name w:val="xl65"/>
    <w:basedOn w:val="Normal"/>
    <w:rsid w:val="001174E9"/>
    <w:pPr>
      <w:spacing w:before="100" w:beforeAutospacing="1" w:after="100" w:afterAutospacing="1"/>
      <w:jc w:val="left"/>
      <w:textAlignment w:val="top"/>
    </w:pPr>
    <w:rPr>
      <w:sz w:val="16"/>
      <w:szCs w:val="16"/>
      <w:lang w:val="es-ES" w:eastAsia="en-CA"/>
    </w:rPr>
  </w:style>
  <w:style w:type="numbering" w:customStyle="1" w:styleId="NoList1">
    <w:name w:val="No List1"/>
    <w:next w:val="NoList"/>
    <w:uiPriority w:val="99"/>
    <w:semiHidden/>
    <w:unhideWhenUsed/>
    <w:rsid w:val="001174E9"/>
  </w:style>
  <w:style w:type="paragraph" w:customStyle="1" w:styleId="Formatvorlage1">
    <w:name w:val="Formatvorlage1"/>
    <w:basedOn w:val="Heading1"/>
    <w:next w:val="Normal"/>
    <w:autoRedefine/>
    <w:qFormat/>
    <w:rsid w:val="001174E9"/>
    <w:pPr>
      <w:tabs>
        <w:tab w:val="num" w:pos="0"/>
      </w:tabs>
      <w:spacing w:after="120"/>
    </w:pPr>
    <w:rPr>
      <w:rFonts w:asciiTheme="minorHAnsi" w:hAnsiTheme="minorHAnsi"/>
      <w:bCs/>
      <w:sz w:val="24"/>
      <w:szCs w:val="24"/>
      <w:lang w:val="es-ES"/>
    </w:rPr>
  </w:style>
  <w:style w:type="paragraph" w:customStyle="1" w:styleId="CH4">
    <w:name w:val="CH4"/>
    <w:basedOn w:val="Normal"/>
    <w:next w:val="Normal"/>
    <w:rsid w:val="001174E9"/>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lang w:val="es-ES"/>
    </w:rPr>
  </w:style>
  <w:style w:type="paragraph" w:customStyle="1" w:styleId="Normalpool">
    <w:name w:val="Normal_pool"/>
    <w:link w:val="NormalpoolChar"/>
    <w:rsid w:val="001174E9"/>
    <w:pPr>
      <w:tabs>
        <w:tab w:val="left" w:pos="1247"/>
        <w:tab w:val="left" w:pos="1814"/>
        <w:tab w:val="left" w:pos="2381"/>
        <w:tab w:val="left" w:pos="2948"/>
        <w:tab w:val="left" w:pos="3515"/>
        <w:tab w:val="left" w:pos="4082"/>
      </w:tabs>
    </w:pPr>
    <w:rPr>
      <w:lang w:val="es-ES"/>
    </w:rPr>
  </w:style>
  <w:style w:type="character" w:customStyle="1" w:styleId="NormalpoolChar">
    <w:name w:val="Normal_pool Char"/>
    <w:link w:val="Normalpool"/>
    <w:locked/>
    <w:rsid w:val="001174E9"/>
    <w:rPr>
      <w:lang w:val="es-ES"/>
    </w:rPr>
  </w:style>
  <w:style w:type="paragraph" w:customStyle="1" w:styleId="msonormal0">
    <w:name w:val="msonormal"/>
    <w:basedOn w:val="Normal"/>
    <w:rsid w:val="001174E9"/>
    <w:pPr>
      <w:spacing w:before="100" w:beforeAutospacing="1" w:after="100" w:afterAutospacing="1"/>
      <w:jc w:val="left"/>
    </w:pPr>
    <w:rPr>
      <w:sz w:val="24"/>
      <w:szCs w:val="24"/>
      <w:lang w:val="es-E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UNEP/OzL.Pro/ExCom/88/35</Document_x0020_Number>
  </documentManagement>
</p:properties>
</file>

<file path=customXml/itemProps1.xml><?xml version="1.0" encoding="utf-8"?>
<ds:datastoreItem xmlns:ds="http://schemas.openxmlformats.org/officeDocument/2006/customXml" ds:itemID="{A70A5BDC-3FAE-425A-9F02-7C9C89E8C4C2}"/>
</file>

<file path=customXml/itemProps2.xml><?xml version="1.0" encoding="utf-8"?>
<ds:datastoreItem xmlns:ds="http://schemas.openxmlformats.org/officeDocument/2006/customXml" ds:itemID="{5BE59991-92A7-4CA3-AA7B-20D85FC66F74}"/>
</file>

<file path=customXml/itemProps3.xml><?xml version="1.0" encoding="utf-8"?>
<ds:datastoreItem xmlns:ds="http://schemas.openxmlformats.org/officeDocument/2006/customXml" ds:itemID="{EDFDC534-B54C-4873-BC90-3CDB04A37F9C}"/>
</file>

<file path=customXml/itemProps4.xml><?xml version="1.0" encoding="utf-8"?>
<ds:datastoreItem xmlns:ds="http://schemas.openxmlformats.org/officeDocument/2006/customXml" ds:itemID="{65EC5D2C-A3B6-4E51-8A28-C9FEA4FED92B}"/>
</file>

<file path=docProps/app.xml><?xml version="1.0" encoding="utf-8"?>
<Properties xmlns="http://schemas.openxmlformats.org/officeDocument/2006/extended-properties" xmlns:vt="http://schemas.openxmlformats.org/officeDocument/2006/docPropsVTypes">
  <Template>Normal</Template>
  <TotalTime>21</TotalTime>
  <Pages>13</Pages>
  <Words>6687</Words>
  <Characters>38119</Characters>
  <Application>Microsoft Office Word</Application>
  <DocSecurity>0</DocSecurity>
  <Lines>317</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Costos de unidad central de 2022 para el PNUD, la ONUDI y el Banco mundial</vt:lpstr>
      <vt:lpstr/>
    </vt:vector>
  </TitlesOfParts>
  <Company>UNMFS</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Costos de unidad central de 2022 para el PNUD, la ONUDI y el Banco mundial</dc:title>
  <dc:creator>Mulu Alem</dc:creator>
  <cp:lastModifiedBy>HBE</cp:lastModifiedBy>
  <cp:revision>14</cp:revision>
  <cp:lastPrinted>2001-05-26T16:40:00Z</cp:lastPrinted>
  <dcterms:created xsi:type="dcterms:W3CDTF">2021-11-04T17:27:00Z</dcterms:created>
  <dcterms:modified xsi:type="dcterms:W3CDTF">2022-01-04T04:10:00Z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UNEP/OzL.Pro/ExCom/88/35</vt:lpwstr>
  </property>
  <property fmtid="{D5CDD505-2E9C-101B-9397-08002B2CF9AE}" pid="3" name="Revision date">
    <vt:lpwstr>11/1/2021</vt:lpwstr>
  </property>
  <property fmtid="{D5CDD505-2E9C-101B-9397-08002B2CF9AE}" pid="4" name="ContentTypeId">
    <vt:lpwstr>0x010100F9B34BAB91CF9C49929DFB9E017C6363</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