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2" w:type="dxa"/>
        <w:tblInd w:w="-432" w:type="dxa"/>
        <w:tblLayout w:type="fixed"/>
        <w:tblLook w:val="0000" w:firstRow="0" w:lastRow="0" w:firstColumn="0" w:lastColumn="0" w:noHBand="0" w:noVBand="0"/>
      </w:tblPr>
      <w:tblGrid>
        <w:gridCol w:w="1856"/>
        <w:gridCol w:w="3969"/>
        <w:gridCol w:w="4117"/>
      </w:tblGrid>
      <w:tr w:rsidR="0087455A" w:rsidRPr="008A07FB" w14:paraId="491B47C3" w14:textId="77777777" w:rsidTr="008B0A4F">
        <w:trPr>
          <w:trHeight w:val="696"/>
        </w:trPr>
        <w:tc>
          <w:tcPr>
            <w:tcW w:w="5825" w:type="dxa"/>
            <w:gridSpan w:val="2"/>
            <w:tcBorders>
              <w:bottom w:val="single" w:sz="18" w:space="0" w:color="auto"/>
            </w:tcBorders>
          </w:tcPr>
          <w:p w14:paraId="540047E3" w14:textId="77777777" w:rsidR="0087455A" w:rsidRPr="008A07FB" w:rsidRDefault="0024162E" w:rsidP="008A07FB">
            <w:pPr>
              <w:rPr>
                <w:rFonts w:ascii="Univers" w:hAnsi="Univers"/>
                <w:b/>
                <w:sz w:val="28"/>
                <w:szCs w:val="28"/>
                <w:lang w:val="es-ES"/>
              </w:rPr>
            </w:pPr>
            <w:r w:rsidRPr="008A07FB">
              <w:rPr>
                <w:rFonts w:ascii="Univers" w:hAnsi="Univers"/>
                <w:b/>
                <w:sz w:val="28"/>
                <w:szCs w:val="28"/>
                <w:lang w:val="es-ES"/>
              </w:rPr>
              <w:t>NACIONES</w:t>
            </w:r>
          </w:p>
          <w:p w14:paraId="29D2B691" w14:textId="77777777" w:rsidR="0087455A" w:rsidRPr="008A07FB" w:rsidRDefault="0024162E" w:rsidP="008A07FB">
            <w:pPr>
              <w:rPr>
                <w:rFonts w:ascii="Univers" w:hAnsi="Univers"/>
                <w:b/>
                <w:sz w:val="28"/>
                <w:szCs w:val="28"/>
                <w:lang w:val="es-ES"/>
              </w:rPr>
            </w:pPr>
            <w:r w:rsidRPr="008A07FB">
              <w:rPr>
                <w:rFonts w:ascii="Univers" w:hAnsi="Univers"/>
                <w:b/>
                <w:sz w:val="28"/>
                <w:szCs w:val="28"/>
                <w:lang w:val="es-ES"/>
              </w:rPr>
              <w:t>UNIDAS</w:t>
            </w:r>
          </w:p>
        </w:tc>
        <w:tc>
          <w:tcPr>
            <w:tcW w:w="4117" w:type="dxa"/>
            <w:tcBorders>
              <w:bottom w:val="single" w:sz="18" w:space="0" w:color="auto"/>
            </w:tcBorders>
          </w:tcPr>
          <w:p w14:paraId="13B2B01F" w14:textId="77777777" w:rsidR="0087455A" w:rsidRPr="008A07FB" w:rsidRDefault="0024162E" w:rsidP="008A07FB">
            <w:pPr>
              <w:jc w:val="right"/>
              <w:rPr>
                <w:rFonts w:asciiTheme="minorBidi" w:hAnsiTheme="minorBidi" w:cstheme="minorBidi"/>
                <w:sz w:val="52"/>
                <w:szCs w:val="52"/>
                <w:lang w:val="es-ES"/>
              </w:rPr>
            </w:pPr>
            <w:r w:rsidRPr="008A07FB">
              <w:rPr>
                <w:rFonts w:asciiTheme="minorBidi" w:hAnsiTheme="minorBidi" w:cstheme="minorBidi"/>
                <w:b/>
                <w:sz w:val="72"/>
                <w:lang w:val="es-ES"/>
              </w:rPr>
              <w:t>EP</w:t>
            </w:r>
          </w:p>
        </w:tc>
      </w:tr>
      <w:tr w:rsidR="0087455A" w:rsidRPr="007943BD" w14:paraId="67270034" w14:textId="77777777" w:rsidTr="008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8"/>
        </w:trPr>
        <w:tc>
          <w:tcPr>
            <w:tcW w:w="1856" w:type="dxa"/>
            <w:tcBorders>
              <w:top w:val="nil"/>
              <w:left w:val="nil"/>
              <w:bottom w:val="single" w:sz="36" w:space="0" w:color="auto"/>
              <w:right w:val="nil"/>
            </w:tcBorders>
          </w:tcPr>
          <w:p w14:paraId="369CEE04" w14:textId="77777777" w:rsidR="0087455A" w:rsidRPr="008A07FB" w:rsidRDefault="0024162E" w:rsidP="008A07FB">
            <w:pPr>
              <w:spacing w:before="120"/>
              <w:rPr>
                <w:lang w:val="es-ES"/>
              </w:rPr>
            </w:pPr>
            <w:r w:rsidRPr="008A07FB">
              <w:rPr>
                <w:noProof/>
                <w:lang w:val="en-CA" w:eastAsia="en-CA"/>
              </w:rPr>
              <w:drawing>
                <wp:anchor distT="0" distB="0" distL="114300" distR="114300" simplePos="0" relativeHeight="251660288" behindDoc="0" locked="0" layoutInCell="1" allowOverlap="1" wp14:anchorId="01D55A0F" wp14:editId="216B849C">
                  <wp:simplePos x="0" y="0"/>
                  <wp:positionH relativeFrom="column">
                    <wp:posOffset>30480</wp:posOffset>
                  </wp:positionH>
                  <wp:positionV relativeFrom="paragraph">
                    <wp:posOffset>897255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8A07FB">
              <w:rPr>
                <w:noProof/>
                <w:lang w:val="en-CA" w:eastAsia="en-CA"/>
              </w:rPr>
              <w:drawing>
                <wp:anchor distT="0" distB="0" distL="114300" distR="114300" simplePos="0" relativeHeight="251661312" behindDoc="1" locked="0" layoutInCell="0" allowOverlap="1" wp14:anchorId="3FBC9E14" wp14:editId="42092A20">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968" w:type="dxa"/>
            <w:tcBorders>
              <w:top w:val="nil"/>
              <w:left w:val="nil"/>
              <w:bottom w:val="single" w:sz="36" w:space="0" w:color="auto"/>
              <w:right w:val="nil"/>
            </w:tcBorders>
          </w:tcPr>
          <w:p w14:paraId="1C96366C" w14:textId="77777777" w:rsidR="00DE7871" w:rsidRDefault="00DE7871" w:rsidP="008A07F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p>
          <w:p w14:paraId="39703CA8" w14:textId="305088A0" w:rsidR="0087455A" w:rsidRPr="008A07FB" w:rsidRDefault="0024162E" w:rsidP="008A07F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8A07FB">
              <w:rPr>
                <w:rFonts w:ascii="Univers" w:hAnsi="Univers"/>
                <w:b/>
                <w:sz w:val="32"/>
                <w:lang w:val="es-ES"/>
              </w:rPr>
              <w:t>Programa de las</w:t>
            </w:r>
          </w:p>
          <w:p w14:paraId="21D3CC34" w14:textId="77777777" w:rsidR="0087455A" w:rsidRPr="008A07FB" w:rsidRDefault="0024162E" w:rsidP="008A07F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8A07FB">
              <w:rPr>
                <w:rFonts w:ascii="Univers" w:hAnsi="Univers"/>
                <w:b/>
                <w:sz w:val="32"/>
                <w:lang w:val="es-ES"/>
              </w:rPr>
              <w:t>Naciones Unidas</w:t>
            </w:r>
          </w:p>
          <w:p w14:paraId="554DB231" w14:textId="77777777" w:rsidR="0087455A" w:rsidRPr="008A07FB" w:rsidRDefault="0024162E" w:rsidP="008A07F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
              </w:rPr>
            </w:pPr>
            <w:r w:rsidRPr="008A07FB">
              <w:rPr>
                <w:rFonts w:ascii="Univers" w:hAnsi="Univers"/>
                <w:b/>
                <w:sz w:val="32"/>
                <w:lang w:val="es-ES"/>
              </w:rPr>
              <w:t>para el Medio Ambiente</w:t>
            </w:r>
          </w:p>
          <w:p w14:paraId="20B9F0B2" w14:textId="77777777" w:rsidR="0087455A" w:rsidRPr="008A07FB" w:rsidRDefault="0087455A" w:rsidP="008A07F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ES"/>
              </w:rPr>
            </w:pPr>
          </w:p>
          <w:p w14:paraId="1853AFEA" w14:textId="77777777" w:rsidR="0087455A" w:rsidRPr="008A07FB" w:rsidRDefault="0087455A" w:rsidP="008A07FB">
            <w:pPr>
              <w:spacing w:before="720"/>
              <w:ind w:left="158"/>
              <w:rPr>
                <w:lang w:val="es-ES"/>
              </w:rPr>
            </w:pPr>
          </w:p>
        </w:tc>
        <w:tc>
          <w:tcPr>
            <w:tcW w:w="4117" w:type="dxa"/>
            <w:tcBorders>
              <w:top w:val="nil"/>
              <w:left w:val="nil"/>
              <w:bottom w:val="single" w:sz="36" w:space="0" w:color="auto"/>
              <w:right w:val="nil"/>
            </w:tcBorders>
          </w:tcPr>
          <w:p w14:paraId="3BAE3078" w14:textId="77777777" w:rsidR="00DE7871" w:rsidRDefault="00DE7871" w:rsidP="008A07FB">
            <w:pPr>
              <w:rPr>
                <w:lang w:val="es-ES"/>
              </w:rPr>
            </w:pPr>
          </w:p>
          <w:p w14:paraId="0456AEC9" w14:textId="7A80D667" w:rsidR="0087455A" w:rsidRPr="008A07FB" w:rsidRDefault="0024162E" w:rsidP="008A07FB">
            <w:pPr>
              <w:rPr>
                <w:lang w:val="es-ES"/>
              </w:rPr>
            </w:pPr>
            <w:r w:rsidRPr="008A07FB">
              <w:rPr>
                <w:lang w:val="es-ES"/>
              </w:rPr>
              <w:t>Distr.</w:t>
            </w:r>
          </w:p>
          <w:p w14:paraId="0C7C0248" w14:textId="77777777" w:rsidR="0087455A" w:rsidRPr="008A07FB" w:rsidRDefault="0024162E" w:rsidP="008A07FB">
            <w:pPr>
              <w:rPr>
                <w:lang w:val="es-ES"/>
              </w:rPr>
            </w:pPr>
            <w:r w:rsidRPr="008A07FB">
              <w:rPr>
                <w:lang w:val="es-ES"/>
              </w:rPr>
              <w:t>GENERAL</w:t>
            </w:r>
          </w:p>
          <w:p w14:paraId="0C702C8C" w14:textId="77777777" w:rsidR="0087455A" w:rsidRPr="008A07FB" w:rsidRDefault="0087455A" w:rsidP="008A07FB">
            <w:pPr>
              <w:rPr>
                <w:lang w:val="es-ES"/>
              </w:rPr>
            </w:pPr>
          </w:p>
          <w:p w14:paraId="4669A6AA" w14:textId="25613D4F" w:rsidR="0087455A" w:rsidRPr="008A07FB" w:rsidRDefault="0024162E" w:rsidP="008A07FB">
            <w:pPr>
              <w:rPr>
                <w:lang w:val="es-ES"/>
              </w:rPr>
            </w:pPr>
            <w:r w:rsidRPr="008A07FB">
              <w:rPr>
                <w:lang w:val="es-ES"/>
              </w:rPr>
              <w:fldChar w:fldCharType="begin"/>
            </w:r>
            <w:r w:rsidRPr="008A07FB">
              <w:rPr>
                <w:lang w:val="es-ES"/>
              </w:rPr>
              <w:instrText xml:space="preserve"> DOCPROPERTY "Document number"  \* MERGEFORMAT </w:instrText>
            </w:r>
            <w:r w:rsidRPr="008A07FB">
              <w:rPr>
                <w:lang w:val="es-ES"/>
              </w:rPr>
              <w:fldChar w:fldCharType="separate"/>
            </w:r>
            <w:r w:rsidR="007943BD">
              <w:rPr>
                <w:lang w:val="es-ES"/>
              </w:rPr>
              <w:t>UNEP/OzL.Pro/ExCom/88/19</w:t>
            </w:r>
            <w:r w:rsidRPr="008A07FB">
              <w:rPr>
                <w:lang w:val="es-ES"/>
              </w:rPr>
              <w:fldChar w:fldCharType="end"/>
            </w:r>
          </w:p>
          <w:p w14:paraId="5E2B9D40" w14:textId="6459A6B8" w:rsidR="002959B4" w:rsidRPr="008A07FB" w:rsidRDefault="002959B4" w:rsidP="008A07FB">
            <w:pPr>
              <w:rPr>
                <w:lang w:val="es-ES"/>
              </w:rPr>
            </w:pPr>
            <w:r w:rsidRPr="008A07FB">
              <w:rPr>
                <w:lang w:val="es-ES"/>
              </w:rPr>
              <w:fldChar w:fldCharType="begin"/>
            </w:r>
            <w:r w:rsidRPr="008A07FB">
              <w:rPr>
                <w:lang w:val="es-ES"/>
              </w:rPr>
              <w:instrText xml:space="preserve"> DOCPROPERTY "Revision date" \@ "d MMMM YYYY"  \* MERGEFORMAT </w:instrText>
            </w:r>
            <w:r w:rsidRPr="008A07FB">
              <w:rPr>
                <w:lang w:val="es-ES"/>
              </w:rPr>
              <w:fldChar w:fldCharType="separate"/>
            </w:r>
            <w:r w:rsidR="000C7AA0" w:rsidRPr="008A07FB">
              <w:rPr>
                <w:lang w:val="es-ES"/>
              </w:rPr>
              <w:t>1</w:t>
            </w:r>
            <w:r w:rsidR="008A07FB" w:rsidRPr="008A07FB">
              <w:rPr>
                <w:lang w:val="es-ES"/>
              </w:rPr>
              <w:t>9</w:t>
            </w:r>
            <w:r w:rsidR="000C7AA0" w:rsidRPr="008A07FB">
              <w:rPr>
                <w:lang w:val="es-ES"/>
              </w:rPr>
              <w:t xml:space="preserve"> </w:t>
            </w:r>
            <w:r w:rsidR="008A07FB" w:rsidRPr="008A07FB">
              <w:rPr>
                <w:lang w:val="es-ES"/>
              </w:rPr>
              <w:t xml:space="preserve">de </w:t>
            </w:r>
            <w:r w:rsidR="000C7AA0" w:rsidRPr="008A07FB">
              <w:rPr>
                <w:lang w:val="es-ES"/>
              </w:rPr>
              <w:t>octubre 2021</w:t>
            </w:r>
            <w:r w:rsidRPr="008A07FB">
              <w:rPr>
                <w:lang w:val="es-ES"/>
              </w:rPr>
              <w:fldChar w:fldCharType="end"/>
            </w:r>
          </w:p>
          <w:p w14:paraId="4A3C83C1" w14:textId="77777777" w:rsidR="00114CAA" w:rsidRPr="008A07FB" w:rsidRDefault="00114CAA" w:rsidP="008A07FB">
            <w:pPr>
              <w:rPr>
                <w:caps/>
                <w:lang w:val="es-ES"/>
              </w:rPr>
            </w:pPr>
          </w:p>
          <w:p w14:paraId="0E976559" w14:textId="77777777" w:rsidR="0087455A" w:rsidRPr="008A07FB" w:rsidRDefault="0024162E" w:rsidP="008A07FB">
            <w:pPr>
              <w:rPr>
                <w:lang w:val="es-ES"/>
              </w:rPr>
            </w:pPr>
            <w:r w:rsidRPr="008A07FB">
              <w:rPr>
                <w:lang w:val="es-ES"/>
              </w:rPr>
              <w:t xml:space="preserve">ESPAÑOL </w:t>
            </w:r>
          </w:p>
          <w:p w14:paraId="6117BFD4" w14:textId="77777777" w:rsidR="0087455A" w:rsidRPr="008A07FB" w:rsidRDefault="0024162E" w:rsidP="008A07FB">
            <w:pPr>
              <w:rPr>
                <w:lang w:val="es-ES"/>
              </w:rPr>
            </w:pPr>
            <w:r w:rsidRPr="008A07FB">
              <w:rPr>
                <w:lang w:val="es-ES"/>
              </w:rPr>
              <w:t>ORIGINAL: INGLÉS</w:t>
            </w:r>
          </w:p>
        </w:tc>
      </w:tr>
    </w:tbl>
    <w:p w14:paraId="4F2B973A" w14:textId="77777777" w:rsidR="0087455A" w:rsidRPr="008A07FB" w:rsidRDefault="0024162E" w:rsidP="008A07FB">
      <w:pPr>
        <w:jc w:val="left"/>
        <w:rPr>
          <w:lang w:val="es-ES"/>
        </w:rPr>
      </w:pPr>
      <w:r w:rsidRPr="008A07FB">
        <w:rPr>
          <w:lang w:val="es-ES"/>
        </w:rPr>
        <w:t>COMITÉ EJECUTIVO DEL FONDO MULTILATERAL</w:t>
      </w:r>
      <w:r w:rsidRPr="008A07FB">
        <w:rPr>
          <w:lang w:val="es-ES"/>
        </w:rPr>
        <w:br/>
        <w:t xml:space="preserve">  PARA LA APLICACIÓN DEL</w:t>
      </w:r>
      <w:r w:rsidRPr="008A07FB">
        <w:rPr>
          <w:lang w:val="es-ES"/>
        </w:rPr>
        <w:br/>
        <w:t xml:space="preserve">  PROTOCOLO DE MONTREAL</w:t>
      </w:r>
    </w:p>
    <w:p w14:paraId="5655786A" w14:textId="77777777" w:rsidR="00106F6E" w:rsidRPr="008A07FB" w:rsidRDefault="00106F6E" w:rsidP="008A07FB">
      <w:pPr>
        <w:jc w:val="left"/>
        <w:rPr>
          <w:lang w:val="es-ES"/>
        </w:rPr>
      </w:pPr>
      <w:r w:rsidRPr="008A07FB">
        <w:rPr>
          <w:lang w:val="es-ES"/>
        </w:rPr>
        <w:t xml:space="preserve">Octogésima </w:t>
      </w:r>
      <w:r w:rsidR="00344EAB" w:rsidRPr="008A07FB">
        <w:rPr>
          <w:lang w:val="es-ES"/>
        </w:rPr>
        <w:t>octav</w:t>
      </w:r>
      <w:r w:rsidR="002959B4" w:rsidRPr="008A07FB">
        <w:rPr>
          <w:lang w:val="es-ES"/>
        </w:rPr>
        <w:t>a</w:t>
      </w:r>
      <w:r w:rsidR="003863A4" w:rsidRPr="008A07FB">
        <w:rPr>
          <w:lang w:val="es-ES"/>
        </w:rPr>
        <w:t xml:space="preserve"> Reunión</w:t>
      </w:r>
      <w:r w:rsidR="003863A4" w:rsidRPr="008A07FB">
        <w:rPr>
          <w:lang w:val="es-ES"/>
        </w:rPr>
        <w:br/>
        <w:t xml:space="preserve">Montreal, </w:t>
      </w:r>
      <w:r w:rsidR="00344EAB" w:rsidRPr="008A07FB">
        <w:rPr>
          <w:lang w:val="es-ES"/>
        </w:rPr>
        <w:t>15 – 19 de noviembre</w:t>
      </w:r>
      <w:r w:rsidR="002959B4" w:rsidRPr="008A07FB">
        <w:rPr>
          <w:lang w:val="es-ES"/>
        </w:rPr>
        <w:t xml:space="preserve"> de 2021</w:t>
      </w:r>
      <w:r w:rsidR="002959B4" w:rsidRPr="008A07FB">
        <w:rPr>
          <w:rStyle w:val="FootnoteReference"/>
          <w:lang w:val="es-ES"/>
        </w:rPr>
        <w:footnoteReference w:id="1"/>
      </w:r>
    </w:p>
    <w:p w14:paraId="27F96D60" w14:textId="77777777" w:rsidR="00106F6E" w:rsidRPr="008A07FB" w:rsidRDefault="00106F6E" w:rsidP="008A07FB">
      <w:pPr>
        <w:jc w:val="left"/>
        <w:rPr>
          <w:lang w:val="es-ES"/>
        </w:rPr>
      </w:pPr>
    </w:p>
    <w:p w14:paraId="26E5C0D0" w14:textId="3E52FE33" w:rsidR="0087455A" w:rsidRDefault="0087455A" w:rsidP="008A07FB">
      <w:pPr>
        <w:jc w:val="left"/>
        <w:rPr>
          <w:lang w:val="es-ES"/>
        </w:rPr>
      </w:pPr>
    </w:p>
    <w:p w14:paraId="10EED155" w14:textId="77777777" w:rsidR="00DE7871" w:rsidRPr="008A07FB" w:rsidRDefault="00DE7871" w:rsidP="008A07FB">
      <w:pPr>
        <w:jc w:val="left"/>
        <w:rPr>
          <w:lang w:val="es-ES"/>
        </w:rPr>
      </w:pPr>
    </w:p>
    <w:p w14:paraId="79D285B4" w14:textId="3C66CB20" w:rsidR="008A07FB" w:rsidRDefault="008A07FB" w:rsidP="008A07FB">
      <w:pPr>
        <w:spacing w:after="240"/>
        <w:jc w:val="center"/>
        <w:rPr>
          <w:b/>
          <w:lang w:val="es-ES"/>
        </w:rPr>
      </w:pPr>
      <w:r w:rsidRPr="008A07FB">
        <w:rPr>
          <w:b/>
          <w:lang w:val="es-ES"/>
        </w:rPr>
        <w:t>INFORME REFUNDIDO DE TERMINACIÓN DE PROYECTOS DE 2021</w:t>
      </w:r>
    </w:p>
    <w:p w14:paraId="4E8B5F5E" w14:textId="77777777" w:rsidR="00DE7871" w:rsidRPr="008A07FB" w:rsidRDefault="00DE7871" w:rsidP="008A07FB">
      <w:pPr>
        <w:spacing w:after="240"/>
        <w:jc w:val="center"/>
        <w:rPr>
          <w:b/>
          <w:caps/>
          <w:lang w:val="es-ES"/>
        </w:rPr>
      </w:pPr>
    </w:p>
    <w:p w14:paraId="1C604F17" w14:textId="77777777" w:rsidR="008A07FB" w:rsidRPr="008A07FB" w:rsidRDefault="008A07FB" w:rsidP="008A07FB">
      <w:pPr>
        <w:pStyle w:val="StyleHeader4Para4Left0Firstline0"/>
        <w:widowControl/>
        <w:numPr>
          <w:ilvl w:val="0"/>
          <w:numId w:val="0"/>
        </w:numPr>
        <w:rPr>
          <w:b/>
          <w:sz w:val="22"/>
          <w:lang w:val="es-ES"/>
        </w:rPr>
      </w:pPr>
      <w:r w:rsidRPr="008A07FB">
        <w:rPr>
          <w:b/>
          <w:sz w:val="22"/>
          <w:lang w:val="es-ES"/>
        </w:rPr>
        <w:t>Antecedentes</w:t>
      </w:r>
    </w:p>
    <w:p w14:paraId="35C6F335" w14:textId="77777777" w:rsidR="008A07FB" w:rsidRPr="008A07FB" w:rsidRDefault="008A07FB" w:rsidP="008A07FB">
      <w:pPr>
        <w:pStyle w:val="Heading1"/>
        <w:tabs>
          <w:tab w:val="clear" w:pos="0"/>
          <w:tab w:val="num" w:pos="720"/>
        </w:tabs>
        <w:spacing w:before="240"/>
        <w:rPr>
          <w:lang w:val="es-ES"/>
        </w:rPr>
      </w:pPr>
      <w:r w:rsidRPr="008A07FB">
        <w:rPr>
          <w:lang w:val="es-ES"/>
        </w:rPr>
        <w:t xml:space="preserve">La cuestión de los informes de terminación de proyectos pendientes ha sido tratada periódicamente por el Comité Ejecutivo con el paso del tiempo. En su 87ª reunión, el Comité Ejecutivo, entre otras cosas, instó a los organismos bilaterales y de ejecución a presentar a la 88ª reunión los informes atrasados de finalización de proyectos correspondientes a acuerdos plurianuales y proyectos individuales, o bien indicar los motivos para no hacerlo, y también instó a los organismos de ejecución principales y cooperantes a coordinarse estrechamente para concluir a tiempo sus respectivas partes de los informes de finalización de proyectos a fin de que el organismo de ejecución principal los pueda presentar oportunamente (decisión 87/25 b) y c)). </w:t>
      </w:r>
    </w:p>
    <w:p w14:paraId="2C6D0788" w14:textId="77777777" w:rsidR="008A07FB" w:rsidRPr="008A07FB" w:rsidRDefault="008A07FB" w:rsidP="008A07FB">
      <w:pPr>
        <w:pStyle w:val="Heading1"/>
        <w:tabs>
          <w:tab w:val="clear" w:pos="0"/>
          <w:tab w:val="num" w:pos="720"/>
        </w:tabs>
        <w:spacing w:before="240"/>
        <w:rPr>
          <w:lang w:val="es-ES"/>
        </w:rPr>
      </w:pPr>
      <w:r w:rsidRPr="008A07FB">
        <w:rPr>
          <w:lang w:val="es-ES"/>
        </w:rPr>
        <w:t>De conformidad con la decisión 87/25 b) y c), la lista de todos los informes de terminación de proyectos pendientes se envió a los organismos bilaterales y de ejecución el 5 de agosto de 2021. La nueva lista que contiene los informes de terminación de proyectos pendientes y aquellos que deben presentarse en 2022, de acuerdo con los informes sobre la marcha de las actividades actualizados, se envió nuevamente a los organismos bilaterales y de ejecución el 12 de octubre de 2021.</w:t>
      </w:r>
    </w:p>
    <w:p w14:paraId="6DC6A6A0" w14:textId="77777777" w:rsidR="008A07FB" w:rsidRPr="008A07FB" w:rsidRDefault="008A07FB" w:rsidP="008A07FB">
      <w:pPr>
        <w:pStyle w:val="lisa"/>
        <w:widowControl/>
        <w:numPr>
          <w:ilvl w:val="0"/>
          <w:numId w:val="0"/>
        </w:numPr>
        <w:tabs>
          <w:tab w:val="left" w:pos="720"/>
        </w:tabs>
        <w:rPr>
          <w:szCs w:val="22"/>
        </w:rPr>
      </w:pPr>
      <w:r w:rsidRPr="008A07FB">
        <w:t>Informes de terminación de proyectos de acuerdos plurianuales recibidos</w:t>
      </w:r>
    </w:p>
    <w:p w14:paraId="78F32722" w14:textId="77777777" w:rsidR="008A07FB" w:rsidRPr="008A07FB" w:rsidRDefault="008A07FB" w:rsidP="008A07FB">
      <w:pPr>
        <w:pStyle w:val="Heading1"/>
        <w:tabs>
          <w:tab w:val="clear" w:pos="0"/>
          <w:tab w:val="num" w:pos="720"/>
        </w:tabs>
        <w:spacing w:before="240"/>
        <w:rPr>
          <w:b/>
          <w:lang w:val="es-ES"/>
        </w:rPr>
      </w:pPr>
      <w:r w:rsidRPr="008A07FB">
        <w:rPr>
          <w:lang w:val="es-ES"/>
        </w:rPr>
        <w:t xml:space="preserve">De los 212 acuerdos plurianuales completados, los organismos bilaterales y de ejecución habían presentado, con anterioridad a la 88ª reunión, 204 informes de terminación de proyectos, por lo que restan ocho informes pendientes, como se muestra en el Cuadro 1. La lista de los cinco informes de terminación de proyectos presentados después de la 88ª reunión se adjunta en el Anexo I del presente informe. </w:t>
      </w:r>
    </w:p>
    <w:p w14:paraId="1B03C92A" w14:textId="77777777" w:rsidR="00DE7871" w:rsidRDefault="00DE7871">
      <w:pPr>
        <w:jc w:val="left"/>
        <w:rPr>
          <w:b/>
          <w:lang w:val="es-ES"/>
        </w:rPr>
      </w:pPr>
      <w:r>
        <w:rPr>
          <w:b/>
          <w:lang w:val="es-ES"/>
        </w:rPr>
        <w:br w:type="page"/>
      </w:r>
    </w:p>
    <w:p w14:paraId="2331297B" w14:textId="78C43A76" w:rsidR="008A07FB" w:rsidRPr="008A07FB" w:rsidRDefault="008A07FB" w:rsidP="008A07FB">
      <w:pPr>
        <w:pStyle w:val="Heading1"/>
        <w:numPr>
          <w:ilvl w:val="0"/>
          <w:numId w:val="0"/>
        </w:numPr>
        <w:tabs>
          <w:tab w:val="left" w:pos="720"/>
        </w:tabs>
        <w:spacing w:after="0"/>
        <w:rPr>
          <w:b/>
          <w:lang w:val="es-ES"/>
        </w:rPr>
      </w:pPr>
      <w:r w:rsidRPr="008A07FB">
        <w:rPr>
          <w:b/>
          <w:lang w:val="es-ES"/>
        </w:rPr>
        <w:lastRenderedPageBreak/>
        <w:t>Cuadro 1. Reseña de los informes de terminación de proyectos de acuerdos plurianuales</w:t>
      </w:r>
    </w:p>
    <w:tbl>
      <w:tblPr>
        <w:tblW w:w="9360" w:type="dxa"/>
        <w:tblInd w:w="-5" w:type="dxa"/>
        <w:tblLayout w:type="fixed"/>
        <w:tblLook w:val="04A0" w:firstRow="1" w:lastRow="0" w:firstColumn="1" w:lastColumn="0" w:noHBand="0" w:noVBand="1"/>
      </w:tblPr>
      <w:tblGrid>
        <w:gridCol w:w="1388"/>
        <w:gridCol w:w="1874"/>
        <w:gridCol w:w="2127"/>
        <w:gridCol w:w="1985"/>
        <w:gridCol w:w="1986"/>
      </w:tblGrid>
      <w:tr w:rsidR="008A07FB" w:rsidRPr="008A07FB" w14:paraId="5B7D0E44" w14:textId="77777777" w:rsidTr="008A07FB">
        <w:trPr>
          <w:tblHeader/>
        </w:trPr>
        <w:tc>
          <w:tcPr>
            <w:tcW w:w="1389" w:type="dxa"/>
            <w:tcBorders>
              <w:top w:val="single" w:sz="4" w:space="0" w:color="auto"/>
              <w:left w:val="single" w:sz="4" w:space="0" w:color="auto"/>
              <w:bottom w:val="single" w:sz="4" w:space="0" w:color="auto"/>
              <w:right w:val="single" w:sz="4" w:space="0" w:color="auto"/>
            </w:tcBorders>
            <w:noWrap/>
            <w:vAlign w:val="center"/>
            <w:hideMark/>
          </w:tcPr>
          <w:p w14:paraId="30111D57" w14:textId="77777777" w:rsidR="008A07FB" w:rsidRPr="008A07FB" w:rsidRDefault="008A07FB" w:rsidP="008A07FB">
            <w:pPr>
              <w:jc w:val="left"/>
              <w:rPr>
                <w:b/>
                <w:bCs/>
                <w:color w:val="000000"/>
                <w:sz w:val="20"/>
                <w:szCs w:val="20"/>
                <w:lang w:val="es-ES"/>
              </w:rPr>
            </w:pPr>
            <w:r w:rsidRPr="008A07FB">
              <w:rPr>
                <w:b/>
                <w:color w:val="000000"/>
                <w:sz w:val="20"/>
                <w:lang w:val="es-ES"/>
              </w:rPr>
              <w:t>Organismo principal</w:t>
            </w:r>
          </w:p>
        </w:tc>
        <w:tc>
          <w:tcPr>
            <w:tcW w:w="1875" w:type="dxa"/>
            <w:tcBorders>
              <w:top w:val="single" w:sz="4" w:space="0" w:color="auto"/>
              <w:left w:val="nil"/>
              <w:bottom w:val="single" w:sz="4" w:space="0" w:color="auto"/>
              <w:right w:val="single" w:sz="4" w:space="0" w:color="auto"/>
            </w:tcBorders>
            <w:noWrap/>
            <w:vAlign w:val="center"/>
            <w:hideMark/>
          </w:tcPr>
          <w:p w14:paraId="1B9F5B4A" w14:textId="77777777" w:rsidR="008A07FB" w:rsidRPr="008A07FB" w:rsidRDefault="008A07FB" w:rsidP="008A07FB">
            <w:pPr>
              <w:jc w:val="center"/>
              <w:rPr>
                <w:b/>
                <w:bCs/>
                <w:color w:val="000000"/>
                <w:sz w:val="20"/>
                <w:szCs w:val="20"/>
                <w:lang w:val="es-ES"/>
              </w:rPr>
            </w:pPr>
            <w:r w:rsidRPr="008A07FB">
              <w:rPr>
                <w:b/>
                <w:color w:val="000000"/>
                <w:sz w:val="20"/>
                <w:lang w:val="es-ES"/>
              </w:rPr>
              <w:t>Terminados</w:t>
            </w:r>
          </w:p>
        </w:tc>
        <w:tc>
          <w:tcPr>
            <w:tcW w:w="2128" w:type="dxa"/>
            <w:tcBorders>
              <w:top w:val="single" w:sz="4" w:space="0" w:color="auto"/>
              <w:left w:val="nil"/>
              <w:bottom w:val="single" w:sz="4" w:space="0" w:color="auto"/>
              <w:right w:val="single" w:sz="4" w:space="0" w:color="auto"/>
            </w:tcBorders>
            <w:vAlign w:val="center"/>
            <w:hideMark/>
          </w:tcPr>
          <w:p w14:paraId="4B7DE0B3" w14:textId="77777777" w:rsidR="008A07FB" w:rsidRPr="008A07FB" w:rsidRDefault="008A07FB" w:rsidP="008A07FB">
            <w:pPr>
              <w:jc w:val="center"/>
              <w:rPr>
                <w:b/>
                <w:bCs/>
                <w:sz w:val="20"/>
                <w:szCs w:val="20"/>
                <w:lang w:val="es-ES"/>
              </w:rPr>
            </w:pPr>
            <w:r w:rsidRPr="008A07FB">
              <w:rPr>
                <w:b/>
                <w:sz w:val="20"/>
                <w:lang w:val="es-ES"/>
              </w:rPr>
              <w:t>Recibidos antes de la 87</w:t>
            </w:r>
            <w:r w:rsidRPr="008A07FB">
              <w:rPr>
                <w:b/>
                <w:sz w:val="20"/>
                <w:vertAlign w:val="superscript"/>
                <w:lang w:val="es-ES"/>
              </w:rPr>
              <w:t>a</w:t>
            </w:r>
            <w:r w:rsidRPr="008A07FB">
              <w:rPr>
                <w:b/>
                <w:sz w:val="20"/>
                <w:lang w:val="es-ES"/>
              </w:rPr>
              <w:t> reunión</w:t>
            </w:r>
          </w:p>
        </w:tc>
        <w:tc>
          <w:tcPr>
            <w:tcW w:w="1986" w:type="dxa"/>
            <w:tcBorders>
              <w:top w:val="single" w:sz="4" w:space="0" w:color="auto"/>
              <w:left w:val="nil"/>
              <w:bottom w:val="single" w:sz="4" w:space="0" w:color="auto"/>
              <w:right w:val="single" w:sz="4" w:space="0" w:color="auto"/>
            </w:tcBorders>
            <w:vAlign w:val="center"/>
            <w:hideMark/>
          </w:tcPr>
          <w:p w14:paraId="3722236C" w14:textId="77777777" w:rsidR="008A07FB" w:rsidRPr="008A07FB" w:rsidRDefault="008A07FB" w:rsidP="008A07FB">
            <w:pPr>
              <w:jc w:val="center"/>
              <w:rPr>
                <w:b/>
                <w:bCs/>
                <w:sz w:val="20"/>
                <w:szCs w:val="20"/>
                <w:lang w:val="es-ES"/>
              </w:rPr>
            </w:pPr>
            <w:r w:rsidRPr="008A07FB">
              <w:rPr>
                <w:b/>
                <w:sz w:val="20"/>
                <w:lang w:val="es-ES"/>
              </w:rPr>
              <w:t>Recibidos después de la 87</w:t>
            </w:r>
            <w:r w:rsidRPr="008A07FB">
              <w:rPr>
                <w:b/>
                <w:sz w:val="20"/>
                <w:vertAlign w:val="superscript"/>
                <w:lang w:val="es-ES"/>
              </w:rPr>
              <w:t>a</w:t>
            </w:r>
            <w:r w:rsidRPr="008A07FB">
              <w:rPr>
                <w:b/>
                <w:sz w:val="20"/>
                <w:lang w:val="es-ES"/>
              </w:rPr>
              <w:t> reunión</w:t>
            </w:r>
          </w:p>
        </w:tc>
        <w:tc>
          <w:tcPr>
            <w:tcW w:w="1987" w:type="dxa"/>
            <w:tcBorders>
              <w:top w:val="single" w:sz="4" w:space="0" w:color="auto"/>
              <w:left w:val="nil"/>
              <w:bottom w:val="single" w:sz="4" w:space="0" w:color="auto"/>
              <w:right w:val="single" w:sz="4" w:space="0" w:color="auto"/>
            </w:tcBorders>
            <w:vAlign w:val="center"/>
            <w:hideMark/>
          </w:tcPr>
          <w:p w14:paraId="33B5AB65" w14:textId="77777777" w:rsidR="008A07FB" w:rsidRPr="008A07FB" w:rsidRDefault="008A07FB" w:rsidP="008A07FB">
            <w:pPr>
              <w:jc w:val="center"/>
              <w:rPr>
                <w:b/>
                <w:bCs/>
                <w:sz w:val="20"/>
                <w:szCs w:val="20"/>
                <w:lang w:val="es-ES"/>
              </w:rPr>
            </w:pPr>
            <w:r w:rsidRPr="008A07FB">
              <w:rPr>
                <w:b/>
                <w:sz w:val="20"/>
                <w:lang w:val="es-ES"/>
              </w:rPr>
              <w:t>Pendientes</w:t>
            </w:r>
          </w:p>
        </w:tc>
      </w:tr>
      <w:tr w:rsidR="008A07FB" w:rsidRPr="008A07FB" w14:paraId="43FEC714" w14:textId="77777777" w:rsidTr="008A07FB">
        <w:tc>
          <w:tcPr>
            <w:tcW w:w="1389" w:type="dxa"/>
            <w:tcBorders>
              <w:top w:val="nil"/>
              <w:left w:val="single" w:sz="4" w:space="0" w:color="auto"/>
              <w:bottom w:val="single" w:sz="4" w:space="0" w:color="auto"/>
              <w:right w:val="single" w:sz="4" w:space="0" w:color="auto"/>
            </w:tcBorders>
            <w:noWrap/>
            <w:vAlign w:val="center"/>
            <w:hideMark/>
          </w:tcPr>
          <w:p w14:paraId="679938F7" w14:textId="77777777" w:rsidR="008A07FB" w:rsidRPr="008A07FB" w:rsidRDefault="008A07FB" w:rsidP="008A07FB">
            <w:pPr>
              <w:rPr>
                <w:color w:val="000000"/>
                <w:sz w:val="20"/>
                <w:szCs w:val="20"/>
                <w:lang w:val="es-ES"/>
              </w:rPr>
            </w:pPr>
            <w:r w:rsidRPr="008A07FB">
              <w:rPr>
                <w:color w:val="000000"/>
                <w:sz w:val="20"/>
                <w:lang w:val="es-ES"/>
              </w:rPr>
              <w:t>Canadá</w:t>
            </w:r>
          </w:p>
        </w:tc>
        <w:tc>
          <w:tcPr>
            <w:tcW w:w="1875" w:type="dxa"/>
            <w:tcBorders>
              <w:top w:val="nil"/>
              <w:left w:val="nil"/>
              <w:bottom w:val="single" w:sz="4" w:space="0" w:color="auto"/>
              <w:right w:val="single" w:sz="4" w:space="0" w:color="auto"/>
            </w:tcBorders>
            <w:noWrap/>
            <w:vAlign w:val="bottom"/>
            <w:hideMark/>
          </w:tcPr>
          <w:p w14:paraId="7C2B5C01" w14:textId="77777777" w:rsidR="008A07FB" w:rsidRPr="008A07FB" w:rsidRDefault="008A07FB" w:rsidP="008A07FB">
            <w:pPr>
              <w:jc w:val="center"/>
              <w:rPr>
                <w:sz w:val="20"/>
                <w:szCs w:val="20"/>
                <w:lang w:val="es-ES"/>
              </w:rPr>
            </w:pPr>
            <w:r w:rsidRPr="008A07FB">
              <w:rPr>
                <w:sz w:val="20"/>
                <w:lang w:val="es-ES"/>
              </w:rPr>
              <w:t>3</w:t>
            </w:r>
          </w:p>
        </w:tc>
        <w:tc>
          <w:tcPr>
            <w:tcW w:w="2128" w:type="dxa"/>
            <w:tcBorders>
              <w:top w:val="nil"/>
              <w:left w:val="nil"/>
              <w:bottom w:val="single" w:sz="4" w:space="0" w:color="auto"/>
              <w:right w:val="single" w:sz="4" w:space="0" w:color="auto"/>
            </w:tcBorders>
            <w:noWrap/>
            <w:vAlign w:val="center"/>
            <w:hideMark/>
          </w:tcPr>
          <w:p w14:paraId="2675915E" w14:textId="77777777" w:rsidR="008A07FB" w:rsidRPr="008A07FB" w:rsidRDefault="008A07FB" w:rsidP="008A07FB">
            <w:pPr>
              <w:jc w:val="center"/>
              <w:rPr>
                <w:sz w:val="20"/>
                <w:szCs w:val="20"/>
                <w:lang w:val="es-ES"/>
              </w:rPr>
            </w:pPr>
            <w:r w:rsidRPr="008A07FB">
              <w:rPr>
                <w:sz w:val="20"/>
                <w:lang w:val="es-ES"/>
              </w:rPr>
              <w:t>3</w:t>
            </w:r>
          </w:p>
        </w:tc>
        <w:tc>
          <w:tcPr>
            <w:tcW w:w="1986" w:type="dxa"/>
            <w:tcBorders>
              <w:top w:val="nil"/>
              <w:left w:val="nil"/>
              <w:bottom w:val="single" w:sz="4" w:space="0" w:color="auto"/>
              <w:right w:val="single" w:sz="4" w:space="0" w:color="auto"/>
            </w:tcBorders>
            <w:noWrap/>
            <w:vAlign w:val="center"/>
            <w:hideMark/>
          </w:tcPr>
          <w:p w14:paraId="0756987F" w14:textId="77777777" w:rsidR="008A07FB" w:rsidRPr="008A07FB" w:rsidRDefault="008A07FB" w:rsidP="008A07FB">
            <w:pPr>
              <w:jc w:val="center"/>
              <w:rPr>
                <w:sz w:val="20"/>
                <w:szCs w:val="20"/>
                <w:lang w:val="es-ES"/>
              </w:rPr>
            </w:pPr>
            <w:r w:rsidRPr="008A07FB">
              <w:rPr>
                <w:sz w:val="20"/>
                <w:lang w:val="es-ES"/>
              </w:rPr>
              <w:t>0</w:t>
            </w:r>
          </w:p>
        </w:tc>
        <w:tc>
          <w:tcPr>
            <w:tcW w:w="1987" w:type="dxa"/>
            <w:tcBorders>
              <w:top w:val="nil"/>
              <w:left w:val="nil"/>
              <w:bottom w:val="single" w:sz="4" w:space="0" w:color="auto"/>
              <w:right w:val="single" w:sz="4" w:space="0" w:color="auto"/>
            </w:tcBorders>
            <w:vAlign w:val="center"/>
            <w:hideMark/>
          </w:tcPr>
          <w:p w14:paraId="2024EF58" w14:textId="77777777" w:rsidR="008A07FB" w:rsidRPr="008A07FB" w:rsidRDefault="008A07FB" w:rsidP="008A07FB">
            <w:pPr>
              <w:jc w:val="center"/>
              <w:rPr>
                <w:sz w:val="20"/>
                <w:szCs w:val="20"/>
                <w:lang w:val="es-ES"/>
              </w:rPr>
            </w:pPr>
            <w:r w:rsidRPr="008A07FB">
              <w:rPr>
                <w:sz w:val="20"/>
                <w:lang w:val="es-ES"/>
              </w:rPr>
              <w:t>0</w:t>
            </w:r>
          </w:p>
        </w:tc>
      </w:tr>
      <w:tr w:rsidR="008A07FB" w:rsidRPr="008A07FB" w14:paraId="21281BAC" w14:textId="77777777" w:rsidTr="008A07FB">
        <w:tc>
          <w:tcPr>
            <w:tcW w:w="1389" w:type="dxa"/>
            <w:tcBorders>
              <w:top w:val="nil"/>
              <w:left w:val="single" w:sz="4" w:space="0" w:color="auto"/>
              <w:bottom w:val="single" w:sz="4" w:space="0" w:color="auto"/>
              <w:right w:val="single" w:sz="4" w:space="0" w:color="auto"/>
            </w:tcBorders>
            <w:noWrap/>
            <w:vAlign w:val="center"/>
            <w:hideMark/>
          </w:tcPr>
          <w:p w14:paraId="20282861" w14:textId="77777777" w:rsidR="008A07FB" w:rsidRPr="008A07FB" w:rsidRDefault="008A07FB" w:rsidP="008A07FB">
            <w:pPr>
              <w:rPr>
                <w:color w:val="000000"/>
                <w:sz w:val="20"/>
                <w:szCs w:val="20"/>
                <w:lang w:val="es-ES"/>
              </w:rPr>
            </w:pPr>
            <w:r w:rsidRPr="008A07FB">
              <w:rPr>
                <w:color w:val="000000"/>
                <w:sz w:val="20"/>
                <w:lang w:val="es-ES"/>
              </w:rPr>
              <w:t>Francia</w:t>
            </w:r>
          </w:p>
        </w:tc>
        <w:tc>
          <w:tcPr>
            <w:tcW w:w="1875" w:type="dxa"/>
            <w:tcBorders>
              <w:top w:val="nil"/>
              <w:left w:val="nil"/>
              <w:bottom w:val="single" w:sz="4" w:space="0" w:color="auto"/>
              <w:right w:val="single" w:sz="4" w:space="0" w:color="auto"/>
            </w:tcBorders>
            <w:noWrap/>
            <w:vAlign w:val="bottom"/>
            <w:hideMark/>
          </w:tcPr>
          <w:p w14:paraId="3FA1CA1C" w14:textId="77777777" w:rsidR="008A07FB" w:rsidRPr="008A07FB" w:rsidRDefault="008A07FB" w:rsidP="008A07FB">
            <w:pPr>
              <w:jc w:val="center"/>
              <w:rPr>
                <w:sz w:val="20"/>
                <w:szCs w:val="20"/>
                <w:lang w:val="es-ES"/>
              </w:rPr>
            </w:pPr>
            <w:r w:rsidRPr="008A07FB">
              <w:rPr>
                <w:sz w:val="20"/>
                <w:lang w:val="es-ES"/>
              </w:rPr>
              <w:t>6</w:t>
            </w:r>
          </w:p>
        </w:tc>
        <w:tc>
          <w:tcPr>
            <w:tcW w:w="2128" w:type="dxa"/>
            <w:tcBorders>
              <w:top w:val="nil"/>
              <w:left w:val="nil"/>
              <w:bottom w:val="single" w:sz="4" w:space="0" w:color="auto"/>
              <w:right w:val="single" w:sz="4" w:space="0" w:color="auto"/>
            </w:tcBorders>
            <w:noWrap/>
            <w:vAlign w:val="center"/>
            <w:hideMark/>
          </w:tcPr>
          <w:p w14:paraId="3CD368D7" w14:textId="77777777" w:rsidR="008A07FB" w:rsidRPr="008A07FB" w:rsidRDefault="008A07FB" w:rsidP="008A07FB">
            <w:pPr>
              <w:jc w:val="center"/>
              <w:rPr>
                <w:sz w:val="20"/>
                <w:szCs w:val="20"/>
                <w:lang w:val="es-ES"/>
              </w:rPr>
            </w:pPr>
            <w:r w:rsidRPr="008A07FB">
              <w:rPr>
                <w:sz w:val="20"/>
                <w:lang w:val="es-ES"/>
              </w:rPr>
              <w:t>6</w:t>
            </w:r>
          </w:p>
        </w:tc>
        <w:tc>
          <w:tcPr>
            <w:tcW w:w="1986" w:type="dxa"/>
            <w:tcBorders>
              <w:top w:val="nil"/>
              <w:left w:val="nil"/>
              <w:bottom w:val="single" w:sz="4" w:space="0" w:color="auto"/>
              <w:right w:val="single" w:sz="4" w:space="0" w:color="auto"/>
            </w:tcBorders>
            <w:noWrap/>
            <w:vAlign w:val="center"/>
            <w:hideMark/>
          </w:tcPr>
          <w:p w14:paraId="1569E3B0" w14:textId="77777777" w:rsidR="008A07FB" w:rsidRPr="008A07FB" w:rsidRDefault="008A07FB" w:rsidP="008A07FB">
            <w:pPr>
              <w:jc w:val="center"/>
              <w:rPr>
                <w:sz w:val="20"/>
                <w:szCs w:val="20"/>
                <w:lang w:val="es-ES"/>
              </w:rPr>
            </w:pPr>
            <w:r w:rsidRPr="008A07FB">
              <w:rPr>
                <w:sz w:val="20"/>
                <w:lang w:val="es-ES"/>
              </w:rPr>
              <w:t>0</w:t>
            </w:r>
          </w:p>
        </w:tc>
        <w:tc>
          <w:tcPr>
            <w:tcW w:w="1987" w:type="dxa"/>
            <w:tcBorders>
              <w:top w:val="nil"/>
              <w:left w:val="nil"/>
              <w:bottom w:val="single" w:sz="4" w:space="0" w:color="auto"/>
              <w:right w:val="single" w:sz="4" w:space="0" w:color="auto"/>
            </w:tcBorders>
            <w:vAlign w:val="center"/>
            <w:hideMark/>
          </w:tcPr>
          <w:p w14:paraId="1A5099C7" w14:textId="77777777" w:rsidR="008A07FB" w:rsidRPr="008A07FB" w:rsidRDefault="008A07FB" w:rsidP="008A07FB">
            <w:pPr>
              <w:jc w:val="center"/>
              <w:rPr>
                <w:sz w:val="20"/>
                <w:szCs w:val="20"/>
                <w:lang w:val="es-ES"/>
              </w:rPr>
            </w:pPr>
            <w:r w:rsidRPr="008A07FB">
              <w:rPr>
                <w:sz w:val="20"/>
                <w:lang w:val="es-ES"/>
              </w:rPr>
              <w:t>0</w:t>
            </w:r>
          </w:p>
        </w:tc>
      </w:tr>
      <w:tr w:rsidR="008A07FB" w:rsidRPr="008A07FB" w14:paraId="27CFB757" w14:textId="77777777" w:rsidTr="008A07FB">
        <w:tc>
          <w:tcPr>
            <w:tcW w:w="1389" w:type="dxa"/>
            <w:tcBorders>
              <w:top w:val="nil"/>
              <w:left w:val="single" w:sz="4" w:space="0" w:color="auto"/>
              <w:bottom w:val="single" w:sz="4" w:space="0" w:color="auto"/>
              <w:right w:val="single" w:sz="4" w:space="0" w:color="auto"/>
            </w:tcBorders>
            <w:noWrap/>
            <w:vAlign w:val="center"/>
            <w:hideMark/>
          </w:tcPr>
          <w:p w14:paraId="1ABA47B0" w14:textId="77777777" w:rsidR="008A07FB" w:rsidRPr="008A07FB" w:rsidRDefault="008A07FB" w:rsidP="008A07FB">
            <w:pPr>
              <w:rPr>
                <w:color w:val="000000"/>
                <w:sz w:val="20"/>
                <w:szCs w:val="20"/>
                <w:lang w:val="es-ES"/>
              </w:rPr>
            </w:pPr>
            <w:r w:rsidRPr="008A07FB">
              <w:rPr>
                <w:color w:val="000000"/>
                <w:sz w:val="20"/>
                <w:lang w:val="es-ES"/>
              </w:rPr>
              <w:t>Alemania</w:t>
            </w:r>
          </w:p>
        </w:tc>
        <w:tc>
          <w:tcPr>
            <w:tcW w:w="1875" w:type="dxa"/>
            <w:tcBorders>
              <w:top w:val="nil"/>
              <w:left w:val="nil"/>
              <w:bottom w:val="single" w:sz="4" w:space="0" w:color="auto"/>
              <w:right w:val="single" w:sz="4" w:space="0" w:color="auto"/>
            </w:tcBorders>
            <w:noWrap/>
            <w:vAlign w:val="bottom"/>
            <w:hideMark/>
          </w:tcPr>
          <w:p w14:paraId="775CF93C" w14:textId="77777777" w:rsidR="008A07FB" w:rsidRPr="008A07FB" w:rsidRDefault="008A07FB" w:rsidP="008A07FB">
            <w:pPr>
              <w:jc w:val="center"/>
              <w:rPr>
                <w:sz w:val="20"/>
                <w:szCs w:val="20"/>
                <w:lang w:val="es-ES"/>
              </w:rPr>
            </w:pPr>
            <w:r w:rsidRPr="008A07FB">
              <w:rPr>
                <w:sz w:val="20"/>
                <w:lang w:val="es-ES"/>
              </w:rPr>
              <w:t>10</w:t>
            </w:r>
          </w:p>
        </w:tc>
        <w:tc>
          <w:tcPr>
            <w:tcW w:w="2128" w:type="dxa"/>
            <w:tcBorders>
              <w:top w:val="nil"/>
              <w:left w:val="nil"/>
              <w:bottom w:val="single" w:sz="4" w:space="0" w:color="auto"/>
              <w:right w:val="single" w:sz="4" w:space="0" w:color="auto"/>
            </w:tcBorders>
            <w:noWrap/>
            <w:vAlign w:val="bottom"/>
            <w:hideMark/>
          </w:tcPr>
          <w:p w14:paraId="44D26BE2" w14:textId="77777777" w:rsidR="008A07FB" w:rsidRPr="008A07FB" w:rsidRDefault="008A07FB" w:rsidP="008A07FB">
            <w:pPr>
              <w:jc w:val="center"/>
              <w:rPr>
                <w:sz w:val="20"/>
                <w:szCs w:val="20"/>
                <w:lang w:val="es-ES"/>
              </w:rPr>
            </w:pPr>
            <w:r w:rsidRPr="008A07FB">
              <w:rPr>
                <w:sz w:val="20"/>
                <w:lang w:val="es-ES"/>
              </w:rPr>
              <w:t>9</w:t>
            </w:r>
          </w:p>
        </w:tc>
        <w:tc>
          <w:tcPr>
            <w:tcW w:w="1986" w:type="dxa"/>
            <w:tcBorders>
              <w:top w:val="nil"/>
              <w:left w:val="nil"/>
              <w:bottom w:val="single" w:sz="4" w:space="0" w:color="auto"/>
              <w:right w:val="single" w:sz="4" w:space="0" w:color="auto"/>
            </w:tcBorders>
            <w:noWrap/>
            <w:vAlign w:val="center"/>
            <w:hideMark/>
          </w:tcPr>
          <w:p w14:paraId="578184F5" w14:textId="77777777" w:rsidR="008A07FB" w:rsidRPr="008A07FB" w:rsidRDefault="008A07FB" w:rsidP="008A07FB">
            <w:pPr>
              <w:jc w:val="center"/>
              <w:rPr>
                <w:sz w:val="20"/>
                <w:szCs w:val="20"/>
                <w:lang w:val="es-ES"/>
              </w:rPr>
            </w:pPr>
            <w:r w:rsidRPr="008A07FB">
              <w:rPr>
                <w:sz w:val="20"/>
                <w:lang w:val="es-ES"/>
              </w:rPr>
              <w:t>0</w:t>
            </w:r>
          </w:p>
        </w:tc>
        <w:tc>
          <w:tcPr>
            <w:tcW w:w="1987" w:type="dxa"/>
            <w:tcBorders>
              <w:top w:val="nil"/>
              <w:left w:val="nil"/>
              <w:bottom w:val="single" w:sz="4" w:space="0" w:color="auto"/>
              <w:right w:val="single" w:sz="4" w:space="0" w:color="auto"/>
            </w:tcBorders>
            <w:vAlign w:val="center"/>
            <w:hideMark/>
          </w:tcPr>
          <w:p w14:paraId="1ED68C43" w14:textId="77777777" w:rsidR="008A07FB" w:rsidRPr="008A07FB" w:rsidRDefault="008A07FB" w:rsidP="008A07FB">
            <w:pPr>
              <w:jc w:val="center"/>
              <w:rPr>
                <w:sz w:val="20"/>
                <w:szCs w:val="20"/>
                <w:lang w:val="es-ES"/>
              </w:rPr>
            </w:pPr>
            <w:r w:rsidRPr="008A07FB">
              <w:rPr>
                <w:sz w:val="20"/>
                <w:lang w:val="es-ES"/>
              </w:rPr>
              <w:t>1</w:t>
            </w:r>
          </w:p>
        </w:tc>
      </w:tr>
      <w:tr w:rsidR="008A07FB" w:rsidRPr="008A07FB" w14:paraId="7C274E29" w14:textId="77777777" w:rsidTr="008A07FB">
        <w:tc>
          <w:tcPr>
            <w:tcW w:w="1389" w:type="dxa"/>
            <w:tcBorders>
              <w:top w:val="nil"/>
              <w:left w:val="single" w:sz="4" w:space="0" w:color="auto"/>
              <w:bottom w:val="single" w:sz="4" w:space="0" w:color="auto"/>
              <w:right w:val="single" w:sz="4" w:space="0" w:color="auto"/>
            </w:tcBorders>
            <w:noWrap/>
            <w:vAlign w:val="center"/>
            <w:hideMark/>
          </w:tcPr>
          <w:p w14:paraId="66B945A4" w14:textId="77777777" w:rsidR="008A07FB" w:rsidRPr="008A07FB" w:rsidRDefault="008A07FB" w:rsidP="008A07FB">
            <w:pPr>
              <w:rPr>
                <w:color w:val="000000"/>
                <w:sz w:val="20"/>
                <w:szCs w:val="20"/>
                <w:lang w:val="es-ES"/>
              </w:rPr>
            </w:pPr>
            <w:r w:rsidRPr="008A07FB">
              <w:rPr>
                <w:color w:val="000000"/>
                <w:sz w:val="20"/>
                <w:lang w:val="es-ES"/>
              </w:rPr>
              <w:t>Japón</w:t>
            </w:r>
          </w:p>
        </w:tc>
        <w:tc>
          <w:tcPr>
            <w:tcW w:w="1875" w:type="dxa"/>
            <w:tcBorders>
              <w:top w:val="nil"/>
              <w:left w:val="nil"/>
              <w:bottom w:val="single" w:sz="4" w:space="0" w:color="auto"/>
              <w:right w:val="single" w:sz="4" w:space="0" w:color="auto"/>
            </w:tcBorders>
            <w:noWrap/>
            <w:vAlign w:val="bottom"/>
            <w:hideMark/>
          </w:tcPr>
          <w:p w14:paraId="6CB197E4" w14:textId="77777777" w:rsidR="008A07FB" w:rsidRPr="008A07FB" w:rsidRDefault="008A07FB" w:rsidP="008A07FB">
            <w:pPr>
              <w:jc w:val="center"/>
              <w:rPr>
                <w:sz w:val="20"/>
                <w:szCs w:val="20"/>
                <w:lang w:val="es-ES"/>
              </w:rPr>
            </w:pPr>
            <w:r w:rsidRPr="008A07FB">
              <w:rPr>
                <w:sz w:val="20"/>
                <w:lang w:val="es-ES"/>
              </w:rPr>
              <w:t>1</w:t>
            </w:r>
          </w:p>
        </w:tc>
        <w:tc>
          <w:tcPr>
            <w:tcW w:w="2128" w:type="dxa"/>
            <w:tcBorders>
              <w:top w:val="nil"/>
              <w:left w:val="nil"/>
              <w:bottom w:val="single" w:sz="4" w:space="0" w:color="auto"/>
              <w:right w:val="single" w:sz="4" w:space="0" w:color="auto"/>
            </w:tcBorders>
            <w:noWrap/>
            <w:vAlign w:val="bottom"/>
            <w:hideMark/>
          </w:tcPr>
          <w:p w14:paraId="741CF492" w14:textId="77777777" w:rsidR="008A07FB" w:rsidRPr="008A07FB" w:rsidRDefault="008A07FB" w:rsidP="008A07FB">
            <w:pPr>
              <w:jc w:val="center"/>
              <w:rPr>
                <w:sz w:val="20"/>
                <w:szCs w:val="20"/>
                <w:lang w:val="es-ES"/>
              </w:rPr>
            </w:pPr>
            <w:r w:rsidRPr="008A07FB">
              <w:rPr>
                <w:sz w:val="20"/>
                <w:lang w:val="es-ES"/>
              </w:rPr>
              <w:t>1</w:t>
            </w:r>
          </w:p>
        </w:tc>
        <w:tc>
          <w:tcPr>
            <w:tcW w:w="1986" w:type="dxa"/>
            <w:tcBorders>
              <w:top w:val="nil"/>
              <w:left w:val="nil"/>
              <w:bottom w:val="single" w:sz="4" w:space="0" w:color="auto"/>
              <w:right w:val="single" w:sz="4" w:space="0" w:color="auto"/>
            </w:tcBorders>
            <w:noWrap/>
            <w:vAlign w:val="center"/>
            <w:hideMark/>
          </w:tcPr>
          <w:p w14:paraId="15DF70DD" w14:textId="77777777" w:rsidR="008A07FB" w:rsidRPr="008A07FB" w:rsidRDefault="008A07FB" w:rsidP="008A07FB">
            <w:pPr>
              <w:jc w:val="center"/>
              <w:rPr>
                <w:sz w:val="20"/>
                <w:szCs w:val="20"/>
                <w:lang w:val="es-ES"/>
              </w:rPr>
            </w:pPr>
            <w:r w:rsidRPr="008A07FB">
              <w:rPr>
                <w:sz w:val="20"/>
                <w:lang w:val="es-ES"/>
              </w:rPr>
              <w:t>0</w:t>
            </w:r>
          </w:p>
        </w:tc>
        <w:tc>
          <w:tcPr>
            <w:tcW w:w="1987" w:type="dxa"/>
            <w:tcBorders>
              <w:top w:val="nil"/>
              <w:left w:val="nil"/>
              <w:bottom w:val="single" w:sz="4" w:space="0" w:color="auto"/>
              <w:right w:val="single" w:sz="4" w:space="0" w:color="auto"/>
            </w:tcBorders>
            <w:vAlign w:val="center"/>
            <w:hideMark/>
          </w:tcPr>
          <w:p w14:paraId="37F99073" w14:textId="77777777" w:rsidR="008A07FB" w:rsidRPr="008A07FB" w:rsidRDefault="008A07FB" w:rsidP="008A07FB">
            <w:pPr>
              <w:jc w:val="center"/>
              <w:rPr>
                <w:sz w:val="20"/>
                <w:szCs w:val="20"/>
                <w:lang w:val="es-ES"/>
              </w:rPr>
            </w:pPr>
            <w:r w:rsidRPr="008A07FB">
              <w:rPr>
                <w:sz w:val="20"/>
                <w:lang w:val="es-ES"/>
              </w:rPr>
              <w:t>0</w:t>
            </w:r>
          </w:p>
        </w:tc>
      </w:tr>
      <w:tr w:rsidR="008A07FB" w:rsidRPr="008A07FB" w14:paraId="0B943BDA" w14:textId="77777777" w:rsidTr="008A07FB">
        <w:tc>
          <w:tcPr>
            <w:tcW w:w="1389" w:type="dxa"/>
            <w:tcBorders>
              <w:top w:val="nil"/>
              <w:left w:val="single" w:sz="4" w:space="0" w:color="auto"/>
              <w:bottom w:val="single" w:sz="4" w:space="0" w:color="auto"/>
              <w:right w:val="single" w:sz="4" w:space="0" w:color="auto"/>
            </w:tcBorders>
            <w:noWrap/>
            <w:vAlign w:val="center"/>
            <w:hideMark/>
          </w:tcPr>
          <w:p w14:paraId="0AEE788E" w14:textId="77777777" w:rsidR="008A07FB" w:rsidRPr="008A07FB" w:rsidRDefault="008A07FB" w:rsidP="008A07FB">
            <w:pPr>
              <w:rPr>
                <w:color w:val="000000"/>
                <w:sz w:val="20"/>
                <w:szCs w:val="20"/>
                <w:lang w:val="es-ES"/>
              </w:rPr>
            </w:pPr>
            <w:r w:rsidRPr="008A07FB">
              <w:rPr>
                <w:color w:val="000000"/>
                <w:sz w:val="20"/>
                <w:lang w:val="es-ES"/>
              </w:rPr>
              <w:t>PNUD</w:t>
            </w:r>
          </w:p>
        </w:tc>
        <w:tc>
          <w:tcPr>
            <w:tcW w:w="1875" w:type="dxa"/>
            <w:tcBorders>
              <w:top w:val="nil"/>
              <w:left w:val="nil"/>
              <w:bottom w:val="single" w:sz="4" w:space="0" w:color="auto"/>
              <w:right w:val="single" w:sz="4" w:space="0" w:color="auto"/>
            </w:tcBorders>
            <w:noWrap/>
            <w:vAlign w:val="bottom"/>
            <w:hideMark/>
          </w:tcPr>
          <w:p w14:paraId="79938439" w14:textId="77777777" w:rsidR="008A07FB" w:rsidRPr="008A07FB" w:rsidRDefault="008A07FB" w:rsidP="008A07FB">
            <w:pPr>
              <w:jc w:val="center"/>
              <w:rPr>
                <w:sz w:val="20"/>
                <w:szCs w:val="20"/>
                <w:lang w:val="es-ES"/>
              </w:rPr>
            </w:pPr>
            <w:r w:rsidRPr="008A07FB">
              <w:rPr>
                <w:sz w:val="20"/>
                <w:lang w:val="es-ES"/>
              </w:rPr>
              <w:t>46</w:t>
            </w:r>
          </w:p>
        </w:tc>
        <w:tc>
          <w:tcPr>
            <w:tcW w:w="2128" w:type="dxa"/>
            <w:tcBorders>
              <w:top w:val="nil"/>
              <w:left w:val="nil"/>
              <w:bottom w:val="single" w:sz="4" w:space="0" w:color="auto"/>
              <w:right w:val="single" w:sz="4" w:space="0" w:color="auto"/>
            </w:tcBorders>
            <w:noWrap/>
            <w:vAlign w:val="bottom"/>
            <w:hideMark/>
          </w:tcPr>
          <w:p w14:paraId="2B447818" w14:textId="77777777" w:rsidR="008A07FB" w:rsidRPr="008A07FB" w:rsidRDefault="008A07FB" w:rsidP="008A07FB">
            <w:pPr>
              <w:jc w:val="center"/>
              <w:rPr>
                <w:sz w:val="20"/>
                <w:szCs w:val="20"/>
                <w:lang w:val="es-ES"/>
              </w:rPr>
            </w:pPr>
            <w:r w:rsidRPr="008A07FB">
              <w:rPr>
                <w:sz w:val="20"/>
                <w:lang w:val="es-ES"/>
              </w:rPr>
              <w:t>44*</w:t>
            </w:r>
          </w:p>
        </w:tc>
        <w:tc>
          <w:tcPr>
            <w:tcW w:w="1986" w:type="dxa"/>
            <w:tcBorders>
              <w:top w:val="nil"/>
              <w:left w:val="nil"/>
              <w:bottom w:val="single" w:sz="4" w:space="0" w:color="auto"/>
              <w:right w:val="single" w:sz="4" w:space="0" w:color="auto"/>
            </w:tcBorders>
            <w:noWrap/>
            <w:vAlign w:val="center"/>
            <w:hideMark/>
          </w:tcPr>
          <w:p w14:paraId="7CBFEE15" w14:textId="77777777" w:rsidR="008A07FB" w:rsidRPr="008A07FB" w:rsidRDefault="008A07FB" w:rsidP="008A07FB">
            <w:pPr>
              <w:jc w:val="center"/>
              <w:rPr>
                <w:sz w:val="20"/>
                <w:szCs w:val="20"/>
                <w:lang w:val="es-ES"/>
              </w:rPr>
            </w:pPr>
            <w:r w:rsidRPr="008A07FB">
              <w:rPr>
                <w:sz w:val="20"/>
                <w:lang w:val="es-ES"/>
              </w:rPr>
              <w:t>1</w:t>
            </w:r>
          </w:p>
        </w:tc>
        <w:tc>
          <w:tcPr>
            <w:tcW w:w="1987" w:type="dxa"/>
            <w:tcBorders>
              <w:top w:val="nil"/>
              <w:left w:val="nil"/>
              <w:bottom w:val="single" w:sz="4" w:space="0" w:color="auto"/>
              <w:right w:val="single" w:sz="4" w:space="0" w:color="auto"/>
            </w:tcBorders>
            <w:vAlign w:val="center"/>
            <w:hideMark/>
          </w:tcPr>
          <w:p w14:paraId="6A1D92C3" w14:textId="77777777" w:rsidR="008A07FB" w:rsidRPr="008A07FB" w:rsidRDefault="008A07FB" w:rsidP="008A07FB">
            <w:pPr>
              <w:jc w:val="center"/>
              <w:rPr>
                <w:sz w:val="20"/>
                <w:szCs w:val="20"/>
                <w:lang w:val="es-ES"/>
              </w:rPr>
            </w:pPr>
            <w:r w:rsidRPr="008A07FB">
              <w:rPr>
                <w:sz w:val="20"/>
                <w:lang w:val="es-ES"/>
              </w:rPr>
              <w:t>1</w:t>
            </w:r>
          </w:p>
        </w:tc>
      </w:tr>
      <w:tr w:rsidR="008A07FB" w:rsidRPr="008A07FB" w14:paraId="34B8555D" w14:textId="77777777" w:rsidTr="008A07FB">
        <w:tc>
          <w:tcPr>
            <w:tcW w:w="1389" w:type="dxa"/>
            <w:tcBorders>
              <w:top w:val="nil"/>
              <w:left w:val="single" w:sz="4" w:space="0" w:color="auto"/>
              <w:bottom w:val="single" w:sz="4" w:space="0" w:color="auto"/>
              <w:right w:val="single" w:sz="4" w:space="0" w:color="auto"/>
            </w:tcBorders>
            <w:noWrap/>
            <w:vAlign w:val="center"/>
            <w:hideMark/>
          </w:tcPr>
          <w:p w14:paraId="50C8DB15" w14:textId="77777777" w:rsidR="008A07FB" w:rsidRPr="008A07FB" w:rsidRDefault="008A07FB" w:rsidP="008A07FB">
            <w:pPr>
              <w:rPr>
                <w:color w:val="000000"/>
                <w:sz w:val="20"/>
                <w:szCs w:val="20"/>
                <w:lang w:val="es-ES"/>
              </w:rPr>
            </w:pPr>
            <w:r w:rsidRPr="008A07FB">
              <w:rPr>
                <w:color w:val="000000"/>
                <w:sz w:val="20"/>
                <w:lang w:val="es-ES"/>
              </w:rPr>
              <w:t>PNUMA</w:t>
            </w:r>
          </w:p>
        </w:tc>
        <w:tc>
          <w:tcPr>
            <w:tcW w:w="1875" w:type="dxa"/>
            <w:tcBorders>
              <w:top w:val="nil"/>
              <w:left w:val="nil"/>
              <w:bottom w:val="single" w:sz="4" w:space="0" w:color="auto"/>
              <w:right w:val="single" w:sz="4" w:space="0" w:color="auto"/>
            </w:tcBorders>
            <w:noWrap/>
            <w:vAlign w:val="bottom"/>
            <w:hideMark/>
          </w:tcPr>
          <w:p w14:paraId="44899A02" w14:textId="77777777" w:rsidR="008A07FB" w:rsidRPr="008A07FB" w:rsidRDefault="008A07FB" w:rsidP="008A07FB">
            <w:pPr>
              <w:jc w:val="center"/>
              <w:rPr>
                <w:sz w:val="20"/>
                <w:szCs w:val="20"/>
                <w:lang w:val="es-ES"/>
              </w:rPr>
            </w:pPr>
            <w:r w:rsidRPr="008A07FB">
              <w:rPr>
                <w:sz w:val="20"/>
                <w:lang w:val="es-ES"/>
              </w:rPr>
              <w:t>62</w:t>
            </w:r>
          </w:p>
        </w:tc>
        <w:tc>
          <w:tcPr>
            <w:tcW w:w="2128" w:type="dxa"/>
            <w:tcBorders>
              <w:top w:val="nil"/>
              <w:left w:val="nil"/>
              <w:bottom w:val="single" w:sz="4" w:space="0" w:color="auto"/>
              <w:right w:val="single" w:sz="4" w:space="0" w:color="auto"/>
            </w:tcBorders>
            <w:noWrap/>
            <w:vAlign w:val="bottom"/>
            <w:hideMark/>
          </w:tcPr>
          <w:p w14:paraId="6DE60F59" w14:textId="77777777" w:rsidR="008A07FB" w:rsidRPr="008A07FB" w:rsidRDefault="008A07FB" w:rsidP="008A07FB">
            <w:pPr>
              <w:jc w:val="center"/>
              <w:rPr>
                <w:sz w:val="20"/>
                <w:szCs w:val="20"/>
                <w:lang w:val="es-ES"/>
              </w:rPr>
            </w:pPr>
            <w:r w:rsidRPr="008A07FB">
              <w:rPr>
                <w:sz w:val="20"/>
                <w:lang w:val="es-ES"/>
              </w:rPr>
              <w:t>61**</w:t>
            </w:r>
          </w:p>
        </w:tc>
        <w:tc>
          <w:tcPr>
            <w:tcW w:w="1986" w:type="dxa"/>
            <w:tcBorders>
              <w:top w:val="nil"/>
              <w:left w:val="nil"/>
              <w:bottom w:val="single" w:sz="4" w:space="0" w:color="auto"/>
              <w:right w:val="single" w:sz="4" w:space="0" w:color="auto"/>
            </w:tcBorders>
            <w:noWrap/>
            <w:vAlign w:val="center"/>
            <w:hideMark/>
          </w:tcPr>
          <w:p w14:paraId="2DE7B442" w14:textId="77777777" w:rsidR="008A07FB" w:rsidRPr="008A07FB" w:rsidRDefault="008A07FB" w:rsidP="008A07FB">
            <w:pPr>
              <w:jc w:val="center"/>
              <w:rPr>
                <w:sz w:val="20"/>
                <w:szCs w:val="20"/>
                <w:lang w:val="es-ES"/>
              </w:rPr>
            </w:pPr>
            <w:r w:rsidRPr="008A07FB">
              <w:rPr>
                <w:sz w:val="20"/>
                <w:lang w:val="es-ES"/>
              </w:rPr>
              <w:t>1</w:t>
            </w:r>
          </w:p>
        </w:tc>
        <w:tc>
          <w:tcPr>
            <w:tcW w:w="1987" w:type="dxa"/>
            <w:tcBorders>
              <w:top w:val="nil"/>
              <w:left w:val="nil"/>
              <w:bottom w:val="single" w:sz="4" w:space="0" w:color="auto"/>
              <w:right w:val="single" w:sz="4" w:space="0" w:color="auto"/>
            </w:tcBorders>
            <w:vAlign w:val="center"/>
            <w:hideMark/>
          </w:tcPr>
          <w:p w14:paraId="2CFB033F" w14:textId="77777777" w:rsidR="008A07FB" w:rsidRPr="008A07FB" w:rsidRDefault="008A07FB" w:rsidP="008A07FB">
            <w:pPr>
              <w:jc w:val="center"/>
              <w:rPr>
                <w:sz w:val="20"/>
                <w:szCs w:val="20"/>
                <w:lang w:val="es-ES"/>
              </w:rPr>
            </w:pPr>
            <w:r w:rsidRPr="008A07FB">
              <w:rPr>
                <w:sz w:val="20"/>
                <w:lang w:val="es-ES"/>
              </w:rPr>
              <w:t>0</w:t>
            </w:r>
          </w:p>
        </w:tc>
      </w:tr>
      <w:tr w:rsidR="008A07FB" w:rsidRPr="008A07FB" w14:paraId="4A7DD9ED" w14:textId="77777777" w:rsidTr="008A07FB">
        <w:tc>
          <w:tcPr>
            <w:tcW w:w="1389" w:type="dxa"/>
            <w:tcBorders>
              <w:top w:val="nil"/>
              <w:left w:val="single" w:sz="4" w:space="0" w:color="auto"/>
              <w:bottom w:val="single" w:sz="4" w:space="0" w:color="auto"/>
              <w:right w:val="single" w:sz="4" w:space="0" w:color="auto"/>
            </w:tcBorders>
            <w:noWrap/>
            <w:vAlign w:val="center"/>
            <w:hideMark/>
          </w:tcPr>
          <w:p w14:paraId="1EAFA395" w14:textId="77777777" w:rsidR="008A07FB" w:rsidRPr="008A07FB" w:rsidRDefault="008A07FB" w:rsidP="008A07FB">
            <w:pPr>
              <w:rPr>
                <w:color w:val="000000"/>
                <w:sz w:val="20"/>
                <w:szCs w:val="20"/>
                <w:lang w:val="es-ES"/>
              </w:rPr>
            </w:pPr>
            <w:r w:rsidRPr="008A07FB">
              <w:rPr>
                <w:color w:val="000000"/>
                <w:sz w:val="20"/>
                <w:lang w:val="es-ES"/>
              </w:rPr>
              <w:t>ONUDI</w:t>
            </w:r>
          </w:p>
        </w:tc>
        <w:tc>
          <w:tcPr>
            <w:tcW w:w="1875" w:type="dxa"/>
            <w:tcBorders>
              <w:top w:val="nil"/>
              <w:left w:val="nil"/>
              <w:bottom w:val="single" w:sz="4" w:space="0" w:color="auto"/>
              <w:right w:val="single" w:sz="4" w:space="0" w:color="auto"/>
            </w:tcBorders>
            <w:noWrap/>
            <w:vAlign w:val="bottom"/>
            <w:hideMark/>
          </w:tcPr>
          <w:p w14:paraId="532359F4" w14:textId="77777777" w:rsidR="008A07FB" w:rsidRPr="008A07FB" w:rsidRDefault="008A07FB" w:rsidP="008A07FB">
            <w:pPr>
              <w:jc w:val="center"/>
              <w:rPr>
                <w:sz w:val="20"/>
                <w:szCs w:val="20"/>
                <w:lang w:val="es-ES"/>
              </w:rPr>
            </w:pPr>
            <w:r w:rsidRPr="008A07FB">
              <w:rPr>
                <w:sz w:val="20"/>
                <w:lang w:val="es-ES"/>
              </w:rPr>
              <w:t>58</w:t>
            </w:r>
          </w:p>
        </w:tc>
        <w:tc>
          <w:tcPr>
            <w:tcW w:w="2128" w:type="dxa"/>
            <w:tcBorders>
              <w:top w:val="nil"/>
              <w:left w:val="nil"/>
              <w:bottom w:val="single" w:sz="4" w:space="0" w:color="auto"/>
              <w:right w:val="single" w:sz="4" w:space="0" w:color="auto"/>
            </w:tcBorders>
            <w:noWrap/>
            <w:vAlign w:val="bottom"/>
            <w:hideMark/>
          </w:tcPr>
          <w:p w14:paraId="0E3EC2C8" w14:textId="77777777" w:rsidR="008A07FB" w:rsidRPr="008A07FB" w:rsidRDefault="008A07FB" w:rsidP="008A07FB">
            <w:pPr>
              <w:jc w:val="center"/>
              <w:rPr>
                <w:sz w:val="20"/>
                <w:szCs w:val="20"/>
                <w:lang w:val="es-ES"/>
              </w:rPr>
            </w:pPr>
            <w:r w:rsidRPr="008A07FB">
              <w:rPr>
                <w:sz w:val="20"/>
                <w:lang w:val="es-ES"/>
              </w:rPr>
              <w:t>57</w:t>
            </w:r>
          </w:p>
        </w:tc>
        <w:tc>
          <w:tcPr>
            <w:tcW w:w="1986" w:type="dxa"/>
            <w:tcBorders>
              <w:top w:val="nil"/>
              <w:left w:val="nil"/>
              <w:bottom w:val="single" w:sz="4" w:space="0" w:color="auto"/>
              <w:right w:val="single" w:sz="4" w:space="0" w:color="auto"/>
            </w:tcBorders>
            <w:noWrap/>
            <w:vAlign w:val="center"/>
            <w:hideMark/>
          </w:tcPr>
          <w:p w14:paraId="18C31DAB" w14:textId="77777777" w:rsidR="008A07FB" w:rsidRPr="008A07FB" w:rsidRDefault="008A07FB" w:rsidP="008A07FB">
            <w:pPr>
              <w:jc w:val="center"/>
              <w:rPr>
                <w:sz w:val="20"/>
                <w:szCs w:val="20"/>
                <w:lang w:val="es-ES"/>
              </w:rPr>
            </w:pPr>
            <w:r w:rsidRPr="008A07FB">
              <w:rPr>
                <w:sz w:val="20"/>
                <w:lang w:val="es-ES"/>
              </w:rPr>
              <w:t>0</w:t>
            </w:r>
          </w:p>
        </w:tc>
        <w:tc>
          <w:tcPr>
            <w:tcW w:w="1987" w:type="dxa"/>
            <w:tcBorders>
              <w:top w:val="nil"/>
              <w:left w:val="nil"/>
              <w:bottom w:val="single" w:sz="4" w:space="0" w:color="auto"/>
              <w:right w:val="single" w:sz="4" w:space="0" w:color="auto"/>
            </w:tcBorders>
            <w:vAlign w:val="center"/>
            <w:hideMark/>
          </w:tcPr>
          <w:p w14:paraId="1055E6A4" w14:textId="77777777" w:rsidR="008A07FB" w:rsidRPr="008A07FB" w:rsidRDefault="008A07FB" w:rsidP="008A07FB">
            <w:pPr>
              <w:jc w:val="center"/>
              <w:rPr>
                <w:sz w:val="20"/>
                <w:szCs w:val="20"/>
                <w:lang w:val="es-ES"/>
              </w:rPr>
            </w:pPr>
            <w:r w:rsidRPr="008A07FB">
              <w:rPr>
                <w:sz w:val="20"/>
                <w:lang w:val="es-ES"/>
              </w:rPr>
              <w:t>1</w:t>
            </w:r>
          </w:p>
        </w:tc>
      </w:tr>
      <w:tr w:rsidR="008A07FB" w:rsidRPr="008A07FB" w14:paraId="36096A8B" w14:textId="77777777" w:rsidTr="008A07FB">
        <w:tc>
          <w:tcPr>
            <w:tcW w:w="1389" w:type="dxa"/>
            <w:tcBorders>
              <w:top w:val="nil"/>
              <w:left w:val="single" w:sz="4" w:space="0" w:color="auto"/>
              <w:bottom w:val="single" w:sz="4" w:space="0" w:color="auto"/>
              <w:right w:val="single" w:sz="4" w:space="0" w:color="auto"/>
            </w:tcBorders>
            <w:noWrap/>
            <w:vAlign w:val="center"/>
            <w:hideMark/>
          </w:tcPr>
          <w:p w14:paraId="591E235A" w14:textId="77777777" w:rsidR="008A07FB" w:rsidRPr="008A07FB" w:rsidRDefault="008A07FB" w:rsidP="008A07FB">
            <w:pPr>
              <w:rPr>
                <w:color w:val="000000"/>
                <w:sz w:val="20"/>
                <w:szCs w:val="20"/>
                <w:lang w:val="es-ES"/>
              </w:rPr>
            </w:pPr>
            <w:r w:rsidRPr="008A07FB">
              <w:rPr>
                <w:color w:val="000000"/>
                <w:sz w:val="20"/>
                <w:lang w:val="es-ES"/>
              </w:rPr>
              <w:t>Banco Mundial</w:t>
            </w:r>
          </w:p>
        </w:tc>
        <w:tc>
          <w:tcPr>
            <w:tcW w:w="1875" w:type="dxa"/>
            <w:tcBorders>
              <w:top w:val="nil"/>
              <w:left w:val="nil"/>
              <w:bottom w:val="single" w:sz="4" w:space="0" w:color="auto"/>
              <w:right w:val="single" w:sz="4" w:space="0" w:color="auto"/>
            </w:tcBorders>
            <w:noWrap/>
            <w:vAlign w:val="bottom"/>
            <w:hideMark/>
          </w:tcPr>
          <w:p w14:paraId="743F0DC2" w14:textId="77777777" w:rsidR="008A07FB" w:rsidRPr="008A07FB" w:rsidRDefault="008A07FB" w:rsidP="008A07FB">
            <w:pPr>
              <w:jc w:val="center"/>
              <w:rPr>
                <w:sz w:val="20"/>
                <w:szCs w:val="20"/>
                <w:lang w:val="es-ES"/>
              </w:rPr>
            </w:pPr>
            <w:r w:rsidRPr="008A07FB">
              <w:rPr>
                <w:sz w:val="20"/>
                <w:lang w:val="es-ES"/>
              </w:rPr>
              <w:t>26</w:t>
            </w:r>
          </w:p>
        </w:tc>
        <w:tc>
          <w:tcPr>
            <w:tcW w:w="2128" w:type="dxa"/>
            <w:tcBorders>
              <w:top w:val="nil"/>
              <w:left w:val="nil"/>
              <w:bottom w:val="single" w:sz="4" w:space="0" w:color="auto"/>
              <w:right w:val="single" w:sz="4" w:space="0" w:color="auto"/>
            </w:tcBorders>
            <w:noWrap/>
            <w:vAlign w:val="bottom"/>
            <w:hideMark/>
          </w:tcPr>
          <w:p w14:paraId="31FFB20E" w14:textId="77777777" w:rsidR="008A07FB" w:rsidRPr="008A07FB" w:rsidRDefault="008A07FB" w:rsidP="008A07FB">
            <w:pPr>
              <w:jc w:val="center"/>
              <w:rPr>
                <w:sz w:val="20"/>
                <w:szCs w:val="20"/>
                <w:lang w:val="es-ES"/>
              </w:rPr>
            </w:pPr>
            <w:r w:rsidRPr="008A07FB">
              <w:rPr>
                <w:sz w:val="20"/>
                <w:lang w:val="es-ES"/>
              </w:rPr>
              <w:t>18</w:t>
            </w:r>
          </w:p>
        </w:tc>
        <w:tc>
          <w:tcPr>
            <w:tcW w:w="1986" w:type="dxa"/>
            <w:tcBorders>
              <w:top w:val="nil"/>
              <w:left w:val="nil"/>
              <w:bottom w:val="single" w:sz="4" w:space="0" w:color="auto"/>
              <w:right w:val="single" w:sz="4" w:space="0" w:color="auto"/>
            </w:tcBorders>
            <w:noWrap/>
            <w:vAlign w:val="center"/>
            <w:hideMark/>
          </w:tcPr>
          <w:p w14:paraId="395E9030" w14:textId="77777777" w:rsidR="008A07FB" w:rsidRPr="008A07FB" w:rsidRDefault="008A07FB" w:rsidP="008A07FB">
            <w:pPr>
              <w:jc w:val="center"/>
              <w:rPr>
                <w:sz w:val="20"/>
                <w:szCs w:val="20"/>
                <w:lang w:val="es-ES"/>
              </w:rPr>
            </w:pPr>
            <w:r w:rsidRPr="008A07FB">
              <w:rPr>
                <w:sz w:val="20"/>
                <w:lang w:val="es-ES"/>
              </w:rPr>
              <w:t>3</w:t>
            </w:r>
          </w:p>
        </w:tc>
        <w:tc>
          <w:tcPr>
            <w:tcW w:w="1987" w:type="dxa"/>
            <w:tcBorders>
              <w:top w:val="nil"/>
              <w:left w:val="nil"/>
              <w:bottom w:val="single" w:sz="4" w:space="0" w:color="auto"/>
              <w:right w:val="single" w:sz="4" w:space="0" w:color="auto"/>
            </w:tcBorders>
            <w:vAlign w:val="center"/>
            <w:hideMark/>
          </w:tcPr>
          <w:p w14:paraId="7BCE57C0" w14:textId="77777777" w:rsidR="008A07FB" w:rsidRPr="008A07FB" w:rsidRDefault="008A07FB" w:rsidP="008A07FB">
            <w:pPr>
              <w:jc w:val="center"/>
              <w:rPr>
                <w:sz w:val="20"/>
                <w:szCs w:val="20"/>
                <w:lang w:val="es-ES"/>
              </w:rPr>
            </w:pPr>
            <w:r w:rsidRPr="008A07FB">
              <w:rPr>
                <w:sz w:val="20"/>
                <w:lang w:val="es-ES"/>
              </w:rPr>
              <w:t>5</w:t>
            </w:r>
          </w:p>
        </w:tc>
      </w:tr>
      <w:tr w:rsidR="008A07FB" w:rsidRPr="008A07FB" w14:paraId="215480A5" w14:textId="77777777" w:rsidTr="008A07FB">
        <w:tc>
          <w:tcPr>
            <w:tcW w:w="1389" w:type="dxa"/>
            <w:tcBorders>
              <w:top w:val="nil"/>
              <w:left w:val="single" w:sz="4" w:space="0" w:color="auto"/>
              <w:bottom w:val="single" w:sz="4" w:space="0" w:color="auto"/>
              <w:right w:val="single" w:sz="4" w:space="0" w:color="auto"/>
            </w:tcBorders>
            <w:noWrap/>
            <w:vAlign w:val="center"/>
            <w:hideMark/>
          </w:tcPr>
          <w:p w14:paraId="224931D6" w14:textId="77777777" w:rsidR="008A07FB" w:rsidRPr="008A07FB" w:rsidRDefault="008A07FB" w:rsidP="008A07FB">
            <w:pPr>
              <w:rPr>
                <w:b/>
                <w:bCs/>
                <w:color w:val="000000"/>
                <w:sz w:val="20"/>
                <w:szCs w:val="20"/>
                <w:lang w:val="es-ES"/>
              </w:rPr>
            </w:pPr>
            <w:r w:rsidRPr="008A07FB">
              <w:rPr>
                <w:b/>
                <w:color w:val="000000"/>
                <w:sz w:val="20"/>
                <w:lang w:val="es-ES"/>
              </w:rPr>
              <w:t>Total</w:t>
            </w:r>
          </w:p>
        </w:tc>
        <w:tc>
          <w:tcPr>
            <w:tcW w:w="1875" w:type="dxa"/>
            <w:tcBorders>
              <w:top w:val="nil"/>
              <w:left w:val="nil"/>
              <w:bottom w:val="single" w:sz="4" w:space="0" w:color="auto"/>
              <w:right w:val="single" w:sz="4" w:space="0" w:color="auto"/>
            </w:tcBorders>
            <w:noWrap/>
            <w:vAlign w:val="center"/>
            <w:hideMark/>
          </w:tcPr>
          <w:p w14:paraId="6D09A253" w14:textId="77777777" w:rsidR="008A07FB" w:rsidRPr="008A07FB" w:rsidRDefault="008A07FB" w:rsidP="008A07FB">
            <w:pPr>
              <w:jc w:val="center"/>
              <w:rPr>
                <w:b/>
                <w:bCs/>
                <w:sz w:val="20"/>
                <w:szCs w:val="20"/>
                <w:lang w:val="es-ES"/>
              </w:rPr>
            </w:pPr>
            <w:r w:rsidRPr="008A07FB">
              <w:rPr>
                <w:b/>
                <w:sz w:val="20"/>
                <w:lang w:val="es-ES"/>
              </w:rPr>
              <w:t>212</w:t>
            </w:r>
          </w:p>
        </w:tc>
        <w:tc>
          <w:tcPr>
            <w:tcW w:w="2128" w:type="dxa"/>
            <w:tcBorders>
              <w:top w:val="nil"/>
              <w:left w:val="nil"/>
              <w:bottom w:val="single" w:sz="4" w:space="0" w:color="auto"/>
              <w:right w:val="single" w:sz="4" w:space="0" w:color="auto"/>
            </w:tcBorders>
            <w:noWrap/>
            <w:vAlign w:val="center"/>
            <w:hideMark/>
          </w:tcPr>
          <w:p w14:paraId="25A54436" w14:textId="77777777" w:rsidR="008A07FB" w:rsidRPr="008A07FB" w:rsidRDefault="008A07FB" w:rsidP="008A07FB">
            <w:pPr>
              <w:jc w:val="center"/>
              <w:rPr>
                <w:b/>
                <w:bCs/>
                <w:sz w:val="20"/>
                <w:szCs w:val="20"/>
                <w:lang w:val="es-ES"/>
              </w:rPr>
            </w:pPr>
            <w:r w:rsidRPr="008A07FB">
              <w:rPr>
                <w:b/>
                <w:sz w:val="20"/>
                <w:lang w:val="es-ES"/>
              </w:rPr>
              <w:t>199</w:t>
            </w:r>
          </w:p>
        </w:tc>
        <w:tc>
          <w:tcPr>
            <w:tcW w:w="1986" w:type="dxa"/>
            <w:tcBorders>
              <w:top w:val="nil"/>
              <w:left w:val="nil"/>
              <w:bottom w:val="single" w:sz="4" w:space="0" w:color="auto"/>
              <w:right w:val="single" w:sz="4" w:space="0" w:color="auto"/>
            </w:tcBorders>
            <w:noWrap/>
            <w:vAlign w:val="center"/>
            <w:hideMark/>
          </w:tcPr>
          <w:p w14:paraId="5036A169" w14:textId="77777777" w:rsidR="008A07FB" w:rsidRPr="008A07FB" w:rsidRDefault="008A07FB" w:rsidP="008A07FB">
            <w:pPr>
              <w:jc w:val="center"/>
              <w:rPr>
                <w:b/>
                <w:bCs/>
                <w:sz w:val="20"/>
                <w:szCs w:val="20"/>
                <w:lang w:val="es-ES"/>
              </w:rPr>
            </w:pPr>
            <w:r w:rsidRPr="008A07FB">
              <w:rPr>
                <w:b/>
                <w:sz w:val="20"/>
                <w:lang w:val="es-ES"/>
              </w:rPr>
              <w:t>5</w:t>
            </w:r>
          </w:p>
        </w:tc>
        <w:tc>
          <w:tcPr>
            <w:tcW w:w="1987" w:type="dxa"/>
            <w:tcBorders>
              <w:top w:val="nil"/>
              <w:left w:val="nil"/>
              <w:bottom w:val="single" w:sz="4" w:space="0" w:color="auto"/>
              <w:right w:val="single" w:sz="4" w:space="0" w:color="auto"/>
            </w:tcBorders>
            <w:vAlign w:val="center"/>
            <w:hideMark/>
          </w:tcPr>
          <w:p w14:paraId="5ADB1228" w14:textId="77777777" w:rsidR="008A07FB" w:rsidRPr="008A07FB" w:rsidRDefault="008A07FB" w:rsidP="008A07FB">
            <w:pPr>
              <w:jc w:val="center"/>
              <w:rPr>
                <w:b/>
                <w:bCs/>
                <w:sz w:val="20"/>
                <w:szCs w:val="20"/>
                <w:lang w:val="es-ES"/>
              </w:rPr>
            </w:pPr>
            <w:r w:rsidRPr="008A07FB">
              <w:rPr>
                <w:b/>
                <w:sz w:val="20"/>
                <w:lang w:val="es-ES"/>
              </w:rPr>
              <w:t>8</w:t>
            </w:r>
          </w:p>
        </w:tc>
      </w:tr>
    </w:tbl>
    <w:p w14:paraId="41D7F3F0" w14:textId="77777777" w:rsidR="008A07FB" w:rsidRPr="008A07FB" w:rsidRDefault="008A07FB" w:rsidP="008A07FB">
      <w:pPr>
        <w:pStyle w:val="Heading1"/>
        <w:numPr>
          <w:ilvl w:val="0"/>
          <w:numId w:val="0"/>
        </w:numPr>
        <w:tabs>
          <w:tab w:val="left" w:pos="708"/>
        </w:tabs>
        <w:spacing w:after="0"/>
        <w:rPr>
          <w:sz w:val="20"/>
          <w:szCs w:val="20"/>
          <w:lang w:val="es-ES"/>
        </w:rPr>
      </w:pPr>
      <w:r w:rsidRPr="008A07FB">
        <w:rPr>
          <w:sz w:val="20"/>
          <w:lang w:val="es-ES"/>
        </w:rPr>
        <w:t>* Además, el PNUD presentó un informe de terminación de proyecto para un acuerdo plurianual.</w:t>
      </w:r>
    </w:p>
    <w:p w14:paraId="14B6084B" w14:textId="77777777" w:rsidR="008A07FB" w:rsidRPr="008A07FB" w:rsidRDefault="008A07FB" w:rsidP="008A07FB">
      <w:pPr>
        <w:rPr>
          <w:sz w:val="20"/>
          <w:szCs w:val="20"/>
          <w:lang w:val="es-ES"/>
        </w:rPr>
      </w:pPr>
      <w:r w:rsidRPr="008A07FB">
        <w:rPr>
          <w:sz w:val="20"/>
          <w:lang w:val="es-ES"/>
        </w:rPr>
        <w:t>** Además, el PNUD presentó un informe de terminación de proyecto para un acuerdo plurianual.</w:t>
      </w:r>
    </w:p>
    <w:p w14:paraId="2668F160" w14:textId="77777777" w:rsidR="008A07FB" w:rsidRPr="008A07FB" w:rsidRDefault="008A07FB" w:rsidP="008A07FB">
      <w:pPr>
        <w:pStyle w:val="Heading1"/>
        <w:tabs>
          <w:tab w:val="clear" w:pos="0"/>
          <w:tab w:val="num" w:pos="720"/>
        </w:tabs>
        <w:spacing w:before="240"/>
        <w:rPr>
          <w:lang w:val="es-ES"/>
        </w:rPr>
      </w:pPr>
      <w:r w:rsidRPr="008A07FB">
        <w:rPr>
          <w:lang w:val="es-ES"/>
        </w:rPr>
        <w:t xml:space="preserve">En el Cuadro 2 se presenta un resumen de los fondos desembolsados totales, las SAO eliminadas y las demoras en la terminación de los cinco informes de terminación de proyectos de los acuerdos plurianuales. </w:t>
      </w:r>
    </w:p>
    <w:p w14:paraId="2300B855" w14:textId="77777777" w:rsidR="008A07FB" w:rsidRPr="008A07FB" w:rsidRDefault="008A07FB" w:rsidP="008A07FB">
      <w:pPr>
        <w:pStyle w:val="Heading1"/>
        <w:numPr>
          <w:ilvl w:val="0"/>
          <w:numId w:val="0"/>
        </w:numPr>
        <w:tabs>
          <w:tab w:val="left" w:pos="720"/>
        </w:tabs>
        <w:spacing w:after="0"/>
        <w:rPr>
          <w:b/>
          <w:sz w:val="21"/>
          <w:szCs w:val="21"/>
          <w:lang w:val="es-ES"/>
        </w:rPr>
      </w:pPr>
      <w:r w:rsidRPr="008A07FB">
        <w:rPr>
          <w:b/>
          <w:sz w:val="21"/>
          <w:lang w:val="es-ES"/>
        </w:rPr>
        <w:t>Cuadro 2. Reseña del presupuesto, las SAO eliminadas y las demoras de los informes de terminación de proyectos de acuerdos plurianuales presentados después de la 87ª reunión</w:t>
      </w:r>
    </w:p>
    <w:tbl>
      <w:tblPr>
        <w:tblW w:w="5000" w:type="pct"/>
        <w:tblLook w:val="04A0" w:firstRow="1" w:lastRow="0" w:firstColumn="1" w:lastColumn="0" w:noHBand="0" w:noVBand="1"/>
      </w:tblPr>
      <w:tblGrid>
        <w:gridCol w:w="1764"/>
        <w:gridCol w:w="1466"/>
        <w:gridCol w:w="1466"/>
        <w:gridCol w:w="1466"/>
        <w:gridCol w:w="1468"/>
        <w:gridCol w:w="1720"/>
      </w:tblGrid>
      <w:tr w:rsidR="008A07FB" w:rsidRPr="008A07FB" w14:paraId="535C977C" w14:textId="77777777" w:rsidTr="008A07FB">
        <w:tc>
          <w:tcPr>
            <w:tcW w:w="943" w:type="pct"/>
            <w:vMerge w:val="restart"/>
            <w:tcBorders>
              <w:top w:val="single" w:sz="4" w:space="0" w:color="auto"/>
              <w:left w:val="single" w:sz="4" w:space="0" w:color="auto"/>
              <w:bottom w:val="single" w:sz="4" w:space="0" w:color="auto"/>
              <w:right w:val="single" w:sz="4" w:space="0" w:color="auto"/>
            </w:tcBorders>
            <w:vAlign w:val="center"/>
            <w:hideMark/>
          </w:tcPr>
          <w:p w14:paraId="6DAC6127" w14:textId="77777777" w:rsidR="008A07FB" w:rsidRPr="008A07FB" w:rsidRDefault="008A07FB" w:rsidP="008A07FB">
            <w:pPr>
              <w:jc w:val="left"/>
              <w:rPr>
                <w:b/>
                <w:bCs/>
                <w:color w:val="000000"/>
                <w:sz w:val="20"/>
                <w:szCs w:val="20"/>
                <w:lang w:val="es-ES"/>
              </w:rPr>
            </w:pPr>
            <w:r w:rsidRPr="008A07FB">
              <w:rPr>
                <w:b/>
                <w:color w:val="000000"/>
                <w:sz w:val="20"/>
                <w:lang w:val="es-ES"/>
              </w:rPr>
              <w:t>Organismo principal</w:t>
            </w:r>
          </w:p>
        </w:tc>
        <w:tc>
          <w:tcPr>
            <w:tcW w:w="1568" w:type="pct"/>
            <w:gridSpan w:val="2"/>
            <w:tcBorders>
              <w:top w:val="single" w:sz="4" w:space="0" w:color="auto"/>
              <w:left w:val="nil"/>
              <w:bottom w:val="single" w:sz="4" w:space="0" w:color="auto"/>
              <w:right w:val="single" w:sz="4" w:space="0" w:color="auto"/>
            </w:tcBorders>
            <w:vAlign w:val="center"/>
            <w:hideMark/>
          </w:tcPr>
          <w:p w14:paraId="091811ED" w14:textId="77777777" w:rsidR="008A07FB" w:rsidRPr="008A07FB" w:rsidRDefault="008A07FB" w:rsidP="008A07FB">
            <w:pPr>
              <w:jc w:val="center"/>
              <w:rPr>
                <w:b/>
                <w:bCs/>
                <w:color w:val="000000"/>
                <w:sz w:val="20"/>
                <w:szCs w:val="20"/>
                <w:lang w:val="es-ES"/>
              </w:rPr>
            </w:pPr>
            <w:r w:rsidRPr="008A07FB">
              <w:rPr>
                <w:b/>
                <w:color w:val="000000"/>
                <w:sz w:val="20"/>
                <w:lang w:val="es-ES"/>
              </w:rPr>
              <w:t>Fondos de acuerdos plurianuales ($EUA)</w:t>
            </w:r>
          </w:p>
        </w:tc>
        <w:tc>
          <w:tcPr>
            <w:tcW w:w="1569" w:type="pct"/>
            <w:gridSpan w:val="2"/>
            <w:tcBorders>
              <w:top w:val="single" w:sz="4" w:space="0" w:color="auto"/>
              <w:left w:val="nil"/>
              <w:bottom w:val="single" w:sz="4" w:space="0" w:color="auto"/>
              <w:right w:val="single" w:sz="4" w:space="0" w:color="auto"/>
            </w:tcBorders>
            <w:vAlign w:val="center"/>
            <w:hideMark/>
          </w:tcPr>
          <w:p w14:paraId="7B747534" w14:textId="77777777" w:rsidR="008A07FB" w:rsidRPr="008A07FB" w:rsidRDefault="008A07FB" w:rsidP="008A07FB">
            <w:pPr>
              <w:jc w:val="center"/>
              <w:rPr>
                <w:b/>
                <w:bCs/>
                <w:color w:val="000000"/>
                <w:sz w:val="20"/>
                <w:szCs w:val="20"/>
                <w:lang w:val="es-ES"/>
              </w:rPr>
            </w:pPr>
            <w:r w:rsidRPr="008A07FB">
              <w:rPr>
                <w:b/>
                <w:color w:val="000000"/>
                <w:sz w:val="20"/>
                <w:lang w:val="es-ES"/>
              </w:rPr>
              <w:t>Eliminación</w:t>
            </w:r>
          </w:p>
          <w:p w14:paraId="3DC1505D" w14:textId="77777777" w:rsidR="008A07FB" w:rsidRPr="008A07FB" w:rsidRDefault="008A07FB" w:rsidP="008A07FB">
            <w:pPr>
              <w:jc w:val="center"/>
              <w:rPr>
                <w:b/>
                <w:bCs/>
                <w:color w:val="000000"/>
                <w:sz w:val="20"/>
                <w:szCs w:val="20"/>
                <w:lang w:val="es-ES"/>
              </w:rPr>
            </w:pPr>
            <w:r w:rsidRPr="008A07FB">
              <w:rPr>
                <w:b/>
                <w:color w:val="000000"/>
                <w:sz w:val="20"/>
                <w:lang w:val="es-ES"/>
              </w:rPr>
              <w:t xml:space="preserve">(toneladas PAO) </w:t>
            </w:r>
          </w:p>
        </w:tc>
        <w:tc>
          <w:tcPr>
            <w:tcW w:w="920"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34DF05" w14:textId="77777777" w:rsidR="008A07FB" w:rsidRPr="008A07FB" w:rsidRDefault="008A07FB" w:rsidP="008A07FB">
            <w:pPr>
              <w:jc w:val="center"/>
              <w:rPr>
                <w:b/>
                <w:bCs/>
                <w:color w:val="000000"/>
                <w:sz w:val="20"/>
                <w:szCs w:val="20"/>
                <w:lang w:val="es-ES"/>
              </w:rPr>
            </w:pPr>
            <w:r w:rsidRPr="008A07FB">
              <w:rPr>
                <w:b/>
                <w:color w:val="000000"/>
                <w:sz w:val="20"/>
                <w:lang w:val="es-ES"/>
              </w:rPr>
              <w:t>Demora media (en meses)</w:t>
            </w:r>
            <w:r w:rsidRPr="008A07FB">
              <w:rPr>
                <w:rStyle w:val="FootnoteReference"/>
                <w:b/>
                <w:bCs/>
                <w:color w:val="000000"/>
                <w:sz w:val="20"/>
                <w:szCs w:val="20"/>
                <w:lang w:val="es-ES"/>
              </w:rPr>
              <w:footnoteReference w:id="2"/>
            </w:r>
          </w:p>
        </w:tc>
      </w:tr>
      <w:tr w:rsidR="008A07FB" w:rsidRPr="008A07FB" w14:paraId="22341747" w14:textId="77777777" w:rsidTr="008A07FB">
        <w:tc>
          <w:tcPr>
            <w:tcW w:w="0" w:type="auto"/>
            <w:vMerge/>
            <w:tcBorders>
              <w:top w:val="single" w:sz="4" w:space="0" w:color="auto"/>
              <w:left w:val="single" w:sz="4" w:space="0" w:color="auto"/>
              <w:bottom w:val="single" w:sz="4" w:space="0" w:color="auto"/>
              <w:right w:val="single" w:sz="4" w:space="0" w:color="auto"/>
            </w:tcBorders>
            <w:vAlign w:val="center"/>
            <w:hideMark/>
          </w:tcPr>
          <w:p w14:paraId="222C53A1" w14:textId="77777777" w:rsidR="008A07FB" w:rsidRPr="008A07FB" w:rsidRDefault="008A07FB" w:rsidP="008A07FB">
            <w:pPr>
              <w:jc w:val="left"/>
              <w:rPr>
                <w:b/>
                <w:bCs/>
                <w:color w:val="000000"/>
                <w:sz w:val="20"/>
                <w:szCs w:val="20"/>
                <w:lang w:val="es-ES"/>
              </w:rPr>
            </w:pPr>
          </w:p>
        </w:tc>
        <w:tc>
          <w:tcPr>
            <w:tcW w:w="784" w:type="pct"/>
            <w:tcBorders>
              <w:top w:val="nil"/>
              <w:left w:val="nil"/>
              <w:bottom w:val="single" w:sz="4" w:space="0" w:color="auto"/>
              <w:right w:val="single" w:sz="4" w:space="0" w:color="auto"/>
            </w:tcBorders>
            <w:vAlign w:val="center"/>
            <w:hideMark/>
          </w:tcPr>
          <w:p w14:paraId="19910A54" w14:textId="77777777" w:rsidR="008A07FB" w:rsidRPr="008A07FB" w:rsidRDefault="008A07FB" w:rsidP="008A07FB">
            <w:pPr>
              <w:jc w:val="center"/>
              <w:rPr>
                <w:b/>
                <w:bCs/>
                <w:color w:val="000000"/>
                <w:sz w:val="20"/>
                <w:szCs w:val="20"/>
                <w:lang w:val="es-ES"/>
              </w:rPr>
            </w:pPr>
            <w:r w:rsidRPr="008A07FB">
              <w:rPr>
                <w:b/>
                <w:color w:val="000000"/>
                <w:sz w:val="20"/>
                <w:lang w:val="es-ES"/>
              </w:rPr>
              <w:t>Aprobado</w:t>
            </w:r>
          </w:p>
        </w:tc>
        <w:tc>
          <w:tcPr>
            <w:tcW w:w="784" w:type="pct"/>
            <w:tcBorders>
              <w:top w:val="nil"/>
              <w:left w:val="nil"/>
              <w:bottom w:val="single" w:sz="4" w:space="0" w:color="auto"/>
              <w:right w:val="single" w:sz="4" w:space="0" w:color="auto"/>
            </w:tcBorders>
            <w:vAlign w:val="center"/>
            <w:hideMark/>
          </w:tcPr>
          <w:p w14:paraId="6C45ECE3" w14:textId="77777777" w:rsidR="008A07FB" w:rsidRPr="008A07FB" w:rsidRDefault="008A07FB" w:rsidP="008A07FB">
            <w:pPr>
              <w:jc w:val="center"/>
              <w:rPr>
                <w:b/>
                <w:bCs/>
                <w:color w:val="000000"/>
                <w:sz w:val="20"/>
                <w:szCs w:val="20"/>
                <w:lang w:val="es-ES"/>
              </w:rPr>
            </w:pPr>
            <w:r w:rsidRPr="008A07FB">
              <w:rPr>
                <w:b/>
                <w:color w:val="000000"/>
                <w:sz w:val="20"/>
                <w:lang w:val="es-ES"/>
              </w:rPr>
              <w:t>Desembolsado</w:t>
            </w:r>
          </w:p>
        </w:tc>
        <w:tc>
          <w:tcPr>
            <w:tcW w:w="784" w:type="pct"/>
            <w:tcBorders>
              <w:top w:val="nil"/>
              <w:left w:val="nil"/>
              <w:bottom w:val="single" w:sz="4" w:space="0" w:color="auto"/>
              <w:right w:val="single" w:sz="4" w:space="0" w:color="auto"/>
            </w:tcBorders>
            <w:vAlign w:val="center"/>
            <w:hideMark/>
          </w:tcPr>
          <w:p w14:paraId="519DBF65" w14:textId="77777777" w:rsidR="008A07FB" w:rsidRPr="008A07FB" w:rsidRDefault="008A07FB" w:rsidP="008A07FB">
            <w:pPr>
              <w:jc w:val="center"/>
              <w:rPr>
                <w:b/>
                <w:bCs/>
                <w:color w:val="000000"/>
                <w:sz w:val="20"/>
                <w:szCs w:val="20"/>
                <w:lang w:val="es-ES"/>
              </w:rPr>
            </w:pPr>
            <w:r w:rsidRPr="008A07FB">
              <w:rPr>
                <w:b/>
                <w:color w:val="000000"/>
                <w:sz w:val="20"/>
                <w:lang w:val="es-ES"/>
              </w:rPr>
              <w:t>Aprobado</w:t>
            </w:r>
          </w:p>
        </w:tc>
        <w:tc>
          <w:tcPr>
            <w:tcW w:w="784" w:type="pct"/>
            <w:tcBorders>
              <w:top w:val="nil"/>
              <w:left w:val="nil"/>
              <w:bottom w:val="single" w:sz="4" w:space="0" w:color="auto"/>
              <w:right w:val="single" w:sz="4" w:space="0" w:color="auto"/>
            </w:tcBorders>
            <w:vAlign w:val="center"/>
            <w:hideMark/>
          </w:tcPr>
          <w:p w14:paraId="2BC45425" w14:textId="77777777" w:rsidR="008A07FB" w:rsidRPr="008A07FB" w:rsidRDefault="008A07FB" w:rsidP="008A07FB">
            <w:pPr>
              <w:jc w:val="center"/>
              <w:rPr>
                <w:b/>
                <w:bCs/>
                <w:color w:val="000000"/>
                <w:sz w:val="20"/>
                <w:szCs w:val="20"/>
                <w:lang w:val="es-ES"/>
              </w:rPr>
            </w:pPr>
            <w:r w:rsidRPr="008A07FB">
              <w:rPr>
                <w:b/>
                <w:color w:val="000000"/>
                <w:sz w:val="20"/>
                <w:lang w:val="es-ES"/>
              </w:rPr>
              <w:t>Real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CC9BD" w14:textId="77777777" w:rsidR="008A07FB" w:rsidRPr="008A07FB" w:rsidRDefault="008A07FB" w:rsidP="008A07FB">
            <w:pPr>
              <w:jc w:val="left"/>
              <w:rPr>
                <w:b/>
                <w:bCs/>
                <w:color w:val="000000"/>
                <w:sz w:val="20"/>
                <w:szCs w:val="20"/>
                <w:lang w:val="es-ES"/>
              </w:rPr>
            </w:pPr>
          </w:p>
        </w:tc>
      </w:tr>
      <w:tr w:rsidR="008A07FB" w:rsidRPr="008A07FB" w14:paraId="641051D1" w14:textId="77777777" w:rsidTr="008A07FB">
        <w:tc>
          <w:tcPr>
            <w:tcW w:w="943" w:type="pct"/>
            <w:tcBorders>
              <w:top w:val="nil"/>
              <w:left w:val="single" w:sz="4" w:space="0" w:color="auto"/>
              <w:bottom w:val="single" w:sz="4" w:space="0" w:color="auto"/>
              <w:right w:val="single" w:sz="4" w:space="0" w:color="auto"/>
            </w:tcBorders>
            <w:noWrap/>
            <w:vAlign w:val="bottom"/>
            <w:hideMark/>
          </w:tcPr>
          <w:p w14:paraId="436DBA70" w14:textId="77777777" w:rsidR="008A07FB" w:rsidRPr="008A07FB" w:rsidRDefault="008A07FB" w:rsidP="008A07FB">
            <w:pPr>
              <w:jc w:val="left"/>
              <w:rPr>
                <w:color w:val="000000"/>
                <w:sz w:val="20"/>
                <w:szCs w:val="20"/>
                <w:lang w:val="es-ES"/>
              </w:rPr>
            </w:pPr>
            <w:r w:rsidRPr="008A07FB">
              <w:rPr>
                <w:color w:val="000000"/>
                <w:sz w:val="20"/>
                <w:lang w:val="es-ES"/>
              </w:rPr>
              <w:t>PNUD</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vAlign w:val="bottom"/>
            <w:hideMark/>
          </w:tcPr>
          <w:p w14:paraId="639624A4" w14:textId="1C4492D3" w:rsidR="008A07FB" w:rsidRPr="008A07FB" w:rsidRDefault="008A07FB" w:rsidP="008A07FB">
            <w:pPr>
              <w:jc w:val="right"/>
              <w:rPr>
                <w:bCs/>
                <w:color w:val="000000"/>
                <w:sz w:val="20"/>
                <w:szCs w:val="20"/>
                <w:lang w:val="es-ES"/>
              </w:rPr>
            </w:pPr>
            <w:r w:rsidRPr="008A07FB">
              <w:rPr>
                <w:color w:val="000000"/>
                <w:sz w:val="20"/>
                <w:lang w:val="es-ES"/>
              </w:rPr>
              <w:t>9</w:t>
            </w:r>
            <w:r>
              <w:rPr>
                <w:color w:val="000000"/>
                <w:sz w:val="20"/>
                <w:lang w:val="es-ES"/>
              </w:rPr>
              <w:t> </w:t>
            </w:r>
            <w:r w:rsidRPr="008A07FB">
              <w:rPr>
                <w:color w:val="000000"/>
                <w:sz w:val="20"/>
                <w:lang w:val="es-ES"/>
              </w:rPr>
              <w:t>441</w:t>
            </w:r>
            <w:r>
              <w:rPr>
                <w:color w:val="000000"/>
                <w:sz w:val="20"/>
                <w:lang w:val="es-ES"/>
              </w:rPr>
              <w:t> </w:t>
            </w:r>
            <w:r w:rsidRPr="008A07FB">
              <w:rPr>
                <w:color w:val="000000"/>
                <w:sz w:val="20"/>
                <w:lang w:val="es-ES"/>
              </w:rPr>
              <w:t>674</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vAlign w:val="center"/>
            <w:hideMark/>
          </w:tcPr>
          <w:p w14:paraId="12088C23" w14:textId="46F0B99C" w:rsidR="008A07FB" w:rsidRPr="008A07FB" w:rsidRDefault="008A07FB" w:rsidP="008A07FB">
            <w:pPr>
              <w:jc w:val="right"/>
              <w:rPr>
                <w:bCs/>
                <w:color w:val="000000"/>
                <w:sz w:val="20"/>
                <w:szCs w:val="20"/>
                <w:lang w:val="es-ES"/>
              </w:rPr>
            </w:pPr>
            <w:r w:rsidRPr="008A07FB">
              <w:rPr>
                <w:color w:val="000000"/>
                <w:sz w:val="20"/>
                <w:lang w:val="es-ES"/>
              </w:rPr>
              <w:t>7</w:t>
            </w:r>
            <w:r>
              <w:rPr>
                <w:color w:val="000000"/>
                <w:sz w:val="20"/>
                <w:lang w:val="es-ES"/>
              </w:rPr>
              <w:t> </w:t>
            </w:r>
            <w:r w:rsidRPr="008A07FB">
              <w:rPr>
                <w:color w:val="000000"/>
                <w:sz w:val="20"/>
                <w:lang w:val="es-ES"/>
              </w:rPr>
              <w:t>890</w:t>
            </w:r>
            <w:r>
              <w:rPr>
                <w:color w:val="000000"/>
                <w:sz w:val="20"/>
                <w:lang w:val="es-ES"/>
              </w:rPr>
              <w:t> </w:t>
            </w:r>
            <w:r w:rsidRPr="008A07FB">
              <w:rPr>
                <w:color w:val="000000"/>
                <w:sz w:val="20"/>
                <w:lang w:val="es-ES"/>
              </w:rPr>
              <w:t>283</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vAlign w:val="bottom"/>
            <w:hideMark/>
          </w:tcPr>
          <w:p w14:paraId="6CF4C50C" w14:textId="77777777" w:rsidR="008A07FB" w:rsidRPr="008A07FB" w:rsidRDefault="008A07FB" w:rsidP="008A07FB">
            <w:pPr>
              <w:jc w:val="right"/>
              <w:rPr>
                <w:bCs/>
                <w:color w:val="000000"/>
                <w:sz w:val="20"/>
                <w:szCs w:val="20"/>
                <w:lang w:val="es-ES"/>
              </w:rPr>
            </w:pPr>
            <w:r w:rsidRPr="008A07FB">
              <w:rPr>
                <w:color w:val="000000"/>
                <w:sz w:val="20"/>
                <w:lang w:val="es-ES"/>
              </w:rPr>
              <w:t>135</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vAlign w:val="bottom"/>
            <w:hideMark/>
          </w:tcPr>
          <w:p w14:paraId="05384F41" w14:textId="77777777" w:rsidR="008A07FB" w:rsidRPr="008A07FB" w:rsidRDefault="008A07FB" w:rsidP="008A07FB">
            <w:pPr>
              <w:jc w:val="right"/>
              <w:rPr>
                <w:bCs/>
                <w:color w:val="000000"/>
                <w:sz w:val="20"/>
                <w:szCs w:val="20"/>
                <w:lang w:val="es-ES"/>
              </w:rPr>
            </w:pPr>
            <w:r w:rsidRPr="008A07FB">
              <w:rPr>
                <w:color w:val="000000"/>
                <w:sz w:val="20"/>
                <w:lang w:val="es-ES"/>
              </w:rPr>
              <w:t>131</w:t>
            </w:r>
          </w:p>
        </w:tc>
        <w:tc>
          <w:tcPr>
            <w:tcW w:w="920" w:type="pct"/>
            <w:tcBorders>
              <w:top w:val="nil"/>
              <w:left w:val="nil"/>
              <w:bottom w:val="single" w:sz="4" w:space="0" w:color="auto"/>
              <w:right w:val="single" w:sz="4" w:space="0" w:color="auto"/>
            </w:tcBorders>
            <w:noWrap/>
            <w:tcMar>
              <w:top w:w="0" w:type="dxa"/>
              <w:left w:w="115" w:type="dxa"/>
              <w:bottom w:w="0" w:type="dxa"/>
              <w:right w:w="202" w:type="dxa"/>
            </w:tcMar>
            <w:vAlign w:val="bottom"/>
            <w:hideMark/>
          </w:tcPr>
          <w:p w14:paraId="5C4527AF" w14:textId="77777777" w:rsidR="008A07FB" w:rsidRPr="008A07FB" w:rsidRDefault="008A07FB" w:rsidP="008A07FB">
            <w:pPr>
              <w:ind w:right="240"/>
              <w:jc w:val="right"/>
              <w:rPr>
                <w:bCs/>
                <w:color w:val="000000"/>
                <w:sz w:val="20"/>
                <w:szCs w:val="20"/>
                <w:lang w:val="es-ES"/>
              </w:rPr>
            </w:pPr>
            <w:r w:rsidRPr="008A07FB">
              <w:rPr>
                <w:color w:val="000000"/>
                <w:sz w:val="20"/>
                <w:lang w:val="es-ES"/>
              </w:rPr>
              <w:t>0</w:t>
            </w:r>
          </w:p>
        </w:tc>
      </w:tr>
      <w:tr w:rsidR="008A07FB" w:rsidRPr="008A07FB" w14:paraId="32640C2E" w14:textId="77777777" w:rsidTr="008A07FB">
        <w:tc>
          <w:tcPr>
            <w:tcW w:w="943" w:type="pct"/>
            <w:tcBorders>
              <w:top w:val="nil"/>
              <w:left w:val="single" w:sz="4" w:space="0" w:color="auto"/>
              <w:bottom w:val="single" w:sz="4" w:space="0" w:color="auto"/>
              <w:right w:val="single" w:sz="4" w:space="0" w:color="auto"/>
            </w:tcBorders>
            <w:noWrap/>
            <w:vAlign w:val="bottom"/>
            <w:hideMark/>
          </w:tcPr>
          <w:p w14:paraId="611FB8AF" w14:textId="77777777" w:rsidR="008A07FB" w:rsidRPr="008A07FB" w:rsidRDefault="008A07FB" w:rsidP="008A07FB">
            <w:pPr>
              <w:jc w:val="left"/>
              <w:rPr>
                <w:color w:val="000000"/>
                <w:sz w:val="20"/>
                <w:szCs w:val="20"/>
                <w:lang w:val="es-ES"/>
              </w:rPr>
            </w:pPr>
            <w:r w:rsidRPr="008A07FB">
              <w:rPr>
                <w:color w:val="000000"/>
                <w:sz w:val="20"/>
                <w:lang w:val="es-ES"/>
              </w:rPr>
              <w:t>PNUMA</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vAlign w:val="center"/>
            <w:hideMark/>
          </w:tcPr>
          <w:p w14:paraId="18FCF1C9" w14:textId="49F1CC78" w:rsidR="008A07FB" w:rsidRPr="008A07FB" w:rsidRDefault="008A07FB" w:rsidP="008A07FB">
            <w:pPr>
              <w:jc w:val="right"/>
              <w:rPr>
                <w:bCs/>
                <w:color w:val="000000"/>
                <w:sz w:val="20"/>
                <w:szCs w:val="20"/>
                <w:lang w:val="es-ES"/>
              </w:rPr>
            </w:pPr>
            <w:r w:rsidRPr="008A07FB">
              <w:rPr>
                <w:color w:val="000000"/>
                <w:sz w:val="20"/>
                <w:lang w:val="es-ES"/>
              </w:rPr>
              <w:t>475</w:t>
            </w:r>
            <w:r>
              <w:rPr>
                <w:color w:val="000000"/>
                <w:sz w:val="20"/>
                <w:lang w:val="es-ES"/>
              </w:rPr>
              <w:t> </w:t>
            </w:r>
            <w:r w:rsidRPr="008A07FB">
              <w:rPr>
                <w:color w:val="000000"/>
                <w:sz w:val="20"/>
                <w:lang w:val="es-ES"/>
              </w:rPr>
              <w:t>000</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vAlign w:val="center"/>
            <w:hideMark/>
          </w:tcPr>
          <w:p w14:paraId="3AD46830" w14:textId="5038B76D" w:rsidR="008A07FB" w:rsidRPr="008A07FB" w:rsidRDefault="008A07FB" w:rsidP="008A07FB">
            <w:pPr>
              <w:jc w:val="right"/>
              <w:rPr>
                <w:bCs/>
                <w:color w:val="000000"/>
                <w:sz w:val="20"/>
                <w:szCs w:val="20"/>
                <w:lang w:val="es-ES"/>
              </w:rPr>
            </w:pPr>
            <w:r w:rsidRPr="008A07FB">
              <w:rPr>
                <w:color w:val="000000"/>
                <w:sz w:val="20"/>
                <w:lang w:val="es-ES"/>
              </w:rPr>
              <w:t>438</w:t>
            </w:r>
            <w:r>
              <w:rPr>
                <w:color w:val="000000"/>
                <w:sz w:val="20"/>
                <w:lang w:val="es-ES"/>
              </w:rPr>
              <w:t> </w:t>
            </w:r>
            <w:r w:rsidRPr="008A07FB">
              <w:rPr>
                <w:color w:val="000000"/>
                <w:sz w:val="20"/>
                <w:lang w:val="es-ES"/>
              </w:rPr>
              <w:t>002</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vAlign w:val="center"/>
            <w:hideMark/>
          </w:tcPr>
          <w:p w14:paraId="01ADCDD0" w14:textId="77777777" w:rsidR="008A07FB" w:rsidRPr="008A07FB" w:rsidRDefault="008A07FB" w:rsidP="008A07FB">
            <w:pPr>
              <w:jc w:val="right"/>
              <w:rPr>
                <w:bCs/>
                <w:color w:val="000000"/>
                <w:sz w:val="20"/>
                <w:szCs w:val="20"/>
                <w:lang w:val="es-ES"/>
              </w:rPr>
            </w:pPr>
            <w:r w:rsidRPr="008A07FB">
              <w:rPr>
                <w:color w:val="000000"/>
                <w:sz w:val="20"/>
                <w:lang w:val="es-ES"/>
              </w:rPr>
              <w:t>5,8</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vAlign w:val="center"/>
            <w:hideMark/>
          </w:tcPr>
          <w:p w14:paraId="03BD45E9" w14:textId="77777777" w:rsidR="008A07FB" w:rsidRPr="008A07FB" w:rsidRDefault="008A07FB" w:rsidP="008A07FB">
            <w:pPr>
              <w:jc w:val="right"/>
              <w:rPr>
                <w:bCs/>
                <w:color w:val="000000"/>
                <w:sz w:val="20"/>
                <w:szCs w:val="20"/>
                <w:lang w:val="es-ES"/>
              </w:rPr>
            </w:pPr>
            <w:r w:rsidRPr="008A07FB">
              <w:rPr>
                <w:color w:val="000000"/>
                <w:sz w:val="20"/>
                <w:lang w:val="es-ES"/>
              </w:rPr>
              <w:t>2,9</w:t>
            </w:r>
          </w:p>
        </w:tc>
        <w:tc>
          <w:tcPr>
            <w:tcW w:w="920" w:type="pct"/>
            <w:tcBorders>
              <w:top w:val="nil"/>
              <w:left w:val="nil"/>
              <w:bottom w:val="single" w:sz="4" w:space="0" w:color="auto"/>
              <w:right w:val="single" w:sz="4" w:space="0" w:color="auto"/>
            </w:tcBorders>
            <w:noWrap/>
            <w:tcMar>
              <w:top w:w="0" w:type="dxa"/>
              <w:left w:w="115" w:type="dxa"/>
              <w:bottom w:w="0" w:type="dxa"/>
              <w:right w:w="202" w:type="dxa"/>
            </w:tcMar>
            <w:vAlign w:val="bottom"/>
            <w:hideMark/>
          </w:tcPr>
          <w:p w14:paraId="0F2FA89B" w14:textId="77777777" w:rsidR="008A07FB" w:rsidRPr="008A07FB" w:rsidRDefault="008A07FB" w:rsidP="008A07FB">
            <w:pPr>
              <w:ind w:right="240"/>
              <w:jc w:val="right"/>
              <w:rPr>
                <w:bCs/>
                <w:color w:val="000000"/>
                <w:sz w:val="20"/>
                <w:szCs w:val="20"/>
                <w:lang w:val="es-ES"/>
              </w:rPr>
            </w:pPr>
            <w:r w:rsidRPr="008A07FB">
              <w:rPr>
                <w:color w:val="000000"/>
                <w:sz w:val="20"/>
                <w:lang w:val="es-ES"/>
              </w:rPr>
              <w:t>0</w:t>
            </w:r>
          </w:p>
        </w:tc>
      </w:tr>
      <w:tr w:rsidR="008A07FB" w:rsidRPr="008A07FB" w14:paraId="728EDC49" w14:textId="77777777" w:rsidTr="008A07FB">
        <w:tc>
          <w:tcPr>
            <w:tcW w:w="943" w:type="pct"/>
            <w:tcBorders>
              <w:top w:val="nil"/>
              <w:left w:val="single" w:sz="4" w:space="0" w:color="auto"/>
              <w:bottom w:val="single" w:sz="4" w:space="0" w:color="auto"/>
              <w:right w:val="single" w:sz="4" w:space="0" w:color="auto"/>
            </w:tcBorders>
            <w:noWrap/>
            <w:vAlign w:val="bottom"/>
            <w:hideMark/>
          </w:tcPr>
          <w:p w14:paraId="43340F0C" w14:textId="77777777" w:rsidR="008A07FB" w:rsidRPr="008A07FB" w:rsidRDefault="008A07FB" w:rsidP="008A07FB">
            <w:pPr>
              <w:jc w:val="left"/>
              <w:rPr>
                <w:color w:val="000000"/>
                <w:sz w:val="20"/>
                <w:szCs w:val="20"/>
                <w:lang w:val="es-ES"/>
              </w:rPr>
            </w:pPr>
            <w:r w:rsidRPr="008A07FB">
              <w:rPr>
                <w:color w:val="000000"/>
                <w:sz w:val="20"/>
                <w:lang w:val="es-ES"/>
              </w:rPr>
              <w:t>Banco Mundial</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vAlign w:val="bottom"/>
            <w:hideMark/>
          </w:tcPr>
          <w:p w14:paraId="3F3228BF" w14:textId="760353D7" w:rsidR="008A07FB" w:rsidRPr="008A07FB" w:rsidRDefault="008A07FB" w:rsidP="008A07FB">
            <w:pPr>
              <w:jc w:val="right"/>
              <w:rPr>
                <w:bCs/>
                <w:color w:val="000000"/>
                <w:sz w:val="20"/>
                <w:szCs w:val="20"/>
                <w:lang w:val="es-ES"/>
              </w:rPr>
            </w:pPr>
            <w:r w:rsidRPr="008A07FB">
              <w:rPr>
                <w:color w:val="000000"/>
                <w:sz w:val="20"/>
                <w:lang w:val="es-ES"/>
              </w:rPr>
              <w:t>173</w:t>
            </w:r>
            <w:r>
              <w:rPr>
                <w:color w:val="000000"/>
                <w:sz w:val="20"/>
                <w:lang w:val="es-ES"/>
              </w:rPr>
              <w:t> </w:t>
            </w:r>
            <w:r w:rsidRPr="008A07FB">
              <w:rPr>
                <w:color w:val="000000"/>
                <w:sz w:val="20"/>
                <w:lang w:val="es-ES"/>
              </w:rPr>
              <w:t>500</w:t>
            </w:r>
            <w:r>
              <w:rPr>
                <w:color w:val="000000"/>
                <w:sz w:val="20"/>
                <w:lang w:val="es-ES"/>
              </w:rPr>
              <w:t> </w:t>
            </w:r>
            <w:r w:rsidRPr="008A07FB">
              <w:rPr>
                <w:color w:val="000000"/>
                <w:sz w:val="20"/>
                <w:lang w:val="es-ES"/>
              </w:rPr>
              <w:t>000</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vAlign w:val="bottom"/>
            <w:hideMark/>
          </w:tcPr>
          <w:p w14:paraId="02520068" w14:textId="758E84D0" w:rsidR="008A07FB" w:rsidRPr="008A07FB" w:rsidRDefault="008A07FB" w:rsidP="008A07FB">
            <w:pPr>
              <w:jc w:val="right"/>
              <w:rPr>
                <w:bCs/>
                <w:color w:val="000000"/>
                <w:sz w:val="20"/>
                <w:szCs w:val="20"/>
                <w:lang w:val="es-ES"/>
              </w:rPr>
            </w:pPr>
            <w:r w:rsidRPr="008A07FB">
              <w:rPr>
                <w:color w:val="000000"/>
                <w:sz w:val="20"/>
                <w:lang w:val="es-ES"/>
              </w:rPr>
              <w:t>173</w:t>
            </w:r>
            <w:r>
              <w:rPr>
                <w:color w:val="000000"/>
                <w:sz w:val="20"/>
                <w:lang w:val="es-ES"/>
              </w:rPr>
              <w:t> </w:t>
            </w:r>
            <w:r w:rsidRPr="008A07FB">
              <w:rPr>
                <w:color w:val="000000"/>
                <w:sz w:val="20"/>
                <w:lang w:val="es-ES"/>
              </w:rPr>
              <w:t>500</w:t>
            </w:r>
            <w:r>
              <w:rPr>
                <w:color w:val="000000"/>
                <w:sz w:val="20"/>
                <w:lang w:val="es-ES"/>
              </w:rPr>
              <w:t> </w:t>
            </w:r>
            <w:r w:rsidRPr="008A07FB">
              <w:rPr>
                <w:color w:val="000000"/>
                <w:sz w:val="20"/>
                <w:lang w:val="es-ES"/>
              </w:rPr>
              <w:t>000</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vAlign w:val="bottom"/>
            <w:hideMark/>
          </w:tcPr>
          <w:p w14:paraId="1EE6412B" w14:textId="763E679B" w:rsidR="008A07FB" w:rsidRPr="008A07FB" w:rsidRDefault="008A07FB" w:rsidP="008A07FB">
            <w:pPr>
              <w:jc w:val="right"/>
              <w:rPr>
                <w:bCs/>
                <w:color w:val="000000"/>
                <w:sz w:val="20"/>
                <w:szCs w:val="20"/>
                <w:lang w:val="es-ES"/>
              </w:rPr>
            </w:pPr>
            <w:r w:rsidRPr="008A07FB">
              <w:rPr>
                <w:color w:val="000000"/>
                <w:sz w:val="20"/>
                <w:lang w:val="es-ES"/>
              </w:rPr>
              <w:t>124</w:t>
            </w:r>
            <w:r w:rsidR="00477A64">
              <w:rPr>
                <w:color w:val="000000"/>
                <w:sz w:val="20"/>
                <w:lang w:val="es-ES"/>
              </w:rPr>
              <w:t> </w:t>
            </w:r>
            <w:r w:rsidRPr="008A07FB">
              <w:rPr>
                <w:color w:val="000000"/>
                <w:sz w:val="20"/>
                <w:lang w:val="es-ES"/>
              </w:rPr>
              <w:t>741*</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vAlign w:val="bottom"/>
            <w:hideMark/>
          </w:tcPr>
          <w:p w14:paraId="025EC89F" w14:textId="5319A18A" w:rsidR="008A07FB" w:rsidRPr="008A07FB" w:rsidRDefault="008A07FB" w:rsidP="008A07FB">
            <w:pPr>
              <w:jc w:val="right"/>
              <w:rPr>
                <w:bCs/>
                <w:color w:val="000000"/>
                <w:sz w:val="20"/>
                <w:szCs w:val="20"/>
                <w:lang w:val="es-ES"/>
              </w:rPr>
            </w:pPr>
            <w:r w:rsidRPr="008A07FB">
              <w:rPr>
                <w:color w:val="000000"/>
                <w:sz w:val="20"/>
                <w:lang w:val="es-ES"/>
              </w:rPr>
              <w:t>144</w:t>
            </w:r>
            <w:r w:rsidR="00477A64">
              <w:rPr>
                <w:color w:val="000000"/>
                <w:sz w:val="20"/>
                <w:lang w:val="es-ES"/>
              </w:rPr>
              <w:t> </w:t>
            </w:r>
            <w:r w:rsidRPr="008A07FB">
              <w:rPr>
                <w:color w:val="000000"/>
                <w:sz w:val="20"/>
                <w:lang w:val="es-ES"/>
              </w:rPr>
              <w:t>599*</w:t>
            </w:r>
          </w:p>
        </w:tc>
        <w:tc>
          <w:tcPr>
            <w:tcW w:w="920" w:type="pct"/>
            <w:tcBorders>
              <w:top w:val="nil"/>
              <w:left w:val="nil"/>
              <w:bottom w:val="single" w:sz="4" w:space="0" w:color="auto"/>
              <w:right w:val="single" w:sz="4" w:space="0" w:color="auto"/>
            </w:tcBorders>
            <w:noWrap/>
            <w:tcMar>
              <w:top w:w="0" w:type="dxa"/>
              <w:left w:w="115" w:type="dxa"/>
              <w:bottom w:w="0" w:type="dxa"/>
              <w:right w:w="202" w:type="dxa"/>
            </w:tcMar>
            <w:vAlign w:val="bottom"/>
            <w:hideMark/>
          </w:tcPr>
          <w:p w14:paraId="09433682" w14:textId="77777777" w:rsidR="008A07FB" w:rsidRPr="008A07FB" w:rsidRDefault="008A07FB" w:rsidP="008A07FB">
            <w:pPr>
              <w:ind w:right="240"/>
              <w:jc w:val="right"/>
              <w:rPr>
                <w:bCs/>
                <w:color w:val="000000"/>
                <w:sz w:val="20"/>
                <w:szCs w:val="20"/>
                <w:lang w:val="es-ES"/>
              </w:rPr>
            </w:pPr>
            <w:r w:rsidRPr="008A07FB">
              <w:rPr>
                <w:color w:val="000000"/>
                <w:sz w:val="20"/>
                <w:lang w:val="es-ES"/>
              </w:rPr>
              <w:t>11</w:t>
            </w:r>
          </w:p>
        </w:tc>
      </w:tr>
      <w:tr w:rsidR="008A07FB" w:rsidRPr="008A07FB" w14:paraId="19EF9CC4" w14:textId="77777777" w:rsidTr="008A07FB">
        <w:tc>
          <w:tcPr>
            <w:tcW w:w="943" w:type="pct"/>
            <w:tcBorders>
              <w:top w:val="nil"/>
              <w:left w:val="single" w:sz="4" w:space="0" w:color="auto"/>
              <w:bottom w:val="single" w:sz="4" w:space="0" w:color="auto"/>
              <w:right w:val="single" w:sz="4" w:space="0" w:color="auto"/>
            </w:tcBorders>
            <w:noWrap/>
            <w:vAlign w:val="bottom"/>
            <w:hideMark/>
          </w:tcPr>
          <w:p w14:paraId="6DA5E327" w14:textId="77777777" w:rsidR="008A07FB" w:rsidRPr="008A07FB" w:rsidRDefault="008A07FB" w:rsidP="008A07FB">
            <w:pPr>
              <w:jc w:val="left"/>
              <w:rPr>
                <w:b/>
                <w:bCs/>
                <w:color w:val="000000"/>
                <w:sz w:val="20"/>
                <w:szCs w:val="20"/>
                <w:lang w:val="es-ES"/>
              </w:rPr>
            </w:pPr>
            <w:r w:rsidRPr="008A07FB">
              <w:rPr>
                <w:b/>
                <w:color w:val="000000"/>
                <w:sz w:val="20"/>
                <w:lang w:val="es-ES"/>
              </w:rPr>
              <w:t>Total general</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hideMark/>
          </w:tcPr>
          <w:p w14:paraId="10084FD3" w14:textId="6C0B6CB4" w:rsidR="008A07FB" w:rsidRPr="008A07FB" w:rsidRDefault="008A07FB" w:rsidP="008A07FB">
            <w:pPr>
              <w:jc w:val="right"/>
              <w:rPr>
                <w:b/>
                <w:bCs/>
                <w:color w:val="000000"/>
                <w:sz w:val="20"/>
                <w:szCs w:val="20"/>
                <w:lang w:val="es-ES"/>
              </w:rPr>
            </w:pPr>
            <w:r w:rsidRPr="008A07FB">
              <w:rPr>
                <w:b/>
                <w:color w:val="000000"/>
                <w:sz w:val="20"/>
                <w:lang w:val="es-ES"/>
              </w:rPr>
              <w:t>183</w:t>
            </w:r>
            <w:r>
              <w:rPr>
                <w:b/>
                <w:color w:val="000000"/>
                <w:sz w:val="20"/>
                <w:lang w:val="es-ES"/>
              </w:rPr>
              <w:t> </w:t>
            </w:r>
            <w:r w:rsidRPr="008A07FB">
              <w:rPr>
                <w:b/>
                <w:color w:val="000000"/>
                <w:sz w:val="20"/>
                <w:lang w:val="es-ES"/>
              </w:rPr>
              <w:t>416</w:t>
            </w:r>
            <w:r>
              <w:rPr>
                <w:b/>
                <w:color w:val="000000"/>
                <w:sz w:val="20"/>
                <w:lang w:val="es-ES"/>
              </w:rPr>
              <w:t> </w:t>
            </w:r>
            <w:r w:rsidRPr="008A07FB">
              <w:rPr>
                <w:b/>
                <w:color w:val="000000"/>
                <w:sz w:val="20"/>
                <w:lang w:val="es-ES"/>
              </w:rPr>
              <w:t>674</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hideMark/>
          </w:tcPr>
          <w:p w14:paraId="29EB007C" w14:textId="10661036" w:rsidR="008A07FB" w:rsidRPr="008A07FB" w:rsidRDefault="008A07FB" w:rsidP="008A07FB">
            <w:pPr>
              <w:jc w:val="right"/>
              <w:rPr>
                <w:b/>
                <w:bCs/>
                <w:color w:val="000000"/>
                <w:sz w:val="20"/>
                <w:szCs w:val="20"/>
                <w:lang w:val="es-ES"/>
              </w:rPr>
            </w:pPr>
            <w:r w:rsidRPr="008A07FB">
              <w:rPr>
                <w:b/>
                <w:color w:val="000000"/>
                <w:sz w:val="20"/>
                <w:lang w:val="es-ES"/>
              </w:rPr>
              <w:t>181</w:t>
            </w:r>
            <w:r>
              <w:rPr>
                <w:b/>
                <w:color w:val="000000"/>
                <w:sz w:val="20"/>
                <w:lang w:val="es-ES"/>
              </w:rPr>
              <w:t> </w:t>
            </w:r>
            <w:r w:rsidRPr="008A07FB">
              <w:rPr>
                <w:b/>
                <w:color w:val="000000"/>
                <w:sz w:val="20"/>
                <w:lang w:val="es-ES"/>
              </w:rPr>
              <w:t>828</w:t>
            </w:r>
            <w:r>
              <w:rPr>
                <w:b/>
                <w:color w:val="000000"/>
                <w:sz w:val="20"/>
                <w:lang w:val="es-ES"/>
              </w:rPr>
              <w:t> </w:t>
            </w:r>
            <w:r w:rsidRPr="008A07FB">
              <w:rPr>
                <w:b/>
                <w:color w:val="000000"/>
                <w:sz w:val="20"/>
                <w:lang w:val="es-ES"/>
              </w:rPr>
              <w:t>285</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hideMark/>
          </w:tcPr>
          <w:p w14:paraId="377E5CAE" w14:textId="2FF52D70" w:rsidR="008A07FB" w:rsidRPr="008A07FB" w:rsidRDefault="008A07FB" w:rsidP="008A07FB">
            <w:pPr>
              <w:jc w:val="right"/>
              <w:rPr>
                <w:b/>
                <w:bCs/>
                <w:color w:val="000000"/>
                <w:sz w:val="20"/>
                <w:szCs w:val="20"/>
                <w:lang w:val="es-ES"/>
              </w:rPr>
            </w:pPr>
            <w:r w:rsidRPr="008A07FB">
              <w:rPr>
                <w:b/>
                <w:color w:val="000000"/>
                <w:sz w:val="20"/>
                <w:lang w:val="es-ES"/>
              </w:rPr>
              <w:t>124</w:t>
            </w:r>
            <w:r>
              <w:rPr>
                <w:b/>
                <w:color w:val="000000"/>
                <w:sz w:val="20"/>
                <w:lang w:val="es-ES"/>
              </w:rPr>
              <w:t> </w:t>
            </w:r>
            <w:r w:rsidRPr="008A07FB">
              <w:rPr>
                <w:b/>
                <w:color w:val="000000"/>
                <w:sz w:val="20"/>
                <w:lang w:val="es-ES"/>
              </w:rPr>
              <w:t>882</w:t>
            </w:r>
          </w:p>
        </w:tc>
        <w:tc>
          <w:tcPr>
            <w:tcW w:w="784" w:type="pct"/>
            <w:tcBorders>
              <w:top w:val="nil"/>
              <w:left w:val="nil"/>
              <w:bottom w:val="single" w:sz="4" w:space="0" w:color="auto"/>
              <w:right w:val="single" w:sz="4" w:space="0" w:color="auto"/>
            </w:tcBorders>
            <w:noWrap/>
            <w:tcMar>
              <w:top w:w="0" w:type="dxa"/>
              <w:left w:w="115" w:type="dxa"/>
              <w:bottom w:w="0" w:type="dxa"/>
              <w:right w:w="202" w:type="dxa"/>
            </w:tcMar>
            <w:hideMark/>
          </w:tcPr>
          <w:p w14:paraId="05B64B91" w14:textId="159673A5" w:rsidR="008A07FB" w:rsidRPr="008A07FB" w:rsidRDefault="008A07FB" w:rsidP="008A07FB">
            <w:pPr>
              <w:jc w:val="right"/>
              <w:rPr>
                <w:b/>
                <w:bCs/>
                <w:color w:val="000000"/>
                <w:sz w:val="20"/>
                <w:szCs w:val="20"/>
                <w:lang w:val="es-ES"/>
              </w:rPr>
            </w:pPr>
            <w:r w:rsidRPr="008A07FB">
              <w:rPr>
                <w:b/>
                <w:color w:val="000000"/>
                <w:sz w:val="20"/>
                <w:lang w:val="es-ES"/>
              </w:rPr>
              <w:t>144</w:t>
            </w:r>
            <w:r>
              <w:rPr>
                <w:b/>
                <w:color w:val="000000"/>
                <w:sz w:val="20"/>
                <w:lang w:val="es-ES"/>
              </w:rPr>
              <w:t> </w:t>
            </w:r>
            <w:r w:rsidRPr="008A07FB">
              <w:rPr>
                <w:b/>
                <w:color w:val="000000"/>
                <w:sz w:val="20"/>
                <w:lang w:val="es-ES"/>
              </w:rPr>
              <w:t>733</w:t>
            </w:r>
          </w:p>
        </w:tc>
        <w:tc>
          <w:tcPr>
            <w:tcW w:w="920" w:type="pct"/>
            <w:tcBorders>
              <w:top w:val="nil"/>
              <w:left w:val="nil"/>
              <w:bottom w:val="single" w:sz="4" w:space="0" w:color="auto"/>
              <w:right w:val="single" w:sz="4" w:space="0" w:color="auto"/>
            </w:tcBorders>
            <w:noWrap/>
            <w:tcMar>
              <w:top w:w="0" w:type="dxa"/>
              <w:left w:w="115" w:type="dxa"/>
              <w:bottom w:w="0" w:type="dxa"/>
              <w:right w:w="202" w:type="dxa"/>
            </w:tcMar>
            <w:hideMark/>
          </w:tcPr>
          <w:p w14:paraId="3D7DB0AC" w14:textId="77777777" w:rsidR="008A07FB" w:rsidRPr="008A07FB" w:rsidRDefault="008A07FB" w:rsidP="008A07FB">
            <w:pPr>
              <w:ind w:right="240"/>
              <w:jc w:val="right"/>
              <w:rPr>
                <w:b/>
                <w:bCs/>
                <w:color w:val="000000"/>
                <w:sz w:val="20"/>
                <w:szCs w:val="20"/>
                <w:lang w:val="es-ES"/>
              </w:rPr>
            </w:pPr>
            <w:r w:rsidRPr="008A07FB">
              <w:rPr>
                <w:b/>
                <w:color w:val="000000"/>
                <w:sz w:val="20"/>
                <w:lang w:val="es-ES"/>
              </w:rPr>
              <w:t>6,6</w:t>
            </w:r>
          </w:p>
        </w:tc>
      </w:tr>
    </w:tbl>
    <w:p w14:paraId="185DBC5C" w14:textId="77777777" w:rsidR="008A07FB" w:rsidRPr="008A07FB" w:rsidRDefault="008A07FB" w:rsidP="008A07FB">
      <w:pPr>
        <w:spacing w:after="240"/>
        <w:rPr>
          <w:sz w:val="20"/>
          <w:szCs w:val="20"/>
          <w:lang w:val="es-ES"/>
        </w:rPr>
      </w:pPr>
      <w:r w:rsidRPr="008A07FB">
        <w:rPr>
          <w:sz w:val="20"/>
          <w:lang w:val="es-ES"/>
        </w:rPr>
        <w:t>* La eliminación total lograda por el Banco Mundial incluye eliminación de la producción que consiste en 82 222 toneladas PAO aprobadas y 93 799 toneladas PAO reales, respectivamente, eliminadas.</w:t>
      </w:r>
    </w:p>
    <w:p w14:paraId="5F0FCEE4" w14:textId="77777777" w:rsidR="008A07FB" w:rsidRPr="008A07FB" w:rsidRDefault="008A07FB" w:rsidP="008A07FB">
      <w:pPr>
        <w:spacing w:after="240"/>
        <w:rPr>
          <w:b/>
          <w:szCs w:val="20"/>
          <w:lang w:val="es-ES"/>
        </w:rPr>
      </w:pPr>
      <w:r w:rsidRPr="008A07FB">
        <w:rPr>
          <w:b/>
          <w:lang w:val="es-ES"/>
        </w:rPr>
        <w:t>Motivos de las demoras</w:t>
      </w:r>
    </w:p>
    <w:p w14:paraId="7C80E6E1" w14:textId="77777777" w:rsidR="008A07FB" w:rsidRPr="008A07FB" w:rsidRDefault="008A07FB" w:rsidP="008A07FB">
      <w:pPr>
        <w:rPr>
          <w:u w:val="single"/>
          <w:shd w:val="clear" w:color="auto" w:fill="FFFFFF"/>
          <w:lang w:val="es-ES"/>
        </w:rPr>
      </w:pPr>
      <w:r w:rsidRPr="008A07FB">
        <w:rPr>
          <w:u w:val="single"/>
          <w:shd w:val="clear" w:color="auto" w:fill="FFFFFF"/>
          <w:lang w:val="es-ES"/>
        </w:rPr>
        <w:t>Planes de gestión de eliminación de los HCFC (PGEH)</w:t>
      </w:r>
    </w:p>
    <w:p w14:paraId="78262EB6" w14:textId="77777777" w:rsidR="008A07FB" w:rsidRPr="008A07FB" w:rsidRDefault="008A07FB" w:rsidP="008A07FB">
      <w:pPr>
        <w:pStyle w:val="Heading1"/>
        <w:tabs>
          <w:tab w:val="clear" w:pos="0"/>
          <w:tab w:val="num" w:pos="720"/>
        </w:tabs>
        <w:spacing w:before="240"/>
        <w:rPr>
          <w:lang w:val="es-ES"/>
        </w:rPr>
      </w:pPr>
      <w:r w:rsidRPr="008A07FB">
        <w:rPr>
          <w:lang w:val="es-ES"/>
        </w:rPr>
        <w:t xml:space="preserve">Entre los motivos comunes de las demoras se mencionaron en los informes cuestiones administrativas, tales como demoras en la firma del Acuerdo, los prolongados procesos administrativos para la aprobación de algunos proyectos y su registro en los ministerios gubernamentales correspondientes. En la región de Asia y el Pacífico, la cuestión se resolvió por medio de un rápido cubrimiento de la dotación del personal de la Dependencia del Protocolo de Montreal del PNUD, que proporcionó la vigilancia del proyecto requerida. </w:t>
      </w:r>
    </w:p>
    <w:p w14:paraId="6BDAE863" w14:textId="77777777" w:rsidR="008A07FB" w:rsidRPr="008A07FB" w:rsidRDefault="008A07FB" w:rsidP="008A07FB">
      <w:pPr>
        <w:pStyle w:val="Heading1"/>
        <w:tabs>
          <w:tab w:val="clear" w:pos="0"/>
          <w:tab w:val="num" w:pos="720"/>
        </w:tabs>
        <w:spacing w:before="240"/>
        <w:rPr>
          <w:lang w:val="es-ES"/>
        </w:rPr>
      </w:pPr>
      <w:r w:rsidRPr="008A07FB">
        <w:rPr>
          <w:lang w:val="es-ES"/>
        </w:rPr>
        <w:t>Las cuestiones relacionadas con la ejecución de los proyectos se debieron principalmente a un defecto del diseño de un proyecto, tal como la cancelación de actividades que no pudieron ejecutarse, lo que dio lugar a una reasignación de fondos a actividades de capacitación; o falta de componentes en el mercado mundial (es decir, compresores, válvulas de expansión) y gastos operacionales extremadamente elevados, que demoraron el inicio de las conversiones a HFC-32. Cuando las condiciones del mercado mejoraron, las empresas pudieron comenzar la producción de equipos de refrigeración y aire acondicionado a base de HFC-32 y a suministrarlos al mercado local.</w:t>
      </w:r>
    </w:p>
    <w:p w14:paraId="481209F0" w14:textId="77777777" w:rsidR="008A07FB" w:rsidRPr="008A07FB" w:rsidRDefault="008A07FB" w:rsidP="008A07FB">
      <w:pPr>
        <w:pStyle w:val="Heading1"/>
        <w:tabs>
          <w:tab w:val="clear" w:pos="0"/>
          <w:tab w:val="num" w:pos="720"/>
        </w:tabs>
        <w:spacing w:before="240"/>
        <w:rPr>
          <w:lang w:val="es-ES"/>
        </w:rPr>
      </w:pPr>
      <w:r w:rsidRPr="008A07FB">
        <w:rPr>
          <w:lang w:val="es-ES"/>
        </w:rPr>
        <w:lastRenderedPageBreak/>
        <w:t>La limitada comunicación entre el organismo de ejecución y los ministerios gubernamentales y el desacuerdo acerca del mecanismo de adquisiciones condujo a demoras en un proyecto. El Ministerio de Medio Ambiente consideraba que los fondos del proyecto formaban parte integral de sus recursos y esperaba ser responsable de los procesos de adquisiciones conforme a los reglamentos gubernamentales, pero sostuvo que el organismo de ejecución organizó la compra de bienes sin aprobación gubernamental, lo que contravenía el Acuerdo firmado. El organismo de ejecución, por otro lado, debía seguir sus normas internas para las adquisiciones. Esta cuestión ocasionó demoras importantes en la firma del documento del proyecto. A fin de reducir las demoras, el organismo de ejecución inició el proceso de licitación y documentación para la adquisición de los equipos del proyecto.</w:t>
      </w:r>
    </w:p>
    <w:p w14:paraId="77140C48" w14:textId="77777777" w:rsidR="008A07FB" w:rsidRPr="008A07FB" w:rsidRDefault="008A07FB" w:rsidP="008A07FB">
      <w:pPr>
        <w:pStyle w:val="Heading1"/>
        <w:tabs>
          <w:tab w:val="clear" w:pos="0"/>
          <w:tab w:val="num" w:pos="720"/>
        </w:tabs>
        <w:spacing w:before="240"/>
        <w:rPr>
          <w:lang w:val="es-ES"/>
        </w:rPr>
      </w:pPr>
      <w:r w:rsidRPr="008A07FB">
        <w:rPr>
          <w:lang w:val="es-ES"/>
        </w:rPr>
        <w:t xml:space="preserve">Otras demoras se debieron a la rotación del personal, que condujo a la pérdida de conocimientos institucionales, así como a demoras en el transporte para la entrega de los equipos en el país. </w:t>
      </w:r>
    </w:p>
    <w:p w14:paraId="57282D07" w14:textId="77777777" w:rsidR="008A07FB" w:rsidRPr="008A07FB" w:rsidRDefault="008A07FB" w:rsidP="008A07FB">
      <w:pPr>
        <w:pStyle w:val="Heading1"/>
        <w:numPr>
          <w:ilvl w:val="0"/>
          <w:numId w:val="0"/>
        </w:numPr>
        <w:tabs>
          <w:tab w:val="left" w:pos="708"/>
        </w:tabs>
        <w:spacing w:before="240"/>
        <w:rPr>
          <w:u w:val="single"/>
          <w:lang w:val="es-ES"/>
        </w:rPr>
      </w:pPr>
      <w:r w:rsidRPr="008A07FB">
        <w:rPr>
          <w:u w:val="single"/>
          <w:lang w:val="es-ES"/>
        </w:rPr>
        <w:t>Plan para el sector de halones</w:t>
      </w:r>
    </w:p>
    <w:p w14:paraId="3B543D96" w14:textId="77777777" w:rsidR="008A07FB" w:rsidRPr="008A07FB" w:rsidRDefault="008A07FB" w:rsidP="008A07FB">
      <w:pPr>
        <w:pStyle w:val="Heading1"/>
        <w:tabs>
          <w:tab w:val="clear" w:pos="0"/>
          <w:tab w:val="num" w:pos="720"/>
        </w:tabs>
        <w:spacing w:before="240"/>
        <w:rPr>
          <w:lang w:val="es-ES"/>
        </w:rPr>
      </w:pPr>
      <w:r w:rsidRPr="008A07FB">
        <w:rPr>
          <w:lang w:val="es-ES"/>
        </w:rPr>
        <w:t>El traslado y la remodelación de un instituto de investigación demoraron la finalización de dos actividades técnicas y dos iniciativas especiales, y un problema técnico en el equipo entregado por el proveedor demoró la finalización del plan sectorial.</w:t>
      </w:r>
    </w:p>
    <w:p w14:paraId="29CB6761" w14:textId="77777777" w:rsidR="008A07FB" w:rsidRPr="008A07FB" w:rsidRDefault="008A07FB" w:rsidP="008A07FB">
      <w:pPr>
        <w:pStyle w:val="Heading1"/>
        <w:tabs>
          <w:tab w:val="clear" w:pos="0"/>
          <w:tab w:val="num" w:pos="720"/>
        </w:tabs>
        <w:spacing w:before="240"/>
        <w:rPr>
          <w:lang w:val="es-ES"/>
        </w:rPr>
      </w:pPr>
      <w:r w:rsidRPr="008A07FB">
        <w:rPr>
          <w:lang w:val="es-ES"/>
        </w:rPr>
        <w:t>Además, después de 2010, quedaba un productor local con grandes existencias de halones, ya que las existencias que se produjeron antes de 2010 se clasificaron como “SAO de nueva producción” y no pudieron exportarse a otros países que operan al amparo del artículo 5 después de ese año. El proyecto finalizó en 2011 y el informe de terminación de proyecto, presentado en 2021, no proporciona información sobre el destino de estas existencias.</w:t>
      </w:r>
    </w:p>
    <w:p w14:paraId="7B49BD71" w14:textId="77777777" w:rsidR="008A07FB" w:rsidRPr="008A07FB" w:rsidRDefault="008A07FB" w:rsidP="008A07FB">
      <w:pPr>
        <w:pStyle w:val="Heading1"/>
        <w:numPr>
          <w:ilvl w:val="0"/>
          <w:numId w:val="0"/>
        </w:numPr>
        <w:tabs>
          <w:tab w:val="left" w:pos="708"/>
        </w:tabs>
        <w:spacing w:before="240"/>
        <w:rPr>
          <w:u w:val="single"/>
          <w:lang w:val="es-ES"/>
        </w:rPr>
      </w:pPr>
      <w:r w:rsidRPr="008A07FB">
        <w:rPr>
          <w:u w:val="single"/>
          <w:lang w:val="es-ES"/>
        </w:rPr>
        <w:t>Agentes de procesos</w:t>
      </w:r>
    </w:p>
    <w:p w14:paraId="56F583A6" w14:textId="77777777" w:rsidR="008A07FB" w:rsidRPr="008A07FB" w:rsidRDefault="008A07FB" w:rsidP="008B0A4F">
      <w:pPr>
        <w:pStyle w:val="Heading1"/>
        <w:tabs>
          <w:tab w:val="clear" w:pos="0"/>
          <w:tab w:val="num" w:pos="720"/>
        </w:tabs>
        <w:spacing w:after="120"/>
        <w:rPr>
          <w:lang w:val="es-ES"/>
        </w:rPr>
      </w:pPr>
      <w:r w:rsidRPr="008A07FB">
        <w:rPr>
          <w:lang w:val="es-ES"/>
        </w:rPr>
        <w:t>Las demoras en el plan para el sector de agentes de procesos se debieron a la presentación tardía del informe de terminación de los subproyectos por parte de las empresas. Una vez presentados los informes y efectuados los últimos pagos, el proyecto se terminó satisfactoriamente.</w:t>
      </w:r>
    </w:p>
    <w:p w14:paraId="23C84ADA" w14:textId="77777777" w:rsidR="008A07FB" w:rsidRPr="008A07FB" w:rsidRDefault="008A07FB" w:rsidP="008B0A4F">
      <w:pPr>
        <w:pStyle w:val="Heading1"/>
        <w:keepNext/>
        <w:numPr>
          <w:ilvl w:val="0"/>
          <w:numId w:val="0"/>
        </w:numPr>
        <w:tabs>
          <w:tab w:val="left" w:pos="720"/>
        </w:tabs>
        <w:spacing w:after="120"/>
        <w:rPr>
          <w:b/>
          <w:lang w:val="es-ES"/>
        </w:rPr>
      </w:pPr>
      <w:r w:rsidRPr="008A07FB">
        <w:rPr>
          <w:b/>
          <w:lang w:val="es-ES"/>
        </w:rPr>
        <w:t>Lecciones aprendidas</w:t>
      </w:r>
      <w:r w:rsidRPr="008A07FB">
        <w:rPr>
          <w:vertAlign w:val="superscript"/>
          <w:lang w:val="es-ES"/>
        </w:rPr>
        <w:footnoteReference w:id="3"/>
      </w:r>
      <w:r w:rsidRPr="008A07FB">
        <w:rPr>
          <w:lang w:val="es-ES"/>
        </w:rPr>
        <w:t xml:space="preserve"> </w:t>
      </w:r>
    </w:p>
    <w:p w14:paraId="55EC54FA" w14:textId="77777777" w:rsidR="008A07FB" w:rsidRPr="008A07FB" w:rsidRDefault="008A07FB" w:rsidP="008B0A4F">
      <w:pPr>
        <w:pStyle w:val="Heading1"/>
        <w:tabs>
          <w:tab w:val="clear" w:pos="0"/>
          <w:tab w:val="num" w:pos="720"/>
        </w:tabs>
        <w:spacing w:after="120"/>
        <w:rPr>
          <w:lang w:val="es-ES"/>
        </w:rPr>
      </w:pPr>
      <w:bookmarkStart w:id="0" w:name="_Toc56412815"/>
      <w:bookmarkStart w:id="1" w:name="_Toc117922249"/>
      <w:bookmarkStart w:id="2" w:name="_Toc147217699"/>
      <w:bookmarkStart w:id="3" w:name="_Toc147283939"/>
      <w:bookmarkStart w:id="4" w:name="_Toc147292222"/>
      <w:bookmarkStart w:id="5" w:name="_Toc147305215"/>
      <w:bookmarkStart w:id="6" w:name="_Toc147305504"/>
      <w:bookmarkStart w:id="7" w:name="_Toc147387247"/>
      <w:bookmarkStart w:id="8" w:name="_Toc147920737"/>
      <w:bookmarkStart w:id="9" w:name="_Toc370910623"/>
      <w:r w:rsidRPr="008A07FB">
        <w:rPr>
          <w:lang w:val="es-ES"/>
        </w:rPr>
        <w:t>En los informes de terminación de proyectos para los acuerdos plurianuales se identificaron áreas de mejora, entre otras cosas, en la comunicación, los mecanismos de certificación, la recopilación de datos y la creación de capacidad, la consideración de los costos en la adopción de nuevas tecnologías, el aumento de los recursos para la eliminación gradual relacionada con la investigación y el desarrollo (I+D) y la transición tecnológica, como se describe a continuación.</w:t>
      </w:r>
    </w:p>
    <w:p w14:paraId="6684D51B" w14:textId="77777777" w:rsidR="008A07FB" w:rsidRPr="008A07FB" w:rsidRDefault="008A07FB" w:rsidP="008B0A4F">
      <w:pPr>
        <w:spacing w:after="120"/>
        <w:rPr>
          <w:u w:val="single"/>
          <w:shd w:val="clear" w:color="auto" w:fill="FFFFFF"/>
          <w:lang w:val="es-ES"/>
        </w:rPr>
      </w:pPr>
      <w:r w:rsidRPr="008A07FB">
        <w:rPr>
          <w:u w:val="single"/>
          <w:shd w:val="clear" w:color="auto" w:fill="FFFFFF"/>
          <w:lang w:val="es-ES"/>
        </w:rPr>
        <w:t>PGEH</w:t>
      </w:r>
    </w:p>
    <w:p w14:paraId="10F0684B" w14:textId="77777777" w:rsidR="008A07FB" w:rsidRPr="008A07FB" w:rsidRDefault="008A07FB" w:rsidP="008B0A4F">
      <w:pPr>
        <w:pStyle w:val="Heading1"/>
        <w:tabs>
          <w:tab w:val="clear" w:pos="0"/>
          <w:tab w:val="num" w:pos="720"/>
        </w:tabs>
        <w:spacing w:after="120"/>
        <w:rPr>
          <w:lang w:val="es-ES"/>
        </w:rPr>
      </w:pPr>
      <w:r w:rsidRPr="008A07FB">
        <w:rPr>
          <w:lang w:val="es-ES"/>
        </w:rPr>
        <w:t xml:space="preserve">Entre los aspectos clave para la ejecución exitosa de los PGEH se encuentran la importancia de contar con planes de adquisiciones sólidos y adaptables, y de disponer de un equipo de consultores técnicos durante un período prolongado para apoyar la aplicación, reforzando la asociación de refrigeración y cooperando estrechamente con esta. </w:t>
      </w:r>
    </w:p>
    <w:p w14:paraId="71DDC5E8" w14:textId="77777777" w:rsidR="008A07FB" w:rsidRPr="008A07FB" w:rsidRDefault="008A07FB" w:rsidP="008A07FB">
      <w:pPr>
        <w:pStyle w:val="Heading1"/>
        <w:tabs>
          <w:tab w:val="clear" w:pos="0"/>
          <w:tab w:val="num" w:pos="720"/>
        </w:tabs>
        <w:spacing w:before="240"/>
        <w:rPr>
          <w:lang w:val="es-ES"/>
        </w:rPr>
      </w:pPr>
      <w:r w:rsidRPr="008A07FB">
        <w:rPr>
          <w:lang w:val="es-ES"/>
        </w:rPr>
        <w:t xml:space="preserve">Entre los requisitos esenciales para ejecutar exitosamente los PGEH se encuentran un sistema eficaz de certificación de técnicos, un mecanismo sólido de recopilación de datos y la adaptación de las necesidades de capacitación a los nuevos retos que surjan durante la ejecución. Por ejemplo, la integración de las cuestiones relacionadas con el Protocolo de Montreal en los planes de estudio de las escuelas de capacitación para funcionarios de aduanas e inspectores ambientales fomentaría la sostenibilidad de la </w:t>
      </w:r>
      <w:r w:rsidRPr="008A07FB">
        <w:rPr>
          <w:lang w:val="es-ES"/>
        </w:rPr>
        <w:lastRenderedPageBreak/>
        <w:t>eliminación de los HCFC. Estos serán aspectos importantes a tener en cuenta a la hora de aplicar la Enmienda de Kigali.</w:t>
      </w:r>
    </w:p>
    <w:p w14:paraId="63FE4C1E" w14:textId="77777777" w:rsidR="008A07FB" w:rsidRPr="008A07FB" w:rsidRDefault="008A07FB" w:rsidP="008A07FB">
      <w:pPr>
        <w:pStyle w:val="Heading1"/>
        <w:tabs>
          <w:tab w:val="clear" w:pos="0"/>
          <w:tab w:val="num" w:pos="720"/>
        </w:tabs>
        <w:spacing w:before="240"/>
        <w:rPr>
          <w:lang w:val="es-ES"/>
        </w:rPr>
      </w:pPr>
      <w:r w:rsidRPr="008A07FB">
        <w:rPr>
          <w:lang w:val="es-ES"/>
        </w:rPr>
        <w:t>Las lecciones derivadas de los PGEH también ponen de manifiesto la importancia de tener en cuenta la cadena de suministro mundial de alternativas y sus componentes al diseñar e iniciar la ejecución de los proyectos. Por ejemplo, un proyecto sobre la adopción del HFC-32 demostró la dependencia de la importación de componentes de equipos de refrigeración y aire acondicionado, y la insuficiencia de los mercados mundiales para suministrar componentes a base de HFC-32. Las pequeñas y medianas empresas de espumas encuentran opciones limitadas para adoptar tecnologías alternativas adecuadas; esto fue especialmente pertinente al abordar problemas de inflamabilidad de la tecnología alternativa o cuando se requería un alto costo de capital para adaptar las medidas de seguridad y protección para la adopción de la tecnología de ciclopentano, y/o la limitada disponibilidad y el alto precio de los polioles premezclados con HFO.</w:t>
      </w:r>
    </w:p>
    <w:p w14:paraId="2DBAF809" w14:textId="77777777" w:rsidR="008A07FB" w:rsidRPr="008A07FB" w:rsidRDefault="008A07FB" w:rsidP="008A07FB">
      <w:pPr>
        <w:pStyle w:val="Heading1"/>
        <w:tabs>
          <w:tab w:val="clear" w:pos="0"/>
          <w:tab w:val="num" w:pos="720"/>
        </w:tabs>
        <w:spacing w:before="240"/>
        <w:rPr>
          <w:lang w:val="es-ES"/>
        </w:rPr>
      </w:pPr>
      <w:r w:rsidRPr="008A07FB">
        <w:rPr>
          <w:lang w:val="es-ES"/>
        </w:rPr>
        <w:t xml:space="preserve">Otra lección relacionada con el éxito en la ejecución de proyectos se deriva de la necesidad de establecer un diálogo continuo y abierto con los interesados directos para apoyar la transparencia en la ejecución y comunicar eficazmente acerca de los retos de la cadena de suministro mundial. El intercambio de información entre empresas (nacionales e internacionales) es importante para crear conciencia y mejorar la eficiencia de los procesos. Una vez establecidas, varias empresas adquirieron confianza para seguir participando en el proyecto. Asimismo, en algunos casos, el intercambio de experiencias entre los países que operan al amparo del artículo 5 y los que no operan al amparo de dicho artículo fue importante para apoyar la implementación del sistema de certificación de técnicos. Lo mismo ocurrió con el intercambio de experiencias entre los interesados directos del sector privado, que generó la confianza necesaria para iniciar los programas. Las redes creadas a partir de este proyecto deben mantenerse y reforzarse. </w:t>
      </w:r>
    </w:p>
    <w:p w14:paraId="78CA42A3" w14:textId="6FCA4005" w:rsidR="008A07FB" w:rsidRPr="008A07FB" w:rsidRDefault="008A07FB" w:rsidP="008A07FB">
      <w:pPr>
        <w:pStyle w:val="Heading1"/>
        <w:tabs>
          <w:tab w:val="clear" w:pos="0"/>
          <w:tab w:val="num" w:pos="720"/>
        </w:tabs>
        <w:spacing w:before="240"/>
        <w:rPr>
          <w:lang w:val="es-ES"/>
        </w:rPr>
      </w:pPr>
      <w:r w:rsidRPr="008A07FB">
        <w:rPr>
          <w:lang w:val="es-ES"/>
        </w:rPr>
        <w:t xml:space="preserve">Por el contrario, la falta de comunicación adecuada entre un organismo de ejecución y los interesados en el proyecto dio lugar a importantes malentendidos, que en un caso dieron lugar al cambio de organismo de ejecución en la siguiente fase de este proyecto. También parece necesario aclarar el nivel de delegación de autoridad en el representante local </w:t>
      </w:r>
      <w:r w:rsidR="007943BD" w:rsidRPr="008A07FB">
        <w:rPr>
          <w:lang w:val="es-ES"/>
        </w:rPr>
        <w:t>del organismo</w:t>
      </w:r>
      <w:r w:rsidRPr="008A07FB">
        <w:rPr>
          <w:lang w:val="es-ES"/>
        </w:rPr>
        <w:t xml:space="preserve"> de ejecución para que los procesos de ejecución del proyecto sean más eficaces. Las cuestiones relacionadas con las adquisiciones deben estar bien definidas por adelantado en el diseño del proyecto para evitar posibles demoras en la fase de ejecución.</w:t>
      </w:r>
    </w:p>
    <w:p w14:paraId="026B7176" w14:textId="77777777" w:rsidR="008A07FB" w:rsidRPr="008A07FB" w:rsidRDefault="008A07FB" w:rsidP="008A07FB">
      <w:pPr>
        <w:spacing w:after="240"/>
        <w:rPr>
          <w:u w:val="single"/>
          <w:shd w:val="clear" w:color="auto" w:fill="FFFFFF"/>
          <w:lang w:val="es-ES"/>
        </w:rPr>
      </w:pPr>
      <w:r w:rsidRPr="008A07FB">
        <w:rPr>
          <w:u w:val="single"/>
          <w:shd w:val="clear" w:color="auto" w:fill="FFFFFF"/>
          <w:lang w:val="es-ES"/>
        </w:rPr>
        <w:t>Planes del sector de los halones y agentes de proceso</w:t>
      </w:r>
    </w:p>
    <w:p w14:paraId="6EEC7449" w14:textId="77777777" w:rsidR="008A07FB" w:rsidRPr="008A07FB" w:rsidRDefault="008A07FB" w:rsidP="008A07FB">
      <w:pPr>
        <w:pStyle w:val="Heading1"/>
        <w:tabs>
          <w:tab w:val="clear" w:pos="0"/>
          <w:tab w:val="num" w:pos="720"/>
        </w:tabs>
        <w:spacing w:before="240"/>
        <w:rPr>
          <w:lang w:val="es-ES"/>
        </w:rPr>
      </w:pPr>
      <w:r w:rsidRPr="008A07FB">
        <w:rPr>
          <w:lang w:val="es-ES"/>
        </w:rPr>
        <w:t>Una lección importante es el enfoque del plan sectorial que permitió a un país llevar a cabo proyectos según la situación interna. Se completaron muchas actividades especiales y de asistencia técnica, con el apoyo de estrictos procedimientos de gestión y mecanismos operativos, lo que garantizó un proceso de eliminación sin problemas.</w:t>
      </w:r>
    </w:p>
    <w:p w14:paraId="00360C1D" w14:textId="77777777" w:rsidR="008A07FB" w:rsidRPr="008A07FB" w:rsidRDefault="008A07FB" w:rsidP="008A07FB">
      <w:pPr>
        <w:pStyle w:val="Heading1"/>
        <w:tabs>
          <w:tab w:val="clear" w:pos="0"/>
          <w:tab w:val="num" w:pos="720"/>
        </w:tabs>
        <w:spacing w:before="240"/>
        <w:rPr>
          <w:lang w:val="es-ES"/>
        </w:rPr>
      </w:pPr>
      <w:r w:rsidRPr="008A07FB">
        <w:rPr>
          <w:lang w:val="es-ES"/>
        </w:rPr>
        <w:t>El concepto de aprobación en principio de un plan sectorial general con tramos anuales por adelantado con el Fondo Multilateral fue importante para el país y la industria. De hecho, conocer la financiación total y los montos de los tramos anuales permitió a la industria planificar la eliminación de la manera más rentable y limitó las repercusiones tanto a nivel nacional como empresarial. Debido a la duración del plan sectorial, era importante que el país tuviera flexibilidad para utilizar la financiación en las actividades de eliminación de las SAO. La cooperación y comunicación adecuadas entre los interesados directos ha sido un factor clave del éxito, concretamente mediante la asistencia del organismo de ejecución en la preparación del programa anual, la verificación de los proyectos, la elaboración de políticas y la gestión de los proyectos.</w:t>
      </w:r>
    </w:p>
    <w:p w14:paraId="347B54D5" w14:textId="77777777" w:rsidR="008A07FB" w:rsidRPr="008A07FB" w:rsidRDefault="008A07FB" w:rsidP="008A07FB">
      <w:pPr>
        <w:pStyle w:val="Heading1"/>
        <w:tabs>
          <w:tab w:val="clear" w:pos="0"/>
          <w:tab w:val="num" w:pos="720"/>
        </w:tabs>
        <w:spacing w:before="240"/>
        <w:rPr>
          <w:lang w:val="es-ES"/>
        </w:rPr>
      </w:pPr>
      <w:r w:rsidRPr="008A07FB">
        <w:rPr>
          <w:lang w:val="es-ES"/>
        </w:rPr>
        <w:t xml:space="preserve">La preparación del proyecto desempeñó un papel importante en el proyecto de reciclaje de halones, que tuvo que recurrir a halones recuperados y regenerados para cubrir la futura demanda para usos críticos, como de la aviación civil, por ejemplo. A fin de comprender más adecuadamente la posible disponibilidad </w:t>
      </w:r>
      <w:r w:rsidRPr="008A07FB">
        <w:rPr>
          <w:lang w:val="es-ES"/>
        </w:rPr>
        <w:lastRenderedPageBreak/>
        <w:t xml:space="preserve">de halones, el país llevó a cabo varios estudios. El establecimiento de un sistema nacional de reciclaje y gestión de halones fue una de las actividades más importantes previstas en el plan sectorial de eliminación. </w:t>
      </w:r>
    </w:p>
    <w:p w14:paraId="7A722DDE" w14:textId="77777777" w:rsidR="008A07FB" w:rsidRPr="008A07FB" w:rsidRDefault="008A07FB" w:rsidP="008A07FB">
      <w:pPr>
        <w:pStyle w:val="Heading1"/>
        <w:tabs>
          <w:tab w:val="clear" w:pos="0"/>
          <w:tab w:val="num" w:pos="720"/>
        </w:tabs>
        <w:spacing w:before="240"/>
        <w:rPr>
          <w:lang w:val="es-ES"/>
        </w:rPr>
      </w:pPr>
      <w:r w:rsidRPr="008A07FB">
        <w:rPr>
          <w:lang w:val="es-ES"/>
        </w:rPr>
        <w:t>En un proyecto, el cierre de la planta fue técnicamente el único enfoque de eliminación de las SAO de los agentes de proceso debido a la falta de disponibilidad de una tecnología sustitutiva, lo que supuso una pérdida para las empresas en el mercado de producción. No se han establecido vías de transferencia de tecnología entre los países que operan al amparo del artículo 5 y los que no operan al amparo de dicho artículo en lo que respecta a las tecnologías alternativas para la eliminación del CTC como agente de proceso; en consecuencia, las empresas del país disponen únicamente de enfoques de eliminación limitados y tienen que hacer frente a grandes incertidumbres en la ejecución de la eliminación del CTC. Una empresa fue una excepción y eligió una tecnología de control de emisiones, basada en su propia tecnología, pero hizo un gran esfuerzo para alcanzar el objetivo final, ya que no recibió ninguna ayuda oficial de empresas extranjeras ni de expertos en intercambio de tecnología. Dado que las tecnologías sustitutivas no están disponibles para todos los productos y que las tecnologías extranjeras están protegidas por patentes y no son transferibles, la I+D local habría sido necesaria para la eliminación de las SAO de los agentes de procesos; por lo tanto, el país habría apreciado poder utilizar parte de los fondos para apoyar las actividades de I+D necesarias.</w:t>
      </w:r>
    </w:p>
    <w:p w14:paraId="0956989C" w14:textId="77777777" w:rsidR="008A07FB" w:rsidRPr="008A07FB" w:rsidRDefault="008A07FB" w:rsidP="008A07FB">
      <w:pPr>
        <w:pStyle w:val="Heading1"/>
        <w:tabs>
          <w:tab w:val="clear" w:pos="0"/>
          <w:tab w:val="num" w:pos="720"/>
        </w:tabs>
        <w:spacing w:before="240"/>
        <w:rPr>
          <w:lang w:val="es-ES"/>
        </w:rPr>
      </w:pPr>
      <w:r w:rsidRPr="008A07FB">
        <w:rPr>
          <w:lang w:val="es-ES"/>
        </w:rPr>
        <w:t>El objetivo del plan para el sector de agentes de procesos (fase II) era eliminar el CTC utilizado en las aplicaciones de agentes de procesos que se habían añadido desde la aprobación de la fase I. El país acordó que no solicitaría ninguna otra asistencia si se añadían aplicaciones de procesos adicionales a la lista, sino que utilizaría la financiación de la fase II del plan sectorial y sus propios fondos para la eliminación de esas aplicaciones. Por ejemplo, los residuos de alta ebullición (HBR) procedentes de la producción de CTC contienen algo de CTC, se han utilizado para otros fines y se han vendido a empresas de gestión de residuos para su destrucción. Se decidió que no se podían vender y que debían destruirse internamente. Para garantizar que todos los productores de CTC tuvieran la capacidad de destrucción interna necesaria, se les ofreció financiación de la fase II del plan sectorial para ajustar la capacidad de destrucción existente o para establecer nuevas instalaciones de destrucción.</w:t>
      </w:r>
    </w:p>
    <w:p w14:paraId="5A294EFE" w14:textId="77777777" w:rsidR="008A07FB" w:rsidRPr="008A07FB" w:rsidRDefault="008A07FB" w:rsidP="008A07FB">
      <w:pPr>
        <w:pStyle w:val="IIntroduction"/>
        <w:keepNext/>
        <w:numPr>
          <w:ilvl w:val="0"/>
          <w:numId w:val="0"/>
        </w:numPr>
        <w:tabs>
          <w:tab w:val="left" w:pos="720"/>
        </w:tabs>
        <w:spacing w:before="0"/>
        <w:rPr>
          <w:sz w:val="22"/>
          <w:szCs w:val="22"/>
        </w:rPr>
      </w:pPr>
      <w:r w:rsidRPr="008A07FB">
        <w:rPr>
          <w:sz w:val="22"/>
        </w:rPr>
        <w:t xml:space="preserve">Informes de terminación de proyectos individuales recibidos </w:t>
      </w:r>
      <w:bookmarkEnd w:id="0"/>
      <w:bookmarkEnd w:id="1"/>
      <w:bookmarkEnd w:id="2"/>
      <w:bookmarkEnd w:id="3"/>
      <w:bookmarkEnd w:id="4"/>
      <w:bookmarkEnd w:id="5"/>
      <w:bookmarkEnd w:id="6"/>
      <w:bookmarkEnd w:id="7"/>
      <w:bookmarkEnd w:id="8"/>
      <w:bookmarkEnd w:id="9"/>
    </w:p>
    <w:p w14:paraId="7DC85A8F" w14:textId="77777777" w:rsidR="008A07FB" w:rsidRPr="008A07FB" w:rsidRDefault="008A07FB" w:rsidP="008A07FB">
      <w:pPr>
        <w:pStyle w:val="Heading1"/>
        <w:tabs>
          <w:tab w:val="clear" w:pos="0"/>
          <w:tab w:val="num" w:pos="720"/>
        </w:tabs>
        <w:spacing w:before="240"/>
        <w:rPr>
          <w:lang w:val="es-ES"/>
        </w:rPr>
      </w:pPr>
      <w:r w:rsidRPr="008A07FB">
        <w:rPr>
          <w:lang w:val="es-ES"/>
        </w:rPr>
        <w:t xml:space="preserve">Del total de 1 863 proyectos de inversión que se han completado, los organismos bilaterales y de ejecución habían presentado 1 854 informes de terminación de proyectos, por lo que restan nueve informes de terminación de proyectos pendientes, como se muestra en el Cuadro 3. </w:t>
      </w:r>
    </w:p>
    <w:p w14:paraId="0A471C8F" w14:textId="77777777" w:rsidR="008A07FB" w:rsidRPr="008A07FB" w:rsidRDefault="008A07FB" w:rsidP="008A07FB">
      <w:pPr>
        <w:pStyle w:val="FootnoteText"/>
        <w:keepNext/>
        <w:keepLines/>
        <w:ind w:left="14"/>
        <w:contextualSpacing/>
        <w:rPr>
          <w:b/>
          <w:sz w:val="21"/>
          <w:szCs w:val="21"/>
          <w:lang w:val="es-ES"/>
        </w:rPr>
      </w:pPr>
      <w:r w:rsidRPr="008A07FB">
        <w:rPr>
          <w:b/>
          <w:sz w:val="21"/>
          <w:lang w:val="es-ES"/>
        </w:rPr>
        <w:t>Cuadro 3. Informes de terminación de proyectos presentados para proyectos de inversión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562"/>
        <w:gridCol w:w="1616"/>
        <w:gridCol w:w="1724"/>
        <w:gridCol w:w="1866"/>
        <w:gridCol w:w="1582"/>
      </w:tblGrid>
      <w:tr w:rsidR="008A07FB" w:rsidRPr="008A07FB" w14:paraId="0EBB52F4" w14:textId="77777777" w:rsidTr="008A07FB">
        <w:trPr>
          <w:cantSplit/>
          <w:tblHeader/>
        </w:trPr>
        <w:tc>
          <w:tcPr>
            <w:tcW w:w="1370" w:type="pct"/>
            <w:tcBorders>
              <w:top w:val="single" w:sz="4" w:space="0" w:color="auto"/>
              <w:left w:val="single" w:sz="4" w:space="0" w:color="auto"/>
              <w:bottom w:val="single" w:sz="4" w:space="0" w:color="auto"/>
              <w:right w:val="single" w:sz="4" w:space="0" w:color="auto"/>
            </w:tcBorders>
            <w:hideMark/>
          </w:tcPr>
          <w:p w14:paraId="651F501F" w14:textId="77777777" w:rsidR="008A07FB" w:rsidRPr="008A07FB" w:rsidRDefault="008A07FB" w:rsidP="008A07FB">
            <w:pPr>
              <w:keepNext/>
              <w:keepLines/>
              <w:suppressAutoHyphens/>
              <w:jc w:val="left"/>
              <w:rPr>
                <w:b/>
                <w:snapToGrid w:val="0"/>
                <w:sz w:val="20"/>
                <w:szCs w:val="20"/>
                <w:lang w:val="es-ES"/>
              </w:rPr>
            </w:pPr>
            <w:r w:rsidRPr="008A07FB">
              <w:rPr>
                <w:b/>
                <w:snapToGrid w:val="0"/>
                <w:sz w:val="20"/>
                <w:lang w:val="es-ES"/>
              </w:rPr>
              <w:t>Organismo</w:t>
            </w:r>
          </w:p>
        </w:tc>
        <w:tc>
          <w:tcPr>
            <w:tcW w:w="864" w:type="pct"/>
            <w:tcBorders>
              <w:top w:val="single" w:sz="4" w:space="0" w:color="auto"/>
              <w:left w:val="single" w:sz="4" w:space="0" w:color="auto"/>
              <w:bottom w:val="single" w:sz="4" w:space="0" w:color="auto"/>
              <w:right w:val="single" w:sz="4" w:space="0" w:color="auto"/>
            </w:tcBorders>
            <w:hideMark/>
          </w:tcPr>
          <w:p w14:paraId="7D519B9C" w14:textId="77777777" w:rsidR="008A07FB" w:rsidRPr="008A07FB" w:rsidRDefault="008A07FB" w:rsidP="008A07FB">
            <w:pPr>
              <w:keepNext/>
              <w:keepLines/>
              <w:suppressAutoHyphens/>
              <w:jc w:val="center"/>
              <w:rPr>
                <w:b/>
                <w:snapToGrid w:val="0"/>
                <w:sz w:val="20"/>
                <w:szCs w:val="20"/>
                <w:lang w:val="es-ES"/>
              </w:rPr>
            </w:pPr>
            <w:r w:rsidRPr="008A07FB">
              <w:rPr>
                <w:b/>
                <w:snapToGrid w:val="0"/>
                <w:sz w:val="20"/>
                <w:lang w:val="es-ES"/>
              </w:rPr>
              <w:t>Terminados</w:t>
            </w:r>
          </w:p>
        </w:tc>
        <w:tc>
          <w:tcPr>
            <w:tcW w:w="922" w:type="pct"/>
            <w:tcBorders>
              <w:top w:val="single" w:sz="4" w:space="0" w:color="auto"/>
              <w:left w:val="single" w:sz="4" w:space="0" w:color="auto"/>
              <w:bottom w:val="single" w:sz="4" w:space="0" w:color="auto"/>
              <w:right w:val="single" w:sz="4" w:space="0" w:color="auto"/>
            </w:tcBorders>
            <w:hideMark/>
          </w:tcPr>
          <w:p w14:paraId="3ECBB485" w14:textId="77777777" w:rsidR="008A07FB" w:rsidRPr="008A07FB" w:rsidRDefault="008A07FB" w:rsidP="008A07FB">
            <w:pPr>
              <w:keepNext/>
              <w:keepLines/>
              <w:jc w:val="center"/>
              <w:rPr>
                <w:b/>
                <w:sz w:val="20"/>
                <w:szCs w:val="20"/>
                <w:lang w:val="es-ES"/>
              </w:rPr>
            </w:pPr>
            <w:r w:rsidRPr="008A07FB">
              <w:rPr>
                <w:b/>
                <w:sz w:val="20"/>
                <w:lang w:val="es-ES"/>
              </w:rPr>
              <w:t xml:space="preserve">Recibidos antes de la </w:t>
            </w:r>
          </w:p>
          <w:p w14:paraId="27D92E1B" w14:textId="77777777" w:rsidR="008A07FB" w:rsidRPr="008A07FB" w:rsidRDefault="008A07FB" w:rsidP="008A07FB">
            <w:pPr>
              <w:keepNext/>
              <w:keepLines/>
              <w:jc w:val="center"/>
              <w:rPr>
                <w:b/>
                <w:sz w:val="20"/>
                <w:szCs w:val="20"/>
                <w:lang w:val="es-ES"/>
              </w:rPr>
            </w:pPr>
            <w:r w:rsidRPr="008A07FB">
              <w:rPr>
                <w:b/>
                <w:sz w:val="20"/>
                <w:lang w:val="es-ES"/>
              </w:rPr>
              <w:t>87</w:t>
            </w:r>
            <w:r w:rsidRPr="008A07FB">
              <w:rPr>
                <w:b/>
                <w:sz w:val="20"/>
                <w:vertAlign w:val="superscript"/>
                <w:lang w:val="es-ES"/>
              </w:rPr>
              <w:t>a</w:t>
            </w:r>
            <w:r w:rsidRPr="008A07FB">
              <w:rPr>
                <w:b/>
                <w:sz w:val="20"/>
                <w:lang w:val="es-ES"/>
              </w:rPr>
              <w:t> reunión</w:t>
            </w:r>
          </w:p>
        </w:tc>
        <w:tc>
          <w:tcPr>
            <w:tcW w:w="998" w:type="pct"/>
            <w:tcBorders>
              <w:top w:val="single" w:sz="4" w:space="0" w:color="auto"/>
              <w:left w:val="single" w:sz="4" w:space="0" w:color="auto"/>
              <w:bottom w:val="single" w:sz="4" w:space="0" w:color="auto"/>
              <w:right w:val="single" w:sz="4" w:space="0" w:color="auto"/>
            </w:tcBorders>
            <w:hideMark/>
          </w:tcPr>
          <w:p w14:paraId="51CA88D7" w14:textId="77777777" w:rsidR="008A07FB" w:rsidRPr="008A07FB" w:rsidRDefault="008A07FB" w:rsidP="008A07FB">
            <w:pPr>
              <w:keepNext/>
              <w:keepLines/>
              <w:suppressAutoHyphens/>
              <w:jc w:val="center"/>
              <w:rPr>
                <w:b/>
                <w:sz w:val="20"/>
                <w:szCs w:val="20"/>
                <w:lang w:val="es-ES"/>
              </w:rPr>
            </w:pPr>
            <w:r w:rsidRPr="008A07FB">
              <w:rPr>
                <w:b/>
                <w:sz w:val="20"/>
                <w:lang w:val="es-ES"/>
              </w:rPr>
              <w:t xml:space="preserve">Recibidos después de la </w:t>
            </w:r>
          </w:p>
          <w:p w14:paraId="61F08170" w14:textId="77777777" w:rsidR="008A07FB" w:rsidRPr="008A07FB" w:rsidRDefault="008A07FB" w:rsidP="008A07FB">
            <w:pPr>
              <w:keepNext/>
              <w:keepLines/>
              <w:suppressAutoHyphens/>
              <w:jc w:val="center"/>
              <w:rPr>
                <w:b/>
                <w:snapToGrid w:val="0"/>
                <w:sz w:val="20"/>
                <w:szCs w:val="20"/>
                <w:lang w:val="es-ES"/>
              </w:rPr>
            </w:pPr>
            <w:r w:rsidRPr="008A07FB">
              <w:rPr>
                <w:b/>
                <w:sz w:val="20"/>
                <w:lang w:val="es-ES"/>
              </w:rPr>
              <w:t>87</w:t>
            </w:r>
            <w:r w:rsidRPr="008A07FB">
              <w:rPr>
                <w:b/>
                <w:sz w:val="20"/>
                <w:vertAlign w:val="superscript"/>
                <w:lang w:val="es-ES"/>
              </w:rPr>
              <w:t>a</w:t>
            </w:r>
            <w:r w:rsidRPr="008A07FB">
              <w:rPr>
                <w:b/>
                <w:sz w:val="20"/>
                <w:lang w:val="es-ES"/>
              </w:rPr>
              <w:t> reunión</w:t>
            </w:r>
          </w:p>
        </w:tc>
        <w:tc>
          <w:tcPr>
            <w:tcW w:w="846" w:type="pct"/>
            <w:tcBorders>
              <w:top w:val="single" w:sz="4" w:space="0" w:color="auto"/>
              <w:left w:val="single" w:sz="4" w:space="0" w:color="auto"/>
              <w:bottom w:val="single" w:sz="4" w:space="0" w:color="auto"/>
              <w:right w:val="single" w:sz="4" w:space="0" w:color="auto"/>
            </w:tcBorders>
            <w:hideMark/>
          </w:tcPr>
          <w:p w14:paraId="62A27DA7" w14:textId="77777777" w:rsidR="008A07FB" w:rsidRPr="008A07FB" w:rsidRDefault="008A07FB" w:rsidP="008A07FB">
            <w:pPr>
              <w:keepNext/>
              <w:keepLines/>
              <w:suppressAutoHyphens/>
              <w:jc w:val="center"/>
              <w:rPr>
                <w:b/>
                <w:snapToGrid w:val="0"/>
                <w:sz w:val="20"/>
                <w:szCs w:val="20"/>
                <w:lang w:val="es-ES"/>
              </w:rPr>
            </w:pPr>
            <w:r w:rsidRPr="008A07FB">
              <w:rPr>
                <w:b/>
                <w:sz w:val="20"/>
                <w:lang w:val="es-ES"/>
              </w:rPr>
              <w:t>Pendientes</w:t>
            </w:r>
          </w:p>
        </w:tc>
      </w:tr>
      <w:tr w:rsidR="008A07FB" w:rsidRPr="008A07FB" w14:paraId="24976968" w14:textId="77777777" w:rsidTr="008A07FB">
        <w:trPr>
          <w:cantSplit/>
          <w:tblHeader/>
        </w:trPr>
        <w:tc>
          <w:tcPr>
            <w:tcW w:w="1370" w:type="pct"/>
            <w:tcBorders>
              <w:top w:val="single" w:sz="4" w:space="0" w:color="auto"/>
              <w:left w:val="single" w:sz="4" w:space="0" w:color="auto"/>
              <w:bottom w:val="single" w:sz="4" w:space="0" w:color="auto"/>
              <w:right w:val="single" w:sz="4" w:space="0" w:color="auto"/>
            </w:tcBorders>
            <w:hideMark/>
          </w:tcPr>
          <w:p w14:paraId="436A019A" w14:textId="77777777" w:rsidR="008A07FB" w:rsidRPr="008A07FB" w:rsidRDefault="008A07FB" w:rsidP="008A07FB">
            <w:pPr>
              <w:suppressAutoHyphens/>
              <w:jc w:val="left"/>
              <w:rPr>
                <w:snapToGrid w:val="0"/>
                <w:sz w:val="20"/>
                <w:szCs w:val="20"/>
                <w:lang w:val="es-ES"/>
              </w:rPr>
            </w:pPr>
            <w:r w:rsidRPr="008A07FB">
              <w:rPr>
                <w:snapToGrid w:val="0"/>
                <w:sz w:val="20"/>
                <w:lang w:val="es-ES"/>
              </w:rPr>
              <w:t>Canadá</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54CC5C2B" w14:textId="77777777" w:rsidR="008A07FB" w:rsidRPr="008A07FB" w:rsidRDefault="008A07FB" w:rsidP="008A07FB">
            <w:pPr>
              <w:suppressAutoHyphens/>
              <w:jc w:val="right"/>
              <w:rPr>
                <w:snapToGrid w:val="0"/>
                <w:sz w:val="20"/>
                <w:szCs w:val="20"/>
                <w:lang w:val="es-ES"/>
              </w:rPr>
            </w:pPr>
            <w:r w:rsidRPr="008A07FB">
              <w:rPr>
                <w:snapToGrid w:val="0"/>
                <w:sz w:val="20"/>
                <w:lang w:val="es-ES"/>
              </w:rPr>
              <w:t>2</w:t>
            </w:r>
          </w:p>
        </w:tc>
        <w:tc>
          <w:tcPr>
            <w:tcW w:w="922"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3EF8B4B0" w14:textId="77777777" w:rsidR="008A07FB" w:rsidRPr="008A07FB" w:rsidRDefault="008A07FB" w:rsidP="008A07FB">
            <w:pPr>
              <w:jc w:val="right"/>
              <w:rPr>
                <w:snapToGrid w:val="0"/>
                <w:sz w:val="20"/>
                <w:szCs w:val="20"/>
                <w:lang w:val="es-ES"/>
              </w:rPr>
            </w:pPr>
            <w:r w:rsidRPr="008A07FB">
              <w:rPr>
                <w:snapToGrid w:val="0"/>
                <w:sz w:val="20"/>
                <w:lang w:val="es-ES"/>
              </w:rPr>
              <w:t>0</w:t>
            </w:r>
          </w:p>
        </w:tc>
        <w:tc>
          <w:tcPr>
            <w:tcW w:w="998"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6638A052"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256B6892" w14:textId="77777777" w:rsidR="008A07FB" w:rsidRPr="008A07FB" w:rsidRDefault="008A07FB" w:rsidP="008A07FB">
            <w:pPr>
              <w:suppressAutoHyphens/>
              <w:jc w:val="right"/>
              <w:rPr>
                <w:snapToGrid w:val="0"/>
                <w:sz w:val="20"/>
                <w:szCs w:val="20"/>
                <w:lang w:val="es-ES"/>
              </w:rPr>
            </w:pPr>
            <w:r w:rsidRPr="008A07FB">
              <w:rPr>
                <w:snapToGrid w:val="0"/>
                <w:sz w:val="20"/>
                <w:lang w:val="es-ES"/>
              </w:rPr>
              <w:t>2</w:t>
            </w:r>
          </w:p>
        </w:tc>
      </w:tr>
      <w:tr w:rsidR="008A07FB" w:rsidRPr="008A07FB" w14:paraId="2FBDE400" w14:textId="77777777" w:rsidTr="008A07FB">
        <w:trPr>
          <w:cantSplit/>
          <w:trHeight w:val="58"/>
        </w:trPr>
        <w:tc>
          <w:tcPr>
            <w:tcW w:w="1370" w:type="pct"/>
            <w:tcBorders>
              <w:top w:val="single" w:sz="4" w:space="0" w:color="auto"/>
              <w:left w:val="single" w:sz="4" w:space="0" w:color="auto"/>
              <w:bottom w:val="single" w:sz="4" w:space="0" w:color="auto"/>
              <w:right w:val="single" w:sz="4" w:space="0" w:color="auto"/>
            </w:tcBorders>
            <w:hideMark/>
          </w:tcPr>
          <w:p w14:paraId="5FB36F61" w14:textId="77777777" w:rsidR="008A07FB" w:rsidRPr="008A07FB" w:rsidRDefault="008A07FB" w:rsidP="008A07FB">
            <w:pPr>
              <w:suppressAutoHyphens/>
              <w:jc w:val="left"/>
              <w:rPr>
                <w:snapToGrid w:val="0"/>
                <w:sz w:val="20"/>
                <w:szCs w:val="20"/>
                <w:lang w:val="es-ES"/>
              </w:rPr>
            </w:pPr>
            <w:r w:rsidRPr="008A07FB">
              <w:rPr>
                <w:snapToGrid w:val="0"/>
                <w:sz w:val="20"/>
                <w:lang w:val="es-ES"/>
              </w:rPr>
              <w:t>Francia</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01C4C9B6" w14:textId="77777777" w:rsidR="008A07FB" w:rsidRPr="008A07FB" w:rsidRDefault="008A07FB" w:rsidP="008A07FB">
            <w:pPr>
              <w:suppressAutoHyphens/>
              <w:jc w:val="right"/>
              <w:rPr>
                <w:snapToGrid w:val="0"/>
                <w:sz w:val="20"/>
                <w:szCs w:val="20"/>
                <w:lang w:val="es-ES"/>
              </w:rPr>
            </w:pPr>
            <w:r w:rsidRPr="008A07FB">
              <w:rPr>
                <w:snapToGrid w:val="0"/>
                <w:sz w:val="20"/>
                <w:lang w:val="es-ES"/>
              </w:rPr>
              <w:t>13</w:t>
            </w:r>
          </w:p>
        </w:tc>
        <w:tc>
          <w:tcPr>
            <w:tcW w:w="922"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757B0D0D" w14:textId="77777777" w:rsidR="008A07FB" w:rsidRPr="008A07FB" w:rsidRDefault="008A07FB" w:rsidP="008A07FB">
            <w:pPr>
              <w:suppressAutoHyphens/>
              <w:jc w:val="right"/>
              <w:rPr>
                <w:snapToGrid w:val="0"/>
                <w:sz w:val="20"/>
                <w:szCs w:val="20"/>
                <w:lang w:val="es-ES"/>
              </w:rPr>
            </w:pPr>
            <w:r w:rsidRPr="008A07FB">
              <w:rPr>
                <w:snapToGrid w:val="0"/>
                <w:sz w:val="20"/>
                <w:lang w:val="es-ES"/>
              </w:rPr>
              <w:t>13</w:t>
            </w:r>
          </w:p>
        </w:tc>
        <w:tc>
          <w:tcPr>
            <w:tcW w:w="998"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0CB0A5F0"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6FDA961E"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r>
      <w:tr w:rsidR="008A07FB" w:rsidRPr="008A07FB" w14:paraId="59606C1D" w14:textId="77777777" w:rsidTr="008A07FB">
        <w:trPr>
          <w:cantSplit/>
        </w:trPr>
        <w:tc>
          <w:tcPr>
            <w:tcW w:w="1370" w:type="pct"/>
            <w:tcBorders>
              <w:top w:val="single" w:sz="4" w:space="0" w:color="auto"/>
              <w:left w:val="single" w:sz="4" w:space="0" w:color="auto"/>
              <w:bottom w:val="single" w:sz="4" w:space="0" w:color="auto"/>
              <w:right w:val="single" w:sz="4" w:space="0" w:color="auto"/>
            </w:tcBorders>
            <w:hideMark/>
          </w:tcPr>
          <w:p w14:paraId="22E0AB72" w14:textId="77777777" w:rsidR="008A07FB" w:rsidRPr="008A07FB" w:rsidRDefault="008A07FB" w:rsidP="008A07FB">
            <w:pPr>
              <w:suppressAutoHyphens/>
              <w:jc w:val="left"/>
              <w:rPr>
                <w:snapToGrid w:val="0"/>
                <w:sz w:val="20"/>
                <w:szCs w:val="20"/>
                <w:lang w:val="es-ES"/>
              </w:rPr>
            </w:pPr>
            <w:r w:rsidRPr="008A07FB">
              <w:rPr>
                <w:snapToGrid w:val="0"/>
                <w:sz w:val="20"/>
                <w:lang w:val="es-ES"/>
              </w:rPr>
              <w:t>Alemania</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201DE6EB" w14:textId="77777777" w:rsidR="008A07FB" w:rsidRPr="008A07FB" w:rsidRDefault="008A07FB" w:rsidP="008A07FB">
            <w:pPr>
              <w:suppressAutoHyphens/>
              <w:jc w:val="right"/>
              <w:rPr>
                <w:snapToGrid w:val="0"/>
                <w:sz w:val="20"/>
                <w:szCs w:val="20"/>
                <w:lang w:val="es-ES"/>
              </w:rPr>
            </w:pPr>
            <w:r w:rsidRPr="008A07FB">
              <w:rPr>
                <w:snapToGrid w:val="0"/>
                <w:sz w:val="20"/>
                <w:lang w:val="es-ES"/>
              </w:rPr>
              <w:t>20</w:t>
            </w:r>
          </w:p>
        </w:tc>
        <w:tc>
          <w:tcPr>
            <w:tcW w:w="922"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3630892F" w14:textId="77777777" w:rsidR="008A07FB" w:rsidRPr="008A07FB" w:rsidRDefault="008A07FB" w:rsidP="008A07FB">
            <w:pPr>
              <w:suppressAutoHyphens/>
              <w:jc w:val="right"/>
              <w:rPr>
                <w:snapToGrid w:val="0"/>
                <w:sz w:val="20"/>
                <w:szCs w:val="20"/>
                <w:lang w:val="es-ES"/>
              </w:rPr>
            </w:pPr>
            <w:r w:rsidRPr="008A07FB">
              <w:rPr>
                <w:snapToGrid w:val="0"/>
                <w:sz w:val="20"/>
                <w:lang w:val="es-ES"/>
              </w:rPr>
              <w:t>19</w:t>
            </w:r>
          </w:p>
        </w:tc>
        <w:tc>
          <w:tcPr>
            <w:tcW w:w="998"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7F0B924F"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79F8D06A" w14:textId="77777777" w:rsidR="008A07FB" w:rsidRPr="008A07FB" w:rsidRDefault="008A07FB" w:rsidP="008A07FB">
            <w:pPr>
              <w:suppressAutoHyphens/>
              <w:jc w:val="right"/>
              <w:rPr>
                <w:snapToGrid w:val="0"/>
                <w:sz w:val="20"/>
                <w:szCs w:val="20"/>
                <w:lang w:val="es-ES"/>
              </w:rPr>
            </w:pPr>
            <w:r w:rsidRPr="008A07FB">
              <w:rPr>
                <w:snapToGrid w:val="0"/>
                <w:sz w:val="20"/>
                <w:lang w:val="es-ES"/>
              </w:rPr>
              <w:t>1</w:t>
            </w:r>
          </w:p>
        </w:tc>
      </w:tr>
      <w:tr w:rsidR="008A07FB" w:rsidRPr="008A07FB" w14:paraId="4B8ABB39" w14:textId="77777777" w:rsidTr="008A07FB">
        <w:trPr>
          <w:cantSplit/>
        </w:trPr>
        <w:tc>
          <w:tcPr>
            <w:tcW w:w="1370" w:type="pct"/>
            <w:tcBorders>
              <w:top w:val="single" w:sz="4" w:space="0" w:color="auto"/>
              <w:left w:val="single" w:sz="4" w:space="0" w:color="auto"/>
              <w:bottom w:val="single" w:sz="4" w:space="0" w:color="auto"/>
              <w:right w:val="single" w:sz="4" w:space="0" w:color="auto"/>
            </w:tcBorders>
            <w:hideMark/>
          </w:tcPr>
          <w:p w14:paraId="63208D3E" w14:textId="77777777" w:rsidR="008A07FB" w:rsidRPr="008A07FB" w:rsidRDefault="008A07FB" w:rsidP="008A07FB">
            <w:pPr>
              <w:suppressAutoHyphens/>
              <w:jc w:val="left"/>
              <w:rPr>
                <w:snapToGrid w:val="0"/>
                <w:sz w:val="20"/>
                <w:szCs w:val="20"/>
                <w:lang w:val="es-ES"/>
              </w:rPr>
            </w:pPr>
            <w:r w:rsidRPr="008A07FB">
              <w:rPr>
                <w:snapToGrid w:val="0"/>
                <w:sz w:val="20"/>
                <w:lang w:val="es-ES"/>
              </w:rPr>
              <w:t>Italia</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72D77543" w14:textId="77777777" w:rsidR="008A07FB" w:rsidRPr="008A07FB" w:rsidRDefault="008A07FB" w:rsidP="008A07FB">
            <w:pPr>
              <w:suppressAutoHyphens/>
              <w:jc w:val="right"/>
              <w:rPr>
                <w:snapToGrid w:val="0"/>
                <w:sz w:val="20"/>
                <w:szCs w:val="20"/>
                <w:lang w:val="es-ES"/>
              </w:rPr>
            </w:pPr>
            <w:r w:rsidRPr="008A07FB">
              <w:rPr>
                <w:snapToGrid w:val="0"/>
                <w:sz w:val="20"/>
                <w:lang w:val="es-ES"/>
              </w:rPr>
              <w:t>11</w:t>
            </w:r>
          </w:p>
        </w:tc>
        <w:tc>
          <w:tcPr>
            <w:tcW w:w="922"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4EBA8134" w14:textId="77777777" w:rsidR="008A07FB" w:rsidRPr="008A07FB" w:rsidRDefault="008A07FB" w:rsidP="008A07FB">
            <w:pPr>
              <w:suppressAutoHyphens/>
              <w:jc w:val="right"/>
              <w:rPr>
                <w:snapToGrid w:val="0"/>
                <w:sz w:val="20"/>
                <w:szCs w:val="20"/>
                <w:lang w:val="es-ES"/>
              </w:rPr>
            </w:pPr>
            <w:r w:rsidRPr="008A07FB">
              <w:rPr>
                <w:snapToGrid w:val="0"/>
                <w:sz w:val="20"/>
                <w:lang w:val="es-ES"/>
              </w:rPr>
              <w:t>11</w:t>
            </w:r>
          </w:p>
        </w:tc>
        <w:tc>
          <w:tcPr>
            <w:tcW w:w="998"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63FB7717"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411486F8"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r>
      <w:tr w:rsidR="008A07FB" w:rsidRPr="008A07FB" w14:paraId="4028ABE3" w14:textId="77777777" w:rsidTr="008A07FB">
        <w:trPr>
          <w:cantSplit/>
        </w:trPr>
        <w:tc>
          <w:tcPr>
            <w:tcW w:w="1370" w:type="pct"/>
            <w:tcBorders>
              <w:top w:val="single" w:sz="4" w:space="0" w:color="auto"/>
              <w:left w:val="single" w:sz="4" w:space="0" w:color="auto"/>
              <w:bottom w:val="single" w:sz="4" w:space="0" w:color="auto"/>
              <w:right w:val="single" w:sz="4" w:space="0" w:color="auto"/>
            </w:tcBorders>
            <w:hideMark/>
          </w:tcPr>
          <w:p w14:paraId="243D5F76" w14:textId="77777777" w:rsidR="008A07FB" w:rsidRPr="008A07FB" w:rsidRDefault="008A07FB" w:rsidP="008A07FB">
            <w:pPr>
              <w:suppressAutoHyphens/>
              <w:jc w:val="left"/>
              <w:rPr>
                <w:snapToGrid w:val="0"/>
                <w:sz w:val="20"/>
                <w:szCs w:val="20"/>
                <w:lang w:val="es-ES"/>
              </w:rPr>
            </w:pPr>
            <w:r w:rsidRPr="008A07FB">
              <w:rPr>
                <w:snapToGrid w:val="0"/>
                <w:sz w:val="20"/>
                <w:lang w:val="es-ES"/>
              </w:rPr>
              <w:t>Japón</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6183FEF7" w14:textId="77777777" w:rsidR="008A07FB" w:rsidRPr="008A07FB" w:rsidRDefault="008A07FB" w:rsidP="008A07FB">
            <w:pPr>
              <w:suppressAutoHyphens/>
              <w:jc w:val="right"/>
              <w:rPr>
                <w:snapToGrid w:val="0"/>
                <w:sz w:val="20"/>
                <w:szCs w:val="20"/>
                <w:lang w:val="es-ES"/>
              </w:rPr>
            </w:pPr>
            <w:r w:rsidRPr="008A07FB">
              <w:rPr>
                <w:snapToGrid w:val="0"/>
                <w:sz w:val="20"/>
                <w:lang w:val="es-ES"/>
              </w:rPr>
              <w:t>6</w:t>
            </w:r>
          </w:p>
        </w:tc>
        <w:tc>
          <w:tcPr>
            <w:tcW w:w="922"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1FD9466A" w14:textId="77777777" w:rsidR="008A07FB" w:rsidRPr="008A07FB" w:rsidRDefault="008A07FB" w:rsidP="008A07FB">
            <w:pPr>
              <w:suppressAutoHyphens/>
              <w:jc w:val="right"/>
              <w:rPr>
                <w:snapToGrid w:val="0"/>
                <w:sz w:val="20"/>
                <w:szCs w:val="20"/>
                <w:lang w:val="es-ES"/>
              </w:rPr>
            </w:pPr>
            <w:r w:rsidRPr="008A07FB">
              <w:rPr>
                <w:snapToGrid w:val="0"/>
                <w:sz w:val="20"/>
                <w:lang w:val="es-ES"/>
              </w:rPr>
              <w:t>6</w:t>
            </w:r>
          </w:p>
        </w:tc>
        <w:tc>
          <w:tcPr>
            <w:tcW w:w="998"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6D6F0D92"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58689BAA"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r>
      <w:tr w:rsidR="008A07FB" w:rsidRPr="008A07FB" w14:paraId="6904066E" w14:textId="77777777" w:rsidTr="008A07FB">
        <w:trPr>
          <w:cantSplit/>
        </w:trPr>
        <w:tc>
          <w:tcPr>
            <w:tcW w:w="1370" w:type="pct"/>
            <w:tcBorders>
              <w:top w:val="single" w:sz="4" w:space="0" w:color="auto"/>
              <w:left w:val="single" w:sz="4" w:space="0" w:color="auto"/>
              <w:bottom w:val="single" w:sz="4" w:space="0" w:color="auto"/>
              <w:right w:val="single" w:sz="4" w:space="0" w:color="auto"/>
            </w:tcBorders>
            <w:hideMark/>
          </w:tcPr>
          <w:p w14:paraId="73570937" w14:textId="77777777" w:rsidR="008A07FB" w:rsidRPr="008A07FB" w:rsidRDefault="008A07FB" w:rsidP="008A07FB">
            <w:pPr>
              <w:suppressAutoHyphens/>
              <w:jc w:val="left"/>
              <w:rPr>
                <w:snapToGrid w:val="0"/>
                <w:sz w:val="20"/>
                <w:szCs w:val="20"/>
                <w:lang w:val="es-ES"/>
              </w:rPr>
            </w:pPr>
            <w:r w:rsidRPr="008A07FB">
              <w:rPr>
                <w:snapToGrid w:val="0"/>
                <w:sz w:val="20"/>
                <w:lang w:val="es-ES"/>
              </w:rPr>
              <w:t>España</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6D097671" w14:textId="77777777" w:rsidR="008A07FB" w:rsidRPr="008A07FB" w:rsidRDefault="008A07FB" w:rsidP="008A07FB">
            <w:pPr>
              <w:suppressAutoHyphens/>
              <w:jc w:val="right"/>
              <w:rPr>
                <w:snapToGrid w:val="0"/>
                <w:sz w:val="20"/>
                <w:szCs w:val="20"/>
                <w:lang w:val="es-ES"/>
              </w:rPr>
            </w:pPr>
            <w:r w:rsidRPr="008A07FB">
              <w:rPr>
                <w:snapToGrid w:val="0"/>
                <w:sz w:val="20"/>
                <w:lang w:val="es-ES"/>
              </w:rPr>
              <w:t>1</w:t>
            </w:r>
          </w:p>
        </w:tc>
        <w:tc>
          <w:tcPr>
            <w:tcW w:w="922"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1F11C9CF" w14:textId="77777777" w:rsidR="008A07FB" w:rsidRPr="008A07FB" w:rsidRDefault="008A07FB" w:rsidP="008A07FB">
            <w:pPr>
              <w:suppressAutoHyphens/>
              <w:jc w:val="right"/>
              <w:rPr>
                <w:snapToGrid w:val="0"/>
                <w:sz w:val="20"/>
                <w:szCs w:val="20"/>
                <w:lang w:val="es-ES"/>
              </w:rPr>
            </w:pPr>
            <w:r w:rsidRPr="008A07FB">
              <w:rPr>
                <w:snapToGrid w:val="0"/>
                <w:sz w:val="20"/>
                <w:lang w:val="es-ES"/>
              </w:rPr>
              <w:t>1</w:t>
            </w:r>
          </w:p>
        </w:tc>
        <w:tc>
          <w:tcPr>
            <w:tcW w:w="998"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0877CE50"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77328ACE"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r>
      <w:tr w:rsidR="008A07FB" w:rsidRPr="008A07FB" w14:paraId="167D9054" w14:textId="77777777" w:rsidTr="008A07FB">
        <w:trPr>
          <w:cantSplit/>
        </w:trPr>
        <w:tc>
          <w:tcPr>
            <w:tcW w:w="1370" w:type="pct"/>
            <w:tcBorders>
              <w:top w:val="single" w:sz="4" w:space="0" w:color="auto"/>
              <w:left w:val="single" w:sz="4" w:space="0" w:color="auto"/>
              <w:bottom w:val="single" w:sz="4" w:space="0" w:color="auto"/>
              <w:right w:val="single" w:sz="4" w:space="0" w:color="auto"/>
            </w:tcBorders>
            <w:hideMark/>
          </w:tcPr>
          <w:p w14:paraId="5A77A511" w14:textId="77777777" w:rsidR="008A07FB" w:rsidRPr="008A07FB" w:rsidRDefault="008A07FB" w:rsidP="008A07FB">
            <w:pPr>
              <w:suppressAutoHyphens/>
              <w:jc w:val="left"/>
              <w:rPr>
                <w:snapToGrid w:val="0"/>
                <w:sz w:val="20"/>
                <w:szCs w:val="20"/>
                <w:lang w:val="es-ES"/>
              </w:rPr>
            </w:pPr>
            <w:r w:rsidRPr="008A07FB">
              <w:rPr>
                <w:snapToGrid w:val="0"/>
                <w:sz w:val="20"/>
                <w:lang w:val="es-ES"/>
              </w:rPr>
              <w:t xml:space="preserve">Reino Unido de Gran Bretaña e Irlanda del Norte </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3B0467B9" w14:textId="77777777" w:rsidR="008A07FB" w:rsidRPr="008A07FB" w:rsidRDefault="008A07FB" w:rsidP="008A07FB">
            <w:pPr>
              <w:suppressAutoHyphens/>
              <w:jc w:val="right"/>
              <w:rPr>
                <w:snapToGrid w:val="0"/>
                <w:sz w:val="20"/>
                <w:szCs w:val="20"/>
                <w:lang w:val="es-ES"/>
              </w:rPr>
            </w:pPr>
            <w:r w:rsidRPr="008A07FB">
              <w:rPr>
                <w:snapToGrid w:val="0"/>
                <w:sz w:val="20"/>
                <w:lang w:val="es-ES"/>
              </w:rPr>
              <w:t>1</w:t>
            </w:r>
          </w:p>
        </w:tc>
        <w:tc>
          <w:tcPr>
            <w:tcW w:w="922"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330C0949" w14:textId="77777777" w:rsidR="008A07FB" w:rsidRPr="008A07FB" w:rsidRDefault="008A07FB" w:rsidP="008A07FB">
            <w:pPr>
              <w:suppressAutoHyphens/>
              <w:jc w:val="right"/>
              <w:rPr>
                <w:snapToGrid w:val="0"/>
                <w:sz w:val="20"/>
                <w:szCs w:val="20"/>
                <w:lang w:val="es-ES"/>
              </w:rPr>
            </w:pPr>
            <w:r w:rsidRPr="008A07FB">
              <w:rPr>
                <w:snapToGrid w:val="0"/>
                <w:sz w:val="20"/>
                <w:lang w:val="es-ES"/>
              </w:rPr>
              <w:t>1</w:t>
            </w:r>
          </w:p>
        </w:tc>
        <w:tc>
          <w:tcPr>
            <w:tcW w:w="998"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6FCD10A1"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2903EBE6"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r>
      <w:tr w:rsidR="008A07FB" w:rsidRPr="008A07FB" w14:paraId="595A3F38" w14:textId="77777777" w:rsidTr="008A07FB">
        <w:trPr>
          <w:cantSplit/>
        </w:trPr>
        <w:tc>
          <w:tcPr>
            <w:tcW w:w="1370" w:type="pct"/>
            <w:tcBorders>
              <w:top w:val="single" w:sz="4" w:space="0" w:color="auto"/>
              <w:left w:val="single" w:sz="4" w:space="0" w:color="auto"/>
              <w:bottom w:val="single" w:sz="4" w:space="0" w:color="auto"/>
              <w:right w:val="single" w:sz="4" w:space="0" w:color="auto"/>
            </w:tcBorders>
            <w:hideMark/>
          </w:tcPr>
          <w:p w14:paraId="6A169BB6" w14:textId="77777777" w:rsidR="008A07FB" w:rsidRPr="008A07FB" w:rsidRDefault="008A07FB" w:rsidP="008A07FB">
            <w:pPr>
              <w:suppressAutoHyphens/>
              <w:jc w:val="left"/>
              <w:rPr>
                <w:snapToGrid w:val="0"/>
                <w:sz w:val="20"/>
                <w:szCs w:val="20"/>
                <w:lang w:val="es-ES"/>
              </w:rPr>
            </w:pPr>
            <w:r w:rsidRPr="008A07FB">
              <w:rPr>
                <w:snapToGrid w:val="0"/>
                <w:sz w:val="20"/>
                <w:lang w:val="es-ES"/>
              </w:rPr>
              <w:t>Estados Unidos de América</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006093FA" w14:textId="77777777" w:rsidR="008A07FB" w:rsidRPr="008A07FB" w:rsidRDefault="008A07FB" w:rsidP="008A07FB">
            <w:pPr>
              <w:suppressAutoHyphens/>
              <w:jc w:val="right"/>
              <w:rPr>
                <w:snapToGrid w:val="0"/>
                <w:sz w:val="20"/>
                <w:szCs w:val="20"/>
                <w:lang w:val="es-ES"/>
              </w:rPr>
            </w:pPr>
            <w:r w:rsidRPr="008A07FB">
              <w:rPr>
                <w:snapToGrid w:val="0"/>
                <w:sz w:val="20"/>
                <w:lang w:val="es-ES"/>
              </w:rPr>
              <w:t>2</w:t>
            </w:r>
          </w:p>
        </w:tc>
        <w:tc>
          <w:tcPr>
            <w:tcW w:w="922"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14197ECB" w14:textId="77777777" w:rsidR="008A07FB" w:rsidRPr="008A07FB" w:rsidRDefault="008A07FB" w:rsidP="008A07FB">
            <w:pPr>
              <w:suppressAutoHyphens/>
              <w:jc w:val="right"/>
              <w:rPr>
                <w:snapToGrid w:val="0"/>
                <w:sz w:val="20"/>
                <w:szCs w:val="20"/>
                <w:lang w:val="es-ES"/>
              </w:rPr>
            </w:pPr>
            <w:r w:rsidRPr="008A07FB">
              <w:rPr>
                <w:snapToGrid w:val="0"/>
                <w:sz w:val="20"/>
                <w:lang w:val="es-ES"/>
              </w:rPr>
              <w:t>2</w:t>
            </w:r>
          </w:p>
        </w:tc>
        <w:tc>
          <w:tcPr>
            <w:tcW w:w="998"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3121E23A"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7BF0A0EB"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r>
      <w:tr w:rsidR="008A07FB" w:rsidRPr="008A07FB" w14:paraId="4639399F" w14:textId="77777777" w:rsidTr="008A07FB">
        <w:trPr>
          <w:cantSplit/>
        </w:trPr>
        <w:tc>
          <w:tcPr>
            <w:tcW w:w="1370" w:type="pct"/>
            <w:tcBorders>
              <w:top w:val="single" w:sz="4" w:space="0" w:color="auto"/>
              <w:left w:val="single" w:sz="4" w:space="0" w:color="auto"/>
              <w:bottom w:val="single" w:sz="4" w:space="0" w:color="auto"/>
              <w:right w:val="single" w:sz="4" w:space="0" w:color="auto"/>
            </w:tcBorders>
            <w:hideMark/>
          </w:tcPr>
          <w:p w14:paraId="76383E41" w14:textId="77777777" w:rsidR="008A07FB" w:rsidRPr="008A07FB" w:rsidRDefault="008A07FB" w:rsidP="008A07FB">
            <w:pPr>
              <w:suppressAutoHyphens/>
              <w:jc w:val="left"/>
              <w:rPr>
                <w:snapToGrid w:val="0"/>
                <w:sz w:val="20"/>
                <w:szCs w:val="20"/>
                <w:lang w:val="es-ES"/>
              </w:rPr>
            </w:pPr>
            <w:r w:rsidRPr="008A07FB">
              <w:rPr>
                <w:snapToGrid w:val="0"/>
                <w:sz w:val="20"/>
                <w:lang w:val="es-ES"/>
              </w:rPr>
              <w:t>PNUD</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66B92791" w14:textId="77777777" w:rsidR="008A07FB" w:rsidRPr="008A07FB" w:rsidRDefault="008A07FB" w:rsidP="008A07FB">
            <w:pPr>
              <w:suppressAutoHyphens/>
              <w:jc w:val="right"/>
              <w:rPr>
                <w:snapToGrid w:val="0"/>
                <w:sz w:val="20"/>
                <w:szCs w:val="20"/>
                <w:lang w:val="es-ES"/>
              </w:rPr>
            </w:pPr>
            <w:r w:rsidRPr="008A07FB">
              <w:rPr>
                <w:snapToGrid w:val="0"/>
                <w:sz w:val="20"/>
                <w:lang w:val="es-ES"/>
              </w:rPr>
              <w:t>898</w:t>
            </w:r>
          </w:p>
        </w:tc>
        <w:tc>
          <w:tcPr>
            <w:tcW w:w="922"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682FCB80" w14:textId="77777777" w:rsidR="008A07FB" w:rsidRPr="008A07FB" w:rsidRDefault="008A07FB" w:rsidP="008A07FB">
            <w:pPr>
              <w:suppressAutoHyphens/>
              <w:jc w:val="right"/>
              <w:rPr>
                <w:snapToGrid w:val="0"/>
                <w:sz w:val="20"/>
                <w:szCs w:val="20"/>
                <w:lang w:val="es-ES"/>
              </w:rPr>
            </w:pPr>
            <w:r w:rsidRPr="008A07FB">
              <w:rPr>
                <w:snapToGrid w:val="0"/>
                <w:sz w:val="20"/>
                <w:lang w:val="es-ES"/>
              </w:rPr>
              <w:t>897</w:t>
            </w:r>
          </w:p>
        </w:tc>
        <w:tc>
          <w:tcPr>
            <w:tcW w:w="998"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0C9EE7F0"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47348E05" w14:textId="77777777" w:rsidR="008A07FB" w:rsidRPr="008A07FB" w:rsidRDefault="008A07FB" w:rsidP="008A07FB">
            <w:pPr>
              <w:suppressAutoHyphens/>
              <w:jc w:val="right"/>
              <w:rPr>
                <w:snapToGrid w:val="0"/>
                <w:sz w:val="20"/>
                <w:szCs w:val="20"/>
                <w:lang w:val="es-ES"/>
              </w:rPr>
            </w:pPr>
            <w:r w:rsidRPr="008A07FB">
              <w:rPr>
                <w:snapToGrid w:val="0"/>
                <w:sz w:val="20"/>
                <w:lang w:val="es-ES"/>
              </w:rPr>
              <w:t>1</w:t>
            </w:r>
          </w:p>
        </w:tc>
      </w:tr>
      <w:tr w:rsidR="008A07FB" w:rsidRPr="008A07FB" w14:paraId="12310446" w14:textId="77777777" w:rsidTr="008A07FB">
        <w:trPr>
          <w:cantSplit/>
        </w:trPr>
        <w:tc>
          <w:tcPr>
            <w:tcW w:w="1370" w:type="pct"/>
            <w:tcBorders>
              <w:top w:val="single" w:sz="4" w:space="0" w:color="auto"/>
              <w:left w:val="single" w:sz="4" w:space="0" w:color="auto"/>
              <w:bottom w:val="single" w:sz="4" w:space="0" w:color="auto"/>
              <w:right w:val="single" w:sz="4" w:space="0" w:color="auto"/>
            </w:tcBorders>
            <w:hideMark/>
          </w:tcPr>
          <w:p w14:paraId="1C646081" w14:textId="77777777" w:rsidR="008A07FB" w:rsidRPr="008A07FB" w:rsidRDefault="008A07FB" w:rsidP="008A07FB">
            <w:pPr>
              <w:suppressAutoHyphens/>
              <w:jc w:val="left"/>
              <w:rPr>
                <w:snapToGrid w:val="0"/>
                <w:sz w:val="20"/>
                <w:szCs w:val="20"/>
                <w:lang w:val="es-ES"/>
              </w:rPr>
            </w:pPr>
            <w:r w:rsidRPr="008A07FB">
              <w:rPr>
                <w:snapToGrid w:val="0"/>
                <w:sz w:val="20"/>
                <w:lang w:val="es-ES"/>
              </w:rPr>
              <w:t>ONUDI</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51D7033D" w14:textId="77777777" w:rsidR="008A07FB" w:rsidRPr="008A07FB" w:rsidRDefault="008A07FB" w:rsidP="008A07FB">
            <w:pPr>
              <w:suppressAutoHyphens/>
              <w:jc w:val="right"/>
              <w:rPr>
                <w:snapToGrid w:val="0"/>
                <w:sz w:val="20"/>
                <w:szCs w:val="20"/>
                <w:lang w:val="es-ES"/>
              </w:rPr>
            </w:pPr>
            <w:r w:rsidRPr="008A07FB">
              <w:rPr>
                <w:snapToGrid w:val="0"/>
                <w:sz w:val="20"/>
                <w:lang w:val="es-ES"/>
              </w:rPr>
              <w:t>452</w:t>
            </w:r>
          </w:p>
        </w:tc>
        <w:tc>
          <w:tcPr>
            <w:tcW w:w="922"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40A414D9" w14:textId="77777777" w:rsidR="008A07FB" w:rsidRPr="008A07FB" w:rsidRDefault="008A07FB" w:rsidP="008A07FB">
            <w:pPr>
              <w:suppressAutoHyphens/>
              <w:jc w:val="right"/>
              <w:rPr>
                <w:snapToGrid w:val="0"/>
                <w:sz w:val="20"/>
                <w:szCs w:val="20"/>
                <w:lang w:val="es-ES"/>
              </w:rPr>
            </w:pPr>
            <w:r w:rsidRPr="008A07FB">
              <w:rPr>
                <w:snapToGrid w:val="0"/>
                <w:sz w:val="20"/>
                <w:lang w:val="es-ES"/>
              </w:rPr>
              <w:t>449</w:t>
            </w:r>
          </w:p>
        </w:tc>
        <w:tc>
          <w:tcPr>
            <w:tcW w:w="998"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71C0B2EE"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089D3619" w14:textId="77777777" w:rsidR="008A07FB" w:rsidRPr="008A07FB" w:rsidRDefault="008A07FB" w:rsidP="008A07FB">
            <w:pPr>
              <w:suppressAutoHyphens/>
              <w:jc w:val="right"/>
              <w:rPr>
                <w:snapToGrid w:val="0"/>
                <w:sz w:val="20"/>
                <w:szCs w:val="20"/>
                <w:lang w:val="es-ES"/>
              </w:rPr>
            </w:pPr>
            <w:r w:rsidRPr="008A07FB">
              <w:rPr>
                <w:snapToGrid w:val="0"/>
                <w:sz w:val="20"/>
                <w:lang w:val="es-ES"/>
              </w:rPr>
              <w:t>3</w:t>
            </w:r>
          </w:p>
        </w:tc>
      </w:tr>
      <w:tr w:rsidR="008A07FB" w:rsidRPr="008A07FB" w14:paraId="085E0D16" w14:textId="77777777" w:rsidTr="008A07FB">
        <w:trPr>
          <w:cantSplit/>
        </w:trPr>
        <w:tc>
          <w:tcPr>
            <w:tcW w:w="1370" w:type="pct"/>
            <w:tcBorders>
              <w:top w:val="single" w:sz="4" w:space="0" w:color="auto"/>
              <w:left w:val="single" w:sz="4" w:space="0" w:color="auto"/>
              <w:bottom w:val="single" w:sz="4" w:space="0" w:color="auto"/>
              <w:right w:val="single" w:sz="4" w:space="0" w:color="auto"/>
            </w:tcBorders>
            <w:hideMark/>
          </w:tcPr>
          <w:p w14:paraId="7D7DA4D4" w14:textId="77777777" w:rsidR="008A07FB" w:rsidRPr="008A07FB" w:rsidRDefault="008A07FB" w:rsidP="008A07FB">
            <w:pPr>
              <w:suppressAutoHyphens/>
              <w:jc w:val="left"/>
              <w:rPr>
                <w:snapToGrid w:val="0"/>
                <w:sz w:val="20"/>
                <w:szCs w:val="20"/>
                <w:lang w:val="es-ES"/>
              </w:rPr>
            </w:pPr>
            <w:r w:rsidRPr="008A07FB">
              <w:rPr>
                <w:snapToGrid w:val="0"/>
                <w:sz w:val="20"/>
                <w:lang w:val="es-ES"/>
              </w:rPr>
              <w:t>Banco Mundial</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58294A15" w14:textId="77777777" w:rsidR="008A07FB" w:rsidRPr="008A07FB" w:rsidRDefault="008A07FB" w:rsidP="008A07FB">
            <w:pPr>
              <w:suppressAutoHyphens/>
              <w:jc w:val="right"/>
              <w:rPr>
                <w:snapToGrid w:val="0"/>
                <w:sz w:val="20"/>
                <w:szCs w:val="20"/>
                <w:lang w:val="es-ES"/>
              </w:rPr>
            </w:pPr>
            <w:r w:rsidRPr="008A07FB">
              <w:rPr>
                <w:snapToGrid w:val="0"/>
                <w:sz w:val="20"/>
                <w:lang w:val="es-ES"/>
              </w:rPr>
              <w:t>457</w:t>
            </w:r>
          </w:p>
        </w:tc>
        <w:tc>
          <w:tcPr>
            <w:tcW w:w="922"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430BE537" w14:textId="77777777" w:rsidR="008A07FB" w:rsidRPr="008A07FB" w:rsidRDefault="008A07FB" w:rsidP="008A07FB">
            <w:pPr>
              <w:suppressAutoHyphens/>
              <w:jc w:val="right"/>
              <w:rPr>
                <w:snapToGrid w:val="0"/>
                <w:sz w:val="20"/>
                <w:szCs w:val="20"/>
                <w:lang w:val="es-ES"/>
              </w:rPr>
            </w:pPr>
            <w:r w:rsidRPr="008A07FB">
              <w:rPr>
                <w:snapToGrid w:val="0"/>
                <w:sz w:val="20"/>
                <w:lang w:val="es-ES"/>
              </w:rPr>
              <w:t>455</w:t>
            </w:r>
          </w:p>
        </w:tc>
        <w:tc>
          <w:tcPr>
            <w:tcW w:w="998"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3A6543CD" w14:textId="77777777" w:rsidR="008A07FB" w:rsidRPr="008A07FB" w:rsidRDefault="008A07FB" w:rsidP="008A07FB">
            <w:pPr>
              <w:suppressAutoHyphens/>
              <w:jc w:val="right"/>
              <w:rPr>
                <w:snapToGrid w:val="0"/>
                <w:sz w:val="20"/>
                <w:szCs w:val="20"/>
                <w:lang w:val="es-ES"/>
              </w:rPr>
            </w:pPr>
            <w:r w:rsidRPr="008A07FB">
              <w:rPr>
                <w:snapToGrid w:val="0"/>
                <w:sz w:val="20"/>
                <w:lang w:val="es-ES"/>
              </w:rPr>
              <w:t>0</w:t>
            </w:r>
          </w:p>
        </w:tc>
        <w:tc>
          <w:tcPr>
            <w:tcW w:w="846"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59E6DAA0" w14:textId="77777777" w:rsidR="008A07FB" w:rsidRPr="008A07FB" w:rsidRDefault="008A07FB" w:rsidP="008A07FB">
            <w:pPr>
              <w:suppressAutoHyphens/>
              <w:jc w:val="right"/>
              <w:rPr>
                <w:snapToGrid w:val="0"/>
                <w:sz w:val="20"/>
                <w:szCs w:val="20"/>
                <w:lang w:val="es-ES"/>
              </w:rPr>
            </w:pPr>
            <w:r w:rsidRPr="008A07FB">
              <w:rPr>
                <w:snapToGrid w:val="0"/>
                <w:sz w:val="20"/>
                <w:lang w:val="es-ES"/>
              </w:rPr>
              <w:t>2</w:t>
            </w:r>
          </w:p>
        </w:tc>
      </w:tr>
      <w:tr w:rsidR="008A07FB" w:rsidRPr="008A07FB" w14:paraId="7BE09C09" w14:textId="77777777" w:rsidTr="008A07FB">
        <w:trPr>
          <w:cantSplit/>
        </w:trPr>
        <w:tc>
          <w:tcPr>
            <w:tcW w:w="1370" w:type="pct"/>
            <w:tcBorders>
              <w:top w:val="single" w:sz="4" w:space="0" w:color="auto"/>
              <w:left w:val="single" w:sz="4" w:space="0" w:color="auto"/>
              <w:bottom w:val="single" w:sz="4" w:space="0" w:color="auto"/>
              <w:right w:val="single" w:sz="4" w:space="0" w:color="auto"/>
            </w:tcBorders>
            <w:hideMark/>
          </w:tcPr>
          <w:p w14:paraId="1B28BA1E" w14:textId="77777777" w:rsidR="008A07FB" w:rsidRPr="008A07FB" w:rsidRDefault="008A07FB" w:rsidP="008A07FB">
            <w:pPr>
              <w:suppressAutoHyphens/>
              <w:jc w:val="left"/>
              <w:rPr>
                <w:b/>
                <w:snapToGrid w:val="0"/>
                <w:sz w:val="20"/>
                <w:szCs w:val="20"/>
                <w:lang w:val="es-ES"/>
              </w:rPr>
            </w:pPr>
            <w:r w:rsidRPr="008A07FB">
              <w:rPr>
                <w:b/>
                <w:snapToGrid w:val="0"/>
                <w:sz w:val="20"/>
                <w:lang w:val="es-ES"/>
              </w:rPr>
              <w:t>Total</w:t>
            </w:r>
          </w:p>
        </w:tc>
        <w:tc>
          <w:tcPr>
            <w:tcW w:w="864"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0478E26D" w14:textId="58218798" w:rsidR="008A07FB" w:rsidRPr="008A07FB" w:rsidRDefault="008A07FB" w:rsidP="008A07FB">
            <w:pPr>
              <w:tabs>
                <w:tab w:val="left" w:pos="600"/>
                <w:tab w:val="center" w:pos="915"/>
              </w:tabs>
              <w:suppressAutoHyphens/>
              <w:jc w:val="right"/>
              <w:rPr>
                <w:b/>
                <w:snapToGrid w:val="0"/>
                <w:sz w:val="20"/>
                <w:szCs w:val="20"/>
                <w:lang w:val="es-ES"/>
              </w:rPr>
            </w:pPr>
            <w:r w:rsidRPr="008A07FB">
              <w:rPr>
                <w:b/>
                <w:snapToGrid w:val="0"/>
                <w:sz w:val="20"/>
                <w:lang w:val="es-ES"/>
              </w:rPr>
              <w:t>1</w:t>
            </w:r>
            <w:r>
              <w:rPr>
                <w:b/>
                <w:snapToGrid w:val="0"/>
                <w:sz w:val="20"/>
                <w:lang w:val="es-ES"/>
              </w:rPr>
              <w:t> </w:t>
            </w:r>
            <w:r w:rsidRPr="008A07FB">
              <w:rPr>
                <w:b/>
                <w:snapToGrid w:val="0"/>
                <w:sz w:val="20"/>
                <w:lang w:val="es-ES"/>
              </w:rPr>
              <w:t>863</w:t>
            </w:r>
          </w:p>
        </w:tc>
        <w:tc>
          <w:tcPr>
            <w:tcW w:w="922"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2C9314B0" w14:textId="6FCFEB7E" w:rsidR="008A07FB" w:rsidRPr="008A07FB" w:rsidRDefault="008A07FB" w:rsidP="008A07FB">
            <w:pPr>
              <w:suppressAutoHyphens/>
              <w:jc w:val="right"/>
              <w:rPr>
                <w:b/>
                <w:snapToGrid w:val="0"/>
                <w:sz w:val="20"/>
                <w:szCs w:val="20"/>
                <w:lang w:val="es-ES"/>
              </w:rPr>
            </w:pPr>
            <w:r w:rsidRPr="008A07FB">
              <w:rPr>
                <w:b/>
                <w:sz w:val="20"/>
                <w:lang w:val="es-ES"/>
              </w:rPr>
              <w:t>1</w:t>
            </w:r>
            <w:r>
              <w:rPr>
                <w:b/>
                <w:sz w:val="20"/>
                <w:lang w:val="es-ES"/>
              </w:rPr>
              <w:t> </w:t>
            </w:r>
            <w:r w:rsidRPr="008A07FB">
              <w:rPr>
                <w:b/>
                <w:sz w:val="20"/>
                <w:lang w:val="es-ES"/>
              </w:rPr>
              <w:t>854</w:t>
            </w:r>
          </w:p>
        </w:tc>
        <w:tc>
          <w:tcPr>
            <w:tcW w:w="998"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218D7A68" w14:textId="77777777" w:rsidR="008A07FB" w:rsidRPr="008A07FB" w:rsidRDefault="008A07FB" w:rsidP="008A07FB">
            <w:pPr>
              <w:suppressAutoHyphens/>
              <w:jc w:val="right"/>
              <w:rPr>
                <w:b/>
                <w:snapToGrid w:val="0"/>
                <w:sz w:val="20"/>
                <w:szCs w:val="20"/>
                <w:lang w:val="es-ES"/>
              </w:rPr>
            </w:pPr>
            <w:r w:rsidRPr="008A07FB">
              <w:rPr>
                <w:b/>
                <w:sz w:val="20"/>
                <w:lang w:val="es-ES"/>
              </w:rPr>
              <w:t>0</w:t>
            </w:r>
          </w:p>
        </w:tc>
        <w:tc>
          <w:tcPr>
            <w:tcW w:w="846" w:type="pct"/>
            <w:tcBorders>
              <w:top w:val="single" w:sz="4" w:space="0" w:color="auto"/>
              <w:left w:val="single" w:sz="4" w:space="0" w:color="auto"/>
              <w:bottom w:val="single" w:sz="4" w:space="0" w:color="auto"/>
              <w:right w:val="single" w:sz="4" w:space="0" w:color="auto"/>
            </w:tcBorders>
            <w:tcMar>
              <w:top w:w="0" w:type="dxa"/>
              <w:left w:w="30" w:type="dxa"/>
              <w:bottom w:w="0" w:type="dxa"/>
              <w:right w:w="432" w:type="dxa"/>
            </w:tcMar>
            <w:hideMark/>
          </w:tcPr>
          <w:p w14:paraId="4B9DB2C9" w14:textId="77777777" w:rsidR="008A07FB" w:rsidRPr="008A07FB" w:rsidRDefault="008A07FB" w:rsidP="008A07FB">
            <w:pPr>
              <w:suppressAutoHyphens/>
              <w:jc w:val="right"/>
              <w:rPr>
                <w:b/>
                <w:snapToGrid w:val="0"/>
                <w:sz w:val="20"/>
                <w:szCs w:val="20"/>
                <w:lang w:val="es-ES"/>
              </w:rPr>
            </w:pPr>
            <w:r w:rsidRPr="008A07FB">
              <w:rPr>
                <w:b/>
                <w:sz w:val="20"/>
                <w:lang w:val="es-ES"/>
              </w:rPr>
              <w:t>9</w:t>
            </w:r>
          </w:p>
        </w:tc>
      </w:tr>
    </w:tbl>
    <w:p w14:paraId="72CF0F5C" w14:textId="77777777" w:rsidR="008A07FB" w:rsidRPr="008A07FB" w:rsidRDefault="008A07FB" w:rsidP="008A07FB">
      <w:pPr>
        <w:pStyle w:val="Heading1"/>
        <w:tabs>
          <w:tab w:val="clear" w:pos="0"/>
          <w:tab w:val="num" w:pos="720"/>
        </w:tabs>
        <w:spacing w:before="240"/>
        <w:rPr>
          <w:lang w:val="es-ES"/>
        </w:rPr>
      </w:pPr>
      <w:r w:rsidRPr="008A07FB">
        <w:rPr>
          <w:lang w:val="es-ES"/>
        </w:rPr>
        <w:lastRenderedPageBreak/>
        <w:t>De los 1 264 proyectos ajenos a la inversión</w:t>
      </w:r>
      <w:r w:rsidRPr="00477A64">
        <w:rPr>
          <w:vertAlign w:val="superscript"/>
          <w:lang w:val="es-ES"/>
        </w:rPr>
        <w:footnoteReference w:id="4"/>
      </w:r>
      <w:r w:rsidRPr="008A07FB">
        <w:rPr>
          <w:lang w:val="es-ES"/>
        </w:rPr>
        <w:t xml:space="preserve"> que se han terminado, los organismos bilaterales y de ejecución han presentado 1 234 informes de terminación de proyectos, por lo que restan 30 informes de terminación de proyectos pendientes, como se muestra en el Cuadro 4. </w:t>
      </w:r>
    </w:p>
    <w:p w14:paraId="0C8D33A3" w14:textId="77777777" w:rsidR="008A07FB" w:rsidRPr="008A07FB" w:rsidRDefault="008A07FB" w:rsidP="008A07FB">
      <w:pPr>
        <w:pStyle w:val="FootnoteText"/>
        <w:keepNext/>
        <w:keepLines/>
        <w:ind w:left="14"/>
        <w:contextualSpacing/>
        <w:rPr>
          <w:b/>
          <w:sz w:val="21"/>
          <w:szCs w:val="21"/>
          <w:lang w:val="es-ES"/>
        </w:rPr>
      </w:pPr>
      <w:r w:rsidRPr="008A07FB">
        <w:rPr>
          <w:b/>
          <w:sz w:val="21"/>
          <w:lang w:val="es-ES"/>
        </w:rPr>
        <w:t>Cuadro 4. Informes de terminación de proyectos presentados para proyectos ajenos a la inversión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67"/>
        <w:gridCol w:w="1868"/>
        <w:gridCol w:w="1867"/>
        <w:gridCol w:w="1868"/>
      </w:tblGrid>
      <w:tr w:rsidR="008A07FB" w:rsidRPr="008A07FB" w14:paraId="3CAC2451" w14:textId="77777777" w:rsidTr="008A07FB">
        <w:trPr>
          <w:trHeight w:val="467"/>
          <w:tblHeader/>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2002A765" w14:textId="77777777" w:rsidR="008A07FB" w:rsidRPr="008A07FB" w:rsidRDefault="008A07FB" w:rsidP="008A07FB">
            <w:pPr>
              <w:jc w:val="left"/>
              <w:rPr>
                <w:b/>
                <w:color w:val="000000"/>
                <w:sz w:val="20"/>
                <w:szCs w:val="20"/>
                <w:lang w:val="es-ES"/>
              </w:rPr>
            </w:pPr>
            <w:r w:rsidRPr="008A07FB">
              <w:rPr>
                <w:b/>
                <w:color w:val="000000"/>
                <w:sz w:val="20"/>
                <w:lang w:val="es-ES"/>
              </w:rPr>
              <w:t>Organismo</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0DC837E" w14:textId="77777777" w:rsidR="008A07FB" w:rsidRPr="008A07FB" w:rsidRDefault="008A07FB" w:rsidP="008A07FB">
            <w:pPr>
              <w:jc w:val="center"/>
              <w:rPr>
                <w:b/>
                <w:color w:val="000000"/>
                <w:sz w:val="20"/>
                <w:szCs w:val="20"/>
                <w:lang w:val="es-ES"/>
              </w:rPr>
            </w:pPr>
            <w:r w:rsidRPr="008A07FB">
              <w:rPr>
                <w:b/>
                <w:color w:val="000000"/>
                <w:sz w:val="20"/>
                <w:lang w:val="es-ES"/>
              </w:rPr>
              <w:t>Terminados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6AD3C49" w14:textId="77777777" w:rsidR="008A07FB" w:rsidRPr="008A07FB" w:rsidRDefault="008A07FB" w:rsidP="008A07FB">
            <w:pPr>
              <w:jc w:val="center"/>
              <w:rPr>
                <w:b/>
                <w:sz w:val="20"/>
                <w:szCs w:val="20"/>
                <w:lang w:val="es-ES"/>
              </w:rPr>
            </w:pPr>
            <w:r w:rsidRPr="008A07FB">
              <w:rPr>
                <w:b/>
                <w:sz w:val="20"/>
                <w:lang w:val="es-ES"/>
              </w:rPr>
              <w:t>Recibidos antes de la 87</w:t>
            </w:r>
            <w:r w:rsidRPr="008A07FB">
              <w:rPr>
                <w:b/>
                <w:sz w:val="20"/>
                <w:vertAlign w:val="superscript"/>
                <w:lang w:val="es-ES"/>
              </w:rPr>
              <w:t>a</w:t>
            </w:r>
            <w:r w:rsidRPr="008A07FB">
              <w:rPr>
                <w:b/>
                <w:sz w:val="20"/>
                <w:lang w:val="es-ES"/>
              </w:rPr>
              <w:t> reunión</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EEE893E" w14:textId="77777777" w:rsidR="008A07FB" w:rsidRPr="008A07FB" w:rsidRDefault="008A07FB" w:rsidP="008A07FB">
            <w:pPr>
              <w:jc w:val="center"/>
              <w:rPr>
                <w:b/>
                <w:sz w:val="20"/>
                <w:szCs w:val="20"/>
                <w:lang w:val="es-ES"/>
              </w:rPr>
            </w:pPr>
            <w:r w:rsidRPr="008A07FB">
              <w:rPr>
                <w:b/>
                <w:sz w:val="20"/>
                <w:lang w:val="es-ES"/>
              </w:rPr>
              <w:t>Recibidos después de la 87</w:t>
            </w:r>
            <w:r w:rsidRPr="008A07FB">
              <w:rPr>
                <w:b/>
                <w:sz w:val="20"/>
                <w:vertAlign w:val="superscript"/>
                <w:lang w:val="es-ES"/>
              </w:rPr>
              <w:t>a</w:t>
            </w:r>
            <w:r w:rsidRPr="008A07FB">
              <w:rPr>
                <w:b/>
                <w:sz w:val="20"/>
                <w:lang w:val="es-ES"/>
              </w:rPr>
              <w:t> reunión</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0140FBA" w14:textId="77777777" w:rsidR="008A07FB" w:rsidRPr="008A07FB" w:rsidRDefault="008A07FB" w:rsidP="008A07FB">
            <w:pPr>
              <w:jc w:val="center"/>
              <w:rPr>
                <w:b/>
                <w:sz w:val="20"/>
                <w:szCs w:val="20"/>
                <w:lang w:val="es-ES"/>
              </w:rPr>
            </w:pPr>
            <w:r w:rsidRPr="008A07FB">
              <w:rPr>
                <w:b/>
                <w:sz w:val="20"/>
                <w:lang w:val="es-ES"/>
              </w:rPr>
              <w:t>Pendientes</w:t>
            </w:r>
          </w:p>
        </w:tc>
      </w:tr>
      <w:tr w:rsidR="008A07FB" w:rsidRPr="008A07FB" w14:paraId="4E849DD1" w14:textId="77777777" w:rsidTr="008A07FB">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32FA17C9" w14:textId="77777777" w:rsidR="008A07FB" w:rsidRPr="008A07FB" w:rsidRDefault="008A07FB" w:rsidP="008A07FB">
            <w:pPr>
              <w:jc w:val="left"/>
              <w:rPr>
                <w:color w:val="000000"/>
                <w:sz w:val="20"/>
                <w:szCs w:val="20"/>
                <w:lang w:val="es-ES"/>
              </w:rPr>
            </w:pPr>
            <w:r w:rsidRPr="008A07FB">
              <w:rPr>
                <w:color w:val="000000"/>
                <w:sz w:val="20"/>
                <w:lang w:val="es-ES"/>
              </w:rPr>
              <w:t>Canadá</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3F6F4420" w14:textId="77777777" w:rsidR="008A07FB" w:rsidRPr="008A07FB" w:rsidRDefault="008A07FB" w:rsidP="008A07FB">
            <w:pPr>
              <w:jc w:val="right"/>
              <w:rPr>
                <w:sz w:val="20"/>
                <w:szCs w:val="20"/>
                <w:lang w:val="es-ES"/>
              </w:rPr>
            </w:pPr>
            <w:r w:rsidRPr="008A07FB">
              <w:rPr>
                <w:sz w:val="20"/>
                <w:lang w:val="es-ES"/>
              </w:rPr>
              <w:t>57</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A954BC1" w14:textId="77777777" w:rsidR="008A07FB" w:rsidRPr="008A07FB" w:rsidRDefault="008A07FB" w:rsidP="008A07FB">
            <w:pPr>
              <w:jc w:val="right"/>
              <w:rPr>
                <w:sz w:val="20"/>
                <w:szCs w:val="20"/>
                <w:lang w:val="es-ES"/>
              </w:rPr>
            </w:pPr>
            <w:r w:rsidRPr="008A07FB">
              <w:rPr>
                <w:sz w:val="20"/>
                <w:lang w:val="es-ES"/>
              </w:rPr>
              <w:t>57</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3C87F392" w14:textId="77777777" w:rsidR="008A07FB" w:rsidRPr="008A07FB" w:rsidRDefault="008A07FB" w:rsidP="008A07FB">
            <w:pPr>
              <w:jc w:val="right"/>
              <w:rPr>
                <w:sz w:val="20"/>
                <w:szCs w:val="20"/>
                <w:lang w:val="es-ES"/>
              </w:rPr>
            </w:pPr>
            <w:r w:rsidRPr="008A07FB">
              <w:rPr>
                <w:sz w:val="20"/>
                <w:lang w:val="es-ES"/>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4697F451" w14:textId="77777777" w:rsidR="008A07FB" w:rsidRPr="008A07FB" w:rsidRDefault="008A07FB" w:rsidP="008A07FB">
            <w:pPr>
              <w:jc w:val="right"/>
              <w:rPr>
                <w:sz w:val="20"/>
                <w:szCs w:val="20"/>
                <w:lang w:val="es-ES"/>
              </w:rPr>
            </w:pPr>
            <w:r w:rsidRPr="008A07FB">
              <w:rPr>
                <w:sz w:val="20"/>
                <w:lang w:val="es-ES"/>
              </w:rPr>
              <w:t>0</w:t>
            </w:r>
          </w:p>
        </w:tc>
      </w:tr>
      <w:tr w:rsidR="008A07FB" w:rsidRPr="008A07FB" w14:paraId="74678E6F" w14:textId="77777777" w:rsidTr="008A07FB">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50A74553" w14:textId="77777777" w:rsidR="008A07FB" w:rsidRPr="008A07FB" w:rsidRDefault="008A07FB" w:rsidP="008A07FB">
            <w:pPr>
              <w:jc w:val="left"/>
              <w:rPr>
                <w:color w:val="000000"/>
                <w:sz w:val="20"/>
                <w:szCs w:val="20"/>
                <w:lang w:val="es-ES"/>
              </w:rPr>
            </w:pPr>
            <w:r w:rsidRPr="008A07FB">
              <w:rPr>
                <w:color w:val="000000"/>
                <w:sz w:val="20"/>
                <w:lang w:val="es-ES"/>
              </w:rPr>
              <w:t>Francia</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3C1B584B" w14:textId="77777777" w:rsidR="008A07FB" w:rsidRPr="008A07FB" w:rsidRDefault="008A07FB" w:rsidP="008A07FB">
            <w:pPr>
              <w:jc w:val="right"/>
              <w:rPr>
                <w:sz w:val="20"/>
                <w:szCs w:val="20"/>
                <w:lang w:val="es-ES"/>
              </w:rPr>
            </w:pPr>
            <w:r w:rsidRPr="008A07FB">
              <w:rPr>
                <w:sz w:val="20"/>
                <w:lang w:val="es-ES"/>
              </w:rPr>
              <w:t>34</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0017189B" w14:textId="77777777" w:rsidR="008A07FB" w:rsidRPr="008A07FB" w:rsidRDefault="008A07FB" w:rsidP="008A07FB">
            <w:pPr>
              <w:jc w:val="right"/>
              <w:rPr>
                <w:sz w:val="20"/>
                <w:szCs w:val="20"/>
                <w:lang w:val="es-ES"/>
              </w:rPr>
            </w:pPr>
            <w:r w:rsidRPr="008A07FB">
              <w:rPr>
                <w:sz w:val="20"/>
                <w:lang w:val="es-ES"/>
              </w:rPr>
              <w:t>34</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117A03E" w14:textId="77777777" w:rsidR="008A07FB" w:rsidRPr="008A07FB" w:rsidRDefault="008A07FB" w:rsidP="008A07FB">
            <w:pPr>
              <w:jc w:val="right"/>
              <w:rPr>
                <w:sz w:val="20"/>
                <w:szCs w:val="20"/>
                <w:lang w:val="es-ES"/>
              </w:rPr>
            </w:pPr>
            <w:r w:rsidRPr="008A07FB">
              <w:rPr>
                <w:sz w:val="20"/>
                <w:lang w:val="es-ES"/>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26B2B43" w14:textId="77777777" w:rsidR="008A07FB" w:rsidRPr="008A07FB" w:rsidRDefault="008A07FB" w:rsidP="008A07FB">
            <w:pPr>
              <w:jc w:val="right"/>
              <w:rPr>
                <w:sz w:val="20"/>
                <w:szCs w:val="20"/>
                <w:lang w:val="es-ES"/>
              </w:rPr>
            </w:pPr>
            <w:r w:rsidRPr="008A07FB">
              <w:rPr>
                <w:sz w:val="20"/>
                <w:lang w:val="es-ES"/>
              </w:rPr>
              <w:t>0</w:t>
            </w:r>
          </w:p>
        </w:tc>
      </w:tr>
      <w:tr w:rsidR="008A07FB" w:rsidRPr="008A07FB" w14:paraId="64DF4596" w14:textId="77777777" w:rsidTr="008A07FB">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43D031EF" w14:textId="77777777" w:rsidR="008A07FB" w:rsidRPr="008A07FB" w:rsidRDefault="008A07FB" w:rsidP="008A07FB">
            <w:pPr>
              <w:jc w:val="left"/>
              <w:rPr>
                <w:color w:val="000000"/>
                <w:sz w:val="20"/>
                <w:szCs w:val="20"/>
                <w:lang w:val="es-ES"/>
              </w:rPr>
            </w:pPr>
            <w:r w:rsidRPr="008A07FB">
              <w:rPr>
                <w:color w:val="000000"/>
                <w:sz w:val="20"/>
                <w:lang w:val="es-ES"/>
              </w:rPr>
              <w:t>Alemania</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2518702C" w14:textId="77777777" w:rsidR="008A07FB" w:rsidRPr="008A07FB" w:rsidRDefault="008A07FB" w:rsidP="008A07FB">
            <w:pPr>
              <w:jc w:val="right"/>
              <w:rPr>
                <w:sz w:val="20"/>
                <w:szCs w:val="20"/>
                <w:lang w:val="es-ES"/>
              </w:rPr>
            </w:pPr>
            <w:r w:rsidRPr="008A07FB">
              <w:rPr>
                <w:sz w:val="20"/>
                <w:lang w:val="es-ES"/>
              </w:rPr>
              <w:t>62</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3594135D" w14:textId="77777777" w:rsidR="008A07FB" w:rsidRPr="008A07FB" w:rsidRDefault="008A07FB" w:rsidP="008A07FB">
            <w:pPr>
              <w:jc w:val="right"/>
              <w:rPr>
                <w:sz w:val="20"/>
                <w:szCs w:val="20"/>
                <w:lang w:val="es-ES"/>
              </w:rPr>
            </w:pPr>
            <w:r w:rsidRPr="008A07FB">
              <w:rPr>
                <w:sz w:val="20"/>
                <w:lang w:val="es-ES"/>
              </w:rPr>
              <w:t>60</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0CB7A64A" w14:textId="77777777" w:rsidR="008A07FB" w:rsidRPr="008A07FB" w:rsidRDefault="008A07FB" w:rsidP="008A07FB">
            <w:pPr>
              <w:jc w:val="right"/>
              <w:rPr>
                <w:sz w:val="20"/>
                <w:szCs w:val="20"/>
                <w:lang w:val="es-ES"/>
              </w:rPr>
            </w:pPr>
            <w:r w:rsidRPr="008A07FB">
              <w:rPr>
                <w:sz w:val="20"/>
                <w:lang w:val="es-ES"/>
              </w:rPr>
              <w:t>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7C730DA4" w14:textId="77777777" w:rsidR="008A07FB" w:rsidRPr="008A07FB" w:rsidRDefault="008A07FB" w:rsidP="008A07FB">
            <w:pPr>
              <w:jc w:val="right"/>
              <w:rPr>
                <w:sz w:val="20"/>
                <w:szCs w:val="20"/>
                <w:lang w:val="es-ES"/>
              </w:rPr>
            </w:pPr>
            <w:r w:rsidRPr="008A07FB">
              <w:rPr>
                <w:sz w:val="20"/>
                <w:lang w:val="es-ES"/>
              </w:rPr>
              <w:t>1</w:t>
            </w:r>
          </w:p>
        </w:tc>
      </w:tr>
      <w:tr w:rsidR="008A07FB" w:rsidRPr="008A07FB" w14:paraId="588A3BDB" w14:textId="77777777" w:rsidTr="008A07FB">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647D72D1" w14:textId="77777777" w:rsidR="008A07FB" w:rsidRPr="008A07FB" w:rsidRDefault="008A07FB" w:rsidP="008A07FB">
            <w:pPr>
              <w:jc w:val="left"/>
              <w:rPr>
                <w:color w:val="000000"/>
                <w:sz w:val="20"/>
                <w:szCs w:val="20"/>
                <w:lang w:val="es-ES"/>
              </w:rPr>
            </w:pPr>
            <w:r w:rsidRPr="008A07FB">
              <w:rPr>
                <w:color w:val="000000"/>
                <w:sz w:val="20"/>
                <w:lang w:val="es-ES"/>
              </w:rPr>
              <w:t>Japón</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3BAAA846" w14:textId="77777777" w:rsidR="008A07FB" w:rsidRPr="008A07FB" w:rsidRDefault="008A07FB" w:rsidP="008A07FB">
            <w:pPr>
              <w:jc w:val="right"/>
              <w:rPr>
                <w:sz w:val="20"/>
                <w:szCs w:val="20"/>
                <w:lang w:val="es-ES"/>
              </w:rPr>
            </w:pPr>
            <w:r w:rsidRPr="008A07FB">
              <w:rPr>
                <w:sz w:val="20"/>
                <w:lang w:val="es-ES"/>
              </w:rPr>
              <w:t>17</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D0651EF" w14:textId="77777777" w:rsidR="008A07FB" w:rsidRPr="008A07FB" w:rsidRDefault="008A07FB" w:rsidP="008A07FB">
            <w:pPr>
              <w:jc w:val="right"/>
              <w:rPr>
                <w:sz w:val="20"/>
                <w:szCs w:val="20"/>
                <w:lang w:val="es-ES"/>
              </w:rPr>
            </w:pPr>
            <w:r w:rsidRPr="008A07FB">
              <w:rPr>
                <w:sz w:val="20"/>
                <w:lang w:val="es-ES"/>
              </w:rPr>
              <w:t>17</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68202C3" w14:textId="77777777" w:rsidR="008A07FB" w:rsidRPr="008A07FB" w:rsidRDefault="008A07FB" w:rsidP="008A07FB">
            <w:pPr>
              <w:jc w:val="right"/>
              <w:rPr>
                <w:sz w:val="20"/>
                <w:szCs w:val="20"/>
                <w:lang w:val="es-ES"/>
              </w:rPr>
            </w:pPr>
            <w:r w:rsidRPr="008A07FB">
              <w:rPr>
                <w:sz w:val="20"/>
                <w:lang w:val="es-ES"/>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4B0AA84" w14:textId="77777777" w:rsidR="008A07FB" w:rsidRPr="008A07FB" w:rsidRDefault="008A07FB" w:rsidP="008A07FB">
            <w:pPr>
              <w:jc w:val="right"/>
              <w:rPr>
                <w:sz w:val="20"/>
                <w:szCs w:val="20"/>
                <w:lang w:val="es-ES"/>
              </w:rPr>
            </w:pPr>
            <w:r w:rsidRPr="008A07FB">
              <w:rPr>
                <w:sz w:val="20"/>
                <w:lang w:val="es-ES"/>
              </w:rPr>
              <w:t>0</w:t>
            </w:r>
          </w:p>
        </w:tc>
      </w:tr>
      <w:tr w:rsidR="008A07FB" w:rsidRPr="008A07FB" w14:paraId="1CAEA4BF" w14:textId="77777777" w:rsidTr="008A07FB">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4A271959" w14:textId="77777777" w:rsidR="008A07FB" w:rsidRPr="008A07FB" w:rsidRDefault="008A07FB" w:rsidP="008A07FB">
            <w:pPr>
              <w:jc w:val="left"/>
              <w:rPr>
                <w:color w:val="000000"/>
                <w:sz w:val="20"/>
                <w:szCs w:val="20"/>
                <w:lang w:val="es-ES"/>
              </w:rPr>
            </w:pPr>
            <w:r w:rsidRPr="008A07FB">
              <w:rPr>
                <w:color w:val="000000"/>
                <w:sz w:val="20"/>
                <w:lang w:val="es-ES"/>
              </w:rPr>
              <w:t>Portugal</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59044E89" w14:textId="77777777" w:rsidR="008A07FB" w:rsidRPr="008A07FB" w:rsidRDefault="008A07FB" w:rsidP="008A07FB">
            <w:pPr>
              <w:jc w:val="right"/>
              <w:rPr>
                <w:sz w:val="20"/>
                <w:szCs w:val="20"/>
                <w:lang w:val="es-ES"/>
              </w:rPr>
            </w:pPr>
            <w:r w:rsidRPr="008A07FB">
              <w:rPr>
                <w:sz w:val="20"/>
                <w:lang w:val="es-ES"/>
              </w:rPr>
              <w:t>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545CA7E" w14:textId="77777777" w:rsidR="008A07FB" w:rsidRPr="008A07FB" w:rsidRDefault="008A07FB" w:rsidP="008A07FB">
            <w:pPr>
              <w:jc w:val="right"/>
              <w:rPr>
                <w:sz w:val="20"/>
                <w:szCs w:val="20"/>
                <w:lang w:val="es-ES"/>
              </w:rPr>
            </w:pPr>
            <w:r w:rsidRPr="008A07FB">
              <w:rPr>
                <w:sz w:val="20"/>
                <w:lang w:val="es-ES"/>
              </w:rPr>
              <w:t>0</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31760CC1" w14:textId="77777777" w:rsidR="008A07FB" w:rsidRPr="008A07FB" w:rsidRDefault="008A07FB" w:rsidP="008A07FB">
            <w:pPr>
              <w:jc w:val="right"/>
              <w:rPr>
                <w:sz w:val="20"/>
                <w:szCs w:val="20"/>
                <w:lang w:val="es-ES"/>
              </w:rPr>
            </w:pPr>
            <w:r w:rsidRPr="008A07FB">
              <w:rPr>
                <w:sz w:val="20"/>
                <w:lang w:val="es-ES"/>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8D41ECF" w14:textId="77777777" w:rsidR="008A07FB" w:rsidRPr="008A07FB" w:rsidRDefault="008A07FB" w:rsidP="008A07FB">
            <w:pPr>
              <w:jc w:val="right"/>
              <w:rPr>
                <w:sz w:val="20"/>
                <w:szCs w:val="20"/>
                <w:lang w:val="es-ES"/>
              </w:rPr>
            </w:pPr>
            <w:r w:rsidRPr="008A07FB">
              <w:rPr>
                <w:sz w:val="20"/>
                <w:lang w:val="es-ES"/>
              </w:rPr>
              <w:t>1</w:t>
            </w:r>
          </w:p>
        </w:tc>
      </w:tr>
      <w:tr w:rsidR="008A07FB" w:rsidRPr="008A07FB" w14:paraId="0C1DEDF3" w14:textId="77777777" w:rsidTr="008A07FB">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72F2FA0B" w14:textId="77777777" w:rsidR="008A07FB" w:rsidRPr="008A07FB" w:rsidRDefault="008A07FB" w:rsidP="008A07FB">
            <w:pPr>
              <w:jc w:val="left"/>
              <w:rPr>
                <w:color w:val="000000"/>
                <w:sz w:val="20"/>
                <w:szCs w:val="20"/>
                <w:lang w:val="es-ES"/>
              </w:rPr>
            </w:pPr>
            <w:r w:rsidRPr="008A07FB">
              <w:rPr>
                <w:color w:val="000000"/>
                <w:sz w:val="20"/>
                <w:lang w:val="es-ES"/>
              </w:rPr>
              <w:t>Federación de Rusia</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6E6F5CD9" w14:textId="77777777" w:rsidR="008A07FB" w:rsidRPr="008A07FB" w:rsidRDefault="008A07FB" w:rsidP="008A07FB">
            <w:pPr>
              <w:jc w:val="right"/>
              <w:rPr>
                <w:sz w:val="20"/>
                <w:szCs w:val="20"/>
                <w:lang w:val="es-ES"/>
              </w:rPr>
            </w:pPr>
            <w:r w:rsidRPr="008A07FB">
              <w:rPr>
                <w:sz w:val="20"/>
                <w:lang w:val="es-ES"/>
              </w:rPr>
              <w:t>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4149DD8E" w14:textId="77777777" w:rsidR="008A07FB" w:rsidRPr="008A07FB" w:rsidRDefault="008A07FB" w:rsidP="008A07FB">
            <w:pPr>
              <w:jc w:val="right"/>
              <w:rPr>
                <w:sz w:val="20"/>
                <w:szCs w:val="20"/>
                <w:lang w:val="es-ES"/>
              </w:rPr>
            </w:pPr>
            <w:r w:rsidRPr="008A07FB">
              <w:rPr>
                <w:sz w:val="20"/>
                <w:lang w:val="es-ES"/>
              </w:rPr>
              <w:t>0</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49C559A4" w14:textId="77777777" w:rsidR="008A07FB" w:rsidRPr="008A07FB" w:rsidRDefault="008A07FB" w:rsidP="008A07FB">
            <w:pPr>
              <w:jc w:val="right"/>
              <w:rPr>
                <w:sz w:val="20"/>
                <w:szCs w:val="20"/>
                <w:lang w:val="es-ES"/>
              </w:rPr>
            </w:pPr>
            <w:r w:rsidRPr="008A07FB">
              <w:rPr>
                <w:sz w:val="20"/>
                <w:lang w:val="es-ES"/>
              </w:rPr>
              <w:t>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330CC63D" w14:textId="77777777" w:rsidR="008A07FB" w:rsidRPr="008A07FB" w:rsidRDefault="008A07FB" w:rsidP="008A07FB">
            <w:pPr>
              <w:jc w:val="right"/>
              <w:rPr>
                <w:sz w:val="20"/>
                <w:szCs w:val="20"/>
                <w:lang w:val="es-ES"/>
              </w:rPr>
            </w:pPr>
            <w:r w:rsidRPr="008A07FB">
              <w:rPr>
                <w:sz w:val="20"/>
                <w:lang w:val="es-ES"/>
              </w:rPr>
              <w:t>0</w:t>
            </w:r>
          </w:p>
        </w:tc>
      </w:tr>
      <w:tr w:rsidR="008A07FB" w:rsidRPr="008A07FB" w14:paraId="49E6E877" w14:textId="77777777" w:rsidTr="008A07FB">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733E4A4E" w14:textId="77777777" w:rsidR="008A07FB" w:rsidRPr="008A07FB" w:rsidRDefault="008A07FB" w:rsidP="008A07FB">
            <w:pPr>
              <w:jc w:val="left"/>
              <w:rPr>
                <w:color w:val="000000"/>
                <w:sz w:val="20"/>
                <w:szCs w:val="20"/>
                <w:lang w:val="es-ES"/>
              </w:rPr>
            </w:pPr>
            <w:r w:rsidRPr="008A07FB">
              <w:rPr>
                <w:color w:val="000000"/>
                <w:sz w:val="20"/>
                <w:lang w:val="es-ES"/>
              </w:rPr>
              <w:t>PNUD</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37B59A08" w14:textId="77777777" w:rsidR="008A07FB" w:rsidRPr="008A07FB" w:rsidRDefault="008A07FB" w:rsidP="008A07FB">
            <w:pPr>
              <w:jc w:val="right"/>
              <w:rPr>
                <w:sz w:val="20"/>
                <w:szCs w:val="20"/>
                <w:lang w:val="es-ES"/>
              </w:rPr>
            </w:pPr>
            <w:r w:rsidRPr="008A07FB">
              <w:rPr>
                <w:sz w:val="20"/>
                <w:lang w:val="es-ES"/>
              </w:rPr>
              <w:t>299</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4CE2FCF2" w14:textId="77777777" w:rsidR="008A07FB" w:rsidRPr="008A07FB" w:rsidRDefault="008A07FB" w:rsidP="008A07FB">
            <w:pPr>
              <w:jc w:val="right"/>
              <w:rPr>
                <w:sz w:val="20"/>
                <w:szCs w:val="20"/>
                <w:lang w:val="es-ES"/>
              </w:rPr>
            </w:pPr>
            <w:r w:rsidRPr="008A07FB">
              <w:rPr>
                <w:sz w:val="20"/>
                <w:lang w:val="es-ES"/>
              </w:rPr>
              <w:t>295</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3B0EBA2A" w14:textId="77777777" w:rsidR="008A07FB" w:rsidRPr="008A07FB" w:rsidRDefault="008A07FB" w:rsidP="008A07FB">
            <w:pPr>
              <w:jc w:val="right"/>
              <w:rPr>
                <w:sz w:val="20"/>
                <w:szCs w:val="20"/>
                <w:lang w:val="es-ES"/>
              </w:rPr>
            </w:pPr>
            <w:r w:rsidRPr="008A07FB">
              <w:rPr>
                <w:sz w:val="20"/>
                <w:lang w:val="es-ES"/>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3F08A677" w14:textId="77777777" w:rsidR="008A07FB" w:rsidRPr="008A07FB" w:rsidRDefault="008A07FB" w:rsidP="008A07FB">
            <w:pPr>
              <w:jc w:val="right"/>
              <w:rPr>
                <w:sz w:val="20"/>
                <w:szCs w:val="20"/>
                <w:lang w:val="es-ES"/>
              </w:rPr>
            </w:pPr>
            <w:r w:rsidRPr="008A07FB">
              <w:rPr>
                <w:sz w:val="20"/>
                <w:lang w:val="es-ES"/>
              </w:rPr>
              <w:t>4</w:t>
            </w:r>
          </w:p>
        </w:tc>
      </w:tr>
      <w:tr w:rsidR="008A07FB" w:rsidRPr="008A07FB" w14:paraId="2C0FF487" w14:textId="77777777" w:rsidTr="008A07FB">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3A70F0C7" w14:textId="77777777" w:rsidR="008A07FB" w:rsidRPr="008A07FB" w:rsidRDefault="008A07FB" w:rsidP="008A07FB">
            <w:pPr>
              <w:jc w:val="left"/>
              <w:rPr>
                <w:color w:val="000000"/>
                <w:sz w:val="20"/>
                <w:szCs w:val="20"/>
                <w:lang w:val="es-ES"/>
              </w:rPr>
            </w:pPr>
            <w:r w:rsidRPr="008A07FB">
              <w:rPr>
                <w:color w:val="000000"/>
                <w:sz w:val="20"/>
                <w:lang w:val="es-ES"/>
              </w:rPr>
              <w:t>PNUMA</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19D1CA14" w14:textId="77777777" w:rsidR="008A07FB" w:rsidRPr="008A07FB" w:rsidRDefault="008A07FB" w:rsidP="008A07FB">
            <w:pPr>
              <w:jc w:val="right"/>
              <w:rPr>
                <w:sz w:val="20"/>
                <w:szCs w:val="20"/>
                <w:lang w:val="es-ES"/>
              </w:rPr>
            </w:pPr>
            <w:r w:rsidRPr="008A07FB">
              <w:rPr>
                <w:sz w:val="20"/>
                <w:lang w:val="es-ES"/>
              </w:rPr>
              <w:t>498</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0421531" w14:textId="77777777" w:rsidR="008A07FB" w:rsidRPr="008A07FB" w:rsidRDefault="008A07FB" w:rsidP="008A07FB">
            <w:pPr>
              <w:jc w:val="right"/>
              <w:rPr>
                <w:sz w:val="20"/>
                <w:szCs w:val="20"/>
                <w:lang w:val="es-ES"/>
              </w:rPr>
            </w:pPr>
            <w:r w:rsidRPr="008A07FB">
              <w:rPr>
                <w:sz w:val="20"/>
                <w:lang w:val="es-ES"/>
              </w:rPr>
              <w:t>472</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233CDEC" w14:textId="77777777" w:rsidR="008A07FB" w:rsidRPr="008A07FB" w:rsidRDefault="008A07FB" w:rsidP="008A07FB">
            <w:pPr>
              <w:jc w:val="right"/>
              <w:rPr>
                <w:sz w:val="20"/>
                <w:szCs w:val="20"/>
                <w:lang w:val="es-ES"/>
              </w:rPr>
            </w:pPr>
            <w:r w:rsidRPr="008A07FB">
              <w:rPr>
                <w:sz w:val="20"/>
                <w:lang w:val="es-ES"/>
              </w:rPr>
              <w:t>11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386F9766" w14:textId="77777777" w:rsidR="008A07FB" w:rsidRPr="008A07FB" w:rsidRDefault="008A07FB" w:rsidP="008A07FB">
            <w:pPr>
              <w:jc w:val="right"/>
              <w:rPr>
                <w:sz w:val="20"/>
                <w:szCs w:val="20"/>
                <w:lang w:val="es-ES"/>
              </w:rPr>
            </w:pPr>
            <w:r w:rsidRPr="008A07FB">
              <w:rPr>
                <w:sz w:val="20"/>
                <w:lang w:val="es-ES"/>
              </w:rPr>
              <w:t>15</w:t>
            </w:r>
          </w:p>
        </w:tc>
      </w:tr>
      <w:tr w:rsidR="008A07FB" w:rsidRPr="008A07FB" w14:paraId="42841060" w14:textId="77777777" w:rsidTr="008A07FB">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7B24BC07" w14:textId="77777777" w:rsidR="008A07FB" w:rsidRPr="008A07FB" w:rsidRDefault="008A07FB" w:rsidP="008A07FB">
            <w:pPr>
              <w:jc w:val="left"/>
              <w:rPr>
                <w:color w:val="000000"/>
                <w:sz w:val="20"/>
                <w:szCs w:val="20"/>
                <w:lang w:val="es-ES"/>
              </w:rPr>
            </w:pPr>
            <w:r w:rsidRPr="008A07FB">
              <w:rPr>
                <w:color w:val="000000"/>
                <w:sz w:val="20"/>
                <w:lang w:val="es-ES"/>
              </w:rPr>
              <w:t>ONUDI</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4B4E4257" w14:textId="77777777" w:rsidR="008A07FB" w:rsidRPr="008A07FB" w:rsidRDefault="008A07FB" w:rsidP="008A07FB">
            <w:pPr>
              <w:jc w:val="right"/>
              <w:rPr>
                <w:sz w:val="20"/>
                <w:szCs w:val="20"/>
                <w:lang w:val="es-ES"/>
              </w:rPr>
            </w:pPr>
            <w:r w:rsidRPr="008A07FB">
              <w:rPr>
                <w:sz w:val="20"/>
                <w:lang w:val="es-ES"/>
              </w:rPr>
              <w:t>160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453EFBB" w14:textId="77777777" w:rsidR="008A07FB" w:rsidRPr="008A07FB" w:rsidRDefault="008A07FB" w:rsidP="008A07FB">
            <w:pPr>
              <w:jc w:val="right"/>
              <w:rPr>
                <w:sz w:val="20"/>
                <w:szCs w:val="20"/>
                <w:lang w:val="es-ES"/>
              </w:rPr>
            </w:pPr>
            <w:r w:rsidRPr="008A07FB">
              <w:rPr>
                <w:sz w:val="20"/>
                <w:lang w:val="es-ES"/>
              </w:rPr>
              <w:t>154</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73209087" w14:textId="77777777" w:rsidR="008A07FB" w:rsidRPr="008A07FB" w:rsidRDefault="008A07FB" w:rsidP="008A07FB">
            <w:pPr>
              <w:jc w:val="right"/>
              <w:rPr>
                <w:sz w:val="20"/>
                <w:szCs w:val="20"/>
                <w:lang w:val="es-ES"/>
              </w:rPr>
            </w:pPr>
            <w:r w:rsidRPr="008A07FB">
              <w:rPr>
                <w:sz w:val="20"/>
                <w:lang w:val="es-ES"/>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435582B4" w14:textId="77777777" w:rsidR="008A07FB" w:rsidRPr="008A07FB" w:rsidRDefault="008A07FB" w:rsidP="008A07FB">
            <w:pPr>
              <w:jc w:val="right"/>
              <w:rPr>
                <w:sz w:val="20"/>
                <w:szCs w:val="20"/>
                <w:lang w:val="es-ES"/>
              </w:rPr>
            </w:pPr>
            <w:r w:rsidRPr="008A07FB">
              <w:rPr>
                <w:sz w:val="20"/>
                <w:lang w:val="es-ES"/>
              </w:rPr>
              <w:t>6</w:t>
            </w:r>
          </w:p>
        </w:tc>
      </w:tr>
      <w:tr w:rsidR="008A07FB" w:rsidRPr="008A07FB" w14:paraId="0A86E093" w14:textId="77777777" w:rsidTr="008A07FB">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5F751CAC" w14:textId="77777777" w:rsidR="008A07FB" w:rsidRPr="008A07FB" w:rsidRDefault="008A07FB" w:rsidP="008A07FB">
            <w:pPr>
              <w:jc w:val="left"/>
              <w:rPr>
                <w:color w:val="000000"/>
                <w:sz w:val="20"/>
                <w:szCs w:val="20"/>
                <w:lang w:val="es-ES"/>
              </w:rPr>
            </w:pPr>
            <w:r w:rsidRPr="008A07FB">
              <w:rPr>
                <w:color w:val="000000"/>
                <w:sz w:val="20"/>
                <w:lang w:val="es-ES"/>
              </w:rPr>
              <w:t>Banco Mundial</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2AD9DE9C" w14:textId="77777777" w:rsidR="008A07FB" w:rsidRPr="008A07FB" w:rsidRDefault="008A07FB" w:rsidP="008A07FB">
            <w:pPr>
              <w:jc w:val="right"/>
              <w:rPr>
                <w:sz w:val="20"/>
                <w:szCs w:val="20"/>
                <w:lang w:val="es-ES"/>
              </w:rPr>
            </w:pPr>
            <w:r w:rsidRPr="008A07FB">
              <w:rPr>
                <w:sz w:val="20"/>
                <w:lang w:val="es-ES"/>
              </w:rPr>
              <w:t>44</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033DBE46" w14:textId="77777777" w:rsidR="008A07FB" w:rsidRPr="008A07FB" w:rsidRDefault="008A07FB" w:rsidP="008A07FB">
            <w:pPr>
              <w:jc w:val="right"/>
              <w:rPr>
                <w:sz w:val="20"/>
                <w:szCs w:val="20"/>
                <w:lang w:val="es-ES"/>
              </w:rPr>
            </w:pPr>
            <w:r w:rsidRPr="008A07FB">
              <w:rPr>
                <w:sz w:val="20"/>
                <w:lang w:val="es-ES"/>
              </w:rPr>
              <w:t>41</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72B92E5C" w14:textId="77777777" w:rsidR="008A07FB" w:rsidRPr="008A07FB" w:rsidRDefault="008A07FB" w:rsidP="008A07FB">
            <w:pPr>
              <w:jc w:val="right"/>
              <w:rPr>
                <w:sz w:val="20"/>
                <w:szCs w:val="20"/>
                <w:lang w:val="es-ES"/>
              </w:rPr>
            </w:pPr>
            <w:r w:rsidRPr="008A07FB">
              <w:rPr>
                <w:sz w:val="20"/>
                <w:lang w:val="es-ES"/>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453482B3" w14:textId="77777777" w:rsidR="008A07FB" w:rsidRPr="008A07FB" w:rsidRDefault="008A07FB" w:rsidP="008A07FB">
            <w:pPr>
              <w:jc w:val="right"/>
              <w:rPr>
                <w:sz w:val="20"/>
                <w:szCs w:val="20"/>
                <w:lang w:val="es-ES"/>
              </w:rPr>
            </w:pPr>
            <w:r w:rsidRPr="008A07FB">
              <w:rPr>
                <w:sz w:val="20"/>
                <w:lang w:val="es-ES"/>
              </w:rPr>
              <w:t>3</w:t>
            </w:r>
          </w:p>
        </w:tc>
      </w:tr>
      <w:tr w:rsidR="008A07FB" w:rsidRPr="008A07FB" w14:paraId="4867373A" w14:textId="77777777" w:rsidTr="008A07FB">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73622F2E" w14:textId="77777777" w:rsidR="008A07FB" w:rsidRPr="008A07FB" w:rsidRDefault="008A07FB" w:rsidP="008A07FB">
            <w:pPr>
              <w:jc w:val="left"/>
              <w:rPr>
                <w:color w:val="000000"/>
                <w:sz w:val="20"/>
                <w:szCs w:val="20"/>
                <w:lang w:val="es-ES"/>
              </w:rPr>
            </w:pPr>
            <w:r w:rsidRPr="008A07FB">
              <w:rPr>
                <w:color w:val="000000"/>
                <w:sz w:val="20"/>
                <w:lang w:val="es-ES"/>
              </w:rPr>
              <w:t>Otros</w:t>
            </w:r>
            <w:r w:rsidRPr="008A07FB">
              <w:rPr>
                <w:rStyle w:val="FootnoteReference"/>
                <w:color w:val="000000"/>
                <w:sz w:val="20"/>
                <w:szCs w:val="20"/>
                <w:lang w:val="es-ES"/>
              </w:rPr>
              <w:footnoteReference w:id="5"/>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18B8F85E" w14:textId="77777777" w:rsidR="008A07FB" w:rsidRPr="008A07FB" w:rsidRDefault="008A07FB" w:rsidP="008A07FB">
            <w:pPr>
              <w:jc w:val="right"/>
              <w:rPr>
                <w:sz w:val="20"/>
                <w:szCs w:val="20"/>
                <w:lang w:val="es-ES"/>
              </w:rPr>
            </w:pPr>
            <w:r w:rsidRPr="008A07FB">
              <w:rPr>
                <w:sz w:val="20"/>
                <w:lang w:val="es-ES"/>
              </w:rPr>
              <w:t>91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0B1CDCFB" w14:textId="77777777" w:rsidR="008A07FB" w:rsidRPr="008A07FB" w:rsidRDefault="008A07FB" w:rsidP="008A07FB">
            <w:pPr>
              <w:jc w:val="right"/>
              <w:rPr>
                <w:sz w:val="20"/>
                <w:szCs w:val="20"/>
                <w:lang w:val="es-ES"/>
              </w:rPr>
            </w:pPr>
            <w:r w:rsidRPr="008A07FB">
              <w:rPr>
                <w:sz w:val="20"/>
                <w:lang w:val="es-ES"/>
              </w:rPr>
              <w:t>91</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6D5650D0" w14:textId="77777777" w:rsidR="008A07FB" w:rsidRPr="008A07FB" w:rsidRDefault="008A07FB" w:rsidP="008A07FB">
            <w:pPr>
              <w:jc w:val="right"/>
              <w:rPr>
                <w:sz w:val="20"/>
                <w:szCs w:val="20"/>
                <w:lang w:val="es-ES"/>
              </w:rPr>
            </w:pPr>
            <w:r w:rsidRPr="008A07FB">
              <w:rPr>
                <w:sz w:val="20"/>
                <w:lang w:val="es-ES"/>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3672E48" w14:textId="77777777" w:rsidR="008A07FB" w:rsidRPr="008A07FB" w:rsidRDefault="008A07FB" w:rsidP="008A07FB">
            <w:pPr>
              <w:jc w:val="right"/>
              <w:rPr>
                <w:sz w:val="20"/>
                <w:szCs w:val="20"/>
                <w:lang w:val="es-ES"/>
              </w:rPr>
            </w:pPr>
            <w:r w:rsidRPr="008A07FB">
              <w:rPr>
                <w:sz w:val="20"/>
                <w:lang w:val="es-ES"/>
              </w:rPr>
              <w:t>0</w:t>
            </w:r>
          </w:p>
        </w:tc>
      </w:tr>
      <w:tr w:rsidR="008A07FB" w:rsidRPr="008A07FB" w14:paraId="16E8BAA2" w14:textId="77777777" w:rsidTr="008A07FB">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3ABE9951" w14:textId="77777777" w:rsidR="008A07FB" w:rsidRPr="008A07FB" w:rsidRDefault="008A07FB" w:rsidP="008A07FB">
            <w:pPr>
              <w:suppressAutoHyphens/>
              <w:jc w:val="left"/>
              <w:rPr>
                <w:b/>
                <w:snapToGrid w:val="0"/>
                <w:sz w:val="20"/>
                <w:szCs w:val="20"/>
                <w:lang w:val="es-ES"/>
              </w:rPr>
            </w:pPr>
            <w:r w:rsidRPr="008A07FB">
              <w:rPr>
                <w:b/>
                <w:snapToGrid w:val="0"/>
                <w:sz w:val="20"/>
                <w:lang w:val="es-ES"/>
              </w:rPr>
              <w:t>Total</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3D0C8BD2" w14:textId="6BBB4289" w:rsidR="008A07FB" w:rsidRPr="008A07FB" w:rsidRDefault="008A07FB" w:rsidP="008A07FB">
            <w:pPr>
              <w:suppressAutoHyphens/>
              <w:jc w:val="right"/>
              <w:rPr>
                <w:b/>
                <w:snapToGrid w:val="0"/>
                <w:sz w:val="20"/>
                <w:szCs w:val="20"/>
                <w:lang w:val="es-ES"/>
              </w:rPr>
            </w:pPr>
            <w:r w:rsidRPr="008A07FB">
              <w:rPr>
                <w:b/>
                <w:sz w:val="20"/>
                <w:lang w:val="es-ES"/>
              </w:rPr>
              <w:t>1</w:t>
            </w:r>
            <w:r w:rsidR="00477A64">
              <w:rPr>
                <w:b/>
                <w:sz w:val="20"/>
                <w:lang w:val="es-ES"/>
              </w:rPr>
              <w:t> </w:t>
            </w:r>
            <w:r w:rsidRPr="008A07FB">
              <w:rPr>
                <w:b/>
                <w:sz w:val="20"/>
                <w:lang w:val="es-ES"/>
              </w:rPr>
              <w:t>264</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55CD780" w14:textId="03A9A51A" w:rsidR="008A07FB" w:rsidRPr="008A07FB" w:rsidRDefault="008A07FB" w:rsidP="008A07FB">
            <w:pPr>
              <w:suppressAutoHyphens/>
              <w:jc w:val="right"/>
              <w:rPr>
                <w:b/>
                <w:snapToGrid w:val="0"/>
                <w:sz w:val="20"/>
                <w:szCs w:val="20"/>
                <w:lang w:val="es-ES"/>
              </w:rPr>
            </w:pPr>
            <w:r w:rsidRPr="008A07FB">
              <w:rPr>
                <w:b/>
                <w:sz w:val="20"/>
                <w:lang w:val="es-ES"/>
              </w:rPr>
              <w:t>1</w:t>
            </w:r>
            <w:r w:rsidR="00477A64">
              <w:rPr>
                <w:b/>
                <w:sz w:val="20"/>
                <w:lang w:val="es-ES"/>
              </w:rPr>
              <w:t> </w:t>
            </w:r>
            <w:r w:rsidRPr="008A07FB">
              <w:rPr>
                <w:b/>
                <w:sz w:val="20"/>
                <w:lang w:val="es-ES"/>
              </w:rPr>
              <w:t>221</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75C405AA" w14:textId="77777777" w:rsidR="008A07FB" w:rsidRPr="008A07FB" w:rsidRDefault="008A07FB" w:rsidP="008A07FB">
            <w:pPr>
              <w:suppressAutoHyphens/>
              <w:jc w:val="right"/>
              <w:rPr>
                <w:b/>
                <w:snapToGrid w:val="0"/>
                <w:sz w:val="20"/>
                <w:szCs w:val="20"/>
                <w:lang w:val="es-ES"/>
              </w:rPr>
            </w:pPr>
            <w:r w:rsidRPr="008A07FB">
              <w:rPr>
                <w:b/>
                <w:sz w:val="20"/>
                <w:lang w:val="es-ES"/>
              </w:rPr>
              <w:t>13</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7C1A457D" w14:textId="77777777" w:rsidR="008A07FB" w:rsidRPr="008A07FB" w:rsidRDefault="008A07FB" w:rsidP="008A07FB">
            <w:pPr>
              <w:suppressAutoHyphens/>
              <w:jc w:val="right"/>
              <w:rPr>
                <w:b/>
                <w:snapToGrid w:val="0"/>
                <w:sz w:val="20"/>
                <w:szCs w:val="20"/>
                <w:lang w:val="es-ES"/>
              </w:rPr>
            </w:pPr>
            <w:r w:rsidRPr="008A07FB">
              <w:rPr>
                <w:b/>
                <w:sz w:val="20"/>
                <w:lang w:val="es-ES"/>
              </w:rPr>
              <w:t>30</w:t>
            </w:r>
          </w:p>
        </w:tc>
      </w:tr>
    </w:tbl>
    <w:p w14:paraId="794C93D1" w14:textId="77777777" w:rsidR="008A07FB" w:rsidRPr="008A07FB" w:rsidRDefault="008A07FB" w:rsidP="008A07FB">
      <w:pPr>
        <w:pStyle w:val="Heading1"/>
        <w:tabs>
          <w:tab w:val="clear" w:pos="0"/>
          <w:tab w:val="num" w:pos="720"/>
        </w:tabs>
        <w:spacing w:before="240"/>
        <w:rPr>
          <w:lang w:val="es-ES"/>
        </w:rPr>
      </w:pPr>
      <w:r w:rsidRPr="008A07FB">
        <w:rPr>
          <w:lang w:val="es-ES"/>
        </w:rPr>
        <w:t>La lista de los proyectos ajenos a la inversión presentados después de la 87ª reunión se adjunta en el Anexo II del presente informe. Los resultados totales relacionados con los desembolsos, la eliminación real y las demoras se indican en el Cuadro 5.</w:t>
      </w:r>
    </w:p>
    <w:p w14:paraId="09CFB742" w14:textId="77777777" w:rsidR="008A07FB" w:rsidRPr="008A07FB" w:rsidRDefault="008A07FB" w:rsidP="008A07FB">
      <w:pPr>
        <w:pStyle w:val="Heading1"/>
        <w:keepNext/>
        <w:keepLines/>
        <w:numPr>
          <w:ilvl w:val="0"/>
          <w:numId w:val="0"/>
        </w:numPr>
        <w:tabs>
          <w:tab w:val="left" w:pos="720"/>
        </w:tabs>
        <w:spacing w:after="0"/>
        <w:rPr>
          <w:b/>
          <w:sz w:val="21"/>
          <w:szCs w:val="21"/>
          <w:lang w:val="es-ES"/>
        </w:rPr>
      </w:pPr>
      <w:r w:rsidRPr="008A07FB">
        <w:rPr>
          <w:b/>
          <w:sz w:val="21"/>
          <w:lang w:val="es-ES"/>
        </w:rPr>
        <w:t>Cuadro 5. Reseña del presupuesto, las SAO eliminadas y las demoras de los proyectos individuales presentados después de la 87ª reunión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039"/>
        <w:gridCol w:w="1179"/>
        <w:gridCol w:w="1179"/>
        <w:gridCol w:w="1179"/>
        <w:gridCol w:w="1179"/>
        <w:gridCol w:w="1179"/>
        <w:gridCol w:w="1179"/>
      </w:tblGrid>
      <w:tr w:rsidR="008A07FB" w:rsidRPr="008A07FB" w14:paraId="241F8243" w14:textId="77777777" w:rsidTr="008A07FB">
        <w:trPr>
          <w:tblHeader/>
        </w:trPr>
        <w:tc>
          <w:tcPr>
            <w:tcW w:w="1247" w:type="dxa"/>
            <w:vMerge w:val="restart"/>
            <w:tcBorders>
              <w:top w:val="single" w:sz="4" w:space="0" w:color="auto"/>
              <w:left w:val="single" w:sz="4" w:space="0" w:color="auto"/>
              <w:bottom w:val="single" w:sz="4" w:space="0" w:color="auto"/>
              <w:right w:val="single" w:sz="4" w:space="0" w:color="auto"/>
            </w:tcBorders>
            <w:vAlign w:val="center"/>
            <w:hideMark/>
          </w:tcPr>
          <w:p w14:paraId="00B61C0C" w14:textId="77777777" w:rsidR="008A07FB" w:rsidRPr="008A07FB" w:rsidRDefault="008A07FB" w:rsidP="008A07FB">
            <w:pPr>
              <w:jc w:val="left"/>
              <w:rPr>
                <w:b/>
                <w:bCs/>
                <w:sz w:val="20"/>
                <w:szCs w:val="20"/>
                <w:lang w:val="es-ES"/>
              </w:rPr>
            </w:pPr>
            <w:r w:rsidRPr="008A07FB">
              <w:rPr>
                <w:b/>
                <w:sz w:val="20"/>
                <w:lang w:val="es-ES"/>
              </w:rPr>
              <w:t>Organismo</w:t>
            </w:r>
          </w:p>
        </w:tc>
        <w:tc>
          <w:tcPr>
            <w:tcW w:w="103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5EAD42" w14:textId="77777777" w:rsidR="008A07FB" w:rsidRPr="008A07FB" w:rsidRDefault="008A07FB" w:rsidP="008A07FB">
            <w:pPr>
              <w:jc w:val="center"/>
              <w:rPr>
                <w:b/>
                <w:bCs/>
                <w:sz w:val="20"/>
                <w:szCs w:val="20"/>
                <w:lang w:val="es-ES"/>
              </w:rPr>
            </w:pPr>
            <w:r w:rsidRPr="008A07FB">
              <w:rPr>
                <w:b/>
                <w:sz w:val="20"/>
                <w:lang w:val="es-ES"/>
              </w:rPr>
              <w:t>Cantidad de proyectos</w:t>
            </w:r>
          </w:p>
        </w:tc>
        <w:tc>
          <w:tcPr>
            <w:tcW w:w="2358" w:type="dxa"/>
            <w:gridSpan w:val="2"/>
            <w:tcBorders>
              <w:top w:val="single" w:sz="4" w:space="0" w:color="auto"/>
              <w:left w:val="single" w:sz="4" w:space="0" w:color="auto"/>
              <w:bottom w:val="single" w:sz="4" w:space="0" w:color="auto"/>
              <w:right w:val="single" w:sz="4" w:space="0" w:color="auto"/>
            </w:tcBorders>
            <w:vAlign w:val="center"/>
            <w:hideMark/>
          </w:tcPr>
          <w:p w14:paraId="7C299FF4" w14:textId="77777777" w:rsidR="008A07FB" w:rsidRPr="008A07FB" w:rsidRDefault="008A07FB" w:rsidP="008A07FB">
            <w:pPr>
              <w:jc w:val="center"/>
              <w:rPr>
                <w:b/>
                <w:bCs/>
                <w:sz w:val="20"/>
                <w:szCs w:val="20"/>
                <w:lang w:val="es-ES"/>
              </w:rPr>
            </w:pPr>
            <w:r w:rsidRPr="008A07FB">
              <w:rPr>
                <w:b/>
                <w:sz w:val="20"/>
                <w:lang w:val="es-ES"/>
              </w:rPr>
              <w:t>Fondos ($EUA)</w:t>
            </w:r>
          </w:p>
        </w:tc>
        <w:tc>
          <w:tcPr>
            <w:tcW w:w="2358" w:type="dxa"/>
            <w:gridSpan w:val="2"/>
            <w:tcBorders>
              <w:top w:val="single" w:sz="4" w:space="0" w:color="auto"/>
              <w:left w:val="single" w:sz="4" w:space="0" w:color="auto"/>
              <w:bottom w:val="single" w:sz="4" w:space="0" w:color="auto"/>
              <w:right w:val="single" w:sz="4" w:space="0" w:color="auto"/>
            </w:tcBorders>
            <w:vAlign w:val="center"/>
            <w:hideMark/>
          </w:tcPr>
          <w:p w14:paraId="63EA5D48" w14:textId="77777777" w:rsidR="008A07FB" w:rsidRPr="008A07FB" w:rsidRDefault="008A07FB" w:rsidP="008A07FB">
            <w:pPr>
              <w:jc w:val="center"/>
              <w:rPr>
                <w:b/>
                <w:bCs/>
                <w:sz w:val="20"/>
                <w:szCs w:val="20"/>
                <w:lang w:val="es-ES"/>
              </w:rPr>
            </w:pPr>
            <w:r w:rsidRPr="008A07FB">
              <w:rPr>
                <w:b/>
                <w:sz w:val="20"/>
                <w:lang w:val="es-ES"/>
              </w:rPr>
              <w:t xml:space="preserve">Eliminación </w:t>
            </w:r>
          </w:p>
          <w:p w14:paraId="310986EC" w14:textId="77777777" w:rsidR="008A07FB" w:rsidRPr="008A07FB" w:rsidRDefault="008A07FB" w:rsidP="008A07FB">
            <w:pPr>
              <w:jc w:val="center"/>
              <w:rPr>
                <w:b/>
                <w:bCs/>
                <w:sz w:val="20"/>
                <w:szCs w:val="20"/>
                <w:lang w:val="es-ES"/>
              </w:rPr>
            </w:pPr>
            <w:r w:rsidRPr="008A07FB">
              <w:rPr>
                <w:b/>
                <w:sz w:val="20"/>
                <w:lang w:val="es-ES"/>
              </w:rPr>
              <w:t>(toneladas PAO)</w:t>
            </w:r>
          </w:p>
        </w:tc>
        <w:tc>
          <w:tcPr>
            <w:tcW w:w="2358" w:type="dxa"/>
            <w:gridSpan w:val="2"/>
            <w:tcBorders>
              <w:top w:val="single" w:sz="4" w:space="0" w:color="auto"/>
              <w:left w:val="single" w:sz="4" w:space="0" w:color="auto"/>
              <w:bottom w:val="single" w:sz="4" w:space="0" w:color="auto"/>
              <w:right w:val="single" w:sz="4" w:space="0" w:color="auto"/>
            </w:tcBorders>
            <w:vAlign w:val="center"/>
            <w:hideMark/>
          </w:tcPr>
          <w:p w14:paraId="5589D790" w14:textId="77777777" w:rsidR="008A07FB" w:rsidRPr="008A07FB" w:rsidRDefault="008A07FB" w:rsidP="008A07FB">
            <w:pPr>
              <w:jc w:val="center"/>
              <w:rPr>
                <w:b/>
                <w:bCs/>
                <w:sz w:val="20"/>
                <w:szCs w:val="20"/>
                <w:lang w:val="es-ES"/>
              </w:rPr>
            </w:pPr>
            <w:r w:rsidRPr="008A07FB">
              <w:rPr>
                <w:b/>
                <w:sz w:val="20"/>
                <w:lang w:val="es-ES"/>
              </w:rPr>
              <w:t>Duración/demora media (meses)</w:t>
            </w:r>
            <w:r w:rsidRPr="008A07FB">
              <w:rPr>
                <w:rStyle w:val="FootnoteReference"/>
                <w:b/>
                <w:bCs/>
                <w:sz w:val="20"/>
                <w:szCs w:val="20"/>
                <w:lang w:val="es-ES" w:eastAsia="en-CA"/>
              </w:rPr>
              <w:footnoteReference w:id="6"/>
            </w:r>
          </w:p>
        </w:tc>
      </w:tr>
      <w:tr w:rsidR="008A07FB" w:rsidRPr="008A07FB" w14:paraId="18E2F8FC" w14:textId="77777777" w:rsidTr="008A07FB">
        <w:trPr>
          <w:tblHeader/>
        </w:trPr>
        <w:tc>
          <w:tcPr>
            <w:tcW w:w="1247" w:type="dxa"/>
            <w:vMerge/>
            <w:tcBorders>
              <w:top w:val="single" w:sz="4" w:space="0" w:color="auto"/>
              <w:left w:val="single" w:sz="4" w:space="0" w:color="auto"/>
              <w:bottom w:val="single" w:sz="4" w:space="0" w:color="auto"/>
              <w:right w:val="single" w:sz="4" w:space="0" w:color="auto"/>
            </w:tcBorders>
            <w:vAlign w:val="center"/>
            <w:hideMark/>
          </w:tcPr>
          <w:p w14:paraId="67D4FABC" w14:textId="77777777" w:rsidR="008A07FB" w:rsidRPr="008A07FB" w:rsidRDefault="008A07FB" w:rsidP="008A07FB">
            <w:pPr>
              <w:jc w:val="left"/>
              <w:rPr>
                <w:b/>
                <w:bCs/>
                <w:sz w:val="20"/>
                <w:szCs w:val="20"/>
                <w:lang w:val="es-ES"/>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14:paraId="70A3F98D" w14:textId="77777777" w:rsidR="008A07FB" w:rsidRPr="008A07FB" w:rsidRDefault="008A07FB" w:rsidP="008A07FB">
            <w:pPr>
              <w:jc w:val="left"/>
              <w:rPr>
                <w:b/>
                <w:bCs/>
                <w:sz w:val="20"/>
                <w:szCs w:val="20"/>
                <w:lang w:val="es-ES"/>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A98EB5" w14:textId="77777777" w:rsidR="008A07FB" w:rsidRPr="008A07FB" w:rsidRDefault="008A07FB" w:rsidP="008A07FB">
            <w:pPr>
              <w:jc w:val="center"/>
              <w:rPr>
                <w:b/>
                <w:bCs/>
                <w:sz w:val="20"/>
                <w:szCs w:val="20"/>
                <w:lang w:val="es-ES"/>
              </w:rPr>
            </w:pPr>
            <w:r w:rsidRPr="008A07FB">
              <w:rPr>
                <w:b/>
                <w:sz w:val="20"/>
                <w:lang w:val="es-ES"/>
              </w:rPr>
              <w:t>Aprobado</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CD49297" w14:textId="77777777" w:rsidR="008A07FB" w:rsidRPr="008A07FB" w:rsidRDefault="008A07FB" w:rsidP="008A07FB">
            <w:pPr>
              <w:jc w:val="center"/>
              <w:rPr>
                <w:b/>
                <w:bCs/>
                <w:sz w:val="20"/>
                <w:szCs w:val="20"/>
                <w:lang w:val="es-ES"/>
              </w:rPr>
            </w:pPr>
            <w:r w:rsidRPr="008A07FB">
              <w:rPr>
                <w:b/>
                <w:sz w:val="20"/>
                <w:lang w:val="es-ES"/>
              </w:rPr>
              <w:t>Desembolsado</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20886B8" w14:textId="77777777" w:rsidR="008A07FB" w:rsidRPr="008A07FB" w:rsidRDefault="008A07FB" w:rsidP="008A07FB">
            <w:pPr>
              <w:jc w:val="center"/>
              <w:rPr>
                <w:b/>
                <w:bCs/>
                <w:sz w:val="20"/>
                <w:szCs w:val="20"/>
                <w:lang w:val="es-ES"/>
              </w:rPr>
            </w:pPr>
            <w:r w:rsidRPr="008A07FB">
              <w:rPr>
                <w:b/>
                <w:sz w:val="20"/>
                <w:lang w:val="es-ES"/>
              </w:rPr>
              <w:t>Aprobado</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C250ED7" w14:textId="77777777" w:rsidR="008A07FB" w:rsidRPr="008A07FB" w:rsidRDefault="008A07FB" w:rsidP="008A07FB">
            <w:pPr>
              <w:jc w:val="center"/>
              <w:rPr>
                <w:b/>
                <w:bCs/>
                <w:sz w:val="20"/>
                <w:szCs w:val="20"/>
                <w:lang w:val="es-ES"/>
              </w:rPr>
            </w:pPr>
            <w:r w:rsidRPr="008A07FB">
              <w:rPr>
                <w:b/>
                <w:sz w:val="20"/>
                <w:lang w:val="es-ES"/>
              </w:rPr>
              <w:t>Real</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B751AD" w14:textId="77777777" w:rsidR="008A07FB" w:rsidRPr="008A07FB" w:rsidRDefault="008A07FB" w:rsidP="008A07FB">
            <w:pPr>
              <w:jc w:val="center"/>
              <w:rPr>
                <w:b/>
                <w:bCs/>
                <w:sz w:val="20"/>
                <w:szCs w:val="20"/>
                <w:lang w:val="es-ES"/>
              </w:rPr>
            </w:pPr>
            <w:r w:rsidRPr="008A07FB">
              <w:rPr>
                <w:b/>
                <w:sz w:val="20"/>
                <w:lang w:val="es-ES"/>
              </w:rPr>
              <w:t>Duración</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7C5588D" w14:textId="77777777" w:rsidR="008A07FB" w:rsidRPr="008A07FB" w:rsidRDefault="008A07FB" w:rsidP="008A07FB">
            <w:pPr>
              <w:jc w:val="center"/>
              <w:rPr>
                <w:b/>
                <w:bCs/>
                <w:sz w:val="20"/>
                <w:szCs w:val="20"/>
                <w:lang w:val="es-ES"/>
              </w:rPr>
            </w:pPr>
            <w:r w:rsidRPr="008A07FB">
              <w:rPr>
                <w:b/>
                <w:sz w:val="20"/>
                <w:lang w:val="es-ES"/>
              </w:rPr>
              <w:t>Demoras</w:t>
            </w:r>
          </w:p>
        </w:tc>
      </w:tr>
      <w:tr w:rsidR="008A07FB" w:rsidRPr="008A07FB" w14:paraId="73C4B40C" w14:textId="77777777" w:rsidTr="008A07FB">
        <w:tc>
          <w:tcPr>
            <w:tcW w:w="1247" w:type="dxa"/>
            <w:tcBorders>
              <w:top w:val="single" w:sz="4" w:space="0" w:color="auto"/>
              <w:left w:val="single" w:sz="4" w:space="0" w:color="auto"/>
              <w:bottom w:val="single" w:sz="4" w:space="0" w:color="auto"/>
              <w:right w:val="single" w:sz="4" w:space="0" w:color="auto"/>
            </w:tcBorders>
            <w:noWrap/>
            <w:vAlign w:val="center"/>
            <w:hideMark/>
          </w:tcPr>
          <w:p w14:paraId="56769444" w14:textId="77777777" w:rsidR="008A07FB" w:rsidRPr="008A07FB" w:rsidRDefault="008A07FB" w:rsidP="008A07FB">
            <w:pPr>
              <w:rPr>
                <w:sz w:val="20"/>
                <w:szCs w:val="20"/>
                <w:lang w:val="es-ES"/>
              </w:rPr>
            </w:pPr>
            <w:r w:rsidRPr="008A07FB">
              <w:rPr>
                <w:sz w:val="20"/>
                <w:lang w:val="es-ES"/>
              </w:rPr>
              <w:t>Alemania</w:t>
            </w:r>
          </w:p>
        </w:tc>
        <w:tc>
          <w:tcPr>
            <w:tcW w:w="10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288" w:type="dxa"/>
            </w:tcMar>
            <w:hideMark/>
          </w:tcPr>
          <w:p w14:paraId="1E22E1CD" w14:textId="77777777" w:rsidR="008A07FB" w:rsidRPr="008A07FB" w:rsidRDefault="008A07FB" w:rsidP="008A07FB">
            <w:pPr>
              <w:jc w:val="right"/>
              <w:rPr>
                <w:sz w:val="20"/>
                <w:szCs w:val="20"/>
                <w:lang w:val="es-ES"/>
              </w:rPr>
            </w:pPr>
            <w:r w:rsidRPr="008A07FB">
              <w:rPr>
                <w:sz w:val="20"/>
                <w:lang w:val="es-ES"/>
              </w:rPr>
              <w:t>1</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3B3D3AEF" w14:textId="21DC081F" w:rsidR="008A07FB" w:rsidRPr="008A07FB" w:rsidRDefault="008A07FB" w:rsidP="008A07FB">
            <w:pPr>
              <w:jc w:val="right"/>
              <w:rPr>
                <w:sz w:val="20"/>
                <w:szCs w:val="20"/>
                <w:lang w:val="es-ES"/>
              </w:rPr>
            </w:pPr>
            <w:r w:rsidRPr="008A07FB">
              <w:rPr>
                <w:sz w:val="20"/>
                <w:lang w:val="es-ES"/>
              </w:rPr>
              <w:t>30</w:t>
            </w:r>
            <w:r w:rsidR="00477A64">
              <w:rPr>
                <w:sz w:val="20"/>
                <w:lang w:val="es-ES"/>
              </w:rPr>
              <w:t> </w:t>
            </w:r>
            <w:r w:rsidRPr="008A07FB">
              <w:rPr>
                <w:sz w:val="20"/>
                <w:lang w:val="es-ES"/>
              </w:rPr>
              <w:t>000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370AA4E9" w14:textId="07B1107A" w:rsidR="008A07FB" w:rsidRPr="008A07FB" w:rsidRDefault="008A07FB" w:rsidP="008A07FB">
            <w:pPr>
              <w:jc w:val="right"/>
              <w:rPr>
                <w:sz w:val="20"/>
                <w:szCs w:val="20"/>
                <w:lang w:val="es-ES"/>
              </w:rPr>
            </w:pPr>
            <w:r w:rsidRPr="008A07FB">
              <w:rPr>
                <w:sz w:val="20"/>
                <w:lang w:val="es-ES"/>
              </w:rPr>
              <w:t>30</w:t>
            </w:r>
            <w:r w:rsidR="00477A64">
              <w:rPr>
                <w:sz w:val="20"/>
                <w:lang w:val="es-ES"/>
              </w:rPr>
              <w:t> </w:t>
            </w:r>
            <w:r w:rsidRPr="008A07FB">
              <w:rPr>
                <w:sz w:val="20"/>
                <w:lang w:val="es-ES"/>
              </w:rPr>
              <w:t>000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2E65606D" w14:textId="77777777" w:rsidR="008A07FB" w:rsidRPr="008A07FB" w:rsidRDefault="008A07FB" w:rsidP="008A07FB">
            <w:pPr>
              <w:jc w:val="right"/>
              <w:rPr>
                <w:sz w:val="20"/>
                <w:szCs w:val="20"/>
                <w:lang w:val="es-ES"/>
              </w:rPr>
            </w:pPr>
            <w:r w:rsidRPr="008A07FB">
              <w:rPr>
                <w:sz w:val="20"/>
                <w:lang w:val="es-ES"/>
              </w:rPr>
              <w:t>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02311104" w14:textId="77777777" w:rsidR="008A07FB" w:rsidRPr="008A07FB" w:rsidRDefault="008A07FB" w:rsidP="008A07FB">
            <w:pPr>
              <w:jc w:val="right"/>
              <w:rPr>
                <w:sz w:val="20"/>
                <w:szCs w:val="20"/>
                <w:lang w:val="es-ES"/>
              </w:rPr>
            </w:pPr>
            <w:r w:rsidRPr="008A07FB">
              <w:rPr>
                <w:sz w:val="20"/>
                <w:lang w:val="es-ES"/>
              </w:rPr>
              <w:t>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2F666AA5" w14:textId="77777777" w:rsidR="008A07FB" w:rsidRPr="008A07FB" w:rsidRDefault="008A07FB" w:rsidP="008A07FB">
            <w:pPr>
              <w:jc w:val="right"/>
              <w:rPr>
                <w:sz w:val="20"/>
                <w:szCs w:val="20"/>
                <w:lang w:val="es-ES"/>
              </w:rPr>
            </w:pPr>
            <w:r w:rsidRPr="008A07FB">
              <w:rPr>
                <w:sz w:val="20"/>
                <w:lang w:val="es-ES"/>
              </w:rPr>
              <w:t>31</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07160B85" w14:textId="77777777" w:rsidR="008A07FB" w:rsidRPr="008A07FB" w:rsidRDefault="008A07FB" w:rsidP="008A07FB">
            <w:pPr>
              <w:jc w:val="right"/>
              <w:rPr>
                <w:sz w:val="20"/>
                <w:szCs w:val="20"/>
                <w:lang w:val="es-ES"/>
              </w:rPr>
            </w:pPr>
            <w:r w:rsidRPr="008A07FB">
              <w:rPr>
                <w:sz w:val="20"/>
                <w:lang w:val="es-ES"/>
              </w:rPr>
              <w:t>13</w:t>
            </w:r>
          </w:p>
        </w:tc>
      </w:tr>
      <w:tr w:rsidR="008A07FB" w:rsidRPr="008A07FB" w14:paraId="6190BCCA" w14:textId="77777777" w:rsidTr="008A07FB">
        <w:tc>
          <w:tcPr>
            <w:tcW w:w="1247" w:type="dxa"/>
            <w:tcBorders>
              <w:top w:val="single" w:sz="4" w:space="0" w:color="auto"/>
              <w:left w:val="single" w:sz="4" w:space="0" w:color="auto"/>
              <w:bottom w:val="single" w:sz="4" w:space="0" w:color="auto"/>
              <w:right w:val="single" w:sz="4" w:space="0" w:color="auto"/>
            </w:tcBorders>
            <w:noWrap/>
            <w:vAlign w:val="center"/>
            <w:hideMark/>
          </w:tcPr>
          <w:p w14:paraId="5C3C1C2E" w14:textId="77777777" w:rsidR="008A07FB" w:rsidRPr="008A07FB" w:rsidRDefault="008A07FB" w:rsidP="008A07FB">
            <w:pPr>
              <w:jc w:val="left"/>
              <w:rPr>
                <w:sz w:val="20"/>
                <w:szCs w:val="20"/>
                <w:lang w:val="es-ES"/>
              </w:rPr>
            </w:pPr>
            <w:r w:rsidRPr="008A07FB">
              <w:rPr>
                <w:sz w:val="20"/>
                <w:lang w:val="es-ES"/>
              </w:rPr>
              <w:t>Federación de Rusia</w:t>
            </w:r>
          </w:p>
        </w:tc>
        <w:tc>
          <w:tcPr>
            <w:tcW w:w="10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288" w:type="dxa"/>
            </w:tcMar>
            <w:hideMark/>
          </w:tcPr>
          <w:p w14:paraId="0911F93D" w14:textId="77777777" w:rsidR="008A07FB" w:rsidRPr="008A07FB" w:rsidRDefault="008A07FB" w:rsidP="008A07FB">
            <w:pPr>
              <w:jc w:val="right"/>
              <w:rPr>
                <w:sz w:val="20"/>
                <w:szCs w:val="20"/>
                <w:lang w:val="es-ES"/>
              </w:rPr>
            </w:pPr>
            <w:r w:rsidRPr="008A07FB">
              <w:rPr>
                <w:sz w:val="20"/>
                <w:lang w:val="es-ES"/>
              </w:rPr>
              <w:t>1</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11935B8D" w14:textId="4102C89A" w:rsidR="008A07FB" w:rsidRPr="008A07FB" w:rsidRDefault="008A07FB" w:rsidP="008A07FB">
            <w:pPr>
              <w:jc w:val="right"/>
              <w:rPr>
                <w:sz w:val="20"/>
                <w:szCs w:val="20"/>
                <w:lang w:val="es-ES"/>
              </w:rPr>
            </w:pPr>
            <w:r w:rsidRPr="008A07FB">
              <w:rPr>
                <w:sz w:val="20"/>
                <w:lang w:val="es-ES"/>
              </w:rPr>
              <w:t>591</w:t>
            </w:r>
            <w:r w:rsidR="00477A64">
              <w:rPr>
                <w:sz w:val="20"/>
                <w:lang w:val="es-ES"/>
              </w:rPr>
              <w:t> </w:t>
            </w:r>
            <w:r w:rsidRPr="008A07FB">
              <w:rPr>
                <w:sz w:val="20"/>
                <w:lang w:val="es-ES"/>
              </w:rPr>
              <w:t>600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5D2BE126" w14:textId="1C377D76" w:rsidR="008A07FB" w:rsidRPr="008A07FB" w:rsidRDefault="008A07FB" w:rsidP="008A07FB">
            <w:pPr>
              <w:jc w:val="right"/>
              <w:rPr>
                <w:sz w:val="20"/>
                <w:szCs w:val="20"/>
                <w:lang w:val="es-ES"/>
              </w:rPr>
            </w:pPr>
            <w:r w:rsidRPr="008A07FB">
              <w:rPr>
                <w:sz w:val="20"/>
                <w:lang w:val="es-ES"/>
              </w:rPr>
              <w:t>591</w:t>
            </w:r>
            <w:r w:rsidR="00477A64">
              <w:rPr>
                <w:sz w:val="20"/>
                <w:lang w:val="es-ES"/>
              </w:rPr>
              <w:t> </w:t>
            </w:r>
            <w:r w:rsidRPr="008A07FB">
              <w:rPr>
                <w:sz w:val="20"/>
                <w:lang w:val="es-ES"/>
              </w:rPr>
              <w:t>235</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77696018" w14:textId="77777777" w:rsidR="008A07FB" w:rsidRPr="008A07FB" w:rsidRDefault="008A07FB" w:rsidP="008A07FB">
            <w:pPr>
              <w:jc w:val="right"/>
              <w:rPr>
                <w:sz w:val="20"/>
                <w:szCs w:val="20"/>
                <w:lang w:val="es-ES"/>
              </w:rPr>
            </w:pPr>
            <w:r w:rsidRPr="008A07FB">
              <w:rPr>
                <w:sz w:val="20"/>
                <w:lang w:val="es-ES"/>
              </w:rPr>
              <w:t>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20986B23" w14:textId="77777777" w:rsidR="008A07FB" w:rsidRPr="008A07FB" w:rsidRDefault="008A07FB" w:rsidP="008A07FB">
            <w:pPr>
              <w:jc w:val="right"/>
              <w:rPr>
                <w:sz w:val="20"/>
                <w:szCs w:val="20"/>
                <w:lang w:val="es-ES"/>
              </w:rPr>
            </w:pPr>
            <w:r w:rsidRPr="008A07FB">
              <w:rPr>
                <w:sz w:val="20"/>
                <w:lang w:val="es-ES"/>
              </w:rPr>
              <w:t>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1252DF48" w14:textId="77777777" w:rsidR="008A07FB" w:rsidRPr="008A07FB" w:rsidRDefault="008A07FB" w:rsidP="008A07FB">
            <w:pPr>
              <w:jc w:val="right"/>
              <w:rPr>
                <w:sz w:val="20"/>
                <w:szCs w:val="20"/>
                <w:lang w:val="es-ES"/>
              </w:rPr>
            </w:pPr>
            <w:r w:rsidRPr="008A07FB">
              <w:rPr>
                <w:sz w:val="20"/>
                <w:lang w:val="es-ES"/>
              </w:rPr>
              <w:t>43</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104C7E2A" w14:textId="77777777" w:rsidR="008A07FB" w:rsidRPr="008A07FB" w:rsidRDefault="008A07FB" w:rsidP="008A07FB">
            <w:pPr>
              <w:jc w:val="right"/>
              <w:rPr>
                <w:sz w:val="20"/>
                <w:szCs w:val="20"/>
                <w:lang w:val="es-ES"/>
              </w:rPr>
            </w:pPr>
            <w:r w:rsidRPr="008A07FB">
              <w:rPr>
                <w:sz w:val="20"/>
                <w:lang w:val="es-ES"/>
              </w:rPr>
              <w:t>7</w:t>
            </w:r>
          </w:p>
        </w:tc>
      </w:tr>
      <w:tr w:rsidR="008A07FB" w:rsidRPr="008A07FB" w14:paraId="51503173" w14:textId="77777777" w:rsidTr="008A07FB">
        <w:tc>
          <w:tcPr>
            <w:tcW w:w="1247" w:type="dxa"/>
            <w:tcBorders>
              <w:top w:val="single" w:sz="4" w:space="0" w:color="auto"/>
              <w:left w:val="single" w:sz="4" w:space="0" w:color="auto"/>
              <w:bottom w:val="single" w:sz="4" w:space="0" w:color="auto"/>
              <w:right w:val="single" w:sz="4" w:space="0" w:color="auto"/>
            </w:tcBorders>
            <w:noWrap/>
            <w:vAlign w:val="center"/>
            <w:hideMark/>
          </w:tcPr>
          <w:p w14:paraId="08A77FAE" w14:textId="77777777" w:rsidR="008A07FB" w:rsidRPr="008A07FB" w:rsidRDefault="008A07FB" w:rsidP="008A07FB">
            <w:pPr>
              <w:jc w:val="left"/>
              <w:rPr>
                <w:sz w:val="20"/>
                <w:szCs w:val="20"/>
                <w:lang w:val="es-ES"/>
              </w:rPr>
            </w:pPr>
            <w:r w:rsidRPr="008A07FB">
              <w:rPr>
                <w:sz w:val="20"/>
                <w:lang w:val="es-ES"/>
              </w:rPr>
              <w:t>PNUMA</w:t>
            </w:r>
          </w:p>
        </w:tc>
        <w:tc>
          <w:tcPr>
            <w:tcW w:w="10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288" w:type="dxa"/>
            </w:tcMar>
            <w:hideMark/>
          </w:tcPr>
          <w:p w14:paraId="1CD9F813" w14:textId="77777777" w:rsidR="008A07FB" w:rsidRPr="008A07FB" w:rsidRDefault="008A07FB" w:rsidP="008A07FB">
            <w:pPr>
              <w:jc w:val="right"/>
              <w:rPr>
                <w:sz w:val="20"/>
                <w:szCs w:val="20"/>
                <w:lang w:val="es-ES"/>
              </w:rPr>
            </w:pPr>
            <w:r w:rsidRPr="008A07FB">
              <w:rPr>
                <w:sz w:val="20"/>
                <w:lang w:val="es-ES"/>
              </w:rPr>
              <w:t>11</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710EBDC7" w14:textId="5DEDAE13" w:rsidR="008A07FB" w:rsidRPr="008A07FB" w:rsidRDefault="008A07FB" w:rsidP="008A07FB">
            <w:pPr>
              <w:jc w:val="right"/>
              <w:rPr>
                <w:sz w:val="20"/>
                <w:szCs w:val="20"/>
                <w:lang w:val="es-ES"/>
              </w:rPr>
            </w:pPr>
            <w:r w:rsidRPr="008A07FB">
              <w:rPr>
                <w:sz w:val="20"/>
                <w:lang w:val="es-ES"/>
              </w:rPr>
              <w:t>330</w:t>
            </w:r>
            <w:r w:rsidR="00477A64">
              <w:rPr>
                <w:sz w:val="20"/>
                <w:lang w:val="es-ES"/>
              </w:rPr>
              <w:t> </w:t>
            </w:r>
            <w:r w:rsidRPr="008A07FB">
              <w:rPr>
                <w:sz w:val="20"/>
                <w:lang w:val="es-ES"/>
              </w:rPr>
              <w:t>000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5D936311" w14:textId="4F48739A" w:rsidR="008A07FB" w:rsidRPr="008A07FB" w:rsidRDefault="008A07FB" w:rsidP="008A07FB">
            <w:pPr>
              <w:jc w:val="right"/>
              <w:rPr>
                <w:sz w:val="20"/>
                <w:szCs w:val="20"/>
                <w:lang w:val="es-ES"/>
              </w:rPr>
            </w:pPr>
            <w:r w:rsidRPr="008A07FB">
              <w:rPr>
                <w:sz w:val="20"/>
                <w:lang w:val="es-ES"/>
              </w:rPr>
              <w:t>275</w:t>
            </w:r>
            <w:r w:rsidR="00477A64">
              <w:rPr>
                <w:sz w:val="20"/>
                <w:lang w:val="es-ES"/>
              </w:rPr>
              <w:t> </w:t>
            </w:r>
            <w:r w:rsidRPr="008A07FB">
              <w:rPr>
                <w:sz w:val="20"/>
                <w:lang w:val="es-ES"/>
              </w:rPr>
              <w:t>770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7A4C730A" w14:textId="77777777" w:rsidR="008A07FB" w:rsidRPr="008A07FB" w:rsidRDefault="008A07FB" w:rsidP="008A07FB">
            <w:pPr>
              <w:jc w:val="right"/>
              <w:rPr>
                <w:sz w:val="20"/>
                <w:szCs w:val="20"/>
                <w:lang w:val="es-ES"/>
              </w:rPr>
            </w:pPr>
            <w:r w:rsidRPr="008A07FB">
              <w:rPr>
                <w:sz w:val="20"/>
                <w:lang w:val="es-ES"/>
              </w:rPr>
              <w:t>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61E64E1A" w14:textId="77777777" w:rsidR="008A07FB" w:rsidRPr="008A07FB" w:rsidRDefault="008A07FB" w:rsidP="008A07FB">
            <w:pPr>
              <w:jc w:val="right"/>
              <w:rPr>
                <w:sz w:val="20"/>
                <w:szCs w:val="20"/>
                <w:lang w:val="es-ES"/>
              </w:rPr>
            </w:pPr>
            <w:r w:rsidRPr="008A07FB">
              <w:rPr>
                <w:sz w:val="20"/>
                <w:lang w:val="es-ES"/>
              </w:rPr>
              <w:t>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5B4F24DE" w14:textId="77777777" w:rsidR="008A07FB" w:rsidRPr="008A07FB" w:rsidRDefault="008A07FB" w:rsidP="008A07FB">
            <w:pPr>
              <w:jc w:val="right"/>
              <w:rPr>
                <w:sz w:val="20"/>
                <w:szCs w:val="20"/>
                <w:lang w:val="es-ES"/>
              </w:rPr>
            </w:pPr>
            <w:r w:rsidRPr="008A07FB">
              <w:rPr>
                <w:sz w:val="20"/>
                <w:lang w:val="es-ES"/>
              </w:rPr>
              <w:t>26,18</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0646484C" w14:textId="77777777" w:rsidR="008A07FB" w:rsidRPr="008A07FB" w:rsidRDefault="008A07FB" w:rsidP="008A07FB">
            <w:pPr>
              <w:jc w:val="right"/>
              <w:rPr>
                <w:sz w:val="20"/>
                <w:szCs w:val="20"/>
                <w:lang w:val="es-ES"/>
              </w:rPr>
            </w:pPr>
            <w:r w:rsidRPr="008A07FB">
              <w:rPr>
                <w:sz w:val="20"/>
                <w:lang w:val="es-ES"/>
              </w:rPr>
              <w:t>0</w:t>
            </w:r>
          </w:p>
        </w:tc>
      </w:tr>
      <w:tr w:rsidR="008A07FB" w:rsidRPr="008A07FB" w14:paraId="75F0D3F7" w14:textId="77777777" w:rsidTr="008A07FB">
        <w:tc>
          <w:tcPr>
            <w:tcW w:w="1247" w:type="dxa"/>
            <w:tcBorders>
              <w:top w:val="single" w:sz="4" w:space="0" w:color="auto"/>
              <w:left w:val="single" w:sz="4" w:space="0" w:color="auto"/>
              <w:bottom w:val="single" w:sz="4" w:space="0" w:color="auto"/>
              <w:right w:val="single" w:sz="4" w:space="0" w:color="auto"/>
            </w:tcBorders>
            <w:noWrap/>
            <w:vAlign w:val="center"/>
            <w:hideMark/>
          </w:tcPr>
          <w:p w14:paraId="0C85D834" w14:textId="77777777" w:rsidR="008A07FB" w:rsidRPr="008A07FB" w:rsidRDefault="008A07FB" w:rsidP="008A07FB">
            <w:pPr>
              <w:jc w:val="left"/>
              <w:rPr>
                <w:b/>
                <w:bCs/>
                <w:sz w:val="20"/>
                <w:szCs w:val="20"/>
                <w:lang w:val="es-ES"/>
              </w:rPr>
            </w:pPr>
            <w:r w:rsidRPr="008A07FB">
              <w:rPr>
                <w:b/>
                <w:sz w:val="20"/>
                <w:lang w:val="es-ES"/>
              </w:rPr>
              <w:t>Total</w:t>
            </w:r>
          </w:p>
        </w:tc>
        <w:tc>
          <w:tcPr>
            <w:tcW w:w="10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288" w:type="dxa"/>
            </w:tcMar>
            <w:hideMark/>
          </w:tcPr>
          <w:p w14:paraId="05C40B0D" w14:textId="77777777" w:rsidR="008A07FB" w:rsidRPr="008A07FB" w:rsidRDefault="008A07FB" w:rsidP="008A07FB">
            <w:pPr>
              <w:jc w:val="right"/>
              <w:rPr>
                <w:b/>
                <w:bCs/>
                <w:sz w:val="20"/>
                <w:szCs w:val="20"/>
                <w:lang w:val="es-ES"/>
              </w:rPr>
            </w:pPr>
            <w:r w:rsidRPr="008A07FB">
              <w:rPr>
                <w:b/>
                <w:sz w:val="20"/>
                <w:lang w:val="es-ES"/>
              </w:rPr>
              <w:t>13</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4CE8A220" w14:textId="54B11CE5" w:rsidR="008A07FB" w:rsidRPr="008A07FB" w:rsidRDefault="008A07FB" w:rsidP="008A07FB">
            <w:pPr>
              <w:jc w:val="right"/>
              <w:rPr>
                <w:b/>
                <w:sz w:val="20"/>
                <w:szCs w:val="20"/>
                <w:lang w:val="es-ES"/>
              </w:rPr>
            </w:pPr>
            <w:r w:rsidRPr="008A07FB">
              <w:rPr>
                <w:b/>
                <w:sz w:val="20"/>
                <w:lang w:val="es-ES"/>
              </w:rPr>
              <w:t>951</w:t>
            </w:r>
            <w:r w:rsidR="00477A64">
              <w:rPr>
                <w:b/>
                <w:sz w:val="20"/>
                <w:lang w:val="es-ES"/>
              </w:rPr>
              <w:t> </w:t>
            </w:r>
            <w:r w:rsidRPr="008A07FB">
              <w:rPr>
                <w:b/>
                <w:sz w:val="20"/>
                <w:lang w:val="es-ES"/>
              </w:rPr>
              <w:t>600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13A08C81" w14:textId="20871CFE" w:rsidR="008A07FB" w:rsidRPr="008A07FB" w:rsidRDefault="008A07FB" w:rsidP="008A07FB">
            <w:pPr>
              <w:jc w:val="right"/>
              <w:rPr>
                <w:b/>
                <w:sz w:val="20"/>
                <w:szCs w:val="20"/>
                <w:lang w:val="es-ES"/>
              </w:rPr>
            </w:pPr>
            <w:r w:rsidRPr="008A07FB">
              <w:rPr>
                <w:b/>
                <w:sz w:val="20"/>
                <w:lang w:val="es-ES"/>
              </w:rPr>
              <w:t>897</w:t>
            </w:r>
            <w:r w:rsidR="00477A64">
              <w:rPr>
                <w:b/>
                <w:sz w:val="20"/>
                <w:lang w:val="es-ES"/>
              </w:rPr>
              <w:t> </w:t>
            </w:r>
            <w:r w:rsidRPr="008A07FB">
              <w:rPr>
                <w:b/>
                <w:sz w:val="20"/>
                <w:lang w:val="es-ES"/>
              </w:rPr>
              <w:t>005</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113AF367" w14:textId="77777777" w:rsidR="008A07FB" w:rsidRPr="008A07FB" w:rsidRDefault="008A07FB" w:rsidP="008A07FB">
            <w:pPr>
              <w:jc w:val="right"/>
              <w:rPr>
                <w:b/>
                <w:sz w:val="20"/>
                <w:szCs w:val="20"/>
                <w:lang w:val="es-ES"/>
              </w:rPr>
            </w:pPr>
            <w:r w:rsidRPr="008A07FB">
              <w:rPr>
                <w:b/>
                <w:sz w:val="20"/>
                <w:lang w:val="es-ES"/>
              </w:rPr>
              <w:t>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1D987549" w14:textId="77777777" w:rsidR="008A07FB" w:rsidRPr="008A07FB" w:rsidRDefault="008A07FB" w:rsidP="008A07FB">
            <w:pPr>
              <w:jc w:val="right"/>
              <w:rPr>
                <w:b/>
                <w:sz w:val="20"/>
                <w:szCs w:val="20"/>
                <w:lang w:val="es-ES"/>
              </w:rPr>
            </w:pPr>
            <w:r w:rsidRPr="008A07FB">
              <w:rPr>
                <w:b/>
                <w:sz w:val="20"/>
                <w:lang w:val="es-ES"/>
              </w:rPr>
              <w:t>0</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7CD83434" w14:textId="77777777" w:rsidR="008A07FB" w:rsidRPr="008A07FB" w:rsidRDefault="008A07FB" w:rsidP="008A07FB">
            <w:pPr>
              <w:jc w:val="right"/>
              <w:rPr>
                <w:b/>
                <w:sz w:val="20"/>
                <w:szCs w:val="20"/>
                <w:lang w:val="es-ES"/>
              </w:rPr>
            </w:pPr>
            <w:r w:rsidRPr="008A07FB">
              <w:rPr>
                <w:b/>
                <w:sz w:val="20"/>
                <w:lang w:val="es-ES"/>
              </w:rPr>
              <w:t>27,84</w:t>
            </w:r>
          </w:p>
        </w:tc>
        <w:tc>
          <w:tcPr>
            <w:tcW w:w="11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288" w:type="dxa"/>
            </w:tcMar>
            <w:hideMark/>
          </w:tcPr>
          <w:p w14:paraId="0D57A20F" w14:textId="77777777" w:rsidR="008A07FB" w:rsidRPr="008A07FB" w:rsidRDefault="008A07FB" w:rsidP="008A07FB">
            <w:pPr>
              <w:jc w:val="right"/>
              <w:rPr>
                <w:b/>
                <w:sz w:val="20"/>
                <w:szCs w:val="20"/>
                <w:lang w:val="es-ES"/>
              </w:rPr>
            </w:pPr>
            <w:r w:rsidRPr="008A07FB">
              <w:rPr>
                <w:b/>
                <w:sz w:val="20"/>
                <w:lang w:val="es-ES"/>
              </w:rPr>
              <w:t>0</w:t>
            </w:r>
          </w:p>
        </w:tc>
      </w:tr>
    </w:tbl>
    <w:p w14:paraId="3300A59D" w14:textId="77777777" w:rsidR="008A07FB" w:rsidRPr="008A07FB" w:rsidRDefault="008A07FB" w:rsidP="008A07FB">
      <w:pPr>
        <w:keepNext/>
        <w:keepLines/>
        <w:spacing w:before="240" w:after="240"/>
        <w:rPr>
          <w:b/>
          <w:lang w:val="es-ES"/>
        </w:rPr>
      </w:pPr>
      <w:r w:rsidRPr="008A07FB">
        <w:rPr>
          <w:b/>
          <w:lang w:val="es-ES"/>
        </w:rPr>
        <w:t xml:space="preserve">Motivos de las demoras </w:t>
      </w:r>
    </w:p>
    <w:p w14:paraId="3ADE4DAE" w14:textId="77777777" w:rsidR="008A07FB" w:rsidRPr="008A07FB" w:rsidRDefault="008A07FB" w:rsidP="008A07FB">
      <w:pPr>
        <w:pStyle w:val="Heading1"/>
        <w:tabs>
          <w:tab w:val="clear" w:pos="0"/>
          <w:tab w:val="num" w:pos="720"/>
        </w:tabs>
        <w:spacing w:before="240"/>
        <w:rPr>
          <w:lang w:val="es-ES"/>
        </w:rPr>
      </w:pPr>
      <w:r w:rsidRPr="008A07FB">
        <w:rPr>
          <w:lang w:val="es-ES"/>
        </w:rPr>
        <w:t xml:space="preserve">Los informes de verificación sufrieron demoras debido a una serie de razones que van desde las restricciones de viaje, el breve plazo disponible para realizar la verificación, la información incompleta y la clasificación errónea de los códigos del Sistema Armonizado (SA). Todas estas cuestiones se resolvieron gracias a la cooperación entre los consultores, los organismos de ejecución y los diferentes interesados directos a nivel nacional. </w:t>
      </w:r>
    </w:p>
    <w:p w14:paraId="7D56D749" w14:textId="4FF6496E" w:rsidR="008A07FB" w:rsidRPr="008A07FB" w:rsidRDefault="008A07FB" w:rsidP="008A07FB">
      <w:pPr>
        <w:pStyle w:val="Heading1"/>
        <w:tabs>
          <w:tab w:val="clear" w:pos="0"/>
          <w:tab w:val="num" w:pos="720"/>
        </w:tabs>
        <w:spacing w:before="240"/>
        <w:rPr>
          <w:lang w:val="es-ES"/>
        </w:rPr>
      </w:pPr>
      <w:r w:rsidRPr="008A07FB">
        <w:rPr>
          <w:color w:val="000000"/>
          <w:shd w:val="clear" w:color="auto" w:fill="FFFFFF"/>
          <w:lang w:val="es-ES"/>
        </w:rPr>
        <w:t xml:space="preserve">Debido a </w:t>
      </w:r>
      <w:r w:rsidRPr="008A07FB">
        <w:rPr>
          <w:lang w:val="es-ES"/>
        </w:rPr>
        <w:t>las</w:t>
      </w:r>
      <w:r w:rsidRPr="008A07FB">
        <w:rPr>
          <w:color w:val="000000"/>
          <w:shd w:val="clear" w:color="auto" w:fill="FFFFFF"/>
          <w:lang w:val="es-ES"/>
        </w:rPr>
        <w:t xml:space="preserve"> restricciones de viaje ocasionadas por la pandemia de COVID-19, uno de los auditores no pudo visitar el país para mantener reuniones presenciales con los interesados directos y verificar los documentos originales. La Dependencia Nacional del Ozono (DNO) facilitó reuniones virtuales </w:t>
      </w:r>
      <w:r w:rsidRPr="008A07FB">
        <w:rPr>
          <w:color w:val="000000"/>
          <w:shd w:val="clear" w:color="auto" w:fill="FFFFFF"/>
          <w:lang w:val="es-ES"/>
        </w:rPr>
        <w:lastRenderedPageBreak/>
        <w:t>entre</w:t>
      </w:r>
      <w:r w:rsidR="00CB24B8">
        <w:rPr>
          <w:color w:val="000000"/>
          <w:shd w:val="clear" w:color="auto" w:fill="FFFFFF"/>
          <w:lang w:val="es-ES"/>
        </w:rPr>
        <w:t> </w:t>
      </w:r>
      <w:r w:rsidRPr="008A07FB">
        <w:rPr>
          <w:color w:val="000000"/>
          <w:shd w:val="clear" w:color="auto" w:fill="FFFFFF"/>
          <w:lang w:val="es-ES"/>
        </w:rPr>
        <w:t>el</w:t>
      </w:r>
      <w:r w:rsidR="00CB24B8">
        <w:rPr>
          <w:color w:val="000000"/>
          <w:shd w:val="clear" w:color="auto" w:fill="FFFFFF"/>
          <w:lang w:val="es-ES"/>
        </w:rPr>
        <w:t> </w:t>
      </w:r>
      <w:r w:rsidRPr="008A07FB">
        <w:rPr>
          <w:color w:val="000000"/>
          <w:shd w:val="clear" w:color="auto" w:fill="FFFFFF"/>
          <w:lang w:val="es-ES"/>
        </w:rPr>
        <w:t xml:space="preserve">auditor y los interesados directos, se ocupó de la coordinación entre ellos y envió toda la información y los documentos necesarios al auditor a través del correo electrónico. </w:t>
      </w:r>
    </w:p>
    <w:p w14:paraId="078E0BE0" w14:textId="77777777" w:rsidR="008A07FB" w:rsidRPr="008A07FB" w:rsidRDefault="008A07FB" w:rsidP="008A07FB">
      <w:pPr>
        <w:pStyle w:val="Heading1"/>
        <w:tabs>
          <w:tab w:val="clear" w:pos="0"/>
          <w:tab w:val="num" w:pos="720"/>
        </w:tabs>
        <w:spacing w:before="240"/>
        <w:rPr>
          <w:lang w:val="es-ES"/>
        </w:rPr>
      </w:pPr>
      <w:r w:rsidRPr="008A07FB">
        <w:rPr>
          <w:lang w:val="es-ES"/>
        </w:rPr>
        <w:t>Un país mencionó que el plazo asignado entre la recepción de la información de 2019 de los interesados directos (por ejemplo, las aduanas) y la fecha prevista de presentación del informe de verificación en 2020, para que la Secretaría lo considere a fin de examinar la siguiente solicitud de tramo, era demasiado breve considerando la cantidad de información que había que revisar, por lo que se produjeron demoras. El calendario resultó problemático para que el auditor encargado de realizar cuatro verificaciones simultáneas en los países insulares del Pacífico pudiera mantener la coherencia en la validación y el análisis de los datos de consumo. Algunas de las verificaciones en los países insulares del Pacífico se realizaban por primera vez, lo que provocó demoras debido a la falta de experiencia de los interesados directos y a la necesidad de comprender plenamente el alcance y los detalles de la cooperación requerida. En algunos países, el Servicio de Aduanas y Protección de Fronteras no pudo facilitar la declaración de aduanas debido a las leyes de confidencialidad; en los informes iniciales hubo documentación faltante o información incompleta/insuficiente; las demoras en la recuperación de datos del Sistema Aduanero Automatizado para el Acceso, el Control y la Gestión (SIDUNEA) se debieron a una clasificación errónea de los códigos del SA; y la declaración de aduanas de los envíos no fue documentada por la DNO.</w:t>
      </w:r>
    </w:p>
    <w:p w14:paraId="6F6A49B1" w14:textId="77777777" w:rsidR="008A07FB" w:rsidRPr="008A07FB" w:rsidRDefault="008A07FB" w:rsidP="008A07FB">
      <w:pPr>
        <w:pStyle w:val="Heading1"/>
        <w:tabs>
          <w:tab w:val="clear" w:pos="0"/>
          <w:tab w:val="num" w:pos="720"/>
        </w:tabs>
        <w:spacing w:before="240"/>
        <w:rPr>
          <w:lang w:val="es-ES"/>
        </w:rPr>
      </w:pPr>
      <w:r w:rsidRPr="008A07FB">
        <w:rPr>
          <w:color w:val="000000"/>
          <w:shd w:val="clear" w:color="auto" w:fill="FFFFFF"/>
          <w:lang w:val="es-ES"/>
        </w:rPr>
        <w:t>Un proyecto de asistencia técnica para crear centros de excelencia experimentó demoras en su ejecución debido a las dificultades para identificar y sustituir a los beneficiarios del centro de excelencia regional y a los prolongados procesos de licitación correspondientes. Otras demoras se debieron a reformas políticas internas que impidieron la puesta en marcha de algunas actividades y la transferencia puntual de fondos.</w:t>
      </w:r>
    </w:p>
    <w:p w14:paraId="5B9A09C7" w14:textId="77777777" w:rsidR="008A07FB" w:rsidRPr="008A07FB" w:rsidRDefault="008A07FB" w:rsidP="008A07FB">
      <w:pPr>
        <w:pStyle w:val="Heading1"/>
        <w:keepNext/>
        <w:keepLines/>
        <w:numPr>
          <w:ilvl w:val="0"/>
          <w:numId w:val="0"/>
        </w:numPr>
        <w:tabs>
          <w:tab w:val="left" w:pos="720"/>
        </w:tabs>
        <w:rPr>
          <w:b/>
          <w:lang w:val="es-ES"/>
        </w:rPr>
      </w:pPr>
      <w:r w:rsidRPr="008A07FB">
        <w:rPr>
          <w:b/>
          <w:lang w:val="es-ES"/>
        </w:rPr>
        <w:t>Lecciones aprendidas</w:t>
      </w:r>
      <w:r w:rsidRPr="008A07FB">
        <w:rPr>
          <w:vertAlign w:val="superscript"/>
          <w:lang w:val="es-ES"/>
        </w:rPr>
        <w:footnoteReference w:id="7"/>
      </w:r>
    </w:p>
    <w:p w14:paraId="3F760883" w14:textId="77777777" w:rsidR="008A07FB" w:rsidRPr="008A07FB" w:rsidRDefault="008A07FB" w:rsidP="008A07FB">
      <w:pPr>
        <w:pStyle w:val="Heading1"/>
        <w:tabs>
          <w:tab w:val="clear" w:pos="0"/>
          <w:tab w:val="num" w:pos="720"/>
        </w:tabs>
        <w:spacing w:before="240"/>
        <w:rPr>
          <w:lang w:val="es-ES"/>
        </w:rPr>
      </w:pPr>
      <w:r w:rsidRPr="008A07FB">
        <w:rPr>
          <w:lang w:val="es-ES"/>
        </w:rPr>
        <w:t xml:space="preserve">Las lecciones recurrentes se derivaron, entre otras cosas, de las necesidades de comunicación, clasificación de datos y capacitación; nuevo proyecto con interesados directos que carecen de experiencia; restricciones de viaje; aplicación de los reglamentos; y la necesidad de una realizar una evaluación exhaustiva de la situación y las necesidades generales del país. </w:t>
      </w:r>
    </w:p>
    <w:p w14:paraId="2E314EAD" w14:textId="77777777" w:rsidR="008A07FB" w:rsidRPr="008A07FB" w:rsidRDefault="008A07FB" w:rsidP="008A07FB">
      <w:pPr>
        <w:pStyle w:val="Heading1"/>
        <w:numPr>
          <w:ilvl w:val="0"/>
          <w:numId w:val="0"/>
        </w:numPr>
        <w:tabs>
          <w:tab w:val="left" w:pos="708"/>
        </w:tabs>
        <w:spacing w:before="240"/>
        <w:rPr>
          <w:u w:val="single"/>
          <w:lang w:val="es-ES"/>
        </w:rPr>
      </w:pPr>
      <w:r w:rsidRPr="008A07FB">
        <w:rPr>
          <w:u w:val="single"/>
          <w:lang w:val="es-ES"/>
        </w:rPr>
        <w:t>Informes de verificación</w:t>
      </w:r>
    </w:p>
    <w:p w14:paraId="34A40875" w14:textId="77777777" w:rsidR="008A07FB" w:rsidRPr="008A07FB" w:rsidRDefault="008A07FB" w:rsidP="008A07FB">
      <w:pPr>
        <w:pStyle w:val="Heading1"/>
        <w:tabs>
          <w:tab w:val="clear" w:pos="0"/>
          <w:tab w:val="num" w:pos="720"/>
        </w:tabs>
        <w:spacing w:before="240"/>
        <w:rPr>
          <w:lang w:val="es-ES"/>
        </w:rPr>
      </w:pPr>
      <w:r w:rsidRPr="008A07FB">
        <w:rPr>
          <w:lang w:val="es-ES"/>
        </w:rPr>
        <w:t xml:space="preserve">Los informes de verificación contenían una serie de recomendaciones para los proyectos en curso y futuros, y muchos informes se planteó la cuestión de las restricciones a los viajes. Esto ralentizó el proceso y obstaculizó la recopilación de datos. Las discrepancias en la notificación de datos se resolvieron mediante la mejora de la cooperación y la comunicación con los interesados directos pertinentes y la coordinación por parte de la DNO, lo que permitió al verificador completar la tarea. </w:t>
      </w:r>
    </w:p>
    <w:p w14:paraId="13E54088" w14:textId="6350F529" w:rsidR="008A07FB" w:rsidRPr="008A07FB" w:rsidRDefault="008A07FB" w:rsidP="008A07FB">
      <w:pPr>
        <w:pStyle w:val="Heading1"/>
        <w:rPr>
          <w:lang w:val="es-ES"/>
        </w:rPr>
      </w:pPr>
      <w:r w:rsidRPr="008A07FB">
        <w:rPr>
          <w:lang w:val="es-ES"/>
        </w:rPr>
        <w:t xml:space="preserve">Un informe menciona los frecuentes cambios de personal, especialmente en el departamento de aduanas, </w:t>
      </w:r>
      <w:r w:rsidR="00CB24B8" w:rsidRPr="008A07FB">
        <w:rPr>
          <w:lang w:val="es-ES"/>
        </w:rPr>
        <w:t>le</w:t>
      </w:r>
      <w:r w:rsidRPr="008A07FB">
        <w:rPr>
          <w:lang w:val="es-ES"/>
        </w:rPr>
        <w:t xml:space="preserve"> dio lugar a que no se dispusiera de una contraparte para que la DNO pudiera mantener el control necesario a lo largo del tiempo. Se recomendó que las instituciones gubernamentales responsables establecieran mecanismos para mantener canales de comunicación constantes, independientemente de la rotación de personal. </w:t>
      </w:r>
    </w:p>
    <w:p w14:paraId="5CE95495" w14:textId="77777777" w:rsidR="008A07FB" w:rsidRPr="008A07FB" w:rsidRDefault="008A07FB" w:rsidP="008A07FB">
      <w:pPr>
        <w:pStyle w:val="Heading1"/>
        <w:rPr>
          <w:lang w:val="es-ES"/>
        </w:rPr>
      </w:pPr>
      <w:r w:rsidRPr="008A07FB">
        <w:rPr>
          <w:lang w:val="es-ES"/>
        </w:rPr>
        <w:t xml:space="preserve">La conciliación periódica de los datos entre las distintas fuentes es importante para informar con precisión los datos de consumo del país. Tres países mencionaron que, aunque habían aplicado el requisito de notificación posterior al despacho de aduana según la recomendación de la verificación anterior, se </w:t>
      </w:r>
      <w:r w:rsidRPr="008A07FB">
        <w:rPr>
          <w:lang w:val="es-ES"/>
        </w:rPr>
        <w:lastRenderedPageBreak/>
        <w:t>aplicaba únicamente a los envíos documentados por la DNO. El proceso de verificación identificó la falta de declaraciones de envío del Departamento de Aduanas, que no fueron tenidas en cuenta por la DNO. Uno de los países mencionó que se estaba pasando el registro de datos aduaneros a un sistema en línea, lo que facilitaría la conciliación de los datos en el futuro.</w:t>
      </w:r>
    </w:p>
    <w:p w14:paraId="7E5EB44A" w14:textId="77777777" w:rsidR="008A07FB" w:rsidRPr="008A07FB" w:rsidRDefault="008A07FB" w:rsidP="008A07FB">
      <w:pPr>
        <w:pStyle w:val="Heading1"/>
        <w:rPr>
          <w:lang w:val="es-ES"/>
        </w:rPr>
      </w:pPr>
      <w:r w:rsidRPr="008A07FB">
        <w:rPr>
          <w:lang w:val="es-ES"/>
        </w:rPr>
        <w:t>En un informe de verificación, se recomendó a un gobierno que aplicara el sistema de concesión de licencias y cupos de importación y llevara a juicio a los importadores que no cumplieran los reglamentos.</w:t>
      </w:r>
    </w:p>
    <w:p w14:paraId="123764C2" w14:textId="77777777" w:rsidR="008A07FB" w:rsidRPr="008A07FB" w:rsidRDefault="008A07FB" w:rsidP="008A07FB">
      <w:pPr>
        <w:pStyle w:val="Heading1"/>
        <w:numPr>
          <w:ilvl w:val="0"/>
          <w:numId w:val="0"/>
        </w:numPr>
        <w:tabs>
          <w:tab w:val="left" w:pos="708"/>
        </w:tabs>
        <w:rPr>
          <w:u w:val="single"/>
          <w:lang w:val="es-ES"/>
        </w:rPr>
      </w:pPr>
      <w:r w:rsidRPr="008A07FB">
        <w:rPr>
          <w:u w:val="single"/>
          <w:lang w:val="es-ES"/>
        </w:rPr>
        <w:t xml:space="preserve">Centro de excelencia </w:t>
      </w:r>
    </w:p>
    <w:p w14:paraId="72213346" w14:textId="77777777" w:rsidR="008A07FB" w:rsidRPr="008A07FB" w:rsidRDefault="008A07FB" w:rsidP="008A07FB">
      <w:pPr>
        <w:pStyle w:val="Heading1"/>
        <w:rPr>
          <w:lang w:val="es-ES"/>
        </w:rPr>
      </w:pPr>
      <w:r w:rsidRPr="008A07FB">
        <w:rPr>
          <w:lang w:val="es-ES"/>
        </w:rPr>
        <w:t xml:space="preserve">Es necesario evaluar detenidamente la situación del país en el diseño del proyecto en las fases iniciales. Por ejemplo, la falta de escuelas de capacitación vocacional y universidades, de especialistas cualificados, de fuentes de cofinanciación, así como la inestabilidad política temporal en un país determinado en el momento de la ejecución del proyecto, pueden dar lugar a importantes demoras en la ejecución. Estos factores deben incluirse en el marco de riesgo en la fase de diseño de la propuesta de proyecto. </w:t>
      </w:r>
    </w:p>
    <w:p w14:paraId="7EB90B99" w14:textId="77777777" w:rsidR="008A07FB" w:rsidRPr="008A07FB" w:rsidRDefault="008A07FB" w:rsidP="008A07FB">
      <w:pPr>
        <w:pStyle w:val="Heading1"/>
        <w:rPr>
          <w:lang w:val="es-ES"/>
        </w:rPr>
      </w:pPr>
      <w:r w:rsidRPr="008A07FB">
        <w:rPr>
          <w:lang w:val="es-ES"/>
        </w:rPr>
        <w:t>Otra lección fue la importancia de la capacitación de los usuarios finales (es decir, los propietarios de los sistemas de refrigeración y los posibles clientes) en la ejecución de futuros proyectos similares, ya que son los verdaderos responsables de la adopción de decisiones en los mercados locales.</w:t>
      </w:r>
    </w:p>
    <w:p w14:paraId="1BFEE080" w14:textId="77777777" w:rsidR="008A07FB" w:rsidRPr="008A07FB" w:rsidRDefault="008A07FB" w:rsidP="008A07FB">
      <w:pPr>
        <w:pStyle w:val="Heading1"/>
        <w:rPr>
          <w:lang w:val="es-ES"/>
        </w:rPr>
      </w:pPr>
      <w:r w:rsidRPr="008A07FB">
        <w:rPr>
          <w:lang w:val="es-ES"/>
        </w:rPr>
        <w:t xml:space="preserve">En un caso, el proyecto de centro de excelencia se aprobó con un presupuesto reducido más de un 30% en comparación con el presupuesto propuesto inicialmente. Según el organismo bilateral, esto se tradujo en la capacitación de un menor número de técnicos; el organismo bilateral sugirió que estos fondos se asignaran en la fase II del proyecto y que pudieran tomarse directamente de la contribución del país al Fondo Multilateral. </w:t>
      </w:r>
    </w:p>
    <w:p w14:paraId="1BF741FA" w14:textId="77777777" w:rsidR="008A07FB" w:rsidRPr="008A07FB" w:rsidRDefault="008A07FB" w:rsidP="008A07FB">
      <w:pPr>
        <w:pStyle w:val="Heading1"/>
        <w:keepNext/>
        <w:keepLines/>
        <w:numPr>
          <w:ilvl w:val="0"/>
          <w:numId w:val="0"/>
        </w:numPr>
        <w:tabs>
          <w:tab w:val="left" w:pos="708"/>
        </w:tabs>
        <w:spacing w:before="240"/>
        <w:rPr>
          <w:b/>
          <w:lang w:val="es-ES"/>
        </w:rPr>
      </w:pPr>
      <w:r w:rsidRPr="008A07FB">
        <w:rPr>
          <w:b/>
          <w:lang w:val="es-ES"/>
        </w:rPr>
        <w:t>Informes de terminación de proyectos de acuerdos plurianuales e informes de terminación de proyectos pendientes</w:t>
      </w:r>
    </w:p>
    <w:p w14:paraId="77AAE57D" w14:textId="77777777" w:rsidR="008A07FB" w:rsidRPr="008A07FB" w:rsidRDefault="008A07FB" w:rsidP="008A07FB">
      <w:pPr>
        <w:pStyle w:val="Heading1"/>
        <w:rPr>
          <w:lang w:val="es-ES"/>
        </w:rPr>
      </w:pPr>
      <w:r w:rsidRPr="008A07FB">
        <w:rPr>
          <w:lang w:val="es-ES"/>
        </w:rPr>
        <w:t>La Secretaría toma nota con agradecimiento de las medidas adoptadas por algunos de los organismos bilaterales y de ejecución para abordar el retraso en la presentación de los informes de terminación de proyectos pendientes. En los Anexos III a V se presentan las listas de los informes de terminación de proyectos pendientes. La Secretaría destaca, nuevamente, la importancia de presentar todos los informes de terminación de proyectos y, en particular, aquellos para la etapa I de los PGEH que son obligatorios para la aprobación de la etapa II</w:t>
      </w:r>
      <w:r w:rsidRPr="008A07FB">
        <w:rPr>
          <w:vertAlign w:val="superscript"/>
          <w:lang w:val="es-ES"/>
        </w:rPr>
        <w:footnoteReference w:id="8"/>
      </w:r>
      <w:r w:rsidRPr="008A07FB">
        <w:rPr>
          <w:lang w:val="es-ES"/>
        </w:rPr>
        <w:t>.</w:t>
      </w:r>
    </w:p>
    <w:p w14:paraId="7232EC29" w14:textId="77777777" w:rsidR="008A07FB" w:rsidRPr="008A07FB" w:rsidRDefault="008A07FB" w:rsidP="008A07FB">
      <w:pPr>
        <w:pStyle w:val="Heading1"/>
        <w:keepNext/>
        <w:keepLines/>
        <w:numPr>
          <w:ilvl w:val="0"/>
          <w:numId w:val="0"/>
        </w:numPr>
        <w:tabs>
          <w:tab w:val="num" w:pos="720"/>
        </w:tabs>
        <w:rPr>
          <w:b/>
          <w:lang w:val="es-ES"/>
        </w:rPr>
      </w:pPr>
      <w:r w:rsidRPr="008A07FB">
        <w:rPr>
          <w:b/>
          <w:lang w:val="es-ES"/>
        </w:rPr>
        <w:t>RECOMENDACIÓN</w:t>
      </w:r>
    </w:p>
    <w:p w14:paraId="269AD58F" w14:textId="77777777" w:rsidR="008A07FB" w:rsidRPr="008A07FB" w:rsidRDefault="008A07FB" w:rsidP="008A07FB">
      <w:pPr>
        <w:pStyle w:val="Heading1"/>
        <w:rPr>
          <w:lang w:val="es-ES"/>
        </w:rPr>
      </w:pPr>
      <w:r w:rsidRPr="008A07FB">
        <w:rPr>
          <w:lang w:val="es-ES"/>
        </w:rPr>
        <w:t xml:space="preserve">El Comité Ejecutivo tal vez desee: </w:t>
      </w:r>
    </w:p>
    <w:p w14:paraId="1CFFA1BF" w14:textId="77777777" w:rsidR="008A07FB" w:rsidRPr="008A07FB" w:rsidRDefault="008A07FB" w:rsidP="008A07FB">
      <w:pPr>
        <w:pStyle w:val="Heading2"/>
        <w:widowControl/>
        <w:tabs>
          <w:tab w:val="clear" w:pos="0"/>
          <w:tab w:val="num" w:pos="-540"/>
          <w:tab w:val="num" w:pos="360"/>
        </w:tabs>
        <w:rPr>
          <w:lang w:val="es-ES"/>
        </w:rPr>
      </w:pPr>
      <w:r w:rsidRPr="008A07FB">
        <w:rPr>
          <w:lang w:val="es-ES"/>
        </w:rPr>
        <w:t xml:space="preserve">Tomar nota del informe refundido de terminación de proyectos para 2021 que figura en el documento UNEP/OzL.Pro/ExCom/88/19; </w:t>
      </w:r>
    </w:p>
    <w:p w14:paraId="15ECEB37" w14:textId="77777777" w:rsidR="008A07FB" w:rsidRPr="008A07FB" w:rsidRDefault="008A07FB" w:rsidP="008A07FB">
      <w:pPr>
        <w:pStyle w:val="Heading2"/>
        <w:widowControl/>
        <w:tabs>
          <w:tab w:val="clear" w:pos="0"/>
          <w:tab w:val="num" w:pos="-540"/>
          <w:tab w:val="num" w:pos="360"/>
        </w:tabs>
        <w:rPr>
          <w:lang w:val="es-ES"/>
        </w:rPr>
      </w:pPr>
      <w:r w:rsidRPr="008A07FB">
        <w:rPr>
          <w:lang w:val="es-ES"/>
        </w:rPr>
        <w:t xml:space="preserve">Instar a los organismos bilaterales y de ejecución a que presenten a la 90ª reunión los informes de terminación de proyecto pendientes correspondientes a los proyectos de acuerdos plurianuales y a los proyectos individuales, o que indiquen los motivos para no haberlos presentado; </w:t>
      </w:r>
    </w:p>
    <w:p w14:paraId="3D0853C1" w14:textId="77777777" w:rsidR="008A07FB" w:rsidRPr="008A07FB" w:rsidRDefault="008A07FB" w:rsidP="00CB24B8">
      <w:pPr>
        <w:pStyle w:val="Heading2"/>
        <w:keepNext/>
        <w:keepLines/>
        <w:tabs>
          <w:tab w:val="clear" w:pos="0"/>
          <w:tab w:val="num" w:pos="-540"/>
          <w:tab w:val="num" w:pos="360"/>
        </w:tabs>
        <w:rPr>
          <w:lang w:val="es-ES"/>
        </w:rPr>
      </w:pPr>
      <w:r w:rsidRPr="008A07FB">
        <w:rPr>
          <w:lang w:val="es-ES"/>
        </w:rPr>
        <w:lastRenderedPageBreak/>
        <w:t>Instar a los organismos de ejecución principales y cooperantes a que coordinen estrechamente su trabajo para concluir su porción de los informes de terminación de proyectos a fin de que el organismo de ejecución principal pueda presentar esos informes puntualmente;</w:t>
      </w:r>
    </w:p>
    <w:p w14:paraId="0381E47D" w14:textId="77777777" w:rsidR="008A07FB" w:rsidRPr="008A07FB" w:rsidRDefault="008A07FB" w:rsidP="008A07FB">
      <w:pPr>
        <w:pStyle w:val="Heading2"/>
        <w:widowControl/>
        <w:tabs>
          <w:tab w:val="clear" w:pos="0"/>
          <w:tab w:val="num" w:pos="-540"/>
          <w:tab w:val="num" w:pos="360"/>
        </w:tabs>
        <w:rPr>
          <w:lang w:val="es-ES"/>
        </w:rPr>
      </w:pPr>
      <w:r w:rsidRPr="008A07FB">
        <w:rPr>
          <w:lang w:val="es-ES"/>
        </w:rPr>
        <w:t>Instar a los organismos bilaterales y de ejecución a que, cuando presenten sus informes de terminación de proyectos, informen las lecciones aprendidas de forma clara y pertinente, con el fin de formular recomendaciones prácticas para mejorar la ejecución de proyectos futuros o reproducir las buenas prácticas; e</w:t>
      </w:r>
    </w:p>
    <w:p w14:paraId="29274CEE" w14:textId="77777777" w:rsidR="008A07FB" w:rsidRPr="008A07FB" w:rsidRDefault="008A07FB" w:rsidP="008A07FB">
      <w:pPr>
        <w:pStyle w:val="Heading2"/>
        <w:widowControl/>
        <w:tabs>
          <w:tab w:val="clear" w:pos="0"/>
          <w:tab w:val="num" w:pos="-540"/>
          <w:tab w:val="num" w:pos="360"/>
        </w:tabs>
        <w:rPr>
          <w:sz w:val="24"/>
          <w:szCs w:val="24"/>
          <w:lang w:val="es-ES" w:eastAsia="es-ES"/>
        </w:rPr>
      </w:pPr>
      <w:r w:rsidRPr="008A07FB">
        <w:rPr>
          <w:lang w:val="es-ES"/>
        </w:rPr>
        <w:t>Invitar a todos aquellos que participan en la elaboración y ejecución de proyectos plurianuales e individuales a que tengan en consideración las lecciones aprendidas con los informes de terminación de proyectos, si fueran pertinentes, al proponer y ejecutar proyectos futuros.</w:t>
      </w:r>
      <w:r w:rsidRPr="008A07FB">
        <w:rPr>
          <w:sz w:val="24"/>
          <w:szCs w:val="24"/>
          <w:lang w:val="es-ES" w:eastAsia="es-ES"/>
        </w:rPr>
        <w:t xml:space="preserve"> </w:t>
      </w:r>
    </w:p>
    <w:p w14:paraId="636EE032" w14:textId="74303E4A" w:rsidR="0087455A" w:rsidRPr="008A07FB" w:rsidRDefault="0087455A" w:rsidP="008A07FB">
      <w:pPr>
        <w:pStyle w:val="StyleHeader4Para4Left0Firstline0"/>
        <w:widowControl/>
        <w:numPr>
          <w:ilvl w:val="0"/>
          <w:numId w:val="0"/>
        </w:numPr>
        <w:rPr>
          <w:lang w:val="es-ES"/>
        </w:rPr>
      </w:pPr>
    </w:p>
    <w:p w14:paraId="2F9BC052" w14:textId="77777777" w:rsidR="0087455A" w:rsidRPr="008A07FB" w:rsidRDefault="0087455A" w:rsidP="008A07FB">
      <w:pPr>
        <w:rPr>
          <w:lang w:val="es-ES"/>
        </w:rPr>
        <w:sectPr w:rsidR="0087455A" w:rsidRPr="008A07FB">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5EB2ADF9" w14:textId="77777777" w:rsidR="00477A64" w:rsidRPr="006524DF" w:rsidRDefault="00477A64" w:rsidP="00477A64">
      <w:pPr>
        <w:pStyle w:val="Heading2"/>
        <w:keepNext/>
        <w:keepLines/>
        <w:numPr>
          <w:ilvl w:val="0"/>
          <w:numId w:val="0"/>
        </w:numPr>
        <w:tabs>
          <w:tab w:val="left" w:pos="720"/>
        </w:tabs>
        <w:jc w:val="center"/>
        <w:rPr>
          <w:b/>
        </w:rPr>
      </w:pPr>
      <w:r w:rsidRPr="006524DF">
        <w:rPr>
          <w:b/>
        </w:rPr>
        <w:lastRenderedPageBreak/>
        <w:t>Annex I</w:t>
      </w:r>
    </w:p>
    <w:p w14:paraId="07C8FFB4" w14:textId="77777777" w:rsidR="00477A64" w:rsidRPr="006524DF" w:rsidRDefault="00477A64" w:rsidP="00477A64">
      <w:pPr>
        <w:widowControl w:val="0"/>
        <w:spacing w:after="240"/>
        <w:jc w:val="center"/>
        <w:rPr>
          <w:b/>
        </w:rPr>
      </w:pPr>
      <w:r w:rsidRPr="006524DF">
        <w:rPr>
          <w:b/>
        </w:rPr>
        <w:t>MYA PCRs RECEIVED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241"/>
        <w:gridCol w:w="1709"/>
        <w:gridCol w:w="2246"/>
      </w:tblGrid>
      <w:tr w:rsidR="00477A64" w:rsidRPr="006524DF" w14:paraId="275B46DB" w14:textId="77777777" w:rsidTr="00767C66">
        <w:tc>
          <w:tcPr>
            <w:tcW w:w="1152" w:type="pct"/>
            <w:tcBorders>
              <w:top w:val="single" w:sz="4" w:space="0" w:color="auto"/>
              <w:left w:val="single" w:sz="4" w:space="0" w:color="auto"/>
              <w:bottom w:val="single" w:sz="4" w:space="0" w:color="auto"/>
              <w:right w:val="single" w:sz="4" w:space="0" w:color="auto"/>
            </w:tcBorders>
            <w:vAlign w:val="center"/>
            <w:hideMark/>
          </w:tcPr>
          <w:p w14:paraId="4506527D" w14:textId="77777777" w:rsidR="00477A64" w:rsidRPr="006524DF" w:rsidRDefault="00477A64" w:rsidP="00767C66">
            <w:pPr>
              <w:widowControl w:val="0"/>
              <w:jc w:val="center"/>
              <w:rPr>
                <w:b/>
                <w:bCs/>
                <w:sz w:val="20"/>
                <w:szCs w:val="20"/>
                <w:lang w:val="en-CA" w:eastAsia="en-CA"/>
              </w:rPr>
            </w:pPr>
            <w:r w:rsidRPr="006524DF">
              <w:rPr>
                <w:b/>
                <w:bCs/>
                <w:sz w:val="20"/>
                <w:szCs w:val="20"/>
                <w:lang w:val="en-CA" w:eastAsia="en-CA"/>
              </w:rPr>
              <w:t>Country</w:t>
            </w:r>
          </w:p>
        </w:tc>
        <w:tc>
          <w:tcPr>
            <w:tcW w:w="1733" w:type="pct"/>
            <w:tcBorders>
              <w:top w:val="single" w:sz="4" w:space="0" w:color="auto"/>
              <w:left w:val="single" w:sz="4" w:space="0" w:color="auto"/>
              <w:bottom w:val="single" w:sz="4" w:space="0" w:color="auto"/>
              <w:right w:val="single" w:sz="4" w:space="0" w:color="auto"/>
            </w:tcBorders>
            <w:vAlign w:val="center"/>
            <w:hideMark/>
          </w:tcPr>
          <w:p w14:paraId="1E9764CC" w14:textId="77777777" w:rsidR="00477A64" w:rsidRPr="006524DF" w:rsidRDefault="00477A64" w:rsidP="00767C66">
            <w:pPr>
              <w:widowControl w:val="0"/>
              <w:jc w:val="center"/>
              <w:rPr>
                <w:b/>
                <w:bCs/>
                <w:sz w:val="20"/>
                <w:szCs w:val="20"/>
                <w:lang w:val="en-CA" w:eastAsia="en-CA"/>
              </w:rPr>
            </w:pPr>
            <w:r w:rsidRPr="006524DF">
              <w:rPr>
                <w:b/>
                <w:bCs/>
                <w:sz w:val="20"/>
                <w:szCs w:val="20"/>
                <w:lang w:val="en-CA" w:eastAsia="en-CA"/>
              </w:rPr>
              <w:t>MYA sector</w:t>
            </w:r>
          </w:p>
        </w:tc>
        <w:tc>
          <w:tcPr>
            <w:tcW w:w="914" w:type="pct"/>
            <w:tcBorders>
              <w:top w:val="single" w:sz="4" w:space="0" w:color="auto"/>
              <w:left w:val="single" w:sz="4" w:space="0" w:color="auto"/>
              <w:bottom w:val="single" w:sz="4" w:space="0" w:color="auto"/>
              <w:right w:val="single" w:sz="4" w:space="0" w:color="auto"/>
            </w:tcBorders>
            <w:vAlign w:val="center"/>
            <w:hideMark/>
          </w:tcPr>
          <w:p w14:paraId="3102A25A" w14:textId="77777777" w:rsidR="00477A64" w:rsidRPr="006524DF" w:rsidRDefault="00477A64" w:rsidP="00767C66">
            <w:pPr>
              <w:widowControl w:val="0"/>
              <w:jc w:val="center"/>
              <w:rPr>
                <w:b/>
                <w:bCs/>
                <w:sz w:val="20"/>
                <w:szCs w:val="20"/>
                <w:lang w:val="en-CA" w:eastAsia="en-CA"/>
              </w:rPr>
            </w:pPr>
            <w:r w:rsidRPr="006524DF">
              <w:rPr>
                <w:b/>
                <w:bCs/>
                <w:sz w:val="20"/>
                <w:szCs w:val="20"/>
                <w:lang w:val="en-CA" w:eastAsia="en-CA"/>
              </w:rPr>
              <w:t>Lead agency</w:t>
            </w:r>
          </w:p>
        </w:tc>
        <w:tc>
          <w:tcPr>
            <w:tcW w:w="1201" w:type="pct"/>
            <w:tcBorders>
              <w:top w:val="single" w:sz="4" w:space="0" w:color="auto"/>
              <w:left w:val="single" w:sz="4" w:space="0" w:color="auto"/>
              <w:bottom w:val="single" w:sz="4" w:space="0" w:color="auto"/>
              <w:right w:val="single" w:sz="4" w:space="0" w:color="auto"/>
            </w:tcBorders>
            <w:vAlign w:val="center"/>
            <w:hideMark/>
          </w:tcPr>
          <w:p w14:paraId="4D1B3208" w14:textId="77777777" w:rsidR="00477A64" w:rsidRPr="006524DF" w:rsidRDefault="00477A64" w:rsidP="00767C66">
            <w:pPr>
              <w:widowControl w:val="0"/>
              <w:jc w:val="center"/>
              <w:rPr>
                <w:b/>
                <w:bCs/>
                <w:sz w:val="20"/>
                <w:szCs w:val="20"/>
                <w:lang w:val="en-CA" w:eastAsia="en-CA"/>
              </w:rPr>
            </w:pPr>
            <w:r w:rsidRPr="006524DF">
              <w:rPr>
                <w:b/>
                <w:bCs/>
                <w:sz w:val="20"/>
                <w:szCs w:val="20"/>
                <w:lang w:val="en-CA" w:eastAsia="en-CA"/>
              </w:rPr>
              <w:t>Cooperating agencies</w:t>
            </w:r>
          </w:p>
        </w:tc>
      </w:tr>
      <w:tr w:rsidR="00477A64" w:rsidRPr="006524DF" w14:paraId="4BB618B7" w14:textId="77777777" w:rsidTr="00767C66">
        <w:tc>
          <w:tcPr>
            <w:tcW w:w="1152" w:type="pct"/>
            <w:tcBorders>
              <w:top w:val="single" w:sz="4" w:space="0" w:color="auto"/>
              <w:left w:val="single" w:sz="4" w:space="0" w:color="auto"/>
              <w:bottom w:val="single" w:sz="4" w:space="0" w:color="auto"/>
              <w:right w:val="single" w:sz="4" w:space="0" w:color="auto"/>
            </w:tcBorders>
            <w:vAlign w:val="center"/>
          </w:tcPr>
          <w:p w14:paraId="73BA1340" w14:textId="77777777" w:rsidR="00477A64" w:rsidRPr="006524DF" w:rsidRDefault="00477A64" w:rsidP="00767C66">
            <w:pPr>
              <w:widowControl w:val="0"/>
              <w:jc w:val="left"/>
              <w:rPr>
                <w:b/>
                <w:bCs/>
                <w:sz w:val="20"/>
                <w:szCs w:val="20"/>
                <w:lang w:val="en-CA" w:eastAsia="en-CA"/>
              </w:rPr>
            </w:pPr>
            <w:r w:rsidRPr="006524DF">
              <w:rPr>
                <w:sz w:val="20"/>
                <w:szCs w:val="20"/>
                <w:lang w:val="en-US"/>
              </w:rPr>
              <w:t>China</w:t>
            </w:r>
          </w:p>
        </w:tc>
        <w:tc>
          <w:tcPr>
            <w:tcW w:w="1733" w:type="pct"/>
            <w:tcBorders>
              <w:top w:val="single" w:sz="4" w:space="0" w:color="auto"/>
              <w:left w:val="single" w:sz="4" w:space="0" w:color="auto"/>
              <w:bottom w:val="single" w:sz="4" w:space="0" w:color="auto"/>
              <w:right w:val="single" w:sz="4" w:space="0" w:color="auto"/>
            </w:tcBorders>
            <w:vAlign w:val="center"/>
          </w:tcPr>
          <w:p w14:paraId="44817A55" w14:textId="77777777" w:rsidR="00477A64" w:rsidRPr="006524DF" w:rsidRDefault="00477A64" w:rsidP="00767C66">
            <w:pPr>
              <w:widowControl w:val="0"/>
              <w:jc w:val="left"/>
              <w:rPr>
                <w:sz w:val="20"/>
                <w:szCs w:val="20"/>
                <w:lang w:val="en-US"/>
              </w:rPr>
            </w:pPr>
            <w:r w:rsidRPr="006524DF">
              <w:rPr>
                <w:sz w:val="20"/>
                <w:szCs w:val="20"/>
                <w:lang w:val="en-US"/>
              </w:rPr>
              <w:t>Halon</w:t>
            </w:r>
          </w:p>
        </w:tc>
        <w:tc>
          <w:tcPr>
            <w:tcW w:w="914" w:type="pct"/>
            <w:tcBorders>
              <w:top w:val="single" w:sz="4" w:space="0" w:color="auto"/>
              <w:left w:val="single" w:sz="4" w:space="0" w:color="auto"/>
              <w:bottom w:val="single" w:sz="4" w:space="0" w:color="auto"/>
              <w:right w:val="single" w:sz="4" w:space="0" w:color="auto"/>
            </w:tcBorders>
            <w:vAlign w:val="center"/>
          </w:tcPr>
          <w:p w14:paraId="363EE0ED" w14:textId="77777777" w:rsidR="00477A64" w:rsidRPr="006524DF" w:rsidRDefault="00477A64" w:rsidP="00767C66">
            <w:pPr>
              <w:widowControl w:val="0"/>
              <w:jc w:val="center"/>
              <w:rPr>
                <w:bCs/>
                <w:sz w:val="20"/>
                <w:szCs w:val="20"/>
                <w:lang w:val="en-CA" w:eastAsia="en-CA"/>
              </w:rPr>
            </w:pPr>
            <w:r w:rsidRPr="006524DF">
              <w:rPr>
                <w:bCs/>
                <w:sz w:val="20"/>
                <w:szCs w:val="20"/>
                <w:lang w:val="en-CA" w:eastAsia="en-CA"/>
              </w:rPr>
              <w:t>World Bank</w:t>
            </w:r>
          </w:p>
        </w:tc>
        <w:tc>
          <w:tcPr>
            <w:tcW w:w="1201" w:type="pct"/>
            <w:tcBorders>
              <w:top w:val="single" w:sz="4" w:space="0" w:color="auto"/>
              <w:left w:val="single" w:sz="4" w:space="0" w:color="auto"/>
              <w:bottom w:val="single" w:sz="4" w:space="0" w:color="auto"/>
              <w:right w:val="single" w:sz="4" w:space="0" w:color="auto"/>
            </w:tcBorders>
            <w:vAlign w:val="center"/>
          </w:tcPr>
          <w:p w14:paraId="2547B9F8" w14:textId="77777777" w:rsidR="00477A64" w:rsidRPr="006524DF" w:rsidRDefault="00477A64" w:rsidP="00767C66">
            <w:pPr>
              <w:widowControl w:val="0"/>
              <w:jc w:val="left"/>
              <w:rPr>
                <w:bCs/>
                <w:sz w:val="20"/>
                <w:szCs w:val="20"/>
                <w:lang w:val="en-CA" w:eastAsia="en-CA"/>
              </w:rPr>
            </w:pPr>
          </w:p>
        </w:tc>
      </w:tr>
      <w:tr w:rsidR="00477A64" w:rsidRPr="006524DF" w14:paraId="0C8BCC80" w14:textId="77777777" w:rsidTr="00767C66">
        <w:tc>
          <w:tcPr>
            <w:tcW w:w="1152" w:type="pct"/>
            <w:tcBorders>
              <w:top w:val="single" w:sz="4" w:space="0" w:color="auto"/>
              <w:left w:val="single" w:sz="4" w:space="0" w:color="auto"/>
              <w:bottom w:val="single" w:sz="4" w:space="0" w:color="auto"/>
              <w:right w:val="single" w:sz="4" w:space="0" w:color="auto"/>
            </w:tcBorders>
            <w:vAlign w:val="center"/>
          </w:tcPr>
          <w:p w14:paraId="23DEF21C" w14:textId="77777777" w:rsidR="00477A64" w:rsidRPr="006524DF" w:rsidRDefault="00477A64" w:rsidP="00767C66">
            <w:pPr>
              <w:widowControl w:val="0"/>
              <w:jc w:val="left"/>
              <w:rPr>
                <w:sz w:val="20"/>
                <w:szCs w:val="20"/>
                <w:lang w:val="en-US"/>
              </w:rPr>
            </w:pPr>
            <w:r w:rsidRPr="006524DF">
              <w:rPr>
                <w:sz w:val="20"/>
                <w:szCs w:val="20"/>
                <w:lang w:val="en-US"/>
              </w:rPr>
              <w:t>China</w:t>
            </w:r>
          </w:p>
        </w:tc>
        <w:tc>
          <w:tcPr>
            <w:tcW w:w="1733" w:type="pct"/>
            <w:tcBorders>
              <w:top w:val="single" w:sz="4" w:space="0" w:color="auto"/>
              <w:left w:val="single" w:sz="4" w:space="0" w:color="auto"/>
              <w:bottom w:val="single" w:sz="4" w:space="0" w:color="auto"/>
              <w:right w:val="single" w:sz="4" w:space="0" w:color="auto"/>
            </w:tcBorders>
            <w:vAlign w:val="center"/>
          </w:tcPr>
          <w:p w14:paraId="3AFAD68B" w14:textId="77777777" w:rsidR="00477A64" w:rsidRPr="006524DF" w:rsidRDefault="00477A64" w:rsidP="00767C66">
            <w:pPr>
              <w:widowControl w:val="0"/>
              <w:jc w:val="left"/>
              <w:rPr>
                <w:sz w:val="20"/>
                <w:szCs w:val="20"/>
                <w:lang w:val="en-US"/>
              </w:rPr>
            </w:pPr>
            <w:r w:rsidRPr="006524DF">
              <w:rPr>
                <w:sz w:val="20"/>
                <w:szCs w:val="20"/>
                <w:lang w:val="en-US"/>
              </w:rPr>
              <w:t>Process agent (phase I)</w:t>
            </w:r>
          </w:p>
        </w:tc>
        <w:tc>
          <w:tcPr>
            <w:tcW w:w="914" w:type="pct"/>
            <w:tcBorders>
              <w:top w:val="single" w:sz="4" w:space="0" w:color="auto"/>
              <w:left w:val="single" w:sz="4" w:space="0" w:color="auto"/>
              <w:bottom w:val="single" w:sz="4" w:space="0" w:color="auto"/>
              <w:right w:val="single" w:sz="4" w:space="0" w:color="auto"/>
            </w:tcBorders>
            <w:vAlign w:val="center"/>
          </w:tcPr>
          <w:p w14:paraId="44055914" w14:textId="77777777" w:rsidR="00477A64" w:rsidRPr="006524DF" w:rsidRDefault="00477A64" w:rsidP="00767C66">
            <w:pPr>
              <w:widowControl w:val="0"/>
              <w:jc w:val="center"/>
              <w:rPr>
                <w:bCs/>
                <w:sz w:val="20"/>
                <w:szCs w:val="20"/>
                <w:lang w:val="en-CA" w:eastAsia="en-CA"/>
              </w:rPr>
            </w:pPr>
            <w:r w:rsidRPr="006524DF">
              <w:rPr>
                <w:bCs/>
                <w:sz w:val="20"/>
                <w:szCs w:val="20"/>
                <w:lang w:val="en-CA" w:eastAsia="en-CA"/>
              </w:rPr>
              <w:t>World Bank</w:t>
            </w:r>
          </w:p>
        </w:tc>
        <w:tc>
          <w:tcPr>
            <w:tcW w:w="1201" w:type="pct"/>
            <w:tcBorders>
              <w:top w:val="single" w:sz="4" w:space="0" w:color="auto"/>
              <w:left w:val="single" w:sz="4" w:space="0" w:color="auto"/>
              <w:bottom w:val="single" w:sz="4" w:space="0" w:color="auto"/>
              <w:right w:val="single" w:sz="4" w:space="0" w:color="auto"/>
            </w:tcBorders>
            <w:vAlign w:val="center"/>
          </w:tcPr>
          <w:p w14:paraId="1C373227" w14:textId="77777777" w:rsidR="00477A64" w:rsidRPr="006524DF" w:rsidRDefault="00477A64" w:rsidP="00767C66">
            <w:pPr>
              <w:widowControl w:val="0"/>
              <w:jc w:val="left"/>
              <w:rPr>
                <w:bCs/>
                <w:sz w:val="20"/>
                <w:szCs w:val="20"/>
                <w:lang w:val="en-CA" w:eastAsia="en-CA"/>
              </w:rPr>
            </w:pPr>
          </w:p>
        </w:tc>
      </w:tr>
      <w:tr w:rsidR="00477A64" w:rsidRPr="006524DF" w14:paraId="3116E118" w14:textId="77777777" w:rsidTr="00767C66">
        <w:tc>
          <w:tcPr>
            <w:tcW w:w="1152" w:type="pct"/>
            <w:tcBorders>
              <w:top w:val="single" w:sz="4" w:space="0" w:color="auto"/>
              <w:left w:val="single" w:sz="4" w:space="0" w:color="auto"/>
              <w:bottom w:val="single" w:sz="4" w:space="0" w:color="auto"/>
              <w:right w:val="single" w:sz="4" w:space="0" w:color="auto"/>
            </w:tcBorders>
            <w:vAlign w:val="center"/>
          </w:tcPr>
          <w:p w14:paraId="6A31052B" w14:textId="77777777" w:rsidR="00477A64" w:rsidRPr="006524DF" w:rsidRDefault="00477A64" w:rsidP="00767C66">
            <w:pPr>
              <w:widowControl w:val="0"/>
              <w:jc w:val="left"/>
              <w:rPr>
                <w:sz w:val="20"/>
                <w:szCs w:val="20"/>
                <w:lang w:val="en-US"/>
              </w:rPr>
            </w:pPr>
            <w:r w:rsidRPr="006524DF">
              <w:rPr>
                <w:sz w:val="20"/>
                <w:szCs w:val="20"/>
                <w:lang w:val="en-US"/>
              </w:rPr>
              <w:t>China</w:t>
            </w:r>
          </w:p>
        </w:tc>
        <w:tc>
          <w:tcPr>
            <w:tcW w:w="1733" w:type="pct"/>
            <w:tcBorders>
              <w:top w:val="single" w:sz="4" w:space="0" w:color="auto"/>
              <w:left w:val="single" w:sz="4" w:space="0" w:color="auto"/>
              <w:bottom w:val="single" w:sz="4" w:space="0" w:color="auto"/>
              <w:right w:val="single" w:sz="4" w:space="0" w:color="auto"/>
            </w:tcBorders>
            <w:vAlign w:val="center"/>
          </w:tcPr>
          <w:p w14:paraId="75A02513" w14:textId="77777777" w:rsidR="00477A64" w:rsidRPr="006524DF" w:rsidRDefault="00477A64" w:rsidP="00767C66">
            <w:pPr>
              <w:widowControl w:val="0"/>
              <w:jc w:val="left"/>
              <w:rPr>
                <w:sz w:val="20"/>
                <w:szCs w:val="20"/>
                <w:lang w:val="en-US"/>
              </w:rPr>
            </w:pPr>
            <w:r w:rsidRPr="006524DF">
              <w:rPr>
                <w:sz w:val="20"/>
                <w:szCs w:val="20"/>
                <w:lang w:val="en-US"/>
              </w:rPr>
              <w:t>Process agent (phase II)</w:t>
            </w:r>
          </w:p>
        </w:tc>
        <w:tc>
          <w:tcPr>
            <w:tcW w:w="914" w:type="pct"/>
            <w:tcBorders>
              <w:top w:val="single" w:sz="4" w:space="0" w:color="auto"/>
              <w:left w:val="single" w:sz="4" w:space="0" w:color="auto"/>
              <w:bottom w:val="single" w:sz="4" w:space="0" w:color="auto"/>
              <w:right w:val="single" w:sz="4" w:space="0" w:color="auto"/>
            </w:tcBorders>
            <w:vAlign w:val="center"/>
          </w:tcPr>
          <w:p w14:paraId="1BBB3DAB" w14:textId="77777777" w:rsidR="00477A64" w:rsidRPr="006524DF" w:rsidRDefault="00477A64" w:rsidP="00767C66">
            <w:pPr>
              <w:widowControl w:val="0"/>
              <w:jc w:val="center"/>
              <w:rPr>
                <w:bCs/>
                <w:sz w:val="20"/>
                <w:szCs w:val="20"/>
                <w:lang w:val="en-CA" w:eastAsia="en-CA"/>
              </w:rPr>
            </w:pPr>
            <w:r w:rsidRPr="006524DF">
              <w:rPr>
                <w:bCs/>
                <w:sz w:val="20"/>
                <w:szCs w:val="20"/>
                <w:lang w:val="en-CA" w:eastAsia="en-CA"/>
              </w:rPr>
              <w:t>World Bank</w:t>
            </w:r>
          </w:p>
        </w:tc>
        <w:tc>
          <w:tcPr>
            <w:tcW w:w="1201" w:type="pct"/>
            <w:tcBorders>
              <w:top w:val="single" w:sz="4" w:space="0" w:color="auto"/>
              <w:left w:val="single" w:sz="4" w:space="0" w:color="auto"/>
              <w:bottom w:val="single" w:sz="4" w:space="0" w:color="auto"/>
              <w:right w:val="single" w:sz="4" w:space="0" w:color="auto"/>
            </w:tcBorders>
            <w:vAlign w:val="center"/>
          </w:tcPr>
          <w:p w14:paraId="79399505" w14:textId="77777777" w:rsidR="00477A64" w:rsidRPr="006524DF" w:rsidRDefault="00477A64" w:rsidP="00767C66">
            <w:pPr>
              <w:widowControl w:val="0"/>
              <w:jc w:val="left"/>
              <w:rPr>
                <w:bCs/>
                <w:sz w:val="20"/>
                <w:szCs w:val="20"/>
                <w:lang w:val="en-CA" w:eastAsia="en-CA"/>
              </w:rPr>
            </w:pPr>
          </w:p>
        </w:tc>
      </w:tr>
      <w:tr w:rsidR="00477A64" w:rsidRPr="006524DF" w14:paraId="1B96358B" w14:textId="77777777" w:rsidTr="00767C66">
        <w:tc>
          <w:tcPr>
            <w:tcW w:w="1152" w:type="pct"/>
            <w:tcBorders>
              <w:top w:val="single" w:sz="4" w:space="0" w:color="auto"/>
              <w:left w:val="single" w:sz="4" w:space="0" w:color="auto"/>
              <w:bottom w:val="single" w:sz="4" w:space="0" w:color="auto"/>
              <w:right w:val="single" w:sz="4" w:space="0" w:color="auto"/>
            </w:tcBorders>
            <w:vAlign w:val="center"/>
          </w:tcPr>
          <w:p w14:paraId="55C62E5C" w14:textId="77777777" w:rsidR="00477A64" w:rsidRPr="00765981" w:rsidRDefault="00477A64" w:rsidP="00767C66">
            <w:pPr>
              <w:widowControl w:val="0"/>
              <w:jc w:val="left"/>
              <w:rPr>
                <w:sz w:val="20"/>
                <w:szCs w:val="20"/>
                <w:lang w:val="en-US"/>
              </w:rPr>
            </w:pPr>
            <w:r w:rsidRPr="006524DF">
              <w:rPr>
                <w:sz w:val="20"/>
                <w:lang w:val="en-CA" w:eastAsia="en-CA"/>
              </w:rPr>
              <w:t>Democratic Republic of the Congo (the)</w:t>
            </w:r>
          </w:p>
        </w:tc>
        <w:tc>
          <w:tcPr>
            <w:tcW w:w="1733" w:type="pct"/>
            <w:tcBorders>
              <w:top w:val="single" w:sz="4" w:space="0" w:color="auto"/>
              <w:left w:val="single" w:sz="4" w:space="0" w:color="auto"/>
              <w:bottom w:val="single" w:sz="4" w:space="0" w:color="auto"/>
              <w:right w:val="single" w:sz="4" w:space="0" w:color="auto"/>
            </w:tcBorders>
            <w:vAlign w:val="center"/>
          </w:tcPr>
          <w:p w14:paraId="2EED54B1" w14:textId="77777777" w:rsidR="00477A64" w:rsidRPr="006524DF" w:rsidRDefault="00477A64" w:rsidP="00767C66">
            <w:pPr>
              <w:widowControl w:val="0"/>
              <w:jc w:val="left"/>
              <w:rPr>
                <w:sz w:val="20"/>
                <w:szCs w:val="20"/>
                <w:lang w:val="en-US"/>
              </w:rPr>
            </w:pPr>
            <w:r w:rsidRPr="006524DF">
              <w:rPr>
                <w:sz w:val="20"/>
                <w:lang w:val="en-CA" w:eastAsia="en-CA"/>
              </w:rPr>
              <w:t>HCFC phase-out plan (stage I)</w:t>
            </w:r>
          </w:p>
        </w:tc>
        <w:tc>
          <w:tcPr>
            <w:tcW w:w="914" w:type="pct"/>
            <w:tcBorders>
              <w:top w:val="single" w:sz="4" w:space="0" w:color="auto"/>
              <w:left w:val="single" w:sz="4" w:space="0" w:color="auto"/>
              <w:bottom w:val="single" w:sz="4" w:space="0" w:color="auto"/>
              <w:right w:val="single" w:sz="4" w:space="0" w:color="auto"/>
            </w:tcBorders>
            <w:vAlign w:val="center"/>
          </w:tcPr>
          <w:p w14:paraId="61D6D8E6" w14:textId="77777777" w:rsidR="00477A64" w:rsidRPr="006524DF" w:rsidRDefault="00477A64" w:rsidP="00767C66">
            <w:pPr>
              <w:widowControl w:val="0"/>
              <w:jc w:val="center"/>
              <w:rPr>
                <w:bCs/>
                <w:sz w:val="20"/>
                <w:szCs w:val="20"/>
                <w:lang w:val="en-CA" w:eastAsia="en-CA"/>
              </w:rPr>
            </w:pPr>
            <w:r w:rsidRPr="006524DF">
              <w:rPr>
                <w:sz w:val="20"/>
              </w:rPr>
              <w:t>UNEP</w:t>
            </w:r>
          </w:p>
        </w:tc>
        <w:tc>
          <w:tcPr>
            <w:tcW w:w="1201" w:type="pct"/>
            <w:tcBorders>
              <w:top w:val="single" w:sz="4" w:space="0" w:color="auto"/>
              <w:left w:val="single" w:sz="4" w:space="0" w:color="auto"/>
              <w:bottom w:val="single" w:sz="4" w:space="0" w:color="auto"/>
              <w:right w:val="single" w:sz="4" w:space="0" w:color="auto"/>
            </w:tcBorders>
            <w:vAlign w:val="center"/>
          </w:tcPr>
          <w:p w14:paraId="0A4BDE27" w14:textId="77777777" w:rsidR="00477A64" w:rsidRPr="006524DF" w:rsidRDefault="00477A64" w:rsidP="00767C66">
            <w:pPr>
              <w:widowControl w:val="0"/>
              <w:jc w:val="left"/>
              <w:rPr>
                <w:bCs/>
                <w:sz w:val="20"/>
                <w:szCs w:val="20"/>
                <w:lang w:val="en-CA" w:eastAsia="en-CA"/>
              </w:rPr>
            </w:pPr>
            <w:r w:rsidRPr="006524DF">
              <w:rPr>
                <w:sz w:val="20"/>
              </w:rPr>
              <w:t>UNDP</w:t>
            </w:r>
          </w:p>
        </w:tc>
      </w:tr>
      <w:tr w:rsidR="00477A64" w:rsidRPr="006524DF" w14:paraId="7A0F17C8" w14:textId="77777777" w:rsidTr="00767C66">
        <w:trPr>
          <w:trHeight w:val="50"/>
        </w:trPr>
        <w:tc>
          <w:tcPr>
            <w:tcW w:w="1152" w:type="pct"/>
            <w:tcBorders>
              <w:top w:val="single" w:sz="4" w:space="0" w:color="auto"/>
              <w:left w:val="single" w:sz="4" w:space="0" w:color="auto"/>
              <w:bottom w:val="single" w:sz="4" w:space="0" w:color="auto"/>
              <w:right w:val="single" w:sz="4" w:space="0" w:color="auto"/>
            </w:tcBorders>
            <w:vAlign w:val="center"/>
          </w:tcPr>
          <w:p w14:paraId="6C90D1E3" w14:textId="77777777" w:rsidR="00477A64" w:rsidRPr="006524DF" w:rsidRDefault="00477A64" w:rsidP="00767C66">
            <w:pPr>
              <w:widowControl w:val="0"/>
              <w:jc w:val="left"/>
              <w:rPr>
                <w:b/>
                <w:bCs/>
                <w:sz w:val="20"/>
                <w:szCs w:val="20"/>
                <w:lang w:val="en-CA" w:eastAsia="en-CA"/>
              </w:rPr>
            </w:pPr>
            <w:r w:rsidRPr="006524DF">
              <w:rPr>
                <w:sz w:val="20"/>
                <w:szCs w:val="20"/>
                <w:lang w:val="en-US"/>
              </w:rPr>
              <w:t>Indonesia</w:t>
            </w:r>
          </w:p>
        </w:tc>
        <w:tc>
          <w:tcPr>
            <w:tcW w:w="1733" w:type="pct"/>
            <w:tcBorders>
              <w:top w:val="single" w:sz="4" w:space="0" w:color="auto"/>
              <w:left w:val="single" w:sz="4" w:space="0" w:color="auto"/>
              <w:bottom w:val="single" w:sz="4" w:space="0" w:color="auto"/>
              <w:right w:val="single" w:sz="4" w:space="0" w:color="auto"/>
            </w:tcBorders>
            <w:vAlign w:val="center"/>
          </w:tcPr>
          <w:p w14:paraId="0AD0DABE" w14:textId="77777777" w:rsidR="00477A64" w:rsidRPr="006524DF" w:rsidRDefault="00477A64" w:rsidP="00767C66">
            <w:pPr>
              <w:widowControl w:val="0"/>
              <w:jc w:val="left"/>
              <w:rPr>
                <w:sz w:val="20"/>
                <w:szCs w:val="20"/>
                <w:lang w:val="en-US"/>
              </w:rPr>
            </w:pPr>
            <w:r w:rsidRPr="006524DF">
              <w:rPr>
                <w:sz w:val="20"/>
                <w:szCs w:val="20"/>
                <w:lang w:val="en-US"/>
              </w:rPr>
              <w:t>HCFC phase-out plan (stage I)</w:t>
            </w:r>
          </w:p>
        </w:tc>
        <w:tc>
          <w:tcPr>
            <w:tcW w:w="914" w:type="pct"/>
            <w:tcBorders>
              <w:top w:val="single" w:sz="4" w:space="0" w:color="auto"/>
              <w:left w:val="single" w:sz="4" w:space="0" w:color="auto"/>
              <w:bottom w:val="single" w:sz="4" w:space="0" w:color="auto"/>
              <w:right w:val="single" w:sz="4" w:space="0" w:color="auto"/>
            </w:tcBorders>
            <w:vAlign w:val="center"/>
          </w:tcPr>
          <w:p w14:paraId="09646672" w14:textId="77777777" w:rsidR="00477A64" w:rsidRPr="006524DF" w:rsidRDefault="00477A64" w:rsidP="00767C66">
            <w:pPr>
              <w:widowControl w:val="0"/>
              <w:jc w:val="center"/>
              <w:rPr>
                <w:b/>
                <w:bCs/>
                <w:sz w:val="20"/>
                <w:szCs w:val="20"/>
                <w:lang w:val="en-CA" w:eastAsia="en-CA"/>
              </w:rPr>
            </w:pPr>
            <w:r w:rsidRPr="006524DF">
              <w:rPr>
                <w:bCs/>
                <w:sz w:val="20"/>
                <w:szCs w:val="20"/>
                <w:lang w:val="en-CA" w:eastAsia="en-CA"/>
              </w:rPr>
              <w:t>UNDP</w:t>
            </w:r>
          </w:p>
        </w:tc>
        <w:tc>
          <w:tcPr>
            <w:tcW w:w="1201" w:type="pct"/>
            <w:tcBorders>
              <w:top w:val="single" w:sz="4" w:space="0" w:color="auto"/>
              <w:left w:val="single" w:sz="4" w:space="0" w:color="auto"/>
              <w:bottom w:val="single" w:sz="4" w:space="0" w:color="auto"/>
              <w:right w:val="single" w:sz="4" w:space="0" w:color="auto"/>
            </w:tcBorders>
            <w:vAlign w:val="center"/>
          </w:tcPr>
          <w:p w14:paraId="6BBAD876" w14:textId="77777777" w:rsidR="00477A64" w:rsidRPr="006524DF" w:rsidRDefault="00477A64" w:rsidP="00767C66">
            <w:pPr>
              <w:widowControl w:val="0"/>
              <w:jc w:val="left"/>
              <w:rPr>
                <w:b/>
                <w:bCs/>
                <w:sz w:val="20"/>
                <w:szCs w:val="20"/>
                <w:lang w:val="en-CA" w:eastAsia="en-CA"/>
              </w:rPr>
            </w:pPr>
            <w:r w:rsidRPr="006524DF">
              <w:rPr>
                <w:bCs/>
                <w:sz w:val="20"/>
                <w:szCs w:val="20"/>
                <w:lang w:val="en-CA" w:eastAsia="en-CA"/>
              </w:rPr>
              <w:t>UNIDO/World Bank/Australia</w:t>
            </w:r>
          </w:p>
        </w:tc>
      </w:tr>
    </w:tbl>
    <w:p w14:paraId="301049AB" w14:textId="77777777" w:rsidR="00477A64" w:rsidRPr="00765981" w:rsidRDefault="00477A64" w:rsidP="00477A64">
      <w:pPr>
        <w:widowControl w:val="0"/>
        <w:spacing w:after="240"/>
        <w:jc w:val="center"/>
        <w:rPr>
          <w:b/>
          <w:lang w:val="en-US"/>
        </w:rPr>
      </w:pPr>
    </w:p>
    <w:p w14:paraId="7BE70241" w14:textId="77777777" w:rsidR="00477A64" w:rsidRPr="00765981" w:rsidRDefault="00477A64" w:rsidP="00477A64">
      <w:pPr>
        <w:widowControl w:val="0"/>
        <w:spacing w:after="240"/>
        <w:jc w:val="center"/>
        <w:rPr>
          <w:b/>
        </w:rPr>
        <w:sectPr w:rsidR="00477A64" w:rsidRPr="00765981" w:rsidSect="002F2E98">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pPr>
    </w:p>
    <w:p w14:paraId="684E6F59" w14:textId="77777777" w:rsidR="00477A64" w:rsidRPr="006524DF" w:rsidRDefault="00477A64" w:rsidP="00477A64">
      <w:pPr>
        <w:widowControl w:val="0"/>
        <w:spacing w:after="240"/>
        <w:jc w:val="center"/>
        <w:rPr>
          <w:b/>
        </w:rPr>
      </w:pPr>
      <w:r w:rsidRPr="006524DF">
        <w:rPr>
          <w:b/>
        </w:rPr>
        <w:lastRenderedPageBreak/>
        <w:t xml:space="preserve">Annex II </w:t>
      </w:r>
    </w:p>
    <w:p w14:paraId="24128D5D" w14:textId="77777777" w:rsidR="00477A64" w:rsidRPr="006524DF" w:rsidRDefault="00477A64" w:rsidP="00477A64">
      <w:pPr>
        <w:widowControl w:val="0"/>
        <w:spacing w:after="240"/>
        <w:jc w:val="center"/>
        <w:rPr>
          <w:b/>
        </w:rPr>
      </w:pPr>
      <w:r w:rsidRPr="006524DF">
        <w:rPr>
          <w:b/>
        </w:rPr>
        <w:t>INDIVIDUAL PCRs RECEIVED</w:t>
      </w:r>
    </w:p>
    <w:tbl>
      <w:tblPr>
        <w:tblW w:w="9464" w:type="dxa"/>
        <w:tblLayout w:type="fixed"/>
        <w:tblLook w:val="04A0" w:firstRow="1" w:lastRow="0" w:firstColumn="1" w:lastColumn="0" w:noHBand="0" w:noVBand="1"/>
      </w:tblPr>
      <w:tblGrid>
        <w:gridCol w:w="2235"/>
        <w:gridCol w:w="1270"/>
        <w:gridCol w:w="5959"/>
      </w:tblGrid>
      <w:tr w:rsidR="00477A64" w:rsidRPr="006524DF" w14:paraId="272D63AD" w14:textId="77777777" w:rsidTr="00767C66">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76C5EF11" w14:textId="77777777" w:rsidR="00477A64" w:rsidRPr="006524DF" w:rsidRDefault="00477A64" w:rsidP="00767C66">
            <w:pPr>
              <w:widowControl w:val="0"/>
              <w:jc w:val="center"/>
              <w:rPr>
                <w:b/>
                <w:bCs/>
                <w:sz w:val="20"/>
                <w:szCs w:val="20"/>
                <w:lang w:val="en-CA" w:eastAsia="en-CA"/>
              </w:rPr>
            </w:pPr>
            <w:r w:rsidRPr="006524DF">
              <w:rPr>
                <w:b/>
                <w:bCs/>
                <w:sz w:val="20"/>
                <w:szCs w:val="20"/>
                <w:lang w:val="en-CA" w:eastAsia="en-CA"/>
              </w:rPr>
              <w:t>Code</w:t>
            </w:r>
          </w:p>
        </w:tc>
        <w:tc>
          <w:tcPr>
            <w:tcW w:w="1270" w:type="dxa"/>
            <w:tcBorders>
              <w:top w:val="single" w:sz="4" w:space="0" w:color="auto"/>
              <w:left w:val="nil"/>
              <w:bottom w:val="single" w:sz="4" w:space="0" w:color="auto"/>
              <w:right w:val="single" w:sz="4" w:space="0" w:color="auto"/>
            </w:tcBorders>
            <w:shd w:val="clear" w:color="auto" w:fill="auto"/>
            <w:hideMark/>
          </w:tcPr>
          <w:p w14:paraId="2271478E" w14:textId="77777777" w:rsidR="00477A64" w:rsidRPr="006524DF" w:rsidRDefault="00477A64" w:rsidP="00767C66">
            <w:pPr>
              <w:widowControl w:val="0"/>
              <w:jc w:val="center"/>
              <w:rPr>
                <w:b/>
                <w:bCs/>
                <w:sz w:val="20"/>
                <w:szCs w:val="20"/>
                <w:lang w:val="en-CA" w:eastAsia="en-CA"/>
              </w:rPr>
            </w:pPr>
            <w:r w:rsidRPr="006524DF">
              <w:rPr>
                <w:b/>
                <w:bCs/>
                <w:sz w:val="20"/>
                <w:szCs w:val="20"/>
                <w:lang w:val="en-CA" w:eastAsia="en-CA"/>
              </w:rPr>
              <w:t>Agency</w:t>
            </w:r>
          </w:p>
        </w:tc>
        <w:tc>
          <w:tcPr>
            <w:tcW w:w="5959" w:type="dxa"/>
            <w:tcBorders>
              <w:top w:val="single" w:sz="4" w:space="0" w:color="auto"/>
              <w:left w:val="nil"/>
              <w:bottom w:val="single" w:sz="4" w:space="0" w:color="auto"/>
              <w:right w:val="single" w:sz="4" w:space="0" w:color="auto"/>
            </w:tcBorders>
            <w:shd w:val="clear" w:color="auto" w:fill="auto"/>
            <w:hideMark/>
          </w:tcPr>
          <w:p w14:paraId="6ED2C71C" w14:textId="77777777" w:rsidR="00477A64" w:rsidRPr="006524DF" w:rsidRDefault="00477A64" w:rsidP="00767C66">
            <w:pPr>
              <w:widowControl w:val="0"/>
              <w:jc w:val="center"/>
              <w:rPr>
                <w:b/>
                <w:bCs/>
                <w:sz w:val="20"/>
                <w:szCs w:val="20"/>
                <w:lang w:val="en-CA" w:eastAsia="en-CA"/>
              </w:rPr>
            </w:pPr>
            <w:r w:rsidRPr="006524DF">
              <w:rPr>
                <w:b/>
                <w:bCs/>
                <w:sz w:val="20"/>
                <w:szCs w:val="20"/>
                <w:lang w:val="en-CA" w:eastAsia="en-CA"/>
              </w:rPr>
              <w:t>Project Title</w:t>
            </w:r>
          </w:p>
        </w:tc>
      </w:tr>
      <w:tr w:rsidR="00477A64" w:rsidRPr="006524DF" w14:paraId="6468BA81" w14:textId="77777777" w:rsidTr="00767C66">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1355A9E9" w14:textId="77777777" w:rsidR="00477A64" w:rsidRPr="006524DF" w:rsidRDefault="00477A64" w:rsidP="00767C66">
            <w:pPr>
              <w:widowControl w:val="0"/>
              <w:jc w:val="left"/>
              <w:rPr>
                <w:b/>
                <w:bCs/>
                <w:sz w:val="20"/>
                <w:szCs w:val="20"/>
                <w:lang w:val="en-CA" w:eastAsia="en-CA"/>
              </w:rPr>
            </w:pPr>
            <w:r w:rsidRPr="006524DF">
              <w:rPr>
                <w:sz w:val="20"/>
                <w:szCs w:val="20"/>
                <w:lang w:val="en-CA" w:eastAsia="en-CA"/>
              </w:rPr>
              <w:t>COI/PHA/80/TAS/26</w:t>
            </w:r>
          </w:p>
        </w:tc>
        <w:tc>
          <w:tcPr>
            <w:tcW w:w="1270" w:type="dxa"/>
            <w:tcBorders>
              <w:top w:val="single" w:sz="4" w:space="0" w:color="auto"/>
              <w:left w:val="nil"/>
              <w:bottom w:val="single" w:sz="4" w:space="0" w:color="auto"/>
              <w:right w:val="single" w:sz="4" w:space="0" w:color="auto"/>
            </w:tcBorders>
            <w:shd w:val="clear" w:color="auto" w:fill="auto"/>
            <w:vAlign w:val="center"/>
          </w:tcPr>
          <w:p w14:paraId="5863FCC0" w14:textId="77777777" w:rsidR="00477A64" w:rsidRPr="006524DF" w:rsidRDefault="00477A64" w:rsidP="00767C66">
            <w:pPr>
              <w:widowControl w:val="0"/>
              <w:jc w:val="left"/>
              <w:rPr>
                <w:bCs/>
                <w:sz w:val="20"/>
                <w:szCs w:val="20"/>
                <w:lang w:val="en-CA" w:eastAsia="en-CA"/>
              </w:rPr>
            </w:pPr>
            <w:r w:rsidRPr="006524DF">
              <w:rPr>
                <w:sz w:val="20"/>
                <w:szCs w:val="20"/>
                <w:lang w:val="en-CA" w:eastAsia="en-CA"/>
              </w:rPr>
              <w:t>UNEP</w:t>
            </w:r>
          </w:p>
        </w:tc>
        <w:tc>
          <w:tcPr>
            <w:tcW w:w="5959" w:type="dxa"/>
            <w:tcBorders>
              <w:top w:val="single" w:sz="4" w:space="0" w:color="auto"/>
              <w:left w:val="nil"/>
              <w:bottom w:val="single" w:sz="4" w:space="0" w:color="auto"/>
              <w:right w:val="single" w:sz="4" w:space="0" w:color="auto"/>
            </w:tcBorders>
            <w:shd w:val="clear" w:color="auto" w:fill="FFFFFF" w:themeFill="background1"/>
          </w:tcPr>
          <w:p w14:paraId="0EE438EE" w14:textId="77777777" w:rsidR="00477A64" w:rsidRPr="006524DF" w:rsidRDefault="00477A64" w:rsidP="00767C66">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77A64" w:rsidRPr="006524DF" w14:paraId="0557B926" w14:textId="77777777" w:rsidTr="00767C66">
        <w:tc>
          <w:tcPr>
            <w:tcW w:w="2235" w:type="dxa"/>
            <w:tcBorders>
              <w:top w:val="nil"/>
              <w:left w:val="single" w:sz="4" w:space="0" w:color="auto"/>
              <w:bottom w:val="single" w:sz="4" w:space="0" w:color="auto"/>
              <w:right w:val="single" w:sz="4" w:space="0" w:color="auto"/>
            </w:tcBorders>
            <w:shd w:val="clear" w:color="auto" w:fill="auto"/>
            <w:vAlign w:val="center"/>
            <w:hideMark/>
          </w:tcPr>
          <w:p w14:paraId="20C7E1F9" w14:textId="77777777" w:rsidR="00477A64" w:rsidRPr="006524DF" w:rsidRDefault="00477A64" w:rsidP="00767C66">
            <w:pPr>
              <w:widowControl w:val="0"/>
              <w:jc w:val="left"/>
              <w:rPr>
                <w:sz w:val="20"/>
                <w:szCs w:val="20"/>
                <w:lang w:val="en-CA" w:eastAsia="en-CA"/>
              </w:rPr>
            </w:pPr>
            <w:r w:rsidRPr="006524DF">
              <w:rPr>
                <w:sz w:val="20"/>
                <w:szCs w:val="20"/>
                <w:lang w:val="en-CA" w:eastAsia="en-CA"/>
              </w:rPr>
              <w:t>DJI/PHA/80/TAS/24</w:t>
            </w:r>
          </w:p>
        </w:tc>
        <w:tc>
          <w:tcPr>
            <w:tcW w:w="1270" w:type="dxa"/>
            <w:tcBorders>
              <w:top w:val="nil"/>
              <w:left w:val="nil"/>
              <w:bottom w:val="single" w:sz="4" w:space="0" w:color="auto"/>
              <w:right w:val="single" w:sz="4" w:space="0" w:color="auto"/>
            </w:tcBorders>
            <w:shd w:val="clear" w:color="auto" w:fill="auto"/>
            <w:vAlign w:val="center"/>
            <w:hideMark/>
          </w:tcPr>
          <w:p w14:paraId="2F34D1A5" w14:textId="77777777" w:rsidR="00477A64" w:rsidRPr="006524DF" w:rsidRDefault="00477A64" w:rsidP="00767C66">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FFFFFF" w:themeFill="background1"/>
            <w:vAlign w:val="center"/>
            <w:hideMark/>
          </w:tcPr>
          <w:p w14:paraId="185B65A9" w14:textId="77777777" w:rsidR="00477A64" w:rsidRPr="006524DF" w:rsidRDefault="00477A64" w:rsidP="00767C66">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77A64" w:rsidRPr="006524DF" w14:paraId="0BFA7208" w14:textId="77777777" w:rsidTr="00767C66">
        <w:tc>
          <w:tcPr>
            <w:tcW w:w="2235" w:type="dxa"/>
            <w:tcBorders>
              <w:top w:val="nil"/>
              <w:left w:val="single" w:sz="4" w:space="0" w:color="auto"/>
              <w:bottom w:val="single" w:sz="4" w:space="0" w:color="auto"/>
              <w:right w:val="single" w:sz="4" w:space="0" w:color="auto"/>
            </w:tcBorders>
            <w:shd w:val="clear" w:color="auto" w:fill="auto"/>
            <w:vAlign w:val="center"/>
          </w:tcPr>
          <w:p w14:paraId="1166957D" w14:textId="77777777" w:rsidR="00477A64" w:rsidRPr="006524DF" w:rsidRDefault="00477A64" w:rsidP="00767C66">
            <w:pPr>
              <w:widowControl w:val="0"/>
              <w:jc w:val="left"/>
              <w:rPr>
                <w:sz w:val="20"/>
                <w:szCs w:val="20"/>
                <w:lang w:val="en-CA" w:eastAsia="en-CA"/>
              </w:rPr>
            </w:pPr>
            <w:r w:rsidRPr="006524DF">
              <w:rPr>
                <w:sz w:val="20"/>
                <w:szCs w:val="20"/>
                <w:lang w:val="en-CA" w:eastAsia="en-CA"/>
              </w:rPr>
              <w:t>EUR/REF/76/DEM/16</w:t>
            </w:r>
          </w:p>
        </w:tc>
        <w:tc>
          <w:tcPr>
            <w:tcW w:w="1270" w:type="dxa"/>
            <w:tcBorders>
              <w:top w:val="nil"/>
              <w:left w:val="nil"/>
              <w:bottom w:val="single" w:sz="4" w:space="0" w:color="auto"/>
              <w:right w:val="single" w:sz="4" w:space="0" w:color="auto"/>
            </w:tcBorders>
            <w:shd w:val="clear" w:color="auto" w:fill="FFFFFF" w:themeFill="background1"/>
            <w:vAlign w:val="center"/>
          </w:tcPr>
          <w:p w14:paraId="2781961B" w14:textId="77777777" w:rsidR="00477A64" w:rsidRPr="006524DF" w:rsidRDefault="00477A64" w:rsidP="00767C66">
            <w:pPr>
              <w:widowControl w:val="0"/>
              <w:jc w:val="left"/>
              <w:rPr>
                <w:sz w:val="20"/>
                <w:szCs w:val="20"/>
                <w:lang w:val="en-CA" w:eastAsia="en-CA"/>
              </w:rPr>
            </w:pPr>
            <w:r w:rsidRPr="006524DF">
              <w:rPr>
                <w:sz w:val="20"/>
                <w:szCs w:val="20"/>
                <w:lang w:val="en-CA" w:eastAsia="en-CA"/>
              </w:rPr>
              <w:t>Russian Federation</w:t>
            </w:r>
          </w:p>
        </w:tc>
        <w:tc>
          <w:tcPr>
            <w:tcW w:w="5959" w:type="dxa"/>
            <w:tcBorders>
              <w:top w:val="nil"/>
              <w:left w:val="nil"/>
              <w:bottom w:val="single" w:sz="4" w:space="0" w:color="auto"/>
              <w:right w:val="single" w:sz="4" w:space="0" w:color="auto"/>
            </w:tcBorders>
            <w:shd w:val="clear" w:color="auto" w:fill="FFFFFF" w:themeFill="background1"/>
            <w:vAlign w:val="center"/>
          </w:tcPr>
          <w:p w14:paraId="31685E67" w14:textId="77777777" w:rsidR="00477A64" w:rsidRPr="006524DF" w:rsidRDefault="00477A64" w:rsidP="00767C66">
            <w:pPr>
              <w:widowControl w:val="0"/>
              <w:jc w:val="left"/>
              <w:rPr>
                <w:sz w:val="20"/>
                <w:szCs w:val="20"/>
                <w:lang w:val="en-CA" w:eastAsia="en-CA"/>
              </w:rPr>
            </w:pPr>
            <w:r w:rsidRPr="006524DF">
              <w:rPr>
                <w:sz w:val="20"/>
                <w:szCs w:val="20"/>
                <w:lang w:val="en-CA" w:eastAsia="en-CA"/>
              </w:rPr>
              <w:t>Development of a regional centre of excellence for training and certification and demonstration of low-global warming potential alternative refrigerants</w:t>
            </w:r>
          </w:p>
        </w:tc>
      </w:tr>
      <w:tr w:rsidR="00477A64" w:rsidRPr="006524DF" w14:paraId="590BD23B" w14:textId="77777777" w:rsidTr="00767C66">
        <w:tc>
          <w:tcPr>
            <w:tcW w:w="2235" w:type="dxa"/>
            <w:tcBorders>
              <w:top w:val="nil"/>
              <w:left w:val="single" w:sz="4" w:space="0" w:color="auto"/>
              <w:bottom w:val="single" w:sz="4" w:space="0" w:color="auto"/>
              <w:right w:val="single" w:sz="4" w:space="0" w:color="auto"/>
            </w:tcBorders>
            <w:shd w:val="clear" w:color="auto" w:fill="auto"/>
            <w:vAlign w:val="center"/>
          </w:tcPr>
          <w:p w14:paraId="21F563DE" w14:textId="77777777" w:rsidR="00477A64" w:rsidRPr="006524DF" w:rsidRDefault="00477A64" w:rsidP="00767C66">
            <w:pPr>
              <w:widowControl w:val="0"/>
              <w:jc w:val="left"/>
              <w:rPr>
                <w:sz w:val="20"/>
                <w:szCs w:val="20"/>
                <w:lang w:val="en-CA" w:eastAsia="en-CA"/>
              </w:rPr>
            </w:pPr>
            <w:r w:rsidRPr="006524DF">
              <w:rPr>
                <w:sz w:val="20"/>
                <w:szCs w:val="20"/>
                <w:lang w:val="en-CA" w:eastAsia="en-CA"/>
              </w:rPr>
              <w:t>GAB/PHA/80/TAS/35</w:t>
            </w:r>
          </w:p>
        </w:tc>
        <w:tc>
          <w:tcPr>
            <w:tcW w:w="1270" w:type="dxa"/>
            <w:tcBorders>
              <w:top w:val="nil"/>
              <w:left w:val="nil"/>
              <w:bottom w:val="single" w:sz="4" w:space="0" w:color="auto"/>
              <w:right w:val="single" w:sz="4" w:space="0" w:color="auto"/>
            </w:tcBorders>
            <w:shd w:val="clear" w:color="auto" w:fill="auto"/>
            <w:vAlign w:val="center"/>
          </w:tcPr>
          <w:p w14:paraId="5E04EFA6" w14:textId="77777777" w:rsidR="00477A64" w:rsidRPr="006524DF" w:rsidRDefault="00477A64" w:rsidP="00767C66">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7E6A8F63" w14:textId="77777777" w:rsidR="00477A64" w:rsidRPr="006524DF" w:rsidRDefault="00477A64" w:rsidP="00767C66">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77A64" w:rsidRPr="006524DF" w14:paraId="75C9A373" w14:textId="77777777" w:rsidTr="00767C66">
        <w:tc>
          <w:tcPr>
            <w:tcW w:w="2235" w:type="dxa"/>
            <w:tcBorders>
              <w:top w:val="nil"/>
              <w:left w:val="single" w:sz="4" w:space="0" w:color="auto"/>
              <w:bottom w:val="single" w:sz="4" w:space="0" w:color="auto"/>
              <w:right w:val="single" w:sz="4" w:space="0" w:color="auto"/>
            </w:tcBorders>
            <w:shd w:val="clear" w:color="auto" w:fill="auto"/>
            <w:vAlign w:val="center"/>
          </w:tcPr>
          <w:p w14:paraId="358D18A5" w14:textId="77777777" w:rsidR="00477A64" w:rsidRPr="006524DF" w:rsidRDefault="00477A64" w:rsidP="00767C66">
            <w:pPr>
              <w:widowControl w:val="0"/>
              <w:jc w:val="left"/>
              <w:rPr>
                <w:sz w:val="20"/>
                <w:szCs w:val="20"/>
                <w:lang w:val="en-CA" w:eastAsia="en-CA"/>
              </w:rPr>
            </w:pPr>
            <w:r w:rsidRPr="006524DF">
              <w:rPr>
                <w:sz w:val="20"/>
                <w:szCs w:val="20"/>
                <w:lang w:val="en-CA" w:eastAsia="en-CA"/>
              </w:rPr>
              <w:t>LAO/PHA/82/TAS/32</w:t>
            </w:r>
          </w:p>
        </w:tc>
        <w:tc>
          <w:tcPr>
            <w:tcW w:w="1270" w:type="dxa"/>
            <w:tcBorders>
              <w:top w:val="nil"/>
              <w:left w:val="nil"/>
              <w:bottom w:val="single" w:sz="4" w:space="0" w:color="auto"/>
              <w:right w:val="single" w:sz="4" w:space="0" w:color="auto"/>
            </w:tcBorders>
            <w:shd w:val="clear" w:color="auto" w:fill="auto"/>
            <w:vAlign w:val="center"/>
          </w:tcPr>
          <w:p w14:paraId="00F74B69" w14:textId="77777777" w:rsidR="00477A64" w:rsidRPr="006524DF" w:rsidRDefault="00477A64" w:rsidP="00767C66">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2A14A9FA" w14:textId="77777777" w:rsidR="00477A64" w:rsidRPr="006524DF" w:rsidRDefault="00477A64" w:rsidP="00767C66">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77A64" w:rsidRPr="006524DF" w14:paraId="68B7E3F7" w14:textId="77777777" w:rsidTr="00767C66">
        <w:tc>
          <w:tcPr>
            <w:tcW w:w="2235" w:type="dxa"/>
            <w:tcBorders>
              <w:top w:val="nil"/>
              <w:left w:val="single" w:sz="4" w:space="0" w:color="auto"/>
              <w:bottom w:val="single" w:sz="4" w:space="0" w:color="auto"/>
              <w:right w:val="single" w:sz="4" w:space="0" w:color="auto"/>
            </w:tcBorders>
            <w:shd w:val="clear" w:color="auto" w:fill="auto"/>
            <w:vAlign w:val="center"/>
          </w:tcPr>
          <w:p w14:paraId="539070FE" w14:textId="77777777" w:rsidR="00477A64" w:rsidRPr="006524DF" w:rsidRDefault="00477A64" w:rsidP="00767C66">
            <w:pPr>
              <w:widowControl w:val="0"/>
              <w:jc w:val="left"/>
              <w:rPr>
                <w:sz w:val="20"/>
                <w:szCs w:val="20"/>
                <w:lang w:val="en-CA" w:eastAsia="en-CA"/>
              </w:rPr>
            </w:pPr>
            <w:r w:rsidRPr="006524DF">
              <w:rPr>
                <w:sz w:val="20"/>
                <w:szCs w:val="20"/>
                <w:lang w:val="en-CA" w:eastAsia="en-CA"/>
              </w:rPr>
              <w:t>MON/PHA/82/TAS/28</w:t>
            </w:r>
          </w:p>
        </w:tc>
        <w:tc>
          <w:tcPr>
            <w:tcW w:w="1270" w:type="dxa"/>
            <w:tcBorders>
              <w:top w:val="nil"/>
              <w:left w:val="nil"/>
              <w:bottom w:val="single" w:sz="4" w:space="0" w:color="auto"/>
              <w:right w:val="single" w:sz="4" w:space="0" w:color="auto"/>
            </w:tcBorders>
            <w:shd w:val="clear" w:color="auto" w:fill="auto"/>
            <w:vAlign w:val="center"/>
          </w:tcPr>
          <w:p w14:paraId="674BAC65" w14:textId="77777777" w:rsidR="00477A64" w:rsidRPr="006524DF" w:rsidRDefault="00477A64" w:rsidP="00767C66">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FFFFFF" w:themeFill="background1"/>
            <w:vAlign w:val="center"/>
          </w:tcPr>
          <w:p w14:paraId="5D217CA6" w14:textId="77777777" w:rsidR="00477A64" w:rsidRPr="006524DF" w:rsidRDefault="00477A64" w:rsidP="00767C66">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77A64" w:rsidRPr="006524DF" w14:paraId="2C47AAA3" w14:textId="77777777" w:rsidTr="00767C66">
        <w:tc>
          <w:tcPr>
            <w:tcW w:w="2235" w:type="dxa"/>
            <w:tcBorders>
              <w:top w:val="nil"/>
              <w:left w:val="single" w:sz="4" w:space="0" w:color="auto"/>
              <w:bottom w:val="single" w:sz="4" w:space="0" w:color="auto"/>
              <w:right w:val="single" w:sz="4" w:space="0" w:color="auto"/>
            </w:tcBorders>
            <w:shd w:val="clear" w:color="auto" w:fill="auto"/>
            <w:vAlign w:val="center"/>
          </w:tcPr>
          <w:p w14:paraId="71B157A4" w14:textId="77777777" w:rsidR="00477A64" w:rsidRPr="006524DF" w:rsidRDefault="00477A64" w:rsidP="00767C66">
            <w:pPr>
              <w:widowControl w:val="0"/>
              <w:jc w:val="left"/>
              <w:rPr>
                <w:sz w:val="20"/>
                <w:szCs w:val="20"/>
                <w:lang w:val="en-CA" w:eastAsia="en-CA"/>
              </w:rPr>
            </w:pPr>
            <w:r w:rsidRPr="006524DF">
              <w:rPr>
                <w:sz w:val="20"/>
                <w:szCs w:val="20"/>
                <w:lang w:val="en-CA" w:eastAsia="en-CA"/>
              </w:rPr>
              <w:t>NEP/PHA/82/TAS/39</w:t>
            </w:r>
          </w:p>
        </w:tc>
        <w:tc>
          <w:tcPr>
            <w:tcW w:w="1270" w:type="dxa"/>
            <w:tcBorders>
              <w:top w:val="nil"/>
              <w:left w:val="nil"/>
              <w:bottom w:val="single" w:sz="4" w:space="0" w:color="auto"/>
              <w:right w:val="single" w:sz="4" w:space="0" w:color="auto"/>
            </w:tcBorders>
            <w:shd w:val="clear" w:color="auto" w:fill="auto"/>
            <w:vAlign w:val="center"/>
          </w:tcPr>
          <w:p w14:paraId="3B7C1169" w14:textId="77777777" w:rsidR="00477A64" w:rsidRPr="006524DF" w:rsidRDefault="00477A64" w:rsidP="00767C66">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FFFFFF" w:themeFill="background1"/>
            <w:vAlign w:val="center"/>
          </w:tcPr>
          <w:p w14:paraId="21B4B31A" w14:textId="77777777" w:rsidR="00477A64" w:rsidRPr="006524DF" w:rsidRDefault="00477A64" w:rsidP="00767C66">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77A64" w:rsidRPr="006524DF" w14:paraId="5F7E2023" w14:textId="77777777" w:rsidTr="00767C66">
        <w:tc>
          <w:tcPr>
            <w:tcW w:w="2235" w:type="dxa"/>
            <w:tcBorders>
              <w:top w:val="nil"/>
              <w:left w:val="single" w:sz="4" w:space="0" w:color="auto"/>
              <w:bottom w:val="single" w:sz="4" w:space="0" w:color="auto"/>
              <w:right w:val="single" w:sz="4" w:space="0" w:color="auto"/>
            </w:tcBorders>
            <w:shd w:val="clear" w:color="auto" w:fill="auto"/>
            <w:vAlign w:val="center"/>
          </w:tcPr>
          <w:p w14:paraId="5469FFE9" w14:textId="77777777" w:rsidR="00477A64" w:rsidRPr="006524DF" w:rsidRDefault="00477A64" w:rsidP="00767C66">
            <w:pPr>
              <w:widowControl w:val="0"/>
              <w:jc w:val="left"/>
              <w:rPr>
                <w:sz w:val="20"/>
                <w:szCs w:val="20"/>
                <w:lang w:val="en-CA" w:eastAsia="en-CA"/>
              </w:rPr>
            </w:pPr>
            <w:r w:rsidRPr="006524DF">
              <w:rPr>
                <w:sz w:val="20"/>
                <w:szCs w:val="20"/>
                <w:lang w:val="en-CA" w:eastAsia="en-CA"/>
              </w:rPr>
              <w:t>SAM/PHA/82/TAS/22</w:t>
            </w:r>
          </w:p>
        </w:tc>
        <w:tc>
          <w:tcPr>
            <w:tcW w:w="1270" w:type="dxa"/>
            <w:tcBorders>
              <w:top w:val="nil"/>
              <w:left w:val="nil"/>
              <w:bottom w:val="single" w:sz="4" w:space="0" w:color="auto"/>
              <w:right w:val="single" w:sz="4" w:space="0" w:color="auto"/>
            </w:tcBorders>
            <w:shd w:val="clear" w:color="auto" w:fill="auto"/>
            <w:vAlign w:val="center"/>
          </w:tcPr>
          <w:p w14:paraId="018B7F8A" w14:textId="77777777" w:rsidR="00477A64" w:rsidRPr="006524DF" w:rsidRDefault="00477A64" w:rsidP="00767C66">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FFFFFF" w:themeFill="background1"/>
            <w:vAlign w:val="center"/>
          </w:tcPr>
          <w:p w14:paraId="5FA88834" w14:textId="77777777" w:rsidR="00477A64" w:rsidRPr="006524DF" w:rsidRDefault="00477A64" w:rsidP="00767C66">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77A64" w:rsidRPr="006524DF" w14:paraId="7791C3F5" w14:textId="77777777" w:rsidTr="00767C66">
        <w:tc>
          <w:tcPr>
            <w:tcW w:w="2235" w:type="dxa"/>
            <w:tcBorders>
              <w:top w:val="nil"/>
              <w:left w:val="single" w:sz="4" w:space="0" w:color="auto"/>
              <w:bottom w:val="single" w:sz="4" w:space="0" w:color="auto"/>
              <w:right w:val="single" w:sz="4" w:space="0" w:color="auto"/>
            </w:tcBorders>
            <w:shd w:val="clear" w:color="auto" w:fill="auto"/>
            <w:vAlign w:val="center"/>
          </w:tcPr>
          <w:p w14:paraId="04A3BD94" w14:textId="77777777" w:rsidR="00477A64" w:rsidRPr="006524DF" w:rsidRDefault="00477A64" w:rsidP="00767C66">
            <w:pPr>
              <w:widowControl w:val="0"/>
              <w:jc w:val="left"/>
              <w:rPr>
                <w:sz w:val="20"/>
                <w:szCs w:val="20"/>
                <w:lang w:val="en-CA" w:eastAsia="en-CA"/>
              </w:rPr>
            </w:pPr>
            <w:r w:rsidRPr="006524DF">
              <w:rPr>
                <w:sz w:val="20"/>
                <w:szCs w:val="20"/>
                <w:lang w:val="en-CA" w:eastAsia="en-CA"/>
              </w:rPr>
              <w:t>SOI/PHA/82/TAS/15</w:t>
            </w:r>
          </w:p>
        </w:tc>
        <w:tc>
          <w:tcPr>
            <w:tcW w:w="1270" w:type="dxa"/>
            <w:tcBorders>
              <w:top w:val="nil"/>
              <w:left w:val="nil"/>
              <w:bottom w:val="single" w:sz="4" w:space="0" w:color="auto"/>
              <w:right w:val="single" w:sz="4" w:space="0" w:color="auto"/>
            </w:tcBorders>
            <w:shd w:val="clear" w:color="auto" w:fill="auto"/>
            <w:vAlign w:val="center"/>
          </w:tcPr>
          <w:p w14:paraId="18AC8898" w14:textId="77777777" w:rsidR="00477A64" w:rsidRPr="006524DF" w:rsidRDefault="00477A64" w:rsidP="00767C66">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2E01010B" w14:textId="77777777" w:rsidR="00477A64" w:rsidRPr="006524DF" w:rsidRDefault="00477A64" w:rsidP="00767C66">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77A64" w:rsidRPr="006524DF" w14:paraId="47F938AF" w14:textId="77777777" w:rsidTr="00767C66">
        <w:tc>
          <w:tcPr>
            <w:tcW w:w="2235" w:type="dxa"/>
            <w:tcBorders>
              <w:top w:val="nil"/>
              <w:left w:val="single" w:sz="4" w:space="0" w:color="auto"/>
              <w:bottom w:val="single" w:sz="4" w:space="0" w:color="auto"/>
              <w:right w:val="single" w:sz="4" w:space="0" w:color="auto"/>
            </w:tcBorders>
            <w:shd w:val="clear" w:color="auto" w:fill="auto"/>
            <w:vAlign w:val="center"/>
          </w:tcPr>
          <w:p w14:paraId="2E177A5A" w14:textId="77777777" w:rsidR="00477A64" w:rsidRPr="006524DF" w:rsidRDefault="00477A64" w:rsidP="00767C66">
            <w:pPr>
              <w:widowControl w:val="0"/>
              <w:jc w:val="left"/>
              <w:rPr>
                <w:sz w:val="20"/>
                <w:szCs w:val="20"/>
                <w:lang w:val="en-CA" w:eastAsia="en-CA"/>
              </w:rPr>
            </w:pPr>
            <w:r w:rsidRPr="006524DF">
              <w:rPr>
                <w:sz w:val="20"/>
                <w:szCs w:val="20"/>
                <w:lang w:val="uz-Cyrl-UZ" w:eastAsia="en-CA"/>
              </w:rPr>
              <w:t>TOG/PHA/80/TAS/31  </w:t>
            </w:r>
          </w:p>
        </w:tc>
        <w:tc>
          <w:tcPr>
            <w:tcW w:w="1270" w:type="dxa"/>
            <w:tcBorders>
              <w:top w:val="nil"/>
              <w:left w:val="nil"/>
              <w:bottom w:val="single" w:sz="4" w:space="0" w:color="auto"/>
              <w:right w:val="single" w:sz="4" w:space="0" w:color="auto"/>
            </w:tcBorders>
            <w:shd w:val="clear" w:color="auto" w:fill="auto"/>
            <w:vAlign w:val="center"/>
          </w:tcPr>
          <w:p w14:paraId="55BD9B59" w14:textId="77777777" w:rsidR="00477A64" w:rsidRPr="006524DF" w:rsidRDefault="00477A64" w:rsidP="00767C66">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65FD7833" w14:textId="77777777" w:rsidR="00477A64" w:rsidRPr="006524DF" w:rsidRDefault="00477A64" w:rsidP="00767C66">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77A64" w:rsidRPr="006524DF" w14:paraId="4130B271" w14:textId="77777777" w:rsidTr="00767C66">
        <w:tc>
          <w:tcPr>
            <w:tcW w:w="2235" w:type="dxa"/>
            <w:tcBorders>
              <w:top w:val="nil"/>
              <w:left w:val="single" w:sz="4" w:space="0" w:color="auto"/>
              <w:bottom w:val="single" w:sz="4" w:space="0" w:color="auto"/>
              <w:right w:val="single" w:sz="4" w:space="0" w:color="auto"/>
            </w:tcBorders>
            <w:shd w:val="clear" w:color="auto" w:fill="auto"/>
            <w:vAlign w:val="center"/>
          </w:tcPr>
          <w:p w14:paraId="3F006A97" w14:textId="77777777" w:rsidR="00477A64" w:rsidRPr="006524DF" w:rsidRDefault="00477A64" w:rsidP="00767C66">
            <w:pPr>
              <w:widowControl w:val="0"/>
              <w:contextualSpacing/>
              <w:jc w:val="left"/>
              <w:rPr>
                <w:sz w:val="20"/>
                <w:szCs w:val="20"/>
                <w:lang w:val="uz-Cyrl-UZ" w:eastAsia="en-CA"/>
              </w:rPr>
            </w:pPr>
            <w:r w:rsidRPr="006524DF">
              <w:rPr>
                <w:sz w:val="20"/>
                <w:szCs w:val="20"/>
                <w:lang w:val="en-CA" w:eastAsia="en-CA"/>
              </w:rPr>
              <w:t>TON/PHA/82/TAS/14</w:t>
            </w:r>
          </w:p>
        </w:tc>
        <w:tc>
          <w:tcPr>
            <w:tcW w:w="1270" w:type="dxa"/>
            <w:tcBorders>
              <w:top w:val="nil"/>
              <w:left w:val="nil"/>
              <w:bottom w:val="single" w:sz="4" w:space="0" w:color="auto"/>
              <w:right w:val="single" w:sz="4" w:space="0" w:color="auto"/>
            </w:tcBorders>
            <w:shd w:val="clear" w:color="auto" w:fill="auto"/>
            <w:vAlign w:val="center"/>
          </w:tcPr>
          <w:p w14:paraId="0E05F49B"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1585984E" w14:textId="77777777" w:rsidR="00477A64" w:rsidRPr="006524DF" w:rsidRDefault="00477A64" w:rsidP="00767C66">
            <w:pPr>
              <w:widowControl w:val="0"/>
              <w:contextualSpacing/>
              <w:jc w:val="left"/>
              <w:rPr>
                <w:bCs/>
                <w:sz w:val="20"/>
                <w:szCs w:val="20"/>
                <w:lang w:val="en-CA" w:eastAsia="en-CA"/>
              </w:rPr>
            </w:pPr>
            <w:r w:rsidRPr="006524DF">
              <w:rPr>
                <w:sz w:val="20"/>
                <w:szCs w:val="20"/>
                <w:lang w:val="en-CA" w:eastAsia="en-CA"/>
              </w:rPr>
              <w:t>Verification report on the implementation of the HCFC phase-out management plan</w:t>
            </w:r>
          </w:p>
        </w:tc>
      </w:tr>
      <w:tr w:rsidR="00477A64" w:rsidRPr="006524DF" w14:paraId="1B7244F3" w14:textId="77777777" w:rsidTr="00767C66">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43A652F"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TTR/PHA/82/TAS/14</w:t>
            </w:r>
          </w:p>
        </w:tc>
        <w:tc>
          <w:tcPr>
            <w:tcW w:w="1270" w:type="dxa"/>
            <w:tcBorders>
              <w:top w:val="single" w:sz="4" w:space="0" w:color="auto"/>
              <w:left w:val="nil"/>
              <w:bottom w:val="single" w:sz="4" w:space="0" w:color="auto"/>
              <w:right w:val="single" w:sz="4" w:space="0" w:color="auto"/>
            </w:tcBorders>
            <w:shd w:val="clear" w:color="auto" w:fill="auto"/>
            <w:vAlign w:val="center"/>
          </w:tcPr>
          <w:p w14:paraId="4F485E2A"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UNEP</w:t>
            </w:r>
          </w:p>
        </w:tc>
        <w:tc>
          <w:tcPr>
            <w:tcW w:w="5959" w:type="dxa"/>
            <w:tcBorders>
              <w:top w:val="single" w:sz="4" w:space="0" w:color="auto"/>
              <w:left w:val="nil"/>
              <w:bottom w:val="single" w:sz="4" w:space="0" w:color="auto"/>
              <w:right w:val="single" w:sz="4" w:space="0" w:color="auto"/>
            </w:tcBorders>
            <w:shd w:val="clear" w:color="auto" w:fill="auto"/>
            <w:vAlign w:val="center"/>
          </w:tcPr>
          <w:p w14:paraId="265163E6"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Verification report on the implementation of the HCFC phase-out management plan</w:t>
            </w:r>
          </w:p>
        </w:tc>
      </w:tr>
      <w:tr w:rsidR="00477A64" w:rsidRPr="006524DF" w14:paraId="09FB5956" w14:textId="77777777" w:rsidTr="00767C66">
        <w:tc>
          <w:tcPr>
            <w:tcW w:w="2235" w:type="dxa"/>
            <w:tcBorders>
              <w:top w:val="nil"/>
              <w:left w:val="single" w:sz="4" w:space="0" w:color="auto"/>
              <w:bottom w:val="single" w:sz="4" w:space="0" w:color="auto"/>
              <w:right w:val="single" w:sz="4" w:space="0" w:color="auto"/>
            </w:tcBorders>
            <w:shd w:val="clear" w:color="auto" w:fill="auto"/>
            <w:vAlign w:val="center"/>
          </w:tcPr>
          <w:p w14:paraId="09CBE251"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ZIM/PHA/75/TAS/52</w:t>
            </w:r>
          </w:p>
        </w:tc>
        <w:tc>
          <w:tcPr>
            <w:tcW w:w="1270" w:type="dxa"/>
            <w:tcBorders>
              <w:top w:val="nil"/>
              <w:left w:val="nil"/>
              <w:bottom w:val="single" w:sz="4" w:space="0" w:color="auto"/>
              <w:right w:val="single" w:sz="4" w:space="0" w:color="auto"/>
            </w:tcBorders>
            <w:shd w:val="clear" w:color="auto" w:fill="auto"/>
            <w:vAlign w:val="center"/>
          </w:tcPr>
          <w:p w14:paraId="6DB5EE34"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Germany</w:t>
            </w:r>
          </w:p>
        </w:tc>
        <w:tc>
          <w:tcPr>
            <w:tcW w:w="5959" w:type="dxa"/>
            <w:tcBorders>
              <w:top w:val="nil"/>
              <w:left w:val="nil"/>
              <w:bottom w:val="single" w:sz="4" w:space="0" w:color="auto"/>
              <w:right w:val="single" w:sz="4" w:space="0" w:color="auto"/>
            </w:tcBorders>
            <w:shd w:val="clear" w:color="auto" w:fill="auto"/>
            <w:vAlign w:val="center"/>
          </w:tcPr>
          <w:p w14:paraId="7780243E"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Verification report for stage I of HCFC phase-out management plan</w:t>
            </w:r>
          </w:p>
        </w:tc>
      </w:tr>
    </w:tbl>
    <w:p w14:paraId="0A9EE0A2" w14:textId="77777777" w:rsidR="00477A64" w:rsidRPr="00765981" w:rsidRDefault="00477A64" w:rsidP="00477A64">
      <w:pPr>
        <w:widowControl w:val="0"/>
        <w:spacing w:after="240"/>
        <w:rPr>
          <w:b/>
          <w:lang w:val="en-CA"/>
        </w:rPr>
        <w:sectPr w:rsidR="00477A64" w:rsidRPr="00765981" w:rsidSect="002F2E98">
          <w:headerReference w:type="even" r:id="rId21"/>
          <w:headerReference w:type="first" r:id="rId22"/>
          <w:footerReference w:type="first" r:id="rId23"/>
          <w:pgSz w:w="12240" w:h="15840" w:code="1"/>
          <w:pgMar w:top="720" w:right="1440" w:bottom="864" w:left="1440" w:header="720" w:footer="475" w:gutter="0"/>
          <w:pgNumType w:start="1"/>
          <w:cols w:space="720"/>
          <w:titlePg/>
        </w:sectPr>
      </w:pPr>
    </w:p>
    <w:p w14:paraId="0C1C56A9" w14:textId="77777777" w:rsidR="00477A64" w:rsidRPr="006524DF" w:rsidRDefault="00477A64" w:rsidP="00477A64">
      <w:pPr>
        <w:widowControl w:val="0"/>
        <w:spacing w:after="240"/>
        <w:jc w:val="center"/>
        <w:rPr>
          <w:b/>
        </w:rPr>
      </w:pPr>
      <w:r w:rsidRPr="006524DF">
        <w:rPr>
          <w:b/>
        </w:rPr>
        <w:lastRenderedPageBreak/>
        <w:t xml:space="preserve">Annex III </w:t>
      </w:r>
    </w:p>
    <w:p w14:paraId="36354086" w14:textId="77777777" w:rsidR="00477A64" w:rsidRPr="006524DF" w:rsidRDefault="00477A64" w:rsidP="00477A64">
      <w:pPr>
        <w:widowControl w:val="0"/>
        <w:spacing w:after="360"/>
        <w:jc w:val="center"/>
        <w:rPr>
          <w:b/>
          <w:sz w:val="24"/>
        </w:rPr>
      </w:pPr>
      <w:r w:rsidRPr="006524DF">
        <w:rPr>
          <w:b/>
        </w:rPr>
        <w:t>OUTSTANDING INDIVIDUAL PCRs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756"/>
        <w:gridCol w:w="5285"/>
      </w:tblGrid>
      <w:tr w:rsidR="00477A64" w:rsidRPr="006524DF" w14:paraId="43767681" w14:textId="77777777" w:rsidTr="00767C66">
        <w:trPr>
          <w:tblHeader/>
        </w:trPr>
        <w:tc>
          <w:tcPr>
            <w:tcW w:w="1235" w:type="pct"/>
            <w:tcBorders>
              <w:top w:val="single" w:sz="4" w:space="0" w:color="auto"/>
              <w:left w:val="single" w:sz="4" w:space="0" w:color="auto"/>
              <w:bottom w:val="single" w:sz="4" w:space="0" w:color="auto"/>
              <w:right w:val="single" w:sz="4" w:space="0" w:color="auto"/>
            </w:tcBorders>
            <w:vAlign w:val="center"/>
            <w:hideMark/>
          </w:tcPr>
          <w:p w14:paraId="33F9382F" w14:textId="77777777" w:rsidR="00477A64" w:rsidRPr="006524DF" w:rsidRDefault="00477A64" w:rsidP="00767C66">
            <w:pPr>
              <w:widowControl w:val="0"/>
              <w:contextualSpacing/>
              <w:jc w:val="left"/>
              <w:rPr>
                <w:b/>
                <w:bCs/>
                <w:sz w:val="20"/>
                <w:szCs w:val="20"/>
                <w:lang w:val="en-CA" w:eastAsia="en-CA"/>
              </w:rPr>
            </w:pPr>
            <w:r w:rsidRPr="006524DF">
              <w:rPr>
                <w:b/>
                <w:bCs/>
                <w:sz w:val="20"/>
                <w:szCs w:val="20"/>
                <w:lang w:val="en-CA" w:eastAsia="en-CA"/>
              </w:rPr>
              <w:t>Project Number</w:t>
            </w:r>
          </w:p>
        </w:tc>
        <w:tc>
          <w:tcPr>
            <w:tcW w:w="939" w:type="pct"/>
            <w:tcBorders>
              <w:top w:val="single" w:sz="4" w:space="0" w:color="auto"/>
              <w:left w:val="single" w:sz="4" w:space="0" w:color="auto"/>
              <w:bottom w:val="single" w:sz="4" w:space="0" w:color="auto"/>
              <w:right w:val="single" w:sz="4" w:space="0" w:color="auto"/>
            </w:tcBorders>
            <w:vAlign w:val="center"/>
            <w:hideMark/>
          </w:tcPr>
          <w:p w14:paraId="7AED454D" w14:textId="77777777" w:rsidR="00477A64" w:rsidRPr="006524DF" w:rsidRDefault="00477A64" w:rsidP="00767C66">
            <w:pPr>
              <w:widowControl w:val="0"/>
              <w:contextualSpacing/>
              <w:jc w:val="left"/>
              <w:rPr>
                <w:b/>
                <w:bCs/>
                <w:sz w:val="20"/>
                <w:szCs w:val="20"/>
                <w:lang w:val="en-CA" w:eastAsia="en-CA"/>
              </w:rPr>
            </w:pPr>
            <w:r w:rsidRPr="006524DF">
              <w:rPr>
                <w:b/>
                <w:bCs/>
                <w:sz w:val="20"/>
                <w:szCs w:val="20"/>
                <w:lang w:val="en-CA" w:eastAsia="en-CA"/>
              </w:rPr>
              <w:t>Agency</w:t>
            </w:r>
          </w:p>
        </w:tc>
        <w:tc>
          <w:tcPr>
            <w:tcW w:w="2826" w:type="pct"/>
            <w:tcBorders>
              <w:top w:val="single" w:sz="4" w:space="0" w:color="auto"/>
              <w:left w:val="single" w:sz="4" w:space="0" w:color="auto"/>
              <w:bottom w:val="single" w:sz="4" w:space="0" w:color="auto"/>
              <w:right w:val="single" w:sz="4" w:space="0" w:color="auto"/>
            </w:tcBorders>
            <w:vAlign w:val="center"/>
            <w:hideMark/>
          </w:tcPr>
          <w:p w14:paraId="7B88A031" w14:textId="77777777" w:rsidR="00477A64" w:rsidRPr="006524DF" w:rsidRDefault="00477A64" w:rsidP="00767C66">
            <w:pPr>
              <w:widowControl w:val="0"/>
              <w:contextualSpacing/>
              <w:jc w:val="left"/>
              <w:rPr>
                <w:b/>
                <w:bCs/>
                <w:sz w:val="20"/>
                <w:szCs w:val="20"/>
                <w:lang w:val="en-CA" w:eastAsia="en-CA"/>
              </w:rPr>
            </w:pPr>
            <w:r w:rsidRPr="006524DF">
              <w:rPr>
                <w:b/>
                <w:bCs/>
                <w:sz w:val="20"/>
                <w:szCs w:val="20"/>
                <w:lang w:val="en-CA" w:eastAsia="en-CA"/>
              </w:rPr>
              <w:t>Project Title</w:t>
            </w:r>
          </w:p>
        </w:tc>
      </w:tr>
      <w:tr w:rsidR="00477A64" w:rsidRPr="006524DF" w14:paraId="75B02B56"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32AD12B3"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ALB/PHA/82/TAS/37</w:t>
            </w:r>
          </w:p>
        </w:tc>
        <w:tc>
          <w:tcPr>
            <w:tcW w:w="939" w:type="pct"/>
            <w:tcBorders>
              <w:top w:val="single" w:sz="4" w:space="0" w:color="auto"/>
              <w:left w:val="single" w:sz="4" w:space="0" w:color="auto"/>
              <w:bottom w:val="single" w:sz="4" w:space="0" w:color="auto"/>
              <w:right w:val="single" w:sz="4" w:space="0" w:color="auto"/>
            </w:tcBorders>
            <w:vAlign w:val="center"/>
          </w:tcPr>
          <w:p w14:paraId="34B31CB8"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56618174" w14:textId="77777777" w:rsidR="00477A64" w:rsidRPr="006524DF" w:rsidRDefault="00477A64" w:rsidP="00767C66">
            <w:pPr>
              <w:widowControl w:val="0"/>
              <w:contextualSpacing/>
              <w:jc w:val="left"/>
              <w:rPr>
                <w:b/>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7A3A4EE9"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027B672D"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ARM/PHA/84/TAS/23</w:t>
            </w:r>
          </w:p>
        </w:tc>
        <w:tc>
          <w:tcPr>
            <w:tcW w:w="939" w:type="pct"/>
            <w:tcBorders>
              <w:top w:val="single" w:sz="4" w:space="0" w:color="auto"/>
              <w:left w:val="single" w:sz="4" w:space="0" w:color="auto"/>
              <w:bottom w:val="single" w:sz="4" w:space="0" w:color="auto"/>
              <w:right w:val="single" w:sz="4" w:space="0" w:color="auto"/>
            </w:tcBorders>
            <w:vAlign w:val="center"/>
          </w:tcPr>
          <w:p w14:paraId="5331D03C"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390E720E"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48469F13"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29F239F5"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ASP/REF/76/DEM/59</w:t>
            </w:r>
          </w:p>
        </w:tc>
        <w:tc>
          <w:tcPr>
            <w:tcW w:w="939" w:type="pct"/>
            <w:tcBorders>
              <w:top w:val="single" w:sz="4" w:space="0" w:color="auto"/>
              <w:left w:val="single" w:sz="4" w:space="0" w:color="auto"/>
              <w:bottom w:val="single" w:sz="4" w:space="0" w:color="auto"/>
              <w:right w:val="single" w:sz="4" w:space="0" w:color="auto"/>
            </w:tcBorders>
            <w:vAlign w:val="center"/>
          </w:tcPr>
          <w:p w14:paraId="4CA6227A"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1C857E2F"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Promoting alternative refrigerants in air-conditioning for high ambient countries in West Asia (PRAHA-II)</w:t>
            </w:r>
          </w:p>
        </w:tc>
      </w:tr>
      <w:tr w:rsidR="00477A64" w:rsidRPr="006524DF" w14:paraId="3BC51170"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5851791D"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BKF/PHA/84/TAS/40</w:t>
            </w:r>
          </w:p>
        </w:tc>
        <w:tc>
          <w:tcPr>
            <w:tcW w:w="939" w:type="pct"/>
            <w:tcBorders>
              <w:top w:val="single" w:sz="4" w:space="0" w:color="auto"/>
              <w:left w:val="single" w:sz="4" w:space="0" w:color="auto"/>
              <w:bottom w:val="single" w:sz="4" w:space="0" w:color="auto"/>
              <w:right w:val="single" w:sz="4" w:space="0" w:color="auto"/>
            </w:tcBorders>
            <w:vAlign w:val="center"/>
          </w:tcPr>
          <w:p w14:paraId="48A025E0"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42D9E222"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3AB5DDAF"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123ABC6C"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BOT/PHA/80/TAS/20</w:t>
            </w:r>
          </w:p>
        </w:tc>
        <w:tc>
          <w:tcPr>
            <w:tcW w:w="939" w:type="pct"/>
            <w:tcBorders>
              <w:top w:val="single" w:sz="4" w:space="0" w:color="auto"/>
              <w:left w:val="single" w:sz="4" w:space="0" w:color="auto"/>
              <w:bottom w:val="single" w:sz="4" w:space="0" w:color="auto"/>
              <w:right w:val="single" w:sz="4" w:space="0" w:color="auto"/>
            </w:tcBorders>
            <w:vAlign w:val="center"/>
          </w:tcPr>
          <w:p w14:paraId="725B40B1"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31CDAEC1"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29F52BB3"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6E06458F"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BZE/PHA/82/TAS/35</w:t>
            </w:r>
          </w:p>
        </w:tc>
        <w:tc>
          <w:tcPr>
            <w:tcW w:w="939" w:type="pct"/>
            <w:tcBorders>
              <w:top w:val="single" w:sz="4" w:space="0" w:color="auto"/>
              <w:left w:val="single" w:sz="4" w:space="0" w:color="auto"/>
              <w:bottom w:val="single" w:sz="4" w:space="0" w:color="auto"/>
              <w:right w:val="single" w:sz="4" w:space="0" w:color="auto"/>
            </w:tcBorders>
            <w:vAlign w:val="center"/>
          </w:tcPr>
          <w:p w14:paraId="01A767A1"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0E3F3587"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1AF45CA7"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3D9A4516"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CPR/ARS/56/INV/473</w:t>
            </w:r>
          </w:p>
        </w:tc>
        <w:tc>
          <w:tcPr>
            <w:tcW w:w="939" w:type="pct"/>
            <w:tcBorders>
              <w:top w:val="single" w:sz="4" w:space="0" w:color="auto"/>
              <w:left w:val="single" w:sz="4" w:space="0" w:color="auto"/>
              <w:bottom w:val="single" w:sz="4" w:space="0" w:color="auto"/>
              <w:right w:val="single" w:sz="4" w:space="0" w:color="auto"/>
            </w:tcBorders>
            <w:vAlign w:val="center"/>
          </w:tcPr>
          <w:p w14:paraId="62593106"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12BA950A"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Sector plan for phase-out of CFCs consumption in Metred</w:t>
            </w:r>
            <w:r w:rsidRPr="006524DF">
              <w:rPr>
                <w:bCs/>
                <w:sz w:val="20"/>
                <w:szCs w:val="20"/>
                <w:lang w:val="en-CA" w:eastAsia="en-CA"/>
              </w:rPr>
              <w:noBreakHyphen/>
              <w:t>Dose Inhalers sector</w:t>
            </w:r>
          </w:p>
        </w:tc>
      </w:tr>
      <w:tr w:rsidR="00477A64" w:rsidRPr="006524DF" w14:paraId="14C425A0"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2B93391A"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CUB/PHA/82/TAS/60</w:t>
            </w:r>
          </w:p>
        </w:tc>
        <w:tc>
          <w:tcPr>
            <w:tcW w:w="939" w:type="pct"/>
            <w:tcBorders>
              <w:top w:val="single" w:sz="4" w:space="0" w:color="auto"/>
              <w:left w:val="single" w:sz="4" w:space="0" w:color="auto"/>
              <w:bottom w:val="single" w:sz="4" w:space="0" w:color="auto"/>
              <w:right w:val="single" w:sz="4" w:space="0" w:color="auto"/>
            </w:tcBorders>
            <w:vAlign w:val="center"/>
          </w:tcPr>
          <w:p w14:paraId="4A026A65"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59B87743"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03C59EFD"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43E42E43"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DOM/REF/81/INV/64</w:t>
            </w:r>
          </w:p>
        </w:tc>
        <w:tc>
          <w:tcPr>
            <w:tcW w:w="939" w:type="pct"/>
            <w:tcBorders>
              <w:top w:val="single" w:sz="4" w:space="0" w:color="auto"/>
              <w:left w:val="single" w:sz="4" w:space="0" w:color="auto"/>
              <w:bottom w:val="single" w:sz="4" w:space="0" w:color="auto"/>
              <w:right w:val="single" w:sz="4" w:space="0" w:color="auto"/>
            </w:tcBorders>
            <w:vAlign w:val="center"/>
          </w:tcPr>
          <w:p w14:paraId="23CF9097"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Canada</w:t>
            </w:r>
          </w:p>
        </w:tc>
        <w:tc>
          <w:tcPr>
            <w:tcW w:w="2826" w:type="pct"/>
            <w:tcBorders>
              <w:top w:val="single" w:sz="4" w:space="0" w:color="auto"/>
              <w:left w:val="single" w:sz="4" w:space="0" w:color="auto"/>
              <w:bottom w:val="single" w:sz="4" w:space="0" w:color="auto"/>
              <w:right w:val="single" w:sz="4" w:space="0" w:color="auto"/>
            </w:tcBorders>
            <w:vAlign w:val="center"/>
          </w:tcPr>
          <w:p w14:paraId="6CEAB8EF"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Conversion of a commercial refrigerator manufacturing line at Fábrica de Refrigeradores Comerciales, SRL (FARCO) from HFC-134a and R-404A to propane (R-290) as refrigerant</w:t>
            </w:r>
          </w:p>
        </w:tc>
      </w:tr>
      <w:tr w:rsidR="00477A64" w:rsidRPr="006524DF" w14:paraId="1330B32C"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4F71149E"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ERI/PHA/82/TAS/17</w:t>
            </w:r>
          </w:p>
        </w:tc>
        <w:tc>
          <w:tcPr>
            <w:tcW w:w="939" w:type="pct"/>
            <w:tcBorders>
              <w:top w:val="single" w:sz="4" w:space="0" w:color="auto"/>
              <w:left w:val="single" w:sz="4" w:space="0" w:color="auto"/>
              <w:bottom w:val="single" w:sz="4" w:space="0" w:color="auto"/>
              <w:right w:val="single" w:sz="4" w:space="0" w:color="auto"/>
            </w:tcBorders>
            <w:vAlign w:val="center"/>
          </w:tcPr>
          <w:p w14:paraId="4030E0E4"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2E306F75"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3AD65DD7"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4E566664"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FIJ/PHA/82/TAS/35</w:t>
            </w:r>
          </w:p>
        </w:tc>
        <w:tc>
          <w:tcPr>
            <w:tcW w:w="939" w:type="pct"/>
            <w:tcBorders>
              <w:top w:val="single" w:sz="4" w:space="0" w:color="auto"/>
              <w:left w:val="single" w:sz="4" w:space="0" w:color="auto"/>
              <w:bottom w:val="single" w:sz="4" w:space="0" w:color="auto"/>
              <w:right w:val="single" w:sz="4" w:space="0" w:color="auto"/>
            </w:tcBorders>
            <w:vAlign w:val="center"/>
          </w:tcPr>
          <w:p w14:paraId="63A2E823"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7BB0706F"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1059A90A"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4CDAE356"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GAM/PHA/82/TAS/36</w:t>
            </w:r>
          </w:p>
        </w:tc>
        <w:tc>
          <w:tcPr>
            <w:tcW w:w="939" w:type="pct"/>
            <w:tcBorders>
              <w:top w:val="single" w:sz="4" w:space="0" w:color="auto"/>
              <w:left w:val="single" w:sz="4" w:space="0" w:color="auto"/>
              <w:bottom w:val="single" w:sz="4" w:space="0" w:color="auto"/>
              <w:right w:val="single" w:sz="4" w:space="0" w:color="auto"/>
            </w:tcBorders>
            <w:vAlign w:val="center"/>
          </w:tcPr>
          <w:p w14:paraId="0450391B"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14AB72A4"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435078A5"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5AB6A598"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GBS/PHA/82/TAS/25</w:t>
            </w:r>
          </w:p>
        </w:tc>
        <w:tc>
          <w:tcPr>
            <w:tcW w:w="939" w:type="pct"/>
            <w:tcBorders>
              <w:top w:val="single" w:sz="4" w:space="0" w:color="auto"/>
              <w:left w:val="single" w:sz="4" w:space="0" w:color="auto"/>
              <w:bottom w:val="single" w:sz="4" w:space="0" w:color="auto"/>
              <w:right w:val="single" w:sz="4" w:space="0" w:color="auto"/>
            </w:tcBorders>
            <w:vAlign w:val="center"/>
          </w:tcPr>
          <w:p w14:paraId="2BFBA491"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6FE51B2D"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74E0ED53"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01312FFB"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GLO/REF/47/DEM/268</w:t>
            </w:r>
          </w:p>
        </w:tc>
        <w:tc>
          <w:tcPr>
            <w:tcW w:w="939" w:type="pct"/>
            <w:tcBorders>
              <w:top w:val="single" w:sz="4" w:space="0" w:color="auto"/>
              <w:left w:val="single" w:sz="4" w:space="0" w:color="auto"/>
              <w:bottom w:val="single" w:sz="4" w:space="0" w:color="auto"/>
              <w:right w:val="single" w:sz="4" w:space="0" w:color="auto"/>
            </w:tcBorders>
            <w:noWrap/>
            <w:vAlign w:val="center"/>
          </w:tcPr>
          <w:p w14:paraId="570A6216"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4461BEC9"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Global chiller replacement project (China, India, Indonesia, Malaysia and Philippines)</w:t>
            </w:r>
          </w:p>
        </w:tc>
      </w:tr>
      <w:tr w:rsidR="00477A64" w:rsidRPr="006524DF" w14:paraId="6D0CE7D5"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73FD6DDA" w14:textId="77777777" w:rsidR="00477A64" w:rsidRPr="006524DF" w:rsidRDefault="00477A64" w:rsidP="00767C66">
            <w:pPr>
              <w:widowControl w:val="0"/>
              <w:contextualSpacing/>
              <w:jc w:val="left"/>
              <w:rPr>
                <w:b/>
                <w:bCs/>
                <w:sz w:val="20"/>
                <w:szCs w:val="20"/>
                <w:lang w:val="en-CA" w:eastAsia="en-CA"/>
              </w:rPr>
            </w:pPr>
            <w:r w:rsidRPr="006524DF">
              <w:rPr>
                <w:sz w:val="20"/>
                <w:szCs w:val="20"/>
                <w:lang w:val="en-CA" w:eastAsia="en-CA"/>
              </w:rPr>
              <w:t>GLO/SEV/47/TAS/269</w:t>
            </w:r>
          </w:p>
        </w:tc>
        <w:tc>
          <w:tcPr>
            <w:tcW w:w="939" w:type="pct"/>
            <w:tcBorders>
              <w:top w:val="single" w:sz="4" w:space="0" w:color="auto"/>
              <w:left w:val="single" w:sz="4" w:space="0" w:color="auto"/>
              <w:bottom w:val="single" w:sz="4" w:space="0" w:color="auto"/>
              <w:right w:val="single" w:sz="4" w:space="0" w:color="auto"/>
            </w:tcBorders>
            <w:vAlign w:val="center"/>
          </w:tcPr>
          <w:p w14:paraId="5C6C4931"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Portugal</w:t>
            </w:r>
          </w:p>
        </w:tc>
        <w:tc>
          <w:tcPr>
            <w:tcW w:w="2826" w:type="pct"/>
            <w:tcBorders>
              <w:top w:val="single" w:sz="4" w:space="0" w:color="auto"/>
              <w:left w:val="single" w:sz="4" w:space="0" w:color="auto"/>
              <w:bottom w:val="single" w:sz="4" w:space="0" w:color="auto"/>
              <w:right w:val="single" w:sz="4" w:space="0" w:color="auto"/>
            </w:tcBorders>
            <w:vAlign w:val="center"/>
          </w:tcPr>
          <w:p w14:paraId="4140C686"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Communication and cooperation support to Portuguese speaking countries (Angola, Cape Verde, East Timor, Guinea Bissau, Mozambique and Sao Tome and Principe)</w:t>
            </w:r>
          </w:p>
        </w:tc>
      </w:tr>
      <w:tr w:rsidR="00477A64" w:rsidRPr="006524DF" w14:paraId="76D34CE3"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2326B876"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GLO/SEV/63/TAS/309</w:t>
            </w:r>
          </w:p>
        </w:tc>
        <w:tc>
          <w:tcPr>
            <w:tcW w:w="939" w:type="pct"/>
            <w:tcBorders>
              <w:top w:val="single" w:sz="4" w:space="0" w:color="auto"/>
              <w:left w:val="single" w:sz="4" w:space="0" w:color="auto"/>
              <w:bottom w:val="single" w:sz="4" w:space="0" w:color="auto"/>
              <w:right w:val="single" w:sz="4" w:space="0" w:color="auto"/>
            </w:tcBorders>
            <w:noWrap/>
            <w:vAlign w:val="center"/>
          </w:tcPr>
          <w:p w14:paraId="1F7F57DE"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735AA0AF"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Resource mobilization for HCFC phase-out co-benefits study</w:t>
            </w:r>
          </w:p>
        </w:tc>
      </w:tr>
      <w:tr w:rsidR="00477A64" w:rsidRPr="006524DF" w14:paraId="6DE1B1F0"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23398F49"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IND/HAL/34/INV/315</w:t>
            </w:r>
          </w:p>
        </w:tc>
        <w:tc>
          <w:tcPr>
            <w:tcW w:w="939" w:type="pct"/>
            <w:tcBorders>
              <w:top w:val="single" w:sz="4" w:space="0" w:color="auto"/>
              <w:left w:val="single" w:sz="4" w:space="0" w:color="auto"/>
              <w:bottom w:val="single" w:sz="4" w:space="0" w:color="auto"/>
              <w:right w:val="single" w:sz="4" w:space="0" w:color="auto"/>
            </w:tcBorders>
            <w:noWrap/>
            <w:vAlign w:val="center"/>
          </w:tcPr>
          <w:p w14:paraId="723AAFDE"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5079DB5F"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Halon production and consumption sector phase out plan</w:t>
            </w:r>
          </w:p>
        </w:tc>
      </w:tr>
      <w:tr w:rsidR="00477A64" w:rsidRPr="006524DF" w14:paraId="1D6DACF3" w14:textId="77777777" w:rsidTr="00767C66">
        <w:tc>
          <w:tcPr>
            <w:tcW w:w="1235" w:type="pct"/>
            <w:tcBorders>
              <w:top w:val="single" w:sz="4" w:space="0" w:color="auto"/>
              <w:left w:val="single" w:sz="4" w:space="0" w:color="auto"/>
              <w:bottom w:val="single" w:sz="4" w:space="0" w:color="auto"/>
              <w:right w:val="single" w:sz="4" w:space="0" w:color="auto"/>
            </w:tcBorders>
            <w:vAlign w:val="center"/>
          </w:tcPr>
          <w:p w14:paraId="067429A5" w14:textId="77777777" w:rsidR="00477A64" w:rsidRPr="006524DF" w:rsidRDefault="00477A64" w:rsidP="00767C66">
            <w:pPr>
              <w:widowControl w:val="0"/>
              <w:contextualSpacing/>
              <w:jc w:val="left"/>
              <w:rPr>
                <w:b/>
                <w:bCs/>
                <w:sz w:val="20"/>
                <w:szCs w:val="20"/>
                <w:lang w:val="en-CA" w:eastAsia="en-CA"/>
              </w:rPr>
            </w:pPr>
            <w:r w:rsidRPr="006524DF">
              <w:rPr>
                <w:sz w:val="20"/>
                <w:szCs w:val="20"/>
                <w:lang w:val="en-CA" w:eastAsia="en-CA"/>
              </w:rPr>
              <w:t>JOR/FUM/29/INV/54</w:t>
            </w:r>
          </w:p>
        </w:tc>
        <w:tc>
          <w:tcPr>
            <w:tcW w:w="939" w:type="pct"/>
            <w:tcBorders>
              <w:top w:val="single" w:sz="4" w:space="0" w:color="auto"/>
              <w:left w:val="single" w:sz="4" w:space="0" w:color="auto"/>
              <w:bottom w:val="single" w:sz="4" w:space="0" w:color="auto"/>
              <w:right w:val="single" w:sz="4" w:space="0" w:color="auto"/>
            </w:tcBorders>
            <w:vAlign w:val="center"/>
          </w:tcPr>
          <w:p w14:paraId="316E5052"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Germany</w:t>
            </w:r>
          </w:p>
        </w:tc>
        <w:tc>
          <w:tcPr>
            <w:tcW w:w="2826" w:type="pct"/>
            <w:tcBorders>
              <w:top w:val="single" w:sz="4" w:space="0" w:color="auto"/>
              <w:left w:val="single" w:sz="4" w:space="0" w:color="auto"/>
              <w:bottom w:val="single" w:sz="4" w:space="0" w:color="auto"/>
              <w:right w:val="single" w:sz="4" w:space="0" w:color="auto"/>
            </w:tcBorders>
            <w:vAlign w:val="center"/>
          </w:tcPr>
          <w:p w14:paraId="700C2829"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Complete phase-out of the use of methyl bromide in Jordan</w:t>
            </w:r>
          </w:p>
        </w:tc>
      </w:tr>
      <w:tr w:rsidR="00477A64" w:rsidRPr="006524DF" w14:paraId="452E5093"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1390AA17"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JOR/PHA/38/INV/77</w:t>
            </w:r>
          </w:p>
        </w:tc>
        <w:tc>
          <w:tcPr>
            <w:tcW w:w="939" w:type="pct"/>
            <w:tcBorders>
              <w:top w:val="single" w:sz="4" w:space="0" w:color="auto"/>
              <w:left w:val="single" w:sz="4" w:space="0" w:color="auto"/>
              <w:bottom w:val="single" w:sz="4" w:space="0" w:color="auto"/>
              <w:right w:val="single" w:sz="4" w:space="0" w:color="auto"/>
            </w:tcBorders>
            <w:noWrap/>
            <w:vAlign w:val="center"/>
          </w:tcPr>
          <w:p w14:paraId="2FD9F698"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57D5EE93"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National ODS phase-out plan: aerosol, foam, MAC service and solvent sectors</w:t>
            </w:r>
          </w:p>
        </w:tc>
      </w:tr>
      <w:tr w:rsidR="00477A64" w:rsidRPr="006524DF" w14:paraId="49189A79"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1CD5E2B5"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JOR/REF/81/INV/103</w:t>
            </w:r>
          </w:p>
        </w:tc>
        <w:tc>
          <w:tcPr>
            <w:tcW w:w="939" w:type="pct"/>
            <w:tcBorders>
              <w:top w:val="single" w:sz="4" w:space="0" w:color="auto"/>
              <w:left w:val="single" w:sz="4" w:space="0" w:color="auto"/>
              <w:bottom w:val="single" w:sz="4" w:space="0" w:color="auto"/>
              <w:right w:val="single" w:sz="4" w:space="0" w:color="auto"/>
            </w:tcBorders>
            <w:noWrap/>
            <w:vAlign w:val="center"/>
          </w:tcPr>
          <w:p w14:paraId="54670249"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0ECF7DC5"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Conversion of large commercial unitary roof top air</w:t>
            </w:r>
            <w:r w:rsidRPr="006524DF">
              <w:rPr>
                <w:sz w:val="20"/>
                <w:szCs w:val="20"/>
                <w:lang w:val="en-CA" w:eastAsia="en-CA"/>
              </w:rPr>
              <w:noBreakHyphen/>
              <w:t>conditioning units of up to 400kW manufacturing facility from HFC (R134a, R-407C, R-410A) to propane R</w:t>
            </w:r>
            <w:r w:rsidRPr="006524DF">
              <w:rPr>
                <w:sz w:val="20"/>
                <w:szCs w:val="20"/>
                <w:lang w:val="en-CA" w:eastAsia="en-CA"/>
              </w:rPr>
              <w:noBreakHyphen/>
              <w:t>290 as refrigerant at Petra Engineering Industries Co.</w:t>
            </w:r>
          </w:p>
        </w:tc>
      </w:tr>
      <w:tr w:rsidR="00477A64" w:rsidRPr="006524DF" w14:paraId="680E0E68"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4FEAFEBB"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LEB/REF/81/INV/03+</w:t>
            </w:r>
          </w:p>
        </w:tc>
        <w:tc>
          <w:tcPr>
            <w:tcW w:w="939" w:type="pct"/>
            <w:tcBorders>
              <w:top w:val="single" w:sz="4" w:space="0" w:color="auto"/>
              <w:left w:val="single" w:sz="4" w:space="0" w:color="auto"/>
              <w:bottom w:val="single" w:sz="4" w:space="0" w:color="auto"/>
              <w:right w:val="single" w:sz="4" w:space="0" w:color="auto"/>
            </w:tcBorders>
            <w:noWrap/>
            <w:vAlign w:val="center"/>
          </w:tcPr>
          <w:p w14:paraId="053B1F8F"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48365956"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Conversion from HFC-134a and HFC-404A to R-600a and R</w:t>
            </w:r>
            <w:r w:rsidRPr="006524DF">
              <w:rPr>
                <w:sz w:val="20"/>
                <w:szCs w:val="20"/>
                <w:lang w:val="en-CA" w:eastAsia="en-CA"/>
              </w:rPr>
              <w:noBreakHyphen/>
              <w:t>290 in domestic refrigeration at Lematic Industries</w:t>
            </w:r>
          </w:p>
        </w:tc>
      </w:tr>
      <w:tr w:rsidR="00477A64" w:rsidRPr="006524DF" w14:paraId="3D6E4BC3"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7E4BA7A2"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LIR/PHA/85/TAS/29</w:t>
            </w:r>
          </w:p>
        </w:tc>
        <w:tc>
          <w:tcPr>
            <w:tcW w:w="939" w:type="pct"/>
            <w:tcBorders>
              <w:top w:val="single" w:sz="4" w:space="0" w:color="auto"/>
              <w:left w:val="single" w:sz="4" w:space="0" w:color="auto"/>
              <w:bottom w:val="single" w:sz="4" w:space="0" w:color="auto"/>
              <w:right w:val="single" w:sz="4" w:space="0" w:color="auto"/>
            </w:tcBorders>
            <w:noWrap/>
            <w:vAlign w:val="center"/>
          </w:tcPr>
          <w:p w14:paraId="376AFBB8"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Germany</w:t>
            </w:r>
          </w:p>
        </w:tc>
        <w:tc>
          <w:tcPr>
            <w:tcW w:w="2826" w:type="pct"/>
            <w:tcBorders>
              <w:top w:val="single" w:sz="4" w:space="0" w:color="auto"/>
              <w:left w:val="single" w:sz="4" w:space="0" w:color="auto"/>
              <w:bottom w:val="single" w:sz="4" w:space="0" w:color="auto"/>
              <w:right w:val="single" w:sz="4" w:space="0" w:color="auto"/>
            </w:tcBorders>
            <w:vAlign w:val="center"/>
          </w:tcPr>
          <w:p w14:paraId="1E47A414"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68AADF89"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4B5D5008"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MAG/PHA/82/TAS/31</w:t>
            </w:r>
          </w:p>
        </w:tc>
        <w:tc>
          <w:tcPr>
            <w:tcW w:w="939" w:type="pct"/>
            <w:tcBorders>
              <w:top w:val="single" w:sz="4" w:space="0" w:color="auto"/>
              <w:left w:val="single" w:sz="4" w:space="0" w:color="auto"/>
              <w:bottom w:val="single" w:sz="4" w:space="0" w:color="auto"/>
              <w:right w:val="single" w:sz="4" w:space="0" w:color="auto"/>
            </w:tcBorders>
            <w:noWrap/>
            <w:vAlign w:val="center"/>
          </w:tcPr>
          <w:p w14:paraId="55D414BA"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442C0AE6"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1673B660"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7E4E7DA2"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MEX/REF/81/INV/187</w:t>
            </w:r>
          </w:p>
        </w:tc>
        <w:tc>
          <w:tcPr>
            <w:tcW w:w="939" w:type="pct"/>
            <w:tcBorders>
              <w:top w:val="single" w:sz="4" w:space="0" w:color="auto"/>
              <w:left w:val="single" w:sz="4" w:space="0" w:color="auto"/>
              <w:bottom w:val="single" w:sz="4" w:space="0" w:color="auto"/>
              <w:right w:val="single" w:sz="4" w:space="0" w:color="auto"/>
            </w:tcBorders>
            <w:noWrap/>
            <w:vAlign w:val="center"/>
          </w:tcPr>
          <w:p w14:paraId="24369B27"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5DEADED7"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Conversion of domestic refrigeration manufacturing facility from HFC-134a to isobutane as a refrigerant and conversion of compressors manufacturing facility from HFC-134a-based to isobutane-based at Mabe Mexico</w:t>
            </w:r>
          </w:p>
        </w:tc>
      </w:tr>
      <w:tr w:rsidR="00477A64" w:rsidRPr="006524DF" w14:paraId="1FDE2E86"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7028334D"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lastRenderedPageBreak/>
              <w:t>MEX/REF/81/INV/188</w:t>
            </w:r>
          </w:p>
        </w:tc>
        <w:tc>
          <w:tcPr>
            <w:tcW w:w="939" w:type="pct"/>
            <w:tcBorders>
              <w:top w:val="single" w:sz="4" w:space="0" w:color="auto"/>
              <w:left w:val="single" w:sz="4" w:space="0" w:color="auto"/>
              <w:bottom w:val="single" w:sz="4" w:space="0" w:color="auto"/>
              <w:right w:val="single" w:sz="4" w:space="0" w:color="auto"/>
            </w:tcBorders>
            <w:noWrap/>
            <w:vAlign w:val="center"/>
          </w:tcPr>
          <w:p w14:paraId="5144F42D"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Canada</w:t>
            </w:r>
          </w:p>
        </w:tc>
        <w:tc>
          <w:tcPr>
            <w:tcW w:w="2826" w:type="pct"/>
            <w:tcBorders>
              <w:top w:val="single" w:sz="4" w:space="0" w:color="auto"/>
              <w:left w:val="single" w:sz="4" w:space="0" w:color="auto"/>
              <w:bottom w:val="single" w:sz="4" w:space="0" w:color="auto"/>
              <w:right w:val="single" w:sz="4" w:space="0" w:color="auto"/>
            </w:tcBorders>
            <w:vAlign w:val="center"/>
          </w:tcPr>
          <w:p w14:paraId="5D584F11"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Conversion of domestic refrigeration manufacturing facility from HFC-134a to isobutane as a refrigerant and conversion of compressors manufacturing facility from HFC-134a-based to isobutane-based at Mabe Mexico</w:t>
            </w:r>
          </w:p>
        </w:tc>
      </w:tr>
      <w:tr w:rsidR="00477A64" w:rsidRPr="006524DF" w14:paraId="7188C9DD"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29AB7B03"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MLW/PHA/82/TAS/44</w:t>
            </w:r>
          </w:p>
        </w:tc>
        <w:tc>
          <w:tcPr>
            <w:tcW w:w="939" w:type="pct"/>
            <w:tcBorders>
              <w:top w:val="single" w:sz="4" w:space="0" w:color="auto"/>
              <w:left w:val="single" w:sz="4" w:space="0" w:color="auto"/>
              <w:bottom w:val="single" w:sz="4" w:space="0" w:color="auto"/>
              <w:right w:val="single" w:sz="4" w:space="0" w:color="auto"/>
            </w:tcBorders>
            <w:noWrap/>
            <w:vAlign w:val="center"/>
          </w:tcPr>
          <w:p w14:paraId="329ADBA3"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79E8C2DE"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513C8A36"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27B51002"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MOG/PHA/84/TAS/14</w:t>
            </w:r>
          </w:p>
        </w:tc>
        <w:tc>
          <w:tcPr>
            <w:tcW w:w="939" w:type="pct"/>
            <w:tcBorders>
              <w:top w:val="single" w:sz="4" w:space="0" w:color="auto"/>
              <w:left w:val="single" w:sz="4" w:space="0" w:color="auto"/>
              <w:bottom w:val="single" w:sz="4" w:space="0" w:color="auto"/>
              <w:right w:val="single" w:sz="4" w:space="0" w:color="auto"/>
            </w:tcBorders>
            <w:noWrap/>
            <w:vAlign w:val="center"/>
          </w:tcPr>
          <w:p w14:paraId="6833E5C8"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2A030751"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0468C9D0"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1A8F2704"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NER/PHA/82/TAS/34</w:t>
            </w:r>
          </w:p>
        </w:tc>
        <w:tc>
          <w:tcPr>
            <w:tcW w:w="939" w:type="pct"/>
            <w:tcBorders>
              <w:top w:val="single" w:sz="4" w:space="0" w:color="auto"/>
              <w:left w:val="single" w:sz="4" w:space="0" w:color="auto"/>
              <w:bottom w:val="single" w:sz="4" w:space="0" w:color="auto"/>
              <w:right w:val="single" w:sz="4" w:space="0" w:color="auto"/>
            </w:tcBorders>
            <w:noWrap/>
            <w:vAlign w:val="center"/>
          </w:tcPr>
          <w:p w14:paraId="00D87F6D"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0C9D2A34"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676CB4FE"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4312E307"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 xml:space="preserve">ODS </w:t>
            </w:r>
            <w:r w:rsidRPr="006524DF">
              <w:rPr>
                <w:sz w:val="20"/>
                <w:szCs w:val="20"/>
                <w:lang w:val="en-CA" w:eastAsia="en-CA"/>
              </w:rPr>
              <w:t>alternative surveys</w:t>
            </w:r>
          </w:p>
        </w:tc>
        <w:tc>
          <w:tcPr>
            <w:tcW w:w="939" w:type="pct"/>
            <w:tcBorders>
              <w:top w:val="single" w:sz="4" w:space="0" w:color="auto"/>
              <w:left w:val="single" w:sz="4" w:space="0" w:color="auto"/>
              <w:bottom w:val="single" w:sz="4" w:space="0" w:color="auto"/>
              <w:right w:val="single" w:sz="4" w:space="0" w:color="auto"/>
            </w:tcBorders>
            <w:noWrap/>
            <w:vAlign w:val="center"/>
          </w:tcPr>
          <w:p w14:paraId="469C570D"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76C4653C"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Survey of ODS alternatives at the national level</w:t>
            </w:r>
          </w:p>
        </w:tc>
      </w:tr>
      <w:tr w:rsidR="00477A64" w:rsidRPr="006524DF" w14:paraId="4007CB6C"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50685A66"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SAU/REF/76/DEM/28</w:t>
            </w:r>
          </w:p>
        </w:tc>
        <w:tc>
          <w:tcPr>
            <w:tcW w:w="939" w:type="pct"/>
            <w:tcBorders>
              <w:top w:val="single" w:sz="4" w:space="0" w:color="auto"/>
              <w:left w:val="single" w:sz="4" w:space="0" w:color="auto"/>
              <w:bottom w:val="single" w:sz="4" w:space="0" w:color="auto"/>
              <w:right w:val="single" w:sz="4" w:space="0" w:color="auto"/>
            </w:tcBorders>
            <w:noWrap/>
            <w:vAlign w:val="center"/>
          </w:tcPr>
          <w:p w14:paraId="4E60EAFF"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772420B6"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Demonstration project on promoting HFO-based low-global</w:t>
            </w:r>
            <w:r w:rsidRPr="006524DF">
              <w:rPr>
                <w:sz w:val="20"/>
                <w:szCs w:val="20"/>
                <w:lang w:val="en-CA" w:eastAsia="en-CA"/>
              </w:rPr>
              <w:noBreakHyphen/>
              <w:t>warming potential refrigerants for air-conditioning sector in high ambient temperatures</w:t>
            </w:r>
          </w:p>
        </w:tc>
      </w:tr>
      <w:tr w:rsidR="00477A64" w:rsidRPr="006524DF" w14:paraId="6C24502C"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0613B7E5"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SRL/PHA/82/TAS/51</w:t>
            </w:r>
          </w:p>
        </w:tc>
        <w:tc>
          <w:tcPr>
            <w:tcW w:w="939" w:type="pct"/>
            <w:tcBorders>
              <w:top w:val="single" w:sz="4" w:space="0" w:color="auto"/>
              <w:left w:val="single" w:sz="4" w:space="0" w:color="auto"/>
              <w:bottom w:val="single" w:sz="4" w:space="0" w:color="auto"/>
              <w:right w:val="single" w:sz="4" w:space="0" w:color="auto"/>
            </w:tcBorders>
            <w:noWrap/>
            <w:vAlign w:val="center"/>
          </w:tcPr>
          <w:p w14:paraId="3D826E82"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4FD65268"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21D9F678"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48249382"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STP/PHA/82/TAS/29</w:t>
            </w:r>
          </w:p>
        </w:tc>
        <w:tc>
          <w:tcPr>
            <w:tcW w:w="939" w:type="pct"/>
            <w:tcBorders>
              <w:top w:val="single" w:sz="4" w:space="0" w:color="auto"/>
              <w:left w:val="single" w:sz="4" w:space="0" w:color="auto"/>
              <w:bottom w:val="single" w:sz="4" w:space="0" w:color="auto"/>
              <w:right w:val="single" w:sz="4" w:space="0" w:color="auto"/>
            </w:tcBorders>
            <w:noWrap/>
            <w:vAlign w:val="center"/>
          </w:tcPr>
          <w:p w14:paraId="3E3BAEE1"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12B0C09D"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6B071AB8"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41D10C3F"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STV/PHA/77/TAS/24</w:t>
            </w:r>
          </w:p>
        </w:tc>
        <w:tc>
          <w:tcPr>
            <w:tcW w:w="939" w:type="pct"/>
            <w:tcBorders>
              <w:top w:val="single" w:sz="4" w:space="0" w:color="auto"/>
              <w:left w:val="single" w:sz="4" w:space="0" w:color="auto"/>
              <w:bottom w:val="single" w:sz="4" w:space="0" w:color="auto"/>
              <w:right w:val="single" w:sz="4" w:space="0" w:color="auto"/>
            </w:tcBorders>
            <w:noWrap/>
            <w:vAlign w:val="center"/>
          </w:tcPr>
          <w:p w14:paraId="0BCF9EA3"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37058D36"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74725FBA"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0A98F756"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SWA/PHA/80/TAS/24</w:t>
            </w:r>
          </w:p>
        </w:tc>
        <w:tc>
          <w:tcPr>
            <w:tcW w:w="939" w:type="pct"/>
            <w:tcBorders>
              <w:top w:val="single" w:sz="4" w:space="0" w:color="auto"/>
              <w:left w:val="single" w:sz="4" w:space="0" w:color="auto"/>
              <w:bottom w:val="single" w:sz="4" w:space="0" w:color="auto"/>
              <w:right w:val="single" w:sz="4" w:space="0" w:color="auto"/>
            </w:tcBorders>
            <w:noWrap/>
            <w:vAlign w:val="center"/>
          </w:tcPr>
          <w:p w14:paraId="295566B3"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4C51AD4E" w14:textId="77777777" w:rsidR="00477A64" w:rsidRPr="006524DF" w:rsidRDefault="00477A64" w:rsidP="00767C66">
            <w:pPr>
              <w:widowControl w:val="0"/>
              <w:contextualSpacing/>
              <w:jc w:val="left"/>
              <w:rPr>
                <w:sz w:val="20"/>
                <w:szCs w:val="20"/>
                <w:lang w:val="en-CA" w:eastAsia="en-CA"/>
              </w:rPr>
            </w:pPr>
            <w:r w:rsidRPr="006524DF">
              <w:rPr>
                <w:sz w:val="20"/>
                <w:szCs w:val="20"/>
                <w:lang w:val="en-CA" w:eastAsia="en-CA"/>
              </w:rPr>
              <w:t>Verification report on the implementation of the HCFC phase</w:t>
            </w:r>
            <w:r w:rsidRPr="006524DF">
              <w:rPr>
                <w:sz w:val="20"/>
                <w:szCs w:val="20"/>
                <w:lang w:val="en-CA" w:eastAsia="en-CA"/>
              </w:rPr>
              <w:noBreakHyphen/>
              <w:t>out management plan</w:t>
            </w:r>
          </w:p>
        </w:tc>
      </w:tr>
      <w:tr w:rsidR="00477A64" w:rsidRPr="006524DF" w14:paraId="3AD7AE77"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62CF4CF7"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TKM/PHA/82/TAS/14</w:t>
            </w:r>
          </w:p>
        </w:tc>
        <w:tc>
          <w:tcPr>
            <w:tcW w:w="939" w:type="pct"/>
            <w:tcBorders>
              <w:top w:val="single" w:sz="4" w:space="0" w:color="auto"/>
              <w:left w:val="single" w:sz="4" w:space="0" w:color="auto"/>
              <w:bottom w:val="single" w:sz="4" w:space="0" w:color="auto"/>
              <w:right w:val="single" w:sz="4" w:space="0" w:color="auto"/>
            </w:tcBorders>
            <w:noWrap/>
            <w:vAlign w:val="center"/>
          </w:tcPr>
          <w:p w14:paraId="45C89D3C"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3C44EA27"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3A9FB0E5"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7F4CCBF7"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UGA/PHA/82/TAS/25</w:t>
            </w:r>
          </w:p>
        </w:tc>
        <w:tc>
          <w:tcPr>
            <w:tcW w:w="939" w:type="pct"/>
            <w:tcBorders>
              <w:top w:val="single" w:sz="4" w:space="0" w:color="auto"/>
              <w:left w:val="single" w:sz="4" w:space="0" w:color="auto"/>
              <w:bottom w:val="single" w:sz="4" w:space="0" w:color="auto"/>
              <w:right w:val="single" w:sz="4" w:space="0" w:color="auto"/>
            </w:tcBorders>
            <w:noWrap/>
            <w:vAlign w:val="center"/>
          </w:tcPr>
          <w:p w14:paraId="4039C089"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029C20B7"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3E437BFC"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1B5225AD"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URT/PHA/82/TAS/38</w:t>
            </w:r>
          </w:p>
        </w:tc>
        <w:tc>
          <w:tcPr>
            <w:tcW w:w="939" w:type="pct"/>
            <w:tcBorders>
              <w:top w:val="single" w:sz="4" w:space="0" w:color="auto"/>
              <w:left w:val="single" w:sz="4" w:space="0" w:color="auto"/>
              <w:bottom w:val="single" w:sz="4" w:space="0" w:color="auto"/>
              <w:right w:val="single" w:sz="4" w:space="0" w:color="auto"/>
            </w:tcBorders>
            <w:noWrap/>
            <w:vAlign w:val="center"/>
          </w:tcPr>
          <w:p w14:paraId="397C1838"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68B9E2ED"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769837B5"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3DF83CE0"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YUG/PHA/82/TAS/49</w:t>
            </w:r>
          </w:p>
        </w:tc>
        <w:tc>
          <w:tcPr>
            <w:tcW w:w="939" w:type="pct"/>
            <w:tcBorders>
              <w:top w:val="single" w:sz="4" w:space="0" w:color="auto"/>
              <w:left w:val="single" w:sz="4" w:space="0" w:color="auto"/>
              <w:bottom w:val="single" w:sz="4" w:space="0" w:color="auto"/>
              <w:right w:val="single" w:sz="4" w:space="0" w:color="auto"/>
            </w:tcBorders>
            <w:noWrap/>
            <w:vAlign w:val="center"/>
          </w:tcPr>
          <w:p w14:paraId="77443E67"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101AFE3E"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477A64" w:rsidRPr="006524DF" w14:paraId="5382AE1D" w14:textId="77777777" w:rsidTr="00767C66">
        <w:tc>
          <w:tcPr>
            <w:tcW w:w="1235" w:type="pct"/>
            <w:tcBorders>
              <w:top w:val="single" w:sz="4" w:space="0" w:color="auto"/>
              <w:left w:val="single" w:sz="4" w:space="0" w:color="auto"/>
              <w:bottom w:val="single" w:sz="4" w:space="0" w:color="auto"/>
              <w:right w:val="single" w:sz="4" w:space="0" w:color="auto"/>
            </w:tcBorders>
            <w:noWrap/>
            <w:vAlign w:val="center"/>
          </w:tcPr>
          <w:p w14:paraId="489E1AE2" w14:textId="77777777" w:rsidR="00477A64" w:rsidRPr="006524DF" w:rsidRDefault="00477A64" w:rsidP="00767C66">
            <w:pPr>
              <w:widowControl w:val="0"/>
              <w:contextualSpacing/>
              <w:jc w:val="left"/>
              <w:rPr>
                <w:bCs/>
                <w:sz w:val="20"/>
                <w:szCs w:val="20"/>
                <w:lang w:val="en-CA" w:eastAsia="en-CA"/>
              </w:rPr>
            </w:pPr>
            <w:r w:rsidRPr="006524DF">
              <w:rPr>
                <w:bCs/>
                <w:sz w:val="20"/>
                <w:szCs w:val="20"/>
                <w:lang w:val="en-CA" w:eastAsia="en-CA"/>
              </w:rPr>
              <w:t>ZAM/PHA/82/TAS/35</w:t>
            </w:r>
          </w:p>
        </w:tc>
        <w:tc>
          <w:tcPr>
            <w:tcW w:w="939" w:type="pct"/>
            <w:tcBorders>
              <w:top w:val="single" w:sz="4" w:space="0" w:color="auto"/>
              <w:left w:val="single" w:sz="4" w:space="0" w:color="auto"/>
              <w:bottom w:val="single" w:sz="4" w:space="0" w:color="auto"/>
              <w:right w:val="single" w:sz="4" w:space="0" w:color="auto"/>
            </w:tcBorders>
            <w:noWrap/>
            <w:vAlign w:val="center"/>
          </w:tcPr>
          <w:p w14:paraId="747A1AF4"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0B68EE17" w14:textId="77777777" w:rsidR="00477A64" w:rsidRPr="006524DF" w:rsidRDefault="00477A64" w:rsidP="00767C66">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bl>
    <w:p w14:paraId="575E6C7E" w14:textId="77777777" w:rsidR="00477A64" w:rsidRPr="00765981" w:rsidRDefault="00477A64" w:rsidP="00477A64">
      <w:pPr>
        <w:widowControl w:val="0"/>
        <w:spacing w:after="240"/>
        <w:rPr>
          <w:b/>
          <w:lang w:val="en-CA"/>
        </w:rPr>
      </w:pPr>
    </w:p>
    <w:p w14:paraId="5C75156F" w14:textId="77777777" w:rsidR="00477A64" w:rsidRPr="00765981" w:rsidRDefault="00477A64" w:rsidP="00477A64">
      <w:pPr>
        <w:widowControl w:val="0"/>
        <w:spacing w:after="240"/>
        <w:rPr>
          <w:b/>
          <w:lang w:val="en-CA"/>
        </w:rPr>
      </w:pPr>
    </w:p>
    <w:p w14:paraId="12C4203D" w14:textId="77777777" w:rsidR="00477A64" w:rsidRPr="00765981" w:rsidRDefault="00477A64" w:rsidP="00477A64">
      <w:pPr>
        <w:widowControl w:val="0"/>
        <w:spacing w:after="240"/>
        <w:rPr>
          <w:b/>
          <w:lang w:val="en-CA"/>
        </w:rPr>
        <w:sectPr w:rsidR="00477A64" w:rsidRPr="00765981" w:rsidSect="002F2E98">
          <w:headerReference w:type="even" r:id="rId24"/>
          <w:headerReference w:type="default" r:id="rId25"/>
          <w:headerReference w:type="first" r:id="rId26"/>
          <w:footerReference w:type="first" r:id="rId27"/>
          <w:pgSz w:w="12240" w:h="15840" w:code="1"/>
          <w:pgMar w:top="720" w:right="1440" w:bottom="864" w:left="1440" w:header="720" w:footer="475" w:gutter="0"/>
          <w:pgNumType w:start="1"/>
          <w:cols w:space="720"/>
          <w:titlePg/>
        </w:sectPr>
      </w:pPr>
    </w:p>
    <w:p w14:paraId="091580A2" w14:textId="77777777" w:rsidR="00477A64" w:rsidRPr="006524DF" w:rsidRDefault="00477A64" w:rsidP="00477A64">
      <w:pPr>
        <w:widowControl w:val="0"/>
        <w:spacing w:after="240"/>
        <w:jc w:val="center"/>
        <w:rPr>
          <w:b/>
        </w:rPr>
      </w:pPr>
      <w:r w:rsidRPr="006524DF">
        <w:rPr>
          <w:b/>
        </w:rPr>
        <w:lastRenderedPageBreak/>
        <w:t xml:space="preserve">Annex IV </w:t>
      </w:r>
    </w:p>
    <w:p w14:paraId="18F46A5F" w14:textId="77777777" w:rsidR="00477A64" w:rsidRPr="006524DF" w:rsidRDefault="00477A64" w:rsidP="00477A64">
      <w:pPr>
        <w:widowControl w:val="0"/>
        <w:spacing w:after="240"/>
        <w:jc w:val="center"/>
        <w:rPr>
          <w:b/>
        </w:rPr>
      </w:pPr>
      <w:r w:rsidRPr="006524DF">
        <w:rPr>
          <w:b/>
        </w:rPr>
        <w:t>OUTSTANDING PCRs BY DECISION</w:t>
      </w:r>
    </w:p>
    <w:tbl>
      <w:tblPr>
        <w:tblStyle w:val="TableGrid"/>
        <w:tblW w:w="9527" w:type="dxa"/>
        <w:tblLook w:val="04A0" w:firstRow="1" w:lastRow="0" w:firstColumn="1" w:lastColumn="0" w:noHBand="0" w:noVBand="1"/>
      </w:tblPr>
      <w:tblGrid>
        <w:gridCol w:w="2155"/>
        <w:gridCol w:w="4320"/>
        <w:gridCol w:w="3052"/>
      </w:tblGrid>
      <w:tr w:rsidR="00477A64" w:rsidRPr="006524DF" w14:paraId="2DD0C7AE" w14:textId="77777777" w:rsidTr="00767C66">
        <w:tc>
          <w:tcPr>
            <w:tcW w:w="2155" w:type="dxa"/>
            <w:vAlign w:val="center"/>
            <w:hideMark/>
          </w:tcPr>
          <w:p w14:paraId="73A175BB" w14:textId="77777777" w:rsidR="00477A64" w:rsidRPr="006524DF" w:rsidRDefault="00477A64" w:rsidP="00767C66">
            <w:pPr>
              <w:widowControl w:val="0"/>
              <w:jc w:val="center"/>
              <w:rPr>
                <w:b/>
                <w:sz w:val="20"/>
                <w:lang w:val="en-CA"/>
              </w:rPr>
            </w:pPr>
            <w:r w:rsidRPr="006524DF">
              <w:rPr>
                <w:b/>
                <w:sz w:val="20"/>
                <w:lang w:val="en-CA"/>
              </w:rPr>
              <w:t>Country</w:t>
            </w:r>
          </w:p>
        </w:tc>
        <w:tc>
          <w:tcPr>
            <w:tcW w:w="4320" w:type="dxa"/>
            <w:vAlign w:val="center"/>
            <w:hideMark/>
          </w:tcPr>
          <w:p w14:paraId="142E821E" w14:textId="77777777" w:rsidR="00477A64" w:rsidRPr="006524DF" w:rsidRDefault="00477A64" w:rsidP="00767C66">
            <w:pPr>
              <w:widowControl w:val="0"/>
              <w:jc w:val="center"/>
              <w:rPr>
                <w:b/>
                <w:sz w:val="20"/>
                <w:lang w:val="en-CA"/>
              </w:rPr>
            </w:pPr>
            <w:r w:rsidRPr="006524DF">
              <w:rPr>
                <w:b/>
                <w:sz w:val="20"/>
                <w:lang w:val="en-CA"/>
              </w:rPr>
              <w:t>MYA Sector/Title</w:t>
            </w:r>
          </w:p>
        </w:tc>
        <w:tc>
          <w:tcPr>
            <w:tcW w:w="3052" w:type="dxa"/>
            <w:vAlign w:val="center"/>
            <w:hideMark/>
          </w:tcPr>
          <w:p w14:paraId="5742840D" w14:textId="77777777" w:rsidR="00477A64" w:rsidRPr="006524DF" w:rsidRDefault="00477A64" w:rsidP="00767C66">
            <w:pPr>
              <w:widowControl w:val="0"/>
              <w:jc w:val="center"/>
              <w:rPr>
                <w:b/>
                <w:sz w:val="20"/>
                <w:lang w:val="en-CA"/>
              </w:rPr>
            </w:pPr>
            <w:r w:rsidRPr="006524DF">
              <w:rPr>
                <w:b/>
                <w:sz w:val="20"/>
                <w:lang w:val="en-CA"/>
              </w:rPr>
              <w:t>Lead agency and Cooperating agency</w:t>
            </w:r>
          </w:p>
        </w:tc>
      </w:tr>
      <w:tr w:rsidR="00477A64" w:rsidRPr="006524DF" w14:paraId="54EB6050" w14:textId="77777777" w:rsidTr="00767C66">
        <w:tc>
          <w:tcPr>
            <w:tcW w:w="2155" w:type="dxa"/>
            <w:vAlign w:val="center"/>
          </w:tcPr>
          <w:p w14:paraId="3D8939B3" w14:textId="77777777" w:rsidR="00477A64" w:rsidRPr="006524DF" w:rsidRDefault="00477A64" w:rsidP="00767C66">
            <w:pPr>
              <w:widowControl w:val="0"/>
              <w:jc w:val="left"/>
              <w:rPr>
                <w:sz w:val="20"/>
                <w:lang w:val="en-CA" w:eastAsia="en-CA"/>
              </w:rPr>
            </w:pPr>
            <w:r w:rsidRPr="006524DF">
              <w:rPr>
                <w:sz w:val="20"/>
                <w:lang w:val="en-CA" w:eastAsia="en-CA"/>
              </w:rPr>
              <w:t>Saudi Arabia</w:t>
            </w:r>
          </w:p>
        </w:tc>
        <w:tc>
          <w:tcPr>
            <w:tcW w:w="4320" w:type="dxa"/>
            <w:vAlign w:val="center"/>
          </w:tcPr>
          <w:p w14:paraId="5477598C" w14:textId="77777777" w:rsidR="00477A64" w:rsidRPr="006524DF" w:rsidRDefault="00477A64" w:rsidP="00767C66">
            <w:pPr>
              <w:widowControl w:val="0"/>
              <w:jc w:val="left"/>
              <w:rPr>
                <w:sz w:val="20"/>
                <w:lang w:val="en-CA" w:eastAsia="en-CA"/>
              </w:rPr>
            </w:pPr>
            <w:r w:rsidRPr="006524DF">
              <w:rPr>
                <w:sz w:val="20"/>
                <w:lang w:val="en-CA" w:eastAsia="en-CA"/>
              </w:rPr>
              <w:t>HCFC phase-out plan (stage I)</w:t>
            </w:r>
          </w:p>
        </w:tc>
        <w:tc>
          <w:tcPr>
            <w:tcW w:w="3052" w:type="dxa"/>
            <w:vAlign w:val="center"/>
          </w:tcPr>
          <w:p w14:paraId="01B341AE" w14:textId="77777777" w:rsidR="00477A64" w:rsidRPr="006524DF" w:rsidRDefault="00477A64" w:rsidP="00767C66">
            <w:pPr>
              <w:widowControl w:val="0"/>
              <w:jc w:val="left"/>
              <w:rPr>
                <w:sz w:val="20"/>
              </w:rPr>
            </w:pPr>
            <w:r w:rsidRPr="006524DF">
              <w:rPr>
                <w:b/>
                <w:sz w:val="20"/>
              </w:rPr>
              <w:t>UNIDO</w:t>
            </w:r>
            <w:r w:rsidRPr="006524DF">
              <w:rPr>
                <w:sz w:val="20"/>
              </w:rPr>
              <w:t>/UNEP/Japan</w:t>
            </w:r>
          </w:p>
        </w:tc>
      </w:tr>
    </w:tbl>
    <w:p w14:paraId="64DACE6E" w14:textId="77777777" w:rsidR="00477A64" w:rsidRPr="00765981" w:rsidRDefault="00477A64" w:rsidP="00477A64">
      <w:pPr>
        <w:widowControl w:val="0"/>
        <w:spacing w:after="240"/>
        <w:rPr>
          <w:sz w:val="20"/>
          <w:szCs w:val="20"/>
          <w:lang w:val="en-CA"/>
        </w:rPr>
      </w:pPr>
    </w:p>
    <w:p w14:paraId="392E3BFC" w14:textId="77777777" w:rsidR="00477A64" w:rsidRPr="00765981" w:rsidRDefault="00477A64" w:rsidP="00477A64">
      <w:pPr>
        <w:widowControl w:val="0"/>
        <w:spacing w:after="240"/>
        <w:jc w:val="center"/>
        <w:rPr>
          <w:b/>
          <w:lang w:val="en-CA"/>
        </w:rPr>
      </w:pPr>
    </w:p>
    <w:p w14:paraId="3DC00D36" w14:textId="77777777" w:rsidR="00477A64" w:rsidRPr="00765981" w:rsidRDefault="00477A64" w:rsidP="00477A64">
      <w:pPr>
        <w:widowControl w:val="0"/>
        <w:spacing w:after="240"/>
        <w:jc w:val="center"/>
        <w:rPr>
          <w:b/>
          <w:lang w:val="en-CA"/>
        </w:rPr>
        <w:sectPr w:rsidR="00477A64" w:rsidRPr="00765981" w:rsidSect="002F2E98">
          <w:headerReference w:type="first" r:id="rId28"/>
          <w:footerReference w:type="first" r:id="rId29"/>
          <w:pgSz w:w="12240" w:h="15840" w:code="1"/>
          <w:pgMar w:top="720" w:right="1440" w:bottom="864" w:left="1440" w:header="720" w:footer="475" w:gutter="0"/>
          <w:pgNumType w:start="1"/>
          <w:cols w:space="720"/>
          <w:titlePg/>
        </w:sectPr>
      </w:pPr>
    </w:p>
    <w:p w14:paraId="0BC7A238" w14:textId="77777777" w:rsidR="00477A64" w:rsidRPr="006524DF" w:rsidRDefault="00477A64" w:rsidP="00477A64">
      <w:pPr>
        <w:widowControl w:val="0"/>
        <w:spacing w:after="240"/>
        <w:jc w:val="center"/>
        <w:rPr>
          <w:b/>
        </w:rPr>
      </w:pPr>
      <w:r w:rsidRPr="006524DF">
        <w:rPr>
          <w:b/>
        </w:rPr>
        <w:lastRenderedPageBreak/>
        <w:t>Annex V</w:t>
      </w:r>
    </w:p>
    <w:p w14:paraId="04A6EA68" w14:textId="77777777" w:rsidR="00477A64" w:rsidRPr="006524DF" w:rsidRDefault="00477A64" w:rsidP="00477A64">
      <w:pPr>
        <w:widowControl w:val="0"/>
        <w:spacing w:after="240"/>
        <w:jc w:val="center"/>
        <w:rPr>
          <w:b/>
        </w:rPr>
      </w:pPr>
      <w:r w:rsidRPr="006524DF">
        <w:rPr>
          <w:b/>
        </w:rPr>
        <w:t>OUTSTANDING MYA PCRs</w:t>
      </w:r>
    </w:p>
    <w:tbl>
      <w:tblPr>
        <w:tblStyle w:val="TableGrid"/>
        <w:tblW w:w="0" w:type="auto"/>
        <w:tblLayout w:type="fixed"/>
        <w:tblLook w:val="04A0" w:firstRow="1" w:lastRow="0" w:firstColumn="1" w:lastColumn="0" w:noHBand="0" w:noVBand="1"/>
      </w:tblPr>
      <w:tblGrid>
        <w:gridCol w:w="1809"/>
        <w:gridCol w:w="3998"/>
        <w:gridCol w:w="3543"/>
      </w:tblGrid>
      <w:tr w:rsidR="00477A64" w:rsidRPr="006524DF" w14:paraId="5AF7EF9C" w14:textId="77777777" w:rsidTr="00767C66">
        <w:tc>
          <w:tcPr>
            <w:tcW w:w="1809" w:type="dxa"/>
            <w:tcBorders>
              <w:top w:val="single" w:sz="4" w:space="0" w:color="auto"/>
              <w:left w:val="single" w:sz="4" w:space="0" w:color="auto"/>
              <w:bottom w:val="single" w:sz="4" w:space="0" w:color="auto"/>
              <w:right w:val="single" w:sz="4" w:space="0" w:color="auto"/>
            </w:tcBorders>
            <w:vAlign w:val="center"/>
            <w:hideMark/>
          </w:tcPr>
          <w:p w14:paraId="127B43C4" w14:textId="77777777" w:rsidR="00477A64" w:rsidRPr="006524DF" w:rsidRDefault="00477A64" w:rsidP="00767C66">
            <w:pPr>
              <w:widowControl w:val="0"/>
              <w:jc w:val="center"/>
              <w:rPr>
                <w:b/>
                <w:sz w:val="20"/>
                <w:lang w:val="en-CA"/>
              </w:rPr>
            </w:pPr>
            <w:r w:rsidRPr="006524DF">
              <w:rPr>
                <w:b/>
                <w:sz w:val="20"/>
                <w:lang w:val="en-CA"/>
              </w:rPr>
              <w:t>Country</w:t>
            </w:r>
          </w:p>
        </w:tc>
        <w:tc>
          <w:tcPr>
            <w:tcW w:w="3998" w:type="dxa"/>
            <w:tcBorders>
              <w:top w:val="single" w:sz="4" w:space="0" w:color="auto"/>
              <w:left w:val="single" w:sz="4" w:space="0" w:color="auto"/>
              <w:bottom w:val="single" w:sz="4" w:space="0" w:color="auto"/>
              <w:right w:val="single" w:sz="4" w:space="0" w:color="auto"/>
            </w:tcBorders>
            <w:vAlign w:val="center"/>
            <w:hideMark/>
          </w:tcPr>
          <w:p w14:paraId="1DE38195" w14:textId="77777777" w:rsidR="00477A64" w:rsidRPr="006524DF" w:rsidRDefault="00477A64" w:rsidP="00767C66">
            <w:pPr>
              <w:widowControl w:val="0"/>
              <w:jc w:val="center"/>
              <w:rPr>
                <w:b/>
                <w:sz w:val="20"/>
                <w:lang w:val="en-CA"/>
              </w:rPr>
            </w:pPr>
            <w:r w:rsidRPr="006524DF">
              <w:rPr>
                <w:b/>
                <w:sz w:val="20"/>
                <w:lang w:val="en-CA"/>
              </w:rPr>
              <w:t>MYA Sector/Title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BEF00A1" w14:textId="77777777" w:rsidR="00477A64" w:rsidRPr="006524DF" w:rsidRDefault="00477A64" w:rsidP="00767C66">
            <w:pPr>
              <w:widowControl w:val="0"/>
              <w:jc w:val="center"/>
              <w:rPr>
                <w:b/>
                <w:sz w:val="20"/>
                <w:lang w:val="en-CA"/>
              </w:rPr>
            </w:pPr>
            <w:r w:rsidRPr="006524DF">
              <w:rPr>
                <w:b/>
                <w:sz w:val="20"/>
                <w:lang w:val="en-CA"/>
              </w:rPr>
              <w:t>Lead agency and Cooperating agency</w:t>
            </w:r>
          </w:p>
        </w:tc>
      </w:tr>
      <w:tr w:rsidR="00477A64" w:rsidRPr="006524DF" w14:paraId="4B2CEB40" w14:textId="77777777" w:rsidTr="00767C66">
        <w:tc>
          <w:tcPr>
            <w:tcW w:w="1809" w:type="dxa"/>
            <w:tcBorders>
              <w:top w:val="single" w:sz="4" w:space="0" w:color="auto"/>
              <w:left w:val="single" w:sz="4" w:space="0" w:color="auto"/>
              <w:bottom w:val="single" w:sz="4" w:space="0" w:color="auto"/>
              <w:right w:val="single" w:sz="4" w:space="0" w:color="auto"/>
            </w:tcBorders>
            <w:vAlign w:val="center"/>
          </w:tcPr>
          <w:p w14:paraId="74B02CAE" w14:textId="77777777" w:rsidR="00477A64" w:rsidRPr="006524DF" w:rsidRDefault="00477A64" w:rsidP="00767C66">
            <w:pPr>
              <w:widowControl w:val="0"/>
              <w:jc w:val="left"/>
              <w:rPr>
                <w:b/>
                <w:sz w:val="20"/>
                <w:lang w:val="en-CA"/>
              </w:rPr>
            </w:pPr>
            <w:r w:rsidRPr="006524DF">
              <w:rPr>
                <w:sz w:val="20"/>
                <w:lang w:val="en-CA"/>
              </w:rPr>
              <w:t>Argentina</w:t>
            </w:r>
          </w:p>
        </w:tc>
        <w:tc>
          <w:tcPr>
            <w:tcW w:w="3998" w:type="dxa"/>
            <w:tcBorders>
              <w:top w:val="single" w:sz="4" w:space="0" w:color="auto"/>
              <w:left w:val="single" w:sz="4" w:space="0" w:color="auto"/>
              <w:bottom w:val="single" w:sz="4" w:space="0" w:color="auto"/>
              <w:right w:val="single" w:sz="4" w:space="0" w:color="auto"/>
            </w:tcBorders>
            <w:vAlign w:val="center"/>
          </w:tcPr>
          <w:p w14:paraId="25AEF677" w14:textId="77777777" w:rsidR="00477A64" w:rsidRPr="006524DF" w:rsidRDefault="00477A64" w:rsidP="00767C66">
            <w:pPr>
              <w:widowControl w:val="0"/>
              <w:jc w:val="left"/>
              <w:rPr>
                <w:b/>
                <w:sz w:val="20"/>
                <w:lang w:val="en-CA"/>
              </w:rPr>
            </w:pPr>
            <w:r w:rsidRPr="006524DF">
              <w:rPr>
                <w:sz w:val="20"/>
                <w:lang w:val="en-CA" w:eastAsia="en-CA"/>
              </w:rPr>
              <w:t>HCFC phase-out plan (stage I)</w:t>
            </w:r>
          </w:p>
        </w:tc>
        <w:tc>
          <w:tcPr>
            <w:tcW w:w="3543" w:type="dxa"/>
            <w:tcBorders>
              <w:top w:val="single" w:sz="4" w:space="0" w:color="auto"/>
              <w:left w:val="single" w:sz="4" w:space="0" w:color="auto"/>
              <w:bottom w:val="single" w:sz="4" w:space="0" w:color="auto"/>
              <w:right w:val="single" w:sz="4" w:space="0" w:color="auto"/>
            </w:tcBorders>
            <w:vAlign w:val="center"/>
          </w:tcPr>
          <w:p w14:paraId="4431F265" w14:textId="77777777" w:rsidR="00477A64" w:rsidRPr="006524DF" w:rsidRDefault="00477A64" w:rsidP="00767C66">
            <w:pPr>
              <w:widowControl w:val="0"/>
              <w:jc w:val="left"/>
              <w:rPr>
                <w:b/>
                <w:sz w:val="20"/>
                <w:lang w:val="en-CA"/>
              </w:rPr>
            </w:pPr>
            <w:r w:rsidRPr="006524DF">
              <w:rPr>
                <w:b/>
                <w:sz w:val="20"/>
                <w:lang w:val="en-CA"/>
              </w:rPr>
              <w:t>UNIDO/</w:t>
            </w:r>
            <w:r w:rsidRPr="006524DF">
              <w:rPr>
                <w:sz w:val="20"/>
                <w:lang w:val="en-CA"/>
              </w:rPr>
              <w:t>World Bank/Italy</w:t>
            </w:r>
          </w:p>
        </w:tc>
      </w:tr>
      <w:tr w:rsidR="00477A64" w:rsidRPr="006524DF" w14:paraId="07523BFB" w14:textId="77777777" w:rsidTr="00767C66">
        <w:tc>
          <w:tcPr>
            <w:tcW w:w="1809" w:type="dxa"/>
            <w:tcBorders>
              <w:top w:val="single" w:sz="4" w:space="0" w:color="auto"/>
              <w:left w:val="single" w:sz="4" w:space="0" w:color="auto"/>
              <w:bottom w:val="single" w:sz="4" w:space="0" w:color="auto"/>
              <w:right w:val="single" w:sz="4" w:space="0" w:color="auto"/>
            </w:tcBorders>
            <w:vAlign w:val="center"/>
            <w:hideMark/>
          </w:tcPr>
          <w:p w14:paraId="1549D8EF" w14:textId="77777777" w:rsidR="00477A64" w:rsidRPr="006524DF" w:rsidRDefault="00477A64" w:rsidP="00767C66">
            <w:pPr>
              <w:widowControl w:val="0"/>
              <w:jc w:val="left"/>
              <w:rPr>
                <w:sz w:val="20"/>
                <w:lang w:val="en-CA"/>
              </w:rPr>
            </w:pPr>
            <w:r w:rsidRPr="006524DF">
              <w:rPr>
                <w:sz w:val="20"/>
                <w:lang w:val="en-CA"/>
              </w:rPr>
              <w:t>Argentina</w:t>
            </w:r>
          </w:p>
        </w:tc>
        <w:tc>
          <w:tcPr>
            <w:tcW w:w="3998" w:type="dxa"/>
            <w:tcBorders>
              <w:top w:val="single" w:sz="4" w:space="0" w:color="auto"/>
              <w:left w:val="single" w:sz="4" w:space="0" w:color="auto"/>
              <w:bottom w:val="single" w:sz="4" w:space="0" w:color="auto"/>
              <w:right w:val="single" w:sz="4" w:space="0" w:color="auto"/>
            </w:tcBorders>
            <w:vAlign w:val="center"/>
            <w:hideMark/>
          </w:tcPr>
          <w:p w14:paraId="4D1404C4" w14:textId="77777777" w:rsidR="00477A64" w:rsidRPr="006524DF" w:rsidRDefault="00477A64" w:rsidP="00767C66">
            <w:pPr>
              <w:widowControl w:val="0"/>
              <w:jc w:val="left"/>
              <w:rPr>
                <w:sz w:val="20"/>
                <w:lang w:val="en-CA"/>
              </w:rPr>
            </w:pPr>
            <w:r w:rsidRPr="006524DF">
              <w:rPr>
                <w:sz w:val="20"/>
                <w:lang w:val="en-CA"/>
              </w:rPr>
              <w:t>Production CFC</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407B909" w14:textId="77777777" w:rsidR="00477A64" w:rsidRPr="006524DF" w:rsidRDefault="00477A64" w:rsidP="00767C66">
            <w:pPr>
              <w:widowControl w:val="0"/>
              <w:jc w:val="left"/>
              <w:rPr>
                <w:b/>
                <w:sz w:val="20"/>
                <w:lang w:val="en-CA"/>
              </w:rPr>
            </w:pPr>
            <w:r w:rsidRPr="006524DF">
              <w:rPr>
                <w:b/>
                <w:sz w:val="20"/>
                <w:lang w:val="en-CA"/>
              </w:rPr>
              <w:t>World Bank</w:t>
            </w:r>
          </w:p>
        </w:tc>
      </w:tr>
      <w:tr w:rsidR="00477A64" w:rsidRPr="006524DF" w14:paraId="33EF0D4B" w14:textId="77777777" w:rsidTr="00767C66">
        <w:tc>
          <w:tcPr>
            <w:tcW w:w="1809" w:type="dxa"/>
            <w:tcBorders>
              <w:top w:val="single" w:sz="4" w:space="0" w:color="auto"/>
              <w:left w:val="single" w:sz="4" w:space="0" w:color="auto"/>
              <w:bottom w:val="single" w:sz="4" w:space="0" w:color="auto"/>
              <w:right w:val="single" w:sz="4" w:space="0" w:color="auto"/>
            </w:tcBorders>
            <w:vAlign w:val="center"/>
            <w:hideMark/>
          </w:tcPr>
          <w:p w14:paraId="78D3B803" w14:textId="77777777" w:rsidR="00477A64" w:rsidRPr="006524DF" w:rsidRDefault="00477A64" w:rsidP="00767C66">
            <w:pPr>
              <w:widowControl w:val="0"/>
              <w:jc w:val="left"/>
              <w:rPr>
                <w:sz w:val="20"/>
                <w:lang w:val="en-CA"/>
              </w:rPr>
            </w:pPr>
            <w:r w:rsidRPr="006524DF">
              <w:rPr>
                <w:sz w:val="20"/>
                <w:lang w:val="en-CA"/>
              </w:rPr>
              <w:t>Bahamas</w:t>
            </w:r>
          </w:p>
        </w:tc>
        <w:tc>
          <w:tcPr>
            <w:tcW w:w="3998" w:type="dxa"/>
            <w:tcBorders>
              <w:top w:val="single" w:sz="4" w:space="0" w:color="auto"/>
              <w:left w:val="single" w:sz="4" w:space="0" w:color="auto"/>
              <w:bottom w:val="single" w:sz="4" w:space="0" w:color="auto"/>
              <w:right w:val="single" w:sz="4" w:space="0" w:color="auto"/>
            </w:tcBorders>
            <w:vAlign w:val="center"/>
            <w:hideMark/>
          </w:tcPr>
          <w:p w14:paraId="6D475541" w14:textId="77777777" w:rsidR="00477A64" w:rsidRPr="006524DF" w:rsidRDefault="00477A64" w:rsidP="00767C66">
            <w:pPr>
              <w:widowControl w:val="0"/>
              <w:jc w:val="left"/>
              <w:rPr>
                <w:sz w:val="20"/>
                <w:lang w:val="en-US"/>
              </w:rPr>
            </w:pPr>
            <w:r w:rsidRPr="006524DF">
              <w:rPr>
                <w:sz w:val="20"/>
                <w:lang w:val="en-CA"/>
              </w:rPr>
              <w:t>CFC phase-out plan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49E9CB7" w14:textId="77777777" w:rsidR="00477A64" w:rsidRPr="006524DF" w:rsidRDefault="00477A64" w:rsidP="00767C66">
            <w:pPr>
              <w:widowControl w:val="0"/>
              <w:jc w:val="left"/>
              <w:rPr>
                <w:b/>
                <w:sz w:val="20"/>
                <w:lang w:val="en-CA"/>
              </w:rPr>
            </w:pPr>
            <w:r w:rsidRPr="006524DF">
              <w:rPr>
                <w:b/>
                <w:sz w:val="20"/>
                <w:lang w:val="en-CA"/>
              </w:rPr>
              <w:t>World Bank</w:t>
            </w:r>
          </w:p>
        </w:tc>
      </w:tr>
      <w:tr w:rsidR="00477A64" w:rsidRPr="006524DF" w14:paraId="1F58DE6E" w14:textId="77777777" w:rsidTr="00767C66">
        <w:tc>
          <w:tcPr>
            <w:tcW w:w="1809" w:type="dxa"/>
            <w:tcBorders>
              <w:top w:val="single" w:sz="4" w:space="0" w:color="auto"/>
              <w:left w:val="single" w:sz="4" w:space="0" w:color="auto"/>
              <w:bottom w:val="single" w:sz="4" w:space="0" w:color="auto"/>
              <w:right w:val="single" w:sz="4" w:space="0" w:color="auto"/>
            </w:tcBorders>
            <w:vAlign w:val="center"/>
            <w:hideMark/>
          </w:tcPr>
          <w:p w14:paraId="74DDD6E7" w14:textId="77777777" w:rsidR="00477A64" w:rsidRPr="006524DF" w:rsidRDefault="00477A64" w:rsidP="00767C66">
            <w:pPr>
              <w:widowControl w:val="0"/>
              <w:jc w:val="left"/>
              <w:rPr>
                <w:sz w:val="20"/>
                <w:lang w:val="en-CA"/>
              </w:rPr>
            </w:pPr>
            <w:r w:rsidRPr="006524DF">
              <w:rPr>
                <w:sz w:val="20"/>
                <w:lang w:val="en-CA"/>
              </w:rPr>
              <w:t>China</w:t>
            </w:r>
          </w:p>
        </w:tc>
        <w:tc>
          <w:tcPr>
            <w:tcW w:w="3998" w:type="dxa"/>
            <w:tcBorders>
              <w:top w:val="single" w:sz="4" w:space="0" w:color="auto"/>
              <w:left w:val="single" w:sz="4" w:space="0" w:color="auto"/>
              <w:bottom w:val="single" w:sz="4" w:space="0" w:color="auto"/>
              <w:right w:val="single" w:sz="4" w:space="0" w:color="auto"/>
            </w:tcBorders>
            <w:vAlign w:val="center"/>
            <w:hideMark/>
          </w:tcPr>
          <w:p w14:paraId="7D8A41E4" w14:textId="77777777" w:rsidR="00477A64" w:rsidRPr="006524DF" w:rsidRDefault="00477A64" w:rsidP="00767C66">
            <w:pPr>
              <w:widowControl w:val="0"/>
              <w:jc w:val="left"/>
              <w:rPr>
                <w:sz w:val="20"/>
                <w:lang w:val="en-CA"/>
              </w:rPr>
            </w:pPr>
            <w:r w:rsidRPr="006524DF">
              <w:rPr>
                <w:sz w:val="20"/>
                <w:lang w:val="en-CA"/>
              </w:rPr>
              <w:t>CFCs/CTC/Halon accelerated phase</w:t>
            </w:r>
            <w:r w:rsidRPr="006524DF">
              <w:rPr>
                <w:sz w:val="20"/>
                <w:lang w:val="en-CA"/>
              </w:rPr>
              <w:noBreakHyphen/>
              <w:t>out plan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C0ED046" w14:textId="77777777" w:rsidR="00477A64" w:rsidRPr="006524DF" w:rsidRDefault="00477A64" w:rsidP="00767C66">
            <w:pPr>
              <w:widowControl w:val="0"/>
              <w:jc w:val="left"/>
              <w:rPr>
                <w:b/>
                <w:sz w:val="20"/>
                <w:lang w:val="en-CA"/>
              </w:rPr>
            </w:pPr>
            <w:r w:rsidRPr="006524DF">
              <w:rPr>
                <w:b/>
                <w:sz w:val="20"/>
                <w:lang w:val="en-CA"/>
              </w:rPr>
              <w:t>World Bank</w:t>
            </w:r>
            <w:r w:rsidRPr="006524DF">
              <w:rPr>
                <w:sz w:val="20"/>
                <w:lang w:val="en-CA"/>
              </w:rPr>
              <w:t xml:space="preserve">/United States of America </w:t>
            </w:r>
          </w:p>
        </w:tc>
      </w:tr>
      <w:tr w:rsidR="00477A64" w:rsidRPr="006524DF" w14:paraId="71F29B7C" w14:textId="77777777" w:rsidTr="00767C66">
        <w:tc>
          <w:tcPr>
            <w:tcW w:w="1809" w:type="dxa"/>
            <w:tcBorders>
              <w:top w:val="single" w:sz="4" w:space="0" w:color="auto"/>
              <w:left w:val="single" w:sz="4" w:space="0" w:color="auto"/>
              <w:bottom w:val="single" w:sz="4" w:space="0" w:color="auto"/>
              <w:right w:val="single" w:sz="4" w:space="0" w:color="auto"/>
            </w:tcBorders>
            <w:vAlign w:val="center"/>
          </w:tcPr>
          <w:p w14:paraId="2F59E300" w14:textId="77777777" w:rsidR="00477A64" w:rsidRPr="006524DF" w:rsidRDefault="00477A64" w:rsidP="00767C66">
            <w:pPr>
              <w:widowControl w:val="0"/>
              <w:jc w:val="left"/>
              <w:rPr>
                <w:sz w:val="20"/>
                <w:lang w:val="en-CA"/>
              </w:rPr>
            </w:pPr>
            <w:r w:rsidRPr="006524DF">
              <w:rPr>
                <w:sz w:val="20"/>
                <w:lang w:val="en-CA"/>
              </w:rPr>
              <w:t>Costa Rica</w:t>
            </w:r>
          </w:p>
        </w:tc>
        <w:tc>
          <w:tcPr>
            <w:tcW w:w="3998" w:type="dxa"/>
            <w:tcBorders>
              <w:top w:val="single" w:sz="4" w:space="0" w:color="auto"/>
              <w:left w:val="single" w:sz="4" w:space="0" w:color="auto"/>
              <w:bottom w:val="single" w:sz="4" w:space="0" w:color="auto"/>
              <w:right w:val="single" w:sz="4" w:space="0" w:color="auto"/>
            </w:tcBorders>
            <w:vAlign w:val="center"/>
          </w:tcPr>
          <w:p w14:paraId="266643F4" w14:textId="77777777" w:rsidR="00477A64" w:rsidRPr="006524DF" w:rsidRDefault="00477A64" w:rsidP="00767C66">
            <w:pPr>
              <w:widowControl w:val="0"/>
              <w:jc w:val="left"/>
              <w:rPr>
                <w:sz w:val="20"/>
                <w:lang w:val="en-CA"/>
              </w:rPr>
            </w:pPr>
            <w:r w:rsidRPr="006524DF">
              <w:rPr>
                <w:sz w:val="20"/>
                <w:lang w:val="en-CA" w:eastAsia="en-CA"/>
              </w:rPr>
              <w:t>HCFC phase-out plan (stage I)</w:t>
            </w:r>
          </w:p>
        </w:tc>
        <w:tc>
          <w:tcPr>
            <w:tcW w:w="3543" w:type="dxa"/>
            <w:tcBorders>
              <w:top w:val="single" w:sz="4" w:space="0" w:color="auto"/>
              <w:left w:val="single" w:sz="4" w:space="0" w:color="auto"/>
              <w:bottom w:val="single" w:sz="4" w:space="0" w:color="auto"/>
              <w:right w:val="single" w:sz="4" w:space="0" w:color="auto"/>
            </w:tcBorders>
            <w:vAlign w:val="center"/>
          </w:tcPr>
          <w:p w14:paraId="3C49B006" w14:textId="77777777" w:rsidR="00477A64" w:rsidRPr="006524DF" w:rsidRDefault="00477A64" w:rsidP="00767C66">
            <w:pPr>
              <w:widowControl w:val="0"/>
              <w:jc w:val="left"/>
              <w:rPr>
                <w:b/>
                <w:sz w:val="20"/>
                <w:lang w:val="en-CA"/>
              </w:rPr>
            </w:pPr>
            <w:r w:rsidRPr="006524DF">
              <w:rPr>
                <w:b/>
                <w:sz w:val="20"/>
                <w:lang w:val="en-CA"/>
              </w:rPr>
              <w:t>UNDP</w:t>
            </w:r>
          </w:p>
        </w:tc>
      </w:tr>
      <w:tr w:rsidR="00477A64" w:rsidRPr="006524DF" w14:paraId="2F4199AE" w14:textId="77777777" w:rsidTr="00767C66">
        <w:tc>
          <w:tcPr>
            <w:tcW w:w="1809" w:type="dxa"/>
            <w:tcBorders>
              <w:top w:val="single" w:sz="4" w:space="0" w:color="auto"/>
              <w:left w:val="single" w:sz="4" w:space="0" w:color="auto"/>
              <w:bottom w:val="single" w:sz="4" w:space="0" w:color="auto"/>
              <w:right w:val="single" w:sz="4" w:space="0" w:color="auto"/>
            </w:tcBorders>
            <w:vAlign w:val="center"/>
            <w:hideMark/>
          </w:tcPr>
          <w:p w14:paraId="0343E4ED" w14:textId="77777777" w:rsidR="00477A64" w:rsidRPr="006524DF" w:rsidRDefault="00477A64" w:rsidP="00767C66">
            <w:pPr>
              <w:widowControl w:val="0"/>
              <w:jc w:val="left"/>
              <w:rPr>
                <w:sz w:val="20"/>
                <w:lang w:val="en-CA"/>
              </w:rPr>
            </w:pPr>
            <w:r w:rsidRPr="006524DF">
              <w:rPr>
                <w:sz w:val="20"/>
                <w:lang w:val="en-CA"/>
              </w:rPr>
              <w:t>Philippines</w:t>
            </w:r>
          </w:p>
        </w:tc>
        <w:tc>
          <w:tcPr>
            <w:tcW w:w="3998" w:type="dxa"/>
            <w:tcBorders>
              <w:top w:val="single" w:sz="4" w:space="0" w:color="auto"/>
              <w:left w:val="single" w:sz="4" w:space="0" w:color="auto"/>
              <w:bottom w:val="single" w:sz="4" w:space="0" w:color="auto"/>
              <w:right w:val="single" w:sz="4" w:space="0" w:color="auto"/>
            </w:tcBorders>
            <w:vAlign w:val="center"/>
            <w:hideMark/>
          </w:tcPr>
          <w:p w14:paraId="5EB21BC2" w14:textId="77777777" w:rsidR="00477A64" w:rsidRPr="006524DF" w:rsidRDefault="00477A64" w:rsidP="00767C66">
            <w:pPr>
              <w:widowControl w:val="0"/>
              <w:jc w:val="left"/>
              <w:rPr>
                <w:sz w:val="20"/>
                <w:lang w:val="en-CA"/>
              </w:rPr>
            </w:pPr>
            <w:r w:rsidRPr="006524DF">
              <w:rPr>
                <w:sz w:val="20"/>
                <w:lang w:val="en-CA"/>
              </w:rPr>
              <w:t>CFC phase-out plan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1DFBC24" w14:textId="77777777" w:rsidR="00477A64" w:rsidRPr="006524DF" w:rsidRDefault="00477A64" w:rsidP="00767C66">
            <w:pPr>
              <w:widowControl w:val="0"/>
              <w:jc w:val="left"/>
              <w:rPr>
                <w:b/>
                <w:sz w:val="20"/>
                <w:lang w:val="en-CA"/>
              </w:rPr>
            </w:pPr>
            <w:r w:rsidRPr="006524DF">
              <w:rPr>
                <w:b/>
                <w:sz w:val="20"/>
                <w:lang w:val="en-CA"/>
              </w:rPr>
              <w:t>World Bank</w:t>
            </w:r>
            <w:r w:rsidRPr="006524DF">
              <w:rPr>
                <w:sz w:val="20"/>
                <w:lang w:val="en-CA"/>
              </w:rPr>
              <w:t>/Sweden/UNEP</w:t>
            </w:r>
          </w:p>
        </w:tc>
      </w:tr>
      <w:tr w:rsidR="00477A64" w:rsidRPr="006524DF" w14:paraId="08611841" w14:textId="77777777" w:rsidTr="00767C66">
        <w:tc>
          <w:tcPr>
            <w:tcW w:w="1809" w:type="dxa"/>
            <w:tcBorders>
              <w:top w:val="single" w:sz="4" w:space="0" w:color="auto"/>
              <w:left w:val="single" w:sz="4" w:space="0" w:color="auto"/>
              <w:bottom w:val="single" w:sz="4" w:space="0" w:color="auto"/>
              <w:right w:val="single" w:sz="4" w:space="0" w:color="auto"/>
            </w:tcBorders>
            <w:vAlign w:val="center"/>
            <w:hideMark/>
          </w:tcPr>
          <w:p w14:paraId="02B17192" w14:textId="77777777" w:rsidR="00477A64" w:rsidRPr="006524DF" w:rsidRDefault="00477A64" w:rsidP="00767C66">
            <w:pPr>
              <w:widowControl w:val="0"/>
              <w:jc w:val="left"/>
              <w:rPr>
                <w:sz w:val="20"/>
                <w:lang w:val="en-CA"/>
              </w:rPr>
            </w:pPr>
            <w:r w:rsidRPr="006524DF">
              <w:rPr>
                <w:sz w:val="20"/>
                <w:lang w:val="en-CA"/>
              </w:rPr>
              <w:t>Viet Nam</w:t>
            </w:r>
          </w:p>
        </w:tc>
        <w:tc>
          <w:tcPr>
            <w:tcW w:w="3998" w:type="dxa"/>
            <w:tcBorders>
              <w:top w:val="single" w:sz="4" w:space="0" w:color="auto"/>
              <w:left w:val="single" w:sz="4" w:space="0" w:color="auto"/>
              <w:bottom w:val="single" w:sz="4" w:space="0" w:color="auto"/>
              <w:right w:val="single" w:sz="4" w:space="0" w:color="auto"/>
            </w:tcBorders>
            <w:vAlign w:val="center"/>
            <w:hideMark/>
          </w:tcPr>
          <w:p w14:paraId="6C5E9AD8" w14:textId="77777777" w:rsidR="00477A64" w:rsidRPr="006524DF" w:rsidRDefault="00477A64" w:rsidP="00767C66">
            <w:pPr>
              <w:widowControl w:val="0"/>
              <w:jc w:val="left"/>
              <w:rPr>
                <w:sz w:val="20"/>
                <w:lang w:val="en-CA"/>
              </w:rPr>
            </w:pPr>
            <w:r w:rsidRPr="006524DF">
              <w:rPr>
                <w:sz w:val="20"/>
                <w:lang w:val="en-CA"/>
              </w:rPr>
              <w:t>Methyl bromide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4674224" w14:textId="77777777" w:rsidR="00477A64" w:rsidRPr="006524DF" w:rsidRDefault="00477A64" w:rsidP="00767C66">
            <w:pPr>
              <w:widowControl w:val="0"/>
              <w:jc w:val="left"/>
              <w:rPr>
                <w:b/>
                <w:sz w:val="20"/>
                <w:lang w:val="en-CA"/>
              </w:rPr>
            </w:pPr>
            <w:r w:rsidRPr="006524DF">
              <w:rPr>
                <w:b/>
                <w:sz w:val="20"/>
                <w:lang w:val="en-CA"/>
              </w:rPr>
              <w:t>World Bank</w:t>
            </w:r>
          </w:p>
        </w:tc>
      </w:tr>
      <w:tr w:rsidR="00477A64" w:rsidRPr="0097510B" w14:paraId="668B86AB" w14:textId="77777777" w:rsidTr="00767C66">
        <w:tc>
          <w:tcPr>
            <w:tcW w:w="1809" w:type="dxa"/>
            <w:tcBorders>
              <w:top w:val="single" w:sz="4" w:space="0" w:color="auto"/>
              <w:left w:val="single" w:sz="4" w:space="0" w:color="auto"/>
              <w:bottom w:val="single" w:sz="4" w:space="0" w:color="auto"/>
              <w:right w:val="single" w:sz="4" w:space="0" w:color="auto"/>
            </w:tcBorders>
            <w:vAlign w:val="center"/>
            <w:hideMark/>
          </w:tcPr>
          <w:p w14:paraId="0FEC196F" w14:textId="77777777" w:rsidR="00477A64" w:rsidRPr="006524DF" w:rsidRDefault="00477A64" w:rsidP="00767C66">
            <w:pPr>
              <w:widowControl w:val="0"/>
              <w:jc w:val="left"/>
              <w:rPr>
                <w:sz w:val="20"/>
                <w:lang w:val="en-CA"/>
              </w:rPr>
            </w:pPr>
            <w:r w:rsidRPr="006524DF">
              <w:rPr>
                <w:sz w:val="20"/>
                <w:lang w:val="en-CA"/>
              </w:rPr>
              <w:t>Yemen</w:t>
            </w:r>
          </w:p>
        </w:tc>
        <w:tc>
          <w:tcPr>
            <w:tcW w:w="3998" w:type="dxa"/>
            <w:tcBorders>
              <w:top w:val="single" w:sz="4" w:space="0" w:color="auto"/>
              <w:left w:val="single" w:sz="4" w:space="0" w:color="auto"/>
              <w:bottom w:val="single" w:sz="4" w:space="0" w:color="auto"/>
              <w:right w:val="single" w:sz="4" w:space="0" w:color="auto"/>
            </w:tcBorders>
            <w:vAlign w:val="center"/>
            <w:hideMark/>
          </w:tcPr>
          <w:p w14:paraId="6F98640E" w14:textId="77777777" w:rsidR="00477A64" w:rsidRPr="006524DF" w:rsidRDefault="00477A64" w:rsidP="00767C66">
            <w:pPr>
              <w:widowControl w:val="0"/>
              <w:jc w:val="left"/>
              <w:rPr>
                <w:sz w:val="20"/>
                <w:lang w:val="en-CA"/>
              </w:rPr>
            </w:pPr>
            <w:r w:rsidRPr="006524DF">
              <w:rPr>
                <w:sz w:val="20"/>
                <w:lang w:val="en-CA"/>
              </w:rPr>
              <w:t>Methyl bromide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44357C9" w14:textId="77777777" w:rsidR="00477A64" w:rsidRPr="00EA1B43" w:rsidRDefault="00477A64" w:rsidP="00767C66">
            <w:pPr>
              <w:widowControl w:val="0"/>
              <w:jc w:val="left"/>
              <w:rPr>
                <w:b/>
                <w:sz w:val="20"/>
                <w:lang w:val="fr-CA"/>
              </w:rPr>
            </w:pPr>
            <w:r w:rsidRPr="006524DF">
              <w:rPr>
                <w:b/>
                <w:sz w:val="20"/>
                <w:lang w:val="en-CA"/>
              </w:rPr>
              <w:t>Germany</w:t>
            </w:r>
          </w:p>
        </w:tc>
      </w:tr>
    </w:tbl>
    <w:p w14:paraId="11BA475C" w14:textId="77777777" w:rsidR="00477A64" w:rsidRPr="006A5C1F" w:rsidRDefault="00477A64" w:rsidP="00477A64">
      <w:pPr>
        <w:widowControl w:val="0"/>
        <w:spacing w:after="240"/>
        <w:rPr>
          <w:b/>
          <w:lang w:val="en-CA"/>
        </w:rPr>
      </w:pPr>
    </w:p>
    <w:p w14:paraId="325043DA" w14:textId="77777777" w:rsidR="00477A64" w:rsidRPr="005764B1" w:rsidRDefault="00477A64" w:rsidP="00477A64">
      <w:pPr>
        <w:widowControl w:val="0"/>
      </w:pPr>
    </w:p>
    <w:p w14:paraId="4C47DB36" w14:textId="77777777" w:rsidR="00477A64" w:rsidRPr="00BB2764" w:rsidRDefault="00477A64" w:rsidP="00477A64">
      <w:pPr>
        <w:pStyle w:val="Heading2"/>
        <w:keepNext/>
        <w:keepLines/>
        <w:numPr>
          <w:ilvl w:val="0"/>
          <w:numId w:val="0"/>
        </w:numPr>
        <w:tabs>
          <w:tab w:val="left" w:pos="720"/>
        </w:tabs>
        <w:jc w:val="center"/>
      </w:pPr>
    </w:p>
    <w:p w14:paraId="620C02D4" w14:textId="77777777" w:rsidR="0087455A" w:rsidRPr="008A07FB" w:rsidRDefault="0087455A" w:rsidP="00477A64">
      <w:pPr>
        <w:jc w:val="center"/>
        <w:rPr>
          <w:b/>
          <w:bCs/>
          <w:lang w:val="es-ES"/>
        </w:rPr>
      </w:pPr>
      <w:bookmarkStart w:id="10" w:name="_GoBack"/>
      <w:bookmarkEnd w:id="10"/>
    </w:p>
    <w:sectPr w:rsidR="0087455A" w:rsidRPr="008A07FB" w:rsidSect="00222C40">
      <w:headerReference w:type="even" r:id="rId30"/>
      <w:headerReference w:type="default" r:id="rId31"/>
      <w:footerReference w:type="even" r:id="rId32"/>
      <w:footerReference w:type="default" r:id="rId33"/>
      <w:headerReference w:type="first" r:id="rId34"/>
      <w:footerReference w:type="first" r:id="rId35"/>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A0173" w14:textId="77777777" w:rsidR="00F9360F" w:rsidRDefault="00F9360F">
      <w:r>
        <w:separator/>
      </w:r>
    </w:p>
  </w:endnote>
  <w:endnote w:type="continuationSeparator" w:id="0">
    <w:p w14:paraId="0C5BDE8F" w14:textId="77777777" w:rsidR="00F9360F" w:rsidRDefault="00F9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EBBD" w14:textId="4D68F8FD" w:rsidR="0087455A" w:rsidRDefault="0024162E">
    <w:pPr>
      <w:jc w:val="center"/>
    </w:pPr>
    <w:r>
      <w:fldChar w:fldCharType="begin"/>
    </w:r>
    <w:r>
      <w:instrText xml:space="preserve"> PAGE </w:instrText>
    </w:r>
    <w:r>
      <w:fldChar w:fldCharType="separate"/>
    </w:r>
    <w:r w:rsidR="00DE7871">
      <w:rPr>
        <w:noProof/>
      </w:rPr>
      <w:t>6</w:t>
    </w:r>
    <w:r>
      <w:rPr>
        <w:noProof/>
      </w:rPr>
      <w:fldChar w:fldCharType="end"/>
    </w:r>
  </w:p>
  <w:p w14:paraId="083EEA22" w14:textId="77777777" w:rsidR="00CA7D4D" w:rsidRDefault="00CA7D4D"/>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478A" w14:textId="77777777" w:rsidR="0000445D" w:rsidRPr="0033525D" w:rsidRDefault="00477A64">
    <w:pPr>
      <w:jc w:val="center"/>
    </w:pPr>
    <w:r>
      <w:fldChar w:fldCharType="begin"/>
    </w:r>
    <w:r>
      <w:instrText xml:space="preserve"> PAGE </w:instrText>
    </w:r>
    <w:r>
      <w:fldChar w:fldCharType="separate"/>
    </w:r>
    <w:r>
      <w:rPr>
        <w:noProof/>
      </w:rPr>
      <w:t>2</w:t>
    </w:r>
    <w:r>
      <w:rPr>
        <w:noProof/>
      </w:rPr>
      <w:fldChar w:fldCharType="end"/>
    </w:r>
  </w:p>
  <w:p w14:paraId="032D359B" w14:textId="77777777" w:rsidR="0000445D" w:rsidRDefault="00F9360F"/>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623E" w14:textId="77777777" w:rsidR="0000445D" w:rsidRPr="0033525D" w:rsidRDefault="00477A64">
    <w:pPr>
      <w:jc w:val="center"/>
    </w:pPr>
    <w:r>
      <w:fldChar w:fldCharType="begin"/>
    </w:r>
    <w:r>
      <w:instrText xml:space="preserve"> PAGE </w:instrText>
    </w:r>
    <w:r>
      <w:fldChar w:fldCharType="separate"/>
    </w:r>
    <w:r>
      <w:rPr>
        <w:noProof/>
      </w:rPr>
      <w:t>3</w:t>
    </w:r>
    <w:r>
      <w:rPr>
        <w:noProof/>
      </w:rPr>
      <w:fldChar w:fldCharType="end"/>
    </w:r>
  </w:p>
  <w:p w14:paraId="5142A9FB" w14:textId="77777777" w:rsidR="0000445D" w:rsidRDefault="00F9360F"/>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49557"/>
      <w:docPartObj>
        <w:docPartGallery w:val="Page Numbers (Bottom of Page)"/>
        <w:docPartUnique/>
      </w:docPartObj>
    </w:sdtPr>
    <w:sdtEndPr>
      <w:rPr>
        <w:noProof/>
      </w:rPr>
    </w:sdtEndPr>
    <w:sdtContent>
      <w:p w14:paraId="12480578" w14:textId="31770589" w:rsidR="0000445D" w:rsidRDefault="00477A64">
        <w:pPr>
          <w:pStyle w:val="Footer"/>
          <w:jc w:val="center"/>
        </w:pPr>
        <w:r>
          <w:fldChar w:fldCharType="begin"/>
        </w:r>
        <w:r>
          <w:instrText xml:space="preserve"> PAGE   \* MERGEFORMAT </w:instrText>
        </w:r>
        <w:r>
          <w:fldChar w:fldCharType="separate"/>
        </w:r>
        <w:r w:rsidR="00DE7871">
          <w:rPr>
            <w:noProof/>
          </w:rPr>
          <w:t>1</w:t>
        </w:r>
        <w:r>
          <w:rPr>
            <w:noProof/>
          </w:rPr>
          <w:fldChar w:fldCharType="end"/>
        </w:r>
      </w:p>
    </w:sdtContent>
  </w:sdt>
  <w:p w14:paraId="700682B0" w14:textId="77777777" w:rsidR="0000445D" w:rsidRPr="00222C40" w:rsidRDefault="00F9360F" w:rsidP="00222C40">
    <w:pPr>
      <w:pStyle w:val="Footer"/>
    </w:pPr>
  </w:p>
  <w:p w14:paraId="44D09FAF" w14:textId="77777777" w:rsidR="0000445D" w:rsidRDefault="00F9360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09D49" w14:textId="6AB5B463" w:rsidR="0087455A" w:rsidRDefault="0024162E">
    <w:pPr>
      <w:jc w:val="center"/>
    </w:pPr>
    <w:r>
      <w:fldChar w:fldCharType="begin"/>
    </w:r>
    <w:r>
      <w:instrText xml:space="preserve"> PAGE </w:instrText>
    </w:r>
    <w:r>
      <w:fldChar w:fldCharType="separate"/>
    </w:r>
    <w:r w:rsidR="00DE7871">
      <w:rPr>
        <w:noProof/>
      </w:rPr>
      <w:t>5</w:t>
    </w:r>
    <w:r>
      <w:rPr>
        <w:noProof/>
      </w:rPr>
      <w:fldChar w:fldCharType="end"/>
    </w:r>
  </w:p>
  <w:p w14:paraId="0360D791" w14:textId="77777777" w:rsidR="00CA7D4D" w:rsidRDefault="00CA7D4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53BC" w14:textId="77777777" w:rsidR="0087455A" w:rsidRDefault="0024162E">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D425" w14:textId="1ADC4E32" w:rsidR="00477A64" w:rsidRPr="0033525D" w:rsidRDefault="00477A64">
    <w:pPr>
      <w:jc w:val="center"/>
    </w:pPr>
    <w:r>
      <w:fldChar w:fldCharType="begin"/>
    </w:r>
    <w:r>
      <w:instrText xml:space="preserve"> PAGE </w:instrText>
    </w:r>
    <w:r>
      <w:fldChar w:fldCharType="separate"/>
    </w:r>
    <w:r w:rsidR="00DE7871">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48C2" w14:textId="77777777" w:rsidR="00477A64" w:rsidRPr="0033525D" w:rsidRDefault="00477A64">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324369"/>
      <w:docPartObj>
        <w:docPartGallery w:val="Page Numbers (Bottom of Page)"/>
        <w:docPartUnique/>
      </w:docPartObj>
    </w:sdtPr>
    <w:sdtEndPr>
      <w:rPr>
        <w:noProof/>
      </w:rPr>
    </w:sdtEndPr>
    <w:sdtContent>
      <w:p w14:paraId="334C5926" w14:textId="03385390" w:rsidR="00477A64" w:rsidRDefault="00477A64">
        <w:pPr>
          <w:pStyle w:val="Footer"/>
          <w:jc w:val="center"/>
        </w:pPr>
        <w:r>
          <w:fldChar w:fldCharType="begin"/>
        </w:r>
        <w:r>
          <w:instrText xml:space="preserve"> PAGE   \* MERGEFORMAT </w:instrText>
        </w:r>
        <w:r>
          <w:fldChar w:fldCharType="separate"/>
        </w:r>
        <w:r w:rsidR="00DE7871">
          <w:rPr>
            <w:noProof/>
          </w:rPr>
          <w:t>1</w:t>
        </w:r>
        <w:r>
          <w:rPr>
            <w:noProof/>
          </w:rPr>
          <w:fldChar w:fldCharType="end"/>
        </w:r>
      </w:p>
    </w:sdtContent>
  </w:sdt>
  <w:p w14:paraId="1304DE66" w14:textId="77777777" w:rsidR="00477A64" w:rsidRPr="006A5C1F" w:rsidRDefault="00477A64" w:rsidP="002F2E98">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44146"/>
      <w:docPartObj>
        <w:docPartGallery w:val="Page Numbers (Bottom of Page)"/>
        <w:docPartUnique/>
      </w:docPartObj>
    </w:sdtPr>
    <w:sdtEndPr>
      <w:rPr>
        <w:noProof/>
      </w:rPr>
    </w:sdtEndPr>
    <w:sdtContent>
      <w:p w14:paraId="07D39F55" w14:textId="3FF9CAF8" w:rsidR="00477A64" w:rsidRDefault="00477A64">
        <w:pPr>
          <w:pStyle w:val="Footer"/>
          <w:jc w:val="center"/>
        </w:pPr>
        <w:r>
          <w:fldChar w:fldCharType="begin"/>
        </w:r>
        <w:r>
          <w:instrText xml:space="preserve"> PAGE   \* MERGEFORMAT </w:instrText>
        </w:r>
        <w:r>
          <w:fldChar w:fldCharType="separate"/>
        </w:r>
        <w:r w:rsidR="00DE7871">
          <w:rPr>
            <w:noProof/>
          </w:rPr>
          <w:t>1</w:t>
        </w:r>
        <w:r>
          <w:rPr>
            <w:noProof/>
          </w:rPr>
          <w:fldChar w:fldCharType="end"/>
        </w:r>
      </w:p>
    </w:sdtContent>
  </w:sdt>
  <w:p w14:paraId="5C9432AE" w14:textId="77777777" w:rsidR="00477A64" w:rsidRPr="006A5C1F" w:rsidRDefault="00477A64" w:rsidP="002F2E98">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634645"/>
      <w:docPartObj>
        <w:docPartGallery w:val="Page Numbers (Bottom of Page)"/>
        <w:docPartUnique/>
      </w:docPartObj>
    </w:sdtPr>
    <w:sdtEndPr>
      <w:rPr>
        <w:noProof/>
      </w:rPr>
    </w:sdtEndPr>
    <w:sdtContent>
      <w:p w14:paraId="1C22B326" w14:textId="3278875A" w:rsidR="00477A64" w:rsidRDefault="00477A64">
        <w:pPr>
          <w:pStyle w:val="Footer"/>
          <w:jc w:val="center"/>
        </w:pPr>
        <w:r>
          <w:fldChar w:fldCharType="begin"/>
        </w:r>
        <w:r>
          <w:instrText xml:space="preserve"> PAGE   \* MERGEFORMAT </w:instrText>
        </w:r>
        <w:r>
          <w:fldChar w:fldCharType="separate"/>
        </w:r>
        <w:r w:rsidR="00DE7871">
          <w:rPr>
            <w:noProof/>
          </w:rPr>
          <w:t>1</w:t>
        </w:r>
        <w:r>
          <w:rPr>
            <w:noProof/>
          </w:rPr>
          <w:fldChar w:fldCharType="end"/>
        </w:r>
      </w:p>
    </w:sdtContent>
  </w:sdt>
  <w:p w14:paraId="7A3F80F5" w14:textId="77777777" w:rsidR="00477A64" w:rsidRPr="006A5C1F" w:rsidRDefault="00477A64" w:rsidP="002F2E98">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2185"/>
      <w:docPartObj>
        <w:docPartGallery w:val="Page Numbers (Bottom of Page)"/>
        <w:docPartUnique/>
      </w:docPartObj>
    </w:sdtPr>
    <w:sdtEndPr>
      <w:rPr>
        <w:noProof/>
      </w:rPr>
    </w:sdtEndPr>
    <w:sdtContent>
      <w:p w14:paraId="77CCF9B5" w14:textId="0086E09C" w:rsidR="00477A64" w:rsidRDefault="00477A64">
        <w:pPr>
          <w:pStyle w:val="Footer"/>
          <w:jc w:val="center"/>
        </w:pPr>
        <w:r>
          <w:fldChar w:fldCharType="begin"/>
        </w:r>
        <w:r>
          <w:instrText xml:space="preserve"> PAGE   \* MERGEFORMAT </w:instrText>
        </w:r>
        <w:r>
          <w:fldChar w:fldCharType="separate"/>
        </w:r>
        <w:r w:rsidR="00DE7871">
          <w:rPr>
            <w:noProof/>
          </w:rPr>
          <w:t>1</w:t>
        </w:r>
        <w:r>
          <w:rPr>
            <w:noProof/>
          </w:rPr>
          <w:fldChar w:fldCharType="end"/>
        </w:r>
      </w:p>
    </w:sdtContent>
  </w:sdt>
  <w:p w14:paraId="0D949E07" w14:textId="77777777" w:rsidR="00477A64" w:rsidRPr="006A5C1F" w:rsidRDefault="00477A64" w:rsidP="002F2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4E145" w14:textId="77777777" w:rsidR="00F9360F" w:rsidRDefault="00F9360F">
      <w:r>
        <w:separator/>
      </w:r>
    </w:p>
  </w:footnote>
  <w:footnote w:type="continuationSeparator" w:id="0">
    <w:p w14:paraId="3FE401C7" w14:textId="77777777" w:rsidR="00F9360F" w:rsidRDefault="00F9360F">
      <w:r>
        <w:continuationSeparator/>
      </w:r>
    </w:p>
  </w:footnote>
  <w:footnote w:id="1">
    <w:p w14:paraId="7F7474EB" w14:textId="77777777" w:rsidR="00064429" w:rsidRPr="009C74FD" w:rsidRDefault="002959B4" w:rsidP="00344EAB">
      <w:pPr>
        <w:pStyle w:val="FootnoteText"/>
        <w:rPr>
          <w:lang w:val="es-MX"/>
        </w:rPr>
      </w:pPr>
      <w:r>
        <w:rPr>
          <w:rStyle w:val="FootnoteReference"/>
        </w:rPr>
        <w:footnoteRef/>
      </w:r>
      <w:r w:rsidRPr="00064429">
        <w:rPr>
          <w:lang w:val="es-AR"/>
        </w:rPr>
        <w:t xml:space="preserve"> </w:t>
      </w:r>
      <w:r w:rsidR="00064429" w:rsidRPr="008D6A1A">
        <w:rPr>
          <w:lang w:val="es-MX"/>
        </w:rPr>
        <w:t xml:space="preserve">En </w:t>
      </w:r>
      <w:r w:rsidR="00344EAB">
        <w:rPr>
          <w:lang w:val="es-MX"/>
        </w:rPr>
        <w:t>noviembre y diciembre</w:t>
      </w:r>
      <w:r w:rsidR="00064429" w:rsidRPr="008D6A1A">
        <w:rPr>
          <w:lang w:val="es-MX"/>
        </w:rPr>
        <w:t xml:space="preserve"> de 2021 se celebrarán reunion</w:t>
      </w:r>
      <w:r w:rsidR="00064429">
        <w:rPr>
          <w:lang w:val="es-MX"/>
        </w:rPr>
        <w:t>e</w:t>
      </w:r>
      <w:r w:rsidR="00064429" w:rsidRPr="008D6A1A">
        <w:rPr>
          <w:lang w:val="es-MX"/>
        </w:rPr>
        <w:t xml:space="preserve">s en </w:t>
      </w:r>
      <w:r w:rsidR="00064429">
        <w:rPr>
          <w:lang w:val="es-MX"/>
        </w:rPr>
        <w:t>línea y se llevará a cabo el proceso de aprobación entre período</w:t>
      </w:r>
      <w:r w:rsidR="00D84B6F">
        <w:rPr>
          <w:lang w:val="es-MX"/>
        </w:rPr>
        <w:t xml:space="preserve">s </w:t>
      </w:r>
      <w:r w:rsidR="00064429">
        <w:rPr>
          <w:lang w:val="es-MX"/>
        </w:rPr>
        <w:t>de sesiones, debido al coronavirus (COVID-19).</w:t>
      </w:r>
    </w:p>
    <w:p w14:paraId="31B6495E" w14:textId="77777777" w:rsidR="002959B4" w:rsidRPr="00064429" w:rsidRDefault="002959B4">
      <w:pPr>
        <w:pStyle w:val="FootnoteText"/>
        <w:rPr>
          <w:lang w:val="es-AR"/>
        </w:rPr>
      </w:pPr>
    </w:p>
  </w:footnote>
  <w:footnote w:id="2">
    <w:p w14:paraId="700ECD4B" w14:textId="3F1FCC88" w:rsidR="008A07FB" w:rsidRPr="00DE7871" w:rsidRDefault="008A07FB" w:rsidP="008A07FB">
      <w:pPr>
        <w:pStyle w:val="FootnoteText"/>
        <w:rPr>
          <w:lang w:val="es-ES"/>
        </w:rPr>
      </w:pPr>
      <w:r>
        <w:rPr>
          <w:rStyle w:val="FootnoteReference"/>
        </w:rPr>
        <w:footnoteRef/>
      </w:r>
      <w:r w:rsidRPr="00DE7871">
        <w:rPr>
          <w:lang w:val="es-ES"/>
        </w:rPr>
        <w:t xml:space="preserve"> El promedio total se basa en el total de los cinco informes de terminación de proyectos de acuerdos plurianuales recibidos que se indican en el Anexo I</w:t>
      </w:r>
      <w:r w:rsidR="00477A64" w:rsidRPr="00DE7871">
        <w:rPr>
          <w:lang w:val="es-ES"/>
        </w:rPr>
        <w:t xml:space="preserve">. </w:t>
      </w:r>
    </w:p>
  </w:footnote>
  <w:footnote w:id="3">
    <w:p w14:paraId="02E6A9B7" w14:textId="77777777" w:rsidR="008A07FB" w:rsidRPr="00DE7871" w:rsidRDefault="008A07FB" w:rsidP="008A07FB">
      <w:pPr>
        <w:pStyle w:val="FootnoteText"/>
        <w:jc w:val="left"/>
        <w:rPr>
          <w:lang w:val="es-ES"/>
        </w:rPr>
      </w:pPr>
      <w:r>
        <w:rPr>
          <w:rStyle w:val="FootnoteReference"/>
        </w:rPr>
        <w:footnoteRef/>
      </w:r>
      <w:r w:rsidRPr="00DE7871">
        <w:rPr>
          <w:lang w:val="es-ES"/>
        </w:rPr>
        <w:t xml:space="preserve"> Puede consultarse una descripción detallada en la base de datos de lecciones aprendidas de los informes de terminación de proyectos de acuerdos plurianuales: </w:t>
      </w:r>
      <w:hyperlink r:id="rId1" w:history="1">
        <w:r w:rsidRPr="00DE7871">
          <w:rPr>
            <w:rStyle w:val="Hyperlink"/>
            <w:lang w:val="es-ES"/>
          </w:rPr>
          <w:t>http://www.multilateralfund.org/myapcr/search.aspx</w:t>
        </w:r>
      </w:hyperlink>
    </w:p>
  </w:footnote>
  <w:footnote w:id="4">
    <w:p w14:paraId="66098182" w14:textId="77777777" w:rsidR="008A07FB" w:rsidRPr="00DE7871" w:rsidRDefault="008A07FB" w:rsidP="008A07FB">
      <w:pPr>
        <w:pStyle w:val="FootnoteText"/>
        <w:rPr>
          <w:lang w:val="es-ES"/>
        </w:rPr>
      </w:pPr>
      <w:r>
        <w:rPr>
          <w:rStyle w:val="FootnoteReference"/>
        </w:rPr>
        <w:footnoteRef/>
      </w:r>
      <w:r w:rsidRPr="00DE7871">
        <w:rPr>
          <w:lang w:val="es-ES"/>
        </w:rPr>
        <w:t xml:space="preserve"> </w:t>
      </w:r>
      <w:r w:rsidRPr="00DE7871">
        <w:rPr>
          <w:snapToGrid w:val="0"/>
          <w:lang w:val="es-ES"/>
        </w:rPr>
        <w:t>Excluidos la preparación de proyectos, los programas de país, los proyectos plurianuales, las actividades relacionadas con las redes y los centros de intercambio de información y los proyectos de fortalecimiento institucional.</w:t>
      </w:r>
    </w:p>
  </w:footnote>
  <w:footnote w:id="5">
    <w:p w14:paraId="15BA42A1" w14:textId="43896769" w:rsidR="008A07FB" w:rsidRPr="00DE7871" w:rsidRDefault="008A07FB" w:rsidP="008A07FB">
      <w:pPr>
        <w:pStyle w:val="FootnoteText"/>
        <w:rPr>
          <w:lang w:val="es-ES"/>
        </w:rPr>
      </w:pPr>
      <w:r>
        <w:rPr>
          <w:rStyle w:val="FootnoteReference"/>
        </w:rPr>
        <w:footnoteRef/>
      </w:r>
      <w:r w:rsidRPr="00DE7871">
        <w:rPr>
          <w:lang w:val="es-ES"/>
        </w:rPr>
        <w:t xml:space="preserve"> Incluidos los informes de terminación de proyectos completados y remitidos por los países siguientes: Australia (25), Austria (1), Dinamarca (1), España (4), Estados Unidos de América (40), Finlandia (5), Israel (2), Italia (1), Polonia (1), República Checa (2), Sudáfrica (1), Suecia (5) y Suiza (3).</w:t>
      </w:r>
    </w:p>
  </w:footnote>
  <w:footnote w:id="6">
    <w:p w14:paraId="259AE246" w14:textId="22753DF3" w:rsidR="008A07FB" w:rsidRPr="00DE7871" w:rsidRDefault="008A07FB" w:rsidP="008A07FB">
      <w:pPr>
        <w:pStyle w:val="FootnoteText"/>
        <w:rPr>
          <w:lang w:val="es-ES"/>
        </w:rPr>
      </w:pPr>
      <w:r>
        <w:rPr>
          <w:rStyle w:val="FootnoteReference"/>
        </w:rPr>
        <w:footnoteRef/>
      </w:r>
      <w:r w:rsidRPr="00DE7871">
        <w:rPr>
          <w:lang w:val="es-ES"/>
        </w:rPr>
        <w:t xml:space="preserve"> El promedio total se basa en el total de los 13 informes de terminación de proyectos individuales recibidos</w:t>
      </w:r>
      <w:r w:rsidR="00477A64" w:rsidRPr="00DE7871">
        <w:rPr>
          <w:lang w:val="es-ES"/>
        </w:rPr>
        <w:t xml:space="preserve">. </w:t>
      </w:r>
    </w:p>
  </w:footnote>
  <w:footnote w:id="7">
    <w:p w14:paraId="41E74B5B" w14:textId="77777777" w:rsidR="008A07FB" w:rsidRPr="00DE7871" w:rsidRDefault="008A07FB" w:rsidP="008A07FB">
      <w:pPr>
        <w:pStyle w:val="FootnoteText"/>
        <w:rPr>
          <w:lang w:val="es-ES"/>
        </w:rPr>
      </w:pPr>
      <w:r>
        <w:rPr>
          <w:rStyle w:val="FootnoteReference"/>
        </w:rPr>
        <w:footnoteRef/>
      </w:r>
      <w:r w:rsidRPr="00DE7871">
        <w:rPr>
          <w:lang w:val="es-ES"/>
        </w:rPr>
        <w:t xml:space="preserve"> Las lecciones aprendidas de los informes de terminación de proyectos individuales pueden consultarse en la base de datos respectiva: </w:t>
      </w:r>
      <w:hyperlink r:id="rId2" w:history="1">
        <w:r w:rsidRPr="00DE7871">
          <w:rPr>
            <w:rStyle w:val="Hyperlink"/>
            <w:lang w:val="es-ES"/>
          </w:rPr>
          <w:t>http://www.multilateralfund.org/pcrindividual/search.aspx</w:t>
        </w:r>
      </w:hyperlink>
      <w:r w:rsidRPr="00DE7871">
        <w:rPr>
          <w:lang w:val="es-ES"/>
        </w:rPr>
        <w:t>.</w:t>
      </w:r>
    </w:p>
  </w:footnote>
  <w:footnote w:id="8">
    <w:p w14:paraId="6142B72D" w14:textId="77777777" w:rsidR="008A07FB" w:rsidRDefault="008A07FB" w:rsidP="008A07FB">
      <w:pPr>
        <w:pStyle w:val="FootnoteText"/>
      </w:pPr>
      <w:r>
        <w:rPr>
          <w:rStyle w:val="FootnoteReference"/>
        </w:rPr>
        <w:footnoteRef/>
      </w:r>
      <w:r>
        <w:t xml:space="preserve"> Decisión 81/29.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A7596" w14:textId="3288C130" w:rsidR="0087455A" w:rsidRDefault="00690E89">
    <w:fldSimple w:instr=" DOCPROPERTY &quot;Document number&quot;  \* MERGEFORMAT ">
      <w:r w:rsidR="007943BD">
        <w:t>UNEP/OzL.Pro/ExCom/88/19</w:t>
      </w:r>
    </w:fldSimple>
  </w:p>
  <w:p w14:paraId="7D9DF300" w14:textId="77777777" w:rsidR="0087455A" w:rsidRDefault="0087455A"/>
  <w:p w14:paraId="2F803C57" w14:textId="77777777" w:rsidR="0087455A" w:rsidRDefault="0087455A"/>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0500" w14:textId="77777777" w:rsidR="00477A64" w:rsidRPr="0033525D" w:rsidRDefault="00477A64" w:rsidP="002F2E98">
    <w:pPr>
      <w:jc w:val="right"/>
    </w:pPr>
    <w:fldSimple w:instr=" DOCPROPERTY &quot;Document number&quot;  \* MERGEFORMAT ">
      <w:r>
        <w:t>UNEP/OzL.Pro/ExCom/88/19</w:t>
      </w:r>
    </w:fldSimple>
  </w:p>
  <w:p w14:paraId="544884D9" w14:textId="63C64EA5" w:rsidR="00477A64" w:rsidRDefault="00477A64" w:rsidP="002F2E98">
    <w:pPr>
      <w:pStyle w:val="Header"/>
      <w:jc w:val="right"/>
    </w:pPr>
    <w:r>
      <w:t>Anexo III</w:t>
    </w:r>
  </w:p>
  <w:p w14:paraId="7D1D6D58" w14:textId="77777777" w:rsidR="00477A64" w:rsidRDefault="00477A64">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E361" w14:textId="77777777" w:rsidR="00477A64" w:rsidRPr="0033525D" w:rsidRDefault="00477A64" w:rsidP="002F2E98">
    <w:pPr>
      <w:jc w:val="right"/>
    </w:pPr>
    <w:fldSimple w:instr=" DOCPROPERTY &quot;Document number&quot;  \* MERGEFORMAT ">
      <w:r>
        <w:t>UNEP/OzL.Pro/ExCom/88/19</w:t>
      </w:r>
    </w:fldSimple>
  </w:p>
  <w:p w14:paraId="73A6D0C9" w14:textId="096780F4" w:rsidR="00477A64" w:rsidRDefault="00477A64" w:rsidP="002F2E98">
    <w:pPr>
      <w:pStyle w:val="Header"/>
      <w:jc w:val="right"/>
    </w:pPr>
    <w:r>
      <w:t>Anexo IV</w:t>
    </w:r>
  </w:p>
  <w:p w14:paraId="45D13C9F" w14:textId="77777777" w:rsidR="00477A64" w:rsidRDefault="00477A64">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8A1C" w14:textId="77777777" w:rsidR="0000445D" w:rsidRPr="0033525D" w:rsidRDefault="00477A64">
    <w:fldSimple w:instr=" DOCPROPERTY &quot;Document number&quot;  \* MERGEFORMAT ">
      <w:r>
        <w:t>UNEP/OzL.Pro/ExCom/86/22</w:t>
      </w:r>
    </w:fldSimple>
  </w:p>
  <w:p w14:paraId="14144FA8" w14:textId="77777777" w:rsidR="0000445D" w:rsidRPr="0033525D" w:rsidRDefault="00F9360F"/>
  <w:p w14:paraId="6A40A0B1" w14:textId="77777777" w:rsidR="0000445D" w:rsidRPr="0033525D" w:rsidRDefault="00F9360F"/>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24B3" w14:textId="77777777" w:rsidR="0000445D" w:rsidRPr="0033525D" w:rsidRDefault="00477A64">
    <w:pPr>
      <w:jc w:val="right"/>
    </w:pPr>
    <w:fldSimple w:instr=" DOCPROPERTY &quot;Document number&quot;  \* MERGEFORMAT ">
      <w:r>
        <w:t>UNEP/OzL.Pro/ExCom/86/22</w:t>
      </w:r>
    </w:fldSimple>
  </w:p>
  <w:p w14:paraId="4D4AD0D3" w14:textId="77777777" w:rsidR="0000445D" w:rsidRPr="0033525D" w:rsidRDefault="00F9360F"/>
  <w:p w14:paraId="4A3A1AC6" w14:textId="77777777" w:rsidR="0000445D" w:rsidRPr="0033525D" w:rsidRDefault="00F9360F">
    <w:pPr>
      <w:pStyle w:val="Header"/>
    </w:pPr>
  </w:p>
  <w:p w14:paraId="3221FBE4" w14:textId="77777777" w:rsidR="0000445D" w:rsidRDefault="00F9360F"/>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2AA3" w14:textId="77777777" w:rsidR="0000445D" w:rsidRPr="0033525D" w:rsidRDefault="00477A64" w:rsidP="002F2E98">
    <w:pPr>
      <w:jc w:val="right"/>
    </w:pPr>
    <w:fldSimple w:instr=" DOCPROPERTY &quot;Document number&quot;  \* MERGEFORMAT ">
      <w:r>
        <w:t>UNEP/OzL.Pro/ExCom/88/19</w:t>
      </w:r>
    </w:fldSimple>
  </w:p>
  <w:p w14:paraId="52C56443" w14:textId="212E78FA" w:rsidR="0000445D" w:rsidRDefault="00477A64" w:rsidP="00AE6605">
    <w:pPr>
      <w:pStyle w:val="Header"/>
      <w:jc w:val="right"/>
    </w:pPr>
    <w:r>
      <w:t>Anexo V</w:t>
    </w:r>
  </w:p>
  <w:p w14:paraId="79A44F41" w14:textId="77777777" w:rsidR="0000445D" w:rsidRDefault="00F9360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D9E4D" w14:textId="751A375F" w:rsidR="0087455A" w:rsidRDefault="00690E89">
    <w:pPr>
      <w:jc w:val="right"/>
    </w:pPr>
    <w:fldSimple w:instr=" DOCPROPERTY &quot;Document number&quot;  \* MERGEFORMAT ">
      <w:r w:rsidR="007943BD">
        <w:t>UNEP/OzL.Pro/ExCom/88/19</w:t>
      </w:r>
    </w:fldSimple>
  </w:p>
  <w:p w14:paraId="197EA600" w14:textId="77777777" w:rsidR="0087455A" w:rsidRDefault="0087455A"/>
  <w:p w14:paraId="2AB3000E" w14:textId="77777777" w:rsidR="0087455A" w:rsidRDefault="0087455A">
    <w:pPr>
      <w:pStyle w:val="Header"/>
    </w:pPr>
  </w:p>
  <w:p w14:paraId="74E0602F" w14:textId="77777777" w:rsidR="00CA7D4D" w:rsidRDefault="00CA7D4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6420" w14:textId="77777777" w:rsidR="00477A64" w:rsidRPr="0033525D" w:rsidRDefault="00477A64">
    <w:fldSimple w:instr=" DOCPROPERTY &quot;Document number&quot;  \* MERGEFORMAT ">
      <w:r>
        <w:t>UNEP/OzL.Pro/ExCom/86/22</w:t>
      </w:r>
    </w:fldSimple>
  </w:p>
  <w:p w14:paraId="316274B7" w14:textId="77777777" w:rsidR="00477A64" w:rsidRPr="0033525D" w:rsidRDefault="00477A64"/>
  <w:p w14:paraId="2924557E" w14:textId="77777777" w:rsidR="00477A64" w:rsidRPr="0033525D" w:rsidRDefault="00477A6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193A7" w14:textId="77777777" w:rsidR="00477A64" w:rsidRPr="0033525D" w:rsidRDefault="00477A64">
    <w:pPr>
      <w:jc w:val="right"/>
    </w:pPr>
    <w:fldSimple w:instr=" DOCPROPERTY &quot;Document number&quot;  \* MERGEFORMAT ">
      <w:r>
        <w:t>UNEP/OzL.Pro/ExCom/86/22</w:t>
      </w:r>
    </w:fldSimple>
  </w:p>
  <w:p w14:paraId="7BAA46E7" w14:textId="77777777" w:rsidR="00477A64" w:rsidRPr="0033525D" w:rsidRDefault="00477A64"/>
  <w:p w14:paraId="4E6F18EF" w14:textId="77777777" w:rsidR="00477A64" w:rsidRPr="0033525D" w:rsidRDefault="00477A6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E417" w14:textId="77777777" w:rsidR="00477A64" w:rsidRPr="0033525D" w:rsidRDefault="00477A64" w:rsidP="002F2E98">
    <w:pPr>
      <w:jc w:val="right"/>
    </w:pPr>
    <w:fldSimple w:instr=" DOCPROPERTY &quot;Document number&quot;  \* MERGEFORMAT ">
      <w:r>
        <w:t>UNEP/OzL.Pro/ExCom/88/19</w:t>
      </w:r>
    </w:fldSimple>
  </w:p>
  <w:p w14:paraId="6E0E24D6" w14:textId="799D64AE" w:rsidR="00477A64" w:rsidRDefault="00477A64" w:rsidP="002F2E98">
    <w:pPr>
      <w:pStyle w:val="Header"/>
      <w:jc w:val="right"/>
    </w:pPr>
    <w:r>
      <w:t>Anexo I</w:t>
    </w:r>
  </w:p>
  <w:p w14:paraId="2FA827D2" w14:textId="77777777" w:rsidR="00477A64" w:rsidRDefault="00477A64" w:rsidP="00014AA9">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56B4" w14:textId="77777777" w:rsidR="00477A64" w:rsidRPr="0033525D" w:rsidRDefault="00477A64">
    <w:fldSimple w:instr=" DOCPROPERTY &quot;Document number&quot;  \* MERGEFORMAT ">
      <w:r>
        <w:t>UNEP/OzL.Pro/ExCom/86/22</w:t>
      </w:r>
    </w:fldSimple>
  </w:p>
  <w:p w14:paraId="05D420BE" w14:textId="77777777" w:rsidR="00477A64" w:rsidRPr="0033525D" w:rsidRDefault="00477A64">
    <w:r>
      <w:t>Annex II</w:t>
    </w:r>
  </w:p>
  <w:p w14:paraId="35F8DB56" w14:textId="77777777" w:rsidR="00477A64" w:rsidRPr="0033525D" w:rsidRDefault="00477A6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83BA" w14:textId="77777777" w:rsidR="00477A64" w:rsidRPr="0033525D" w:rsidRDefault="00477A64" w:rsidP="002F2E98">
    <w:pPr>
      <w:jc w:val="right"/>
    </w:pPr>
    <w:fldSimple w:instr=" DOCPROPERTY &quot;Document number&quot;  \* MERGEFORMAT ">
      <w:r>
        <w:t>UNEP/OzL.Pro/ExCom/88/19</w:t>
      </w:r>
    </w:fldSimple>
  </w:p>
  <w:p w14:paraId="5E53423F" w14:textId="2E4876C9" w:rsidR="00477A64" w:rsidRDefault="00477A64" w:rsidP="002F2E98">
    <w:pPr>
      <w:pStyle w:val="Header"/>
      <w:jc w:val="right"/>
    </w:pPr>
    <w:r>
      <w:t>Anexo II</w:t>
    </w:r>
  </w:p>
  <w:p w14:paraId="3B215642" w14:textId="77777777" w:rsidR="00477A64" w:rsidRDefault="00477A64">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554F" w14:textId="77777777" w:rsidR="00477A64" w:rsidRPr="0033525D" w:rsidRDefault="00477A64">
    <w:fldSimple w:instr=" DOCPROPERTY &quot;Document number&quot;  \* MERGEFORMAT ">
      <w:r>
        <w:t>UNEP/OzL.Pro/ExCom/88/19</w:t>
      </w:r>
    </w:fldSimple>
  </w:p>
  <w:p w14:paraId="6783828D" w14:textId="17B387BC" w:rsidR="00477A64" w:rsidRPr="0033525D" w:rsidRDefault="00477A64">
    <w:r>
      <w:t>Anexo III</w:t>
    </w:r>
  </w:p>
  <w:p w14:paraId="3B3446AC" w14:textId="77777777" w:rsidR="00477A64" w:rsidRPr="0033525D" w:rsidRDefault="00477A6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3ABD" w14:textId="77777777" w:rsidR="00477A64" w:rsidRPr="0033525D" w:rsidRDefault="00477A64">
    <w:pPr>
      <w:jc w:val="right"/>
    </w:pPr>
    <w:fldSimple w:instr=" DOCPROPERTY &quot;Document number&quot;  \* MERGEFORMAT ">
      <w:r>
        <w:t>UNEP/OzL.Pro/ExCom/86/22</w:t>
      </w:r>
    </w:fldSimple>
  </w:p>
  <w:p w14:paraId="4AE46490" w14:textId="77777777" w:rsidR="00477A64" w:rsidRPr="0033525D" w:rsidRDefault="00477A64" w:rsidP="002F2E98">
    <w:pPr>
      <w:jc w:val="right"/>
    </w:pPr>
    <w:r>
      <w:t>Annex III</w:t>
    </w:r>
  </w:p>
  <w:p w14:paraId="36F2C48D" w14:textId="77777777" w:rsidR="00477A64" w:rsidRPr="0033525D" w:rsidRDefault="00477A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24C251F8"/>
    <w:multiLevelType w:val="multilevel"/>
    <w:tmpl w:val="77F6B65E"/>
    <w:lvl w:ilvl="0">
      <w:start w:val="1"/>
      <w:numFmt w:val="lowerLetter"/>
      <w:lvlText w:val="(%1)"/>
      <w:lvlJc w:val="left"/>
      <w:pPr>
        <w:tabs>
          <w:tab w:val="num" w:pos="720"/>
        </w:tabs>
        <w:ind w:left="720" w:firstLine="0"/>
      </w:pPr>
    </w:lvl>
    <w:lvl w:ilvl="1">
      <w:start w:val="1"/>
      <w:numFmt w:val="lowerLetter"/>
      <w:pStyle w:val="lisa"/>
      <w:lvlText w:val="(%2)"/>
      <w:lvlJc w:val="left"/>
      <w:pPr>
        <w:tabs>
          <w:tab w:val="num" w:pos="1710"/>
        </w:tabs>
        <w:ind w:left="2430" w:hanging="720"/>
      </w:pPr>
      <w:rPr>
        <w:b/>
        <w:i w:val="0"/>
      </w:rPr>
    </w:lvl>
    <w:lvl w:ilvl="2">
      <w:start w:val="1"/>
      <w:numFmt w:val="lowerRoman"/>
      <w:lvlText w:val="(%3)"/>
      <w:lvlJc w:val="left"/>
      <w:pPr>
        <w:tabs>
          <w:tab w:val="num" w:pos="1440"/>
        </w:tabs>
        <w:ind w:left="3600" w:hanging="720"/>
      </w:pPr>
    </w:lvl>
    <w:lvl w:ilvl="3">
      <w:start w:val="1"/>
      <w:numFmt w:val="lowerLetter"/>
      <w:lvlText w:val="%4)"/>
      <w:lvlJc w:val="left"/>
      <w:pPr>
        <w:tabs>
          <w:tab w:val="num" w:pos="1440"/>
        </w:tabs>
        <w:ind w:left="4306" w:hanging="706"/>
      </w:pPr>
    </w:lvl>
    <w:lvl w:ilvl="4">
      <w:start w:val="1"/>
      <w:numFmt w:val="decimal"/>
      <w:lvlText w:val="(%5)"/>
      <w:lvlJc w:val="left"/>
      <w:pPr>
        <w:tabs>
          <w:tab w:val="num" w:pos="1440"/>
        </w:tabs>
        <w:ind w:left="5011" w:hanging="705"/>
      </w:pPr>
    </w:lvl>
    <w:lvl w:ilvl="5">
      <w:start w:val="1"/>
      <w:numFmt w:val="lowerLetter"/>
      <w:lvlText w:val="(%6)"/>
      <w:lvlJc w:val="left"/>
      <w:pPr>
        <w:tabs>
          <w:tab w:val="num" w:pos="1440"/>
        </w:tabs>
        <w:ind w:left="5731" w:hanging="720"/>
      </w:pPr>
    </w:lvl>
    <w:lvl w:ilvl="6">
      <w:start w:val="1"/>
      <w:numFmt w:val="lowerRoman"/>
      <w:lvlText w:val="(%7)"/>
      <w:lvlJc w:val="left"/>
      <w:pPr>
        <w:tabs>
          <w:tab w:val="num" w:pos="1440"/>
        </w:tabs>
        <w:ind w:left="6437" w:hanging="706"/>
      </w:pPr>
    </w:lvl>
    <w:lvl w:ilvl="7">
      <w:start w:val="1"/>
      <w:numFmt w:val="lowerLetter"/>
      <w:lvlText w:val="(%8)"/>
      <w:lvlJc w:val="left"/>
      <w:pPr>
        <w:tabs>
          <w:tab w:val="num" w:pos="1440"/>
        </w:tabs>
        <w:ind w:left="7142" w:hanging="705"/>
      </w:pPr>
    </w:lvl>
    <w:lvl w:ilvl="8">
      <w:start w:val="1"/>
      <w:numFmt w:val="lowerRoman"/>
      <w:lvlText w:val="(%9)"/>
      <w:lvlJc w:val="left"/>
      <w:pPr>
        <w:tabs>
          <w:tab w:val="num" w:pos="1440"/>
        </w:tabs>
        <w:ind w:left="7848" w:hanging="706"/>
      </w:pPr>
    </w:lvl>
  </w:abstractNum>
  <w:abstractNum w:abstractNumId="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5B004B8F"/>
    <w:multiLevelType w:val="multilevel"/>
    <w:tmpl w:val="E5487642"/>
    <w:lvl w:ilvl="0">
      <w:start w:val="1"/>
      <w:numFmt w:val="upperRoman"/>
      <w:pStyle w:val="IIntroduction"/>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2"/>
  </w:num>
  <w:num w:numId="3">
    <w:abstractNumId w:val="4"/>
  </w:num>
  <w:num w:numId="4">
    <w:abstractNumId w:val="5"/>
  </w:num>
  <w:num w:numId="5">
    <w:abstractNumId w:val="7"/>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A0"/>
    <w:rsid w:val="00064429"/>
    <w:rsid w:val="000C7AA0"/>
    <w:rsid w:val="00106F6E"/>
    <w:rsid w:val="00114CAA"/>
    <w:rsid w:val="001C2D22"/>
    <w:rsid w:val="001F4047"/>
    <w:rsid w:val="00235D4C"/>
    <w:rsid w:val="0024162E"/>
    <w:rsid w:val="002425B4"/>
    <w:rsid w:val="00244477"/>
    <w:rsid w:val="002959B4"/>
    <w:rsid w:val="00344EAB"/>
    <w:rsid w:val="003863A4"/>
    <w:rsid w:val="003B7115"/>
    <w:rsid w:val="00455352"/>
    <w:rsid w:val="00476E28"/>
    <w:rsid w:val="00477A64"/>
    <w:rsid w:val="00690E89"/>
    <w:rsid w:val="00792A47"/>
    <w:rsid w:val="007943BD"/>
    <w:rsid w:val="00831BC5"/>
    <w:rsid w:val="0087455A"/>
    <w:rsid w:val="008A07FB"/>
    <w:rsid w:val="008B0A4F"/>
    <w:rsid w:val="00AB56E5"/>
    <w:rsid w:val="00AC7A52"/>
    <w:rsid w:val="00B60EEC"/>
    <w:rsid w:val="00B84ACF"/>
    <w:rsid w:val="00C14E67"/>
    <w:rsid w:val="00CA7D4D"/>
    <w:rsid w:val="00CB24B8"/>
    <w:rsid w:val="00D84B6F"/>
    <w:rsid w:val="00DB795B"/>
    <w:rsid w:val="00DE7871"/>
    <w:rsid w:val="00E17F97"/>
    <w:rsid w:val="00F10CD9"/>
    <w:rsid w:val="00F12B29"/>
    <w:rsid w:val="00F25F7C"/>
    <w:rsid w:val="00F9224D"/>
    <w:rsid w:val="00F936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0BC34"/>
  <w15:docId w15:val="{A8104F56-6C13-4F68-A37F-CC0B69AA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6"/>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basedOn w:val="Normal"/>
    <w:link w:val="FootnoteTextChar"/>
    <w:uiPriority w:val="99"/>
    <w:semiHidden/>
    <w:unhideWhenUsed/>
    <w:rsid w:val="002959B4"/>
    <w:rPr>
      <w:sz w:val="20"/>
      <w:szCs w:val="20"/>
    </w:rPr>
  </w:style>
  <w:style w:type="character" w:customStyle="1" w:styleId="FootnoteTextChar">
    <w:name w:val="Footnote Text Char"/>
    <w:basedOn w:val="DefaultParagraphFont"/>
    <w:link w:val="FootnoteText"/>
    <w:uiPriority w:val="99"/>
    <w:semiHidden/>
    <w:rsid w:val="002959B4"/>
    <w:rPr>
      <w:lang w:val="en-GB"/>
    </w:rPr>
  </w:style>
  <w:style w:type="character" w:styleId="FootnoteReference">
    <w:name w:val="footnote reference"/>
    <w:aliases w:val="Footnote text,Footnote Text1,Footnote Text2"/>
    <w:basedOn w:val="DefaultParagraphFont"/>
    <w:uiPriority w:val="99"/>
    <w:semiHidden/>
    <w:unhideWhenUsed/>
    <w:rsid w:val="002959B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8A07FB"/>
    <w:rPr>
      <w:sz w:val="22"/>
      <w:szCs w:val="22"/>
      <w:lang w:val="en-GB"/>
    </w:rPr>
  </w:style>
  <w:style w:type="character" w:styleId="Hyperlink">
    <w:name w:val="Hyperlink"/>
    <w:basedOn w:val="DefaultParagraphFont"/>
    <w:uiPriority w:val="99"/>
    <w:semiHidden/>
    <w:unhideWhenUsed/>
    <w:rsid w:val="008A07FB"/>
    <w:rPr>
      <w:color w:val="0000FF"/>
      <w:u w:val="single"/>
    </w:rPr>
  </w:style>
  <w:style w:type="paragraph" w:customStyle="1" w:styleId="lisa">
    <w:name w:val="lisa"/>
    <w:basedOn w:val="Normal"/>
    <w:rsid w:val="008A07FB"/>
    <w:pPr>
      <w:widowControl w:val="0"/>
      <w:numPr>
        <w:ilvl w:val="1"/>
        <w:numId w:val="7"/>
      </w:numPr>
      <w:spacing w:after="240"/>
      <w:outlineLvl w:val="1"/>
    </w:pPr>
    <w:rPr>
      <w:b/>
      <w:szCs w:val="24"/>
      <w:lang w:val="es-ES"/>
    </w:rPr>
  </w:style>
  <w:style w:type="paragraph" w:customStyle="1" w:styleId="IIntroduction">
    <w:name w:val="I. Introduction"/>
    <w:basedOn w:val="Normal"/>
    <w:rsid w:val="008A07FB"/>
    <w:pPr>
      <w:numPr>
        <w:numId w:val="8"/>
      </w:numPr>
      <w:spacing w:before="240" w:after="240"/>
    </w:pPr>
    <w:rPr>
      <w:b/>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3142">
      <w:bodyDiv w:val="1"/>
      <w:marLeft w:val="0"/>
      <w:marRight w:val="0"/>
      <w:marTop w:val="0"/>
      <w:marBottom w:val="0"/>
      <w:divBdr>
        <w:top w:val="none" w:sz="0" w:space="0" w:color="auto"/>
        <w:left w:val="none" w:sz="0" w:space="0" w:color="auto"/>
        <w:bottom w:val="none" w:sz="0" w:space="0" w:color="auto"/>
        <w:right w:val="none" w:sz="0" w:space="0" w:color="auto"/>
      </w:divBdr>
    </w:div>
    <w:div w:id="683475958">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2.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multilateralfund.org/pcrindividual/search.aspx" TargetMode="External"/><Relationship Id="rId1" Type="http://schemas.openxmlformats.org/officeDocument/2006/relationships/hyperlink" Target="http://www.multilateralfund.org/pcrmya/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e6e1f9e0-8f48-4721-871b-80b3d7694360">UNEP/OzL.Pro/ExCom/88/19</Document_x0020_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B34BAB91CF9C49929DFB9E017C6363" ma:contentTypeVersion="1" ma:contentTypeDescription="Create a new document." ma:contentTypeScope="" ma:versionID="9abfc39be65d52bd2412a960e39e28bb">
  <xsd:schema xmlns:xsd="http://www.w3.org/2001/XMLSchema" xmlns:p="http://schemas.microsoft.com/office/2006/metadata/properties" xmlns:ns2="e6e1f9e0-8f48-4721-871b-80b3d7694360" targetNamespace="http://schemas.microsoft.com/office/2006/metadata/properties" ma:root="true" ma:fieldsID="8bb7513c6f8d5ac53e4f46eb29544cef"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9BB3665-05D3-4EDD-9F15-92C2591BC4E4}"/>
</file>

<file path=customXml/itemProps2.xml><?xml version="1.0" encoding="utf-8"?>
<ds:datastoreItem xmlns:ds="http://schemas.openxmlformats.org/officeDocument/2006/customXml" ds:itemID="{61815A2D-E398-485B-9AE5-A82ACA65A677}"/>
</file>

<file path=customXml/itemProps3.xml><?xml version="1.0" encoding="utf-8"?>
<ds:datastoreItem xmlns:ds="http://schemas.openxmlformats.org/officeDocument/2006/customXml" ds:itemID="{CCD88F91-1116-47D2-B0FE-7065D9A09198}"/>
</file>

<file path=customXml/itemProps4.xml><?xml version="1.0" encoding="utf-8"?>
<ds:datastoreItem xmlns:ds="http://schemas.openxmlformats.org/officeDocument/2006/customXml" ds:itemID="{D75A999C-96AB-4AF1-9F2D-391BDC34D10E}"/>
</file>

<file path=docProps/app.xml><?xml version="1.0" encoding="utf-8"?>
<Properties xmlns="http://schemas.openxmlformats.org/officeDocument/2006/extended-properties" xmlns:vt="http://schemas.openxmlformats.org/officeDocument/2006/docPropsVTypes">
  <Template>Normal</Template>
  <TotalTime>3</TotalTime>
  <Pages>1</Pages>
  <Words>4932</Words>
  <Characters>28115</Characters>
  <Application>Microsoft Office Word</Application>
  <DocSecurity>0</DocSecurity>
  <Lines>234</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refundido de terminacion de proyectos de 2021</vt:lpstr>
      <vt:lpstr/>
    </vt:vector>
  </TitlesOfParts>
  <Company>UNMFS</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refundido de terminacion de proyectos de 2021</dc:title>
  <dc:subject/>
  <dc:creator>Maria Adela Troitino</dc:creator>
  <cp:lastModifiedBy>HBE</cp:lastModifiedBy>
  <cp:revision>4</cp:revision>
  <cp:lastPrinted>2001-05-26T16:40:00Z</cp:lastPrinted>
  <dcterms:created xsi:type="dcterms:W3CDTF">2021-10-25T22:28:00Z</dcterms:created>
  <dcterms:modified xsi:type="dcterms:W3CDTF">2021-11-14T05:27:00Z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UNEP/OzL.Pro/ExCom/88/19</vt:lpwstr>
  </property>
  <property fmtid="{D5CDD505-2E9C-101B-9397-08002B2CF9AE}" pid="3" name="Revision date">
    <vt:lpwstr>10/19/2021</vt:lpwstr>
  </property>
  <property fmtid="{D5CDD505-2E9C-101B-9397-08002B2CF9AE}" pid="4" name="ContentTypeId">
    <vt:lpwstr>0x010100F9B34BAB91CF9C49929DFB9E017C6363</vt:lpwstr>
  </property>
</Properties>
</file>