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C2763B" w14:paraId="005C6F50" w14:textId="77777777" w:rsidTr="008822C6">
        <w:trPr>
          <w:trHeight w:val="720"/>
        </w:trPr>
        <w:tc>
          <w:tcPr>
            <w:tcW w:w="5490" w:type="dxa"/>
            <w:gridSpan w:val="2"/>
            <w:tcBorders>
              <w:bottom w:val="single" w:sz="18" w:space="0" w:color="auto"/>
            </w:tcBorders>
          </w:tcPr>
          <w:p w14:paraId="40F6BD85" w14:textId="19961F18" w:rsidR="00C15867" w:rsidRPr="00C2763B" w:rsidRDefault="006F4D8F" w:rsidP="008F319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sz w:val="28"/>
                <w:szCs w:val="28"/>
                <w:lang w:val="fr-CA"/>
              </w:rPr>
            </w:pPr>
            <w:r>
              <w:rPr>
                <w:rFonts w:ascii="Univers" w:hAnsi="Univers"/>
                <w:b/>
                <w:sz w:val="28"/>
                <w:szCs w:val="28"/>
                <w:lang w:val="fr-CA"/>
              </w:rPr>
              <w:t>NATIONS</w:t>
            </w:r>
            <w:r w:rsidR="00C15867" w:rsidRPr="00C2763B">
              <w:rPr>
                <w:rFonts w:ascii="Univers" w:hAnsi="Univers"/>
                <w:b/>
                <w:sz w:val="28"/>
                <w:szCs w:val="28"/>
                <w:lang w:val="fr-CA"/>
              </w:rPr>
              <w:br/>
            </w:r>
            <w:r>
              <w:rPr>
                <w:rFonts w:ascii="Univers" w:hAnsi="Univers"/>
                <w:b/>
                <w:sz w:val="28"/>
                <w:szCs w:val="28"/>
                <w:lang w:val="fr-CA"/>
              </w:rPr>
              <w:t>UNIE</w:t>
            </w:r>
            <w:r w:rsidR="00C15867" w:rsidRPr="00C2763B">
              <w:rPr>
                <w:rFonts w:ascii="Univers" w:hAnsi="Univers"/>
                <w:b/>
                <w:sz w:val="28"/>
                <w:szCs w:val="28"/>
                <w:lang w:val="fr-CA"/>
              </w:rPr>
              <w:t>S</w:t>
            </w:r>
          </w:p>
        </w:tc>
        <w:tc>
          <w:tcPr>
            <w:tcW w:w="4590" w:type="dxa"/>
            <w:tcBorders>
              <w:bottom w:val="single" w:sz="18" w:space="0" w:color="auto"/>
            </w:tcBorders>
          </w:tcPr>
          <w:p w14:paraId="54D166AA" w14:textId="77777777" w:rsidR="00C15867" w:rsidRPr="00C2763B" w:rsidRDefault="00C15867" w:rsidP="008F3192">
            <w:pPr>
              <w:suppressAutoHyphens/>
              <w:jc w:val="right"/>
              <w:rPr>
                <w:sz w:val="52"/>
                <w:szCs w:val="52"/>
                <w:lang w:val="fr-CA"/>
              </w:rPr>
            </w:pPr>
            <w:r w:rsidRPr="00C2763B">
              <w:rPr>
                <w:b/>
                <w:sz w:val="72"/>
                <w:lang w:val="fr-CA"/>
              </w:rPr>
              <w:t>EP</w:t>
            </w:r>
          </w:p>
        </w:tc>
      </w:tr>
      <w:tr w:rsidR="00C15867" w:rsidRPr="00C2763B" w14:paraId="41B51E07" w14:textId="77777777" w:rsidTr="00882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5270496" w14:textId="77777777" w:rsidR="00C15867" w:rsidRPr="00C2763B" w:rsidRDefault="00E52838" w:rsidP="008F3192">
            <w:pPr>
              <w:suppressAutoHyphens/>
              <w:spacing w:before="120"/>
              <w:rPr>
                <w:lang w:val="fr-CA"/>
              </w:rPr>
            </w:pPr>
            <w:r w:rsidRPr="00C2763B">
              <w:rPr>
                <w:noProof/>
                <w:lang w:eastAsia="en-CA"/>
              </w:rPr>
              <mc:AlternateContent>
                <mc:Choice Requires="wpg">
                  <w:drawing>
                    <wp:anchor distT="0" distB="0" distL="114300" distR="114300" simplePos="0" relativeHeight="251660288" behindDoc="0" locked="0" layoutInCell="1" allowOverlap="1" wp14:anchorId="6B0584F3" wp14:editId="4DCA4634">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F8303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3259677B" w14:textId="77777777" w:rsidR="00F37653" w:rsidRDefault="00F37653" w:rsidP="006F4D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74E7D4FE" w14:textId="12BB3127" w:rsidR="00C15867" w:rsidRPr="00C2763B" w:rsidRDefault="006F4D8F" w:rsidP="006F4D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2DC66761" w14:textId="5BAAB24C" w:rsidR="00C15867" w:rsidRPr="00C2763B" w:rsidRDefault="006F4D8F" w:rsidP="006F4D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Nations Unies pour l’environnement</w:t>
            </w:r>
          </w:p>
          <w:p w14:paraId="2F78CA7B" w14:textId="77777777" w:rsidR="00C15867" w:rsidRPr="00C2763B" w:rsidRDefault="00C15867" w:rsidP="008F3192">
            <w:pPr>
              <w:suppressAutoHyphens/>
              <w:spacing w:before="720"/>
              <w:ind w:left="158"/>
              <w:rPr>
                <w:lang w:val="fr-CA"/>
              </w:rPr>
            </w:pPr>
          </w:p>
        </w:tc>
        <w:tc>
          <w:tcPr>
            <w:tcW w:w="4590" w:type="dxa"/>
            <w:tcBorders>
              <w:top w:val="nil"/>
              <w:left w:val="nil"/>
              <w:bottom w:val="single" w:sz="36" w:space="0" w:color="auto"/>
              <w:right w:val="nil"/>
            </w:tcBorders>
          </w:tcPr>
          <w:p w14:paraId="3D213269" w14:textId="77777777" w:rsidR="00F37653" w:rsidRDefault="00F37653" w:rsidP="008F3192">
            <w:pPr>
              <w:suppressAutoHyphens/>
              <w:rPr>
                <w:lang w:val="fr-CA"/>
              </w:rPr>
            </w:pPr>
          </w:p>
          <w:p w14:paraId="47FCAD25" w14:textId="295BADA4" w:rsidR="00C15867" w:rsidRPr="00C2763B" w:rsidRDefault="00C15867" w:rsidP="008F3192">
            <w:pPr>
              <w:suppressAutoHyphens/>
              <w:rPr>
                <w:lang w:val="fr-CA"/>
              </w:rPr>
            </w:pPr>
            <w:proofErr w:type="spellStart"/>
            <w:r w:rsidRPr="00C2763B">
              <w:rPr>
                <w:lang w:val="fr-CA"/>
              </w:rPr>
              <w:t>Distr</w:t>
            </w:r>
            <w:proofErr w:type="spellEnd"/>
            <w:r w:rsidRPr="00C2763B">
              <w:rPr>
                <w:lang w:val="fr-CA"/>
              </w:rPr>
              <w:t>.</w:t>
            </w:r>
          </w:p>
          <w:p w14:paraId="438B43D3" w14:textId="71642C5D" w:rsidR="00923540" w:rsidRPr="00C2763B" w:rsidRDefault="00923540" w:rsidP="008F3192">
            <w:pPr>
              <w:suppressAutoHyphens/>
              <w:rPr>
                <w:lang w:val="fr-CA"/>
              </w:rPr>
            </w:pPr>
            <w:r w:rsidRPr="00C2763B">
              <w:rPr>
                <w:lang w:val="fr-CA"/>
              </w:rPr>
              <w:t>G</w:t>
            </w:r>
            <w:r w:rsidR="006F4D8F">
              <w:rPr>
                <w:lang w:val="fr-CA"/>
              </w:rPr>
              <w:t>É</w:t>
            </w:r>
            <w:r w:rsidRPr="00C2763B">
              <w:rPr>
                <w:lang w:val="fr-CA"/>
              </w:rPr>
              <w:t>N</w:t>
            </w:r>
            <w:r w:rsidR="006F4D8F">
              <w:rPr>
                <w:lang w:val="fr-CA"/>
              </w:rPr>
              <w:t>É</w:t>
            </w:r>
            <w:r w:rsidRPr="00C2763B">
              <w:rPr>
                <w:lang w:val="fr-CA"/>
              </w:rPr>
              <w:t>RAL</w:t>
            </w:r>
            <w:r w:rsidR="00BB16AF">
              <w:rPr>
                <w:lang w:val="fr-CA"/>
              </w:rPr>
              <w:t>E</w:t>
            </w:r>
          </w:p>
          <w:p w14:paraId="50B5D842" w14:textId="77777777" w:rsidR="00C15867" w:rsidRPr="00C2763B" w:rsidRDefault="00C15867" w:rsidP="008F3192">
            <w:pPr>
              <w:suppressAutoHyphens/>
              <w:rPr>
                <w:lang w:val="fr-CA"/>
              </w:rPr>
            </w:pPr>
          </w:p>
          <w:p w14:paraId="19F4E204" w14:textId="598A2ED5" w:rsidR="00C15867" w:rsidRPr="00C2763B" w:rsidRDefault="00BD7BCE" w:rsidP="008F3192">
            <w:pPr>
              <w:suppressAutoHyphens/>
              <w:rPr>
                <w:lang w:val="fr-CA"/>
              </w:rPr>
            </w:pPr>
            <w:r w:rsidRPr="00C2763B">
              <w:rPr>
                <w:lang w:val="fr-CA"/>
              </w:rPr>
              <w:fldChar w:fldCharType="begin"/>
            </w:r>
            <w:r w:rsidRPr="00C2763B">
              <w:rPr>
                <w:lang w:val="fr-CA"/>
              </w:rPr>
              <w:instrText xml:space="preserve"> DOCPROPERTY "Document number"  \* MERGEFORMAT </w:instrText>
            </w:r>
            <w:r w:rsidRPr="00C2763B">
              <w:rPr>
                <w:lang w:val="fr-CA"/>
              </w:rPr>
              <w:fldChar w:fldCharType="separate"/>
            </w:r>
            <w:r w:rsidR="005205BB">
              <w:rPr>
                <w:lang w:val="fr-CA"/>
              </w:rPr>
              <w:t>UNEP/</w:t>
            </w:r>
            <w:proofErr w:type="spellStart"/>
            <w:r w:rsidR="005205BB">
              <w:rPr>
                <w:lang w:val="fr-CA"/>
              </w:rPr>
              <w:t>OzL.Pro</w:t>
            </w:r>
            <w:proofErr w:type="spellEnd"/>
            <w:r w:rsidR="005205BB">
              <w:rPr>
                <w:lang w:val="fr-CA"/>
              </w:rPr>
              <w:t>/</w:t>
            </w:r>
            <w:proofErr w:type="spellStart"/>
            <w:r w:rsidR="005205BB">
              <w:rPr>
                <w:lang w:val="fr-CA"/>
              </w:rPr>
              <w:t>ExCom</w:t>
            </w:r>
            <w:proofErr w:type="spellEnd"/>
            <w:r w:rsidR="005205BB">
              <w:rPr>
                <w:lang w:val="fr-CA"/>
              </w:rPr>
              <w:t>/88/41</w:t>
            </w:r>
            <w:r w:rsidRPr="00C2763B">
              <w:rPr>
                <w:lang w:val="fr-CA"/>
              </w:rPr>
              <w:fldChar w:fldCharType="end"/>
            </w:r>
          </w:p>
          <w:p w14:paraId="628F60EF" w14:textId="0F62D3B2" w:rsidR="00C15867" w:rsidRPr="00C2763B" w:rsidRDefault="00BC2495" w:rsidP="008F3192">
            <w:pPr>
              <w:suppressAutoHyphens/>
              <w:rPr>
                <w:lang w:val="fr-CA"/>
              </w:rPr>
            </w:pPr>
            <w:r w:rsidRPr="00C2763B">
              <w:rPr>
                <w:lang w:val="fr-CA"/>
              </w:rPr>
              <w:fldChar w:fldCharType="begin"/>
            </w:r>
            <w:r w:rsidR="00851352" w:rsidRPr="00C2763B">
              <w:rPr>
                <w:lang w:val="fr-CA"/>
              </w:rPr>
              <w:instrText xml:space="preserve"> DOCPROPERTY "Revision date" \@ "d MMMM YYYY"  \* MERGEFORMAT </w:instrText>
            </w:r>
            <w:r w:rsidRPr="00C2763B">
              <w:rPr>
                <w:lang w:val="fr-CA"/>
              </w:rPr>
              <w:fldChar w:fldCharType="separate"/>
            </w:r>
            <w:r w:rsidR="00073B80" w:rsidRPr="00C2763B">
              <w:rPr>
                <w:lang w:val="fr-CA"/>
              </w:rPr>
              <w:t>8</w:t>
            </w:r>
            <w:bookmarkStart w:id="0" w:name="_GoBack"/>
            <w:bookmarkEnd w:id="0"/>
            <w:r w:rsidR="00073B80" w:rsidRPr="00C2763B">
              <w:rPr>
                <w:lang w:val="fr-CA"/>
              </w:rPr>
              <w:t xml:space="preserve"> </w:t>
            </w:r>
            <w:r w:rsidR="008822C6" w:rsidRPr="00C2763B">
              <w:rPr>
                <w:lang w:val="fr-CA"/>
              </w:rPr>
              <w:t>n</w:t>
            </w:r>
            <w:r w:rsidR="00073B80" w:rsidRPr="00C2763B">
              <w:rPr>
                <w:lang w:val="fr-CA"/>
              </w:rPr>
              <w:t>ovemb</w:t>
            </w:r>
            <w:r w:rsidR="008822C6" w:rsidRPr="00C2763B">
              <w:rPr>
                <w:lang w:val="fr-CA"/>
              </w:rPr>
              <w:t>re</w:t>
            </w:r>
            <w:r w:rsidR="00073B80" w:rsidRPr="00C2763B">
              <w:rPr>
                <w:lang w:val="fr-CA"/>
              </w:rPr>
              <w:t xml:space="preserve"> 2021</w:t>
            </w:r>
            <w:r w:rsidRPr="00C2763B">
              <w:rPr>
                <w:lang w:val="fr-CA"/>
              </w:rPr>
              <w:fldChar w:fldCharType="end"/>
            </w:r>
          </w:p>
          <w:p w14:paraId="3186947B" w14:textId="77777777" w:rsidR="00C15867" w:rsidRPr="00C2763B" w:rsidRDefault="00C15867" w:rsidP="008F3192">
            <w:pPr>
              <w:suppressAutoHyphens/>
              <w:rPr>
                <w:caps/>
                <w:lang w:val="fr-CA"/>
              </w:rPr>
            </w:pPr>
          </w:p>
          <w:p w14:paraId="4A350846" w14:textId="5855CDD1" w:rsidR="008822C6" w:rsidRPr="00C2763B" w:rsidRDefault="008822C6" w:rsidP="008F3192">
            <w:pPr>
              <w:suppressAutoHyphens/>
              <w:rPr>
                <w:lang w:val="fr-CA"/>
              </w:rPr>
            </w:pPr>
            <w:r w:rsidRPr="00C2763B">
              <w:rPr>
                <w:lang w:val="fr-CA"/>
              </w:rPr>
              <w:t>FRANÇAIS</w:t>
            </w:r>
          </w:p>
          <w:p w14:paraId="12FAFC7E" w14:textId="5D6015E6" w:rsidR="00C15867" w:rsidRPr="00C2763B" w:rsidRDefault="00C15867" w:rsidP="008F3192">
            <w:pPr>
              <w:suppressAutoHyphens/>
              <w:rPr>
                <w:lang w:val="fr-CA"/>
              </w:rPr>
            </w:pPr>
            <w:r w:rsidRPr="00C2763B">
              <w:rPr>
                <w:lang w:val="fr-CA"/>
              </w:rPr>
              <w:t>ORIGINAL: ENGLISH</w:t>
            </w:r>
          </w:p>
        </w:tc>
      </w:tr>
    </w:tbl>
    <w:p w14:paraId="0CD99F21" w14:textId="77777777" w:rsidR="008822C6" w:rsidRPr="00C2763B" w:rsidRDefault="008822C6" w:rsidP="008822C6">
      <w:pPr>
        <w:suppressAutoHyphens/>
        <w:jc w:val="left"/>
        <w:rPr>
          <w:lang w:val="fr-CA"/>
        </w:rPr>
      </w:pPr>
      <w:r w:rsidRPr="00C2763B">
        <w:rPr>
          <w:lang w:val="fr-CA"/>
        </w:rPr>
        <w:t xml:space="preserve">COMITÉ EXÉCUTIF </w:t>
      </w:r>
    </w:p>
    <w:p w14:paraId="13BA7235" w14:textId="77777777" w:rsidR="008822C6" w:rsidRPr="00C2763B" w:rsidRDefault="008822C6" w:rsidP="008822C6">
      <w:pPr>
        <w:suppressAutoHyphens/>
        <w:jc w:val="left"/>
        <w:rPr>
          <w:lang w:val="fr-CA"/>
        </w:rPr>
      </w:pPr>
      <w:r w:rsidRPr="00C2763B">
        <w:rPr>
          <w:lang w:val="fr-CA"/>
        </w:rPr>
        <w:t xml:space="preserve">  DU FONDS MULTILATÉRAL AUX FINS </w:t>
      </w:r>
    </w:p>
    <w:p w14:paraId="72BC1E16" w14:textId="77777777" w:rsidR="008822C6" w:rsidRPr="00C2763B" w:rsidRDefault="008822C6" w:rsidP="008822C6">
      <w:pPr>
        <w:suppressAutoHyphens/>
        <w:jc w:val="left"/>
        <w:rPr>
          <w:lang w:val="fr-CA"/>
        </w:rPr>
      </w:pPr>
      <w:r w:rsidRPr="00C2763B">
        <w:rPr>
          <w:lang w:val="fr-CA"/>
        </w:rPr>
        <w:t xml:space="preserve">  D’APPLICATION DU PROTOCOLE DE MONTRÉAL</w:t>
      </w:r>
    </w:p>
    <w:p w14:paraId="35DB3318" w14:textId="77777777" w:rsidR="008822C6" w:rsidRPr="00C2763B" w:rsidRDefault="008822C6" w:rsidP="008822C6">
      <w:pPr>
        <w:suppressAutoHyphens/>
        <w:jc w:val="left"/>
        <w:rPr>
          <w:lang w:val="fr-CA"/>
        </w:rPr>
      </w:pPr>
      <w:r w:rsidRPr="00C2763B">
        <w:rPr>
          <w:lang w:val="fr-CA"/>
        </w:rPr>
        <w:t>Quatre-vingt-huitième réunion</w:t>
      </w:r>
    </w:p>
    <w:p w14:paraId="2F841ED4" w14:textId="3543F85C" w:rsidR="00066CE8" w:rsidRPr="00C2763B" w:rsidRDefault="008822C6" w:rsidP="008822C6">
      <w:pPr>
        <w:suppressAutoHyphens/>
        <w:jc w:val="left"/>
        <w:rPr>
          <w:lang w:val="fr-CA"/>
        </w:rPr>
      </w:pPr>
      <w:r w:rsidRPr="00C2763B">
        <w:rPr>
          <w:lang w:val="fr-CA"/>
        </w:rPr>
        <w:t xml:space="preserve">Montréal, 15 – 19 novembre 2021 </w:t>
      </w:r>
      <w:r w:rsidR="00B86471" w:rsidRPr="00C2763B">
        <w:rPr>
          <w:rStyle w:val="FootnoteReference"/>
          <w:lang w:val="fr-CA"/>
        </w:rPr>
        <w:footnoteReference w:id="1"/>
      </w:r>
    </w:p>
    <w:p w14:paraId="7A9F6921" w14:textId="77777777" w:rsidR="00C15867" w:rsidRPr="00C2763B" w:rsidRDefault="00C15867" w:rsidP="008F3192">
      <w:pPr>
        <w:suppressAutoHyphens/>
        <w:jc w:val="left"/>
        <w:rPr>
          <w:lang w:val="fr-CA"/>
        </w:rPr>
      </w:pPr>
    </w:p>
    <w:p w14:paraId="50910715" w14:textId="77777777" w:rsidR="00066CE8" w:rsidRPr="00C2763B" w:rsidRDefault="00066CE8" w:rsidP="008F3192">
      <w:pPr>
        <w:suppressAutoHyphens/>
        <w:jc w:val="left"/>
        <w:rPr>
          <w:lang w:val="fr-CA"/>
        </w:rPr>
      </w:pPr>
    </w:p>
    <w:p w14:paraId="66C98047" w14:textId="77777777" w:rsidR="00066CE8" w:rsidRPr="00C2763B" w:rsidRDefault="00066CE8" w:rsidP="008F3192">
      <w:pPr>
        <w:suppressAutoHyphens/>
        <w:jc w:val="left"/>
        <w:rPr>
          <w:lang w:val="fr-CA"/>
        </w:rPr>
      </w:pPr>
    </w:p>
    <w:p w14:paraId="3E2D0E6B" w14:textId="6FA640AB" w:rsidR="008822C6" w:rsidRPr="00C2763B" w:rsidRDefault="005205BB" w:rsidP="008822C6">
      <w:pPr>
        <w:suppressAutoHyphens/>
        <w:jc w:val="center"/>
        <w:rPr>
          <w:b/>
          <w:lang w:val="fr-CA"/>
        </w:rPr>
      </w:pPr>
      <w:r w:rsidRPr="00C2763B">
        <w:rPr>
          <w:b/>
          <w:lang w:val="fr-CA"/>
        </w:rPr>
        <w:t>PROPOSITION DE PROJET: CAMEROUN</w:t>
      </w:r>
    </w:p>
    <w:p w14:paraId="618F011A" w14:textId="1023FD0B" w:rsidR="008822C6" w:rsidRDefault="008822C6" w:rsidP="008822C6">
      <w:pPr>
        <w:suppressAutoHyphens/>
        <w:rPr>
          <w:lang w:val="fr-CA"/>
        </w:rPr>
      </w:pPr>
    </w:p>
    <w:p w14:paraId="4FAF453E" w14:textId="77777777" w:rsidR="00F37653" w:rsidRPr="00C2763B" w:rsidRDefault="00F37653" w:rsidP="008822C6">
      <w:pPr>
        <w:suppressAutoHyphens/>
        <w:rPr>
          <w:lang w:val="fr-CA"/>
        </w:rPr>
      </w:pPr>
    </w:p>
    <w:p w14:paraId="462A214E" w14:textId="77777777" w:rsidR="008822C6" w:rsidRPr="00C2763B" w:rsidRDefault="008822C6" w:rsidP="008822C6">
      <w:pPr>
        <w:suppressAutoHyphens/>
        <w:rPr>
          <w:lang w:val="fr-CA"/>
        </w:rPr>
      </w:pPr>
    </w:p>
    <w:p w14:paraId="594C8586" w14:textId="77777777" w:rsidR="008822C6" w:rsidRPr="00C2763B" w:rsidRDefault="008822C6" w:rsidP="008822C6">
      <w:pPr>
        <w:suppressAutoHyphens/>
        <w:ind w:firstLine="720"/>
        <w:rPr>
          <w:lang w:val="fr-CA"/>
        </w:rPr>
      </w:pPr>
      <w:r w:rsidRPr="00C2763B">
        <w:rPr>
          <w:lang w:val="fr-CA"/>
        </w:rPr>
        <w:t xml:space="preserve">Le présent document contient les observations et recommandation du Secrétariat sur la proposition de projet ci-après: </w:t>
      </w:r>
    </w:p>
    <w:p w14:paraId="67AB5DDD" w14:textId="77777777" w:rsidR="008822C6" w:rsidRPr="00C2763B" w:rsidRDefault="008822C6" w:rsidP="008822C6">
      <w:pPr>
        <w:suppressAutoHyphens/>
        <w:rPr>
          <w:lang w:val="fr-CA"/>
        </w:rPr>
      </w:pPr>
    </w:p>
    <w:p w14:paraId="343CCE9D" w14:textId="77777777" w:rsidR="008822C6" w:rsidRPr="00C2763B" w:rsidRDefault="008822C6" w:rsidP="008822C6">
      <w:pPr>
        <w:suppressAutoHyphens/>
        <w:rPr>
          <w:u w:val="single"/>
          <w:lang w:val="fr-CA"/>
        </w:rPr>
      </w:pPr>
      <w:r w:rsidRPr="00C2763B">
        <w:rPr>
          <w:u w:val="single"/>
          <w:lang w:val="fr-CA"/>
        </w:rPr>
        <w:t>Élimination</w:t>
      </w:r>
    </w:p>
    <w:p w14:paraId="1BCF2305" w14:textId="77777777" w:rsidR="008822C6" w:rsidRPr="00C2763B" w:rsidRDefault="008822C6" w:rsidP="008822C6">
      <w:pPr>
        <w:suppressAutoHyphen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8822C6" w:rsidRPr="00C2763B" w14:paraId="14B9483F" w14:textId="77777777" w:rsidTr="00391FA4">
        <w:tc>
          <w:tcPr>
            <w:tcW w:w="6941" w:type="dxa"/>
          </w:tcPr>
          <w:p w14:paraId="747F4351" w14:textId="77777777" w:rsidR="008822C6" w:rsidRPr="00C2763B" w:rsidRDefault="008822C6" w:rsidP="008822C6">
            <w:pPr>
              <w:numPr>
                <w:ilvl w:val="0"/>
                <w:numId w:val="22"/>
              </w:numPr>
              <w:suppressAutoHyphens/>
              <w:ind w:hanging="830"/>
              <w:contextualSpacing/>
              <w:rPr>
                <w:lang w:val="fr-CA"/>
              </w:rPr>
            </w:pPr>
            <w:r w:rsidRPr="00C2763B">
              <w:rPr>
                <w:lang w:val="fr-CA"/>
              </w:rPr>
              <w:t>Plan de gestion de l’élimination des HCFC (phase II, deuxième tranche)</w:t>
            </w:r>
          </w:p>
        </w:tc>
        <w:tc>
          <w:tcPr>
            <w:tcW w:w="2409" w:type="dxa"/>
          </w:tcPr>
          <w:p w14:paraId="514665B9" w14:textId="77777777" w:rsidR="008822C6" w:rsidRPr="00C2763B" w:rsidRDefault="008822C6" w:rsidP="00391FA4">
            <w:pPr>
              <w:suppressAutoHyphens/>
              <w:jc w:val="right"/>
              <w:rPr>
                <w:lang w:val="fr-CA"/>
              </w:rPr>
            </w:pPr>
            <w:r w:rsidRPr="00C2763B">
              <w:rPr>
                <w:lang w:val="fr-CA"/>
              </w:rPr>
              <w:t>ONUDI</w:t>
            </w:r>
          </w:p>
        </w:tc>
      </w:tr>
    </w:tbl>
    <w:p w14:paraId="23154ACB" w14:textId="77777777" w:rsidR="008822C6" w:rsidRPr="00C2763B" w:rsidRDefault="008822C6" w:rsidP="008822C6">
      <w:pPr>
        <w:suppressAutoHyphens/>
        <w:rPr>
          <w:lang w:val="fr-CA"/>
        </w:rPr>
      </w:pPr>
    </w:p>
    <w:p w14:paraId="1225D5F3" w14:textId="77777777" w:rsidR="00A343FC" w:rsidRPr="00C2763B" w:rsidRDefault="00A343FC" w:rsidP="008F3192">
      <w:pPr>
        <w:suppressAutoHyphens/>
        <w:rPr>
          <w:lang w:val="fr-CA"/>
        </w:rPr>
      </w:pPr>
    </w:p>
    <w:p w14:paraId="508D87E5" w14:textId="77777777" w:rsidR="00A343FC" w:rsidRPr="00C2763B" w:rsidRDefault="00A343FC" w:rsidP="008F3192">
      <w:pPr>
        <w:suppressAutoHyphens/>
        <w:rPr>
          <w:lang w:val="fr-CA"/>
        </w:rPr>
      </w:pPr>
    </w:p>
    <w:p w14:paraId="60A33401" w14:textId="77777777" w:rsidR="00A343FC" w:rsidRPr="00C2763B" w:rsidRDefault="00A343FC" w:rsidP="008F3192">
      <w:pPr>
        <w:suppressAutoHyphens/>
        <w:rPr>
          <w:lang w:val="fr-CA"/>
        </w:rPr>
      </w:pPr>
      <w:r w:rsidRPr="00C2763B">
        <w:rPr>
          <w:lang w:val="fr-CA"/>
        </w:rPr>
        <w:br w:type="page"/>
      </w:r>
    </w:p>
    <w:p w14:paraId="1396BF89" w14:textId="77777777" w:rsidR="008822C6" w:rsidRPr="00C2763B" w:rsidRDefault="008822C6" w:rsidP="008822C6">
      <w:pPr>
        <w:suppressAutoHyphens/>
        <w:jc w:val="center"/>
        <w:rPr>
          <w:b/>
          <w:lang w:val="fr-CA"/>
        </w:rPr>
      </w:pPr>
      <w:r w:rsidRPr="00C2763B">
        <w:rPr>
          <w:b/>
          <w:lang w:val="fr-CA"/>
        </w:rPr>
        <w:lastRenderedPageBreak/>
        <w:t>FICHE D’ÉVALUATION DE PROJET – PROJETS PLURIANNUELS</w:t>
      </w:r>
    </w:p>
    <w:p w14:paraId="193EAEA8" w14:textId="77777777" w:rsidR="008822C6" w:rsidRPr="00C2763B" w:rsidRDefault="008822C6" w:rsidP="008822C6">
      <w:pPr>
        <w:suppressAutoHyphens/>
        <w:jc w:val="center"/>
        <w:rPr>
          <w:lang w:val="fr-CA"/>
        </w:rPr>
      </w:pPr>
    </w:p>
    <w:p w14:paraId="14BF2C3D" w14:textId="77777777" w:rsidR="008822C6" w:rsidRPr="00C2763B" w:rsidRDefault="008822C6" w:rsidP="008822C6">
      <w:pPr>
        <w:suppressAutoHyphens/>
        <w:jc w:val="center"/>
        <w:rPr>
          <w:lang w:val="fr-CA"/>
        </w:rPr>
      </w:pPr>
      <w:r w:rsidRPr="00C2763B">
        <w:rPr>
          <w:b/>
          <w:lang w:val="fr-CA"/>
        </w:rPr>
        <w:t>Cameroun</w:t>
      </w:r>
    </w:p>
    <w:p w14:paraId="0510E566" w14:textId="77777777" w:rsidR="008822C6" w:rsidRPr="00C2763B" w:rsidRDefault="008822C6" w:rsidP="008822C6">
      <w:pPr>
        <w:suppressAutoHyphens/>
        <w:rPr>
          <w:lang w:val="fr-CA"/>
        </w:rPr>
      </w:pPr>
    </w:p>
    <w:p w14:paraId="743D273C" w14:textId="77777777" w:rsidR="008822C6" w:rsidRPr="00C2763B" w:rsidRDefault="008822C6" w:rsidP="008822C6">
      <w:pPr>
        <w:suppressAutoHyphens/>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8822C6" w:rsidRPr="00C2763B" w14:paraId="26E9A82D" w14:textId="77777777" w:rsidTr="00391FA4">
        <w:trPr>
          <w:trHeight w:val="240"/>
        </w:trPr>
        <w:tc>
          <w:tcPr>
            <w:tcW w:w="2337" w:type="dxa"/>
            <w:shd w:val="clear" w:color="auto" w:fill="auto"/>
          </w:tcPr>
          <w:p w14:paraId="691716F0" w14:textId="77777777" w:rsidR="008822C6" w:rsidRPr="00C2763B" w:rsidRDefault="008822C6" w:rsidP="00391FA4">
            <w:pPr>
              <w:suppressAutoHyphens/>
              <w:spacing w:after="80"/>
              <w:jc w:val="left"/>
              <w:rPr>
                <w:b/>
                <w:sz w:val="18"/>
                <w:lang w:val="fr-CA"/>
              </w:rPr>
            </w:pPr>
            <w:r w:rsidRPr="00C2763B">
              <w:rPr>
                <w:b/>
                <w:sz w:val="18"/>
                <w:lang w:val="fr-CA"/>
              </w:rPr>
              <w:t xml:space="preserve">(I) TITRE DU PROJET </w:t>
            </w:r>
          </w:p>
        </w:tc>
        <w:tc>
          <w:tcPr>
            <w:tcW w:w="2337" w:type="dxa"/>
            <w:shd w:val="clear" w:color="auto" w:fill="auto"/>
          </w:tcPr>
          <w:p w14:paraId="35D7F5FD" w14:textId="77777777" w:rsidR="008822C6" w:rsidRPr="00C2763B" w:rsidRDefault="008822C6" w:rsidP="00391FA4">
            <w:pPr>
              <w:suppressAutoHyphens/>
              <w:spacing w:after="80"/>
              <w:jc w:val="center"/>
              <w:rPr>
                <w:b/>
                <w:sz w:val="18"/>
                <w:lang w:val="fr-CA"/>
              </w:rPr>
            </w:pPr>
            <w:r w:rsidRPr="00C2763B">
              <w:rPr>
                <w:b/>
                <w:sz w:val="18"/>
                <w:lang w:val="fr-CA"/>
              </w:rPr>
              <w:t>AGENCE</w:t>
            </w:r>
          </w:p>
        </w:tc>
        <w:tc>
          <w:tcPr>
            <w:tcW w:w="2338" w:type="dxa"/>
            <w:shd w:val="clear" w:color="auto" w:fill="auto"/>
          </w:tcPr>
          <w:p w14:paraId="3904CDF7" w14:textId="77777777" w:rsidR="008822C6" w:rsidRPr="00C2763B" w:rsidRDefault="008822C6" w:rsidP="00391FA4">
            <w:pPr>
              <w:suppressAutoHyphens/>
              <w:spacing w:after="80"/>
              <w:jc w:val="center"/>
              <w:rPr>
                <w:b/>
                <w:sz w:val="18"/>
                <w:lang w:val="fr-CA"/>
              </w:rPr>
            </w:pPr>
            <w:r w:rsidRPr="00C2763B">
              <w:rPr>
                <w:b/>
                <w:sz w:val="18"/>
                <w:lang w:val="fr-CA"/>
              </w:rPr>
              <w:t>RÉUNION D’APPROBATION</w:t>
            </w:r>
          </w:p>
        </w:tc>
        <w:tc>
          <w:tcPr>
            <w:tcW w:w="2338" w:type="dxa"/>
            <w:shd w:val="clear" w:color="auto" w:fill="auto"/>
          </w:tcPr>
          <w:p w14:paraId="085E5B85" w14:textId="77777777" w:rsidR="008822C6" w:rsidRPr="00C2763B" w:rsidRDefault="008822C6" w:rsidP="00391FA4">
            <w:pPr>
              <w:suppressAutoHyphens/>
              <w:spacing w:after="80"/>
              <w:jc w:val="center"/>
              <w:rPr>
                <w:b/>
                <w:sz w:val="18"/>
                <w:lang w:val="fr-CA"/>
              </w:rPr>
            </w:pPr>
            <w:r w:rsidRPr="00C2763B">
              <w:rPr>
                <w:b/>
                <w:sz w:val="18"/>
                <w:lang w:val="fr-CA"/>
              </w:rPr>
              <w:t>MESURE DE CONTRÔLE</w:t>
            </w:r>
          </w:p>
        </w:tc>
      </w:tr>
      <w:tr w:rsidR="008822C6" w:rsidRPr="00C2763B" w14:paraId="0D207AA2" w14:textId="77777777" w:rsidTr="00391FA4">
        <w:trPr>
          <w:trHeight w:val="240"/>
        </w:trPr>
        <w:tc>
          <w:tcPr>
            <w:tcW w:w="2337" w:type="dxa"/>
            <w:shd w:val="clear" w:color="auto" w:fill="auto"/>
          </w:tcPr>
          <w:p w14:paraId="6CE59C4A" w14:textId="77777777" w:rsidR="008822C6" w:rsidRPr="00C2763B" w:rsidRDefault="008822C6" w:rsidP="00391FA4">
            <w:pPr>
              <w:suppressAutoHyphens/>
              <w:spacing w:after="80"/>
              <w:jc w:val="center"/>
              <w:rPr>
                <w:sz w:val="18"/>
                <w:lang w:val="fr-CA"/>
              </w:rPr>
            </w:pPr>
            <w:r w:rsidRPr="00C2763B">
              <w:rPr>
                <w:sz w:val="18"/>
                <w:lang w:val="fr-CA"/>
              </w:rPr>
              <w:t>Plan de gestion de l’élimination des HCFC (phase II)</w:t>
            </w:r>
          </w:p>
        </w:tc>
        <w:tc>
          <w:tcPr>
            <w:tcW w:w="2337" w:type="dxa"/>
            <w:shd w:val="clear" w:color="auto" w:fill="auto"/>
          </w:tcPr>
          <w:p w14:paraId="3FA9A9D6" w14:textId="77777777" w:rsidR="008822C6" w:rsidRPr="00C2763B" w:rsidRDefault="008822C6" w:rsidP="00391FA4">
            <w:pPr>
              <w:suppressAutoHyphens/>
              <w:spacing w:after="80"/>
              <w:jc w:val="center"/>
              <w:rPr>
                <w:sz w:val="18"/>
                <w:lang w:val="fr-CA"/>
              </w:rPr>
            </w:pPr>
            <w:r w:rsidRPr="00C2763B">
              <w:rPr>
                <w:sz w:val="18"/>
                <w:lang w:val="fr-CA"/>
              </w:rPr>
              <w:t>ONUDI (principale)</w:t>
            </w:r>
          </w:p>
        </w:tc>
        <w:tc>
          <w:tcPr>
            <w:tcW w:w="2338" w:type="dxa"/>
            <w:shd w:val="clear" w:color="auto" w:fill="auto"/>
          </w:tcPr>
          <w:p w14:paraId="6AE54065" w14:textId="77777777" w:rsidR="008822C6" w:rsidRPr="00C2763B" w:rsidRDefault="008822C6" w:rsidP="00391FA4">
            <w:pPr>
              <w:suppressAutoHyphens/>
              <w:spacing w:after="80"/>
              <w:jc w:val="center"/>
              <w:rPr>
                <w:sz w:val="18"/>
                <w:lang w:val="fr-CA"/>
              </w:rPr>
            </w:pPr>
            <w:r w:rsidRPr="00C2763B">
              <w:rPr>
                <w:sz w:val="18"/>
                <w:lang w:val="fr-CA"/>
              </w:rPr>
              <w:t>82</w:t>
            </w:r>
            <w:r w:rsidRPr="00C2763B">
              <w:rPr>
                <w:sz w:val="18"/>
                <w:vertAlign w:val="superscript"/>
                <w:lang w:val="fr-CA"/>
              </w:rPr>
              <w:t>e</w:t>
            </w:r>
          </w:p>
        </w:tc>
        <w:tc>
          <w:tcPr>
            <w:tcW w:w="2338" w:type="dxa"/>
            <w:shd w:val="clear" w:color="auto" w:fill="auto"/>
          </w:tcPr>
          <w:p w14:paraId="77E451BB" w14:textId="77777777" w:rsidR="008822C6" w:rsidRPr="00C2763B" w:rsidRDefault="008822C6" w:rsidP="00391FA4">
            <w:pPr>
              <w:suppressAutoHyphens/>
              <w:spacing w:after="80"/>
              <w:jc w:val="center"/>
              <w:rPr>
                <w:sz w:val="18"/>
                <w:lang w:val="fr-CA"/>
              </w:rPr>
            </w:pPr>
            <w:r w:rsidRPr="00C2763B">
              <w:rPr>
                <w:sz w:val="18"/>
                <w:lang w:val="fr-CA"/>
              </w:rPr>
              <w:t>75% d’ici 2025</w:t>
            </w:r>
          </w:p>
        </w:tc>
      </w:tr>
    </w:tbl>
    <w:p w14:paraId="320D4A88" w14:textId="77777777" w:rsidR="008822C6" w:rsidRPr="00C2763B" w:rsidRDefault="008822C6" w:rsidP="008822C6">
      <w:pPr>
        <w:suppressAutoHyphens/>
        <w:spacing w:after="60"/>
        <w:jc w:val="center"/>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8822C6" w:rsidRPr="00C2763B" w14:paraId="4C513A6B" w14:textId="77777777" w:rsidTr="00391FA4">
        <w:trPr>
          <w:trHeight w:val="240"/>
        </w:trPr>
        <w:tc>
          <w:tcPr>
            <w:tcW w:w="5200" w:type="dxa"/>
            <w:shd w:val="clear" w:color="auto" w:fill="auto"/>
          </w:tcPr>
          <w:p w14:paraId="42F1074B" w14:textId="77777777" w:rsidR="008822C6" w:rsidRPr="00C2763B" w:rsidRDefault="008822C6" w:rsidP="00391FA4">
            <w:pPr>
              <w:suppressAutoHyphens/>
              <w:spacing w:after="60"/>
              <w:jc w:val="left"/>
              <w:rPr>
                <w:b/>
                <w:sz w:val="18"/>
                <w:lang w:val="fr-CA"/>
              </w:rPr>
            </w:pPr>
            <w:r w:rsidRPr="00C2763B">
              <w:rPr>
                <w:b/>
                <w:sz w:val="18"/>
                <w:lang w:val="fr-CA"/>
              </w:rPr>
              <w:t>(II) DERNIÈRES DONNÉES AU TITRE DE L’ARTICLE 7 (Annexe C Groupe l)</w:t>
            </w:r>
          </w:p>
        </w:tc>
        <w:tc>
          <w:tcPr>
            <w:tcW w:w="2400" w:type="dxa"/>
            <w:shd w:val="clear" w:color="auto" w:fill="auto"/>
          </w:tcPr>
          <w:p w14:paraId="33B19174" w14:textId="77777777" w:rsidR="008822C6" w:rsidRPr="00C2763B" w:rsidRDefault="008822C6" w:rsidP="00391FA4">
            <w:pPr>
              <w:suppressAutoHyphens/>
              <w:spacing w:after="60"/>
              <w:jc w:val="center"/>
              <w:rPr>
                <w:sz w:val="18"/>
                <w:lang w:val="fr-CA"/>
              </w:rPr>
            </w:pPr>
            <w:r w:rsidRPr="00C2763B">
              <w:rPr>
                <w:sz w:val="18"/>
                <w:lang w:val="fr-CA"/>
              </w:rPr>
              <w:t>Année: 2020</w:t>
            </w:r>
          </w:p>
        </w:tc>
        <w:tc>
          <w:tcPr>
            <w:tcW w:w="2400" w:type="dxa"/>
            <w:shd w:val="clear" w:color="auto" w:fill="auto"/>
          </w:tcPr>
          <w:p w14:paraId="3E25D460" w14:textId="77777777" w:rsidR="008822C6" w:rsidRPr="00C2763B" w:rsidRDefault="008822C6" w:rsidP="00391FA4">
            <w:pPr>
              <w:suppressAutoHyphens/>
              <w:spacing w:after="60"/>
              <w:jc w:val="right"/>
              <w:rPr>
                <w:sz w:val="18"/>
                <w:lang w:val="fr-CA"/>
              </w:rPr>
            </w:pPr>
            <w:r w:rsidRPr="00C2763B">
              <w:rPr>
                <w:sz w:val="18"/>
                <w:lang w:val="fr-CA"/>
              </w:rPr>
              <w:t>32,53 (tonnes PAO)</w:t>
            </w:r>
          </w:p>
        </w:tc>
      </w:tr>
    </w:tbl>
    <w:p w14:paraId="633B0904" w14:textId="77777777" w:rsidR="008822C6" w:rsidRPr="00C2763B" w:rsidRDefault="008822C6" w:rsidP="008822C6">
      <w:pPr>
        <w:suppressAutoHyphens/>
        <w:spacing w:after="60"/>
        <w:jc w:val="center"/>
        <w:rPr>
          <w:lang w:val="fr-CA"/>
        </w:rPr>
      </w:pPr>
    </w:p>
    <w:tbl>
      <w:tblPr>
        <w:tblStyle w:val="TableGrid"/>
        <w:tblW w:w="1021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957"/>
        <w:gridCol w:w="856"/>
        <w:gridCol w:w="847"/>
        <w:gridCol w:w="936"/>
        <w:gridCol w:w="1036"/>
        <w:gridCol w:w="876"/>
        <w:gridCol w:w="837"/>
        <w:gridCol w:w="1305"/>
        <w:gridCol w:w="1134"/>
        <w:gridCol w:w="1429"/>
      </w:tblGrid>
      <w:tr w:rsidR="008822C6" w:rsidRPr="00C2763B" w14:paraId="0D4D1A1C" w14:textId="77777777" w:rsidTr="00391FA4">
        <w:trPr>
          <w:trHeight w:val="240"/>
        </w:trPr>
        <w:tc>
          <w:tcPr>
            <w:tcW w:w="7650" w:type="dxa"/>
            <w:gridSpan w:val="8"/>
            <w:shd w:val="clear" w:color="auto" w:fill="auto"/>
          </w:tcPr>
          <w:p w14:paraId="6AD5B8BD" w14:textId="77777777" w:rsidR="008822C6" w:rsidRPr="00C2763B" w:rsidRDefault="008822C6" w:rsidP="00391FA4">
            <w:pPr>
              <w:suppressAutoHyphens/>
              <w:spacing w:after="60"/>
              <w:jc w:val="left"/>
              <w:rPr>
                <w:b/>
                <w:sz w:val="18"/>
                <w:lang w:val="fr-CA"/>
              </w:rPr>
            </w:pPr>
            <w:r w:rsidRPr="00C2763B">
              <w:rPr>
                <w:b/>
                <w:sz w:val="18"/>
                <w:lang w:val="fr-CA"/>
              </w:rPr>
              <w:t>(III) DERNIÈRES DONNÉES SECTORIELLES DU PROGRAMME DE PAYS (tonnes PAO)</w:t>
            </w:r>
          </w:p>
        </w:tc>
        <w:tc>
          <w:tcPr>
            <w:tcW w:w="2563" w:type="dxa"/>
            <w:gridSpan w:val="2"/>
            <w:shd w:val="clear" w:color="auto" w:fill="auto"/>
          </w:tcPr>
          <w:p w14:paraId="241D2625" w14:textId="77777777" w:rsidR="008822C6" w:rsidRPr="00C2763B" w:rsidRDefault="008822C6" w:rsidP="00391FA4">
            <w:pPr>
              <w:suppressAutoHyphens/>
              <w:spacing w:after="60"/>
              <w:jc w:val="right"/>
              <w:rPr>
                <w:b/>
                <w:sz w:val="18"/>
                <w:lang w:val="fr-CA"/>
              </w:rPr>
            </w:pPr>
            <w:r w:rsidRPr="00C2763B">
              <w:rPr>
                <w:b/>
                <w:sz w:val="18"/>
                <w:lang w:val="fr-CA"/>
              </w:rPr>
              <w:t>Année: 2020</w:t>
            </w:r>
          </w:p>
        </w:tc>
      </w:tr>
      <w:tr w:rsidR="008822C6" w:rsidRPr="00C2763B" w14:paraId="13A22983" w14:textId="77777777" w:rsidTr="00391FA4">
        <w:trPr>
          <w:trHeight w:val="240"/>
        </w:trPr>
        <w:tc>
          <w:tcPr>
            <w:tcW w:w="957" w:type="dxa"/>
            <w:shd w:val="clear" w:color="auto" w:fill="auto"/>
          </w:tcPr>
          <w:p w14:paraId="61EF4E48" w14:textId="77777777" w:rsidR="008822C6" w:rsidRPr="00C2763B" w:rsidRDefault="008822C6" w:rsidP="00391FA4">
            <w:pPr>
              <w:suppressAutoHyphens/>
              <w:spacing w:after="60"/>
              <w:jc w:val="center"/>
              <w:rPr>
                <w:sz w:val="18"/>
                <w:lang w:val="fr-CA"/>
              </w:rPr>
            </w:pPr>
            <w:r w:rsidRPr="00C2763B">
              <w:rPr>
                <w:sz w:val="18"/>
                <w:lang w:val="fr-CA"/>
              </w:rPr>
              <w:t>Produits chimiques</w:t>
            </w:r>
          </w:p>
        </w:tc>
        <w:tc>
          <w:tcPr>
            <w:tcW w:w="856" w:type="dxa"/>
            <w:shd w:val="clear" w:color="auto" w:fill="auto"/>
          </w:tcPr>
          <w:p w14:paraId="349AFD25" w14:textId="77777777" w:rsidR="008822C6" w:rsidRPr="00C2763B" w:rsidRDefault="008822C6" w:rsidP="00391FA4">
            <w:pPr>
              <w:suppressAutoHyphens/>
              <w:spacing w:after="60"/>
              <w:jc w:val="center"/>
              <w:rPr>
                <w:sz w:val="18"/>
                <w:lang w:val="fr-CA"/>
              </w:rPr>
            </w:pPr>
            <w:r w:rsidRPr="00C2763B">
              <w:rPr>
                <w:sz w:val="18"/>
                <w:lang w:val="fr-CA"/>
              </w:rPr>
              <w:t>Aérosols</w:t>
            </w:r>
          </w:p>
        </w:tc>
        <w:tc>
          <w:tcPr>
            <w:tcW w:w="847" w:type="dxa"/>
            <w:shd w:val="clear" w:color="auto" w:fill="auto"/>
          </w:tcPr>
          <w:p w14:paraId="38EE37E1" w14:textId="77777777" w:rsidR="008822C6" w:rsidRPr="00C2763B" w:rsidRDefault="008822C6" w:rsidP="00391FA4">
            <w:pPr>
              <w:suppressAutoHyphens/>
              <w:spacing w:after="60"/>
              <w:jc w:val="center"/>
              <w:rPr>
                <w:sz w:val="18"/>
                <w:lang w:val="fr-CA"/>
              </w:rPr>
            </w:pPr>
            <w:r w:rsidRPr="00C2763B">
              <w:rPr>
                <w:sz w:val="18"/>
                <w:lang w:val="fr-CA"/>
              </w:rPr>
              <w:t>Mousses</w:t>
            </w:r>
          </w:p>
        </w:tc>
        <w:tc>
          <w:tcPr>
            <w:tcW w:w="936" w:type="dxa"/>
            <w:shd w:val="clear" w:color="auto" w:fill="auto"/>
          </w:tcPr>
          <w:p w14:paraId="25E27880" w14:textId="77777777" w:rsidR="008822C6" w:rsidRPr="00C2763B" w:rsidRDefault="008822C6" w:rsidP="00391FA4">
            <w:pPr>
              <w:suppressAutoHyphens/>
              <w:spacing w:after="60"/>
              <w:jc w:val="center"/>
              <w:rPr>
                <w:sz w:val="18"/>
                <w:lang w:val="fr-CA"/>
              </w:rPr>
            </w:pPr>
            <w:r w:rsidRPr="00C2763B">
              <w:rPr>
                <w:sz w:val="18"/>
                <w:lang w:val="fr-CA"/>
              </w:rPr>
              <w:t>Lutte contre l’incendie</w:t>
            </w:r>
          </w:p>
        </w:tc>
        <w:tc>
          <w:tcPr>
            <w:tcW w:w="1912" w:type="dxa"/>
            <w:gridSpan w:val="2"/>
            <w:shd w:val="clear" w:color="auto" w:fill="auto"/>
          </w:tcPr>
          <w:p w14:paraId="7C357E18" w14:textId="77777777" w:rsidR="008822C6" w:rsidRPr="00C2763B" w:rsidRDefault="008822C6" w:rsidP="00391FA4">
            <w:pPr>
              <w:suppressAutoHyphens/>
              <w:spacing w:after="60"/>
              <w:jc w:val="center"/>
              <w:rPr>
                <w:sz w:val="18"/>
                <w:lang w:val="fr-CA"/>
              </w:rPr>
            </w:pPr>
            <w:r w:rsidRPr="00C2763B">
              <w:rPr>
                <w:sz w:val="18"/>
                <w:lang w:val="fr-CA"/>
              </w:rPr>
              <w:t>Réfrigération</w:t>
            </w:r>
          </w:p>
        </w:tc>
        <w:tc>
          <w:tcPr>
            <w:tcW w:w="837" w:type="dxa"/>
            <w:shd w:val="clear" w:color="auto" w:fill="auto"/>
          </w:tcPr>
          <w:p w14:paraId="2B335661" w14:textId="77777777" w:rsidR="008822C6" w:rsidRPr="00C2763B" w:rsidRDefault="008822C6" w:rsidP="00391FA4">
            <w:pPr>
              <w:suppressAutoHyphens/>
              <w:spacing w:after="60"/>
              <w:jc w:val="center"/>
              <w:rPr>
                <w:sz w:val="18"/>
                <w:lang w:val="fr-CA"/>
              </w:rPr>
            </w:pPr>
            <w:r w:rsidRPr="00C2763B">
              <w:rPr>
                <w:sz w:val="18"/>
                <w:lang w:val="fr-CA"/>
              </w:rPr>
              <w:t>Solvants</w:t>
            </w:r>
          </w:p>
        </w:tc>
        <w:tc>
          <w:tcPr>
            <w:tcW w:w="1305" w:type="dxa"/>
            <w:shd w:val="clear" w:color="auto" w:fill="auto"/>
          </w:tcPr>
          <w:p w14:paraId="6B85A439" w14:textId="77777777" w:rsidR="008822C6" w:rsidRPr="00C2763B" w:rsidRDefault="008822C6" w:rsidP="00391FA4">
            <w:pPr>
              <w:suppressAutoHyphens/>
              <w:spacing w:after="60"/>
              <w:jc w:val="center"/>
              <w:rPr>
                <w:sz w:val="18"/>
                <w:lang w:val="fr-CA"/>
              </w:rPr>
            </w:pPr>
            <w:r w:rsidRPr="00C2763B">
              <w:rPr>
                <w:sz w:val="18"/>
                <w:lang w:val="fr-CA"/>
              </w:rPr>
              <w:t>Agent de transformation</w:t>
            </w:r>
          </w:p>
        </w:tc>
        <w:tc>
          <w:tcPr>
            <w:tcW w:w="1134" w:type="dxa"/>
            <w:shd w:val="clear" w:color="auto" w:fill="auto"/>
          </w:tcPr>
          <w:p w14:paraId="00FA0883" w14:textId="77777777" w:rsidR="008822C6" w:rsidRPr="00C2763B" w:rsidRDefault="008822C6" w:rsidP="00391FA4">
            <w:pPr>
              <w:suppressAutoHyphens/>
              <w:spacing w:after="60"/>
              <w:jc w:val="center"/>
              <w:rPr>
                <w:sz w:val="18"/>
                <w:lang w:val="fr-CA"/>
              </w:rPr>
            </w:pPr>
            <w:r w:rsidRPr="00C2763B">
              <w:rPr>
                <w:sz w:val="18"/>
                <w:lang w:val="fr-CA"/>
              </w:rPr>
              <w:t>Utilisation en laboratoire</w:t>
            </w:r>
          </w:p>
        </w:tc>
        <w:tc>
          <w:tcPr>
            <w:tcW w:w="1429" w:type="dxa"/>
            <w:shd w:val="clear" w:color="auto" w:fill="auto"/>
          </w:tcPr>
          <w:p w14:paraId="132528FD" w14:textId="77777777" w:rsidR="008822C6" w:rsidRPr="00C2763B" w:rsidRDefault="008822C6" w:rsidP="00391FA4">
            <w:pPr>
              <w:suppressAutoHyphens/>
              <w:spacing w:after="60"/>
              <w:jc w:val="center"/>
              <w:rPr>
                <w:sz w:val="18"/>
                <w:lang w:val="fr-CA"/>
              </w:rPr>
            </w:pPr>
            <w:r w:rsidRPr="00C2763B">
              <w:rPr>
                <w:sz w:val="18"/>
                <w:lang w:val="fr-CA"/>
              </w:rPr>
              <w:t>Consommation totale du secteur</w:t>
            </w:r>
          </w:p>
        </w:tc>
      </w:tr>
      <w:tr w:rsidR="008822C6" w:rsidRPr="00C2763B" w14:paraId="7A7D93B4" w14:textId="77777777" w:rsidTr="00391FA4">
        <w:trPr>
          <w:trHeight w:val="240"/>
        </w:trPr>
        <w:tc>
          <w:tcPr>
            <w:tcW w:w="3596" w:type="dxa"/>
            <w:gridSpan w:val="4"/>
            <w:shd w:val="clear" w:color="auto" w:fill="auto"/>
          </w:tcPr>
          <w:p w14:paraId="4F1F3D06" w14:textId="77777777" w:rsidR="008822C6" w:rsidRPr="00C2763B" w:rsidRDefault="008822C6" w:rsidP="00391FA4">
            <w:pPr>
              <w:suppressAutoHyphens/>
              <w:spacing w:after="60"/>
              <w:jc w:val="center"/>
              <w:rPr>
                <w:sz w:val="18"/>
                <w:lang w:val="fr-CA"/>
              </w:rPr>
            </w:pPr>
            <w:r w:rsidRPr="00C2763B">
              <w:rPr>
                <w:sz w:val="18"/>
                <w:lang w:val="fr-CA"/>
              </w:rPr>
              <w:t xml:space="preserve"> </w:t>
            </w:r>
          </w:p>
        </w:tc>
        <w:tc>
          <w:tcPr>
            <w:tcW w:w="1036" w:type="dxa"/>
            <w:shd w:val="clear" w:color="auto" w:fill="auto"/>
          </w:tcPr>
          <w:p w14:paraId="7C74FABC" w14:textId="77777777" w:rsidR="008822C6" w:rsidRPr="00C2763B" w:rsidRDefault="008822C6" w:rsidP="00391FA4">
            <w:pPr>
              <w:suppressAutoHyphens/>
              <w:spacing w:after="60"/>
              <w:jc w:val="center"/>
              <w:rPr>
                <w:sz w:val="18"/>
                <w:lang w:val="fr-CA"/>
              </w:rPr>
            </w:pPr>
            <w:r w:rsidRPr="00C2763B">
              <w:rPr>
                <w:sz w:val="18"/>
                <w:lang w:val="fr-CA"/>
              </w:rPr>
              <w:t>Fabrication</w:t>
            </w:r>
          </w:p>
        </w:tc>
        <w:tc>
          <w:tcPr>
            <w:tcW w:w="876" w:type="dxa"/>
            <w:shd w:val="clear" w:color="auto" w:fill="auto"/>
          </w:tcPr>
          <w:p w14:paraId="2EC407DE" w14:textId="77777777" w:rsidR="008822C6" w:rsidRPr="00C2763B" w:rsidRDefault="008822C6" w:rsidP="00391FA4">
            <w:pPr>
              <w:suppressAutoHyphens/>
              <w:spacing w:after="60"/>
              <w:jc w:val="center"/>
              <w:rPr>
                <w:sz w:val="18"/>
                <w:lang w:val="fr-CA"/>
              </w:rPr>
            </w:pPr>
            <w:r w:rsidRPr="00C2763B">
              <w:rPr>
                <w:sz w:val="18"/>
                <w:lang w:val="fr-CA"/>
              </w:rPr>
              <w:t>Entretien</w:t>
            </w:r>
          </w:p>
        </w:tc>
        <w:tc>
          <w:tcPr>
            <w:tcW w:w="4705" w:type="dxa"/>
            <w:gridSpan w:val="4"/>
            <w:shd w:val="clear" w:color="auto" w:fill="auto"/>
          </w:tcPr>
          <w:p w14:paraId="316E9602" w14:textId="77777777" w:rsidR="008822C6" w:rsidRPr="00C2763B" w:rsidRDefault="008822C6" w:rsidP="00391FA4">
            <w:pPr>
              <w:suppressAutoHyphens/>
              <w:spacing w:after="60"/>
              <w:jc w:val="center"/>
              <w:rPr>
                <w:sz w:val="18"/>
                <w:lang w:val="fr-CA"/>
              </w:rPr>
            </w:pPr>
          </w:p>
        </w:tc>
      </w:tr>
      <w:tr w:rsidR="008822C6" w:rsidRPr="00C2763B" w14:paraId="5F97238D" w14:textId="77777777" w:rsidTr="00391FA4">
        <w:trPr>
          <w:trHeight w:val="240"/>
        </w:trPr>
        <w:tc>
          <w:tcPr>
            <w:tcW w:w="957" w:type="dxa"/>
            <w:shd w:val="clear" w:color="auto" w:fill="auto"/>
          </w:tcPr>
          <w:p w14:paraId="3E985D72" w14:textId="77777777" w:rsidR="008822C6" w:rsidRPr="00C2763B" w:rsidRDefault="008822C6" w:rsidP="00391FA4">
            <w:pPr>
              <w:suppressAutoHyphens/>
              <w:spacing w:after="60"/>
              <w:jc w:val="left"/>
              <w:rPr>
                <w:sz w:val="18"/>
                <w:lang w:val="fr-CA"/>
              </w:rPr>
            </w:pPr>
            <w:r w:rsidRPr="00C2763B">
              <w:rPr>
                <w:sz w:val="18"/>
                <w:lang w:val="fr-CA"/>
              </w:rPr>
              <w:t>HCFC-22</w:t>
            </w:r>
          </w:p>
        </w:tc>
        <w:tc>
          <w:tcPr>
            <w:tcW w:w="856" w:type="dxa"/>
            <w:shd w:val="clear" w:color="auto" w:fill="auto"/>
          </w:tcPr>
          <w:p w14:paraId="7645BE65" w14:textId="77777777" w:rsidR="008822C6" w:rsidRPr="00C2763B" w:rsidRDefault="008822C6" w:rsidP="00391FA4">
            <w:pPr>
              <w:suppressAutoHyphens/>
              <w:spacing w:after="60"/>
              <w:jc w:val="right"/>
              <w:rPr>
                <w:sz w:val="18"/>
                <w:lang w:val="fr-CA"/>
              </w:rPr>
            </w:pPr>
          </w:p>
        </w:tc>
        <w:tc>
          <w:tcPr>
            <w:tcW w:w="847" w:type="dxa"/>
            <w:shd w:val="clear" w:color="auto" w:fill="auto"/>
          </w:tcPr>
          <w:p w14:paraId="6CA61CAE" w14:textId="77777777" w:rsidR="008822C6" w:rsidRPr="00C2763B" w:rsidRDefault="008822C6" w:rsidP="00391FA4">
            <w:pPr>
              <w:suppressAutoHyphens/>
              <w:spacing w:after="60"/>
              <w:jc w:val="right"/>
              <w:rPr>
                <w:sz w:val="18"/>
                <w:lang w:val="fr-CA"/>
              </w:rPr>
            </w:pPr>
          </w:p>
        </w:tc>
        <w:tc>
          <w:tcPr>
            <w:tcW w:w="936" w:type="dxa"/>
            <w:shd w:val="clear" w:color="auto" w:fill="auto"/>
          </w:tcPr>
          <w:p w14:paraId="3BA71FF2" w14:textId="77777777" w:rsidR="008822C6" w:rsidRPr="00C2763B" w:rsidRDefault="008822C6" w:rsidP="00391FA4">
            <w:pPr>
              <w:suppressAutoHyphens/>
              <w:spacing w:after="60"/>
              <w:jc w:val="right"/>
              <w:rPr>
                <w:sz w:val="18"/>
                <w:lang w:val="fr-CA"/>
              </w:rPr>
            </w:pPr>
          </w:p>
        </w:tc>
        <w:tc>
          <w:tcPr>
            <w:tcW w:w="1036" w:type="dxa"/>
            <w:shd w:val="clear" w:color="auto" w:fill="auto"/>
          </w:tcPr>
          <w:p w14:paraId="15814D93" w14:textId="77777777" w:rsidR="008822C6" w:rsidRPr="00C2763B" w:rsidRDefault="008822C6" w:rsidP="00391FA4">
            <w:pPr>
              <w:suppressAutoHyphens/>
              <w:spacing w:after="60"/>
              <w:jc w:val="right"/>
              <w:rPr>
                <w:sz w:val="18"/>
                <w:lang w:val="fr-CA"/>
              </w:rPr>
            </w:pPr>
            <w:r w:rsidRPr="00C2763B">
              <w:rPr>
                <w:sz w:val="18"/>
                <w:lang w:val="fr-CA"/>
              </w:rPr>
              <w:t>0,58</w:t>
            </w:r>
          </w:p>
        </w:tc>
        <w:tc>
          <w:tcPr>
            <w:tcW w:w="876" w:type="dxa"/>
            <w:shd w:val="clear" w:color="auto" w:fill="auto"/>
          </w:tcPr>
          <w:p w14:paraId="1C89BEE5" w14:textId="77777777" w:rsidR="008822C6" w:rsidRPr="00C2763B" w:rsidRDefault="008822C6" w:rsidP="00391FA4">
            <w:pPr>
              <w:suppressAutoHyphens/>
              <w:spacing w:after="60"/>
              <w:jc w:val="right"/>
              <w:rPr>
                <w:sz w:val="18"/>
                <w:lang w:val="fr-CA"/>
              </w:rPr>
            </w:pPr>
            <w:r w:rsidRPr="00C2763B">
              <w:rPr>
                <w:sz w:val="18"/>
                <w:lang w:val="fr-CA"/>
              </w:rPr>
              <w:t>31,65</w:t>
            </w:r>
          </w:p>
        </w:tc>
        <w:tc>
          <w:tcPr>
            <w:tcW w:w="837" w:type="dxa"/>
            <w:shd w:val="clear" w:color="auto" w:fill="auto"/>
          </w:tcPr>
          <w:p w14:paraId="6B6D1D66" w14:textId="77777777" w:rsidR="008822C6" w:rsidRPr="00C2763B" w:rsidRDefault="008822C6" w:rsidP="00391FA4">
            <w:pPr>
              <w:suppressAutoHyphens/>
              <w:spacing w:after="60"/>
              <w:jc w:val="right"/>
              <w:rPr>
                <w:sz w:val="18"/>
                <w:lang w:val="fr-CA"/>
              </w:rPr>
            </w:pPr>
            <w:r w:rsidRPr="00C2763B">
              <w:rPr>
                <w:sz w:val="18"/>
                <w:lang w:val="fr-CA"/>
              </w:rPr>
              <w:t>0,30</w:t>
            </w:r>
          </w:p>
        </w:tc>
        <w:tc>
          <w:tcPr>
            <w:tcW w:w="1305" w:type="dxa"/>
            <w:shd w:val="clear" w:color="auto" w:fill="auto"/>
          </w:tcPr>
          <w:p w14:paraId="540DB376" w14:textId="77777777" w:rsidR="008822C6" w:rsidRPr="00C2763B" w:rsidRDefault="008822C6" w:rsidP="00391FA4">
            <w:pPr>
              <w:suppressAutoHyphens/>
              <w:spacing w:after="60"/>
              <w:jc w:val="right"/>
              <w:rPr>
                <w:sz w:val="18"/>
                <w:lang w:val="fr-CA"/>
              </w:rPr>
            </w:pPr>
          </w:p>
        </w:tc>
        <w:tc>
          <w:tcPr>
            <w:tcW w:w="1134" w:type="dxa"/>
            <w:shd w:val="clear" w:color="auto" w:fill="auto"/>
          </w:tcPr>
          <w:p w14:paraId="2CAA94CE" w14:textId="77777777" w:rsidR="008822C6" w:rsidRPr="00C2763B" w:rsidRDefault="008822C6" w:rsidP="00391FA4">
            <w:pPr>
              <w:suppressAutoHyphens/>
              <w:spacing w:after="60"/>
              <w:jc w:val="right"/>
              <w:rPr>
                <w:sz w:val="18"/>
                <w:lang w:val="fr-CA"/>
              </w:rPr>
            </w:pPr>
          </w:p>
        </w:tc>
        <w:tc>
          <w:tcPr>
            <w:tcW w:w="1429" w:type="dxa"/>
            <w:shd w:val="clear" w:color="auto" w:fill="auto"/>
          </w:tcPr>
          <w:p w14:paraId="271B5BA2" w14:textId="77777777" w:rsidR="008822C6" w:rsidRPr="00C2763B" w:rsidRDefault="008822C6" w:rsidP="00391FA4">
            <w:pPr>
              <w:suppressAutoHyphens/>
              <w:spacing w:after="60"/>
              <w:jc w:val="right"/>
              <w:rPr>
                <w:sz w:val="18"/>
                <w:lang w:val="fr-CA"/>
              </w:rPr>
            </w:pPr>
            <w:r w:rsidRPr="00C2763B">
              <w:rPr>
                <w:sz w:val="18"/>
                <w:lang w:val="fr-CA"/>
              </w:rPr>
              <w:t>32,53</w:t>
            </w:r>
          </w:p>
        </w:tc>
      </w:tr>
    </w:tbl>
    <w:p w14:paraId="443BBFEC" w14:textId="77777777" w:rsidR="008822C6" w:rsidRPr="00C2763B" w:rsidRDefault="008822C6" w:rsidP="008822C6">
      <w:pPr>
        <w:suppressAutoHyphens/>
        <w:spacing w:after="60"/>
        <w:jc w:val="center"/>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775"/>
        <w:gridCol w:w="901"/>
        <w:gridCol w:w="5423"/>
        <w:gridCol w:w="901"/>
      </w:tblGrid>
      <w:tr w:rsidR="008822C6" w:rsidRPr="00F37653" w14:paraId="55FBB135" w14:textId="77777777" w:rsidTr="00391FA4">
        <w:trPr>
          <w:trHeight w:val="240"/>
        </w:trPr>
        <w:tc>
          <w:tcPr>
            <w:tcW w:w="0" w:type="auto"/>
            <w:gridSpan w:val="4"/>
            <w:shd w:val="clear" w:color="auto" w:fill="auto"/>
          </w:tcPr>
          <w:p w14:paraId="433EA98F" w14:textId="77777777" w:rsidR="008822C6" w:rsidRPr="00C2763B" w:rsidRDefault="008822C6" w:rsidP="00391FA4">
            <w:pPr>
              <w:suppressAutoHyphens/>
              <w:spacing w:after="60"/>
              <w:jc w:val="left"/>
              <w:rPr>
                <w:b/>
                <w:sz w:val="18"/>
                <w:lang w:val="fr-CA"/>
              </w:rPr>
            </w:pPr>
            <w:r w:rsidRPr="00C2763B">
              <w:rPr>
                <w:b/>
                <w:sz w:val="18"/>
                <w:lang w:val="fr-CA"/>
              </w:rPr>
              <w:t>(IV) DONNÉES DE CONSOMMATION (Tonnes PAO)</w:t>
            </w:r>
          </w:p>
        </w:tc>
      </w:tr>
      <w:tr w:rsidR="008822C6" w:rsidRPr="00C2763B" w14:paraId="351F8F5D" w14:textId="77777777" w:rsidTr="00391FA4">
        <w:trPr>
          <w:trHeight w:val="240"/>
        </w:trPr>
        <w:tc>
          <w:tcPr>
            <w:tcW w:w="0" w:type="auto"/>
            <w:shd w:val="clear" w:color="auto" w:fill="auto"/>
          </w:tcPr>
          <w:p w14:paraId="33CA2B6D" w14:textId="77777777" w:rsidR="008822C6" w:rsidRPr="00C2763B" w:rsidRDefault="008822C6" w:rsidP="00391FA4">
            <w:pPr>
              <w:suppressAutoHyphens/>
              <w:spacing w:after="60"/>
              <w:jc w:val="center"/>
              <w:rPr>
                <w:sz w:val="18"/>
                <w:lang w:val="fr-CA"/>
              </w:rPr>
            </w:pPr>
            <w:r w:rsidRPr="00C2763B">
              <w:rPr>
                <w:sz w:val="18"/>
                <w:lang w:val="fr-CA"/>
              </w:rPr>
              <w:t>Référence 2009 - 2010:</w:t>
            </w:r>
          </w:p>
        </w:tc>
        <w:tc>
          <w:tcPr>
            <w:tcW w:w="0" w:type="auto"/>
            <w:shd w:val="clear" w:color="auto" w:fill="auto"/>
          </w:tcPr>
          <w:p w14:paraId="6DF0C106" w14:textId="77777777" w:rsidR="008822C6" w:rsidRPr="00C2763B" w:rsidRDefault="008822C6" w:rsidP="00391FA4">
            <w:pPr>
              <w:suppressAutoHyphens/>
              <w:spacing w:after="60"/>
              <w:jc w:val="right"/>
              <w:rPr>
                <w:sz w:val="18"/>
                <w:lang w:val="fr-CA"/>
              </w:rPr>
            </w:pPr>
            <w:r w:rsidRPr="00C2763B">
              <w:rPr>
                <w:sz w:val="18"/>
                <w:szCs w:val="18"/>
                <w:lang w:val="fr-CA"/>
              </w:rPr>
              <w:t>88,80</w:t>
            </w:r>
          </w:p>
        </w:tc>
        <w:tc>
          <w:tcPr>
            <w:tcW w:w="0" w:type="auto"/>
            <w:shd w:val="clear" w:color="auto" w:fill="auto"/>
          </w:tcPr>
          <w:p w14:paraId="4829E782" w14:textId="77777777" w:rsidR="008822C6" w:rsidRPr="00C2763B" w:rsidRDefault="008822C6" w:rsidP="00391FA4">
            <w:pPr>
              <w:suppressAutoHyphens/>
              <w:spacing w:after="60"/>
              <w:jc w:val="center"/>
              <w:rPr>
                <w:sz w:val="18"/>
                <w:lang w:val="fr-CA"/>
              </w:rPr>
            </w:pPr>
            <w:r w:rsidRPr="00C2763B">
              <w:rPr>
                <w:sz w:val="18"/>
                <w:lang w:val="fr-CA"/>
              </w:rPr>
              <w:t>Point de départ des réductions globales durables:</w:t>
            </w:r>
          </w:p>
        </w:tc>
        <w:tc>
          <w:tcPr>
            <w:tcW w:w="0" w:type="auto"/>
            <w:shd w:val="clear" w:color="auto" w:fill="auto"/>
          </w:tcPr>
          <w:p w14:paraId="0AA34876" w14:textId="77777777" w:rsidR="008822C6" w:rsidRPr="00C2763B" w:rsidRDefault="008822C6" w:rsidP="00391FA4">
            <w:pPr>
              <w:suppressAutoHyphens/>
              <w:spacing w:after="60"/>
              <w:jc w:val="right"/>
              <w:rPr>
                <w:sz w:val="18"/>
                <w:lang w:val="fr-CA"/>
              </w:rPr>
            </w:pPr>
            <w:r w:rsidRPr="00C2763B">
              <w:rPr>
                <w:sz w:val="18"/>
                <w:szCs w:val="18"/>
                <w:lang w:val="fr-CA"/>
              </w:rPr>
              <w:t>77,56</w:t>
            </w:r>
          </w:p>
        </w:tc>
      </w:tr>
      <w:tr w:rsidR="008822C6" w:rsidRPr="00F37653" w14:paraId="20D0DAA5" w14:textId="77777777" w:rsidTr="00391FA4">
        <w:trPr>
          <w:trHeight w:val="240"/>
        </w:trPr>
        <w:tc>
          <w:tcPr>
            <w:tcW w:w="0" w:type="auto"/>
            <w:gridSpan w:val="4"/>
            <w:shd w:val="clear" w:color="auto" w:fill="auto"/>
          </w:tcPr>
          <w:p w14:paraId="16CBBAFB" w14:textId="77777777" w:rsidR="008822C6" w:rsidRPr="00C2763B" w:rsidRDefault="008822C6" w:rsidP="00391FA4">
            <w:pPr>
              <w:suppressAutoHyphens/>
              <w:spacing w:after="60"/>
              <w:jc w:val="center"/>
              <w:rPr>
                <w:b/>
                <w:sz w:val="18"/>
                <w:lang w:val="fr-CA"/>
              </w:rPr>
            </w:pPr>
            <w:r w:rsidRPr="00C2763B">
              <w:rPr>
                <w:b/>
                <w:sz w:val="18"/>
                <w:lang w:val="fr-CA"/>
              </w:rPr>
              <w:t>CONSOMMATION ADMISSIBLE AU FINANCEMENT (tonnes PAO)</w:t>
            </w:r>
          </w:p>
        </w:tc>
      </w:tr>
      <w:tr w:rsidR="008822C6" w:rsidRPr="00C2763B" w14:paraId="5A51F079" w14:textId="77777777" w:rsidTr="00391FA4">
        <w:trPr>
          <w:trHeight w:val="240"/>
        </w:trPr>
        <w:tc>
          <w:tcPr>
            <w:tcW w:w="0" w:type="auto"/>
            <w:shd w:val="clear" w:color="auto" w:fill="auto"/>
          </w:tcPr>
          <w:p w14:paraId="0760ACE8" w14:textId="77777777" w:rsidR="008822C6" w:rsidRPr="00C2763B" w:rsidRDefault="008822C6" w:rsidP="00391FA4">
            <w:pPr>
              <w:suppressAutoHyphens/>
              <w:spacing w:after="60"/>
              <w:jc w:val="center"/>
              <w:rPr>
                <w:sz w:val="18"/>
                <w:lang w:val="fr-CA"/>
              </w:rPr>
            </w:pPr>
            <w:r w:rsidRPr="00C2763B">
              <w:rPr>
                <w:sz w:val="18"/>
                <w:lang w:val="fr-CA"/>
              </w:rPr>
              <w:t>Déjà approuvée:</w:t>
            </w:r>
          </w:p>
        </w:tc>
        <w:tc>
          <w:tcPr>
            <w:tcW w:w="0" w:type="auto"/>
            <w:shd w:val="clear" w:color="auto" w:fill="auto"/>
          </w:tcPr>
          <w:p w14:paraId="22D60644" w14:textId="77777777" w:rsidR="008822C6" w:rsidRPr="00C2763B" w:rsidRDefault="008822C6" w:rsidP="00391FA4">
            <w:pPr>
              <w:suppressAutoHyphens/>
              <w:spacing w:after="60"/>
              <w:jc w:val="right"/>
              <w:rPr>
                <w:sz w:val="18"/>
                <w:lang w:val="fr-CA"/>
              </w:rPr>
            </w:pPr>
            <w:r w:rsidRPr="00C2763B">
              <w:rPr>
                <w:sz w:val="18"/>
                <w:szCs w:val="18"/>
                <w:lang w:val="fr-CA"/>
              </w:rPr>
              <w:t>54,01</w:t>
            </w:r>
          </w:p>
        </w:tc>
        <w:tc>
          <w:tcPr>
            <w:tcW w:w="0" w:type="auto"/>
            <w:shd w:val="clear" w:color="auto" w:fill="auto"/>
          </w:tcPr>
          <w:p w14:paraId="07BB2B35" w14:textId="77777777" w:rsidR="008822C6" w:rsidRPr="00C2763B" w:rsidRDefault="008822C6" w:rsidP="00391FA4">
            <w:pPr>
              <w:suppressAutoHyphens/>
              <w:spacing w:after="60"/>
              <w:jc w:val="center"/>
              <w:rPr>
                <w:sz w:val="18"/>
                <w:lang w:val="fr-CA"/>
              </w:rPr>
            </w:pPr>
            <w:r w:rsidRPr="00C2763B">
              <w:rPr>
                <w:sz w:val="18"/>
                <w:lang w:val="fr-CA"/>
              </w:rPr>
              <w:t>Restante:</w:t>
            </w:r>
          </w:p>
        </w:tc>
        <w:tc>
          <w:tcPr>
            <w:tcW w:w="0" w:type="auto"/>
            <w:shd w:val="clear" w:color="auto" w:fill="auto"/>
          </w:tcPr>
          <w:p w14:paraId="32755530" w14:textId="77777777" w:rsidR="008822C6" w:rsidRPr="00C2763B" w:rsidRDefault="008822C6" w:rsidP="00391FA4">
            <w:pPr>
              <w:suppressAutoHyphens/>
              <w:spacing w:after="60"/>
              <w:jc w:val="right"/>
              <w:rPr>
                <w:sz w:val="18"/>
                <w:lang w:val="fr-CA"/>
              </w:rPr>
            </w:pPr>
            <w:r w:rsidRPr="00C2763B">
              <w:rPr>
                <w:sz w:val="18"/>
                <w:szCs w:val="18"/>
                <w:lang w:val="fr-CA"/>
              </w:rPr>
              <w:t>23,55</w:t>
            </w:r>
          </w:p>
        </w:tc>
      </w:tr>
    </w:tbl>
    <w:p w14:paraId="14832A3A" w14:textId="77777777" w:rsidR="008822C6" w:rsidRPr="00C2763B" w:rsidRDefault="008822C6" w:rsidP="008822C6">
      <w:pPr>
        <w:suppressAutoHyphens/>
        <w:spacing w:after="60"/>
        <w:jc w:val="center"/>
        <w:rPr>
          <w:lang w:val="fr-CA"/>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97"/>
        <w:gridCol w:w="2436"/>
        <w:gridCol w:w="1688"/>
        <w:gridCol w:w="1688"/>
        <w:gridCol w:w="1688"/>
        <w:gridCol w:w="1688"/>
      </w:tblGrid>
      <w:tr w:rsidR="008822C6" w:rsidRPr="00C2763B" w14:paraId="78804BEC" w14:textId="77777777" w:rsidTr="00391FA4">
        <w:trPr>
          <w:trHeight w:val="253"/>
        </w:trPr>
        <w:tc>
          <w:tcPr>
            <w:tcW w:w="3233" w:type="dxa"/>
            <w:gridSpan w:val="2"/>
            <w:shd w:val="clear" w:color="auto" w:fill="auto"/>
          </w:tcPr>
          <w:p w14:paraId="06F7A580" w14:textId="77777777" w:rsidR="008822C6" w:rsidRPr="00C2763B" w:rsidRDefault="008822C6" w:rsidP="00391FA4">
            <w:pPr>
              <w:suppressAutoHyphens/>
              <w:spacing w:after="60"/>
              <w:jc w:val="left"/>
              <w:rPr>
                <w:b/>
                <w:sz w:val="18"/>
                <w:lang w:val="fr-CA"/>
              </w:rPr>
            </w:pPr>
            <w:r w:rsidRPr="00C2763B">
              <w:rPr>
                <w:b/>
                <w:sz w:val="18"/>
                <w:lang w:val="fr-CA"/>
              </w:rPr>
              <w:t>(V) PLAN D’ACTIVITÉS</w:t>
            </w:r>
          </w:p>
        </w:tc>
        <w:tc>
          <w:tcPr>
            <w:tcW w:w="1688" w:type="dxa"/>
            <w:shd w:val="clear" w:color="auto" w:fill="auto"/>
          </w:tcPr>
          <w:p w14:paraId="6594DC57" w14:textId="77777777" w:rsidR="008822C6" w:rsidRPr="00C2763B" w:rsidRDefault="008822C6" w:rsidP="00391FA4">
            <w:pPr>
              <w:suppressAutoHyphens/>
              <w:spacing w:after="60"/>
              <w:jc w:val="center"/>
              <w:rPr>
                <w:b/>
                <w:sz w:val="18"/>
                <w:lang w:val="fr-CA"/>
              </w:rPr>
            </w:pPr>
            <w:r w:rsidRPr="00C2763B">
              <w:rPr>
                <w:b/>
                <w:sz w:val="18"/>
                <w:lang w:val="fr-CA"/>
              </w:rPr>
              <w:t>2021</w:t>
            </w:r>
          </w:p>
        </w:tc>
        <w:tc>
          <w:tcPr>
            <w:tcW w:w="1688" w:type="dxa"/>
          </w:tcPr>
          <w:p w14:paraId="1AD5E254" w14:textId="77777777" w:rsidR="008822C6" w:rsidRPr="00C2763B" w:rsidRDefault="008822C6" w:rsidP="00391FA4">
            <w:pPr>
              <w:suppressAutoHyphens/>
              <w:spacing w:after="60"/>
              <w:jc w:val="center"/>
              <w:rPr>
                <w:b/>
                <w:sz w:val="18"/>
                <w:lang w:val="fr-CA"/>
              </w:rPr>
            </w:pPr>
            <w:r w:rsidRPr="00C2763B">
              <w:rPr>
                <w:b/>
                <w:sz w:val="18"/>
                <w:lang w:val="fr-CA"/>
              </w:rPr>
              <w:t>2022</w:t>
            </w:r>
          </w:p>
        </w:tc>
        <w:tc>
          <w:tcPr>
            <w:tcW w:w="1688" w:type="dxa"/>
          </w:tcPr>
          <w:p w14:paraId="1A587980" w14:textId="77777777" w:rsidR="008822C6" w:rsidRPr="00C2763B" w:rsidRDefault="008822C6" w:rsidP="00391FA4">
            <w:pPr>
              <w:suppressAutoHyphens/>
              <w:spacing w:after="60"/>
              <w:jc w:val="center"/>
              <w:rPr>
                <w:b/>
                <w:sz w:val="18"/>
                <w:lang w:val="fr-CA"/>
              </w:rPr>
            </w:pPr>
            <w:r w:rsidRPr="00C2763B">
              <w:rPr>
                <w:b/>
                <w:sz w:val="18"/>
                <w:lang w:val="fr-CA"/>
              </w:rPr>
              <w:t>2023</w:t>
            </w:r>
          </w:p>
        </w:tc>
        <w:tc>
          <w:tcPr>
            <w:tcW w:w="1688" w:type="dxa"/>
          </w:tcPr>
          <w:p w14:paraId="4F39D3D4" w14:textId="77777777" w:rsidR="008822C6" w:rsidRPr="00C2763B" w:rsidRDefault="008822C6" w:rsidP="00391FA4">
            <w:pPr>
              <w:suppressAutoHyphens/>
              <w:spacing w:after="60"/>
              <w:jc w:val="center"/>
              <w:rPr>
                <w:b/>
                <w:sz w:val="18"/>
                <w:lang w:val="fr-CA"/>
              </w:rPr>
            </w:pPr>
            <w:r w:rsidRPr="00C2763B">
              <w:rPr>
                <w:b/>
                <w:sz w:val="18"/>
                <w:lang w:val="fr-CA"/>
              </w:rPr>
              <w:t>Total</w:t>
            </w:r>
          </w:p>
        </w:tc>
      </w:tr>
      <w:tr w:rsidR="008822C6" w:rsidRPr="00C2763B" w14:paraId="64CD9E9E" w14:textId="77777777" w:rsidTr="00391FA4">
        <w:trPr>
          <w:trHeight w:val="253"/>
        </w:trPr>
        <w:tc>
          <w:tcPr>
            <w:tcW w:w="0" w:type="auto"/>
            <w:vMerge w:val="restart"/>
            <w:shd w:val="clear" w:color="auto" w:fill="auto"/>
          </w:tcPr>
          <w:p w14:paraId="6CED89C1" w14:textId="77777777" w:rsidR="008822C6" w:rsidRPr="00C2763B" w:rsidRDefault="008822C6" w:rsidP="00391FA4">
            <w:pPr>
              <w:suppressAutoHyphens/>
              <w:spacing w:after="60"/>
              <w:jc w:val="center"/>
              <w:rPr>
                <w:sz w:val="18"/>
                <w:lang w:val="fr-CA"/>
              </w:rPr>
            </w:pPr>
            <w:r w:rsidRPr="00C2763B">
              <w:rPr>
                <w:sz w:val="18"/>
                <w:lang w:val="fr-CA"/>
              </w:rPr>
              <w:t>ONUDI</w:t>
            </w:r>
          </w:p>
        </w:tc>
        <w:tc>
          <w:tcPr>
            <w:tcW w:w="2436" w:type="dxa"/>
            <w:shd w:val="clear" w:color="auto" w:fill="auto"/>
          </w:tcPr>
          <w:p w14:paraId="6FCA960A" w14:textId="77777777" w:rsidR="008822C6" w:rsidRPr="00C2763B" w:rsidRDefault="008822C6" w:rsidP="00391FA4">
            <w:pPr>
              <w:suppressAutoHyphens/>
              <w:spacing w:after="60"/>
              <w:jc w:val="left"/>
              <w:rPr>
                <w:sz w:val="18"/>
                <w:lang w:val="fr-CA"/>
              </w:rPr>
            </w:pPr>
            <w:r w:rsidRPr="00C2763B">
              <w:rPr>
                <w:sz w:val="18"/>
                <w:lang w:val="fr-CA"/>
              </w:rPr>
              <w:t>Élimination de SAO (tonnes PAO)</w:t>
            </w:r>
          </w:p>
        </w:tc>
        <w:tc>
          <w:tcPr>
            <w:tcW w:w="1688" w:type="dxa"/>
            <w:shd w:val="clear" w:color="auto" w:fill="auto"/>
          </w:tcPr>
          <w:p w14:paraId="49EAF13F" w14:textId="77777777" w:rsidR="008822C6" w:rsidRPr="00C2763B" w:rsidRDefault="008822C6" w:rsidP="00391FA4">
            <w:pPr>
              <w:suppressAutoHyphens/>
              <w:spacing w:after="60"/>
              <w:jc w:val="right"/>
              <w:rPr>
                <w:sz w:val="18"/>
                <w:lang w:val="fr-CA"/>
              </w:rPr>
            </w:pPr>
            <w:r w:rsidRPr="00C2763B">
              <w:rPr>
                <w:sz w:val="18"/>
                <w:lang w:val="fr-CA"/>
              </w:rPr>
              <w:t>8,26</w:t>
            </w:r>
          </w:p>
        </w:tc>
        <w:tc>
          <w:tcPr>
            <w:tcW w:w="1688" w:type="dxa"/>
          </w:tcPr>
          <w:p w14:paraId="5535E237" w14:textId="77777777" w:rsidR="008822C6" w:rsidRPr="00C2763B" w:rsidRDefault="008822C6" w:rsidP="00391FA4">
            <w:pPr>
              <w:suppressAutoHyphens/>
              <w:spacing w:after="60"/>
              <w:jc w:val="right"/>
              <w:rPr>
                <w:sz w:val="18"/>
                <w:lang w:val="fr-CA"/>
              </w:rPr>
            </w:pPr>
            <w:r w:rsidRPr="00C2763B">
              <w:rPr>
                <w:sz w:val="18"/>
                <w:lang w:val="fr-CA"/>
              </w:rPr>
              <w:t>0</w:t>
            </w:r>
          </w:p>
        </w:tc>
        <w:tc>
          <w:tcPr>
            <w:tcW w:w="1688" w:type="dxa"/>
          </w:tcPr>
          <w:p w14:paraId="0F343A24" w14:textId="77777777" w:rsidR="008822C6" w:rsidRPr="00C2763B" w:rsidRDefault="008822C6" w:rsidP="00391FA4">
            <w:pPr>
              <w:suppressAutoHyphens/>
              <w:spacing w:after="60"/>
              <w:jc w:val="right"/>
              <w:rPr>
                <w:sz w:val="18"/>
                <w:lang w:val="fr-CA"/>
              </w:rPr>
            </w:pPr>
            <w:r w:rsidRPr="00C2763B">
              <w:rPr>
                <w:sz w:val="18"/>
                <w:lang w:val="fr-CA"/>
              </w:rPr>
              <w:t>0</w:t>
            </w:r>
          </w:p>
        </w:tc>
        <w:tc>
          <w:tcPr>
            <w:tcW w:w="1688" w:type="dxa"/>
          </w:tcPr>
          <w:p w14:paraId="61A7289B" w14:textId="77777777" w:rsidR="008822C6" w:rsidRPr="00C2763B" w:rsidRDefault="008822C6" w:rsidP="00391FA4">
            <w:pPr>
              <w:suppressAutoHyphens/>
              <w:spacing w:after="60"/>
              <w:jc w:val="right"/>
              <w:rPr>
                <w:sz w:val="18"/>
                <w:lang w:val="fr-CA"/>
              </w:rPr>
            </w:pPr>
            <w:r w:rsidRPr="00C2763B">
              <w:rPr>
                <w:sz w:val="18"/>
                <w:lang w:val="fr-CA"/>
              </w:rPr>
              <w:t>8,26</w:t>
            </w:r>
          </w:p>
        </w:tc>
      </w:tr>
      <w:tr w:rsidR="008822C6" w:rsidRPr="00C2763B" w14:paraId="680300FC" w14:textId="77777777" w:rsidTr="00391FA4">
        <w:trPr>
          <w:trHeight w:val="253"/>
        </w:trPr>
        <w:tc>
          <w:tcPr>
            <w:tcW w:w="0" w:type="auto"/>
            <w:vMerge/>
            <w:shd w:val="clear" w:color="auto" w:fill="auto"/>
          </w:tcPr>
          <w:p w14:paraId="3F4B0B36" w14:textId="77777777" w:rsidR="008822C6" w:rsidRPr="00C2763B" w:rsidRDefault="008822C6" w:rsidP="00391FA4">
            <w:pPr>
              <w:suppressAutoHyphens/>
              <w:spacing w:after="60"/>
              <w:jc w:val="center"/>
              <w:rPr>
                <w:sz w:val="18"/>
                <w:lang w:val="fr-CA"/>
              </w:rPr>
            </w:pPr>
          </w:p>
        </w:tc>
        <w:tc>
          <w:tcPr>
            <w:tcW w:w="2436" w:type="dxa"/>
            <w:shd w:val="clear" w:color="auto" w:fill="auto"/>
          </w:tcPr>
          <w:p w14:paraId="3CF9DB1A" w14:textId="77777777" w:rsidR="008822C6" w:rsidRPr="00C2763B" w:rsidRDefault="008822C6" w:rsidP="00391FA4">
            <w:pPr>
              <w:suppressAutoHyphens/>
              <w:spacing w:after="60"/>
              <w:jc w:val="left"/>
              <w:rPr>
                <w:sz w:val="18"/>
                <w:lang w:val="fr-CA"/>
              </w:rPr>
            </w:pPr>
            <w:r w:rsidRPr="00C2763B">
              <w:rPr>
                <w:sz w:val="18"/>
                <w:lang w:val="fr-CA"/>
              </w:rPr>
              <w:t>Financement ($US)</w:t>
            </w:r>
          </w:p>
        </w:tc>
        <w:tc>
          <w:tcPr>
            <w:tcW w:w="1688" w:type="dxa"/>
            <w:shd w:val="clear" w:color="auto" w:fill="auto"/>
          </w:tcPr>
          <w:p w14:paraId="58574F08" w14:textId="77777777" w:rsidR="008822C6" w:rsidRPr="00C2763B" w:rsidRDefault="008822C6" w:rsidP="00391FA4">
            <w:pPr>
              <w:suppressAutoHyphens/>
              <w:spacing w:after="60"/>
              <w:jc w:val="right"/>
              <w:rPr>
                <w:sz w:val="18"/>
                <w:lang w:val="fr-CA"/>
              </w:rPr>
            </w:pPr>
            <w:r w:rsidRPr="00C2763B">
              <w:rPr>
                <w:sz w:val="18"/>
                <w:lang w:val="fr-CA"/>
              </w:rPr>
              <w:t>841 823</w:t>
            </w:r>
          </w:p>
        </w:tc>
        <w:tc>
          <w:tcPr>
            <w:tcW w:w="1688" w:type="dxa"/>
          </w:tcPr>
          <w:p w14:paraId="287FD6E6" w14:textId="77777777" w:rsidR="008822C6" w:rsidRPr="00C2763B" w:rsidRDefault="008822C6" w:rsidP="00391FA4">
            <w:pPr>
              <w:suppressAutoHyphens/>
              <w:spacing w:after="60"/>
              <w:jc w:val="right"/>
              <w:rPr>
                <w:sz w:val="18"/>
                <w:lang w:val="fr-CA"/>
              </w:rPr>
            </w:pPr>
            <w:r w:rsidRPr="00C2763B">
              <w:rPr>
                <w:sz w:val="18"/>
                <w:lang w:val="fr-CA"/>
              </w:rPr>
              <w:t> </w:t>
            </w:r>
          </w:p>
        </w:tc>
        <w:tc>
          <w:tcPr>
            <w:tcW w:w="1688" w:type="dxa"/>
          </w:tcPr>
          <w:p w14:paraId="4B640C19" w14:textId="77777777" w:rsidR="008822C6" w:rsidRPr="00C2763B" w:rsidRDefault="008822C6" w:rsidP="00391FA4">
            <w:pPr>
              <w:suppressAutoHyphens/>
              <w:spacing w:after="60"/>
              <w:jc w:val="right"/>
              <w:rPr>
                <w:sz w:val="18"/>
                <w:lang w:val="fr-CA"/>
              </w:rPr>
            </w:pPr>
            <w:r w:rsidRPr="00C2763B">
              <w:rPr>
                <w:sz w:val="18"/>
                <w:lang w:val="fr-CA"/>
              </w:rPr>
              <w:t>0</w:t>
            </w:r>
          </w:p>
        </w:tc>
        <w:tc>
          <w:tcPr>
            <w:tcW w:w="1688" w:type="dxa"/>
          </w:tcPr>
          <w:p w14:paraId="5830ED0D" w14:textId="77777777" w:rsidR="008822C6" w:rsidRPr="00C2763B" w:rsidRDefault="008822C6" w:rsidP="00391FA4">
            <w:pPr>
              <w:suppressAutoHyphens/>
              <w:spacing w:after="60"/>
              <w:jc w:val="right"/>
              <w:rPr>
                <w:sz w:val="18"/>
                <w:lang w:val="fr-CA"/>
              </w:rPr>
            </w:pPr>
            <w:r w:rsidRPr="00C2763B">
              <w:rPr>
                <w:sz w:val="18"/>
                <w:lang w:val="fr-CA"/>
              </w:rPr>
              <w:t>841 823</w:t>
            </w:r>
          </w:p>
        </w:tc>
      </w:tr>
    </w:tbl>
    <w:p w14:paraId="5649A7A6" w14:textId="77777777" w:rsidR="008822C6" w:rsidRPr="00C2763B" w:rsidRDefault="008822C6" w:rsidP="008822C6">
      <w:pPr>
        <w:suppressAutoHyphens/>
        <w:spacing w:after="60"/>
        <w:jc w:val="center"/>
        <w:rPr>
          <w:lang w:val="fr-CA"/>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84"/>
        <w:gridCol w:w="1044"/>
        <w:gridCol w:w="1096"/>
        <w:gridCol w:w="801"/>
        <w:gridCol w:w="621"/>
        <w:gridCol w:w="621"/>
        <w:gridCol w:w="801"/>
        <w:gridCol w:w="621"/>
        <w:gridCol w:w="621"/>
        <w:gridCol w:w="621"/>
        <w:gridCol w:w="711"/>
        <w:gridCol w:w="943"/>
      </w:tblGrid>
      <w:tr w:rsidR="008822C6" w:rsidRPr="00C2763B" w14:paraId="6BABD053" w14:textId="77777777" w:rsidTr="00391FA4">
        <w:trPr>
          <w:trHeight w:val="261"/>
        </w:trPr>
        <w:tc>
          <w:tcPr>
            <w:tcW w:w="0" w:type="auto"/>
            <w:gridSpan w:val="3"/>
            <w:shd w:val="clear" w:color="auto" w:fill="auto"/>
          </w:tcPr>
          <w:p w14:paraId="62B17EEB" w14:textId="77777777" w:rsidR="008822C6" w:rsidRPr="00C2763B" w:rsidRDefault="008822C6" w:rsidP="00391FA4">
            <w:pPr>
              <w:suppressAutoHyphens/>
              <w:spacing w:after="60"/>
              <w:jc w:val="left"/>
              <w:rPr>
                <w:b/>
                <w:sz w:val="18"/>
                <w:szCs w:val="18"/>
                <w:lang w:val="fr-CA"/>
              </w:rPr>
            </w:pPr>
            <w:r w:rsidRPr="00C2763B">
              <w:rPr>
                <w:b/>
                <w:sz w:val="18"/>
                <w:szCs w:val="18"/>
                <w:lang w:val="fr-CA"/>
              </w:rPr>
              <w:t>(VI) DONNÉES DU PROJET</w:t>
            </w:r>
          </w:p>
        </w:tc>
        <w:tc>
          <w:tcPr>
            <w:tcW w:w="0" w:type="auto"/>
          </w:tcPr>
          <w:p w14:paraId="4E5EE1A0"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2018</w:t>
            </w:r>
          </w:p>
        </w:tc>
        <w:tc>
          <w:tcPr>
            <w:tcW w:w="0" w:type="auto"/>
            <w:shd w:val="clear" w:color="auto" w:fill="auto"/>
          </w:tcPr>
          <w:p w14:paraId="29029251"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2019</w:t>
            </w:r>
          </w:p>
        </w:tc>
        <w:tc>
          <w:tcPr>
            <w:tcW w:w="0" w:type="auto"/>
            <w:shd w:val="clear" w:color="auto" w:fill="auto"/>
          </w:tcPr>
          <w:p w14:paraId="62B3E313"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2020</w:t>
            </w:r>
          </w:p>
        </w:tc>
        <w:tc>
          <w:tcPr>
            <w:tcW w:w="0" w:type="auto"/>
            <w:shd w:val="clear" w:color="auto" w:fill="auto"/>
          </w:tcPr>
          <w:p w14:paraId="2A1B2BD7"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2021</w:t>
            </w:r>
          </w:p>
        </w:tc>
        <w:tc>
          <w:tcPr>
            <w:tcW w:w="0" w:type="auto"/>
            <w:shd w:val="clear" w:color="auto" w:fill="auto"/>
          </w:tcPr>
          <w:p w14:paraId="6F6DAC12"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2022</w:t>
            </w:r>
          </w:p>
        </w:tc>
        <w:tc>
          <w:tcPr>
            <w:tcW w:w="0" w:type="auto"/>
            <w:shd w:val="clear" w:color="auto" w:fill="auto"/>
          </w:tcPr>
          <w:p w14:paraId="5D6F2DFE"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2023</w:t>
            </w:r>
          </w:p>
        </w:tc>
        <w:tc>
          <w:tcPr>
            <w:tcW w:w="0" w:type="auto"/>
            <w:shd w:val="clear" w:color="auto" w:fill="auto"/>
          </w:tcPr>
          <w:p w14:paraId="0D444211"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2024</w:t>
            </w:r>
          </w:p>
        </w:tc>
        <w:tc>
          <w:tcPr>
            <w:tcW w:w="0" w:type="auto"/>
            <w:shd w:val="clear" w:color="auto" w:fill="auto"/>
          </w:tcPr>
          <w:p w14:paraId="0EA74305" w14:textId="77777777" w:rsidR="008822C6" w:rsidRPr="00C2763B" w:rsidRDefault="008822C6" w:rsidP="00391FA4">
            <w:pPr>
              <w:suppressAutoHyphens/>
              <w:spacing w:after="60"/>
              <w:jc w:val="center"/>
              <w:rPr>
                <w:b/>
                <w:sz w:val="18"/>
                <w:szCs w:val="18"/>
                <w:lang w:val="fr-CA"/>
              </w:rPr>
            </w:pPr>
            <w:r w:rsidRPr="00C2763B">
              <w:rPr>
                <w:b/>
                <w:sz w:val="18"/>
                <w:szCs w:val="18"/>
                <w:lang w:val="fr-CA"/>
              </w:rPr>
              <w:t>2025</w:t>
            </w:r>
          </w:p>
        </w:tc>
        <w:tc>
          <w:tcPr>
            <w:tcW w:w="953" w:type="dxa"/>
            <w:shd w:val="clear" w:color="auto" w:fill="auto"/>
          </w:tcPr>
          <w:p w14:paraId="41C2DD2D" w14:textId="77777777" w:rsidR="008822C6" w:rsidRPr="00C2763B" w:rsidRDefault="008822C6" w:rsidP="00391FA4">
            <w:pPr>
              <w:suppressAutoHyphens/>
              <w:spacing w:after="60"/>
              <w:jc w:val="center"/>
              <w:rPr>
                <w:b/>
                <w:sz w:val="18"/>
                <w:szCs w:val="18"/>
                <w:lang w:val="fr-CA"/>
              </w:rPr>
            </w:pPr>
            <w:r w:rsidRPr="00C2763B">
              <w:rPr>
                <w:b/>
                <w:sz w:val="18"/>
                <w:szCs w:val="18"/>
                <w:lang w:val="fr-CA"/>
              </w:rPr>
              <w:t>Total</w:t>
            </w:r>
          </w:p>
        </w:tc>
      </w:tr>
      <w:tr w:rsidR="008822C6" w:rsidRPr="00C2763B" w14:paraId="4B750361" w14:textId="77777777" w:rsidTr="00391FA4">
        <w:trPr>
          <w:trHeight w:val="476"/>
        </w:trPr>
        <w:tc>
          <w:tcPr>
            <w:tcW w:w="0" w:type="auto"/>
            <w:gridSpan w:val="3"/>
            <w:shd w:val="clear" w:color="auto" w:fill="auto"/>
          </w:tcPr>
          <w:p w14:paraId="3963FD35" w14:textId="77777777" w:rsidR="008822C6" w:rsidRPr="00C2763B" w:rsidRDefault="008822C6" w:rsidP="00391FA4">
            <w:pPr>
              <w:suppressAutoHyphens/>
              <w:spacing w:after="60"/>
              <w:jc w:val="left"/>
              <w:rPr>
                <w:sz w:val="18"/>
                <w:szCs w:val="18"/>
                <w:lang w:val="fr-CA"/>
              </w:rPr>
            </w:pPr>
            <w:r w:rsidRPr="00C2763B">
              <w:rPr>
                <w:sz w:val="18"/>
                <w:szCs w:val="18"/>
                <w:lang w:val="fr-CA"/>
              </w:rPr>
              <w:t>Limite de consommation du Protocole de Montréal (tonnes PAO)</w:t>
            </w:r>
          </w:p>
        </w:tc>
        <w:tc>
          <w:tcPr>
            <w:tcW w:w="0" w:type="auto"/>
          </w:tcPr>
          <w:p w14:paraId="4BF5BA3D"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79,92</w:t>
            </w:r>
          </w:p>
        </w:tc>
        <w:tc>
          <w:tcPr>
            <w:tcW w:w="0" w:type="auto"/>
            <w:shd w:val="clear" w:color="auto" w:fill="auto"/>
          </w:tcPr>
          <w:p w14:paraId="2CF683CA"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79,92</w:t>
            </w:r>
          </w:p>
        </w:tc>
        <w:tc>
          <w:tcPr>
            <w:tcW w:w="0" w:type="auto"/>
            <w:shd w:val="clear" w:color="auto" w:fill="auto"/>
          </w:tcPr>
          <w:p w14:paraId="082A96C1"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57,72</w:t>
            </w:r>
          </w:p>
        </w:tc>
        <w:tc>
          <w:tcPr>
            <w:tcW w:w="0" w:type="auto"/>
            <w:shd w:val="clear" w:color="auto" w:fill="auto"/>
          </w:tcPr>
          <w:p w14:paraId="64E630B2"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57,72</w:t>
            </w:r>
          </w:p>
        </w:tc>
        <w:tc>
          <w:tcPr>
            <w:tcW w:w="0" w:type="auto"/>
            <w:shd w:val="clear" w:color="auto" w:fill="auto"/>
          </w:tcPr>
          <w:p w14:paraId="6DE6FA8C"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57,72</w:t>
            </w:r>
          </w:p>
        </w:tc>
        <w:tc>
          <w:tcPr>
            <w:tcW w:w="0" w:type="auto"/>
            <w:shd w:val="clear" w:color="auto" w:fill="auto"/>
          </w:tcPr>
          <w:p w14:paraId="5126BD8D"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57,72</w:t>
            </w:r>
          </w:p>
        </w:tc>
        <w:tc>
          <w:tcPr>
            <w:tcW w:w="0" w:type="auto"/>
            <w:shd w:val="clear" w:color="auto" w:fill="auto"/>
          </w:tcPr>
          <w:p w14:paraId="5642AB41"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57,72</w:t>
            </w:r>
          </w:p>
        </w:tc>
        <w:tc>
          <w:tcPr>
            <w:tcW w:w="0" w:type="auto"/>
            <w:shd w:val="clear" w:color="auto" w:fill="auto"/>
          </w:tcPr>
          <w:p w14:paraId="56B0BF11"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28,86</w:t>
            </w:r>
          </w:p>
        </w:tc>
        <w:tc>
          <w:tcPr>
            <w:tcW w:w="953" w:type="dxa"/>
            <w:shd w:val="clear" w:color="auto" w:fill="auto"/>
          </w:tcPr>
          <w:p w14:paraId="559EE2F0" w14:textId="77777777" w:rsidR="008822C6" w:rsidRPr="00C2763B" w:rsidRDefault="008822C6" w:rsidP="00391FA4">
            <w:pPr>
              <w:keepNext/>
              <w:keepLines/>
              <w:suppressAutoHyphens/>
              <w:jc w:val="right"/>
              <w:rPr>
                <w:color w:val="000000"/>
                <w:sz w:val="18"/>
                <w:szCs w:val="18"/>
                <w:lang w:val="fr-CA" w:eastAsia="en-CA"/>
              </w:rPr>
            </w:pPr>
            <w:r w:rsidRPr="00C2763B">
              <w:rPr>
                <w:color w:val="000000"/>
                <w:sz w:val="18"/>
                <w:szCs w:val="18"/>
                <w:lang w:val="fr-CA" w:eastAsia="en-CA"/>
              </w:rPr>
              <w:t>n/d</w:t>
            </w:r>
          </w:p>
        </w:tc>
      </w:tr>
      <w:tr w:rsidR="008822C6" w:rsidRPr="00C2763B" w14:paraId="6395ACAD" w14:textId="77777777" w:rsidTr="00391FA4">
        <w:trPr>
          <w:trHeight w:val="476"/>
        </w:trPr>
        <w:tc>
          <w:tcPr>
            <w:tcW w:w="0" w:type="auto"/>
            <w:gridSpan w:val="3"/>
            <w:shd w:val="clear" w:color="auto" w:fill="auto"/>
          </w:tcPr>
          <w:p w14:paraId="630F732F" w14:textId="77777777" w:rsidR="008822C6" w:rsidRPr="00C2763B" w:rsidRDefault="008822C6" w:rsidP="00391FA4">
            <w:pPr>
              <w:suppressAutoHyphens/>
              <w:spacing w:after="60"/>
              <w:jc w:val="left"/>
              <w:rPr>
                <w:sz w:val="18"/>
                <w:szCs w:val="18"/>
                <w:lang w:val="fr-CA"/>
              </w:rPr>
            </w:pPr>
            <w:r w:rsidRPr="00C2763B">
              <w:rPr>
                <w:sz w:val="18"/>
                <w:szCs w:val="18"/>
                <w:lang w:val="fr-CA"/>
              </w:rPr>
              <w:t>Consommation maximale autorisée (tonnes PAO)</w:t>
            </w:r>
          </w:p>
        </w:tc>
        <w:tc>
          <w:tcPr>
            <w:tcW w:w="0" w:type="auto"/>
          </w:tcPr>
          <w:p w14:paraId="62C2AED5"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38,08</w:t>
            </w:r>
          </w:p>
        </w:tc>
        <w:tc>
          <w:tcPr>
            <w:tcW w:w="0" w:type="auto"/>
            <w:shd w:val="clear" w:color="auto" w:fill="auto"/>
          </w:tcPr>
          <w:p w14:paraId="61BA1CA2"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35,40</w:t>
            </w:r>
          </w:p>
        </w:tc>
        <w:tc>
          <w:tcPr>
            <w:tcW w:w="0" w:type="auto"/>
            <w:shd w:val="clear" w:color="auto" w:fill="auto"/>
          </w:tcPr>
          <w:p w14:paraId="3BE96B56"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32,70</w:t>
            </w:r>
          </w:p>
        </w:tc>
        <w:tc>
          <w:tcPr>
            <w:tcW w:w="0" w:type="auto"/>
            <w:shd w:val="clear" w:color="auto" w:fill="auto"/>
          </w:tcPr>
          <w:p w14:paraId="04C79F15"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30,10</w:t>
            </w:r>
          </w:p>
        </w:tc>
        <w:tc>
          <w:tcPr>
            <w:tcW w:w="0" w:type="auto"/>
            <w:shd w:val="clear" w:color="auto" w:fill="auto"/>
          </w:tcPr>
          <w:p w14:paraId="792E9E20"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27,50</w:t>
            </w:r>
          </w:p>
        </w:tc>
        <w:tc>
          <w:tcPr>
            <w:tcW w:w="0" w:type="auto"/>
            <w:shd w:val="clear" w:color="auto" w:fill="auto"/>
          </w:tcPr>
          <w:p w14:paraId="0C7525FE"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24,80</w:t>
            </w:r>
          </w:p>
        </w:tc>
        <w:tc>
          <w:tcPr>
            <w:tcW w:w="0" w:type="auto"/>
            <w:shd w:val="clear" w:color="auto" w:fill="auto"/>
          </w:tcPr>
          <w:p w14:paraId="053F3833"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22,20</w:t>
            </w:r>
          </w:p>
        </w:tc>
        <w:tc>
          <w:tcPr>
            <w:tcW w:w="0" w:type="auto"/>
            <w:shd w:val="clear" w:color="auto" w:fill="auto"/>
          </w:tcPr>
          <w:p w14:paraId="655BB579"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22,20</w:t>
            </w:r>
          </w:p>
        </w:tc>
        <w:tc>
          <w:tcPr>
            <w:tcW w:w="953" w:type="dxa"/>
            <w:shd w:val="clear" w:color="auto" w:fill="auto"/>
          </w:tcPr>
          <w:p w14:paraId="0A4DBE99"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n/d</w:t>
            </w:r>
          </w:p>
        </w:tc>
      </w:tr>
      <w:tr w:rsidR="008822C6" w:rsidRPr="00C2763B" w14:paraId="45B9E24C" w14:textId="77777777" w:rsidTr="00391FA4">
        <w:trPr>
          <w:trHeight w:val="261"/>
        </w:trPr>
        <w:tc>
          <w:tcPr>
            <w:tcW w:w="1442" w:type="dxa"/>
            <w:vMerge w:val="restart"/>
            <w:shd w:val="clear" w:color="auto" w:fill="auto"/>
          </w:tcPr>
          <w:p w14:paraId="000E526D" w14:textId="77777777" w:rsidR="008822C6" w:rsidRPr="00C2763B" w:rsidRDefault="008822C6" w:rsidP="00391FA4">
            <w:pPr>
              <w:suppressAutoHyphens/>
              <w:spacing w:after="60"/>
              <w:jc w:val="left"/>
              <w:rPr>
                <w:sz w:val="18"/>
                <w:szCs w:val="18"/>
                <w:lang w:val="fr-CA"/>
              </w:rPr>
            </w:pPr>
            <w:r w:rsidRPr="00C2763B">
              <w:rPr>
                <w:sz w:val="18"/>
                <w:szCs w:val="18"/>
                <w:lang w:val="fr-CA"/>
              </w:rPr>
              <w:t>Financement convenu ($US)</w:t>
            </w:r>
          </w:p>
        </w:tc>
        <w:tc>
          <w:tcPr>
            <w:tcW w:w="1024" w:type="dxa"/>
            <w:vMerge w:val="restart"/>
            <w:shd w:val="clear" w:color="auto" w:fill="auto"/>
          </w:tcPr>
          <w:p w14:paraId="407CD074" w14:textId="77777777" w:rsidR="008822C6" w:rsidRPr="00C2763B" w:rsidRDefault="008822C6" w:rsidP="00391FA4">
            <w:pPr>
              <w:suppressAutoHyphens/>
              <w:spacing w:after="60"/>
              <w:jc w:val="center"/>
              <w:rPr>
                <w:sz w:val="18"/>
                <w:szCs w:val="18"/>
                <w:lang w:val="fr-CA"/>
              </w:rPr>
            </w:pPr>
            <w:r w:rsidRPr="00C2763B">
              <w:rPr>
                <w:sz w:val="18"/>
                <w:szCs w:val="18"/>
                <w:lang w:val="fr-CA"/>
              </w:rPr>
              <w:t>ONUDI</w:t>
            </w:r>
          </w:p>
        </w:tc>
        <w:tc>
          <w:tcPr>
            <w:tcW w:w="1148" w:type="dxa"/>
            <w:shd w:val="clear" w:color="auto" w:fill="auto"/>
          </w:tcPr>
          <w:p w14:paraId="0F55B61B" w14:textId="77777777" w:rsidR="008822C6" w:rsidRPr="00C2763B" w:rsidRDefault="008822C6" w:rsidP="00391FA4">
            <w:pPr>
              <w:suppressAutoHyphens/>
              <w:spacing w:after="60"/>
              <w:jc w:val="left"/>
              <w:rPr>
                <w:sz w:val="18"/>
                <w:szCs w:val="18"/>
                <w:lang w:val="fr-CA"/>
              </w:rPr>
            </w:pPr>
            <w:r w:rsidRPr="00C2763B">
              <w:rPr>
                <w:sz w:val="18"/>
                <w:szCs w:val="18"/>
                <w:lang w:val="fr-CA"/>
              </w:rPr>
              <w:t>Coûts du projet</w:t>
            </w:r>
          </w:p>
        </w:tc>
        <w:tc>
          <w:tcPr>
            <w:tcW w:w="0" w:type="auto"/>
          </w:tcPr>
          <w:p w14:paraId="6637E141"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517 750</w:t>
            </w:r>
          </w:p>
        </w:tc>
        <w:tc>
          <w:tcPr>
            <w:tcW w:w="0" w:type="auto"/>
            <w:shd w:val="clear" w:color="auto" w:fill="auto"/>
          </w:tcPr>
          <w:p w14:paraId="08C96457"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311B1C66"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781D30C5"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786 750</w:t>
            </w:r>
          </w:p>
        </w:tc>
        <w:tc>
          <w:tcPr>
            <w:tcW w:w="0" w:type="auto"/>
            <w:shd w:val="clear" w:color="auto" w:fill="auto"/>
          </w:tcPr>
          <w:p w14:paraId="12E4ECDB"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735F47A0"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294BBC90"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598DA878"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79 000</w:t>
            </w:r>
          </w:p>
        </w:tc>
        <w:tc>
          <w:tcPr>
            <w:tcW w:w="953" w:type="dxa"/>
            <w:shd w:val="clear" w:color="auto" w:fill="auto"/>
          </w:tcPr>
          <w:p w14:paraId="2A84DA5D"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1 383 500</w:t>
            </w:r>
          </w:p>
        </w:tc>
      </w:tr>
      <w:tr w:rsidR="008822C6" w:rsidRPr="00C2763B" w14:paraId="768109EC" w14:textId="77777777" w:rsidTr="00391FA4">
        <w:trPr>
          <w:trHeight w:val="278"/>
        </w:trPr>
        <w:tc>
          <w:tcPr>
            <w:tcW w:w="1442" w:type="dxa"/>
            <w:vMerge/>
            <w:shd w:val="clear" w:color="auto" w:fill="auto"/>
          </w:tcPr>
          <w:p w14:paraId="072B6683" w14:textId="77777777" w:rsidR="008822C6" w:rsidRPr="00C2763B" w:rsidRDefault="008822C6" w:rsidP="00391FA4">
            <w:pPr>
              <w:suppressAutoHyphens/>
              <w:spacing w:after="60"/>
              <w:jc w:val="center"/>
              <w:rPr>
                <w:sz w:val="18"/>
                <w:szCs w:val="18"/>
                <w:lang w:val="fr-CA"/>
              </w:rPr>
            </w:pPr>
          </w:p>
        </w:tc>
        <w:tc>
          <w:tcPr>
            <w:tcW w:w="1024" w:type="dxa"/>
            <w:vMerge/>
            <w:shd w:val="clear" w:color="auto" w:fill="auto"/>
          </w:tcPr>
          <w:p w14:paraId="27086E75" w14:textId="77777777" w:rsidR="008822C6" w:rsidRPr="00C2763B" w:rsidRDefault="008822C6" w:rsidP="00391FA4">
            <w:pPr>
              <w:suppressAutoHyphens/>
              <w:spacing w:after="60"/>
              <w:jc w:val="center"/>
              <w:rPr>
                <w:sz w:val="18"/>
                <w:szCs w:val="18"/>
                <w:lang w:val="fr-CA"/>
              </w:rPr>
            </w:pPr>
          </w:p>
        </w:tc>
        <w:tc>
          <w:tcPr>
            <w:tcW w:w="1148" w:type="dxa"/>
            <w:shd w:val="clear" w:color="auto" w:fill="auto"/>
          </w:tcPr>
          <w:p w14:paraId="09824132" w14:textId="77777777" w:rsidR="008822C6" w:rsidRPr="00C2763B" w:rsidRDefault="008822C6" w:rsidP="00391FA4">
            <w:pPr>
              <w:suppressAutoHyphens/>
              <w:spacing w:after="60"/>
              <w:jc w:val="left"/>
              <w:rPr>
                <w:sz w:val="18"/>
                <w:szCs w:val="18"/>
                <w:lang w:val="fr-CA"/>
              </w:rPr>
            </w:pPr>
            <w:r w:rsidRPr="00C2763B">
              <w:rPr>
                <w:sz w:val="18"/>
                <w:szCs w:val="18"/>
                <w:lang w:val="fr-CA"/>
              </w:rPr>
              <w:t>Coûts d’appui</w:t>
            </w:r>
          </w:p>
        </w:tc>
        <w:tc>
          <w:tcPr>
            <w:tcW w:w="0" w:type="auto"/>
          </w:tcPr>
          <w:p w14:paraId="650BC19A"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36 243</w:t>
            </w:r>
          </w:p>
        </w:tc>
        <w:tc>
          <w:tcPr>
            <w:tcW w:w="0" w:type="auto"/>
            <w:shd w:val="clear" w:color="auto" w:fill="auto"/>
          </w:tcPr>
          <w:p w14:paraId="0F0F11C2"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5028E6AA"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4C25E186"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55 073</w:t>
            </w:r>
          </w:p>
        </w:tc>
        <w:tc>
          <w:tcPr>
            <w:tcW w:w="0" w:type="auto"/>
            <w:shd w:val="clear" w:color="auto" w:fill="auto"/>
          </w:tcPr>
          <w:p w14:paraId="64499C62"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7701391C"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04F8DB64"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eastAsia="en-CA"/>
              </w:rPr>
              <w:t>0</w:t>
            </w:r>
          </w:p>
        </w:tc>
        <w:tc>
          <w:tcPr>
            <w:tcW w:w="0" w:type="auto"/>
            <w:shd w:val="clear" w:color="auto" w:fill="auto"/>
          </w:tcPr>
          <w:p w14:paraId="5A053450"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5 530</w:t>
            </w:r>
          </w:p>
        </w:tc>
        <w:tc>
          <w:tcPr>
            <w:tcW w:w="953" w:type="dxa"/>
            <w:shd w:val="clear" w:color="auto" w:fill="auto"/>
          </w:tcPr>
          <w:p w14:paraId="14B4C89E"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96 846</w:t>
            </w:r>
          </w:p>
        </w:tc>
      </w:tr>
      <w:tr w:rsidR="008822C6" w:rsidRPr="00C2763B" w14:paraId="7CEC0081" w14:textId="77777777" w:rsidTr="00391FA4">
        <w:trPr>
          <w:trHeight w:val="269"/>
        </w:trPr>
        <w:tc>
          <w:tcPr>
            <w:tcW w:w="2466" w:type="dxa"/>
            <w:gridSpan w:val="2"/>
            <w:vMerge w:val="restart"/>
            <w:shd w:val="clear" w:color="auto" w:fill="auto"/>
          </w:tcPr>
          <w:p w14:paraId="4F66893C" w14:textId="77777777" w:rsidR="008822C6" w:rsidRPr="00C2763B" w:rsidRDefault="008822C6" w:rsidP="00391FA4">
            <w:pPr>
              <w:suppressAutoHyphens/>
              <w:spacing w:after="60"/>
              <w:jc w:val="left"/>
              <w:rPr>
                <w:sz w:val="18"/>
                <w:szCs w:val="18"/>
                <w:lang w:val="fr-CA"/>
              </w:rPr>
            </w:pPr>
            <w:r w:rsidRPr="00C2763B">
              <w:rPr>
                <w:sz w:val="18"/>
                <w:szCs w:val="18"/>
                <w:lang w:val="fr-CA"/>
              </w:rPr>
              <w:t>Fonds approuvés par ExCom ($US)</w:t>
            </w:r>
          </w:p>
        </w:tc>
        <w:tc>
          <w:tcPr>
            <w:tcW w:w="1148" w:type="dxa"/>
            <w:shd w:val="clear" w:color="auto" w:fill="auto"/>
          </w:tcPr>
          <w:p w14:paraId="2BABAF38" w14:textId="77777777" w:rsidR="008822C6" w:rsidRPr="00C2763B" w:rsidRDefault="008822C6" w:rsidP="00391FA4">
            <w:pPr>
              <w:suppressAutoHyphens/>
              <w:spacing w:after="60"/>
              <w:jc w:val="left"/>
              <w:rPr>
                <w:sz w:val="18"/>
                <w:szCs w:val="18"/>
                <w:lang w:val="fr-CA"/>
              </w:rPr>
            </w:pPr>
            <w:r w:rsidRPr="00C2763B">
              <w:rPr>
                <w:sz w:val="18"/>
                <w:szCs w:val="18"/>
                <w:lang w:val="fr-CA"/>
              </w:rPr>
              <w:t>Coûts du projet</w:t>
            </w:r>
          </w:p>
        </w:tc>
        <w:tc>
          <w:tcPr>
            <w:tcW w:w="0" w:type="auto"/>
          </w:tcPr>
          <w:p w14:paraId="746DCAD0"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517 750</w:t>
            </w:r>
          </w:p>
        </w:tc>
        <w:tc>
          <w:tcPr>
            <w:tcW w:w="0" w:type="auto"/>
            <w:shd w:val="clear" w:color="auto" w:fill="auto"/>
          </w:tcPr>
          <w:p w14:paraId="330A74BD" w14:textId="77777777" w:rsidR="008822C6" w:rsidRPr="00C2763B" w:rsidRDefault="008822C6" w:rsidP="00391FA4">
            <w:pPr>
              <w:suppressAutoHyphens/>
              <w:spacing w:after="60"/>
              <w:jc w:val="right"/>
              <w:rPr>
                <w:sz w:val="18"/>
                <w:szCs w:val="18"/>
                <w:lang w:val="fr-CA"/>
              </w:rPr>
            </w:pPr>
            <w:r w:rsidRPr="00C2763B">
              <w:rPr>
                <w:sz w:val="18"/>
                <w:szCs w:val="18"/>
                <w:lang w:val="fr-CA"/>
              </w:rPr>
              <w:t>0</w:t>
            </w:r>
          </w:p>
        </w:tc>
        <w:tc>
          <w:tcPr>
            <w:tcW w:w="0" w:type="auto"/>
            <w:shd w:val="clear" w:color="auto" w:fill="auto"/>
          </w:tcPr>
          <w:p w14:paraId="332D5525" w14:textId="77777777" w:rsidR="008822C6" w:rsidRPr="00C2763B" w:rsidRDefault="008822C6" w:rsidP="00391FA4">
            <w:pPr>
              <w:suppressAutoHyphens/>
              <w:jc w:val="right"/>
              <w:rPr>
                <w:sz w:val="18"/>
                <w:szCs w:val="18"/>
                <w:lang w:val="fr-CA"/>
              </w:rPr>
            </w:pPr>
            <w:r w:rsidRPr="00C2763B">
              <w:rPr>
                <w:sz w:val="18"/>
                <w:szCs w:val="18"/>
                <w:lang w:val="fr-CA"/>
              </w:rPr>
              <w:t>0</w:t>
            </w:r>
          </w:p>
        </w:tc>
        <w:tc>
          <w:tcPr>
            <w:tcW w:w="0" w:type="auto"/>
            <w:shd w:val="clear" w:color="auto" w:fill="auto"/>
          </w:tcPr>
          <w:p w14:paraId="6D284827" w14:textId="77777777" w:rsidR="008822C6" w:rsidRPr="00C2763B" w:rsidRDefault="008822C6" w:rsidP="00391FA4">
            <w:pPr>
              <w:suppressAutoHyphens/>
              <w:jc w:val="right"/>
              <w:rPr>
                <w:sz w:val="18"/>
                <w:szCs w:val="18"/>
                <w:lang w:val="fr-CA"/>
              </w:rPr>
            </w:pPr>
            <w:r w:rsidRPr="00C2763B">
              <w:rPr>
                <w:sz w:val="18"/>
                <w:szCs w:val="18"/>
                <w:lang w:val="fr-CA"/>
              </w:rPr>
              <w:t>0</w:t>
            </w:r>
          </w:p>
        </w:tc>
        <w:tc>
          <w:tcPr>
            <w:tcW w:w="0" w:type="auto"/>
            <w:shd w:val="clear" w:color="auto" w:fill="auto"/>
          </w:tcPr>
          <w:p w14:paraId="3D64E698" w14:textId="77777777" w:rsidR="008822C6" w:rsidRPr="00C2763B" w:rsidRDefault="008822C6" w:rsidP="00391FA4">
            <w:pPr>
              <w:suppressAutoHyphens/>
              <w:jc w:val="right"/>
              <w:rPr>
                <w:sz w:val="18"/>
                <w:szCs w:val="18"/>
                <w:lang w:val="fr-CA"/>
              </w:rPr>
            </w:pPr>
          </w:p>
        </w:tc>
        <w:tc>
          <w:tcPr>
            <w:tcW w:w="0" w:type="auto"/>
            <w:shd w:val="clear" w:color="auto" w:fill="auto"/>
          </w:tcPr>
          <w:p w14:paraId="62EF3ABF" w14:textId="77777777" w:rsidR="008822C6" w:rsidRPr="00C2763B" w:rsidRDefault="008822C6" w:rsidP="00391FA4">
            <w:pPr>
              <w:suppressAutoHyphens/>
              <w:jc w:val="right"/>
              <w:rPr>
                <w:sz w:val="18"/>
                <w:szCs w:val="18"/>
                <w:lang w:val="fr-CA"/>
              </w:rPr>
            </w:pPr>
          </w:p>
        </w:tc>
        <w:tc>
          <w:tcPr>
            <w:tcW w:w="0" w:type="auto"/>
            <w:shd w:val="clear" w:color="auto" w:fill="auto"/>
          </w:tcPr>
          <w:p w14:paraId="0EAD8FF3" w14:textId="77777777" w:rsidR="008822C6" w:rsidRPr="00C2763B" w:rsidRDefault="008822C6" w:rsidP="00391FA4">
            <w:pPr>
              <w:suppressAutoHyphens/>
              <w:jc w:val="right"/>
              <w:rPr>
                <w:sz w:val="18"/>
                <w:szCs w:val="18"/>
                <w:lang w:val="fr-CA"/>
              </w:rPr>
            </w:pPr>
          </w:p>
        </w:tc>
        <w:tc>
          <w:tcPr>
            <w:tcW w:w="0" w:type="auto"/>
            <w:shd w:val="clear" w:color="auto" w:fill="auto"/>
          </w:tcPr>
          <w:p w14:paraId="33781999" w14:textId="77777777" w:rsidR="008822C6" w:rsidRPr="00C2763B" w:rsidRDefault="008822C6" w:rsidP="00391FA4">
            <w:pPr>
              <w:suppressAutoHyphens/>
              <w:spacing w:after="60"/>
              <w:jc w:val="right"/>
              <w:rPr>
                <w:sz w:val="18"/>
                <w:szCs w:val="18"/>
                <w:lang w:val="fr-CA"/>
              </w:rPr>
            </w:pPr>
          </w:p>
        </w:tc>
        <w:tc>
          <w:tcPr>
            <w:tcW w:w="953" w:type="dxa"/>
          </w:tcPr>
          <w:p w14:paraId="217ABE87"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517 750</w:t>
            </w:r>
          </w:p>
        </w:tc>
      </w:tr>
      <w:tr w:rsidR="008822C6" w:rsidRPr="00C2763B" w14:paraId="5EF5FB50" w14:textId="77777777" w:rsidTr="00391FA4">
        <w:trPr>
          <w:trHeight w:val="269"/>
        </w:trPr>
        <w:tc>
          <w:tcPr>
            <w:tcW w:w="2466" w:type="dxa"/>
            <w:gridSpan w:val="2"/>
            <w:vMerge/>
            <w:shd w:val="clear" w:color="auto" w:fill="auto"/>
          </w:tcPr>
          <w:p w14:paraId="04DC4F4D" w14:textId="77777777" w:rsidR="008822C6" w:rsidRPr="00C2763B" w:rsidRDefault="008822C6" w:rsidP="00391FA4">
            <w:pPr>
              <w:suppressAutoHyphens/>
              <w:spacing w:after="60"/>
              <w:jc w:val="center"/>
              <w:rPr>
                <w:sz w:val="18"/>
                <w:szCs w:val="18"/>
                <w:lang w:val="fr-CA"/>
              </w:rPr>
            </w:pPr>
          </w:p>
        </w:tc>
        <w:tc>
          <w:tcPr>
            <w:tcW w:w="1148" w:type="dxa"/>
            <w:shd w:val="clear" w:color="auto" w:fill="auto"/>
          </w:tcPr>
          <w:p w14:paraId="12DAE8F5" w14:textId="77777777" w:rsidR="008822C6" w:rsidRPr="00C2763B" w:rsidRDefault="008822C6" w:rsidP="00391FA4">
            <w:pPr>
              <w:suppressAutoHyphens/>
              <w:spacing w:after="60"/>
              <w:jc w:val="left"/>
              <w:rPr>
                <w:sz w:val="18"/>
                <w:szCs w:val="18"/>
                <w:lang w:val="fr-CA"/>
              </w:rPr>
            </w:pPr>
            <w:r w:rsidRPr="00C2763B">
              <w:rPr>
                <w:sz w:val="18"/>
                <w:szCs w:val="18"/>
                <w:lang w:val="fr-CA"/>
              </w:rPr>
              <w:t>Coûts d’appui</w:t>
            </w:r>
          </w:p>
        </w:tc>
        <w:tc>
          <w:tcPr>
            <w:tcW w:w="0" w:type="auto"/>
          </w:tcPr>
          <w:p w14:paraId="7327CA61"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36 243</w:t>
            </w:r>
          </w:p>
        </w:tc>
        <w:tc>
          <w:tcPr>
            <w:tcW w:w="0" w:type="auto"/>
            <w:shd w:val="clear" w:color="auto" w:fill="auto"/>
          </w:tcPr>
          <w:p w14:paraId="588BE119" w14:textId="77777777" w:rsidR="008822C6" w:rsidRPr="00C2763B" w:rsidRDefault="008822C6" w:rsidP="00391FA4">
            <w:pPr>
              <w:suppressAutoHyphens/>
              <w:spacing w:after="60"/>
              <w:jc w:val="right"/>
              <w:rPr>
                <w:sz w:val="18"/>
                <w:szCs w:val="18"/>
                <w:lang w:val="fr-CA"/>
              </w:rPr>
            </w:pPr>
            <w:r w:rsidRPr="00C2763B">
              <w:rPr>
                <w:sz w:val="18"/>
                <w:szCs w:val="18"/>
                <w:lang w:val="fr-CA"/>
              </w:rPr>
              <w:t>0</w:t>
            </w:r>
          </w:p>
        </w:tc>
        <w:tc>
          <w:tcPr>
            <w:tcW w:w="0" w:type="auto"/>
            <w:shd w:val="clear" w:color="auto" w:fill="auto"/>
          </w:tcPr>
          <w:p w14:paraId="094771A6" w14:textId="77777777" w:rsidR="008822C6" w:rsidRPr="00C2763B" w:rsidRDefault="008822C6" w:rsidP="00391FA4">
            <w:pPr>
              <w:suppressAutoHyphens/>
              <w:jc w:val="right"/>
              <w:rPr>
                <w:sz w:val="18"/>
                <w:szCs w:val="18"/>
                <w:lang w:val="fr-CA"/>
              </w:rPr>
            </w:pPr>
            <w:r w:rsidRPr="00C2763B">
              <w:rPr>
                <w:sz w:val="18"/>
                <w:szCs w:val="18"/>
                <w:lang w:val="fr-CA"/>
              </w:rPr>
              <w:t>0</w:t>
            </w:r>
          </w:p>
        </w:tc>
        <w:tc>
          <w:tcPr>
            <w:tcW w:w="0" w:type="auto"/>
            <w:shd w:val="clear" w:color="auto" w:fill="auto"/>
          </w:tcPr>
          <w:p w14:paraId="14DFA08F" w14:textId="77777777" w:rsidR="008822C6" w:rsidRPr="00C2763B" w:rsidRDefault="008822C6" w:rsidP="00391FA4">
            <w:pPr>
              <w:suppressAutoHyphens/>
              <w:jc w:val="right"/>
              <w:rPr>
                <w:sz w:val="18"/>
                <w:szCs w:val="18"/>
                <w:lang w:val="fr-CA"/>
              </w:rPr>
            </w:pPr>
            <w:r w:rsidRPr="00C2763B">
              <w:rPr>
                <w:sz w:val="18"/>
                <w:szCs w:val="18"/>
                <w:lang w:val="fr-CA"/>
              </w:rPr>
              <w:t>0</w:t>
            </w:r>
          </w:p>
        </w:tc>
        <w:tc>
          <w:tcPr>
            <w:tcW w:w="0" w:type="auto"/>
            <w:shd w:val="clear" w:color="auto" w:fill="auto"/>
          </w:tcPr>
          <w:p w14:paraId="621F4AB7" w14:textId="77777777" w:rsidR="008822C6" w:rsidRPr="00C2763B" w:rsidRDefault="008822C6" w:rsidP="00391FA4">
            <w:pPr>
              <w:suppressAutoHyphens/>
              <w:jc w:val="right"/>
              <w:rPr>
                <w:sz w:val="18"/>
                <w:szCs w:val="18"/>
                <w:lang w:val="fr-CA"/>
              </w:rPr>
            </w:pPr>
          </w:p>
        </w:tc>
        <w:tc>
          <w:tcPr>
            <w:tcW w:w="0" w:type="auto"/>
            <w:shd w:val="clear" w:color="auto" w:fill="auto"/>
          </w:tcPr>
          <w:p w14:paraId="6582343B" w14:textId="77777777" w:rsidR="008822C6" w:rsidRPr="00C2763B" w:rsidRDefault="008822C6" w:rsidP="00391FA4">
            <w:pPr>
              <w:suppressAutoHyphens/>
              <w:jc w:val="right"/>
              <w:rPr>
                <w:sz w:val="18"/>
                <w:szCs w:val="18"/>
                <w:lang w:val="fr-CA"/>
              </w:rPr>
            </w:pPr>
          </w:p>
        </w:tc>
        <w:tc>
          <w:tcPr>
            <w:tcW w:w="0" w:type="auto"/>
            <w:shd w:val="clear" w:color="auto" w:fill="auto"/>
          </w:tcPr>
          <w:p w14:paraId="4F1AAEE6" w14:textId="77777777" w:rsidR="008822C6" w:rsidRPr="00C2763B" w:rsidRDefault="008822C6" w:rsidP="00391FA4">
            <w:pPr>
              <w:suppressAutoHyphens/>
              <w:jc w:val="right"/>
              <w:rPr>
                <w:sz w:val="18"/>
                <w:szCs w:val="18"/>
                <w:lang w:val="fr-CA"/>
              </w:rPr>
            </w:pPr>
          </w:p>
        </w:tc>
        <w:tc>
          <w:tcPr>
            <w:tcW w:w="0" w:type="auto"/>
            <w:shd w:val="clear" w:color="auto" w:fill="auto"/>
          </w:tcPr>
          <w:p w14:paraId="4DB483DF" w14:textId="77777777" w:rsidR="008822C6" w:rsidRPr="00C2763B" w:rsidRDefault="008822C6" w:rsidP="00391FA4">
            <w:pPr>
              <w:suppressAutoHyphens/>
              <w:spacing w:after="60"/>
              <w:jc w:val="right"/>
              <w:rPr>
                <w:sz w:val="18"/>
                <w:szCs w:val="18"/>
                <w:lang w:val="fr-CA"/>
              </w:rPr>
            </w:pPr>
          </w:p>
        </w:tc>
        <w:tc>
          <w:tcPr>
            <w:tcW w:w="953" w:type="dxa"/>
          </w:tcPr>
          <w:p w14:paraId="2133E572"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36 243</w:t>
            </w:r>
          </w:p>
        </w:tc>
      </w:tr>
      <w:tr w:rsidR="008822C6" w:rsidRPr="00C2763B" w14:paraId="39634EBF" w14:textId="77777777" w:rsidTr="00391FA4">
        <w:trPr>
          <w:trHeight w:val="336"/>
        </w:trPr>
        <w:tc>
          <w:tcPr>
            <w:tcW w:w="2466" w:type="dxa"/>
            <w:gridSpan w:val="2"/>
            <w:vMerge w:val="restart"/>
            <w:shd w:val="clear" w:color="auto" w:fill="auto"/>
          </w:tcPr>
          <w:p w14:paraId="1DB70F0C" w14:textId="77777777" w:rsidR="008822C6" w:rsidRPr="00C2763B" w:rsidRDefault="008822C6" w:rsidP="00391FA4">
            <w:pPr>
              <w:suppressAutoHyphens/>
              <w:spacing w:after="60"/>
              <w:jc w:val="left"/>
              <w:rPr>
                <w:sz w:val="18"/>
                <w:szCs w:val="18"/>
                <w:lang w:val="fr-CA"/>
              </w:rPr>
            </w:pPr>
            <w:r w:rsidRPr="00C2763B">
              <w:rPr>
                <w:sz w:val="18"/>
                <w:szCs w:val="18"/>
                <w:lang w:val="fr-CA"/>
              </w:rPr>
              <w:t>Total des fonds demandés pour approbation à la présente réunion ($US)</w:t>
            </w:r>
          </w:p>
        </w:tc>
        <w:tc>
          <w:tcPr>
            <w:tcW w:w="1148" w:type="dxa"/>
            <w:shd w:val="clear" w:color="auto" w:fill="auto"/>
          </w:tcPr>
          <w:p w14:paraId="12C8F0D1" w14:textId="77777777" w:rsidR="008822C6" w:rsidRPr="00C2763B" w:rsidRDefault="008822C6" w:rsidP="00391FA4">
            <w:pPr>
              <w:suppressAutoHyphens/>
              <w:spacing w:after="60"/>
              <w:jc w:val="left"/>
              <w:rPr>
                <w:sz w:val="18"/>
                <w:szCs w:val="18"/>
                <w:lang w:val="fr-CA"/>
              </w:rPr>
            </w:pPr>
            <w:r w:rsidRPr="00C2763B">
              <w:rPr>
                <w:sz w:val="18"/>
                <w:szCs w:val="18"/>
                <w:lang w:val="fr-CA"/>
              </w:rPr>
              <w:t>Coûts du projet</w:t>
            </w:r>
          </w:p>
        </w:tc>
        <w:tc>
          <w:tcPr>
            <w:tcW w:w="0" w:type="auto"/>
          </w:tcPr>
          <w:p w14:paraId="41CB30E8"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2B2009DA"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0726B44F"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72DFF271"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786 750</w:t>
            </w:r>
          </w:p>
        </w:tc>
        <w:tc>
          <w:tcPr>
            <w:tcW w:w="0" w:type="auto"/>
            <w:shd w:val="clear" w:color="auto" w:fill="auto"/>
          </w:tcPr>
          <w:p w14:paraId="1464DEA7"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7CBE5B0C"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2DB7C5E9"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7E303A82" w14:textId="77777777" w:rsidR="008822C6" w:rsidRPr="00C2763B" w:rsidRDefault="008822C6" w:rsidP="00391FA4">
            <w:pPr>
              <w:suppressAutoHyphens/>
              <w:spacing w:after="60"/>
              <w:jc w:val="right"/>
              <w:rPr>
                <w:sz w:val="18"/>
                <w:szCs w:val="18"/>
                <w:lang w:val="fr-CA"/>
              </w:rPr>
            </w:pPr>
          </w:p>
        </w:tc>
        <w:tc>
          <w:tcPr>
            <w:tcW w:w="953" w:type="dxa"/>
            <w:shd w:val="clear" w:color="auto" w:fill="auto"/>
          </w:tcPr>
          <w:p w14:paraId="1B417647"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786 750</w:t>
            </w:r>
          </w:p>
        </w:tc>
      </w:tr>
      <w:tr w:rsidR="008822C6" w:rsidRPr="00C2763B" w14:paraId="0C69CD24" w14:textId="77777777" w:rsidTr="00391FA4">
        <w:trPr>
          <w:trHeight w:val="336"/>
        </w:trPr>
        <w:tc>
          <w:tcPr>
            <w:tcW w:w="2466" w:type="dxa"/>
            <w:gridSpan w:val="2"/>
            <w:vMerge/>
            <w:shd w:val="clear" w:color="auto" w:fill="auto"/>
          </w:tcPr>
          <w:p w14:paraId="31D0BDC5" w14:textId="77777777" w:rsidR="008822C6" w:rsidRPr="00C2763B" w:rsidRDefault="008822C6" w:rsidP="00391FA4">
            <w:pPr>
              <w:suppressAutoHyphens/>
              <w:spacing w:after="60"/>
              <w:jc w:val="center"/>
              <w:rPr>
                <w:sz w:val="18"/>
                <w:szCs w:val="18"/>
                <w:lang w:val="fr-CA"/>
              </w:rPr>
            </w:pPr>
          </w:p>
        </w:tc>
        <w:tc>
          <w:tcPr>
            <w:tcW w:w="1148" w:type="dxa"/>
            <w:shd w:val="clear" w:color="auto" w:fill="auto"/>
          </w:tcPr>
          <w:p w14:paraId="300CF3E0" w14:textId="77777777" w:rsidR="008822C6" w:rsidRPr="00C2763B" w:rsidRDefault="008822C6" w:rsidP="00391FA4">
            <w:pPr>
              <w:suppressAutoHyphens/>
              <w:spacing w:after="60"/>
              <w:jc w:val="left"/>
              <w:rPr>
                <w:sz w:val="18"/>
                <w:szCs w:val="18"/>
                <w:lang w:val="fr-CA"/>
              </w:rPr>
            </w:pPr>
            <w:r w:rsidRPr="00C2763B">
              <w:rPr>
                <w:sz w:val="18"/>
                <w:szCs w:val="18"/>
                <w:lang w:val="fr-CA"/>
              </w:rPr>
              <w:t>Coûts d’appui</w:t>
            </w:r>
          </w:p>
        </w:tc>
        <w:tc>
          <w:tcPr>
            <w:tcW w:w="0" w:type="auto"/>
          </w:tcPr>
          <w:p w14:paraId="7BF4B2E3"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757F987C"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3B09CE26"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02366073"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55 073</w:t>
            </w:r>
          </w:p>
        </w:tc>
        <w:tc>
          <w:tcPr>
            <w:tcW w:w="0" w:type="auto"/>
            <w:shd w:val="clear" w:color="auto" w:fill="auto"/>
          </w:tcPr>
          <w:p w14:paraId="7B1ECAAE"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67526A2D"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5FC01F94" w14:textId="77777777" w:rsidR="008822C6" w:rsidRPr="00C2763B" w:rsidRDefault="008822C6" w:rsidP="00391FA4">
            <w:pPr>
              <w:suppressAutoHyphens/>
              <w:spacing w:after="60"/>
              <w:jc w:val="right"/>
              <w:rPr>
                <w:sz w:val="18"/>
                <w:szCs w:val="18"/>
                <w:lang w:val="fr-CA"/>
              </w:rPr>
            </w:pPr>
          </w:p>
        </w:tc>
        <w:tc>
          <w:tcPr>
            <w:tcW w:w="0" w:type="auto"/>
            <w:shd w:val="clear" w:color="auto" w:fill="auto"/>
          </w:tcPr>
          <w:p w14:paraId="68886BCC" w14:textId="77777777" w:rsidR="008822C6" w:rsidRPr="00C2763B" w:rsidRDefault="008822C6" w:rsidP="00391FA4">
            <w:pPr>
              <w:suppressAutoHyphens/>
              <w:spacing w:after="60"/>
              <w:jc w:val="right"/>
              <w:rPr>
                <w:sz w:val="18"/>
                <w:szCs w:val="18"/>
                <w:lang w:val="fr-CA"/>
              </w:rPr>
            </w:pPr>
          </w:p>
        </w:tc>
        <w:tc>
          <w:tcPr>
            <w:tcW w:w="953" w:type="dxa"/>
            <w:shd w:val="clear" w:color="auto" w:fill="auto"/>
          </w:tcPr>
          <w:p w14:paraId="549C54B0" w14:textId="77777777" w:rsidR="008822C6" w:rsidRPr="00C2763B" w:rsidRDefault="008822C6" w:rsidP="00391FA4">
            <w:pPr>
              <w:suppressAutoHyphens/>
              <w:jc w:val="right"/>
              <w:rPr>
                <w:color w:val="000000"/>
                <w:sz w:val="18"/>
                <w:szCs w:val="18"/>
                <w:lang w:val="fr-CA" w:eastAsia="en-CA"/>
              </w:rPr>
            </w:pPr>
            <w:r w:rsidRPr="00C2763B">
              <w:rPr>
                <w:color w:val="000000"/>
                <w:sz w:val="18"/>
                <w:szCs w:val="18"/>
                <w:lang w:val="fr-CA"/>
              </w:rPr>
              <w:t>55 073</w:t>
            </w:r>
          </w:p>
        </w:tc>
      </w:tr>
    </w:tbl>
    <w:p w14:paraId="51EF9274" w14:textId="77777777" w:rsidR="008822C6" w:rsidRPr="00C2763B" w:rsidRDefault="008822C6" w:rsidP="008822C6">
      <w:pPr>
        <w:suppressAutoHyphens/>
        <w:spacing w:after="60"/>
        <w:jc w:val="left"/>
        <w:rPr>
          <w:sz w:val="18"/>
          <w:szCs w:val="18"/>
          <w:lang w:val="fr-CA"/>
        </w:rPr>
      </w:pPr>
    </w:p>
    <w:p w14:paraId="6ED244B4" w14:textId="77777777" w:rsidR="008822C6" w:rsidRPr="00C2763B" w:rsidRDefault="008822C6" w:rsidP="008822C6">
      <w:pPr>
        <w:suppressAutoHyphens/>
        <w:spacing w:after="60"/>
        <w:jc w:val="left"/>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8822C6" w:rsidRPr="00C2763B" w14:paraId="00C73DEE" w14:textId="77777777" w:rsidTr="00391FA4">
        <w:trPr>
          <w:trHeight w:val="240"/>
        </w:trPr>
        <w:tc>
          <w:tcPr>
            <w:tcW w:w="3000" w:type="dxa"/>
            <w:shd w:val="clear" w:color="auto" w:fill="auto"/>
          </w:tcPr>
          <w:p w14:paraId="13A2A20F" w14:textId="77777777" w:rsidR="008822C6" w:rsidRPr="00C2763B" w:rsidRDefault="008822C6" w:rsidP="00391FA4">
            <w:pPr>
              <w:suppressAutoHyphens/>
              <w:spacing w:after="60"/>
              <w:jc w:val="left"/>
              <w:rPr>
                <w:b/>
                <w:sz w:val="18"/>
                <w:lang w:val="fr-CA"/>
              </w:rPr>
            </w:pPr>
            <w:r w:rsidRPr="00C2763B">
              <w:rPr>
                <w:b/>
                <w:sz w:val="18"/>
                <w:lang w:val="fr-CA"/>
              </w:rPr>
              <w:t>Recommandation du Secrétariat:</w:t>
            </w:r>
          </w:p>
        </w:tc>
        <w:tc>
          <w:tcPr>
            <w:tcW w:w="7000" w:type="dxa"/>
            <w:shd w:val="clear" w:color="auto" w:fill="auto"/>
          </w:tcPr>
          <w:p w14:paraId="612FC5E1" w14:textId="77777777" w:rsidR="008822C6" w:rsidRPr="00C2763B" w:rsidRDefault="008822C6" w:rsidP="00391FA4">
            <w:pPr>
              <w:suppressAutoHyphens/>
              <w:spacing w:after="60"/>
              <w:jc w:val="center"/>
              <w:rPr>
                <w:sz w:val="18"/>
                <w:lang w:val="fr-CA"/>
              </w:rPr>
            </w:pPr>
            <w:r w:rsidRPr="00C2763B">
              <w:rPr>
                <w:sz w:val="18"/>
                <w:lang w:val="fr-CA"/>
              </w:rPr>
              <w:t>Pour approbation globale</w:t>
            </w:r>
          </w:p>
        </w:tc>
      </w:tr>
    </w:tbl>
    <w:p w14:paraId="769F8A3B" w14:textId="77777777" w:rsidR="008822C6" w:rsidRPr="00C2763B" w:rsidRDefault="008822C6" w:rsidP="008822C6">
      <w:pPr>
        <w:suppressAutoHyphens/>
        <w:rPr>
          <w:b/>
          <w:lang w:val="fr-CA"/>
        </w:rPr>
      </w:pPr>
    </w:p>
    <w:p w14:paraId="6186F12B" w14:textId="77777777" w:rsidR="008822C6" w:rsidRPr="00C2763B" w:rsidRDefault="008822C6" w:rsidP="008822C6">
      <w:pPr>
        <w:suppressAutoHyphens/>
        <w:jc w:val="center"/>
        <w:rPr>
          <w:b/>
          <w:lang w:val="fr-CA"/>
        </w:rPr>
      </w:pPr>
    </w:p>
    <w:p w14:paraId="16C6A2C7" w14:textId="77777777" w:rsidR="008822C6" w:rsidRPr="008822C6" w:rsidRDefault="008822C6" w:rsidP="005205BB">
      <w:pPr>
        <w:suppressAutoHyphens/>
        <w:spacing w:after="240"/>
        <w:jc w:val="center"/>
        <w:rPr>
          <w:b/>
          <w:lang w:val="fr-CA"/>
        </w:rPr>
      </w:pPr>
      <w:r w:rsidRPr="008822C6">
        <w:rPr>
          <w:b/>
          <w:lang w:val="fr-CA"/>
        </w:rPr>
        <w:t>DESCRIPTION DU PROJET</w:t>
      </w:r>
    </w:p>
    <w:p w14:paraId="3325897C" w14:textId="77777777" w:rsidR="008822C6" w:rsidRPr="008822C6" w:rsidRDefault="008822C6" w:rsidP="005205BB">
      <w:pPr>
        <w:suppressAutoHyphens/>
        <w:spacing w:after="240"/>
        <w:outlineLvl w:val="0"/>
        <w:rPr>
          <w:lang w:val="fr-CA"/>
        </w:rPr>
      </w:pPr>
      <w:r w:rsidRPr="008822C6">
        <w:rPr>
          <w:lang w:val="fr-CA"/>
        </w:rPr>
        <w:t>1.</w:t>
      </w:r>
      <w:r w:rsidRPr="008822C6">
        <w:rPr>
          <w:lang w:val="fr-CA"/>
        </w:rPr>
        <w:tab/>
        <w:t>En sa qualité d’agence d’exécution désignée, l’ONUDI a soumis, au nom du Gouvernement du Cameroun, une demande de financement de la deuxième tranche de la phase II du plan de gestion de l’élimination des HCFC (PGEH), au montant de 786 750 $US, plus des coûts d’appui d’agence de  55 073 $US.</w:t>
      </w:r>
      <w:r w:rsidRPr="008822C6">
        <w:rPr>
          <w:vertAlign w:val="superscript"/>
          <w:lang w:val="fr-CA"/>
        </w:rPr>
        <w:footnoteReference w:id="2"/>
      </w:r>
      <w:r w:rsidRPr="008822C6">
        <w:rPr>
          <w:lang w:val="fr-CA"/>
        </w:rPr>
        <w:t xml:space="preserve"> La soumission comprenait un rapport d’avancement sur la mise en œuvre de la deuxième tranche, le rapport de vérification sur la consommation de HCFC pour la période 2017-2020, ainsi que le plan de mise en œuvre de la tranche pour 2021-2025. </w:t>
      </w:r>
    </w:p>
    <w:p w14:paraId="42182054" w14:textId="77777777" w:rsidR="008822C6" w:rsidRPr="008822C6" w:rsidRDefault="008822C6" w:rsidP="005205BB">
      <w:pPr>
        <w:suppressAutoHyphens/>
        <w:spacing w:after="240"/>
        <w:rPr>
          <w:u w:val="single"/>
          <w:lang w:val="fr-CA"/>
        </w:rPr>
      </w:pPr>
      <w:r w:rsidRPr="008822C6">
        <w:rPr>
          <w:u w:val="single"/>
          <w:lang w:val="fr-CA"/>
        </w:rPr>
        <w:t>Rapport sur la consommation de HCFC</w:t>
      </w:r>
    </w:p>
    <w:p w14:paraId="50B6EBA4" w14:textId="77777777" w:rsidR="008822C6" w:rsidRPr="008822C6" w:rsidRDefault="008822C6" w:rsidP="005205BB">
      <w:pPr>
        <w:suppressAutoHyphens/>
        <w:spacing w:after="240"/>
        <w:outlineLvl w:val="0"/>
        <w:rPr>
          <w:lang w:val="fr-CA"/>
        </w:rPr>
      </w:pPr>
      <w:r w:rsidRPr="008822C6">
        <w:rPr>
          <w:lang w:val="fr-CA"/>
        </w:rPr>
        <w:t>2,</w:t>
      </w:r>
      <w:r w:rsidRPr="008822C6">
        <w:rPr>
          <w:lang w:val="fr-CA"/>
        </w:rPr>
        <w:tab/>
        <w:t xml:space="preserve">Le Gouvernement du Cameroun a indiqué une consommation de 32,53 tonnes PAO de HCFC en 2020, ce qui est inférieur de 63,37 % au niveau de référence aux fins de conformité. La consommation de HCFC pour 2016-2020 est indiquée dans le Tableau 1. </w:t>
      </w:r>
    </w:p>
    <w:p w14:paraId="147AD21D" w14:textId="77777777" w:rsidR="008822C6" w:rsidRPr="008822C6" w:rsidRDefault="008822C6" w:rsidP="008822C6">
      <w:pPr>
        <w:suppressAutoHyphens/>
        <w:outlineLvl w:val="0"/>
        <w:rPr>
          <w:b/>
          <w:lang w:val="fr-CA"/>
        </w:rPr>
      </w:pPr>
      <w:r w:rsidRPr="008822C6">
        <w:rPr>
          <w:b/>
          <w:lang w:val="fr-CA"/>
        </w:rPr>
        <w:t>Tableau 1. Consommation de HCFC au Cameroun (données de l’article 7 pour 2016-2020)</w:t>
      </w:r>
    </w:p>
    <w:tbl>
      <w:tblPr>
        <w:tblW w:w="5000" w:type="pct"/>
        <w:tblLook w:val="04A0" w:firstRow="1" w:lastRow="0" w:firstColumn="1" w:lastColumn="0" w:noHBand="0" w:noVBand="1"/>
      </w:tblPr>
      <w:tblGrid>
        <w:gridCol w:w="2784"/>
        <w:gridCol w:w="1094"/>
        <w:gridCol w:w="1094"/>
        <w:gridCol w:w="1094"/>
        <w:gridCol w:w="1094"/>
        <w:gridCol w:w="1094"/>
        <w:gridCol w:w="1096"/>
      </w:tblGrid>
      <w:tr w:rsidR="008822C6" w:rsidRPr="008822C6" w14:paraId="2D86D45B" w14:textId="77777777" w:rsidTr="00391FA4">
        <w:trPr>
          <w:tblHeader/>
        </w:trPr>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6DB6CB7" w14:textId="77777777" w:rsidR="008822C6" w:rsidRPr="008822C6" w:rsidRDefault="008822C6" w:rsidP="008822C6">
            <w:pPr>
              <w:suppressAutoHyphens/>
              <w:rPr>
                <w:b/>
                <w:bCs/>
                <w:sz w:val="20"/>
                <w:szCs w:val="20"/>
                <w:lang w:val="fr-CA"/>
              </w:rPr>
            </w:pPr>
            <w:r w:rsidRPr="008822C6">
              <w:rPr>
                <w:b/>
                <w:bCs/>
                <w:sz w:val="20"/>
                <w:szCs w:val="20"/>
                <w:lang w:val="fr-CA"/>
              </w:rPr>
              <w:t>HCFC-22</w:t>
            </w:r>
          </w:p>
        </w:tc>
        <w:tc>
          <w:tcPr>
            <w:tcW w:w="585" w:type="pct"/>
            <w:tcBorders>
              <w:top w:val="single" w:sz="4" w:space="0" w:color="auto"/>
              <w:left w:val="single" w:sz="4" w:space="0" w:color="auto"/>
              <w:bottom w:val="single" w:sz="4" w:space="0" w:color="auto"/>
              <w:right w:val="single" w:sz="4" w:space="0" w:color="auto"/>
            </w:tcBorders>
          </w:tcPr>
          <w:p w14:paraId="6AE67B93" w14:textId="77777777" w:rsidR="008822C6" w:rsidRPr="008822C6" w:rsidRDefault="008822C6" w:rsidP="008822C6">
            <w:pPr>
              <w:suppressAutoHyphens/>
              <w:jc w:val="center"/>
              <w:rPr>
                <w:b/>
                <w:bCs/>
                <w:sz w:val="20"/>
                <w:szCs w:val="20"/>
                <w:lang w:val="fr-CA"/>
              </w:rPr>
            </w:pPr>
            <w:r w:rsidRPr="008822C6">
              <w:rPr>
                <w:b/>
                <w:bCs/>
                <w:sz w:val="20"/>
                <w:szCs w:val="20"/>
                <w:lang w:val="fr-CA"/>
              </w:rPr>
              <w:t>2016</w:t>
            </w:r>
          </w:p>
        </w:tc>
        <w:tc>
          <w:tcPr>
            <w:tcW w:w="585" w:type="pct"/>
            <w:tcBorders>
              <w:top w:val="single" w:sz="4" w:space="0" w:color="auto"/>
              <w:left w:val="single" w:sz="4" w:space="0" w:color="auto"/>
              <w:bottom w:val="single" w:sz="4" w:space="0" w:color="auto"/>
              <w:right w:val="single" w:sz="4" w:space="0" w:color="auto"/>
            </w:tcBorders>
          </w:tcPr>
          <w:p w14:paraId="271FA11A" w14:textId="77777777" w:rsidR="008822C6" w:rsidRPr="008822C6" w:rsidRDefault="008822C6" w:rsidP="008822C6">
            <w:pPr>
              <w:suppressAutoHyphens/>
              <w:jc w:val="center"/>
              <w:rPr>
                <w:b/>
                <w:bCs/>
                <w:sz w:val="20"/>
                <w:szCs w:val="20"/>
                <w:lang w:val="fr-CA"/>
              </w:rPr>
            </w:pPr>
            <w:r w:rsidRPr="008822C6">
              <w:rPr>
                <w:b/>
                <w:bCs/>
                <w:sz w:val="20"/>
                <w:szCs w:val="20"/>
                <w:lang w:val="fr-CA"/>
              </w:rPr>
              <w:t>2017</w:t>
            </w:r>
          </w:p>
        </w:tc>
        <w:tc>
          <w:tcPr>
            <w:tcW w:w="585" w:type="pct"/>
            <w:tcBorders>
              <w:top w:val="single" w:sz="4" w:space="0" w:color="auto"/>
              <w:left w:val="single" w:sz="4" w:space="0" w:color="auto"/>
              <w:bottom w:val="single" w:sz="4" w:space="0" w:color="auto"/>
              <w:right w:val="single" w:sz="4" w:space="0" w:color="auto"/>
            </w:tcBorders>
            <w:vAlign w:val="center"/>
          </w:tcPr>
          <w:p w14:paraId="03742F1A" w14:textId="77777777" w:rsidR="008822C6" w:rsidRPr="008822C6" w:rsidRDefault="008822C6" w:rsidP="008822C6">
            <w:pPr>
              <w:suppressAutoHyphens/>
              <w:jc w:val="center"/>
              <w:rPr>
                <w:b/>
                <w:bCs/>
                <w:sz w:val="20"/>
                <w:szCs w:val="20"/>
                <w:lang w:val="fr-CA"/>
              </w:rPr>
            </w:pPr>
            <w:r w:rsidRPr="008822C6">
              <w:rPr>
                <w:b/>
                <w:bCs/>
                <w:sz w:val="20"/>
                <w:szCs w:val="20"/>
                <w:lang w:val="fr-CA"/>
              </w:rPr>
              <w:t>2018</w:t>
            </w:r>
          </w:p>
        </w:tc>
        <w:tc>
          <w:tcPr>
            <w:tcW w:w="585" w:type="pct"/>
            <w:tcBorders>
              <w:top w:val="single" w:sz="4" w:space="0" w:color="auto"/>
              <w:left w:val="single" w:sz="4" w:space="0" w:color="auto"/>
              <w:bottom w:val="single" w:sz="4" w:space="0" w:color="auto"/>
              <w:right w:val="single" w:sz="4" w:space="0" w:color="auto"/>
            </w:tcBorders>
          </w:tcPr>
          <w:p w14:paraId="1B3FA4F5" w14:textId="77777777" w:rsidR="008822C6" w:rsidRPr="008822C6" w:rsidRDefault="008822C6" w:rsidP="008822C6">
            <w:pPr>
              <w:suppressAutoHyphens/>
              <w:jc w:val="center"/>
              <w:rPr>
                <w:b/>
                <w:bCs/>
                <w:sz w:val="20"/>
                <w:szCs w:val="20"/>
                <w:lang w:val="fr-CA"/>
              </w:rPr>
            </w:pPr>
            <w:r w:rsidRPr="008822C6">
              <w:rPr>
                <w:b/>
                <w:bCs/>
                <w:sz w:val="20"/>
                <w:szCs w:val="20"/>
                <w:lang w:val="fr-CA"/>
              </w:rPr>
              <w:t>2019</w:t>
            </w:r>
          </w:p>
        </w:tc>
        <w:tc>
          <w:tcPr>
            <w:tcW w:w="585" w:type="pct"/>
            <w:tcBorders>
              <w:top w:val="single" w:sz="4" w:space="0" w:color="auto"/>
              <w:left w:val="single" w:sz="4" w:space="0" w:color="auto"/>
              <w:bottom w:val="single" w:sz="4" w:space="0" w:color="auto"/>
              <w:right w:val="single" w:sz="4" w:space="0" w:color="auto"/>
            </w:tcBorders>
          </w:tcPr>
          <w:p w14:paraId="73A7FA6E" w14:textId="77777777" w:rsidR="008822C6" w:rsidRPr="008822C6" w:rsidRDefault="008822C6" w:rsidP="008822C6">
            <w:pPr>
              <w:suppressAutoHyphens/>
              <w:jc w:val="center"/>
              <w:rPr>
                <w:b/>
                <w:bCs/>
                <w:sz w:val="20"/>
                <w:szCs w:val="20"/>
                <w:lang w:val="fr-CA"/>
              </w:rPr>
            </w:pPr>
            <w:r w:rsidRPr="008822C6">
              <w:rPr>
                <w:b/>
                <w:bCs/>
                <w:sz w:val="20"/>
                <w:szCs w:val="20"/>
                <w:lang w:val="fr-CA"/>
              </w:rPr>
              <w:t>2020</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4D58" w14:textId="77777777" w:rsidR="008822C6" w:rsidRPr="008822C6" w:rsidRDefault="008822C6" w:rsidP="008822C6">
            <w:pPr>
              <w:suppressAutoHyphens/>
              <w:jc w:val="center"/>
              <w:rPr>
                <w:b/>
                <w:bCs/>
                <w:sz w:val="20"/>
                <w:szCs w:val="20"/>
                <w:lang w:val="fr-CA"/>
              </w:rPr>
            </w:pPr>
            <w:r w:rsidRPr="008822C6">
              <w:rPr>
                <w:b/>
                <w:bCs/>
                <w:sz w:val="20"/>
                <w:szCs w:val="20"/>
                <w:lang w:val="fr-CA"/>
              </w:rPr>
              <w:t>Référence</w:t>
            </w:r>
          </w:p>
        </w:tc>
      </w:tr>
      <w:tr w:rsidR="008822C6" w:rsidRPr="008822C6" w14:paraId="044CA5F5" w14:textId="77777777" w:rsidTr="00391FA4">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88D610E" w14:textId="77777777" w:rsidR="008822C6" w:rsidRPr="008822C6" w:rsidRDefault="008822C6" w:rsidP="008822C6">
            <w:pPr>
              <w:suppressAutoHyphens/>
              <w:rPr>
                <w:sz w:val="20"/>
                <w:szCs w:val="20"/>
                <w:lang w:val="fr-CA"/>
              </w:rPr>
            </w:pPr>
            <w:r w:rsidRPr="008822C6">
              <w:rPr>
                <w:sz w:val="20"/>
                <w:szCs w:val="20"/>
                <w:lang w:val="fr-CA"/>
              </w:rPr>
              <w:t>Tonnes métrique (tm)</w:t>
            </w:r>
          </w:p>
        </w:tc>
        <w:tc>
          <w:tcPr>
            <w:tcW w:w="585" w:type="pct"/>
            <w:tcBorders>
              <w:top w:val="nil"/>
              <w:left w:val="single" w:sz="4" w:space="0" w:color="auto"/>
              <w:bottom w:val="single" w:sz="4" w:space="0" w:color="auto"/>
              <w:right w:val="single" w:sz="4" w:space="0" w:color="auto"/>
            </w:tcBorders>
            <w:tcMar>
              <w:left w:w="115" w:type="dxa"/>
              <w:right w:w="288" w:type="dxa"/>
            </w:tcMar>
          </w:tcPr>
          <w:p w14:paraId="52D12030" w14:textId="77777777" w:rsidR="008822C6" w:rsidRPr="008822C6" w:rsidRDefault="008822C6" w:rsidP="008822C6">
            <w:pPr>
              <w:suppressAutoHyphens/>
              <w:jc w:val="right"/>
              <w:rPr>
                <w:sz w:val="20"/>
                <w:szCs w:val="20"/>
                <w:lang w:val="fr-CA"/>
              </w:rPr>
            </w:pPr>
            <w:r w:rsidRPr="008822C6">
              <w:rPr>
                <w:sz w:val="20"/>
                <w:szCs w:val="20"/>
                <w:lang w:val="fr-CA"/>
              </w:rPr>
              <w:t>862 00</w:t>
            </w:r>
          </w:p>
        </w:tc>
        <w:tc>
          <w:tcPr>
            <w:tcW w:w="585" w:type="pct"/>
            <w:tcBorders>
              <w:top w:val="nil"/>
              <w:left w:val="single" w:sz="4" w:space="0" w:color="auto"/>
              <w:bottom w:val="single" w:sz="4" w:space="0" w:color="auto"/>
              <w:right w:val="single" w:sz="4" w:space="0" w:color="auto"/>
            </w:tcBorders>
            <w:tcMar>
              <w:left w:w="115" w:type="dxa"/>
              <w:right w:w="288" w:type="dxa"/>
            </w:tcMar>
          </w:tcPr>
          <w:p w14:paraId="3BCCC3EE" w14:textId="77777777" w:rsidR="008822C6" w:rsidRPr="008822C6" w:rsidRDefault="008822C6" w:rsidP="008822C6">
            <w:pPr>
              <w:suppressAutoHyphens/>
              <w:jc w:val="right"/>
              <w:rPr>
                <w:sz w:val="20"/>
                <w:szCs w:val="20"/>
                <w:lang w:val="fr-CA"/>
              </w:rPr>
            </w:pPr>
            <w:r w:rsidRPr="008822C6">
              <w:rPr>
                <w:sz w:val="20"/>
                <w:szCs w:val="20"/>
                <w:lang w:val="fr-CA"/>
              </w:rPr>
              <w:t>692 40</w:t>
            </w:r>
          </w:p>
        </w:tc>
        <w:tc>
          <w:tcPr>
            <w:tcW w:w="585" w:type="pct"/>
            <w:tcBorders>
              <w:top w:val="nil"/>
              <w:left w:val="single" w:sz="4" w:space="0" w:color="auto"/>
              <w:bottom w:val="single" w:sz="4" w:space="0" w:color="auto"/>
              <w:right w:val="single" w:sz="4" w:space="0" w:color="auto"/>
            </w:tcBorders>
            <w:tcMar>
              <w:left w:w="115" w:type="dxa"/>
              <w:right w:w="288" w:type="dxa"/>
            </w:tcMar>
          </w:tcPr>
          <w:p w14:paraId="398549EB" w14:textId="77777777" w:rsidR="008822C6" w:rsidRPr="008822C6" w:rsidRDefault="008822C6" w:rsidP="008822C6">
            <w:pPr>
              <w:suppressAutoHyphens/>
              <w:jc w:val="right"/>
              <w:rPr>
                <w:sz w:val="20"/>
                <w:szCs w:val="20"/>
                <w:lang w:val="fr-CA"/>
              </w:rPr>
            </w:pPr>
            <w:r w:rsidRPr="008822C6">
              <w:rPr>
                <w:sz w:val="20"/>
                <w:szCs w:val="20"/>
                <w:lang w:val="fr-CA"/>
              </w:rPr>
              <w:t>692 00</w:t>
            </w:r>
          </w:p>
        </w:tc>
        <w:tc>
          <w:tcPr>
            <w:tcW w:w="585" w:type="pct"/>
            <w:tcBorders>
              <w:top w:val="nil"/>
              <w:left w:val="single" w:sz="4" w:space="0" w:color="auto"/>
              <w:bottom w:val="single" w:sz="4" w:space="0" w:color="auto"/>
              <w:right w:val="single" w:sz="4" w:space="0" w:color="auto"/>
            </w:tcBorders>
            <w:tcMar>
              <w:left w:w="115" w:type="dxa"/>
              <w:right w:w="288" w:type="dxa"/>
            </w:tcMar>
          </w:tcPr>
          <w:p w14:paraId="497188A6" w14:textId="77777777" w:rsidR="008822C6" w:rsidRPr="008822C6" w:rsidRDefault="008822C6" w:rsidP="008822C6">
            <w:pPr>
              <w:suppressAutoHyphens/>
              <w:jc w:val="right"/>
              <w:rPr>
                <w:sz w:val="20"/>
                <w:szCs w:val="20"/>
                <w:lang w:val="fr-CA"/>
              </w:rPr>
            </w:pPr>
            <w:r w:rsidRPr="008822C6">
              <w:rPr>
                <w:sz w:val="20"/>
                <w:szCs w:val="20"/>
                <w:lang w:val="fr-CA"/>
              </w:rPr>
              <w:t>643 68</w:t>
            </w:r>
          </w:p>
        </w:tc>
        <w:tc>
          <w:tcPr>
            <w:tcW w:w="585" w:type="pct"/>
            <w:tcBorders>
              <w:top w:val="nil"/>
              <w:left w:val="single" w:sz="4" w:space="0" w:color="auto"/>
              <w:bottom w:val="single" w:sz="4" w:space="0" w:color="auto"/>
              <w:right w:val="single" w:sz="4" w:space="0" w:color="auto"/>
            </w:tcBorders>
            <w:tcMar>
              <w:left w:w="115" w:type="dxa"/>
              <w:right w:w="288" w:type="dxa"/>
            </w:tcMar>
          </w:tcPr>
          <w:p w14:paraId="23941EB3" w14:textId="77777777" w:rsidR="008822C6" w:rsidRPr="008822C6" w:rsidRDefault="008822C6" w:rsidP="008822C6">
            <w:pPr>
              <w:suppressAutoHyphens/>
              <w:jc w:val="right"/>
              <w:rPr>
                <w:sz w:val="20"/>
                <w:szCs w:val="20"/>
                <w:lang w:val="fr-CA"/>
              </w:rPr>
            </w:pPr>
            <w:r w:rsidRPr="008822C6">
              <w:rPr>
                <w:sz w:val="20"/>
                <w:szCs w:val="20"/>
                <w:lang w:val="fr-CA"/>
              </w:rPr>
              <w:t>591 50</w:t>
            </w:r>
          </w:p>
        </w:tc>
        <w:tc>
          <w:tcPr>
            <w:tcW w:w="586" w:type="pct"/>
            <w:tcBorders>
              <w:top w:val="nil"/>
              <w:left w:val="single" w:sz="4" w:space="0" w:color="auto"/>
              <w:bottom w:val="single" w:sz="4" w:space="0" w:color="auto"/>
              <w:right w:val="single" w:sz="4" w:space="0" w:color="auto"/>
            </w:tcBorders>
            <w:shd w:val="clear" w:color="auto" w:fill="auto"/>
            <w:noWrap/>
            <w:tcMar>
              <w:left w:w="115" w:type="dxa"/>
              <w:right w:w="288" w:type="dxa"/>
            </w:tcMar>
          </w:tcPr>
          <w:p w14:paraId="046A7D11" w14:textId="77777777" w:rsidR="008822C6" w:rsidRPr="008822C6" w:rsidRDefault="008822C6" w:rsidP="008822C6">
            <w:pPr>
              <w:suppressAutoHyphens/>
              <w:jc w:val="right"/>
              <w:rPr>
                <w:sz w:val="20"/>
                <w:szCs w:val="20"/>
                <w:lang w:val="fr-CA"/>
              </w:rPr>
            </w:pPr>
            <w:r w:rsidRPr="008822C6">
              <w:rPr>
                <w:sz w:val="20"/>
                <w:szCs w:val="20"/>
                <w:lang w:val="fr-CA"/>
              </w:rPr>
              <w:t>1 614,5</w:t>
            </w:r>
          </w:p>
        </w:tc>
      </w:tr>
      <w:tr w:rsidR="008822C6" w:rsidRPr="008822C6" w14:paraId="3E8F4C9A" w14:textId="77777777" w:rsidTr="00391FA4">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B876500" w14:textId="77777777" w:rsidR="008822C6" w:rsidRPr="008822C6" w:rsidRDefault="008822C6" w:rsidP="008822C6">
            <w:pPr>
              <w:suppressAutoHyphens/>
              <w:rPr>
                <w:sz w:val="20"/>
                <w:szCs w:val="20"/>
                <w:lang w:val="fr-CA"/>
              </w:rPr>
            </w:pPr>
            <w:r w:rsidRPr="008822C6">
              <w:rPr>
                <w:sz w:val="20"/>
                <w:szCs w:val="20"/>
                <w:lang w:val="fr-CA"/>
              </w:rPr>
              <w:t>Tonnes PAO</w:t>
            </w:r>
          </w:p>
        </w:tc>
        <w:tc>
          <w:tcPr>
            <w:tcW w:w="585" w:type="pct"/>
            <w:tcBorders>
              <w:top w:val="single" w:sz="4" w:space="0" w:color="auto"/>
              <w:left w:val="single" w:sz="4" w:space="0" w:color="auto"/>
              <w:bottom w:val="single" w:sz="4" w:space="0" w:color="auto"/>
              <w:right w:val="single" w:sz="4" w:space="0" w:color="auto"/>
            </w:tcBorders>
            <w:tcMar>
              <w:left w:w="115" w:type="dxa"/>
              <w:right w:w="288" w:type="dxa"/>
            </w:tcMar>
          </w:tcPr>
          <w:p w14:paraId="643A5EEE" w14:textId="77777777" w:rsidR="008822C6" w:rsidRPr="008822C6" w:rsidRDefault="008822C6" w:rsidP="008822C6">
            <w:pPr>
              <w:suppressAutoHyphens/>
              <w:jc w:val="right"/>
              <w:rPr>
                <w:sz w:val="20"/>
                <w:szCs w:val="20"/>
                <w:lang w:val="fr-CA"/>
              </w:rPr>
            </w:pPr>
            <w:r w:rsidRPr="008822C6">
              <w:rPr>
                <w:sz w:val="20"/>
                <w:szCs w:val="20"/>
                <w:lang w:val="fr-CA"/>
              </w:rPr>
              <w:t>47,41</w:t>
            </w:r>
          </w:p>
        </w:tc>
        <w:tc>
          <w:tcPr>
            <w:tcW w:w="585" w:type="pct"/>
            <w:tcBorders>
              <w:top w:val="single" w:sz="4" w:space="0" w:color="auto"/>
              <w:left w:val="single" w:sz="4" w:space="0" w:color="auto"/>
              <w:bottom w:val="single" w:sz="4" w:space="0" w:color="auto"/>
              <w:right w:val="single" w:sz="4" w:space="0" w:color="auto"/>
            </w:tcBorders>
            <w:tcMar>
              <w:left w:w="115" w:type="dxa"/>
              <w:right w:w="288" w:type="dxa"/>
            </w:tcMar>
          </w:tcPr>
          <w:p w14:paraId="2E58B790" w14:textId="77777777" w:rsidR="008822C6" w:rsidRPr="008822C6" w:rsidRDefault="008822C6" w:rsidP="008822C6">
            <w:pPr>
              <w:suppressAutoHyphens/>
              <w:jc w:val="right"/>
              <w:rPr>
                <w:sz w:val="20"/>
                <w:szCs w:val="20"/>
                <w:lang w:val="fr-CA"/>
              </w:rPr>
            </w:pPr>
            <w:r w:rsidRPr="008822C6">
              <w:rPr>
                <w:sz w:val="20"/>
                <w:szCs w:val="20"/>
                <w:lang w:val="fr-CA"/>
              </w:rPr>
              <w:t>38,08</w:t>
            </w:r>
          </w:p>
        </w:tc>
        <w:tc>
          <w:tcPr>
            <w:tcW w:w="585" w:type="pct"/>
            <w:tcBorders>
              <w:top w:val="single" w:sz="4" w:space="0" w:color="auto"/>
              <w:left w:val="single" w:sz="4" w:space="0" w:color="auto"/>
              <w:bottom w:val="single" w:sz="4" w:space="0" w:color="auto"/>
              <w:right w:val="single" w:sz="4" w:space="0" w:color="auto"/>
            </w:tcBorders>
            <w:tcMar>
              <w:left w:w="115" w:type="dxa"/>
              <w:right w:w="288" w:type="dxa"/>
            </w:tcMar>
          </w:tcPr>
          <w:p w14:paraId="1C86E6C2" w14:textId="77777777" w:rsidR="008822C6" w:rsidRPr="008822C6" w:rsidRDefault="008822C6" w:rsidP="008822C6">
            <w:pPr>
              <w:suppressAutoHyphens/>
              <w:jc w:val="right"/>
              <w:rPr>
                <w:sz w:val="20"/>
                <w:szCs w:val="20"/>
                <w:lang w:val="fr-CA"/>
              </w:rPr>
            </w:pPr>
            <w:r w:rsidRPr="008822C6">
              <w:rPr>
                <w:sz w:val="20"/>
                <w:szCs w:val="20"/>
                <w:lang w:val="fr-CA"/>
              </w:rPr>
              <w:t>38,06</w:t>
            </w:r>
          </w:p>
        </w:tc>
        <w:tc>
          <w:tcPr>
            <w:tcW w:w="585" w:type="pct"/>
            <w:tcBorders>
              <w:top w:val="single" w:sz="4" w:space="0" w:color="auto"/>
              <w:left w:val="single" w:sz="4" w:space="0" w:color="auto"/>
              <w:bottom w:val="single" w:sz="4" w:space="0" w:color="auto"/>
              <w:right w:val="single" w:sz="4" w:space="0" w:color="auto"/>
            </w:tcBorders>
            <w:tcMar>
              <w:left w:w="115" w:type="dxa"/>
              <w:right w:w="288" w:type="dxa"/>
            </w:tcMar>
          </w:tcPr>
          <w:p w14:paraId="7E4F52FA" w14:textId="77777777" w:rsidR="008822C6" w:rsidRPr="008822C6" w:rsidRDefault="008822C6" w:rsidP="008822C6">
            <w:pPr>
              <w:suppressAutoHyphens/>
              <w:jc w:val="right"/>
              <w:rPr>
                <w:sz w:val="20"/>
                <w:szCs w:val="20"/>
                <w:lang w:val="fr-CA"/>
              </w:rPr>
            </w:pPr>
            <w:r w:rsidRPr="008822C6">
              <w:rPr>
                <w:sz w:val="20"/>
                <w:szCs w:val="20"/>
                <w:lang w:val="fr-CA"/>
              </w:rPr>
              <w:t>35,40</w:t>
            </w:r>
          </w:p>
        </w:tc>
        <w:tc>
          <w:tcPr>
            <w:tcW w:w="585" w:type="pct"/>
            <w:tcBorders>
              <w:top w:val="single" w:sz="4" w:space="0" w:color="auto"/>
              <w:left w:val="single" w:sz="4" w:space="0" w:color="auto"/>
              <w:bottom w:val="single" w:sz="4" w:space="0" w:color="auto"/>
              <w:right w:val="single" w:sz="4" w:space="0" w:color="auto"/>
            </w:tcBorders>
            <w:tcMar>
              <w:left w:w="115" w:type="dxa"/>
              <w:right w:w="288" w:type="dxa"/>
            </w:tcMar>
          </w:tcPr>
          <w:p w14:paraId="442F2AFE" w14:textId="77777777" w:rsidR="008822C6" w:rsidRPr="008822C6" w:rsidRDefault="008822C6" w:rsidP="008822C6">
            <w:pPr>
              <w:suppressAutoHyphens/>
              <w:jc w:val="right"/>
              <w:rPr>
                <w:sz w:val="20"/>
                <w:szCs w:val="20"/>
                <w:lang w:val="fr-CA"/>
              </w:rPr>
            </w:pPr>
            <w:r w:rsidRPr="008822C6">
              <w:rPr>
                <w:sz w:val="20"/>
                <w:szCs w:val="20"/>
                <w:lang w:val="fr-CA"/>
              </w:rPr>
              <w:t>32,53</w:t>
            </w:r>
          </w:p>
        </w:tc>
        <w:tc>
          <w:tcPr>
            <w:tcW w:w="586"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88" w:type="dxa"/>
            </w:tcMar>
          </w:tcPr>
          <w:p w14:paraId="60913AF2" w14:textId="77777777" w:rsidR="008822C6" w:rsidRPr="008822C6" w:rsidRDefault="008822C6" w:rsidP="008822C6">
            <w:pPr>
              <w:suppressAutoHyphens/>
              <w:jc w:val="right"/>
              <w:rPr>
                <w:sz w:val="20"/>
                <w:szCs w:val="20"/>
                <w:lang w:val="fr-CA"/>
              </w:rPr>
            </w:pPr>
            <w:r w:rsidRPr="008822C6">
              <w:rPr>
                <w:sz w:val="20"/>
                <w:szCs w:val="20"/>
                <w:shd w:val="clear" w:color="auto" w:fill="FFFFFF"/>
                <w:lang w:val="fr-CA"/>
              </w:rPr>
              <w:t>88,8</w:t>
            </w:r>
          </w:p>
        </w:tc>
      </w:tr>
    </w:tbl>
    <w:p w14:paraId="1A7A7EFF" w14:textId="77777777" w:rsidR="008822C6" w:rsidRPr="008822C6" w:rsidRDefault="008822C6" w:rsidP="008822C6">
      <w:pPr>
        <w:suppressAutoHyphens/>
        <w:rPr>
          <w:lang w:val="fr-CA"/>
        </w:rPr>
      </w:pPr>
    </w:p>
    <w:p w14:paraId="6866C850" w14:textId="77777777" w:rsidR="008822C6" w:rsidRPr="008822C6" w:rsidRDefault="008822C6" w:rsidP="008822C6">
      <w:pPr>
        <w:suppressAutoHyphens/>
        <w:spacing w:after="240"/>
        <w:outlineLvl w:val="0"/>
        <w:rPr>
          <w:lang w:val="fr-CA"/>
        </w:rPr>
      </w:pPr>
      <w:r w:rsidRPr="008822C6">
        <w:rPr>
          <w:lang w:val="fr-CA"/>
        </w:rPr>
        <w:t>3.</w:t>
      </w:r>
      <w:r w:rsidRPr="008822C6">
        <w:rPr>
          <w:lang w:val="fr-CA"/>
        </w:rPr>
        <w:tab/>
        <w:t xml:space="preserve">La consommation de HCFC-22, le seul HCFC consommé au Cameroun, est en baisse en raison de l’application du système de licences et de quotas, de la formation de techniciens de l’entretien en réfrigération et des activités d’assistance technique au titre du PGEH. En outre, l’introduction d’équipements de réfrigération et de climatisation (R&amp;C) utilisant essentiellement des frigorigènes à base de HFC et de mélanges de HFC, a également contribué à la réduction de la consommation de HCFC-22. </w:t>
      </w:r>
    </w:p>
    <w:p w14:paraId="4A1F906F" w14:textId="77777777" w:rsidR="008822C6" w:rsidRPr="008822C6" w:rsidRDefault="008822C6" w:rsidP="008822C6">
      <w:pPr>
        <w:suppressAutoHyphens/>
        <w:spacing w:after="240"/>
        <w:outlineLvl w:val="0"/>
        <w:rPr>
          <w:lang w:val="fr-CA"/>
        </w:rPr>
      </w:pPr>
      <w:r w:rsidRPr="008822C6">
        <w:rPr>
          <w:lang w:val="fr-CA"/>
        </w:rPr>
        <w:t>4.</w:t>
      </w:r>
      <w:r w:rsidRPr="008822C6">
        <w:rPr>
          <w:lang w:val="fr-CA"/>
        </w:rPr>
        <w:tab/>
        <w:t xml:space="preserve">Excluant les utilisations pour la réfrigération domestique, le HFC-134a </w:t>
      </w:r>
      <w:r w:rsidRPr="008822C6">
        <w:rPr>
          <w:color w:val="000000" w:themeColor="text1"/>
          <w:lang w:val="fr-CA"/>
        </w:rPr>
        <w:t>représente 63 % des frigorigènes utilisés pour l’entretien</w:t>
      </w:r>
      <w:r w:rsidRPr="008822C6">
        <w:rPr>
          <w:lang w:val="fr-CA"/>
        </w:rPr>
        <w:t>, suivi du HCFC-22 (21 %</w:t>
      </w:r>
      <w:r w:rsidRPr="008822C6">
        <w:rPr>
          <w:color w:val="000000" w:themeColor="text1"/>
          <w:lang w:val="fr-CA"/>
        </w:rPr>
        <w:t>)</w:t>
      </w:r>
      <w:r w:rsidRPr="008822C6">
        <w:rPr>
          <w:lang w:val="fr-CA"/>
        </w:rPr>
        <w:t xml:space="preserve">, des mélanges (R-410A et R-404A) (12,5 %), et d’autres frigorigènes (3,5 %), incluant les HC-290 et HFC-32. </w:t>
      </w:r>
    </w:p>
    <w:p w14:paraId="37F4D754" w14:textId="77777777" w:rsidR="008822C6" w:rsidRPr="008822C6" w:rsidRDefault="008822C6" w:rsidP="005205BB">
      <w:pPr>
        <w:widowControl w:val="0"/>
        <w:spacing w:after="240"/>
        <w:rPr>
          <w:i/>
          <w:lang w:val="fr-CA"/>
        </w:rPr>
      </w:pPr>
      <w:r w:rsidRPr="008822C6">
        <w:rPr>
          <w:i/>
          <w:lang w:val="fr-CA"/>
        </w:rPr>
        <w:t xml:space="preserve">Rapport de mise en œuvre du programme de pays (PP) </w:t>
      </w:r>
    </w:p>
    <w:p w14:paraId="54157D8F" w14:textId="77777777" w:rsidR="008822C6" w:rsidRPr="008822C6" w:rsidRDefault="008822C6" w:rsidP="005205BB">
      <w:pPr>
        <w:widowControl w:val="0"/>
        <w:spacing w:after="240"/>
        <w:outlineLvl w:val="0"/>
        <w:rPr>
          <w:lang w:val="fr-CA"/>
        </w:rPr>
      </w:pPr>
      <w:r w:rsidRPr="008822C6">
        <w:rPr>
          <w:lang w:val="fr-CA"/>
        </w:rPr>
        <w:t>5.</w:t>
      </w:r>
      <w:r w:rsidRPr="008822C6">
        <w:rPr>
          <w:lang w:val="fr-CA"/>
        </w:rPr>
        <w:tab/>
        <w:t xml:space="preserve">Le Gouvernement du Cameroun a communiqué les données de consommation sectorielle de HCFC au titre du rapport de mise en œuvre PP de 2020; ces données sont conformes aux données soumises au titre de l’article 7 du Protocole de Montréal. </w:t>
      </w:r>
    </w:p>
    <w:p w14:paraId="577EB6A2" w14:textId="77777777" w:rsidR="008822C6" w:rsidRPr="008822C6" w:rsidRDefault="008822C6" w:rsidP="005205BB">
      <w:pPr>
        <w:widowControl w:val="0"/>
        <w:spacing w:after="240"/>
        <w:rPr>
          <w:i/>
          <w:lang w:val="fr-CA"/>
        </w:rPr>
      </w:pPr>
      <w:r w:rsidRPr="008822C6">
        <w:rPr>
          <w:i/>
          <w:lang w:val="fr-CA"/>
        </w:rPr>
        <w:t>Rapport de vérification</w:t>
      </w:r>
    </w:p>
    <w:p w14:paraId="02FCC0F3" w14:textId="6F2EF293" w:rsidR="008822C6" w:rsidRPr="008822C6" w:rsidRDefault="008822C6" w:rsidP="005205BB">
      <w:pPr>
        <w:widowControl w:val="0"/>
        <w:spacing w:after="240"/>
        <w:outlineLvl w:val="0"/>
        <w:rPr>
          <w:color w:val="000000" w:themeColor="text1"/>
          <w:lang w:val="fr-CA"/>
        </w:rPr>
      </w:pPr>
      <w:r w:rsidRPr="008822C6">
        <w:rPr>
          <w:lang w:val="fr-CA"/>
        </w:rPr>
        <w:t>6.</w:t>
      </w:r>
      <w:r w:rsidRPr="008822C6">
        <w:rPr>
          <w:lang w:val="fr-CA"/>
        </w:rPr>
        <w:tab/>
        <w:t>En raison des restrictions imposées par la pandémie de COVID-19, la vérification a été menée de manière virtuelle par un consultant international, avec le concours d’un consultant national pour la collecte de données. Le rapport de vérification a confirmé que, depuis 2006, le Gouvernement dispose d’un système de licences et de quotas pour les importations et exportations de HCFC, exigeant du Bureau national de l’Ozone (BNO) d’émettre un « visa technique » préalablement à l’importation de SAO. Un système de licences informatisé/numérique pour l’octroi de visas techniques est utilisé, et tout se fait de façon électronique : les communications et le flux des documents entre le BNO, la Direction générale des douanes, le Guichet unique des opérations du commerce extérieur, et l’importateur. Le vérificateur a également indiqué que les registres des quotas attribués sont bien maintenus par le BNO</w:t>
      </w:r>
      <w:r w:rsidRPr="008822C6">
        <w:rPr>
          <w:color w:val="000000" w:themeColor="text1"/>
          <w:lang w:val="fr-CA"/>
        </w:rPr>
        <w:t xml:space="preserve">, et les importateurs conservent la liste des vendeurs locaux, qui doit être soumise chaque année au BNO aux fins de suivi. </w:t>
      </w:r>
      <w:r w:rsidR="005205BB" w:rsidRPr="008822C6">
        <w:rPr>
          <w:color w:val="000000" w:themeColor="text1"/>
          <w:lang w:val="fr-CA"/>
        </w:rPr>
        <w:t>Cependant</w:t>
      </w:r>
      <w:r w:rsidRPr="008822C6">
        <w:rPr>
          <w:color w:val="000000" w:themeColor="text1"/>
          <w:lang w:val="fr-CA"/>
        </w:rPr>
        <w:t xml:space="preserve">, le système national des codes douaniers harmonisés ne fait pas la ventilation détaillée des </w:t>
      </w:r>
      <w:r w:rsidRPr="008822C6">
        <w:rPr>
          <w:lang w:val="fr-CA"/>
        </w:rPr>
        <w:t xml:space="preserve">substances, et il est donc difficile d’obtenir rapidement des données des douanes au moyen des codes </w:t>
      </w:r>
      <w:r w:rsidRPr="008822C6">
        <w:rPr>
          <w:lang w:val="fr-CA"/>
        </w:rPr>
        <w:lastRenderedPageBreak/>
        <w:t>douaniers actuels. Les codes douaniers du Cameroun ne peuvent pas être étendus à 10 chiffres pour différencier entre les diverses substances puisque tout changement aux codes doit être approuvé par tous les membres de la Communauté économique et monétaire de l’Afrique centrale et envoyé ensuite à l’Organisation mondiale des douanes (OMD) pour information. En conséquence, le Cameroun adoptera les nouveaux codes de l’OMD en 2023.</w:t>
      </w:r>
    </w:p>
    <w:p w14:paraId="3582EF5D" w14:textId="77777777" w:rsidR="008822C6" w:rsidRPr="008822C6" w:rsidRDefault="008822C6" w:rsidP="005205BB">
      <w:pPr>
        <w:widowControl w:val="0"/>
        <w:spacing w:after="240"/>
        <w:outlineLvl w:val="0"/>
        <w:rPr>
          <w:lang w:val="fr-CA"/>
        </w:rPr>
      </w:pPr>
      <w:r w:rsidRPr="008822C6">
        <w:rPr>
          <w:lang w:val="fr-CA"/>
        </w:rPr>
        <w:t>7.</w:t>
      </w:r>
      <w:r w:rsidRPr="008822C6">
        <w:rPr>
          <w:lang w:val="fr-CA"/>
        </w:rPr>
        <w:tab/>
        <w:t>En 2019, les douanes ont intercepté un transfert illicite de 217 cylindres de frigorigènes (à savoir, 99 cylindres de HCFC-22 et les 118 cylindres restants contenant du HFC-134a ou du R404A). Les frigorigènes ont été vendus aux enchères et l’importateur a dû payer une amende équivalant à 5 000 $US; il a été enlevé du registre des importateurs et n’a pas pu obtenir depuis de licence d’importation de frigorigènes</w:t>
      </w:r>
      <w:r w:rsidRPr="008822C6">
        <w:rPr>
          <w:color w:val="365F91" w:themeColor="accent1" w:themeShade="BF"/>
          <w:lang w:val="fr-CA"/>
        </w:rPr>
        <w:t>.</w:t>
      </w:r>
      <w:r w:rsidRPr="008822C6">
        <w:rPr>
          <w:lang w:val="fr-CA"/>
        </w:rPr>
        <w:t xml:space="preserve"> La quantité saisie de HCFC-22 a été déduite du quota accordé pour 2019. La recommandation du vérificateur est de continuer à fournir aux douanes des identificateurs portatifs de SAO.</w:t>
      </w:r>
    </w:p>
    <w:p w14:paraId="7B258865" w14:textId="77777777" w:rsidR="008822C6" w:rsidRPr="008822C6" w:rsidRDefault="008822C6" w:rsidP="005205BB">
      <w:pPr>
        <w:widowControl w:val="0"/>
        <w:spacing w:after="240"/>
        <w:outlineLvl w:val="0"/>
        <w:rPr>
          <w:lang w:val="fr-CA"/>
        </w:rPr>
      </w:pPr>
      <w:r w:rsidRPr="008822C6">
        <w:rPr>
          <w:color w:val="000000" w:themeColor="text1"/>
          <w:lang w:val="fr-CA"/>
        </w:rPr>
        <w:t>8.</w:t>
      </w:r>
      <w:r w:rsidRPr="008822C6">
        <w:rPr>
          <w:color w:val="000000" w:themeColor="text1"/>
          <w:lang w:val="fr-CA"/>
        </w:rPr>
        <w:tab/>
        <w:t xml:space="preserve">Le rapport de vérification a confirmé par ailleurs qu’un arrêté ministériel sur la gestion des SAO interdit l’importation de </w:t>
      </w:r>
      <w:r w:rsidRPr="008822C6">
        <w:rPr>
          <w:lang w:val="fr-CA"/>
        </w:rPr>
        <w:t>HCFC autre que le HCFC-22 à compter du 1</w:t>
      </w:r>
      <w:r w:rsidRPr="008822C6">
        <w:rPr>
          <w:vertAlign w:val="superscript"/>
          <w:lang w:val="fr-CA"/>
        </w:rPr>
        <w:t>er</w:t>
      </w:r>
      <w:r w:rsidRPr="008822C6">
        <w:rPr>
          <w:lang w:val="fr-CA"/>
        </w:rPr>
        <w:t> janvier 2020. En outre, l’importation, la vente, l’installation et la production d’appareils et d’équipements utilisant des HCFC sont également interdites à compter du 1</w:t>
      </w:r>
      <w:r w:rsidRPr="008822C6">
        <w:rPr>
          <w:vertAlign w:val="superscript"/>
          <w:lang w:val="fr-CA"/>
        </w:rPr>
        <w:t>er</w:t>
      </w:r>
      <w:r w:rsidRPr="008822C6">
        <w:rPr>
          <w:lang w:val="fr-CA"/>
        </w:rPr>
        <w:t xml:space="preserve"> janvier 2020. En appliquant l’arrêté, les inspecteurs de l’environnement, du commerce et des douanes ont procédé à différents niveaux d’activités de surveillance (visites régulières/de routine et impromptues à diverses entreprises) pour vérifier la conformité. </w:t>
      </w:r>
    </w:p>
    <w:p w14:paraId="69EE71B7" w14:textId="77777777" w:rsidR="008822C6" w:rsidRPr="008822C6" w:rsidRDefault="008822C6" w:rsidP="005205BB">
      <w:pPr>
        <w:widowControl w:val="0"/>
        <w:spacing w:after="240"/>
        <w:outlineLvl w:val="0"/>
        <w:rPr>
          <w:lang w:val="fr-CA"/>
        </w:rPr>
      </w:pPr>
      <w:r w:rsidRPr="008822C6">
        <w:rPr>
          <w:color w:val="000000" w:themeColor="text1"/>
          <w:lang w:val="fr-CA"/>
        </w:rPr>
        <w:t>9.</w:t>
      </w:r>
      <w:r w:rsidRPr="008822C6">
        <w:rPr>
          <w:color w:val="000000" w:themeColor="text1"/>
          <w:lang w:val="fr-CA"/>
        </w:rPr>
        <w:tab/>
        <w:t xml:space="preserve">La vérification a conclu que la </w:t>
      </w:r>
      <w:r w:rsidRPr="008822C6">
        <w:rPr>
          <w:lang w:val="fr-CA"/>
        </w:rPr>
        <w:t>consommation totale de HCFC indiquée au titre de l’article 7 du</w:t>
      </w:r>
      <w:r w:rsidRPr="008822C6">
        <w:rPr>
          <w:color w:val="000000" w:themeColor="text1"/>
          <w:lang w:val="fr-CA"/>
        </w:rPr>
        <w:t xml:space="preserve"> Protocole de Montréal pour la période 2017-2020 était exacte (comme l’indique le Tableau 1 ci-dessus), et que le Cameroun s’était conformé aux objectifs de consommation admissible de HCFC indiqués dans son Accord avec le Comité exécutif. </w:t>
      </w:r>
    </w:p>
    <w:p w14:paraId="7B8D7063" w14:textId="77777777" w:rsidR="008822C6" w:rsidRPr="008822C6" w:rsidRDefault="008822C6" w:rsidP="005205BB">
      <w:pPr>
        <w:widowControl w:val="0"/>
        <w:spacing w:after="240"/>
        <w:rPr>
          <w:u w:val="single"/>
          <w:lang w:val="fr-CA"/>
        </w:rPr>
      </w:pPr>
      <w:r w:rsidRPr="008822C6">
        <w:rPr>
          <w:u w:val="single"/>
          <w:lang w:val="fr-CA"/>
        </w:rPr>
        <w:t>Rapport d’avancement sur la mise en œuvre de la première tranche du PGEH</w:t>
      </w:r>
    </w:p>
    <w:p w14:paraId="1534FFFD" w14:textId="77777777" w:rsidR="008822C6" w:rsidRPr="008822C6" w:rsidRDefault="008822C6" w:rsidP="005205BB">
      <w:pPr>
        <w:widowControl w:val="0"/>
        <w:spacing w:after="240"/>
        <w:rPr>
          <w:i/>
          <w:lang w:val="fr-CA"/>
        </w:rPr>
      </w:pPr>
      <w:r w:rsidRPr="008822C6">
        <w:rPr>
          <w:i/>
          <w:lang w:val="fr-CA"/>
        </w:rPr>
        <w:t>Cadre juridique</w:t>
      </w:r>
    </w:p>
    <w:p w14:paraId="06D17178" w14:textId="77777777" w:rsidR="008822C6" w:rsidRPr="008822C6" w:rsidRDefault="008822C6" w:rsidP="005205BB">
      <w:pPr>
        <w:widowControl w:val="0"/>
        <w:spacing w:after="240"/>
        <w:outlineLvl w:val="0"/>
        <w:rPr>
          <w:lang w:val="fr-CA"/>
        </w:rPr>
      </w:pPr>
      <w:r w:rsidRPr="008822C6">
        <w:rPr>
          <w:lang w:val="fr-CA"/>
        </w:rPr>
        <w:t>10.</w:t>
      </w:r>
      <w:r w:rsidRPr="008822C6">
        <w:rPr>
          <w:lang w:val="fr-CA"/>
        </w:rPr>
        <w:tab/>
        <w:t>L’interdiction d’importations de HCFC autres que le HCFC-22, et l’interdiction de l’importation, de la vente, de l’installation et de la production d’équipements à base de HCFC sont entrées en vigueur au 1</w:t>
      </w:r>
      <w:r w:rsidRPr="008822C6">
        <w:rPr>
          <w:vertAlign w:val="superscript"/>
          <w:lang w:val="fr-CA"/>
        </w:rPr>
        <w:t>er</w:t>
      </w:r>
      <w:r w:rsidRPr="008822C6">
        <w:rPr>
          <w:lang w:val="fr-CA"/>
        </w:rPr>
        <w:t xml:space="preserve"> janvier 2020, conformément à la décision 82/59(c)(ii) et (h)(ii). L’Amendement de Kigali a été ratifié au 21 août 2021. </w:t>
      </w:r>
    </w:p>
    <w:p w14:paraId="2BFAC1EA" w14:textId="77777777" w:rsidR="008822C6" w:rsidRPr="008822C6" w:rsidRDefault="008822C6" w:rsidP="005205BB">
      <w:pPr>
        <w:widowControl w:val="0"/>
        <w:spacing w:after="240"/>
        <w:rPr>
          <w:i/>
          <w:lang w:val="fr-CA"/>
        </w:rPr>
      </w:pPr>
      <w:r w:rsidRPr="008822C6">
        <w:rPr>
          <w:i/>
          <w:lang w:val="fr-CA"/>
        </w:rPr>
        <w:t>Secteur de l’entretien en réfrigération et en climatisation (R&amp;C)</w:t>
      </w:r>
    </w:p>
    <w:p w14:paraId="3F6DC47B" w14:textId="77777777" w:rsidR="008822C6" w:rsidRPr="008822C6" w:rsidRDefault="008822C6" w:rsidP="005205BB">
      <w:pPr>
        <w:widowControl w:val="0"/>
        <w:spacing w:after="240"/>
        <w:outlineLvl w:val="0"/>
        <w:rPr>
          <w:lang w:val="fr-CA"/>
        </w:rPr>
      </w:pPr>
      <w:r w:rsidRPr="008822C6">
        <w:rPr>
          <w:lang w:val="fr-CA"/>
        </w:rPr>
        <w:t>11.</w:t>
      </w:r>
      <w:r w:rsidRPr="008822C6">
        <w:rPr>
          <w:lang w:val="fr-CA"/>
        </w:rPr>
        <w:tab/>
        <w:t xml:space="preserve">Les mesures ci-après ont été réalisées durant la première tranche: </w:t>
      </w:r>
    </w:p>
    <w:p w14:paraId="711767C4" w14:textId="77777777" w:rsidR="008822C6" w:rsidRPr="008822C6" w:rsidRDefault="008822C6" w:rsidP="005205BB">
      <w:pPr>
        <w:widowControl w:val="0"/>
        <w:numPr>
          <w:ilvl w:val="1"/>
          <w:numId w:val="1"/>
        </w:numPr>
        <w:spacing w:after="240"/>
        <w:outlineLvl w:val="1"/>
        <w:rPr>
          <w:lang w:val="fr-CA"/>
        </w:rPr>
      </w:pPr>
      <w:r w:rsidRPr="008822C6">
        <w:rPr>
          <w:i/>
          <w:lang w:val="fr-CA"/>
        </w:rPr>
        <w:t>Renforcement des capacités des agents de douane et des inspecteurs de l’environnement:</w:t>
      </w:r>
      <w:r w:rsidRPr="008822C6">
        <w:rPr>
          <w:lang w:val="fr-CA"/>
        </w:rPr>
        <w:t xml:space="preserve"> Trente-deux postes ont été créés pour le contrôle de l’environnement; acquisition et livraison de 15 identificateurs portatifs de frigorigènes; un atelier de formation aux contrôles des HCFC et à la prévention du commerce illicite des SAO a été organisé pour 38 participants en septembre 2020;</w:t>
      </w:r>
    </w:p>
    <w:p w14:paraId="29F4B62D" w14:textId="77777777" w:rsidR="008822C6" w:rsidRPr="008822C6" w:rsidRDefault="008822C6" w:rsidP="005205BB">
      <w:pPr>
        <w:widowControl w:val="0"/>
        <w:numPr>
          <w:ilvl w:val="1"/>
          <w:numId w:val="1"/>
        </w:numPr>
        <w:spacing w:after="240"/>
        <w:outlineLvl w:val="1"/>
        <w:rPr>
          <w:lang w:val="fr-CA"/>
        </w:rPr>
      </w:pPr>
      <w:r w:rsidRPr="008822C6">
        <w:rPr>
          <w:i/>
          <w:lang w:val="fr-CA"/>
        </w:rPr>
        <w:t>Formation de techniciens d’entretien dans le secteur R&amp;C:</w:t>
      </w:r>
      <w:r w:rsidRPr="008822C6">
        <w:rPr>
          <w:lang w:val="fr-CA"/>
        </w:rPr>
        <w:t xml:space="preserve"> Une base de données sur les techniciens est en cours de création, portant sur 1 970 techniciens du secteur officiel, enregistrés à la suite de leur formation aux bonnes pratiques R&amp;C; le code des bonnes pratiques d’entretien a été révisé pour inclure les solutions de rechange aux SAO et les problèmes de sécurité connexes et il servira comme matériel de formation; deux ateliers de formation a été organisés pour les techniciens d’entretien (le premier portant sur la sécurité de l’utilisation de frigorigènes de remplacement à faible PRG en août 2020, et le second sur l’efficacité énergétique dans le secteur de la chaîne du froid en octobre 2020), chaque atelier recevant chacun 75 participants;</w:t>
      </w:r>
    </w:p>
    <w:p w14:paraId="2BFDAC73" w14:textId="77777777" w:rsidR="008822C6" w:rsidRPr="008822C6" w:rsidRDefault="008822C6" w:rsidP="005205BB">
      <w:pPr>
        <w:widowControl w:val="0"/>
        <w:numPr>
          <w:ilvl w:val="1"/>
          <w:numId w:val="1"/>
        </w:numPr>
        <w:spacing w:after="240"/>
        <w:outlineLvl w:val="1"/>
        <w:rPr>
          <w:i/>
          <w:lang w:val="fr-CA"/>
        </w:rPr>
      </w:pPr>
      <w:r w:rsidRPr="008822C6">
        <w:rPr>
          <w:rFonts w:eastAsia="SimSun"/>
          <w:i/>
          <w:iCs/>
          <w:color w:val="000000" w:themeColor="text1"/>
          <w:lang w:val="fr-CA" w:eastAsia="zh-CN"/>
        </w:rPr>
        <w:lastRenderedPageBreak/>
        <w:t xml:space="preserve">Programme d’incitation des utilisateurs ultimes: </w:t>
      </w:r>
      <w:r w:rsidRPr="008822C6">
        <w:rPr>
          <w:rFonts w:eastAsia="SimSun"/>
          <w:color w:val="000000" w:themeColor="text1"/>
          <w:lang w:val="fr-CA" w:eastAsia="zh-CN"/>
        </w:rPr>
        <w:t xml:space="preserve">Conformément à la </w:t>
      </w:r>
      <w:r w:rsidRPr="008822C6">
        <w:rPr>
          <w:rFonts w:eastAsia="SimSun"/>
          <w:iCs/>
          <w:color w:val="000000" w:themeColor="text1"/>
          <w:lang w:val="fr-CA" w:eastAsia="zh-CN"/>
        </w:rPr>
        <w:t>décision 82/(h)(i),</w:t>
      </w:r>
      <w:r w:rsidRPr="008822C6">
        <w:rPr>
          <w:rFonts w:eastAsia="SimSun"/>
          <w:iCs/>
          <w:color w:val="000000" w:themeColor="text1"/>
          <w:vertAlign w:val="superscript"/>
          <w:lang w:val="fr-CA" w:eastAsia="zh-CN"/>
        </w:rPr>
        <w:footnoteReference w:id="3"/>
      </w:r>
      <w:r w:rsidRPr="008822C6">
        <w:rPr>
          <w:rFonts w:eastAsia="SimSun"/>
          <w:iCs/>
          <w:color w:val="000000" w:themeColor="text1"/>
          <w:lang w:val="fr-CA" w:eastAsia="zh-CN"/>
        </w:rPr>
        <w:t xml:space="preserve"> une étude de terrain a été menée pour identifier 71 appareils possibles parmi les refroidisseurs, les climatiseurs commerciaux et les réfrigérateurs commerciaux à remplacer</w:t>
      </w:r>
      <w:r w:rsidRPr="008822C6">
        <w:rPr>
          <w:lang w:val="fr-CA"/>
        </w:rPr>
        <w:t>; un appel public a été publié pour des installateurs et des utilisateurs et une première série de bénéficiaires parmi les utilisateurs ultimes a été identifiée; un plan d’action a été préparé pour l’élément utilisateurs ultimes.</w:t>
      </w:r>
    </w:p>
    <w:p w14:paraId="3DCD71EC" w14:textId="77777777" w:rsidR="008822C6" w:rsidRPr="008822C6" w:rsidRDefault="008822C6" w:rsidP="005205BB">
      <w:pPr>
        <w:widowControl w:val="0"/>
        <w:spacing w:after="240"/>
        <w:outlineLvl w:val="1"/>
        <w:rPr>
          <w:i/>
          <w:lang w:val="fr-CA"/>
        </w:rPr>
      </w:pPr>
      <w:r w:rsidRPr="008822C6">
        <w:rPr>
          <w:i/>
          <w:lang w:val="fr-CA"/>
        </w:rPr>
        <w:t>Groupe de mise en œuvre et de suivi du projet (PMU)</w:t>
      </w:r>
    </w:p>
    <w:p w14:paraId="0D9842C7" w14:textId="77777777" w:rsidR="008822C6" w:rsidRPr="008822C6" w:rsidRDefault="008822C6" w:rsidP="005205BB">
      <w:pPr>
        <w:widowControl w:val="0"/>
        <w:spacing w:after="240"/>
        <w:outlineLvl w:val="0"/>
        <w:rPr>
          <w:lang w:val="fr-CA"/>
        </w:rPr>
      </w:pPr>
      <w:r w:rsidRPr="008822C6">
        <w:rPr>
          <w:lang w:val="fr-CA"/>
        </w:rPr>
        <w:t>12.</w:t>
      </w:r>
      <w:r w:rsidRPr="008822C6">
        <w:rPr>
          <w:lang w:val="fr-CA"/>
        </w:rPr>
        <w:tab/>
        <w:t>Le PMU, situé au sein du BNO au ministère de l’Environnement, de la Protection de la nature et du Développement durable, a géré l’exécution de la première tranche de la phase II du PGEH. Le personnel du ministère a apporté un soutien administratif et logistique. Des consultants ont été recrutés selon les besoins pour des tâches spécifiques (dépenses totales: 30 000 $US).</w:t>
      </w:r>
    </w:p>
    <w:p w14:paraId="2546902E" w14:textId="77777777" w:rsidR="008822C6" w:rsidRPr="008822C6" w:rsidRDefault="008822C6" w:rsidP="005205BB">
      <w:pPr>
        <w:widowControl w:val="0"/>
        <w:spacing w:after="240"/>
        <w:rPr>
          <w:u w:val="single"/>
          <w:lang w:val="fr-CA"/>
        </w:rPr>
      </w:pPr>
      <w:r w:rsidRPr="008822C6">
        <w:rPr>
          <w:u w:val="single"/>
          <w:lang w:val="fr-CA"/>
        </w:rPr>
        <w:t>Taux de décaissement des fonds</w:t>
      </w:r>
    </w:p>
    <w:p w14:paraId="29BAE59B" w14:textId="77777777" w:rsidR="008822C6" w:rsidRPr="008822C6" w:rsidRDefault="008822C6" w:rsidP="005205BB">
      <w:pPr>
        <w:widowControl w:val="0"/>
        <w:spacing w:after="240"/>
        <w:outlineLvl w:val="0"/>
        <w:rPr>
          <w:lang w:val="fr-CA"/>
        </w:rPr>
      </w:pPr>
      <w:r w:rsidRPr="008822C6">
        <w:rPr>
          <w:lang w:val="fr-CA"/>
        </w:rPr>
        <w:t>13.</w:t>
      </w:r>
      <w:r w:rsidRPr="008822C6">
        <w:rPr>
          <w:lang w:val="fr-CA"/>
        </w:rPr>
        <w:tab/>
        <w:t xml:space="preserve">En date de juin 2021, sur les 517 750 $US approuvés jusqu’ici, 157 425 $US (30,4 %) avaient été décaissés. Le solde de 360 325 $US sera décaissé en 2021-2022. </w:t>
      </w:r>
    </w:p>
    <w:p w14:paraId="02073EDC" w14:textId="77777777" w:rsidR="008822C6" w:rsidRPr="008822C6" w:rsidRDefault="008822C6" w:rsidP="005205BB">
      <w:pPr>
        <w:widowControl w:val="0"/>
        <w:spacing w:after="240"/>
        <w:outlineLvl w:val="0"/>
        <w:rPr>
          <w:u w:val="single"/>
          <w:lang w:val="fr-CA"/>
        </w:rPr>
      </w:pPr>
      <w:r w:rsidRPr="008822C6">
        <w:rPr>
          <w:u w:val="single"/>
          <w:lang w:val="fr-CA"/>
        </w:rPr>
        <w:t>Plan de mise en œuvre de la deuxième tranche du PGEH</w:t>
      </w:r>
    </w:p>
    <w:p w14:paraId="6B031F56" w14:textId="77777777" w:rsidR="008822C6" w:rsidRPr="008822C6" w:rsidRDefault="008822C6" w:rsidP="005205BB">
      <w:pPr>
        <w:widowControl w:val="0"/>
        <w:spacing w:after="240"/>
        <w:outlineLvl w:val="0"/>
        <w:rPr>
          <w:lang w:val="fr-CA"/>
        </w:rPr>
      </w:pPr>
      <w:r w:rsidRPr="008822C6">
        <w:rPr>
          <w:lang w:val="fr-CA"/>
        </w:rPr>
        <w:t>14.</w:t>
      </w:r>
      <w:r w:rsidRPr="008822C6">
        <w:rPr>
          <w:lang w:val="fr-CA"/>
        </w:rPr>
        <w:tab/>
        <w:t xml:space="preserve">Les activités ci-après seront exécutées entre janvier </w:t>
      </w:r>
      <w:r w:rsidRPr="008822C6">
        <w:rPr>
          <w:color w:val="000000" w:themeColor="text1"/>
          <w:lang w:val="fr-CA"/>
        </w:rPr>
        <w:t>2022 et décembre 2025</w:t>
      </w:r>
      <w:r w:rsidRPr="008822C6">
        <w:rPr>
          <w:lang w:val="fr-CA"/>
        </w:rPr>
        <w:t>:</w:t>
      </w:r>
    </w:p>
    <w:p w14:paraId="71D626E5" w14:textId="77777777" w:rsidR="008822C6" w:rsidRPr="008822C6" w:rsidRDefault="008822C6" w:rsidP="005205BB">
      <w:pPr>
        <w:widowControl w:val="0"/>
        <w:spacing w:after="240"/>
        <w:ind w:left="720"/>
        <w:outlineLvl w:val="1"/>
        <w:rPr>
          <w:lang w:val="fr-CA"/>
        </w:rPr>
      </w:pPr>
      <w:r w:rsidRPr="008822C6">
        <w:rPr>
          <w:iCs/>
          <w:lang w:val="fr-CA"/>
        </w:rPr>
        <w:t>(a)</w:t>
      </w:r>
      <w:r w:rsidRPr="008822C6">
        <w:rPr>
          <w:i/>
          <w:lang w:val="fr-CA"/>
        </w:rPr>
        <w:tab/>
        <w:t>Mise à jour de la législation sur les SAO</w:t>
      </w:r>
      <w:r w:rsidRPr="008822C6">
        <w:rPr>
          <w:lang w:val="fr-CA"/>
        </w:rPr>
        <w:t>: La mise à jour de la base de données sur les techniciens d’entretien et des activités en cours de surveillance et d’identification des ateliers d’entretien non enregistrés; publication d’un arrêté ministériel comme cadre juridique pour l’adoption de normes de sécurité; et organisation de deux ateliers de consultation des parties prenantes sur les règlements mis à jour sur le contrôle des SAO et sur l’évaluation des besoins des femmes participant à la mise en œuvre du PGEH (70 000 $US et 35 000 $US provenant de la première tranche);</w:t>
      </w:r>
    </w:p>
    <w:p w14:paraId="3F9F0B50" w14:textId="77777777" w:rsidR="008822C6" w:rsidRPr="008822C6" w:rsidRDefault="008822C6" w:rsidP="005205BB">
      <w:pPr>
        <w:widowControl w:val="0"/>
        <w:numPr>
          <w:ilvl w:val="1"/>
          <w:numId w:val="33"/>
        </w:numPr>
        <w:tabs>
          <w:tab w:val="num" w:pos="0"/>
        </w:tabs>
        <w:spacing w:after="240"/>
        <w:outlineLvl w:val="1"/>
        <w:rPr>
          <w:lang w:val="fr-CA"/>
        </w:rPr>
      </w:pPr>
      <w:r w:rsidRPr="008822C6">
        <w:rPr>
          <w:i/>
          <w:lang w:val="fr-CA"/>
        </w:rPr>
        <w:t>Renforcement des capacités des agents de douane et des inspecteurs de l’environnement</w:t>
      </w:r>
      <w:r w:rsidRPr="008822C6">
        <w:rPr>
          <w:lang w:val="fr-CA"/>
        </w:rPr>
        <w:t>: Acquisition et livraison de 15 autres identificateurs de frigorigènes, tenue d’un atelier de formation sur le commerce illicite de SAO pour une quarantaine de participants, et organisation de quatre ateliers de formation pour 180 agents de douane et agents d’application sur la mise en œuvre du Protocole de Montréal, la prévention du commerce illicite et l’utilisation d’identificateurs (100 000 $US et 109 575 $US de la première tranche);</w:t>
      </w:r>
    </w:p>
    <w:p w14:paraId="5381DA19" w14:textId="77777777" w:rsidR="008822C6" w:rsidRPr="008822C6" w:rsidRDefault="008822C6" w:rsidP="005205BB">
      <w:pPr>
        <w:widowControl w:val="0"/>
        <w:numPr>
          <w:ilvl w:val="1"/>
          <w:numId w:val="1"/>
        </w:numPr>
        <w:spacing w:after="240"/>
        <w:outlineLvl w:val="1"/>
        <w:rPr>
          <w:color w:val="000000" w:themeColor="text1"/>
          <w:lang w:val="fr-CA"/>
        </w:rPr>
      </w:pPr>
      <w:r w:rsidRPr="008822C6">
        <w:rPr>
          <w:i/>
          <w:lang w:val="fr-CA"/>
        </w:rPr>
        <w:t>Formation de techniciens d’entretien dans le secteur R&amp;C</w:t>
      </w:r>
      <w:r w:rsidRPr="008822C6">
        <w:rPr>
          <w:lang w:val="fr-CA"/>
        </w:rPr>
        <w:t>: Organisation de sept ateliers de formation pour 335 techniciens d’entretien aux bonnes pratiques en réfrigération (fonds provenant de la première tranche), organisation de 10 ateliers de formation for 475 techniciens d’entretien sur les bonnes pratiques en réfrigération (fonds provenant de la deuxième tranche), en se concentrant particulièrement sur les ateliers non enregistrés et les techniciens non qualifiés ainsi que sur les techniciennes (167 000 $US et 136 000 $US provenant de la première tra</w:t>
      </w:r>
      <w:r w:rsidRPr="008822C6">
        <w:rPr>
          <w:color w:val="000000" w:themeColor="text1"/>
          <w:lang w:val="fr-CA"/>
        </w:rPr>
        <w:t xml:space="preserve">nche); </w:t>
      </w:r>
    </w:p>
    <w:p w14:paraId="3798C959" w14:textId="31FAE42E" w:rsidR="008822C6" w:rsidRPr="008822C6" w:rsidRDefault="008822C6" w:rsidP="005205BB">
      <w:pPr>
        <w:widowControl w:val="0"/>
        <w:numPr>
          <w:ilvl w:val="1"/>
          <w:numId w:val="1"/>
        </w:numPr>
        <w:spacing w:after="240"/>
        <w:outlineLvl w:val="1"/>
        <w:rPr>
          <w:color w:val="000000" w:themeColor="text1"/>
          <w:lang w:val="fr-CA"/>
        </w:rPr>
      </w:pPr>
      <w:r w:rsidRPr="008822C6">
        <w:rPr>
          <w:i/>
          <w:color w:val="000000" w:themeColor="text1"/>
          <w:lang w:val="fr-CA"/>
        </w:rPr>
        <w:t>Renforcement du programme R&amp;R</w:t>
      </w:r>
      <w:r w:rsidRPr="008822C6">
        <w:rPr>
          <w:color w:val="000000" w:themeColor="text1"/>
          <w:lang w:val="fr-CA"/>
        </w:rPr>
        <w:t xml:space="preserve">: Renforcement des capacités R&amp;R des frigorigènes HCFC-22; acquisition de 17 séries d’équipements R&amp;R (à répartir entre </w:t>
      </w:r>
      <w:r w:rsidRPr="008822C6">
        <w:rPr>
          <w:color w:val="000000" w:themeColor="text1"/>
          <w:lang w:val="fr-CA"/>
        </w:rPr>
        <w:lastRenderedPageBreak/>
        <w:t>10</w:t>
      </w:r>
      <w:r w:rsidR="005205BB">
        <w:rPr>
          <w:color w:val="000000" w:themeColor="text1"/>
          <w:lang w:val="fr-CA"/>
        </w:rPr>
        <w:t> </w:t>
      </w:r>
      <w:r w:rsidRPr="005205BB">
        <w:rPr>
          <w:lang w:val="fr-FR"/>
        </w:rPr>
        <w:t>entreprises</w:t>
      </w:r>
      <w:r w:rsidR="005205BB" w:rsidRPr="005205BB">
        <w:rPr>
          <w:lang w:val="fr-FR"/>
        </w:rPr>
        <w:t> </w:t>
      </w:r>
      <w:r w:rsidRPr="005205BB">
        <w:rPr>
          <w:lang w:val="fr-FR"/>
        </w:rPr>
        <w:t>d’entretien</w:t>
      </w:r>
      <w:r w:rsidRPr="008822C6">
        <w:rPr>
          <w:color w:val="000000" w:themeColor="text1"/>
          <w:lang w:val="fr-CA"/>
        </w:rPr>
        <w:t xml:space="preserve"> et sept instituts de formation), et installation d’un système de compte rendu permettant au </w:t>
      </w:r>
      <w:r w:rsidRPr="008822C6">
        <w:rPr>
          <w:rFonts w:eastAsia="SimSun"/>
          <w:bCs/>
          <w:color w:val="000000" w:themeColor="text1"/>
          <w:lang w:val="fr-CA" w:eastAsia="zh-CN"/>
        </w:rPr>
        <w:t>BNO de disposer d’un registre détaillé d’information sur les substances utilisées, récupérées et réutilisées</w:t>
      </w:r>
      <w:r w:rsidRPr="008822C6">
        <w:rPr>
          <w:color w:val="000000" w:themeColor="text1"/>
          <w:lang w:val="fr-CA"/>
        </w:rPr>
        <w:t xml:space="preserve"> (34 750 $US et 34 750 $US provenant de la première tranche); </w:t>
      </w:r>
    </w:p>
    <w:p w14:paraId="7B71341E" w14:textId="74517734" w:rsidR="008822C6" w:rsidRPr="008822C6" w:rsidRDefault="008822C6" w:rsidP="005205BB">
      <w:pPr>
        <w:widowControl w:val="0"/>
        <w:numPr>
          <w:ilvl w:val="1"/>
          <w:numId w:val="1"/>
        </w:numPr>
        <w:spacing w:after="240"/>
        <w:outlineLvl w:val="1"/>
        <w:rPr>
          <w:lang w:val="fr-CA"/>
        </w:rPr>
      </w:pPr>
      <w:r w:rsidRPr="008822C6">
        <w:rPr>
          <w:i/>
          <w:lang w:val="fr-CA"/>
        </w:rPr>
        <w:t xml:space="preserve">Programme d’incitation des utilisateurs </w:t>
      </w:r>
      <w:proofErr w:type="gramStart"/>
      <w:r w:rsidRPr="008822C6">
        <w:rPr>
          <w:i/>
          <w:lang w:val="fr-CA"/>
        </w:rPr>
        <w:t>ultimes:</w:t>
      </w:r>
      <w:proofErr w:type="gramEnd"/>
      <w:r w:rsidRPr="008822C6">
        <w:rPr>
          <w:lang w:val="fr-CA"/>
        </w:rPr>
        <w:t xml:space="preserve"> Inscription d’engagements individuels auprès de 12 utilisateurs ultimes dans les secteurs des pêches, de l’agro-industrie, de </w:t>
      </w:r>
      <w:r w:rsidR="005205BB" w:rsidRPr="008822C6">
        <w:rPr>
          <w:lang w:val="fr-CA"/>
        </w:rPr>
        <w:t>la réfrigération</w:t>
      </w:r>
      <w:r w:rsidRPr="008822C6">
        <w:rPr>
          <w:lang w:val="fr-CA"/>
        </w:rPr>
        <w:t xml:space="preserve"> commerciale et des refroidisseurs, pour remplacer les équipements en place à base de HCFC par des technologies  de rechange à faible PRG (potentiellement R-290, HFO ou HFC-32) conformément aux règles d’acquisition de l’ONUDI et des décisions du Fonds multilatéral. Les équipements proposés pour des applications particulières seront vérifiés par des experts pour assurer qu’ils sont conformes aux normes internationales</w:t>
      </w:r>
      <w:r w:rsidRPr="008822C6">
        <w:rPr>
          <w:rFonts w:eastAsia="SimSun"/>
          <w:bCs/>
          <w:color w:val="000000" w:themeColor="text1"/>
          <w:lang w:val="fr-CA" w:eastAsia="zh-CN"/>
        </w:rPr>
        <w:t xml:space="preserve"> et les installations seront examinées pour assurer leur conformité aux procédures de sécurité appropriées; les équipements remplacés seront effectivement démontés</w:t>
      </w:r>
      <w:r w:rsidRPr="008822C6">
        <w:rPr>
          <w:lang w:val="fr-CA"/>
        </w:rPr>
        <w:t>, et le HCFC-22 sera récupéré et recyclé par les assembleurs participant au processus.</w:t>
      </w:r>
      <w:r w:rsidRPr="008822C6">
        <w:rPr>
          <w:rFonts w:eastAsia="SimSun"/>
          <w:bCs/>
          <w:color w:val="000000" w:themeColor="text1"/>
          <w:lang w:val="fr-CA" w:eastAsia="zh-CN"/>
        </w:rPr>
        <w:t xml:space="preserve"> Les parties bénéficiaires contribueront entre 30 et 40 % des coûts, partageront les rapports d’avancement, participeront aux ateliers d’information pour montrer les résultats </w:t>
      </w:r>
      <w:r w:rsidRPr="008822C6">
        <w:rPr>
          <w:lang w:val="fr-CA"/>
        </w:rPr>
        <w:t xml:space="preserve">de l’initiative sur le </w:t>
      </w:r>
      <w:r w:rsidRPr="008822C6">
        <w:rPr>
          <w:color w:val="000000" w:themeColor="text1"/>
          <w:lang w:val="fr-CA"/>
        </w:rPr>
        <w:t>HCFC-22 et permettront des visites sur place pour montrer le processus de remplacement des équipements</w:t>
      </w:r>
      <w:r w:rsidRPr="008822C6">
        <w:rPr>
          <w:lang w:val="fr-CA"/>
        </w:rPr>
        <w:t xml:space="preserve">. Les connaissances acquises sur la formation, le renforcement des capacités et l’assistance technique aideront au succès du programme pour les utilisateurs ultimes et du transfert de l’expérience pratique d’installation des technologies à faible PRG aux techniciens d’entretien; les résultats du programme des utilisateurs ultimes seront communiqués sur une grande échelle par l’intermédiaire des médias de masse et des rapports des pays de la région; soutien de la transformation axée sur le marché fondée sur l’interdiction des importations et de l’installation d’équipements à base de HCFC (360 000 $US et 30 000 $US provenant  de la première tranche); et </w:t>
      </w:r>
    </w:p>
    <w:p w14:paraId="40E96C78" w14:textId="77777777" w:rsidR="008822C6" w:rsidRPr="008822C6" w:rsidRDefault="008822C6" w:rsidP="005205BB">
      <w:pPr>
        <w:widowControl w:val="0"/>
        <w:numPr>
          <w:ilvl w:val="1"/>
          <w:numId w:val="1"/>
        </w:numPr>
        <w:spacing w:after="240"/>
        <w:outlineLvl w:val="1"/>
        <w:rPr>
          <w:color w:val="000000" w:themeColor="text1"/>
          <w:lang w:val="fr-CA"/>
        </w:rPr>
      </w:pPr>
      <w:r w:rsidRPr="008822C6">
        <w:rPr>
          <w:i/>
          <w:color w:val="000000" w:themeColor="text1"/>
          <w:lang w:val="fr-CA"/>
        </w:rPr>
        <w:t>Mise en œuvre et suivi du projet</w:t>
      </w:r>
      <w:r w:rsidRPr="008822C6">
        <w:rPr>
          <w:color w:val="000000" w:themeColor="text1"/>
          <w:lang w:val="fr-CA"/>
        </w:rPr>
        <w:t>: Recrutement d’un employé (expert technique R&amp;C) pour surveiller et rendre compte des activités dans le cadre du PGEH et préparer les rapports d’avancement annuels; soumission du rapport de vérification avec la demande de la prochaine tranche. (55 000 $US et 15 000 $US provenant de la première tranche).</w:t>
      </w:r>
    </w:p>
    <w:p w14:paraId="55F2FDF3" w14:textId="77777777" w:rsidR="008822C6" w:rsidRPr="008822C6" w:rsidRDefault="008822C6" w:rsidP="005205BB">
      <w:pPr>
        <w:widowControl w:val="0"/>
        <w:spacing w:after="240"/>
        <w:jc w:val="center"/>
        <w:rPr>
          <w:b/>
          <w:lang w:val="fr-CA"/>
        </w:rPr>
      </w:pPr>
    </w:p>
    <w:p w14:paraId="6605429E" w14:textId="77777777" w:rsidR="008822C6" w:rsidRPr="008822C6" w:rsidRDefault="008822C6" w:rsidP="005205BB">
      <w:pPr>
        <w:widowControl w:val="0"/>
        <w:spacing w:after="240"/>
        <w:jc w:val="center"/>
        <w:rPr>
          <w:b/>
          <w:lang w:val="fr-CA"/>
        </w:rPr>
      </w:pPr>
      <w:r w:rsidRPr="008822C6">
        <w:rPr>
          <w:b/>
          <w:lang w:val="fr-CA"/>
        </w:rPr>
        <w:t>OBSERVATIONS ET RECOMMENDATION DU SECRÉTARIAT</w:t>
      </w:r>
    </w:p>
    <w:p w14:paraId="2286D60D" w14:textId="77777777" w:rsidR="008822C6" w:rsidRPr="008822C6" w:rsidRDefault="008822C6" w:rsidP="005205BB">
      <w:pPr>
        <w:widowControl w:val="0"/>
        <w:spacing w:after="240"/>
        <w:rPr>
          <w:b/>
          <w:lang w:val="fr-CA"/>
        </w:rPr>
      </w:pPr>
      <w:r w:rsidRPr="008822C6">
        <w:rPr>
          <w:b/>
          <w:lang w:val="fr-CA"/>
        </w:rPr>
        <w:t>OBSERVATIONS</w:t>
      </w:r>
    </w:p>
    <w:p w14:paraId="70C6A917" w14:textId="77777777" w:rsidR="008822C6" w:rsidRPr="008822C6" w:rsidRDefault="008822C6" w:rsidP="005205BB">
      <w:pPr>
        <w:widowControl w:val="0"/>
        <w:spacing w:after="240"/>
        <w:rPr>
          <w:u w:val="single"/>
          <w:lang w:val="fr-CA"/>
        </w:rPr>
      </w:pPr>
      <w:r w:rsidRPr="008822C6">
        <w:rPr>
          <w:u w:val="single"/>
          <w:lang w:val="fr-CA"/>
        </w:rPr>
        <w:t>Rapport d’avancement sur le mise en œuvre de la première tranche du PGEH</w:t>
      </w:r>
    </w:p>
    <w:p w14:paraId="2BD63C95" w14:textId="77777777" w:rsidR="008822C6" w:rsidRPr="008822C6" w:rsidRDefault="008822C6" w:rsidP="005205BB">
      <w:pPr>
        <w:widowControl w:val="0"/>
        <w:spacing w:after="240"/>
        <w:rPr>
          <w:i/>
          <w:lang w:val="fr-CA"/>
        </w:rPr>
      </w:pPr>
      <w:r w:rsidRPr="008822C6">
        <w:rPr>
          <w:i/>
          <w:lang w:val="fr-CA"/>
        </w:rPr>
        <w:t>Cadre juridique</w:t>
      </w:r>
    </w:p>
    <w:p w14:paraId="05377E2A" w14:textId="77777777" w:rsidR="008822C6" w:rsidRPr="008822C6" w:rsidRDefault="008822C6" w:rsidP="005205BB">
      <w:pPr>
        <w:widowControl w:val="0"/>
        <w:spacing w:after="240"/>
        <w:outlineLvl w:val="0"/>
        <w:rPr>
          <w:lang w:val="fr-CA"/>
        </w:rPr>
      </w:pPr>
      <w:r w:rsidRPr="008822C6">
        <w:rPr>
          <w:lang w:val="fr-CA"/>
        </w:rPr>
        <w:t>15.</w:t>
      </w:r>
      <w:r w:rsidRPr="008822C6">
        <w:rPr>
          <w:lang w:val="fr-CA"/>
        </w:rPr>
        <w:tab/>
        <w:t>Le Gouvernement du Cameroun a déjà établi ses quotas d’importation de HCFC pour 2021 conformément à l’objectif indiqué dans son Accord avec le Comité exécutif.</w:t>
      </w:r>
    </w:p>
    <w:p w14:paraId="3CEFB8F8" w14:textId="77777777" w:rsidR="008822C6" w:rsidRPr="008822C6" w:rsidRDefault="008822C6" w:rsidP="005205BB">
      <w:pPr>
        <w:widowControl w:val="0"/>
        <w:spacing w:after="240"/>
        <w:rPr>
          <w:i/>
          <w:lang w:val="fr-CA"/>
        </w:rPr>
      </w:pPr>
      <w:r w:rsidRPr="008822C6">
        <w:rPr>
          <w:i/>
          <w:lang w:val="fr-CA"/>
        </w:rPr>
        <w:t>Secteur de l’entretien en réfrigération</w:t>
      </w:r>
    </w:p>
    <w:p w14:paraId="0569DFA7" w14:textId="77777777" w:rsidR="008822C6" w:rsidRPr="008822C6" w:rsidRDefault="008822C6" w:rsidP="005205BB">
      <w:pPr>
        <w:widowControl w:val="0"/>
        <w:spacing w:after="240"/>
        <w:outlineLvl w:val="0"/>
        <w:rPr>
          <w:lang w:val="fr-CA"/>
        </w:rPr>
      </w:pPr>
      <w:r w:rsidRPr="008822C6">
        <w:rPr>
          <w:lang w:val="fr-CA"/>
        </w:rPr>
        <w:t>16.</w:t>
      </w:r>
      <w:r w:rsidRPr="008822C6">
        <w:rPr>
          <w:lang w:val="fr-CA"/>
        </w:rPr>
        <w:tab/>
        <w:t xml:space="preserve">Concernant les dispositions des décisions 72/17 et 73/34 pour l’adaptation des équipements R&amp;C, l’ONUDI a expliqué que le programme des utilisateurs ultimes consiste à remplacer les appareils de réfrigération commerciale et les refroidisseurs par de nouveaux équipements utilisant des </w:t>
      </w:r>
      <w:r w:rsidRPr="008822C6">
        <w:rPr>
          <w:color w:val="000000" w:themeColor="text1"/>
          <w:lang w:val="fr-CA"/>
        </w:rPr>
        <w:t>frigorigènes à faible PRG et non pas à adapter les équipements en rattrapage</w:t>
      </w:r>
      <w:r w:rsidRPr="008822C6">
        <w:rPr>
          <w:lang w:val="fr-CA"/>
        </w:rPr>
        <w:t xml:space="preserve">; les principaux objectifs du </w:t>
      </w:r>
      <w:r w:rsidRPr="008822C6">
        <w:rPr>
          <w:rFonts w:eastAsia="SimSun" w:cstheme="minorHAnsi"/>
          <w:bCs/>
          <w:color w:val="000000" w:themeColor="text1"/>
          <w:lang w:val="fr-CA" w:eastAsia="zh-CN"/>
        </w:rPr>
        <w:t xml:space="preserve">programme sont de démontrer les économies énergétiques et monétaires résultant de l’utilisation des nouveaux équipements </w:t>
      </w:r>
      <w:r w:rsidRPr="008822C6">
        <w:rPr>
          <w:rFonts w:eastAsia="SimSun" w:cstheme="minorHAnsi"/>
          <w:bCs/>
          <w:color w:val="000000" w:themeColor="text1"/>
          <w:lang w:val="fr-CA" w:eastAsia="zh-CN"/>
        </w:rPr>
        <w:lastRenderedPageBreak/>
        <w:t xml:space="preserve">avec les frigorigènes de remplacement; de remplacer en sécurité les systèmes à base de HCFC arrivés à leur fin de vie; de former les </w:t>
      </w:r>
      <w:r w:rsidRPr="008822C6">
        <w:rPr>
          <w:lang w:val="fr-CA"/>
        </w:rPr>
        <w:t xml:space="preserve">techniciens d’entretien et les assembleurs à l’installation et à l’entretien des équipements utilisant des frigorigènes à faible PRG, de mener une évaluation des risques d’inflammabilité, et d’adopter des mesures de prévention; et acquérir de l’expérience dans l’application d’une politique d’incitation financière, en notant que le ministère des Finances pourrait reproduire le programme pour remplacer les équipements à base de HCFC dans le secteur des utilisateurs ultimes. </w:t>
      </w:r>
    </w:p>
    <w:p w14:paraId="49B5C370" w14:textId="2461AA59" w:rsidR="008822C6" w:rsidRPr="008822C6" w:rsidRDefault="008822C6" w:rsidP="005205BB">
      <w:pPr>
        <w:widowControl w:val="0"/>
        <w:spacing w:after="240"/>
        <w:outlineLvl w:val="0"/>
        <w:rPr>
          <w:lang w:val="fr-CA"/>
        </w:rPr>
      </w:pPr>
      <w:r w:rsidRPr="008822C6">
        <w:rPr>
          <w:lang w:val="fr-CA"/>
        </w:rPr>
        <w:t>17.</w:t>
      </w:r>
      <w:r w:rsidRPr="008822C6">
        <w:rPr>
          <w:lang w:val="fr-CA"/>
        </w:rPr>
        <w:tab/>
        <w:t xml:space="preserve">Le Secrétariat a examiné avec l’ONUDI des questions liées au plan opérationnel pour le remplacement auprès des 12 utilisateurs ultimes proposés, l’impact direct dans l’élimination des HCFC et le calendrier de la mise en œuvre compte tenu de la demande embryonnaire sur le marché pour l’introduction des technologies à faible PRG et l’absence de techniciens certifiés. À l’issue de cette </w:t>
      </w:r>
      <w:r w:rsidRPr="008822C6">
        <w:rPr>
          <w:lang w:val="fr-CA" w:eastAsia="en-CA"/>
        </w:rPr>
        <w:t>discussion</w:t>
      </w:r>
      <w:r w:rsidRPr="008822C6">
        <w:rPr>
          <w:lang w:val="fr-CA"/>
        </w:rPr>
        <w:t>, l’ONUDI est convenu, en consultation avec le Gouvernement du Cameroun, de remplacer six pièces d’équipement auprès de quatre seulement des utilisateurs ultimes (au lieu des 12 initialement proposés), à savoir une chambre froide (30 KW de capacité de refroidissement) et trois machines à glaçons (40 KW de capacité de refroidissement) dans le secteur des pêches, ainsi que deux refroidisseurs (200</w:t>
      </w:r>
      <w:r w:rsidR="005205BB">
        <w:rPr>
          <w:lang w:val="fr-CA"/>
        </w:rPr>
        <w:t> </w:t>
      </w:r>
      <w:r w:rsidRPr="008822C6">
        <w:rPr>
          <w:lang w:val="fr-CA"/>
        </w:rPr>
        <w:t>et</w:t>
      </w:r>
      <w:r w:rsidR="005205BB">
        <w:rPr>
          <w:lang w:val="fr-CA"/>
        </w:rPr>
        <w:t> </w:t>
      </w:r>
      <w:r w:rsidRPr="008822C6">
        <w:rPr>
          <w:lang w:val="fr-CA"/>
        </w:rPr>
        <w:t>350 KW de capacité de refroidissement). Si l’expérience est évaluée comme étant réussie, le Gouvernement pourrait inclure d’autres appareils à remplacer durant la phase III du PGEH. On estime qu’environ 925 pièces d’équipement sont utilisées actuellement dans le sous-secteur de la réfrigération commerciale dans les pêches et 480 dans les refroidisseurs, avec un taux estimatif global annuel de fuite de 195 tm de HCFC-22.</w:t>
      </w:r>
    </w:p>
    <w:p w14:paraId="5D177B40" w14:textId="77777777" w:rsidR="008822C6" w:rsidRPr="008822C6" w:rsidRDefault="008822C6" w:rsidP="005205BB">
      <w:pPr>
        <w:widowControl w:val="0"/>
        <w:shd w:val="clear" w:color="auto" w:fill="FFFFFF" w:themeFill="background1"/>
        <w:spacing w:after="240"/>
        <w:outlineLvl w:val="0"/>
        <w:rPr>
          <w:color w:val="000000" w:themeColor="text1"/>
          <w:lang w:val="fr-CA"/>
        </w:rPr>
      </w:pPr>
      <w:r w:rsidRPr="008822C6">
        <w:rPr>
          <w:lang w:val="fr-CA"/>
        </w:rPr>
        <w:t>18.</w:t>
      </w:r>
      <w:r w:rsidRPr="008822C6">
        <w:rPr>
          <w:lang w:val="fr-CA"/>
        </w:rPr>
        <w:tab/>
        <w:t xml:space="preserve">Le Secrétariat a confirmé que le programme des utilisateurs ultimes est intégré à d’autres activités du PGEH. Le programme de formation des techniciens d’entretien R&amp;C qui est en cours contient des aspects de classification de sécurité des frigorigènes, et de la sécurité de manutention dans l’installation et l’entretien d’équipements R&amp;C; des ateliers seront organisés avec des </w:t>
      </w:r>
      <w:r w:rsidRPr="008822C6">
        <w:rPr>
          <w:color w:val="000000" w:themeColor="text1"/>
          <w:lang w:val="fr-CA"/>
        </w:rPr>
        <w:t>techniciens pour démontrer l’expérience pratique de l’installation, et avec des utilisateurs ultimes pour montrer les avantages de remplacer leurs équipements. Le ministère de l’Environnement mettra sur pied le cadre juridique pour l’adoption de normes de manutention des frigorigènes inflammables. Le HCFC</w:t>
      </w:r>
      <w:r w:rsidRPr="008822C6">
        <w:rPr>
          <w:color w:val="000000" w:themeColor="text1"/>
          <w:lang w:val="fr-CA"/>
        </w:rPr>
        <w:noBreakHyphen/>
        <w:t>22 dans les équipements déclassés sera récupéré, réhabilité et réutilisé dans le programme R&amp;R en cours d’établissement dans le PGEH. Pour ce qui est du potentiel de reproductibilité, il est possible que certains utilisateurs ultimes dans le sous-secteur de la réfrigération commerciale et des refroidisseurs décident d’introduire des équipements R&amp;C utilisant des frigorigènes à base de R</w:t>
      </w:r>
      <w:r w:rsidRPr="008822C6">
        <w:rPr>
          <w:color w:val="000000" w:themeColor="text1"/>
          <w:lang w:val="fr-CA"/>
        </w:rPr>
        <w:noBreakHyphen/>
        <w:t>290/HFC-32, en fonction des avantages écologiques et économiques offerts par le programme. Le prix du HCFC-22 a été stabilisé à 13,60 $US/kg entre 2019 et 2021, mais l’on s’attend à une hausse en raison de la réduction des quotas d’importation. Le Gouvernement du Cameroun diffusera des informations aux décideurs, aux gérants et au personnel technique auprès des utilisateurs ultimes afin de promouvoir le remplacement d’appareils R&amp;C supplémentaires au coût des entreprises, avec un soutien technique du BNO. L’ONUDI soumettra des rapports détaillés sur les résultats du programme des utilisateurs ultimes une fois le projet achevé, conformément à la décision 84/84(d).</w:t>
      </w:r>
    </w:p>
    <w:p w14:paraId="7908265A" w14:textId="27A5C013" w:rsidR="008822C6" w:rsidRPr="008822C6" w:rsidRDefault="008822C6" w:rsidP="005205BB">
      <w:pPr>
        <w:widowControl w:val="0"/>
        <w:shd w:val="clear" w:color="auto" w:fill="FFFFFF" w:themeFill="background1"/>
        <w:spacing w:after="240"/>
        <w:outlineLvl w:val="0"/>
        <w:rPr>
          <w:shd w:val="clear" w:color="auto" w:fill="FFFFFF" w:themeFill="background1"/>
          <w:lang w:val="fr-CA"/>
        </w:rPr>
      </w:pPr>
      <w:r w:rsidRPr="008822C6">
        <w:rPr>
          <w:shd w:val="clear" w:color="auto" w:fill="FFFFFF" w:themeFill="background1"/>
          <w:lang w:val="fr-CA"/>
        </w:rPr>
        <w:t>19.</w:t>
      </w:r>
      <w:r w:rsidRPr="008822C6">
        <w:rPr>
          <w:shd w:val="clear" w:color="auto" w:fill="FFFFFF" w:themeFill="background1"/>
          <w:lang w:val="fr-CA"/>
        </w:rPr>
        <w:tab/>
        <w:t xml:space="preserve">Comme </w:t>
      </w:r>
      <w:r w:rsidR="005205BB" w:rsidRPr="008822C6">
        <w:rPr>
          <w:shd w:val="clear" w:color="auto" w:fill="FFFFFF" w:themeFill="background1"/>
          <w:lang w:val="fr-CA"/>
        </w:rPr>
        <w:t>pour donner suite aux</w:t>
      </w:r>
      <w:r w:rsidRPr="008822C6">
        <w:rPr>
          <w:shd w:val="clear" w:color="auto" w:fill="FFFFFF" w:themeFill="background1"/>
          <w:lang w:val="fr-CA"/>
        </w:rPr>
        <w:t xml:space="preserve"> discussions durant l’examen du projet, le montant requis pour le programmes des utilisateurs ultimes a été réduit de </w:t>
      </w:r>
      <w:r w:rsidRPr="008822C6">
        <w:rPr>
          <w:color w:val="000000" w:themeColor="text1"/>
          <w:shd w:val="clear" w:color="auto" w:fill="FFFFFF" w:themeFill="background1"/>
          <w:lang w:val="fr-CA"/>
        </w:rPr>
        <w:t>360 00</w:t>
      </w:r>
      <w:r w:rsidRPr="008822C6">
        <w:rPr>
          <w:bCs/>
          <w:color w:val="000000" w:themeColor="text1"/>
          <w:shd w:val="clear" w:color="auto" w:fill="FFFFFF" w:themeFill="background1"/>
          <w:lang w:val="fr-CA"/>
        </w:rPr>
        <w:t xml:space="preserve">0 $US à </w:t>
      </w:r>
      <w:r w:rsidRPr="008822C6">
        <w:rPr>
          <w:color w:val="000000" w:themeColor="text1"/>
          <w:shd w:val="clear" w:color="auto" w:fill="FFFFFF" w:themeFill="background1"/>
          <w:lang w:val="fr-CA"/>
        </w:rPr>
        <w:t>100 000 $US; et le solde de 260 00</w:t>
      </w:r>
      <w:r w:rsidRPr="008822C6">
        <w:rPr>
          <w:color w:val="000000" w:themeColor="text1"/>
          <w:shd w:val="clear" w:color="auto" w:fill="FFFFFF" w:themeFill="background1"/>
          <w:lang w:val="fr-CA" w:eastAsia="en-CA"/>
        </w:rPr>
        <w:t xml:space="preserve">0 $US a été attribué au renforcement du programme </w:t>
      </w:r>
      <w:r w:rsidRPr="008822C6">
        <w:rPr>
          <w:color w:val="000000" w:themeColor="text1"/>
          <w:shd w:val="clear" w:color="auto" w:fill="FFFFFF" w:themeFill="background1"/>
          <w:lang w:val="fr-CA"/>
        </w:rPr>
        <w:t xml:space="preserve">R&amp;R, des mesures de contrôle de SAO, et des ateliers d’entretien R&amp;C. Le nombre réel de pièces d’équipement à acquérir sera déterminé après une évaluation des besoins réels du secteur de l’entretien, et inclura entre autres des appareils de réhabilitation, des machines de récupération de </w:t>
      </w:r>
      <w:r w:rsidRPr="008822C6">
        <w:rPr>
          <w:color w:val="000000" w:themeColor="text1"/>
          <w:lang w:val="fr-CA" w:eastAsia="ja-JP"/>
        </w:rPr>
        <w:t xml:space="preserve">frigorigènes, des stations portatives de chargement, des outils </w:t>
      </w:r>
      <w:proofErr w:type="spellStart"/>
      <w:r w:rsidRPr="008822C6">
        <w:rPr>
          <w:color w:val="000000" w:themeColor="text1"/>
          <w:lang w:val="fr-CA" w:eastAsia="ja-JP"/>
        </w:rPr>
        <w:t>lokring</w:t>
      </w:r>
      <w:proofErr w:type="spellEnd"/>
      <w:r w:rsidRPr="008822C6">
        <w:rPr>
          <w:color w:val="000000" w:themeColor="text1"/>
          <w:lang w:val="fr-CA" w:eastAsia="ja-JP"/>
        </w:rPr>
        <w:t>, des détecteurs de fuite, des trousses d’outils d’entretien, et des identificateurs portatifs de SAO, incluant des bouteilles de frigorigènes standard pour la calibration et les pièces détachées.</w:t>
      </w:r>
    </w:p>
    <w:p w14:paraId="47373079" w14:textId="09999E83" w:rsidR="008822C6" w:rsidRPr="008822C6" w:rsidRDefault="008822C6" w:rsidP="005205BB">
      <w:pPr>
        <w:widowControl w:val="0"/>
        <w:shd w:val="clear" w:color="auto" w:fill="FFFFFF" w:themeFill="background1"/>
        <w:spacing w:after="240"/>
        <w:outlineLvl w:val="0"/>
        <w:rPr>
          <w:color w:val="000000" w:themeColor="text1"/>
          <w:lang w:val="fr-CA"/>
        </w:rPr>
      </w:pPr>
      <w:r w:rsidRPr="008822C6">
        <w:rPr>
          <w:color w:val="000000" w:themeColor="text1"/>
          <w:shd w:val="clear" w:color="auto" w:fill="FFFFFF" w:themeFill="background1"/>
          <w:lang w:val="fr-CA"/>
        </w:rPr>
        <w:t xml:space="preserve"> </w:t>
      </w:r>
      <w:r w:rsidRPr="008822C6">
        <w:rPr>
          <w:color w:val="000000" w:themeColor="text1"/>
          <w:lang w:val="fr-CA"/>
        </w:rPr>
        <w:t>20.</w:t>
      </w:r>
      <w:r w:rsidRPr="008822C6">
        <w:rPr>
          <w:color w:val="000000" w:themeColor="text1"/>
          <w:lang w:val="fr-CA"/>
        </w:rPr>
        <w:tab/>
        <w:t xml:space="preserve">Concernant le programme R&amp;R, l’ONUDI a signalé que les quotas d’importation de HCFC sont actuellement pleinement utilisés dans le pays. En raison des quotas d’importation réduits au fur et à mesure des progrès de l’élimination, le prix du HCFC-22 vierge devrait augmenter et le coût du HCFC-22 récupéré et recyclé deviendrait abordable. En outre, les équipements R&amp;R serviront à extraire le frigorigène des équipements R&amp;C mis au rebut ou remplacés. Le BNO surveillera également le fonctionnement du </w:t>
      </w:r>
      <w:r w:rsidRPr="008822C6">
        <w:rPr>
          <w:color w:val="000000" w:themeColor="text1"/>
          <w:lang w:val="fr-CA"/>
        </w:rPr>
        <w:lastRenderedPageBreak/>
        <w:t xml:space="preserve">programme R&amp;R, fera une évaluation de terrain des besoins en équipements, et définira une expansion finale du R&amp;R pour la troisième tranche à la lumière des résultats obtenus dans </w:t>
      </w:r>
      <w:r w:rsidR="007F5391" w:rsidRPr="008822C6">
        <w:rPr>
          <w:color w:val="000000" w:themeColor="text1"/>
          <w:lang w:val="fr-CA"/>
        </w:rPr>
        <w:t>la deuxième</w:t>
      </w:r>
      <w:r w:rsidRPr="008822C6">
        <w:rPr>
          <w:color w:val="000000" w:themeColor="text1"/>
          <w:lang w:val="fr-CA"/>
        </w:rPr>
        <w:t xml:space="preserve"> tranche. C’est pourquoi le Gouvernement du Cameroun et l’ONUDI sont certains que le programme R&amp;R sera autonome, car il permettra de récupérer un montant qui servira à l’entretien les équipements restants à base de HCFC</w:t>
      </w:r>
      <w:r w:rsidRPr="008822C6">
        <w:rPr>
          <w:color w:val="000000" w:themeColor="text1"/>
          <w:lang w:val="fr-CA"/>
        </w:rPr>
        <w:noBreakHyphen/>
        <w:t xml:space="preserve">22 jusqu’à la fin de leur vie. </w:t>
      </w:r>
    </w:p>
    <w:p w14:paraId="2B4B7DB5" w14:textId="1A10B16F" w:rsidR="008822C6" w:rsidRPr="008822C6" w:rsidRDefault="008822C6" w:rsidP="005205BB">
      <w:pPr>
        <w:widowControl w:val="0"/>
        <w:shd w:val="clear" w:color="auto" w:fill="FFFFFF" w:themeFill="background1"/>
        <w:spacing w:after="240"/>
        <w:outlineLvl w:val="0"/>
        <w:rPr>
          <w:color w:val="000000" w:themeColor="text1"/>
          <w:u w:val="single"/>
          <w:lang w:val="fr-CA"/>
        </w:rPr>
      </w:pPr>
      <w:r w:rsidRPr="008822C6">
        <w:rPr>
          <w:color w:val="000000" w:themeColor="text1"/>
          <w:lang w:val="fr-CA"/>
        </w:rPr>
        <w:t>21.</w:t>
      </w:r>
      <w:r w:rsidRPr="008822C6">
        <w:rPr>
          <w:color w:val="000000" w:themeColor="text1"/>
          <w:lang w:val="fr-CA"/>
        </w:rPr>
        <w:tab/>
        <w:t xml:space="preserve">Le Secrétariat s’est enquis des progrès du programme de certification des techniciens R&amp;C inclus dans la phase II du PGEH. L’ONUDI a expliqué que le cadre juridique et les dispositions institutionnelles seront établis pour le lancement du programme de certification dans le cadre de </w:t>
      </w:r>
      <w:r w:rsidR="007F5391" w:rsidRPr="008822C6">
        <w:rPr>
          <w:color w:val="000000" w:themeColor="text1"/>
          <w:lang w:val="fr-CA"/>
        </w:rPr>
        <w:t>la deuxième</w:t>
      </w:r>
      <w:r w:rsidRPr="008822C6">
        <w:rPr>
          <w:color w:val="000000" w:themeColor="text1"/>
          <w:lang w:val="fr-CA"/>
        </w:rPr>
        <w:t xml:space="preserve"> tranche. Des accords seront signés entre le ministère de l’Environnement, le ministère de l’Éducation secondaire, le ministère de l’Enseignement supérieur, et le ministère des Centres de formation professionnelle, et quatre centres de formation seront sélectionnés. Les programmes d’enseignement pour le programme de certification seront établis sur la base du code révisé des bonnes pratiques d’entretien; et la base de données existante des techniciens enregistrés sera mise à jour pour inclure les techniciens certifiés.</w:t>
      </w:r>
    </w:p>
    <w:p w14:paraId="5F92A7EA" w14:textId="77777777" w:rsidR="008822C6" w:rsidRPr="008822C6" w:rsidRDefault="008822C6" w:rsidP="005205BB">
      <w:pPr>
        <w:widowControl w:val="0"/>
        <w:shd w:val="clear" w:color="auto" w:fill="FFFFFF" w:themeFill="background1"/>
        <w:spacing w:after="240"/>
        <w:outlineLvl w:val="0"/>
        <w:rPr>
          <w:color w:val="000000" w:themeColor="text1"/>
          <w:u w:val="single"/>
          <w:lang w:val="fr-CA"/>
        </w:rPr>
      </w:pPr>
      <w:r w:rsidRPr="008822C6">
        <w:rPr>
          <w:color w:val="000000" w:themeColor="text1"/>
          <w:u w:val="single"/>
          <w:lang w:val="fr-CA"/>
        </w:rPr>
        <w:t>Application de la politique d’égalité des sexes</w:t>
      </w:r>
      <w:r w:rsidRPr="008822C6">
        <w:rPr>
          <w:color w:val="000000" w:themeColor="text1"/>
          <w:u w:val="single"/>
          <w:vertAlign w:val="superscript"/>
          <w:lang w:val="fr-CA"/>
        </w:rPr>
        <w:footnoteReference w:id="4"/>
      </w:r>
    </w:p>
    <w:p w14:paraId="00EF7570" w14:textId="297595EC" w:rsidR="008822C6" w:rsidRPr="008822C6" w:rsidRDefault="008822C6" w:rsidP="005205BB">
      <w:pPr>
        <w:widowControl w:val="0"/>
        <w:spacing w:after="240"/>
        <w:outlineLvl w:val="0"/>
        <w:rPr>
          <w:color w:val="000000" w:themeColor="text1"/>
          <w:u w:val="single"/>
          <w:lang w:val="fr-CA"/>
        </w:rPr>
      </w:pPr>
      <w:r w:rsidRPr="008822C6">
        <w:rPr>
          <w:color w:val="000000" w:themeColor="text1"/>
          <w:lang w:val="fr-CA"/>
        </w:rPr>
        <w:t>22.</w:t>
      </w:r>
      <w:r w:rsidRPr="008822C6">
        <w:rPr>
          <w:color w:val="000000" w:themeColor="text1"/>
          <w:lang w:val="fr-CA"/>
        </w:rPr>
        <w:tab/>
        <w:t>Lorsque la phase II du PGEH du Cameroun avait été approuvée à la 82</w:t>
      </w:r>
      <w:r w:rsidRPr="008822C6">
        <w:rPr>
          <w:color w:val="000000" w:themeColor="text1"/>
          <w:vertAlign w:val="superscript"/>
          <w:lang w:val="fr-CA"/>
        </w:rPr>
        <w:t>e</w:t>
      </w:r>
      <w:r w:rsidRPr="008822C6">
        <w:rPr>
          <w:color w:val="000000" w:themeColor="text1"/>
          <w:lang w:val="fr-CA"/>
        </w:rPr>
        <w:t xml:space="preserve"> réunion, le Fonds</w:t>
      </w:r>
      <w:r w:rsidR="007F5391">
        <w:rPr>
          <w:color w:val="000000" w:themeColor="text1"/>
          <w:lang w:val="fr-CA"/>
        </w:rPr>
        <w:t> </w:t>
      </w:r>
      <w:r w:rsidRPr="008822C6">
        <w:rPr>
          <w:color w:val="000000" w:themeColor="text1"/>
          <w:lang w:val="fr-CA"/>
        </w:rPr>
        <w:t>multilatéral n’avait pas encore adopté sa politique d’égalité des sexes. À cet égard, aucune considération particulière sur les genres ni d’objectifs liés aux genres n’ont été inclus dans le document de projet. Toutefois, durant l’exécution de la première tranche, les considérations sur les genres ont été prises en compte, avec notamment le suivi du nombre de femmes participant aux sessions de formation. Ces nombres seront utilisés pour évaluer le niveau de référence et l’état actuel de la participation des candidates, tant en qualité de présentatrices que de participantes, dans les activités organisées durant la deuxième tranche.</w:t>
      </w:r>
    </w:p>
    <w:p w14:paraId="7D790780" w14:textId="77777777" w:rsidR="008822C6" w:rsidRPr="008822C6" w:rsidRDefault="008822C6" w:rsidP="005205BB">
      <w:pPr>
        <w:widowControl w:val="0"/>
        <w:spacing w:after="240"/>
        <w:outlineLvl w:val="0"/>
        <w:rPr>
          <w:color w:val="000000" w:themeColor="text1"/>
          <w:lang w:val="fr-CA"/>
        </w:rPr>
      </w:pPr>
      <w:r w:rsidRPr="008822C6">
        <w:rPr>
          <w:color w:val="000000" w:themeColor="text1"/>
          <w:u w:val="single"/>
          <w:lang w:val="fr-CA"/>
        </w:rPr>
        <w:t xml:space="preserve">Durabilité de l’élimination de HCFC </w:t>
      </w:r>
    </w:p>
    <w:p w14:paraId="2721B416" w14:textId="77777777" w:rsidR="008822C6" w:rsidRPr="008822C6" w:rsidRDefault="008822C6" w:rsidP="005205BB">
      <w:pPr>
        <w:widowControl w:val="0"/>
        <w:spacing w:after="240"/>
        <w:outlineLvl w:val="0"/>
        <w:rPr>
          <w:lang w:val="fr-CA"/>
        </w:rPr>
      </w:pPr>
      <w:r w:rsidRPr="008822C6">
        <w:rPr>
          <w:color w:val="000000" w:themeColor="text1"/>
          <w:lang w:val="fr-CA"/>
        </w:rPr>
        <w:t>23.</w:t>
      </w:r>
      <w:r w:rsidRPr="008822C6">
        <w:rPr>
          <w:color w:val="000000" w:themeColor="text1"/>
          <w:lang w:val="fr-CA"/>
        </w:rPr>
        <w:tab/>
        <w:t>Pour assurer la pérennité des activités du PGEH dans le temps, le Gouvernement continue de renforcer les règlements; le code des bonnes pratiques d’entretien récemment révisé et sera introduit dans le programme d’enseignement des quatre écoles de formation R&amp;C; les instituts de formation ont été renforcés. Des identificateurs portatifs de SAO couvriront presque tous les points d’entrée douaniers, la formation ordinaire des douanes inclut des questions liées au Protocole de Montréal, et le matériel de formation des agents de douane est mis à jour</w:t>
      </w:r>
      <w:r w:rsidRPr="008822C6">
        <w:rPr>
          <w:lang w:val="fr-CA"/>
        </w:rPr>
        <w:t xml:space="preserve">. </w:t>
      </w:r>
    </w:p>
    <w:p w14:paraId="5306754D" w14:textId="77777777" w:rsidR="008822C6" w:rsidRPr="008822C6" w:rsidRDefault="008822C6" w:rsidP="005205BB">
      <w:pPr>
        <w:widowControl w:val="0"/>
        <w:spacing w:after="240"/>
        <w:rPr>
          <w:u w:val="single"/>
          <w:lang w:val="fr-CA"/>
        </w:rPr>
      </w:pPr>
      <w:r w:rsidRPr="008822C6">
        <w:rPr>
          <w:u w:val="single"/>
          <w:lang w:val="fr-CA"/>
        </w:rPr>
        <w:t xml:space="preserve">Conclusion </w:t>
      </w:r>
    </w:p>
    <w:p w14:paraId="5146B012" w14:textId="77777777" w:rsidR="008822C6" w:rsidRPr="008822C6" w:rsidRDefault="008822C6" w:rsidP="005205BB">
      <w:pPr>
        <w:widowControl w:val="0"/>
        <w:spacing w:after="240"/>
        <w:outlineLvl w:val="0"/>
        <w:rPr>
          <w:lang w:val="fr-CA"/>
        </w:rPr>
      </w:pPr>
      <w:r w:rsidRPr="008822C6">
        <w:rPr>
          <w:lang w:val="fr-CA"/>
        </w:rPr>
        <w:t>24.</w:t>
      </w:r>
      <w:r w:rsidRPr="008822C6">
        <w:rPr>
          <w:lang w:val="fr-CA"/>
        </w:rPr>
        <w:tab/>
        <w:t>Le système de licences et de quotas d’importation du Cameroun est opérationnel et totalement automatisé; le niveau de consommation de 2020 était inférieur, et le quota établi pour 2021 suit la consommation maximale admissible inscrit dans son Accord avec le Comité exécutif, l’interdiction des importations de HCFC autres que le HCFC</w:t>
      </w:r>
      <w:r w:rsidRPr="008822C6">
        <w:rPr>
          <w:lang w:val="fr-CA"/>
        </w:rPr>
        <w:noBreakHyphen/>
        <w:t>22 est en vigueur à compter du 1</w:t>
      </w:r>
      <w:r w:rsidRPr="008822C6">
        <w:rPr>
          <w:vertAlign w:val="superscript"/>
          <w:lang w:val="fr-CA"/>
        </w:rPr>
        <w:t>er</w:t>
      </w:r>
      <w:r w:rsidRPr="008822C6">
        <w:rPr>
          <w:lang w:val="fr-CA"/>
        </w:rPr>
        <w:t xml:space="preserve"> janvier 2020; l’importation, la vente, l’installation et la production d’appareils et d’équipements utilisant des HCFC ont été interdites à compter du 1</w:t>
      </w:r>
      <w:r w:rsidRPr="008822C6">
        <w:rPr>
          <w:vertAlign w:val="superscript"/>
          <w:lang w:val="fr-CA"/>
        </w:rPr>
        <w:t>er</w:t>
      </w:r>
      <w:r w:rsidRPr="008822C6">
        <w:rPr>
          <w:lang w:val="fr-CA"/>
        </w:rPr>
        <w:t xml:space="preserve"> janvier 2020. La capacité des agents de douane et des techniciens d’entretien continuera à être renforcée pour appuyer l’élimination des HCFC dans le pays. Les mesures prévues pour la deuxième tranche, telle que le lancement du programme de certification des techniciens, la poursuite du renforcement de la capacité des agents de douane et des techniciens R&amp;C, le remplacement des équipements R&amp;C de quatre utilisateurs ultimes à titre de projet de démonstration, l’appui aux institutions de formation, et la distribution d’équipements et d’outils renforcera l’application et les performances du secteur de l’entretien afin de réaliser l’élimination des HCFC. </w:t>
      </w:r>
    </w:p>
    <w:p w14:paraId="1FDD7D34" w14:textId="1709FF9C" w:rsidR="008822C6" w:rsidRPr="008822C6" w:rsidRDefault="008822C6" w:rsidP="005205BB">
      <w:pPr>
        <w:widowControl w:val="0"/>
        <w:spacing w:after="240"/>
        <w:rPr>
          <w:lang w:val="fr-CA"/>
        </w:rPr>
      </w:pPr>
      <w:r w:rsidRPr="008822C6">
        <w:rPr>
          <w:b/>
          <w:lang w:val="fr-CA"/>
        </w:rPr>
        <w:lastRenderedPageBreak/>
        <w:t>RECOMMANDATION</w:t>
      </w:r>
    </w:p>
    <w:p w14:paraId="4DF45ED5" w14:textId="77777777" w:rsidR="008822C6" w:rsidRPr="008822C6" w:rsidRDefault="008822C6" w:rsidP="005205BB">
      <w:pPr>
        <w:widowControl w:val="0"/>
        <w:spacing w:after="240"/>
        <w:outlineLvl w:val="0"/>
        <w:rPr>
          <w:lang w:val="fr-CA"/>
        </w:rPr>
      </w:pPr>
      <w:r w:rsidRPr="008822C6">
        <w:rPr>
          <w:lang w:val="fr-CA"/>
        </w:rPr>
        <w:t>25.</w:t>
      </w:r>
      <w:r w:rsidRPr="008822C6">
        <w:rPr>
          <w:lang w:val="fr-CA"/>
        </w:rPr>
        <w:tab/>
        <w:t>Le Secrétariat du Fonds recommande que le Comité exécutif prenne note du rapport d’avancement sur la mise en œuvre de la première tranche de la phase II du plan de gestion de l’élimination des HCFC (PGEH) pour le Cameroun, étant entendu que:</w:t>
      </w:r>
    </w:p>
    <w:p w14:paraId="32E6E3BA" w14:textId="5DA5EE05" w:rsidR="008822C6" w:rsidRPr="008822C6" w:rsidRDefault="006F0016" w:rsidP="007F5391">
      <w:pPr>
        <w:widowControl w:val="0"/>
        <w:spacing w:after="240"/>
        <w:ind w:left="1418" w:hanging="709"/>
        <w:outlineLvl w:val="1"/>
        <w:rPr>
          <w:lang w:val="fr-CA"/>
        </w:rPr>
      </w:pPr>
      <w:r>
        <w:rPr>
          <w:lang w:val="fr-CA"/>
        </w:rPr>
        <w:t>(a)</w:t>
      </w:r>
      <w:r>
        <w:rPr>
          <w:lang w:val="fr-CA"/>
        </w:rPr>
        <w:tab/>
      </w:r>
      <w:r w:rsidR="008822C6" w:rsidRPr="008822C6">
        <w:rPr>
          <w:lang w:val="fr-CA"/>
        </w:rPr>
        <w:t>Le programme d’incitation pour promouvoir la reconversion de la réfrigération commerciale et des refroidisseurs à des solutions de rechange à faible potentiel de réchauffement de la planète, comprend la formation et le renforcement des capacités connexes pour assurer une mise en œuvre durable; et</w:t>
      </w:r>
    </w:p>
    <w:p w14:paraId="5EBB21F2" w14:textId="13CB44C8" w:rsidR="008822C6" w:rsidRPr="006F0016" w:rsidRDefault="008822C6" w:rsidP="007F5391">
      <w:pPr>
        <w:pStyle w:val="Heading2"/>
        <w:numPr>
          <w:ilvl w:val="1"/>
          <w:numId w:val="34"/>
        </w:numPr>
        <w:ind w:left="1418" w:hanging="709"/>
        <w:rPr>
          <w:lang w:val="fr-CA"/>
        </w:rPr>
      </w:pPr>
      <w:r w:rsidRPr="006F0016">
        <w:rPr>
          <w:lang w:val="fr-CA"/>
        </w:rPr>
        <w:t>Les utilisateurs ultimes, le Gouvernement ou tout autre source identifiées pourrait apporter un co</w:t>
      </w:r>
      <w:r w:rsidRPr="006F0016">
        <w:rPr>
          <w:lang w:val="fr-CA"/>
        </w:rPr>
        <w:noBreakHyphen/>
        <w:t>financement afin de participer au projet.</w:t>
      </w:r>
    </w:p>
    <w:p w14:paraId="4C1236C7" w14:textId="10F9DFA9" w:rsidR="008822C6" w:rsidRPr="008822C6" w:rsidRDefault="008822C6" w:rsidP="005205BB">
      <w:pPr>
        <w:widowControl w:val="0"/>
        <w:spacing w:after="240"/>
        <w:outlineLvl w:val="0"/>
        <w:rPr>
          <w:lang w:val="fr-CA"/>
        </w:rPr>
      </w:pPr>
      <w:r w:rsidRPr="008822C6">
        <w:rPr>
          <w:lang w:val="fr-CA"/>
        </w:rPr>
        <w:t>26.</w:t>
      </w:r>
      <w:r w:rsidRPr="008822C6">
        <w:rPr>
          <w:lang w:val="fr-CA"/>
        </w:rPr>
        <w:tab/>
        <w:t>Le Secrétariat du Fonds recommande par ailleurs l’approbation globale de la deuxième tranche de la phase II du PGEH du Cameroun, ainsi que le plan d’exécution correspondant de la tranche pour 2021</w:t>
      </w:r>
      <w:r w:rsidR="007F5391">
        <w:rPr>
          <w:lang w:val="fr-CA"/>
        </w:rPr>
        <w:noBreakHyphen/>
      </w:r>
      <w:r w:rsidRPr="008822C6">
        <w:rPr>
          <w:lang w:val="fr-CA"/>
        </w:rPr>
        <w:t>2025, au niveau de financement indiqué dans le Tableau ci-après, étant entendu que:</w:t>
      </w:r>
    </w:p>
    <w:p w14:paraId="2472CF62" w14:textId="77777777" w:rsidR="007F5391" w:rsidRDefault="006F0016" w:rsidP="007F5391">
      <w:pPr>
        <w:widowControl w:val="0"/>
        <w:spacing w:after="240"/>
        <w:ind w:left="1276" w:hanging="567"/>
        <w:outlineLvl w:val="1"/>
        <w:rPr>
          <w:lang w:val="fr-CA"/>
        </w:rPr>
      </w:pPr>
      <w:r>
        <w:rPr>
          <w:lang w:val="fr-CA"/>
        </w:rPr>
        <w:t>(a)</w:t>
      </w:r>
      <w:r>
        <w:rPr>
          <w:lang w:val="fr-CA"/>
        </w:rPr>
        <w:tab/>
      </w:r>
      <w:r w:rsidR="008822C6" w:rsidRPr="008822C6">
        <w:rPr>
          <w:lang w:val="fr-CA"/>
        </w:rPr>
        <w:t>Les informations sur la mise en œuvre du programme des utilisateurs ultimes seraient incluses dans le rapport d’avancement à soumettre avec la demande de financement de la troisième tranche de la phase II du PGEH; e</w:t>
      </w:r>
      <w:r w:rsidR="007F5391">
        <w:rPr>
          <w:lang w:val="fr-CA"/>
        </w:rPr>
        <w:t xml:space="preserve">t </w:t>
      </w:r>
    </w:p>
    <w:p w14:paraId="43A9BE84" w14:textId="5FF1397B" w:rsidR="008822C6" w:rsidRPr="007F5391" w:rsidRDefault="007F5391" w:rsidP="007F5391">
      <w:pPr>
        <w:widowControl w:val="0"/>
        <w:spacing w:after="240"/>
        <w:ind w:left="1276" w:hanging="567"/>
        <w:outlineLvl w:val="1"/>
        <w:rPr>
          <w:lang w:val="fr-CA"/>
        </w:rPr>
      </w:pPr>
      <w:r>
        <w:rPr>
          <w:lang w:val="fr-CA"/>
        </w:rPr>
        <w:t xml:space="preserve">(b)  </w:t>
      </w:r>
      <w:r>
        <w:rPr>
          <w:lang w:val="fr-CA"/>
        </w:rPr>
        <w:tab/>
      </w:r>
      <w:r w:rsidR="008822C6" w:rsidRPr="007F5391">
        <w:rPr>
          <w:lang w:val="fr-CA"/>
        </w:rPr>
        <w:t>Si le Cameroun devait procéder à des adaptations ou des corrections en rattrapage pour utiliser des substances inflammables dans des appareils de réfrigération et de climatisation conçus initialement pour des substances non inflammables, le pays devra assumer tous les risques et responsabilités connexes, et agir uniquement dans le respect des normes et des protocoles applicables.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8822C6" w:rsidRPr="008822C6" w14:paraId="18376B1A" w14:textId="77777777" w:rsidTr="00391FA4">
        <w:tc>
          <w:tcPr>
            <w:tcW w:w="540" w:type="dxa"/>
          </w:tcPr>
          <w:p w14:paraId="61FEB547" w14:textId="77777777" w:rsidR="008822C6" w:rsidRPr="008822C6" w:rsidRDefault="008822C6" w:rsidP="008822C6">
            <w:pPr>
              <w:keepNext/>
              <w:keepLines/>
              <w:suppressAutoHyphens/>
              <w:jc w:val="center"/>
              <w:rPr>
                <w:b/>
                <w:bCs/>
                <w:sz w:val="20"/>
                <w:szCs w:val="20"/>
                <w:lang w:val="fr-CA"/>
              </w:rPr>
            </w:pPr>
          </w:p>
        </w:tc>
        <w:tc>
          <w:tcPr>
            <w:tcW w:w="4320" w:type="dxa"/>
            <w:vAlign w:val="center"/>
          </w:tcPr>
          <w:p w14:paraId="037D5125" w14:textId="77777777" w:rsidR="008822C6" w:rsidRPr="008822C6" w:rsidRDefault="008822C6" w:rsidP="008822C6">
            <w:pPr>
              <w:keepNext/>
              <w:keepLines/>
              <w:suppressAutoHyphens/>
              <w:jc w:val="left"/>
              <w:rPr>
                <w:b/>
                <w:bCs/>
                <w:sz w:val="21"/>
                <w:szCs w:val="21"/>
                <w:lang w:val="fr-CA"/>
              </w:rPr>
            </w:pPr>
            <w:r w:rsidRPr="008822C6">
              <w:rPr>
                <w:b/>
                <w:bCs/>
                <w:sz w:val="21"/>
                <w:szCs w:val="21"/>
                <w:lang w:val="fr-CA"/>
              </w:rPr>
              <w:t>Titre du projet</w:t>
            </w:r>
          </w:p>
        </w:tc>
        <w:tc>
          <w:tcPr>
            <w:tcW w:w="1461" w:type="dxa"/>
            <w:tcMar>
              <w:left w:w="29" w:type="dxa"/>
              <w:right w:w="29" w:type="dxa"/>
            </w:tcMar>
          </w:tcPr>
          <w:p w14:paraId="799E9E94" w14:textId="77777777" w:rsidR="008822C6" w:rsidRPr="008822C6" w:rsidRDefault="008822C6" w:rsidP="008822C6">
            <w:pPr>
              <w:keepNext/>
              <w:keepLines/>
              <w:suppressAutoHyphens/>
              <w:jc w:val="center"/>
              <w:rPr>
                <w:b/>
                <w:bCs/>
                <w:sz w:val="21"/>
                <w:szCs w:val="21"/>
                <w:lang w:val="fr-CA"/>
              </w:rPr>
            </w:pPr>
            <w:r w:rsidRPr="008822C6">
              <w:rPr>
                <w:b/>
                <w:bCs/>
                <w:sz w:val="21"/>
                <w:szCs w:val="21"/>
                <w:lang w:val="fr-CA"/>
              </w:rPr>
              <w:t>Financement du projet ($US)</w:t>
            </w:r>
          </w:p>
        </w:tc>
        <w:tc>
          <w:tcPr>
            <w:tcW w:w="1461" w:type="dxa"/>
            <w:tcMar>
              <w:left w:w="29" w:type="dxa"/>
              <w:right w:w="29" w:type="dxa"/>
            </w:tcMar>
          </w:tcPr>
          <w:p w14:paraId="55367F10" w14:textId="77777777" w:rsidR="008822C6" w:rsidRPr="008822C6" w:rsidRDefault="008822C6" w:rsidP="008822C6">
            <w:pPr>
              <w:keepNext/>
              <w:keepLines/>
              <w:suppressAutoHyphens/>
              <w:jc w:val="center"/>
              <w:rPr>
                <w:b/>
                <w:bCs/>
                <w:sz w:val="21"/>
                <w:szCs w:val="21"/>
                <w:lang w:val="fr-CA"/>
              </w:rPr>
            </w:pPr>
            <w:r w:rsidRPr="008822C6">
              <w:rPr>
                <w:b/>
                <w:bCs/>
                <w:sz w:val="21"/>
                <w:szCs w:val="21"/>
                <w:lang w:val="fr-CA"/>
              </w:rPr>
              <w:t>Coût d’appui ($US)</w:t>
            </w:r>
          </w:p>
        </w:tc>
        <w:tc>
          <w:tcPr>
            <w:tcW w:w="1461" w:type="dxa"/>
            <w:tcMar>
              <w:left w:w="29" w:type="dxa"/>
              <w:right w:w="29" w:type="dxa"/>
            </w:tcMar>
          </w:tcPr>
          <w:p w14:paraId="26B566D9" w14:textId="77777777" w:rsidR="008822C6" w:rsidRPr="008822C6" w:rsidRDefault="008822C6" w:rsidP="008822C6">
            <w:pPr>
              <w:keepNext/>
              <w:keepLines/>
              <w:suppressAutoHyphens/>
              <w:jc w:val="center"/>
              <w:rPr>
                <w:b/>
                <w:bCs/>
                <w:sz w:val="21"/>
                <w:szCs w:val="21"/>
                <w:lang w:val="fr-CA"/>
              </w:rPr>
            </w:pPr>
            <w:r w:rsidRPr="008822C6">
              <w:rPr>
                <w:b/>
                <w:bCs/>
                <w:sz w:val="21"/>
                <w:szCs w:val="21"/>
                <w:lang w:val="fr-CA"/>
              </w:rPr>
              <w:t>Agence d’exécution</w:t>
            </w:r>
          </w:p>
        </w:tc>
      </w:tr>
      <w:tr w:rsidR="008822C6" w:rsidRPr="008822C6" w14:paraId="7E366189" w14:textId="77777777" w:rsidTr="00391FA4">
        <w:tc>
          <w:tcPr>
            <w:tcW w:w="540" w:type="dxa"/>
          </w:tcPr>
          <w:p w14:paraId="211476E0" w14:textId="77777777" w:rsidR="008822C6" w:rsidRPr="008822C6" w:rsidRDefault="008822C6" w:rsidP="008822C6">
            <w:pPr>
              <w:keepNext/>
              <w:suppressAutoHyphens/>
              <w:rPr>
                <w:sz w:val="20"/>
                <w:szCs w:val="20"/>
                <w:lang w:val="fr-CA"/>
              </w:rPr>
            </w:pPr>
            <w:r w:rsidRPr="008822C6">
              <w:rPr>
                <w:sz w:val="20"/>
                <w:szCs w:val="20"/>
                <w:lang w:val="fr-CA"/>
              </w:rPr>
              <w:t>(a)</w:t>
            </w:r>
          </w:p>
        </w:tc>
        <w:tc>
          <w:tcPr>
            <w:tcW w:w="4320" w:type="dxa"/>
          </w:tcPr>
          <w:p w14:paraId="29212C38" w14:textId="77777777" w:rsidR="008822C6" w:rsidRPr="008822C6" w:rsidRDefault="008822C6" w:rsidP="008822C6">
            <w:pPr>
              <w:keepNext/>
              <w:suppressAutoHyphens/>
              <w:rPr>
                <w:sz w:val="21"/>
                <w:szCs w:val="21"/>
                <w:lang w:val="fr-CA"/>
              </w:rPr>
            </w:pPr>
            <w:r w:rsidRPr="008822C6">
              <w:rPr>
                <w:sz w:val="21"/>
                <w:szCs w:val="21"/>
                <w:lang w:val="fr-CA"/>
              </w:rPr>
              <w:t>Plan de gestion de l’élimination des HCFC (phase II, deuxième tranche)</w:t>
            </w:r>
          </w:p>
        </w:tc>
        <w:tc>
          <w:tcPr>
            <w:tcW w:w="1461" w:type="dxa"/>
          </w:tcPr>
          <w:p w14:paraId="78AA26B3" w14:textId="77777777" w:rsidR="008822C6" w:rsidRPr="008822C6" w:rsidRDefault="008822C6" w:rsidP="008822C6">
            <w:pPr>
              <w:keepNext/>
              <w:suppressAutoHyphens/>
              <w:jc w:val="right"/>
              <w:rPr>
                <w:sz w:val="21"/>
                <w:szCs w:val="21"/>
                <w:lang w:val="fr-CA"/>
              </w:rPr>
            </w:pPr>
            <w:r w:rsidRPr="008822C6">
              <w:rPr>
                <w:sz w:val="21"/>
                <w:szCs w:val="21"/>
                <w:lang w:val="fr-CA"/>
              </w:rPr>
              <w:t>786 750</w:t>
            </w:r>
          </w:p>
        </w:tc>
        <w:tc>
          <w:tcPr>
            <w:tcW w:w="1461" w:type="dxa"/>
          </w:tcPr>
          <w:p w14:paraId="329B905F" w14:textId="77777777" w:rsidR="008822C6" w:rsidRPr="008822C6" w:rsidRDefault="008822C6" w:rsidP="008822C6">
            <w:pPr>
              <w:keepNext/>
              <w:suppressAutoHyphens/>
              <w:jc w:val="right"/>
              <w:rPr>
                <w:sz w:val="21"/>
                <w:szCs w:val="21"/>
                <w:lang w:val="fr-CA"/>
              </w:rPr>
            </w:pPr>
            <w:r w:rsidRPr="008822C6">
              <w:rPr>
                <w:sz w:val="21"/>
                <w:szCs w:val="21"/>
                <w:lang w:val="fr-CA"/>
              </w:rPr>
              <w:t>55 073</w:t>
            </w:r>
          </w:p>
        </w:tc>
        <w:tc>
          <w:tcPr>
            <w:tcW w:w="1461" w:type="dxa"/>
          </w:tcPr>
          <w:p w14:paraId="14FE635B" w14:textId="77777777" w:rsidR="008822C6" w:rsidRPr="008822C6" w:rsidRDefault="008822C6" w:rsidP="008822C6">
            <w:pPr>
              <w:keepNext/>
              <w:suppressAutoHyphens/>
              <w:jc w:val="center"/>
              <w:rPr>
                <w:sz w:val="21"/>
                <w:szCs w:val="21"/>
                <w:lang w:val="fr-CA"/>
              </w:rPr>
            </w:pPr>
            <w:r w:rsidRPr="008822C6">
              <w:rPr>
                <w:sz w:val="21"/>
                <w:szCs w:val="21"/>
                <w:lang w:val="fr-CA"/>
              </w:rPr>
              <w:t>ONUDI</w:t>
            </w:r>
          </w:p>
        </w:tc>
      </w:tr>
    </w:tbl>
    <w:p w14:paraId="0748CFEA" w14:textId="77777777" w:rsidR="008822C6" w:rsidRPr="008822C6" w:rsidRDefault="008822C6" w:rsidP="008822C6">
      <w:pPr>
        <w:suppressAutoHyphens/>
        <w:rPr>
          <w:lang w:val="fr-CA"/>
        </w:rPr>
      </w:pPr>
    </w:p>
    <w:p w14:paraId="0F5D0353" w14:textId="77777777" w:rsidR="008822C6" w:rsidRPr="008822C6" w:rsidRDefault="008822C6" w:rsidP="008822C6">
      <w:pPr>
        <w:suppressAutoHyphens/>
        <w:rPr>
          <w:lang w:val="fr-CA"/>
        </w:rPr>
      </w:pPr>
    </w:p>
    <w:p w14:paraId="7E554D48" w14:textId="77777777" w:rsidR="008822C6" w:rsidRPr="008822C6" w:rsidRDefault="008822C6" w:rsidP="008822C6">
      <w:pPr>
        <w:suppressAutoHyphen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822C6" w:rsidRPr="008822C6" w14:paraId="41402FAB" w14:textId="77777777" w:rsidTr="00391FA4">
        <w:tc>
          <w:tcPr>
            <w:tcW w:w="1871" w:type="dxa"/>
          </w:tcPr>
          <w:p w14:paraId="2982C3F6" w14:textId="77777777" w:rsidR="008822C6" w:rsidRPr="008822C6" w:rsidRDefault="008822C6" w:rsidP="008822C6">
            <w:pPr>
              <w:suppressAutoHyphens/>
              <w:rPr>
                <w:lang w:val="fr-CA"/>
              </w:rPr>
            </w:pPr>
          </w:p>
        </w:tc>
        <w:tc>
          <w:tcPr>
            <w:tcW w:w="1872" w:type="dxa"/>
          </w:tcPr>
          <w:p w14:paraId="18A47123" w14:textId="77777777" w:rsidR="008822C6" w:rsidRPr="008822C6" w:rsidRDefault="008822C6" w:rsidP="008822C6">
            <w:pPr>
              <w:suppressAutoHyphens/>
              <w:rPr>
                <w:lang w:val="fr-CA"/>
              </w:rPr>
            </w:pPr>
          </w:p>
        </w:tc>
        <w:tc>
          <w:tcPr>
            <w:tcW w:w="1872" w:type="dxa"/>
            <w:tcBorders>
              <w:bottom w:val="single" w:sz="4" w:space="0" w:color="auto"/>
            </w:tcBorders>
          </w:tcPr>
          <w:p w14:paraId="77950B1A" w14:textId="77777777" w:rsidR="008822C6" w:rsidRPr="008822C6" w:rsidRDefault="008822C6" w:rsidP="008822C6">
            <w:pPr>
              <w:suppressAutoHyphens/>
              <w:rPr>
                <w:lang w:val="fr-CA"/>
              </w:rPr>
            </w:pPr>
          </w:p>
        </w:tc>
        <w:tc>
          <w:tcPr>
            <w:tcW w:w="1872" w:type="dxa"/>
          </w:tcPr>
          <w:p w14:paraId="2BD7D7E9" w14:textId="77777777" w:rsidR="008822C6" w:rsidRPr="008822C6" w:rsidRDefault="008822C6" w:rsidP="008822C6">
            <w:pPr>
              <w:suppressAutoHyphens/>
              <w:rPr>
                <w:lang w:val="fr-CA"/>
              </w:rPr>
            </w:pPr>
          </w:p>
        </w:tc>
        <w:tc>
          <w:tcPr>
            <w:tcW w:w="1873" w:type="dxa"/>
          </w:tcPr>
          <w:p w14:paraId="1282DC0A" w14:textId="77777777" w:rsidR="008822C6" w:rsidRPr="008822C6" w:rsidRDefault="008822C6" w:rsidP="008822C6">
            <w:pPr>
              <w:suppressAutoHyphens/>
              <w:rPr>
                <w:lang w:val="fr-CA"/>
              </w:rPr>
            </w:pPr>
          </w:p>
        </w:tc>
      </w:tr>
    </w:tbl>
    <w:p w14:paraId="56718A43" w14:textId="77777777" w:rsidR="008822C6" w:rsidRPr="008822C6" w:rsidRDefault="008822C6" w:rsidP="008822C6">
      <w:pPr>
        <w:suppressAutoHyphens/>
        <w:rPr>
          <w:lang w:val="fr-CA"/>
        </w:rPr>
      </w:pPr>
    </w:p>
    <w:p w14:paraId="7BBB757E" w14:textId="77777777" w:rsidR="00070C2C" w:rsidRPr="00C2763B" w:rsidRDefault="00070C2C" w:rsidP="008822C6">
      <w:pPr>
        <w:suppressAutoHyphens/>
        <w:jc w:val="center"/>
        <w:rPr>
          <w:lang w:val="fr-CA"/>
        </w:rPr>
      </w:pPr>
    </w:p>
    <w:sectPr w:rsidR="00070C2C" w:rsidRPr="00C2763B"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E330" w14:textId="77777777" w:rsidR="009E1765" w:rsidRDefault="009E1765" w:rsidP="004A504B">
      <w:r>
        <w:separator/>
      </w:r>
    </w:p>
  </w:endnote>
  <w:endnote w:type="continuationSeparator" w:id="0">
    <w:p w14:paraId="2B6F8B33" w14:textId="77777777" w:rsidR="009E1765" w:rsidRDefault="009E176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6E06" w14:textId="1293D0DF" w:rsidR="00CF1896" w:rsidRPr="0033525D" w:rsidRDefault="00CF1896">
    <w:pPr>
      <w:jc w:val="center"/>
    </w:pPr>
    <w:r>
      <w:fldChar w:fldCharType="begin"/>
    </w:r>
    <w:r>
      <w:instrText xml:space="preserve"> PAGE </w:instrText>
    </w:r>
    <w:r>
      <w:fldChar w:fldCharType="separate"/>
    </w:r>
    <w:r w:rsidR="00F37653">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93A2" w14:textId="3CC162C0" w:rsidR="00CF1896" w:rsidRPr="0033525D" w:rsidRDefault="00CF1896">
    <w:pPr>
      <w:jc w:val="center"/>
    </w:pPr>
    <w:r>
      <w:fldChar w:fldCharType="begin"/>
    </w:r>
    <w:r>
      <w:instrText xml:space="preserve"> PAGE </w:instrText>
    </w:r>
    <w:r>
      <w:fldChar w:fldCharType="separate"/>
    </w:r>
    <w:r w:rsidR="00F37653">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F2C5" w14:textId="77777777" w:rsidR="001644CD" w:rsidRPr="001644CD" w:rsidRDefault="001644CD" w:rsidP="001644CD">
    <w:pPr>
      <w:pBdr>
        <w:top w:val="single" w:sz="4" w:space="1" w:color="auto"/>
        <w:left w:val="single" w:sz="4" w:space="4" w:color="auto"/>
        <w:bottom w:val="single" w:sz="4" w:space="1" w:color="auto"/>
        <w:right w:val="single" w:sz="4" w:space="4" w:color="auto"/>
      </w:pBdr>
      <w:jc w:val="center"/>
      <w:rPr>
        <w:sz w:val="18"/>
        <w:szCs w:val="18"/>
        <w:lang w:val="fr-CA"/>
      </w:rPr>
    </w:pPr>
    <w:r w:rsidRPr="001644CD">
      <w:rPr>
        <w:sz w:val="18"/>
        <w:szCs w:val="18"/>
        <w:lang w:val="fr-CA"/>
      </w:rPr>
      <w:t xml:space="preserve">Les documents de présession du Comité exécutif du Fonds multilatéral aux fins d’application du Protocole de  </w:t>
    </w:r>
  </w:p>
  <w:p w14:paraId="0699F3B1" w14:textId="7F5261D4" w:rsidR="00CF1896" w:rsidRPr="001644CD" w:rsidRDefault="001644CD" w:rsidP="001644CD">
    <w:pPr>
      <w:pBdr>
        <w:top w:val="single" w:sz="4" w:space="1" w:color="auto"/>
        <w:left w:val="single" w:sz="4" w:space="4" w:color="auto"/>
        <w:bottom w:val="single" w:sz="4" w:space="1" w:color="auto"/>
        <w:right w:val="single" w:sz="4" w:space="4" w:color="auto"/>
      </w:pBdr>
      <w:jc w:val="center"/>
      <w:rPr>
        <w:sz w:val="18"/>
        <w:szCs w:val="18"/>
        <w:lang w:val="fr-CA"/>
      </w:rPr>
    </w:pPr>
    <w:r w:rsidRPr="001644CD">
      <w:rPr>
        <w:sz w:val="18"/>
        <w:szCs w:val="18"/>
        <w:lang w:val="fr-CA"/>
      </w:rPr>
      <w:t>Montréal sont présentés sous réserve des décisions pouvant être prises par le Comité exécutif après leur publication.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627F" w14:textId="77777777" w:rsidR="009E1765" w:rsidRDefault="009E1765" w:rsidP="004A504B">
      <w:r>
        <w:separator/>
      </w:r>
    </w:p>
  </w:footnote>
  <w:footnote w:type="continuationSeparator" w:id="0">
    <w:p w14:paraId="11A86EA5" w14:textId="77777777" w:rsidR="009E1765" w:rsidRDefault="009E1765" w:rsidP="004A504B">
      <w:r>
        <w:continuationSeparator/>
      </w:r>
    </w:p>
  </w:footnote>
  <w:footnote w:id="1">
    <w:p w14:paraId="09F6DC63" w14:textId="77777777" w:rsidR="008822C6" w:rsidRPr="006F4D8F" w:rsidRDefault="00CF1896" w:rsidP="008822C6">
      <w:pPr>
        <w:rPr>
          <w:sz w:val="20"/>
          <w:szCs w:val="20"/>
          <w:lang w:val="fr-CA"/>
        </w:rPr>
      </w:pPr>
      <w:r w:rsidRPr="006F4D8F">
        <w:rPr>
          <w:rStyle w:val="FootnoteReference"/>
          <w:lang w:val="fr-CA"/>
        </w:rPr>
        <w:footnoteRef/>
      </w:r>
      <w:r w:rsidRPr="006F4D8F">
        <w:rPr>
          <w:lang w:val="fr-CA"/>
        </w:rPr>
        <w:t xml:space="preserve"> </w:t>
      </w:r>
      <w:r w:rsidR="008822C6" w:rsidRPr="006F4D8F">
        <w:rPr>
          <w:sz w:val="20"/>
          <w:szCs w:val="20"/>
          <w:lang w:val="fr-CA"/>
        </w:rPr>
        <w:t xml:space="preserve">  Des réunions en ligne et un processus d’approbation intersessions se tiendront en juin et juillet 2021 à cause du coronavirus (COVID-19)</w:t>
      </w:r>
    </w:p>
    <w:p w14:paraId="130306E7" w14:textId="77777777" w:rsidR="00CF1896" w:rsidRPr="005205BB" w:rsidRDefault="00CF1896">
      <w:pPr>
        <w:pStyle w:val="FootnoteText"/>
        <w:rPr>
          <w:lang w:val="fr-FR"/>
        </w:rPr>
      </w:pPr>
    </w:p>
  </w:footnote>
  <w:footnote w:id="2">
    <w:p w14:paraId="5CD20FB1" w14:textId="77777777" w:rsidR="008822C6" w:rsidRPr="00C2763B" w:rsidRDefault="008822C6" w:rsidP="008822C6">
      <w:pPr>
        <w:pStyle w:val="FootnoteText"/>
        <w:rPr>
          <w:lang w:val="fr-CA"/>
        </w:rPr>
      </w:pPr>
      <w:r w:rsidRPr="00FE3307">
        <w:rPr>
          <w:rStyle w:val="FootnoteReference"/>
        </w:rPr>
        <w:footnoteRef/>
      </w:r>
      <w:r w:rsidRPr="005205BB">
        <w:rPr>
          <w:lang w:val="fr-FR"/>
        </w:rPr>
        <w:t xml:space="preserve"> </w:t>
      </w:r>
      <w:r w:rsidRPr="00C2763B">
        <w:rPr>
          <w:lang w:val="fr-CA"/>
        </w:rPr>
        <w:t>D’après la lettre du 20 août 2021 du ministère de l’Environnement, de la Protection de la Nature et du Développement durable du Cameroun, adressée à l’ONUDI.</w:t>
      </w:r>
    </w:p>
  </w:footnote>
  <w:footnote w:id="3">
    <w:p w14:paraId="01B0F3F6" w14:textId="77777777" w:rsidR="008822C6" w:rsidRPr="00C2763B" w:rsidRDefault="008822C6" w:rsidP="008822C6">
      <w:pPr>
        <w:pStyle w:val="FootnoteText"/>
        <w:rPr>
          <w:lang w:val="fr-CA"/>
        </w:rPr>
      </w:pPr>
      <w:r>
        <w:rPr>
          <w:rStyle w:val="FootnoteReference"/>
        </w:rPr>
        <w:footnoteRef/>
      </w:r>
      <w:r w:rsidRPr="005205BB">
        <w:rPr>
          <w:lang w:val="fr-FR"/>
        </w:rPr>
        <w:t xml:space="preserve"> </w:t>
      </w:r>
      <w:r w:rsidRPr="00C2763B">
        <w:rPr>
          <w:lang w:val="fr-CA"/>
        </w:rPr>
        <w:t>L’ONUDI a été invitée à examiner avec le Gouvernement du Cameroun le plan de mise en œuvre pour le programme d’incitation des utilisateurs ultimes pour la phase II, notamment le co-financement avec les bénéficiaires identifiés, afin d’envisager des activités fondées sur une évaluation plus détaillée des utilisateurs ultimes, et pour présenter sur demande un plan d’action détaillé pour la deuxième tranche.</w:t>
      </w:r>
    </w:p>
  </w:footnote>
  <w:footnote w:id="4">
    <w:p w14:paraId="7C8BE51A" w14:textId="05240A1A" w:rsidR="008822C6" w:rsidRPr="00C2763B" w:rsidRDefault="008822C6" w:rsidP="008822C6">
      <w:pPr>
        <w:pStyle w:val="FootnoteText"/>
        <w:rPr>
          <w:lang w:val="fr-CA"/>
        </w:rPr>
      </w:pPr>
      <w:r>
        <w:rPr>
          <w:rStyle w:val="FootnoteReference"/>
        </w:rPr>
        <w:footnoteRef/>
      </w:r>
      <w:r w:rsidRPr="005205BB">
        <w:rPr>
          <w:lang w:val="fr-FR"/>
        </w:rPr>
        <w:t xml:space="preserve"> </w:t>
      </w:r>
      <w:r w:rsidR="00C2763B" w:rsidRPr="00C2763B">
        <w:rPr>
          <w:lang w:val="fr-CA"/>
        </w:rPr>
        <w:t>La dé</w:t>
      </w:r>
      <w:r w:rsidRPr="00C2763B">
        <w:rPr>
          <w:lang w:val="fr-CA"/>
        </w:rPr>
        <w:t xml:space="preserve">cision 84/92(d) </w:t>
      </w:r>
      <w:r w:rsidR="00C2763B" w:rsidRPr="00C2763B">
        <w:rPr>
          <w:lang w:val="fr-CA"/>
        </w:rPr>
        <w:t xml:space="preserve">demande aux </w:t>
      </w:r>
      <w:r w:rsidR="006F0016" w:rsidRPr="00C2763B">
        <w:rPr>
          <w:lang w:val="fr-CA"/>
        </w:rPr>
        <w:t>agences</w:t>
      </w:r>
      <w:r w:rsidR="00C2763B" w:rsidRPr="00C2763B">
        <w:rPr>
          <w:lang w:val="fr-CA"/>
        </w:rPr>
        <w:t xml:space="preserve"> bilatérales et d’exécution d’appliquer le politique opérationnelle sur l’égalité des sexes durant tout le cy</w:t>
      </w:r>
      <w:r w:rsidR="006F0016">
        <w:rPr>
          <w:lang w:val="fr-CA"/>
        </w:rPr>
        <w:t>c</w:t>
      </w:r>
      <w:r w:rsidR="00C2763B" w:rsidRPr="00C2763B">
        <w:rPr>
          <w:lang w:val="fr-CA"/>
        </w:rPr>
        <w:t>le du projet</w:t>
      </w:r>
      <w:r w:rsidRPr="00C2763B">
        <w:rPr>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F38E" w14:textId="3D133051" w:rsidR="00CF1896" w:rsidRPr="0033525D" w:rsidRDefault="00BD7BCE">
    <w:r>
      <w:fldChar w:fldCharType="begin"/>
    </w:r>
    <w:r>
      <w:instrText xml:space="preserve"> DOCPROPERTY "Document number"  \* MERGEFORMAT </w:instrText>
    </w:r>
    <w:r>
      <w:fldChar w:fldCharType="separate"/>
    </w:r>
    <w:r w:rsidR="005205BB">
      <w:t>UNEP/</w:t>
    </w:r>
    <w:proofErr w:type="spellStart"/>
    <w:r w:rsidR="005205BB">
      <w:t>OzL.Pro</w:t>
    </w:r>
    <w:proofErr w:type="spellEnd"/>
    <w:r w:rsidR="005205BB">
      <w:t>/</w:t>
    </w:r>
    <w:proofErr w:type="spellStart"/>
    <w:r w:rsidR="005205BB">
      <w:t>ExCom</w:t>
    </w:r>
    <w:proofErr w:type="spellEnd"/>
    <w:r w:rsidR="005205BB">
      <w:t>/88/41</w:t>
    </w:r>
    <w:r>
      <w:fldChar w:fldCharType="end"/>
    </w:r>
  </w:p>
  <w:p w14:paraId="38568D24" w14:textId="77777777" w:rsidR="00CF1896" w:rsidRPr="0033525D" w:rsidRDefault="00CF1896"/>
  <w:p w14:paraId="6B716FF9" w14:textId="77777777" w:rsidR="00CF1896" w:rsidRPr="0033525D" w:rsidRDefault="00CF18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5AF9" w14:textId="2B3F9D2C" w:rsidR="00CF1896" w:rsidRPr="0033525D" w:rsidRDefault="00BD7BCE">
    <w:pPr>
      <w:jc w:val="right"/>
    </w:pPr>
    <w:r>
      <w:fldChar w:fldCharType="begin"/>
    </w:r>
    <w:r>
      <w:instrText xml:space="preserve"> DOCPROPERTY "Document number"  \* MERGEFORMAT </w:instrText>
    </w:r>
    <w:r>
      <w:fldChar w:fldCharType="separate"/>
    </w:r>
    <w:r w:rsidR="005205BB">
      <w:t>UNEP/</w:t>
    </w:r>
    <w:proofErr w:type="spellStart"/>
    <w:r w:rsidR="005205BB">
      <w:t>OzL.Pro</w:t>
    </w:r>
    <w:proofErr w:type="spellEnd"/>
    <w:r w:rsidR="005205BB">
      <w:t>/</w:t>
    </w:r>
    <w:proofErr w:type="spellStart"/>
    <w:r w:rsidR="005205BB">
      <w:t>ExCom</w:t>
    </w:r>
    <w:proofErr w:type="spellEnd"/>
    <w:r w:rsidR="005205BB">
      <w:t>/88/41</w:t>
    </w:r>
    <w:r>
      <w:fldChar w:fldCharType="end"/>
    </w:r>
  </w:p>
  <w:p w14:paraId="122BF5C6" w14:textId="77777777" w:rsidR="00CF1896" w:rsidRPr="0033525D" w:rsidRDefault="00CF1896"/>
  <w:p w14:paraId="3B807550" w14:textId="77777777" w:rsidR="00CF1896" w:rsidRPr="0033525D" w:rsidRDefault="00CF18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E5E9C44"/>
    <w:lvl w:ilvl="0">
      <w:start w:val="1"/>
      <w:numFmt w:val="decimal"/>
      <w:pStyle w:val="Heading1"/>
      <w:lvlText w:val="%1."/>
      <w:lvlJc w:val="left"/>
      <w:pPr>
        <w:tabs>
          <w:tab w:val="num" w:pos="6380"/>
        </w:tabs>
        <w:ind w:left="6380" w:firstLine="0"/>
      </w:pPr>
    </w:lvl>
    <w:lvl w:ilvl="1">
      <w:start w:val="1"/>
      <w:numFmt w:val="lowerLetter"/>
      <w:pStyle w:val="Heading2"/>
      <w:lvlText w:val="(%2)"/>
      <w:lvlJc w:val="left"/>
      <w:pPr>
        <w:tabs>
          <w:tab w:val="num" w:pos="273"/>
        </w:tabs>
        <w:ind w:left="1713"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960AD3"/>
    <w:multiLevelType w:val="hybridMultilevel"/>
    <w:tmpl w:val="ED3E0E78"/>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D91801"/>
    <w:multiLevelType w:val="hybridMultilevel"/>
    <w:tmpl w:val="660075C0"/>
    <w:lvl w:ilvl="0" w:tplc="54B2B4FA">
      <w:start w:val="1"/>
      <w:numFmt w:val="bullet"/>
      <w:lvlText w:val=""/>
      <w:lvlJc w:val="left"/>
      <w:pPr>
        <w:ind w:left="720" w:hanging="360"/>
      </w:pPr>
      <w:rPr>
        <w:rFonts w:ascii="Symbol" w:hAnsi="Symbol" w:hint="default"/>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53A3DFB"/>
    <w:multiLevelType w:val="hybridMultilevel"/>
    <w:tmpl w:val="8AF2E728"/>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1C44AE"/>
    <w:multiLevelType w:val="hybridMultilevel"/>
    <w:tmpl w:val="F9E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A7FFA"/>
    <w:multiLevelType w:val="hybridMultilevel"/>
    <w:tmpl w:val="56CAE42E"/>
    <w:lvl w:ilvl="0" w:tplc="FDEA83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EC2B01"/>
    <w:multiLevelType w:val="hybridMultilevel"/>
    <w:tmpl w:val="8026B0C6"/>
    <w:lvl w:ilvl="0" w:tplc="34421AAC">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F879A2"/>
    <w:multiLevelType w:val="hybridMultilevel"/>
    <w:tmpl w:val="0106B34C"/>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1"/>
  </w:num>
  <w:num w:numId="18">
    <w:abstractNumId w:val="23"/>
  </w:num>
  <w:num w:numId="19">
    <w:abstractNumId w:val="26"/>
  </w:num>
  <w:num w:numId="20">
    <w:abstractNumId w:val="16"/>
  </w:num>
  <w:num w:numId="21">
    <w:abstractNumId w:val="19"/>
  </w:num>
  <w:num w:numId="22">
    <w:abstractNumId w:val="24"/>
  </w:num>
  <w:num w:numId="23">
    <w:abstractNumId w:val="18"/>
  </w:num>
  <w:num w:numId="24">
    <w:abstractNumId w:val="14"/>
  </w:num>
  <w:num w:numId="25">
    <w:abstractNumId w:val="10"/>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3"/>
  </w:num>
  <w:num w:numId="31">
    <w:abstractNumId w:val="17"/>
  </w:num>
  <w:num w:numId="32">
    <w:abstractNumId w:val="11"/>
  </w:num>
  <w:num w:numId="33">
    <w:abstractNumId w:val="10"/>
    <w:lvlOverride w:ilvl="0">
      <w:startOverride w:val="1"/>
    </w:lvlOverride>
    <w:lvlOverride w:ilvl="1">
      <w:startOverride w:val="2"/>
    </w:lvlOverride>
  </w:num>
  <w:num w:numId="34">
    <w:abstractNumId w:val="10"/>
    <w:lvlOverride w:ilvl="0">
      <w:startOverride w:val="1"/>
    </w:lvlOverride>
    <w:lvlOverride w:ilvl="1">
      <w:startOverride w:val="2"/>
    </w:lvlOverride>
  </w:num>
  <w:num w:numId="35">
    <w:abstractNumId w:val="10"/>
    <w:lvlOverride w:ilvl="0">
      <w:startOverride w:val="1"/>
    </w:lvlOverride>
    <w:lvlOverride w:ilvl="1">
      <w:startOverride w:val="1"/>
    </w:lvlOverride>
    <w:lvlOverride w:ilvl="2">
      <w:startOverride w:val="1"/>
    </w:lvlOverride>
    <w:lvlOverride w:ilvl="3">
      <w:startOverride w:val="2"/>
    </w:lvlOverride>
  </w:num>
  <w:num w:numId="3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FF44A5"/>
    <w:rsid w:val="00000FED"/>
    <w:rsid w:val="000014EA"/>
    <w:rsid w:val="0000434E"/>
    <w:rsid w:val="00004E68"/>
    <w:rsid w:val="00010C11"/>
    <w:rsid w:val="000211A9"/>
    <w:rsid w:val="00031260"/>
    <w:rsid w:val="0003681A"/>
    <w:rsid w:val="000372B7"/>
    <w:rsid w:val="0003735B"/>
    <w:rsid w:val="00040683"/>
    <w:rsid w:val="0004449A"/>
    <w:rsid w:val="00047ADD"/>
    <w:rsid w:val="00050F6E"/>
    <w:rsid w:val="000559B6"/>
    <w:rsid w:val="00061EC2"/>
    <w:rsid w:val="00062C74"/>
    <w:rsid w:val="00064A23"/>
    <w:rsid w:val="00066CE8"/>
    <w:rsid w:val="00070C2C"/>
    <w:rsid w:val="00072761"/>
    <w:rsid w:val="00072B15"/>
    <w:rsid w:val="00073B80"/>
    <w:rsid w:val="00080ED0"/>
    <w:rsid w:val="00081394"/>
    <w:rsid w:val="00081DEC"/>
    <w:rsid w:val="00084459"/>
    <w:rsid w:val="00085B8F"/>
    <w:rsid w:val="00090481"/>
    <w:rsid w:val="0009504D"/>
    <w:rsid w:val="000A259C"/>
    <w:rsid w:val="000A3826"/>
    <w:rsid w:val="000A6C26"/>
    <w:rsid w:val="000C22E7"/>
    <w:rsid w:val="000C2A32"/>
    <w:rsid w:val="000C3CD0"/>
    <w:rsid w:val="000D52A4"/>
    <w:rsid w:val="000E07BC"/>
    <w:rsid w:val="000F0F33"/>
    <w:rsid w:val="000F1CD4"/>
    <w:rsid w:val="000F38B5"/>
    <w:rsid w:val="000F4103"/>
    <w:rsid w:val="000F4600"/>
    <w:rsid w:val="000F70A7"/>
    <w:rsid w:val="00103429"/>
    <w:rsid w:val="0010757E"/>
    <w:rsid w:val="00107C14"/>
    <w:rsid w:val="00112EDE"/>
    <w:rsid w:val="0011304F"/>
    <w:rsid w:val="00113CCA"/>
    <w:rsid w:val="001168B5"/>
    <w:rsid w:val="00122E4D"/>
    <w:rsid w:val="00122F25"/>
    <w:rsid w:val="0013148F"/>
    <w:rsid w:val="00135980"/>
    <w:rsid w:val="00142ED7"/>
    <w:rsid w:val="00146893"/>
    <w:rsid w:val="0014764C"/>
    <w:rsid w:val="0015040C"/>
    <w:rsid w:val="00154E10"/>
    <w:rsid w:val="001632B7"/>
    <w:rsid w:val="001644CD"/>
    <w:rsid w:val="00164719"/>
    <w:rsid w:val="00166FC4"/>
    <w:rsid w:val="001677AC"/>
    <w:rsid w:val="00172F7E"/>
    <w:rsid w:val="001748E8"/>
    <w:rsid w:val="001749FD"/>
    <w:rsid w:val="001804EA"/>
    <w:rsid w:val="00190932"/>
    <w:rsid w:val="00190A61"/>
    <w:rsid w:val="001A1CC2"/>
    <w:rsid w:val="001A2215"/>
    <w:rsid w:val="001A3342"/>
    <w:rsid w:val="001A3E3D"/>
    <w:rsid w:val="001A7049"/>
    <w:rsid w:val="001B1A21"/>
    <w:rsid w:val="001B1A29"/>
    <w:rsid w:val="001B1E40"/>
    <w:rsid w:val="001B21EF"/>
    <w:rsid w:val="001C091E"/>
    <w:rsid w:val="001C145A"/>
    <w:rsid w:val="001C436A"/>
    <w:rsid w:val="001C59A6"/>
    <w:rsid w:val="001C6AB6"/>
    <w:rsid w:val="001C764E"/>
    <w:rsid w:val="001D308C"/>
    <w:rsid w:val="001E1052"/>
    <w:rsid w:val="001E21B1"/>
    <w:rsid w:val="001E2F93"/>
    <w:rsid w:val="001E3AB8"/>
    <w:rsid w:val="001E4554"/>
    <w:rsid w:val="001E61E5"/>
    <w:rsid w:val="001F18A9"/>
    <w:rsid w:val="001F2159"/>
    <w:rsid w:val="00201639"/>
    <w:rsid w:val="00201B5E"/>
    <w:rsid w:val="002039E4"/>
    <w:rsid w:val="00210B8B"/>
    <w:rsid w:val="00214863"/>
    <w:rsid w:val="002156B4"/>
    <w:rsid w:val="00221A7D"/>
    <w:rsid w:val="00224FCD"/>
    <w:rsid w:val="00243208"/>
    <w:rsid w:val="0025192D"/>
    <w:rsid w:val="00253222"/>
    <w:rsid w:val="002627D3"/>
    <w:rsid w:val="00262847"/>
    <w:rsid w:val="00266B29"/>
    <w:rsid w:val="00273376"/>
    <w:rsid w:val="00281BB2"/>
    <w:rsid w:val="002835FB"/>
    <w:rsid w:val="002934F5"/>
    <w:rsid w:val="002A1577"/>
    <w:rsid w:val="002A2083"/>
    <w:rsid w:val="002A5BBF"/>
    <w:rsid w:val="002A7FF7"/>
    <w:rsid w:val="002B254E"/>
    <w:rsid w:val="002B524B"/>
    <w:rsid w:val="002B72E9"/>
    <w:rsid w:val="002C2A09"/>
    <w:rsid w:val="002C7998"/>
    <w:rsid w:val="002E3F86"/>
    <w:rsid w:val="002F1E53"/>
    <w:rsid w:val="002F2C09"/>
    <w:rsid w:val="002F2CAA"/>
    <w:rsid w:val="002F3AFA"/>
    <w:rsid w:val="0030052C"/>
    <w:rsid w:val="00303F91"/>
    <w:rsid w:val="00310802"/>
    <w:rsid w:val="00311327"/>
    <w:rsid w:val="0031535C"/>
    <w:rsid w:val="003163A4"/>
    <w:rsid w:val="0032532B"/>
    <w:rsid w:val="00327EDF"/>
    <w:rsid w:val="003306E1"/>
    <w:rsid w:val="003320E4"/>
    <w:rsid w:val="0033525D"/>
    <w:rsid w:val="003414F3"/>
    <w:rsid w:val="00347650"/>
    <w:rsid w:val="00347ABC"/>
    <w:rsid w:val="0035613E"/>
    <w:rsid w:val="003563E6"/>
    <w:rsid w:val="0036214E"/>
    <w:rsid w:val="00363EE9"/>
    <w:rsid w:val="00370B40"/>
    <w:rsid w:val="00376128"/>
    <w:rsid w:val="0037742E"/>
    <w:rsid w:val="00377D56"/>
    <w:rsid w:val="0038245A"/>
    <w:rsid w:val="00382710"/>
    <w:rsid w:val="003840E6"/>
    <w:rsid w:val="00385A5A"/>
    <w:rsid w:val="00385CFC"/>
    <w:rsid w:val="00385D3D"/>
    <w:rsid w:val="003862E9"/>
    <w:rsid w:val="0039337A"/>
    <w:rsid w:val="003A3189"/>
    <w:rsid w:val="003A3CA7"/>
    <w:rsid w:val="003B330E"/>
    <w:rsid w:val="003B33BD"/>
    <w:rsid w:val="003B569D"/>
    <w:rsid w:val="003B6116"/>
    <w:rsid w:val="003B7973"/>
    <w:rsid w:val="003C1CA8"/>
    <w:rsid w:val="003C3C0E"/>
    <w:rsid w:val="003D42A6"/>
    <w:rsid w:val="003D4F21"/>
    <w:rsid w:val="003D4FAC"/>
    <w:rsid w:val="003D63E5"/>
    <w:rsid w:val="003E6AB2"/>
    <w:rsid w:val="003E7906"/>
    <w:rsid w:val="003F32FB"/>
    <w:rsid w:val="003F3C50"/>
    <w:rsid w:val="003F40E9"/>
    <w:rsid w:val="003F5BD2"/>
    <w:rsid w:val="003F63F3"/>
    <w:rsid w:val="003F7736"/>
    <w:rsid w:val="00406A6A"/>
    <w:rsid w:val="00406B22"/>
    <w:rsid w:val="004070E8"/>
    <w:rsid w:val="00407C3F"/>
    <w:rsid w:val="00407C76"/>
    <w:rsid w:val="00424E74"/>
    <w:rsid w:val="004328A7"/>
    <w:rsid w:val="00434C74"/>
    <w:rsid w:val="00435D14"/>
    <w:rsid w:val="00444256"/>
    <w:rsid w:val="00450AAD"/>
    <w:rsid w:val="00452C28"/>
    <w:rsid w:val="0045354D"/>
    <w:rsid w:val="00456EB4"/>
    <w:rsid w:val="00460436"/>
    <w:rsid w:val="00463F67"/>
    <w:rsid w:val="004647A8"/>
    <w:rsid w:val="004718F3"/>
    <w:rsid w:val="0047232E"/>
    <w:rsid w:val="00475040"/>
    <w:rsid w:val="00484480"/>
    <w:rsid w:val="00487224"/>
    <w:rsid w:val="0049221E"/>
    <w:rsid w:val="00493D40"/>
    <w:rsid w:val="004967B6"/>
    <w:rsid w:val="004A0F0F"/>
    <w:rsid w:val="004A277D"/>
    <w:rsid w:val="004A504B"/>
    <w:rsid w:val="004A6911"/>
    <w:rsid w:val="004B0F96"/>
    <w:rsid w:val="004B54E0"/>
    <w:rsid w:val="004B7384"/>
    <w:rsid w:val="004C24B1"/>
    <w:rsid w:val="004C4269"/>
    <w:rsid w:val="004C54C2"/>
    <w:rsid w:val="004D6236"/>
    <w:rsid w:val="004D7F90"/>
    <w:rsid w:val="004E4DBB"/>
    <w:rsid w:val="004E4E41"/>
    <w:rsid w:val="004E7F9C"/>
    <w:rsid w:val="004F233B"/>
    <w:rsid w:val="004F3493"/>
    <w:rsid w:val="004F5143"/>
    <w:rsid w:val="005036C1"/>
    <w:rsid w:val="0050601A"/>
    <w:rsid w:val="00506C5F"/>
    <w:rsid w:val="00510DFA"/>
    <w:rsid w:val="00511F6E"/>
    <w:rsid w:val="00512B09"/>
    <w:rsid w:val="005205BB"/>
    <w:rsid w:val="005220ED"/>
    <w:rsid w:val="00533796"/>
    <w:rsid w:val="00537343"/>
    <w:rsid w:val="005501E5"/>
    <w:rsid w:val="00551326"/>
    <w:rsid w:val="00555D75"/>
    <w:rsid w:val="00556DA6"/>
    <w:rsid w:val="00556FBF"/>
    <w:rsid w:val="00560DF0"/>
    <w:rsid w:val="00561692"/>
    <w:rsid w:val="0056759C"/>
    <w:rsid w:val="005730F4"/>
    <w:rsid w:val="00583E10"/>
    <w:rsid w:val="00592DF3"/>
    <w:rsid w:val="0059513E"/>
    <w:rsid w:val="005A6AA4"/>
    <w:rsid w:val="005A6D9F"/>
    <w:rsid w:val="005B1934"/>
    <w:rsid w:val="005B48FF"/>
    <w:rsid w:val="005C3AF7"/>
    <w:rsid w:val="005D363F"/>
    <w:rsid w:val="005E57E9"/>
    <w:rsid w:val="005E7DFB"/>
    <w:rsid w:val="005F0AE5"/>
    <w:rsid w:val="005F315E"/>
    <w:rsid w:val="005F3BE7"/>
    <w:rsid w:val="005F6B5A"/>
    <w:rsid w:val="005F6EBF"/>
    <w:rsid w:val="0060110F"/>
    <w:rsid w:val="00603045"/>
    <w:rsid w:val="00604C15"/>
    <w:rsid w:val="00606014"/>
    <w:rsid w:val="00611259"/>
    <w:rsid w:val="00611DE3"/>
    <w:rsid w:val="006158D5"/>
    <w:rsid w:val="00616F1E"/>
    <w:rsid w:val="00620546"/>
    <w:rsid w:val="00625D83"/>
    <w:rsid w:val="00633818"/>
    <w:rsid w:val="00645DB5"/>
    <w:rsid w:val="00652A7F"/>
    <w:rsid w:val="00654B2D"/>
    <w:rsid w:val="006623E7"/>
    <w:rsid w:val="00662B80"/>
    <w:rsid w:val="00664867"/>
    <w:rsid w:val="00665798"/>
    <w:rsid w:val="00670F6C"/>
    <w:rsid w:val="00673B0F"/>
    <w:rsid w:val="00675108"/>
    <w:rsid w:val="006852C7"/>
    <w:rsid w:val="006852CE"/>
    <w:rsid w:val="00692D14"/>
    <w:rsid w:val="006932B3"/>
    <w:rsid w:val="006B00AD"/>
    <w:rsid w:val="006B6081"/>
    <w:rsid w:val="006B65C7"/>
    <w:rsid w:val="006B7FE7"/>
    <w:rsid w:val="006C1727"/>
    <w:rsid w:val="006C32FD"/>
    <w:rsid w:val="006C39CE"/>
    <w:rsid w:val="006C5718"/>
    <w:rsid w:val="006C7EC2"/>
    <w:rsid w:val="006D0FCC"/>
    <w:rsid w:val="006D21F5"/>
    <w:rsid w:val="006D4E9D"/>
    <w:rsid w:val="006D5C68"/>
    <w:rsid w:val="006D71DD"/>
    <w:rsid w:val="006D7300"/>
    <w:rsid w:val="006E0D37"/>
    <w:rsid w:val="006E126D"/>
    <w:rsid w:val="006E1FC3"/>
    <w:rsid w:val="006E4C73"/>
    <w:rsid w:val="006E5609"/>
    <w:rsid w:val="006E7AB7"/>
    <w:rsid w:val="006F0016"/>
    <w:rsid w:val="006F1F37"/>
    <w:rsid w:val="006F4D8F"/>
    <w:rsid w:val="00700CA2"/>
    <w:rsid w:val="00702CF8"/>
    <w:rsid w:val="00704CE9"/>
    <w:rsid w:val="0070616B"/>
    <w:rsid w:val="00706295"/>
    <w:rsid w:val="007065D0"/>
    <w:rsid w:val="00706FDA"/>
    <w:rsid w:val="007108C7"/>
    <w:rsid w:val="00711F9A"/>
    <w:rsid w:val="00713810"/>
    <w:rsid w:val="007303A5"/>
    <w:rsid w:val="007303B7"/>
    <w:rsid w:val="00730B3E"/>
    <w:rsid w:val="0073420B"/>
    <w:rsid w:val="0074760E"/>
    <w:rsid w:val="00754ABA"/>
    <w:rsid w:val="007738B2"/>
    <w:rsid w:val="00773958"/>
    <w:rsid w:val="00782B0D"/>
    <w:rsid w:val="0078588B"/>
    <w:rsid w:val="00787D40"/>
    <w:rsid w:val="00794218"/>
    <w:rsid w:val="007A1546"/>
    <w:rsid w:val="007A228C"/>
    <w:rsid w:val="007A23F4"/>
    <w:rsid w:val="007A368E"/>
    <w:rsid w:val="007A5868"/>
    <w:rsid w:val="007B04CE"/>
    <w:rsid w:val="007B40F2"/>
    <w:rsid w:val="007B4304"/>
    <w:rsid w:val="007B4C1E"/>
    <w:rsid w:val="007B6871"/>
    <w:rsid w:val="007B7A2F"/>
    <w:rsid w:val="007C3D33"/>
    <w:rsid w:val="007C64FA"/>
    <w:rsid w:val="007D18D3"/>
    <w:rsid w:val="007D294A"/>
    <w:rsid w:val="007D47D2"/>
    <w:rsid w:val="007D4DC0"/>
    <w:rsid w:val="007D6EC0"/>
    <w:rsid w:val="007D7E1D"/>
    <w:rsid w:val="007E07D0"/>
    <w:rsid w:val="007F4201"/>
    <w:rsid w:val="007F5391"/>
    <w:rsid w:val="007F7E1D"/>
    <w:rsid w:val="008028C3"/>
    <w:rsid w:val="00803B66"/>
    <w:rsid w:val="008142FF"/>
    <w:rsid w:val="008228F3"/>
    <w:rsid w:val="008267B3"/>
    <w:rsid w:val="00826E67"/>
    <w:rsid w:val="00831979"/>
    <w:rsid w:val="008360EC"/>
    <w:rsid w:val="00845CC6"/>
    <w:rsid w:val="00846B58"/>
    <w:rsid w:val="00847BBD"/>
    <w:rsid w:val="00851352"/>
    <w:rsid w:val="00857077"/>
    <w:rsid w:val="00863230"/>
    <w:rsid w:val="00865BD0"/>
    <w:rsid w:val="008717D8"/>
    <w:rsid w:val="0087215C"/>
    <w:rsid w:val="00875D25"/>
    <w:rsid w:val="00880184"/>
    <w:rsid w:val="00880E35"/>
    <w:rsid w:val="008822C6"/>
    <w:rsid w:val="008869E9"/>
    <w:rsid w:val="008875FE"/>
    <w:rsid w:val="00887F8E"/>
    <w:rsid w:val="00896234"/>
    <w:rsid w:val="00897E43"/>
    <w:rsid w:val="008A3F23"/>
    <w:rsid w:val="008A4A3A"/>
    <w:rsid w:val="008B70FB"/>
    <w:rsid w:val="008C36D0"/>
    <w:rsid w:val="008C424C"/>
    <w:rsid w:val="008C5738"/>
    <w:rsid w:val="008C7EAD"/>
    <w:rsid w:val="008D0CFE"/>
    <w:rsid w:val="008D3CD7"/>
    <w:rsid w:val="008D6152"/>
    <w:rsid w:val="008E09F0"/>
    <w:rsid w:val="008E7BA9"/>
    <w:rsid w:val="008F0F81"/>
    <w:rsid w:val="008F27BF"/>
    <w:rsid w:val="008F3192"/>
    <w:rsid w:val="008F3CBE"/>
    <w:rsid w:val="009142EC"/>
    <w:rsid w:val="009154C3"/>
    <w:rsid w:val="00922DF9"/>
    <w:rsid w:val="00923540"/>
    <w:rsid w:val="00926767"/>
    <w:rsid w:val="00926842"/>
    <w:rsid w:val="00931298"/>
    <w:rsid w:val="009361D5"/>
    <w:rsid w:val="00941CD8"/>
    <w:rsid w:val="009428A4"/>
    <w:rsid w:val="00942ADE"/>
    <w:rsid w:val="00944ACE"/>
    <w:rsid w:val="00952DBD"/>
    <w:rsid w:val="00953503"/>
    <w:rsid w:val="009659F4"/>
    <w:rsid w:val="00970D60"/>
    <w:rsid w:val="0097178B"/>
    <w:rsid w:val="009759A8"/>
    <w:rsid w:val="00986D26"/>
    <w:rsid w:val="00991FCB"/>
    <w:rsid w:val="0099390E"/>
    <w:rsid w:val="009960E5"/>
    <w:rsid w:val="009A18AD"/>
    <w:rsid w:val="009A3714"/>
    <w:rsid w:val="009A7ADC"/>
    <w:rsid w:val="009B0D30"/>
    <w:rsid w:val="009B17D7"/>
    <w:rsid w:val="009B6758"/>
    <w:rsid w:val="009C19B7"/>
    <w:rsid w:val="009C5ABB"/>
    <w:rsid w:val="009C6A12"/>
    <w:rsid w:val="009D7C51"/>
    <w:rsid w:val="009E1765"/>
    <w:rsid w:val="009E196C"/>
    <w:rsid w:val="009E62F8"/>
    <w:rsid w:val="009E6D54"/>
    <w:rsid w:val="009F19C2"/>
    <w:rsid w:val="009F36BF"/>
    <w:rsid w:val="00A017EF"/>
    <w:rsid w:val="00A054C2"/>
    <w:rsid w:val="00A07982"/>
    <w:rsid w:val="00A111B6"/>
    <w:rsid w:val="00A26D27"/>
    <w:rsid w:val="00A30751"/>
    <w:rsid w:val="00A343FC"/>
    <w:rsid w:val="00A376EE"/>
    <w:rsid w:val="00A42A99"/>
    <w:rsid w:val="00A50D54"/>
    <w:rsid w:val="00A5151A"/>
    <w:rsid w:val="00A51B99"/>
    <w:rsid w:val="00A57E0A"/>
    <w:rsid w:val="00A6107F"/>
    <w:rsid w:val="00A6663D"/>
    <w:rsid w:val="00A767F7"/>
    <w:rsid w:val="00A779A2"/>
    <w:rsid w:val="00A823F6"/>
    <w:rsid w:val="00A8468A"/>
    <w:rsid w:val="00A8719E"/>
    <w:rsid w:val="00A91126"/>
    <w:rsid w:val="00A937A6"/>
    <w:rsid w:val="00A976A3"/>
    <w:rsid w:val="00AA0A89"/>
    <w:rsid w:val="00AA37A5"/>
    <w:rsid w:val="00AA6429"/>
    <w:rsid w:val="00AC01AA"/>
    <w:rsid w:val="00AC257E"/>
    <w:rsid w:val="00AC4DC6"/>
    <w:rsid w:val="00AC4F72"/>
    <w:rsid w:val="00AD3152"/>
    <w:rsid w:val="00AE5845"/>
    <w:rsid w:val="00AF389C"/>
    <w:rsid w:val="00AF741A"/>
    <w:rsid w:val="00B01ADB"/>
    <w:rsid w:val="00B04161"/>
    <w:rsid w:val="00B056F9"/>
    <w:rsid w:val="00B11E3D"/>
    <w:rsid w:val="00B12EBA"/>
    <w:rsid w:val="00B17E82"/>
    <w:rsid w:val="00B215D9"/>
    <w:rsid w:val="00B311C7"/>
    <w:rsid w:val="00B4575A"/>
    <w:rsid w:val="00B47551"/>
    <w:rsid w:val="00B5110C"/>
    <w:rsid w:val="00B56A9D"/>
    <w:rsid w:val="00B575BA"/>
    <w:rsid w:val="00B6673F"/>
    <w:rsid w:val="00B6772D"/>
    <w:rsid w:val="00B71608"/>
    <w:rsid w:val="00B73938"/>
    <w:rsid w:val="00B73992"/>
    <w:rsid w:val="00B76429"/>
    <w:rsid w:val="00B764AC"/>
    <w:rsid w:val="00B81733"/>
    <w:rsid w:val="00B85BB8"/>
    <w:rsid w:val="00B86471"/>
    <w:rsid w:val="00B90199"/>
    <w:rsid w:val="00B956D4"/>
    <w:rsid w:val="00B9672D"/>
    <w:rsid w:val="00B97446"/>
    <w:rsid w:val="00BA7432"/>
    <w:rsid w:val="00BB16AF"/>
    <w:rsid w:val="00BB2764"/>
    <w:rsid w:val="00BB4044"/>
    <w:rsid w:val="00BC1AA0"/>
    <w:rsid w:val="00BC2495"/>
    <w:rsid w:val="00BC5D84"/>
    <w:rsid w:val="00BC7EB9"/>
    <w:rsid w:val="00BD2643"/>
    <w:rsid w:val="00BD393A"/>
    <w:rsid w:val="00BD56B1"/>
    <w:rsid w:val="00BD6558"/>
    <w:rsid w:val="00BD72A4"/>
    <w:rsid w:val="00BD7BCE"/>
    <w:rsid w:val="00BE0465"/>
    <w:rsid w:val="00BF2AC8"/>
    <w:rsid w:val="00BF2F76"/>
    <w:rsid w:val="00BF3022"/>
    <w:rsid w:val="00BF3214"/>
    <w:rsid w:val="00BF338D"/>
    <w:rsid w:val="00BF3CB7"/>
    <w:rsid w:val="00BF5573"/>
    <w:rsid w:val="00C05EC2"/>
    <w:rsid w:val="00C06AD8"/>
    <w:rsid w:val="00C1030C"/>
    <w:rsid w:val="00C13A04"/>
    <w:rsid w:val="00C15867"/>
    <w:rsid w:val="00C16566"/>
    <w:rsid w:val="00C2296D"/>
    <w:rsid w:val="00C23155"/>
    <w:rsid w:val="00C2763B"/>
    <w:rsid w:val="00C30E33"/>
    <w:rsid w:val="00C37CC8"/>
    <w:rsid w:val="00C40C41"/>
    <w:rsid w:val="00C45885"/>
    <w:rsid w:val="00C4664C"/>
    <w:rsid w:val="00C50F22"/>
    <w:rsid w:val="00C537C1"/>
    <w:rsid w:val="00C54343"/>
    <w:rsid w:val="00C57971"/>
    <w:rsid w:val="00C60287"/>
    <w:rsid w:val="00C61021"/>
    <w:rsid w:val="00C62198"/>
    <w:rsid w:val="00C65BD7"/>
    <w:rsid w:val="00C71CB6"/>
    <w:rsid w:val="00C73E65"/>
    <w:rsid w:val="00C75E11"/>
    <w:rsid w:val="00C76BA4"/>
    <w:rsid w:val="00C83A48"/>
    <w:rsid w:val="00C85865"/>
    <w:rsid w:val="00C85E85"/>
    <w:rsid w:val="00C970DF"/>
    <w:rsid w:val="00CA2EAE"/>
    <w:rsid w:val="00CA406E"/>
    <w:rsid w:val="00CA4AC1"/>
    <w:rsid w:val="00CB0316"/>
    <w:rsid w:val="00CB0B11"/>
    <w:rsid w:val="00CB426A"/>
    <w:rsid w:val="00CB5354"/>
    <w:rsid w:val="00CC0B13"/>
    <w:rsid w:val="00CC3C9E"/>
    <w:rsid w:val="00CC458D"/>
    <w:rsid w:val="00CC6A14"/>
    <w:rsid w:val="00CC70A3"/>
    <w:rsid w:val="00CD4442"/>
    <w:rsid w:val="00CD53C3"/>
    <w:rsid w:val="00CD574E"/>
    <w:rsid w:val="00CD6344"/>
    <w:rsid w:val="00CE0269"/>
    <w:rsid w:val="00CE37AD"/>
    <w:rsid w:val="00CE4C22"/>
    <w:rsid w:val="00CE76E5"/>
    <w:rsid w:val="00CF1896"/>
    <w:rsid w:val="00CF3DFF"/>
    <w:rsid w:val="00CF41EC"/>
    <w:rsid w:val="00CF5D04"/>
    <w:rsid w:val="00D02437"/>
    <w:rsid w:val="00D04DE4"/>
    <w:rsid w:val="00D063F1"/>
    <w:rsid w:val="00D1085F"/>
    <w:rsid w:val="00D13DF3"/>
    <w:rsid w:val="00D14F22"/>
    <w:rsid w:val="00D153DD"/>
    <w:rsid w:val="00D204B1"/>
    <w:rsid w:val="00D27940"/>
    <w:rsid w:val="00D31EFA"/>
    <w:rsid w:val="00D4741C"/>
    <w:rsid w:val="00D52DB0"/>
    <w:rsid w:val="00D5630A"/>
    <w:rsid w:val="00D57918"/>
    <w:rsid w:val="00D6012E"/>
    <w:rsid w:val="00D61A22"/>
    <w:rsid w:val="00D731CC"/>
    <w:rsid w:val="00D73DC6"/>
    <w:rsid w:val="00D73EED"/>
    <w:rsid w:val="00D74C1A"/>
    <w:rsid w:val="00D754C1"/>
    <w:rsid w:val="00D76417"/>
    <w:rsid w:val="00D77393"/>
    <w:rsid w:val="00D77A35"/>
    <w:rsid w:val="00D81B3E"/>
    <w:rsid w:val="00D90C70"/>
    <w:rsid w:val="00D90E49"/>
    <w:rsid w:val="00D96ADE"/>
    <w:rsid w:val="00D96BCE"/>
    <w:rsid w:val="00DA0CE2"/>
    <w:rsid w:val="00DA19CC"/>
    <w:rsid w:val="00DB3E06"/>
    <w:rsid w:val="00DB45DA"/>
    <w:rsid w:val="00DC6A10"/>
    <w:rsid w:val="00DD6FF7"/>
    <w:rsid w:val="00DE045C"/>
    <w:rsid w:val="00DE4561"/>
    <w:rsid w:val="00DE6166"/>
    <w:rsid w:val="00DE657E"/>
    <w:rsid w:val="00DF4106"/>
    <w:rsid w:val="00DF4704"/>
    <w:rsid w:val="00E024AA"/>
    <w:rsid w:val="00E14BB7"/>
    <w:rsid w:val="00E15C77"/>
    <w:rsid w:val="00E2022F"/>
    <w:rsid w:val="00E20C00"/>
    <w:rsid w:val="00E2487F"/>
    <w:rsid w:val="00E250F1"/>
    <w:rsid w:val="00E3550D"/>
    <w:rsid w:val="00E455FD"/>
    <w:rsid w:val="00E52838"/>
    <w:rsid w:val="00E614E0"/>
    <w:rsid w:val="00E63F75"/>
    <w:rsid w:val="00E73F7F"/>
    <w:rsid w:val="00E77440"/>
    <w:rsid w:val="00E85409"/>
    <w:rsid w:val="00E863CF"/>
    <w:rsid w:val="00E94144"/>
    <w:rsid w:val="00E963BE"/>
    <w:rsid w:val="00EA2C0B"/>
    <w:rsid w:val="00EA429F"/>
    <w:rsid w:val="00EA4F9E"/>
    <w:rsid w:val="00EA63CA"/>
    <w:rsid w:val="00EA6D3B"/>
    <w:rsid w:val="00EB00AD"/>
    <w:rsid w:val="00EB136C"/>
    <w:rsid w:val="00EB2720"/>
    <w:rsid w:val="00EB480E"/>
    <w:rsid w:val="00EB50FA"/>
    <w:rsid w:val="00EB5C37"/>
    <w:rsid w:val="00EB5EC6"/>
    <w:rsid w:val="00EB77D9"/>
    <w:rsid w:val="00EB7FC9"/>
    <w:rsid w:val="00EC5A10"/>
    <w:rsid w:val="00ED13A9"/>
    <w:rsid w:val="00ED27E8"/>
    <w:rsid w:val="00ED7137"/>
    <w:rsid w:val="00EE6FB5"/>
    <w:rsid w:val="00EF06EA"/>
    <w:rsid w:val="00F069C7"/>
    <w:rsid w:val="00F154DE"/>
    <w:rsid w:val="00F17570"/>
    <w:rsid w:val="00F21088"/>
    <w:rsid w:val="00F22C50"/>
    <w:rsid w:val="00F312C9"/>
    <w:rsid w:val="00F327E7"/>
    <w:rsid w:val="00F35746"/>
    <w:rsid w:val="00F36D41"/>
    <w:rsid w:val="00F37653"/>
    <w:rsid w:val="00F447C7"/>
    <w:rsid w:val="00F451D7"/>
    <w:rsid w:val="00F453F7"/>
    <w:rsid w:val="00F459B4"/>
    <w:rsid w:val="00F45D0D"/>
    <w:rsid w:val="00F5211B"/>
    <w:rsid w:val="00F5433A"/>
    <w:rsid w:val="00F554A9"/>
    <w:rsid w:val="00F71071"/>
    <w:rsid w:val="00F711A2"/>
    <w:rsid w:val="00F716FD"/>
    <w:rsid w:val="00F80355"/>
    <w:rsid w:val="00F87C43"/>
    <w:rsid w:val="00F9149C"/>
    <w:rsid w:val="00FA00A1"/>
    <w:rsid w:val="00FA5722"/>
    <w:rsid w:val="00FA7CA3"/>
    <w:rsid w:val="00FB0C81"/>
    <w:rsid w:val="00FC2200"/>
    <w:rsid w:val="00FC2540"/>
    <w:rsid w:val="00FC3B8F"/>
    <w:rsid w:val="00FD2B8F"/>
    <w:rsid w:val="00FE3BB8"/>
    <w:rsid w:val="00FF0204"/>
    <w:rsid w:val="00FF3AED"/>
    <w:rsid w:val="00FF44A5"/>
    <w:rsid w:val="00FF45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DE70B"/>
  <w15:docId w15:val="{D222DA4E-367F-483D-920F-583B9E76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tabs>
        <w:tab w:val="clear" w:pos="273"/>
        <w:tab w:val="num" w:pos="0"/>
      </w:tabs>
      <w:spacing w:after="240"/>
      <w:ind w:left="14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paragraph" w:styleId="ListParagraph">
    <w:name w:val="List Paragraph"/>
    <w:aliases w:val="Bullet OSM,Bullets,CORE-1.1.1,Dot pt,Heading 2_sj,List Paragraph (numbered (a)),List Paragraph1,List Paragraph11,Numbered Para 1,Proposal Bullet List,Report Para,Resume Title,TOC style,Table,WB Para,WinDForce-Letter,bullets,d_bodyb,L"/>
    <w:basedOn w:val="Normal"/>
    <w:link w:val="ListParagraphChar"/>
    <w:uiPriority w:val="34"/>
    <w:qFormat/>
    <w:rsid w:val="00A343FC"/>
    <w:pPr>
      <w:ind w:left="720"/>
      <w:contextualSpacing/>
    </w:pPr>
    <w:rPr>
      <w:lang w:val="en-GB"/>
    </w:rPr>
  </w:style>
  <w:style w:type="paragraph" w:styleId="Revision">
    <w:name w:val="Revision"/>
    <w:hidden/>
    <w:uiPriority w:val="99"/>
    <w:semiHidden/>
    <w:rsid w:val="00A343FC"/>
    <w:rPr>
      <w:sz w:val="22"/>
      <w:szCs w:val="22"/>
      <w:lang w:val="en-GB"/>
    </w:rPr>
  </w:style>
  <w:style w:type="character" w:customStyle="1" w:styleId="ListParagraphChar">
    <w:name w:val="List Paragraph Char"/>
    <w:aliases w:val="Bullet OSM Char,Bullets Char,CORE-1.1.1 Char,Dot pt Char,Heading 2_sj Char,List Paragraph (numbered (a)) Char,List Paragraph1 Char,List Paragraph11 Char,Numbered Para 1 Char,Proposal Bullet List Char,Report Para Char,TOC style Char"/>
    <w:link w:val="ListParagraph"/>
    <w:uiPriority w:val="34"/>
    <w:qFormat/>
    <w:locked/>
    <w:rsid w:val="009E62F8"/>
    <w:rPr>
      <w:sz w:val="22"/>
      <w:szCs w:val="22"/>
      <w:lang w:val="en-GB"/>
    </w:rPr>
  </w:style>
  <w:style w:type="paragraph" w:styleId="NormalWeb">
    <w:name w:val="Normal (Web)"/>
    <w:basedOn w:val="Normal"/>
    <w:uiPriority w:val="99"/>
    <w:semiHidden/>
    <w:unhideWhenUsed/>
    <w:rsid w:val="00172F7E"/>
    <w:pPr>
      <w:spacing w:before="100" w:beforeAutospacing="1" w:after="100" w:afterAutospacing="1"/>
      <w:jc w:val="left"/>
    </w:pPr>
    <w:rPr>
      <w:sz w:val="24"/>
      <w:szCs w:val="24"/>
      <w:lang w:eastAsia="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84459"/>
    <w:rPr>
      <w:sz w:val="22"/>
      <w:szCs w:val="22"/>
      <w:lang w:val="en-CA"/>
    </w:rPr>
  </w:style>
  <w:style w:type="character" w:styleId="Strong">
    <w:name w:val="Strong"/>
    <w:basedOn w:val="DefaultParagraphFont"/>
    <w:uiPriority w:val="22"/>
    <w:qFormat/>
    <w:rsid w:val="004647A8"/>
    <w:rPr>
      <w:b/>
      <w:bCs/>
    </w:rPr>
  </w:style>
  <w:style w:type="paragraph" w:styleId="EndnoteText">
    <w:name w:val="endnote text"/>
    <w:basedOn w:val="Normal"/>
    <w:link w:val="EndnoteTextChar"/>
    <w:uiPriority w:val="99"/>
    <w:semiHidden/>
    <w:unhideWhenUsed/>
    <w:rsid w:val="001F18A9"/>
    <w:rPr>
      <w:sz w:val="20"/>
      <w:szCs w:val="20"/>
    </w:rPr>
  </w:style>
  <w:style w:type="character" w:customStyle="1" w:styleId="EndnoteTextChar">
    <w:name w:val="Endnote Text Char"/>
    <w:basedOn w:val="DefaultParagraphFont"/>
    <w:link w:val="EndnoteText"/>
    <w:uiPriority w:val="99"/>
    <w:semiHidden/>
    <w:rsid w:val="001F18A9"/>
    <w:rPr>
      <w:lang w:val="en-CA"/>
    </w:rPr>
  </w:style>
  <w:style w:type="character" w:styleId="EndnoteReference">
    <w:name w:val="endnote reference"/>
    <w:basedOn w:val="DefaultParagraphFont"/>
    <w:uiPriority w:val="99"/>
    <w:semiHidden/>
    <w:unhideWhenUsed/>
    <w:rsid w:val="001F18A9"/>
    <w:rPr>
      <w:vertAlign w:val="superscript"/>
    </w:rPr>
  </w:style>
  <w:style w:type="paragraph" w:customStyle="1" w:styleId="StyleHeading1Para1Heading1CharHeading1Char3CharHeadin">
    <w:name w:val="Style Heading 1Para (1)Heading 1 CharHeading 1 Char3 CharHeadin..."/>
    <w:basedOn w:val="Heading1"/>
    <w:rsid w:val="008822C6"/>
    <w:pPr>
      <w:numPr>
        <w:numId w:val="0"/>
      </w:numPr>
      <w:tabs>
        <w:tab w:val="left" w:pos="720"/>
      </w:tabs>
    </w:pPr>
    <w:rPr>
      <w:szCs w:val="20"/>
      <w:lang w:val="fr-CA"/>
    </w:rPr>
  </w:style>
  <w:style w:type="character" w:customStyle="1" w:styleId="FooterChar">
    <w:name w:val="Footer Char"/>
    <w:basedOn w:val="DefaultParagraphFont"/>
    <w:link w:val="Footer"/>
    <w:rsid w:val="008822C6"/>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419">
      <w:bodyDiv w:val="1"/>
      <w:marLeft w:val="0"/>
      <w:marRight w:val="0"/>
      <w:marTop w:val="0"/>
      <w:marBottom w:val="0"/>
      <w:divBdr>
        <w:top w:val="none" w:sz="0" w:space="0" w:color="auto"/>
        <w:left w:val="none" w:sz="0" w:space="0" w:color="auto"/>
        <w:bottom w:val="none" w:sz="0" w:space="0" w:color="auto"/>
        <w:right w:val="none" w:sz="0" w:space="0" w:color="auto"/>
      </w:divBdr>
    </w:div>
    <w:div w:id="602224765">
      <w:bodyDiv w:val="1"/>
      <w:marLeft w:val="0"/>
      <w:marRight w:val="0"/>
      <w:marTop w:val="0"/>
      <w:marBottom w:val="0"/>
      <w:divBdr>
        <w:top w:val="none" w:sz="0" w:space="0" w:color="auto"/>
        <w:left w:val="none" w:sz="0" w:space="0" w:color="auto"/>
        <w:bottom w:val="none" w:sz="0" w:space="0" w:color="auto"/>
        <w:right w:val="none" w:sz="0" w:space="0" w:color="auto"/>
      </w:divBdr>
    </w:div>
    <w:div w:id="962686699">
      <w:bodyDiv w:val="1"/>
      <w:marLeft w:val="0"/>
      <w:marRight w:val="0"/>
      <w:marTop w:val="0"/>
      <w:marBottom w:val="0"/>
      <w:divBdr>
        <w:top w:val="none" w:sz="0" w:space="0" w:color="auto"/>
        <w:left w:val="none" w:sz="0" w:space="0" w:color="auto"/>
        <w:bottom w:val="none" w:sz="0" w:space="0" w:color="auto"/>
        <w:right w:val="none" w:sz="0" w:space="0" w:color="auto"/>
      </w:divBdr>
    </w:div>
    <w:div w:id="1006128268">
      <w:bodyDiv w:val="1"/>
      <w:marLeft w:val="0"/>
      <w:marRight w:val="0"/>
      <w:marTop w:val="0"/>
      <w:marBottom w:val="0"/>
      <w:divBdr>
        <w:top w:val="none" w:sz="0" w:space="0" w:color="auto"/>
        <w:left w:val="none" w:sz="0" w:space="0" w:color="auto"/>
        <w:bottom w:val="none" w:sz="0" w:space="0" w:color="auto"/>
        <w:right w:val="none" w:sz="0" w:space="0" w:color="auto"/>
      </w:divBdr>
    </w:div>
    <w:div w:id="1105147600">
      <w:bodyDiv w:val="1"/>
      <w:marLeft w:val="0"/>
      <w:marRight w:val="0"/>
      <w:marTop w:val="0"/>
      <w:marBottom w:val="0"/>
      <w:divBdr>
        <w:top w:val="none" w:sz="0" w:space="0" w:color="auto"/>
        <w:left w:val="none" w:sz="0" w:space="0" w:color="auto"/>
        <w:bottom w:val="none" w:sz="0" w:space="0" w:color="auto"/>
        <w:right w:val="none" w:sz="0" w:space="0" w:color="auto"/>
      </w:divBdr>
    </w:div>
    <w:div w:id="1165584310">
      <w:bodyDiv w:val="1"/>
      <w:marLeft w:val="0"/>
      <w:marRight w:val="0"/>
      <w:marTop w:val="0"/>
      <w:marBottom w:val="0"/>
      <w:divBdr>
        <w:top w:val="none" w:sz="0" w:space="0" w:color="auto"/>
        <w:left w:val="none" w:sz="0" w:space="0" w:color="auto"/>
        <w:bottom w:val="none" w:sz="0" w:space="0" w:color="auto"/>
        <w:right w:val="none" w:sz="0" w:space="0" w:color="auto"/>
      </w:divBdr>
    </w:div>
    <w:div w:id="1228999012">
      <w:bodyDiv w:val="1"/>
      <w:marLeft w:val="0"/>
      <w:marRight w:val="0"/>
      <w:marTop w:val="0"/>
      <w:marBottom w:val="0"/>
      <w:divBdr>
        <w:top w:val="none" w:sz="0" w:space="0" w:color="auto"/>
        <w:left w:val="none" w:sz="0" w:space="0" w:color="auto"/>
        <w:bottom w:val="none" w:sz="0" w:space="0" w:color="auto"/>
        <w:right w:val="none" w:sz="0" w:space="0" w:color="auto"/>
      </w:divBdr>
    </w:div>
    <w:div w:id="1339503484">
      <w:bodyDiv w:val="1"/>
      <w:marLeft w:val="0"/>
      <w:marRight w:val="0"/>
      <w:marTop w:val="0"/>
      <w:marBottom w:val="0"/>
      <w:divBdr>
        <w:top w:val="none" w:sz="0" w:space="0" w:color="auto"/>
        <w:left w:val="none" w:sz="0" w:space="0" w:color="auto"/>
        <w:bottom w:val="none" w:sz="0" w:space="0" w:color="auto"/>
        <w:right w:val="none" w:sz="0" w:space="0" w:color="auto"/>
      </w:divBdr>
    </w:div>
    <w:div w:id="1386678134">
      <w:bodyDiv w:val="1"/>
      <w:marLeft w:val="0"/>
      <w:marRight w:val="0"/>
      <w:marTop w:val="0"/>
      <w:marBottom w:val="0"/>
      <w:divBdr>
        <w:top w:val="none" w:sz="0" w:space="0" w:color="auto"/>
        <w:left w:val="none" w:sz="0" w:space="0" w:color="auto"/>
        <w:bottom w:val="none" w:sz="0" w:space="0" w:color="auto"/>
        <w:right w:val="none" w:sz="0" w:space="0" w:color="auto"/>
      </w:divBdr>
    </w:div>
    <w:div w:id="1487435003">
      <w:bodyDiv w:val="1"/>
      <w:marLeft w:val="0"/>
      <w:marRight w:val="0"/>
      <w:marTop w:val="0"/>
      <w:marBottom w:val="0"/>
      <w:divBdr>
        <w:top w:val="none" w:sz="0" w:space="0" w:color="auto"/>
        <w:left w:val="none" w:sz="0" w:space="0" w:color="auto"/>
        <w:bottom w:val="none" w:sz="0" w:space="0" w:color="auto"/>
        <w:right w:val="none" w:sz="0" w:space="0" w:color="auto"/>
      </w:divBdr>
    </w:div>
    <w:div w:id="181017222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886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UNEP/OzL.Pro/ExCom/88/41</Document_x0020_Number>
  </documentManagement>
</p:properties>
</file>

<file path=customXml/itemProps1.xml><?xml version="1.0" encoding="utf-8"?>
<ds:datastoreItem xmlns:ds="http://schemas.openxmlformats.org/officeDocument/2006/customXml" ds:itemID="{77042431-0B48-4FDF-B19F-A1B2BCF1AEC1}"/>
</file>

<file path=customXml/itemProps2.xml><?xml version="1.0" encoding="utf-8"?>
<ds:datastoreItem xmlns:ds="http://schemas.openxmlformats.org/officeDocument/2006/customXml" ds:itemID="{98881B1B-7A1D-4413-8885-BC8713886549}"/>
</file>

<file path=customXml/itemProps3.xml><?xml version="1.0" encoding="utf-8"?>
<ds:datastoreItem xmlns:ds="http://schemas.openxmlformats.org/officeDocument/2006/customXml" ds:itemID="{8B694244-4489-4C22-AE3C-1BE5E12810F6}"/>
</file>

<file path=customXml/itemProps4.xml><?xml version="1.0" encoding="utf-8"?>
<ds:datastoreItem xmlns:ds="http://schemas.openxmlformats.org/officeDocument/2006/customXml" ds:itemID="{975162F7-4D5D-4F38-9C9A-89B84DFCE77C}"/>
</file>

<file path=docProps/app.xml><?xml version="1.0" encoding="utf-8"?>
<Properties xmlns="http://schemas.openxmlformats.org/officeDocument/2006/extended-properties" xmlns:vt="http://schemas.openxmlformats.org/officeDocument/2006/docPropsVTypes">
  <Template>Normal</Template>
  <TotalTime>9</TotalTime>
  <Pages>1</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Proposition de projet: Cameroun</vt:lpstr>
    </vt:vector>
  </TitlesOfParts>
  <Company>UNMFS</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Cameroun</dc:title>
  <dc:subject>88th</dc:subject>
  <dc:creator>Dominika Anna Suwik</dc:creator>
  <cp:keywords>88th ExCom</cp:keywords>
  <dc:description>MV</dc:description>
  <cp:lastModifiedBy>HBE</cp:lastModifiedBy>
  <cp:revision>4</cp:revision>
  <cp:lastPrinted>2001-05-26T16:40:00Z</cp:lastPrinted>
  <dcterms:created xsi:type="dcterms:W3CDTF">2021-11-04T16:17:00Z</dcterms:created>
  <dcterms:modified xsi:type="dcterms:W3CDTF">2021-11-22T02:20:00Z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UNEP/OzL.Pro/ExCom/88/41</vt:lpwstr>
  </property>
  <property fmtid="{D5CDD505-2E9C-101B-9397-08002B2CF9AE}" pid="3" name="Revision date">
    <vt:lpwstr>11/8/2021</vt:lpwstr>
  </property>
  <property fmtid="{D5CDD505-2E9C-101B-9397-08002B2CF9AE}" pid="4" name="ContentTypeId">
    <vt:lpwstr>0x01010009F56DB39A5B9F46AA87ED0A960035E8</vt:lpwstr>
  </property>
</Properties>
</file>