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32" w:type="dxa"/>
        <w:tblLayout w:type="fixed"/>
        <w:tblLook w:val="0000" w:firstRow="0" w:lastRow="0" w:firstColumn="0" w:lastColumn="0" w:noHBand="0" w:noVBand="0"/>
      </w:tblPr>
      <w:tblGrid>
        <w:gridCol w:w="2070"/>
        <w:gridCol w:w="3420"/>
        <w:gridCol w:w="4590"/>
      </w:tblGrid>
      <w:tr w:rsidR="00C15867" w:rsidRPr="00014227" w14:paraId="6A958653" w14:textId="77777777" w:rsidTr="00014227">
        <w:trPr>
          <w:trHeight w:val="720"/>
        </w:trPr>
        <w:tc>
          <w:tcPr>
            <w:tcW w:w="5490" w:type="dxa"/>
            <w:gridSpan w:val="2"/>
            <w:tcBorders>
              <w:bottom w:val="single" w:sz="18" w:space="0" w:color="auto"/>
            </w:tcBorders>
          </w:tcPr>
          <w:p w14:paraId="055481FD" w14:textId="77777777" w:rsidR="00C15867" w:rsidRPr="00014227" w:rsidRDefault="00014227" w:rsidP="00A041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lang w:val="fr-CA"/>
              </w:rPr>
            </w:pPr>
            <w:r w:rsidRPr="00014227">
              <w:rPr>
                <w:rFonts w:ascii="Univers" w:hAnsi="Univers"/>
                <w:b/>
                <w:sz w:val="28"/>
                <w:lang w:val="fr-CA"/>
              </w:rPr>
              <w:t>NATIONS</w:t>
            </w:r>
          </w:p>
          <w:p w14:paraId="56110CC6" w14:textId="4F7D2F7E" w:rsidR="00014227" w:rsidRPr="00014227" w:rsidRDefault="00014227" w:rsidP="00A0418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lang w:val="fr-CA"/>
              </w:rPr>
            </w:pPr>
            <w:r w:rsidRPr="00014227">
              <w:rPr>
                <w:rFonts w:ascii="Univers" w:hAnsi="Univers"/>
                <w:b/>
                <w:sz w:val="28"/>
                <w:lang w:val="fr-CA"/>
              </w:rPr>
              <w:t>UNIES</w:t>
            </w:r>
          </w:p>
        </w:tc>
        <w:tc>
          <w:tcPr>
            <w:tcW w:w="4590" w:type="dxa"/>
            <w:tcBorders>
              <w:bottom w:val="single" w:sz="18" w:space="0" w:color="auto"/>
            </w:tcBorders>
          </w:tcPr>
          <w:p w14:paraId="6723FC5E" w14:textId="77777777" w:rsidR="00C15867" w:rsidRPr="00014227" w:rsidRDefault="00C15867" w:rsidP="00A0418C">
            <w:pPr>
              <w:suppressAutoHyphens/>
              <w:jc w:val="right"/>
              <w:rPr>
                <w:sz w:val="52"/>
                <w:lang w:val="fr-CA"/>
              </w:rPr>
            </w:pPr>
            <w:r w:rsidRPr="00014227">
              <w:rPr>
                <w:rFonts w:ascii="Univers Bold" w:hAnsi="Univers Bold"/>
                <w:b/>
                <w:sz w:val="72"/>
                <w:lang w:val="fr-CA"/>
              </w:rPr>
              <w:t>EP</w:t>
            </w:r>
          </w:p>
        </w:tc>
      </w:tr>
      <w:tr w:rsidR="00C15867" w:rsidRPr="00014227" w14:paraId="7A0A837A" w14:textId="77777777" w:rsidTr="00014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054F18BD" w14:textId="77777777" w:rsidR="00C15867" w:rsidRPr="00014227" w:rsidRDefault="00E52838" w:rsidP="00A0418C">
            <w:pPr>
              <w:suppressAutoHyphens/>
              <w:spacing w:before="120"/>
              <w:rPr>
                <w:lang w:val="fr-CA"/>
              </w:rPr>
            </w:pPr>
            <w:r w:rsidRPr="00014227">
              <w:rPr>
                <w:noProof/>
                <w:lang w:eastAsia="en-CA"/>
              </w:rPr>
              <mc:AlternateContent>
                <mc:Choice Requires="wpg">
                  <w:drawing>
                    <wp:anchor distT="0" distB="0" distL="114300" distR="114300" simplePos="0" relativeHeight="251660288" behindDoc="0" locked="0" layoutInCell="1" allowOverlap="1" wp14:anchorId="7B9A5D36" wp14:editId="6BF6D607">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A3A46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12156C2C" w14:textId="32CC9C86" w:rsidR="00C15867" w:rsidRPr="00014227" w:rsidRDefault="00014227" w:rsidP="0001422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Bold" w:hAnsi="Univers Bold"/>
                <w:b/>
                <w:sz w:val="32"/>
                <w:lang w:val="fr-CA"/>
              </w:rPr>
            </w:pPr>
            <w:r w:rsidRPr="00014227">
              <w:rPr>
                <w:rFonts w:ascii="Univers" w:hAnsi="Univers"/>
                <w:b/>
                <w:sz w:val="32"/>
                <w:lang w:val="fr-CA"/>
              </w:rPr>
              <w:t>Programme des Nations Unies pour l’environnement</w:t>
            </w:r>
          </w:p>
          <w:p w14:paraId="5AE39B51" w14:textId="77777777" w:rsidR="00C15867" w:rsidRPr="00014227" w:rsidRDefault="00C15867" w:rsidP="00A0418C">
            <w:pPr>
              <w:suppressAutoHyphens/>
              <w:spacing w:before="720"/>
              <w:ind w:left="158"/>
              <w:rPr>
                <w:lang w:val="fr-CA"/>
              </w:rPr>
            </w:pPr>
          </w:p>
        </w:tc>
        <w:tc>
          <w:tcPr>
            <w:tcW w:w="4590" w:type="dxa"/>
            <w:tcBorders>
              <w:top w:val="nil"/>
              <w:left w:val="nil"/>
              <w:bottom w:val="single" w:sz="36" w:space="0" w:color="auto"/>
              <w:right w:val="nil"/>
            </w:tcBorders>
          </w:tcPr>
          <w:p w14:paraId="68CA4944" w14:textId="77777777" w:rsidR="00C15867" w:rsidRPr="00014227" w:rsidRDefault="00C15867" w:rsidP="00A0418C">
            <w:pPr>
              <w:suppressAutoHyphens/>
              <w:rPr>
                <w:lang w:val="fr-CA"/>
              </w:rPr>
            </w:pPr>
            <w:proofErr w:type="spellStart"/>
            <w:r w:rsidRPr="00014227">
              <w:rPr>
                <w:lang w:val="fr-CA"/>
              </w:rPr>
              <w:t>Distr</w:t>
            </w:r>
            <w:proofErr w:type="spellEnd"/>
            <w:r w:rsidRPr="00014227">
              <w:rPr>
                <w:lang w:val="fr-CA"/>
              </w:rPr>
              <w:t>.</w:t>
            </w:r>
          </w:p>
          <w:p w14:paraId="3369A38D" w14:textId="5B66B47A" w:rsidR="00923540" w:rsidRPr="00014227" w:rsidRDefault="00014227" w:rsidP="00A0418C">
            <w:pPr>
              <w:suppressAutoHyphens/>
              <w:rPr>
                <w:lang w:val="fr-CA"/>
              </w:rPr>
            </w:pPr>
            <w:r w:rsidRPr="00014227">
              <w:rPr>
                <w:lang w:val="fr-CA"/>
              </w:rPr>
              <w:t>GÉNÉRALE</w:t>
            </w:r>
          </w:p>
          <w:p w14:paraId="76B416A3" w14:textId="77777777" w:rsidR="00C15867" w:rsidRPr="00014227" w:rsidRDefault="00C15867" w:rsidP="00A0418C">
            <w:pPr>
              <w:suppressAutoHyphens/>
              <w:rPr>
                <w:lang w:val="fr-CA"/>
              </w:rPr>
            </w:pPr>
          </w:p>
          <w:p w14:paraId="75D550D1" w14:textId="77777777" w:rsidR="00C15867" w:rsidRPr="00014227" w:rsidRDefault="00C15867" w:rsidP="00A0418C">
            <w:pPr>
              <w:suppressAutoHyphens/>
              <w:rPr>
                <w:lang w:val="fr-CA"/>
              </w:rPr>
            </w:pPr>
          </w:p>
          <w:p w14:paraId="138A4775" w14:textId="0C80490D" w:rsidR="00C15867" w:rsidRPr="00014227" w:rsidRDefault="00550A21" w:rsidP="00A0418C">
            <w:pPr>
              <w:suppressAutoHyphens/>
              <w:rPr>
                <w:lang w:val="fr-CA"/>
              </w:rPr>
            </w:pPr>
            <w:r w:rsidRPr="00014227">
              <w:rPr>
                <w:lang w:val="fr-CA"/>
              </w:rPr>
              <w:fldChar w:fldCharType="begin"/>
            </w:r>
            <w:r w:rsidRPr="00014227">
              <w:rPr>
                <w:lang w:val="fr-CA"/>
              </w:rPr>
              <w:instrText xml:space="preserve"> DOCPROPERTY "Document number"  \* MERGEFORMAT </w:instrText>
            </w:r>
            <w:r w:rsidRPr="00014227">
              <w:rPr>
                <w:lang w:val="fr-CA"/>
              </w:rPr>
              <w:fldChar w:fldCharType="separate"/>
            </w:r>
            <w:r w:rsidR="005A5DA6">
              <w:rPr>
                <w:lang w:val="fr-CA"/>
              </w:rPr>
              <w:t>UNEP/</w:t>
            </w:r>
            <w:proofErr w:type="spellStart"/>
            <w:r w:rsidR="005A5DA6">
              <w:rPr>
                <w:lang w:val="fr-CA"/>
              </w:rPr>
              <w:t>OzL.Pro</w:t>
            </w:r>
            <w:proofErr w:type="spellEnd"/>
            <w:r w:rsidR="005A5DA6">
              <w:rPr>
                <w:lang w:val="fr-CA"/>
              </w:rPr>
              <w:t>/</w:t>
            </w:r>
            <w:proofErr w:type="spellStart"/>
            <w:r w:rsidR="005A5DA6">
              <w:rPr>
                <w:lang w:val="fr-CA"/>
              </w:rPr>
              <w:t>ExCom</w:t>
            </w:r>
            <w:proofErr w:type="spellEnd"/>
            <w:r w:rsidR="005A5DA6">
              <w:rPr>
                <w:lang w:val="fr-CA"/>
              </w:rPr>
              <w:t>/88/40</w:t>
            </w:r>
            <w:r w:rsidRPr="00014227">
              <w:rPr>
                <w:lang w:val="fr-CA"/>
              </w:rPr>
              <w:fldChar w:fldCharType="end"/>
            </w:r>
          </w:p>
          <w:p w14:paraId="3AE40BC7" w14:textId="4B0832D4" w:rsidR="00C15867" w:rsidRPr="00014227" w:rsidRDefault="00BC2495" w:rsidP="00A0418C">
            <w:pPr>
              <w:suppressAutoHyphens/>
              <w:rPr>
                <w:lang w:val="fr-CA"/>
              </w:rPr>
            </w:pPr>
            <w:r w:rsidRPr="00014227">
              <w:rPr>
                <w:lang w:val="fr-CA"/>
              </w:rPr>
              <w:fldChar w:fldCharType="begin"/>
            </w:r>
            <w:r w:rsidR="00851352" w:rsidRPr="00014227">
              <w:rPr>
                <w:lang w:val="fr-CA"/>
              </w:rPr>
              <w:instrText xml:space="preserve"> DOCPROPERTY "Revision date" \@ "d MMMM YYYY"  \* MERGEFORMAT </w:instrText>
            </w:r>
            <w:r w:rsidRPr="00014227">
              <w:rPr>
                <w:lang w:val="fr-CA"/>
              </w:rPr>
              <w:fldChar w:fldCharType="separate"/>
            </w:r>
            <w:r w:rsidR="009C3959" w:rsidRPr="00014227">
              <w:rPr>
                <w:lang w:val="fr-CA"/>
              </w:rPr>
              <w:t xml:space="preserve">20 </w:t>
            </w:r>
            <w:r w:rsidR="00014227" w:rsidRPr="00014227">
              <w:rPr>
                <w:lang w:val="fr-CA"/>
              </w:rPr>
              <w:t>octobre</w:t>
            </w:r>
            <w:r w:rsidR="009C3959" w:rsidRPr="00014227">
              <w:rPr>
                <w:lang w:val="fr-CA"/>
              </w:rPr>
              <w:t xml:space="preserve"> 2021</w:t>
            </w:r>
            <w:r w:rsidRPr="00014227">
              <w:rPr>
                <w:lang w:val="fr-CA"/>
              </w:rPr>
              <w:fldChar w:fldCharType="end"/>
            </w:r>
          </w:p>
          <w:p w14:paraId="59A49494" w14:textId="77777777" w:rsidR="00C15867" w:rsidRPr="00014227" w:rsidRDefault="00C15867" w:rsidP="00A0418C">
            <w:pPr>
              <w:suppressAutoHyphens/>
              <w:rPr>
                <w:caps/>
                <w:lang w:val="fr-CA"/>
              </w:rPr>
            </w:pPr>
          </w:p>
          <w:p w14:paraId="5D97F215" w14:textId="77777777" w:rsidR="00014227" w:rsidRPr="00014227" w:rsidRDefault="00014227" w:rsidP="00A0418C">
            <w:pPr>
              <w:suppressAutoHyphens/>
              <w:rPr>
                <w:lang w:val="fr-CA"/>
              </w:rPr>
            </w:pPr>
            <w:r w:rsidRPr="00014227">
              <w:rPr>
                <w:lang w:val="fr-CA"/>
              </w:rPr>
              <w:t>FRANÇAIS</w:t>
            </w:r>
          </w:p>
          <w:p w14:paraId="19E4CFF4" w14:textId="61735630" w:rsidR="00C15867" w:rsidRPr="00014227" w:rsidRDefault="00C15867" w:rsidP="00014227">
            <w:pPr>
              <w:suppressAutoHyphens/>
              <w:rPr>
                <w:lang w:val="fr-CA"/>
              </w:rPr>
            </w:pPr>
            <w:r w:rsidRPr="00014227">
              <w:rPr>
                <w:lang w:val="fr-CA"/>
              </w:rPr>
              <w:t>ORIGINAL</w:t>
            </w:r>
            <w:r w:rsidR="00014227" w:rsidRPr="00014227">
              <w:rPr>
                <w:lang w:val="fr-CA"/>
              </w:rPr>
              <w:t xml:space="preserve"> </w:t>
            </w:r>
            <w:r w:rsidRPr="00014227">
              <w:rPr>
                <w:lang w:val="fr-CA"/>
              </w:rPr>
              <w:t xml:space="preserve">: </w:t>
            </w:r>
            <w:r w:rsidR="00014227" w:rsidRPr="00014227">
              <w:rPr>
                <w:lang w:val="fr-CA"/>
              </w:rPr>
              <w:t>ANGLAIS</w:t>
            </w:r>
          </w:p>
        </w:tc>
      </w:tr>
    </w:tbl>
    <w:p w14:paraId="48900172" w14:textId="77777777" w:rsidR="00014227" w:rsidRPr="00014227" w:rsidRDefault="00014227" w:rsidP="00014227">
      <w:pPr>
        <w:jc w:val="left"/>
        <w:rPr>
          <w:lang w:val="fr-CA"/>
        </w:rPr>
      </w:pPr>
      <w:r w:rsidRPr="00014227">
        <w:rPr>
          <w:lang w:val="fr-CA"/>
        </w:rPr>
        <w:t xml:space="preserve">COMITÉ EXÉCUTIF </w:t>
      </w:r>
      <w:r w:rsidRPr="00014227">
        <w:rPr>
          <w:lang w:val="fr-CA"/>
        </w:rPr>
        <w:br/>
        <w:t xml:space="preserve">  DU FONDS MULTILATÉRAL AUX FINS </w:t>
      </w:r>
      <w:r w:rsidRPr="00014227">
        <w:rPr>
          <w:lang w:val="fr-CA"/>
        </w:rPr>
        <w:br/>
        <w:t xml:space="preserve">  D’APPLICATION DU PROTOCOLE DE MONTRÉAL</w:t>
      </w:r>
      <w:r w:rsidRPr="00014227">
        <w:rPr>
          <w:lang w:val="fr-CA"/>
        </w:rPr>
        <w:br/>
        <w:t>Quatre-vingt-huitième réunion</w:t>
      </w:r>
    </w:p>
    <w:p w14:paraId="6AC17976" w14:textId="57944103" w:rsidR="00066CE8" w:rsidRPr="00014227" w:rsidRDefault="00014227" w:rsidP="00014227">
      <w:pPr>
        <w:suppressAutoHyphens/>
        <w:jc w:val="left"/>
        <w:rPr>
          <w:lang w:val="fr-CA"/>
        </w:rPr>
      </w:pPr>
      <w:r w:rsidRPr="00014227">
        <w:rPr>
          <w:lang w:val="fr-CA"/>
        </w:rPr>
        <w:t>Montréal, 15-19 novembre 2021</w:t>
      </w:r>
      <w:r w:rsidRPr="00014227">
        <w:rPr>
          <w:rStyle w:val="FootnoteReference"/>
          <w:lang w:val="fr-CA"/>
        </w:rPr>
        <w:footnoteReference w:id="2"/>
      </w:r>
    </w:p>
    <w:p w14:paraId="1B5D9084" w14:textId="77777777" w:rsidR="00C15867" w:rsidRPr="00014227" w:rsidRDefault="00C15867" w:rsidP="00A0418C">
      <w:pPr>
        <w:suppressAutoHyphens/>
        <w:jc w:val="left"/>
        <w:rPr>
          <w:lang w:val="fr-CA"/>
        </w:rPr>
      </w:pPr>
    </w:p>
    <w:p w14:paraId="6F7DE859" w14:textId="77777777" w:rsidR="00066CE8" w:rsidRPr="00014227" w:rsidRDefault="00066CE8" w:rsidP="00A0418C">
      <w:pPr>
        <w:suppressAutoHyphens/>
        <w:jc w:val="left"/>
        <w:rPr>
          <w:lang w:val="fr-CA"/>
        </w:rPr>
      </w:pPr>
    </w:p>
    <w:p w14:paraId="02FDAD2F" w14:textId="77777777" w:rsidR="00DB1648" w:rsidRDefault="00DB1648" w:rsidP="00A0418C">
      <w:pPr>
        <w:suppressAutoHyphens/>
        <w:jc w:val="center"/>
        <w:rPr>
          <w:b/>
          <w:lang w:val="fr-CA"/>
        </w:rPr>
      </w:pPr>
    </w:p>
    <w:p w14:paraId="4C479AB6" w14:textId="361DDB53" w:rsidR="00EB31E3" w:rsidRPr="00014227" w:rsidRDefault="00014227" w:rsidP="00A0418C">
      <w:pPr>
        <w:suppressAutoHyphens/>
        <w:jc w:val="center"/>
        <w:rPr>
          <w:b/>
          <w:lang w:val="fr-CA"/>
        </w:rPr>
      </w:pPr>
      <w:r w:rsidRPr="00014227">
        <w:rPr>
          <w:b/>
          <w:lang w:val="fr-CA"/>
        </w:rPr>
        <w:t xml:space="preserve">PROPOSITION DE PROJET </w:t>
      </w:r>
      <w:r w:rsidR="00EB31E3" w:rsidRPr="00014227">
        <w:rPr>
          <w:b/>
          <w:lang w:val="fr-CA"/>
        </w:rPr>
        <w:t xml:space="preserve">: </w:t>
      </w:r>
      <w:r w:rsidR="003D7C37" w:rsidRPr="00014227">
        <w:rPr>
          <w:b/>
          <w:lang w:val="fr-CA"/>
        </w:rPr>
        <w:t>CABO VERDE</w:t>
      </w:r>
    </w:p>
    <w:p w14:paraId="72072609" w14:textId="77777777" w:rsidR="00EB31E3" w:rsidRPr="00014227" w:rsidRDefault="00EB31E3" w:rsidP="00A0418C">
      <w:pPr>
        <w:suppressAutoHyphens/>
        <w:rPr>
          <w:lang w:val="fr-CA"/>
        </w:rPr>
      </w:pPr>
    </w:p>
    <w:p w14:paraId="174B1305" w14:textId="77777777" w:rsidR="00EB31E3" w:rsidRPr="00014227" w:rsidRDefault="00EB31E3" w:rsidP="00A0418C">
      <w:pPr>
        <w:suppressAutoHyphens/>
        <w:rPr>
          <w:lang w:val="fr-CA"/>
        </w:rPr>
      </w:pPr>
    </w:p>
    <w:p w14:paraId="58E99F57" w14:textId="77777777" w:rsidR="00DB1648" w:rsidRDefault="00DB1648" w:rsidP="00A0418C">
      <w:pPr>
        <w:suppressAutoHyphens/>
        <w:ind w:firstLine="720"/>
        <w:rPr>
          <w:lang w:val="fr-CA"/>
        </w:rPr>
      </w:pPr>
    </w:p>
    <w:p w14:paraId="36256216" w14:textId="41A0BDEB" w:rsidR="00EB31E3" w:rsidRPr="00014227" w:rsidRDefault="00014227" w:rsidP="00A0418C">
      <w:pPr>
        <w:suppressAutoHyphens/>
        <w:ind w:firstLine="720"/>
        <w:rPr>
          <w:lang w:val="fr-CA"/>
        </w:rPr>
      </w:pPr>
      <w:r>
        <w:rPr>
          <w:lang w:val="fr-CA"/>
        </w:rPr>
        <w:t xml:space="preserve">Ce document contient les observations et la recommandation du Secrétariat sur la proposition de projet suivante </w:t>
      </w:r>
      <w:r w:rsidR="00EB31E3" w:rsidRPr="00014227">
        <w:rPr>
          <w:lang w:val="fr-CA"/>
        </w:rPr>
        <w:t xml:space="preserve">: </w:t>
      </w:r>
    </w:p>
    <w:p w14:paraId="5330B378" w14:textId="77777777" w:rsidR="00EB31E3" w:rsidRPr="00014227" w:rsidRDefault="00EB31E3" w:rsidP="00A0418C">
      <w:pPr>
        <w:suppressAutoHyphens/>
        <w:rPr>
          <w:lang w:val="fr-CA"/>
        </w:rPr>
      </w:pPr>
    </w:p>
    <w:p w14:paraId="0E61D565" w14:textId="7E8D3443" w:rsidR="00EB31E3" w:rsidRPr="00014227" w:rsidRDefault="00014227" w:rsidP="00A0418C">
      <w:pPr>
        <w:suppressAutoHyphens/>
        <w:rPr>
          <w:u w:val="single"/>
          <w:lang w:val="fr-CA"/>
        </w:rPr>
      </w:pPr>
      <w:r>
        <w:rPr>
          <w:u w:val="single"/>
          <w:lang w:val="fr-CA"/>
        </w:rPr>
        <w:t>Élimination</w:t>
      </w:r>
    </w:p>
    <w:p w14:paraId="5A442C27" w14:textId="77777777" w:rsidR="00EB31E3" w:rsidRPr="00014227" w:rsidRDefault="00EB31E3" w:rsidP="00A0418C">
      <w:pPr>
        <w:suppressAutoHyphens/>
        <w:rPr>
          <w:lang w:val="fr-CA"/>
        </w:rPr>
      </w:pPr>
    </w:p>
    <w:p w14:paraId="29BC04D1" w14:textId="77777777" w:rsidR="00EB31E3" w:rsidRPr="00014227" w:rsidRDefault="00EB31E3" w:rsidP="00A0418C">
      <w:pPr>
        <w:suppressAutoHyphen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EB31E3" w:rsidRPr="00014227" w14:paraId="005DB2FE" w14:textId="77777777" w:rsidTr="00996241">
        <w:tc>
          <w:tcPr>
            <w:tcW w:w="6941" w:type="dxa"/>
          </w:tcPr>
          <w:p w14:paraId="2D118D1C" w14:textId="11FEB43B" w:rsidR="00EB31E3" w:rsidRPr="00014227" w:rsidRDefault="00014227" w:rsidP="00A0418C">
            <w:pPr>
              <w:pStyle w:val="ListParagraph"/>
              <w:numPr>
                <w:ilvl w:val="0"/>
                <w:numId w:val="21"/>
              </w:numPr>
              <w:suppressAutoHyphens/>
              <w:ind w:hanging="830"/>
              <w:rPr>
                <w:lang w:val="fr-CA"/>
              </w:rPr>
            </w:pPr>
            <w:r w:rsidRPr="00014227">
              <w:rPr>
                <w:lang w:val="fr-CA"/>
              </w:rPr>
              <w:t>Plan de gestion de l'élimination des HCFC (phase II, première tranche)</w:t>
            </w:r>
          </w:p>
        </w:tc>
        <w:tc>
          <w:tcPr>
            <w:tcW w:w="2409" w:type="dxa"/>
          </w:tcPr>
          <w:p w14:paraId="155F3414" w14:textId="5E2EAEF3" w:rsidR="00EB31E3" w:rsidRPr="00014227" w:rsidRDefault="00014227" w:rsidP="00A0418C">
            <w:pPr>
              <w:suppressAutoHyphens/>
              <w:jc w:val="right"/>
              <w:rPr>
                <w:lang w:val="fr-CA"/>
              </w:rPr>
            </w:pPr>
            <w:r w:rsidRPr="00014227">
              <w:rPr>
                <w:lang w:val="fr-CA"/>
              </w:rPr>
              <w:t>PNUE</w:t>
            </w:r>
          </w:p>
        </w:tc>
      </w:tr>
    </w:tbl>
    <w:p w14:paraId="25A877F1" w14:textId="77777777" w:rsidR="00EB31E3" w:rsidRPr="00014227" w:rsidRDefault="00EB31E3" w:rsidP="00A0418C">
      <w:pPr>
        <w:suppressAutoHyphens/>
        <w:rPr>
          <w:lang w:val="fr-CA"/>
        </w:rPr>
      </w:pPr>
    </w:p>
    <w:p w14:paraId="4B0E1ED6" w14:textId="77777777" w:rsidR="00EB31E3" w:rsidRPr="00014227" w:rsidRDefault="00EB31E3" w:rsidP="00A0418C">
      <w:pPr>
        <w:suppressAutoHyphens/>
        <w:rPr>
          <w:lang w:val="fr-CA"/>
        </w:rPr>
      </w:pPr>
    </w:p>
    <w:p w14:paraId="77C1C823" w14:textId="77777777" w:rsidR="00EB31E3" w:rsidRPr="00014227" w:rsidRDefault="00EB31E3" w:rsidP="00A0418C">
      <w:pPr>
        <w:suppressAutoHyphens/>
        <w:rPr>
          <w:lang w:val="fr-CA"/>
        </w:rPr>
      </w:pPr>
    </w:p>
    <w:p w14:paraId="6027E318" w14:textId="77777777" w:rsidR="00EB31E3" w:rsidRPr="00014227" w:rsidRDefault="00EB31E3" w:rsidP="00A0418C">
      <w:pPr>
        <w:suppressAutoHyphens/>
        <w:jc w:val="left"/>
        <w:rPr>
          <w:lang w:val="fr-CA"/>
        </w:rPr>
      </w:pPr>
    </w:p>
    <w:p w14:paraId="753FFDA3" w14:textId="77777777" w:rsidR="00EB31E3" w:rsidRPr="00014227" w:rsidRDefault="00EB31E3" w:rsidP="00A0418C">
      <w:pPr>
        <w:suppressAutoHyphens/>
        <w:jc w:val="left"/>
        <w:rPr>
          <w:lang w:val="fr-CA"/>
        </w:rPr>
      </w:pPr>
      <w:r w:rsidRPr="00014227">
        <w:rPr>
          <w:lang w:val="fr-CA"/>
        </w:rPr>
        <w:br w:type="page"/>
      </w:r>
    </w:p>
    <w:p w14:paraId="3EC8D01E" w14:textId="087F50D5" w:rsidR="00EB31E3" w:rsidRPr="00DB1648" w:rsidRDefault="00472CE8" w:rsidP="00A0418C">
      <w:pPr>
        <w:suppressAutoHyphens/>
        <w:jc w:val="center"/>
        <w:rPr>
          <w:b/>
          <w:lang w:val="fr-CA"/>
        </w:rPr>
      </w:pPr>
      <w:r w:rsidRPr="00DB1648">
        <w:rPr>
          <w:b/>
          <w:lang w:val="fr-CA"/>
        </w:rPr>
        <w:lastRenderedPageBreak/>
        <w:t>FICHE D’ÉVALUATION DE PROJET : PROJETS PLURIANNUELS</w:t>
      </w:r>
    </w:p>
    <w:p w14:paraId="38E4DDB9" w14:textId="77777777" w:rsidR="00EB31E3" w:rsidRPr="00DB1648" w:rsidRDefault="00EB31E3" w:rsidP="00A0418C">
      <w:pPr>
        <w:suppressAutoHyphens/>
        <w:jc w:val="center"/>
        <w:rPr>
          <w:sz w:val="18"/>
          <w:lang w:val="fr-CA"/>
        </w:rPr>
      </w:pPr>
    </w:p>
    <w:p w14:paraId="3F1ADF58" w14:textId="7A204CDE" w:rsidR="00EB31E3" w:rsidRPr="00DB1648" w:rsidRDefault="003D7C37" w:rsidP="00A0418C">
      <w:pPr>
        <w:tabs>
          <w:tab w:val="left" w:pos="8931"/>
        </w:tabs>
        <w:suppressAutoHyphens/>
        <w:jc w:val="center"/>
        <w:rPr>
          <w:b/>
          <w:lang w:val="fr-CA"/>
        </w:rPr>
      </w:pPr>
      <w:r w:rsidRPr="00DB1648">
        <w:rPr>
          <w:b/>
          <w:lang w:val="fr-CA"/>
        </w:rPr>
        <w:t>CABO VERDE</w:t>
      </w:r>
    </w:p>
    <w:p w14:paraId="04F70458" w14:textId="77777777" w:rsidR="00EB31E3" w:rsidRPr="00DB1648" w:rsidRDefault="00EB31E3" w:rsidP="00A0418C">
      <w:pPr>
        <w:suppressAutoHyphens/>
        <w:jc w:val="center"/>
        <w:rPr>
          <w:sz w:val="18"/>
          <w:lang w:val="fr-CA"/>
        </w:rPr>
      </w:pPr>
    </w:p>
    <w:tbl>
      <w:tblPr>
        <w:tblStyle w:val="TableGrid"/>
        <w:tblW w:w="5309" w:type="pct"/>
        <w:tblInd w:w="-113" w:type="dxa"/>
        <w:tblLook w:val="04A0" w:firstRow="1" w:lastRow="0" w:firstColumn="1" w:lastColumn="0" w:noHBand="0" w:noVBand="1"/>
      </w:tblPr>
      <w:tblGrid>
        <w:gridCol w:w="4678"/>
        <w:gridCol w:w="5250"/>
      </w:tblGrid>
      <w:tr w:rsidR="00EB31E3" w:rsidRPr="00DB1648" w14:paraId="3EEFCCBB" w14:textId="77777777" w:rsidTr="00996241">
        <w:trPr>
          <w:trHeight w:val="240"/>
        </w:trPr>
        <w:tc>
          <w:tcPr>
            <w:tcW w:w="2356" w:type="pct"/>
            <w:shd w:val="clear" w:color="auto" w:fill="auto"/>
          </w:tcPr>
          <w:p w14:paraId="136E617D" w14:textId="0F5B5637" w:rsidR="00EB31E3" w:rsidRPr="00DB1648" w:rsidRDefault="00EB31E3" w:rsidP="00472CE8">
            <w:pPr>
              <w:suppressAutoHyphens/>
              <w:rPr>
                <w:b/>
                <w:sz w:val="20"/>
                <w:lang w:val="fr-CA"/>
              </w:rPr>
            </w:pPr>
            <w:r w:rsidRPr="00DB1648">
              <w:rPr>
                <w:b/>
                <w:sz w:val="20"/>
                <w:lang w:val="fr-CA"/>
              </w:rPr>
              <w:t xml:space="preserve">I) </w:t>
            </w:r>
            <w:r w:rsidR="00472CE8" w:rsidRPr="00DB1648">
              <w:rPr>
                <w:b/>
                <w:sz w:val="20"/>
                <w:lang w:val="fr-CA"/>
              </w:rPr>
              <w:t>TITRE DU PROJET</w:t>
            </w:r>
          </w:p>
        </w:tc>
        <w:tc>
          <w:tcPr>
            <w:tcW w:w="2644" w:type="pct"/>
            <w:shd w:val="clear" w:color="auto" w:fill="auto"/>
          </w:tcPr>
          <w:p w14:paraId="0C9EB0C2" w14:textId="63923D8F" w:rsidR="00EB31E3" w:rsidRPr="00DB1648" w:rsidRDefault="00472CE8" w:rsidP="00A0418C">
            <w:pPr>
              <w:suppressAutoHyphens/>
              <w:jc w:val="center"/>
              <w:rPr>
                <w:b/>
                <w:sz w:val="20"/>
                <w:lang w:val="fr-CA"/>
              </w:rPr>
            </w:pPr>
            <w:r w:rsidRPr="00DB1648">
              <w:rPr>
                <w:b/>
                <w:sz w:val="20"/>
                <w:lang w:val="fr-CA"/>
              </w:rPr>
              <w:t>AGENCE</w:t>
            </w:r>
          </w:p>
        </w:tc>
      </w:tr>
      <w:tr w:rsidR="00EB31E3" w:rsidRPr="00DB1648" w14:paraId="29BDA702" w14:textId="77777777" w:rsidTr="00996241">
        <w:trPr>
          <w:trHeight w:val="103"/>
        </w:trPr>
        <w:tc>
          <w:tcPr>
            <w:tcW w:w="2356" w:type="pct"/>
            <w:shd w:val="clear" w:color="auto" w:fill="auto"/>
          </w:tcPr>
          <w:p w14:paraId="108DFC00" w14:textId="7C93CB47" w:rsidR="00EB31E3" w:rsidRPr="00DB1648" w:rsidRDefault="00472CE8" w:rsidP="00A0418C">
            <w:pPr>
              <w:suppressAutoHyphens/>
              <w:spacing w:after="80"/>
              <w:jc w:val="center"/>
              <w:rPr>
                <w:color w:val="000000" w:themeColor="text1"/>
                <w:sz w:val="20"/>
                <w:lang w:val="fr-CA"/>
              </w:rPr>
            </w:pPr>
            <w:r w:rsidRPr="00DB1648">
              <w:rPr>
                <w:color w:val="000000" w:themeColor="text1"/>
                <w:sz w:val="20"/>
                <w:lang w:val="fr-CA"/>
              </w:rPr>
              <w:t>Plan d’élimination des HCFC (phase II)</w:t>
            </w:r>
          </w:p>
        </w:tc>
        <w:tc>
          <w:tcPr>
            <w:tcW w:w="2644" w:type="pct"/>
            <w:shd w:val="clear" w:color="auto" w:fill="auto"/>
          </w:tcPr>
          <w:p w14:paraId="32094C37" w14:textId="3FBDDBDA" w:rsidR="00EB31E3" w:rsidRPr="00DB1648" w:rsidRDefault="00472CE8" w:rsidP="00A0418C">
            <w:pPr>
              <w:suppressAutoHyphens/>
              <w:spacing w:after="80"/>
              <w:jc w:val="center"/>
              <w:rPr>
                <w:color w:val="000000" w:themeColor="text1"/>
                <w:sz w:val="20"/>
                <w:lang w:val="fr-CA"/>
              </w:rPr>
            </w:pPr>
            <w:r w:rsidRPr="00DB1648">
              <w:rPr>
                <w:color w:val="000000" w:themeColor="text1"/>
                <w:sz w:val="20"/>
                <w:lang w:val="fr-CA"/>
              </w:rPr>
              <w:t>PNUE</w:t>
            </w:r>
          </w:p>
        </w:tc>
      </w:tr>
    </w:tbl>
    <w:p w14:paraId="6BBCC713" w14:textId="77777777" w:rsidR="00EB31E3" w:rsidRPr="00DB1648" w:rsidRDefault="00EB31E3" w:rsidP="00A0418C">
      <w:pPr>
        <w:suppressAutoHyphens/>
        <w:jc w:val="center"/>
        <w:rPr>
          <w:sz w:val="20"/>
          <w:lang w:val="fr-CA"/>
        </w:rPr>
      </w:pPr>
    </w:p>
    <w:tbl>
      <w:tblPr>
        <w:tblStyle w:val="TableGrid"/>
        <w:tblW w:w="5309" w:type="pct"/>
        <w:tblInd w:w="-113" w:type="dxa"/>
        <w:tblLook w:val="04A0" w:firstRow="1" w:lastRow="0" w:firstColumn="1" w:lastColumn="0" w:noHBand="0" w:noVBand="1"/>
      </w:tblPr>
      <w:tblGrid>
        <w:gridCol w:w="5387"/>
        <w:gridCol w:w="2577"/>
        <w:gridCol w:w="1964"/>
      </w:tblGrid>
      <w:tr w:rsidR="00EB31E3" w:rsidRPr="00DB1648" w14:paraId="5D03C932" w14:textId="77777777" w:rsidTr="00996241">
        <w:trPr>
          <w:trHeight w:val="195"/>
        </w:trPr>
        <w:tc>
          <w:tcPr>
            <w:tcW w:w="2713" w:type="pct"/>
            <w:shd w:val="clear" w:color="auto" w:fill="auto"/>
          </w:tcPr>
          <w:p w14:paraId="442E0B74" w14:textId="315C7B1A" w:rsidR="00EB31E3" w:rsidRPr="00DB1648" w:rsidRDefault="00EB31E3" w:rsidP="00DB1648">
            <w:pPr>
              <w:suppressAutoHyphens/>
              <w:spacing w:after="60"/>
              <w:jc w:val="left"/>
              <w:rPr>
                <w:b/>
                <w:sz w:val="20"/>
                <w:lang w:val="fr-CA"/>
              </w:rPr>
            </w:pPr>
            <w:r w:rsidRPr="00DB1648">
              <w:rPr>
                <w:b/>
                <w:sz w:val="20"/>
                <w:lang w:val="fr-CA"/>
              </w:rPr>
              <w:t xml:space="preserve">II) </w:t>
            </w:r>
            <w:r w:rsidR="00472CE8" w:rsidRPr="00DB1648">
              <w:rPr>
                <w:b/>
                <w:sz w:val="20"/>
                <w:lang w:val="fr-CA"/>
              </w:rPr>
              <w:t xml:space="preserve">DERNIÈRES DONNÉES </w:t>
            </w:r>
            <w:r w:rsidR="00FA6721" w:rsidRPr="00DB1648">
              <w:rPr>
                <w:b/>
                <w:sz w:val="20"/>
                <w:lang w:val="fr-CA"/>
              </w:rPr>
              <w:t>EN LIEN AVEC L’ARTICLE  7</w:t>
            </w:r>
            <w:r w:rsidR="00472CE8" w:rsidRPr="00DB1648">
              <w:rPr>
                <w:b/>
                <w:sz w:val="20"/>
                <w:lang w:val="fr-CA"/>
              </w:rPr>
              <w:t xml:space="preserve"> (groupe </w:t>
            </w:r>
            <w:r w:rsidR="00DB1648">
              <w:rPr>
                <w:b/>
                <w:sz w:val="20"/>
                <w:lang w:val="fr-CA"/>
              </w:rPr>
              <w:t>I</w:t>
            </w:r>
            <w:r w:rsidR="00472CE8" w:rsidRPr="00DB1648">
              <w:rPr>
                <w:b/>
                <w:sz w:val="20"/>
                <w:lang w:val="fr-CA"/>
              </w:rPr>
              <w:t xml:space="preserve"> de l’annexe C)</w:t>
            </w:r>
          </w:p>
        </w:tc>
        <w:tc>
          <w:tcPr>
            <w:tcW w:w="1298" w:type="pct"/>
            <w:shd w:val="clear" w:color="auto" w:fill="auto"/>
          </w:tcPr>
          <w:p w14:paraId="357A3C2E" w14:textId="38AC0E7F" w:rsidR="00EB31E3" w:rsidRPr="00DB1648" w:rsidRDefault="00472CE8" w:rsidP="00A0418C">
            <w:pPr>
              <w:suppressAutoHyphens/>
              <w:spacing w:after="60"/>
              <w:jc w:val="center"/>
              <w:rPr>
                <w:sz w:val="20"/>
                <w:lang w:val="fr-CA"/>
              </w:rPr>
            </w:pPr>
            <w:r w:rsidRPr="00DB1648">
              <w:rPr>
                <w:sz w:val="20"/>
                <w:lang w:val="fr-CA"/>
              </w:rPr>
              <w:t xml:space="preserve">Année </w:t>
            </w:r>
            <w:r w:rsidR="00EB31E3" w:rsidRPr="00DB1648">
              <w:rPr>
                <w:sz w:val="20"/>
                <w:lang w:val="fr-CA"/>
              </w:rPr>
              <w:t xml:space="preserve">: </w:t>
            </w:r>
            <w:r w:rsidR="00EB31E3" w:rsidRPr="00DB1648">
              <w:rPr>
                <w:color w:val="000000" w:themeColor="text1"/>
                <w:sz w:val="20"/>
                <w:lang w:val="fr-CA"/>
              </w:rPr>
              <w:t>2020</w:t>
            </w:r>
          </w:p>
        </w:tc>
        <w:tc>
          <w:tcPr>
            <w:tcW w:w="989" w:type="pct"/>
            <w:shd w:val="clear" w:color="auto" w:fill="auto"/>
          </w:tcPr>
          <w:p w14:paraId="2D637ECA" w14:textId="55917CEF" w:rsidR="00EB31E3" w:rsidRPr="00DB1648" w:rsidRDefault="00472CE8" w:rsidP="00472CE8">
            <w:pPr>
              <w:suppressAutoHyphens/>
              <w:spacing w:after="60"/>
              <w:jc w:val="right"/>
              <w:rPr>
                <w:sz w:val="20"/>
                <w:szCs w:val="20"/>
                <w:lang w:val="fr-CA"/>
              </w:rPr>
            </w:pPr>
            <w:r w:rsidRPr="00DB1648">
              <w:rPr>
                <w:color w:val="1E1E1E"/>
                <w:sz w:val="20"/>
                <w:szCs w:val="20"/>
                <w:shd w:val="clear" w:color="auto" w:fill="FFFFFF"/>
                <w:lang w:val="fr-CA"/>
              </w:rPr>
              <w:t>0,</w:t>
            </w:r>
            <w:r w:rsidR="00CC4CBD" w:rsidRPr="00DB1648">
              <w:rPr>
                <w:color w:val="1E1E1E"/>
                <w:sz w:val="20"/>
                <w:szCs w:val="20"/>
                <w:shd w:val="clear" w:color="auto" w:fill="FFFFFF"/>
                <w:lang w:val="fr-CA"/>
              </w:rPr>
              <w:t>04</w:t>
            </w:r>
            <w:r w:rsidR="00CC4CBD" w:rsidRPr="00DB1648">
              <w:rPr>
                <w:sz w:val="20"/>
                <w:szCs w:val="20"/>
                <w:lang w:val="fr-CA"/>
              </w:rPr>
              <w:t xml:space="preserve"> </w:t>
            </w:r>
            <w:r w:rsidR="00EB31E3" w:rsidRPr="00DB1648">
              <w:rPr>
                <w:sz w:val="20"/>
                <w:szCs w:val="20"/>
                <w:lang w:val="fr-CA"/>
              </w:rPr>
              <w:t>(</w:t>
            </w:r>
            <w:r w:rsidRPr="00DB1648">
              <w:rPr>
                <w:sz w:val="20"/>
                <w:szCs w:val="20"/>
                <w:lang w:val="fr-CA"/>
              </w:rPr>
              <w:t>tonne PAO</w:t>
            </w:r>
            <w:r w:rsidR="00EB31E3" w:rsidRPr="00DB1648">
              <w:rPr>
                <w:sz w:val="20"/>
                <w:szCs w:val="20"/>
                <w:lang w:val="fr-CA"/>
              </w:rPr>
              <w:t>)</w:t>
            </w:r>
          </w:p>
        </w:tc>
      </w:tr>
    </w:tbl>
    <w:p w14:paraId="754A7DBE" w14:textId="77777777" w:rsidR="00EB31E3" w:rsidRPr="00DB1648" w:rsidRDefault="00EB31E3" w:rsidP="00A0418C">
      <w:pPr>
        <w:suppressAutoHyphens/>
        <w:jc w:val="center"/>
        <w:rPr>
          <w:sz w:val="20"/>
          <w:lang w:val="fr-CA"/>
        </w:rPr>
      </w:pPr>
    </w:p>
    <w:tbl>
      <w:tblPr>
        <w:tblStyle w:val="TableGrid"/>
        <w:tblW w:w="5309" w:type="pct"/>
        <w:tblInd w:w="-113" w:type="dxa"/>
        <w:tblLook w:val="04A0" w:firstRow="1" w:lastRow="0" w:firstColumn="1" w:lastColumn="0" w:noHBand="0" w:noVBand="1"/>
      </w:tblPr>
      <w:tblGrid>
        <w:gridCol w:w="1443"/>
        <w:gridCol w:w="785"/>
        <w:gridCol w:w="777"/>
        <w:gridCol w:w="821"/>
        <w:gridCol w:w="1149"/>
        <w:gridCol w:w="866"/>
        <w:gridCol w:w="768"/>
        <w:gridCol w:w="1158"/>
        <w:gridCol w:w="909"/>
        <w:gridCol w:w="1252"/>
      </w:tblGrid>
      <w:tr w:rsidR="00EB31E3" w:rsidRPr="00DB1648" w14:paraId="0E649D1A" w14:textId="77777777" w:rsidTr="00996241">
        <w:trPr>
          <w:trHeight w:val="250"/>
        </w:trPr>
        <w:tc>
          <w:tcPr>
            <w:tcW w:w="4017" w:type="pct"/>
            <w:gridSpan w:val="8"/>
            <w:shd w:val="clear" w:color="auto" w:fill="auto"/>
          </w:tcPr>
          <w:p w14:paraId="45C6E885" w14:textId="1F291DC2" w:rsidR="00EB31E3" w:rsidRPr="00DB1648" w:rsidRDefault="00EB31E3" w:rsidP="00FA6721">
            <w:pPr>
              <w:suppressAutoHyphens/>
              <w:jc w:val="left"/>
              <w:rPr>
                <w:b/>
                <w:sz w:val="20"/>
                <w:lang w:val="fr-CA"/>
              </w:rPr>
            </w:pPr>
            <w:r w:rsidRPr="00DB1648">
              <w:rPr>
                <w:b/>
                <w:sz w:val="20"/>
                <w:lang w:val="fr-CA"/>
              </w:rPr>
              <w:t xml:space="preserve">III) </w:t>
            </w:r>
            <w:r w:rsidR="00472CE8" w:rsidRPr="00DB1648">
              <w:rPr>
                <w:b/>
                <w:sz w:val="20"/>
                <w:lang w:val="fr-CA"/>
              </w:rPr>
              <w:t xml:space="preserve">DERNIÈRES DONNÉES </w:t>
            </w:r>
            <w:r w:rsidR="00FA6721" w:rsidRPr="00DB1648">
              <w:rPr>
                <w:b/>
                <w:sz w:val="20"/>
                <w:lang w:val="fr-CA"/>
              </w:rPr>
              <w:t xml:space="preserve">SECTORIELLES </w:t>
            </w:r>
            <w:r w:rsidR="00472CE8" w:rsidRPr="00DB1648">
              <w:rPr>
                <w:b/>
                <w:sz w:val="20"/>
                <w:lang w:val="fr-CA"/>
              </w:rPr>
              <w:t xml:space="preserve">RELATIVES AU PROGRAMME DE PAYS </w:t>
            </w:r>
            <w:r w:rsidRPr="00DB1648">
              <w:rPr>
                <w:b/>
                <w:sz w:val="20"/>
                <w:lang w:val="fr-CA"/>
              </w:rPr>
              <w:t>(</w:t>
            </w:r>
            <w:r w:rsidR="00FA6721" w:rsidRPr="00DB1648">
              <w:rPr>
                <w:b/>
                <w:sz w:val="20"/>
                <w:lang w:val="fr-CA"/>
              </w:rPr>
              <w:t>tonnes PAO</w:t>
            </w:r>
            <w:r w:rsidRPr="00DB1648">
              <w:rPr>
                <w:b/>
                <w:sz w:val="20"/>
                <w:lang w:val="fr-CA"/>
              </w:rPr>
              <w:t>)</w:t>
            </w:r>
          </w:p>
        </w:tc>
        <w:tc>
          <w:tcPr>
            <w:tcW w:w="983" w:type="pct"/>
            <w:gridSpan w:val="2"/>
            <w:shd w:val="clear" w:color="auto" w:fill="auto"/>
          </w:tcPr>
          <w:p w14:paraId="7AD311F3" w14:textId="6D652766" w:rsidR="00EB31E3" w:rsidRPr="00DB1648" w:rsidRDefault="00FA6721" w:rsidP="00A0418C">
            <w:pPr>
              <w:suppressAutoHyphens/>
              <w:spacing w:after="60"/>
              <w:jc w:val="right"/>
              <w:rPr>
                <w:b/>
                <w:sz w:val="20"/>
                <w:lang w:val="fr-CA"/>
              </w:rPr>
            </w:pPr>
            <w:r w:rsidRPr="00DB1648">
              <w:rPr>
                <w:b/>
                <w:sz w:val="20"/>
                <w:lang w:val="fr-CA"/>
              </w:rPr>
              <w:t xml:space="preserve">Année </w:t>
            </w:r>
            <w:r w:rsidR="00EB31E3" w:rsidRPr="00DB1648">
              <w:rPr>
                <w:b/>
                <w:sz w:val="20"/>
                <w:lang w:val="fr-CA"/>
              </w:rPr>
              <w:t xml:space="preserve">: </w:t>
            </w:r>
            <w:r w:rsidR="00EB31E3" w:rsidRPr="00DB1648">
              <w:rPr>
                <w:color w:val="000000" w:themeColor="text1"/>
                <w:sz w:val="20"/>
                <w:lang w:val="fr-CA"/>
              </w:rPr>
              <w:t>2020</w:t>
            </w:r>
          </w:p>
        </w:tc>
      </w:tr>
      <w:tr w:rsidR="00FA6721" w:rsidRPr="00DB1648" w14:paraId="6179D9B2" w14:textId="77777777" w:rsidTr="00996241">
        <w:trPr>
          <w:trHeight w:val="250"/>
        </w:trPr>
        <w:tc>
          <w:tcPr>
            <w:tcW w:w="786" w:type="pct"/>
            <w:shd w:val="clear" w:color="auto" w:fill="auto"/>
          </w:tcPr>
          <w:p w14:paraId="44EBB1CE" w14:textId="05457654" w:rsidR="00EB31E3" w:rsidRPr="00DB1648" w:rsidRDefault="00FA6721" w:rsidP="00A0418C">
            <w:pPr>
              <w:suppressAutoHyphens/>
              <w:spacing w:after="60"/>
              <w:jc w:val="center"/>
              <w:rPr>
                <w:sz w:val="16"/>
                <w:lang w:val="fr-CA"/>
              </w:rPr>
            </w:pPr>
            <w:r w:rsidRPr="00DB1648">
              <w:rPr>
                <w:sz w:val="16"/>
                <w:lang w:val="fr-CA"/>
              </w:rPr>
              <w:t>Produits chimiques</w:t>
            </w:r>
          </w:p>
        </w:tc>
        <w:tc>
          <w:tcPr>
            <w:tcW w:w="428" w:type="pct"/>
            <w:shd w:val="clear" w:color="auto" w:fill="auto"/>
          </w:tcPr>
          <w:p w14:paraId="211110FE" w14:textId="46843A76" w:rsidR="00EB31E3" w:rsidRPr="00DB1648" w:rsidRDefault="00FA6721" w:rsidP="00A0418C">
            <w:pPr>
              <w:suppressAutoHyphens/>
              <w:spacing w:after="60"/>
              <w:jc w:val="center"/>
              <w:rPr>
                <w:sz w:val="16"/>
                <w:lang w:val="fr-CA"/>
              </w:rPr>
            </w:pPr>
            <w:r w:rsidRPr="00DB1648">
              <w:rPr>
                <w:sz w:val="16"/>
                <w:lang w:val="fr-CA"/>
              </w:rPr>
              <w:t>Aérosols</w:t>
            </w:r>
          </w:p>
        </w:tc>
        <w:tc>
          <w:tcPr>
            <w:tcW w:w="338" w:type="pct"/>
            <w:shd w:val="clear" w:color="auto" w:fill="auto"/>
          </w:tcPr>
          <w:p w14:paraId="26C59BFE" w14:textId="6ACB4EB8" w:rsidR="00EB31E3" w:rsidRPr="00DB1648" w:rsidRDefault="00FA6721" w:rsidP="00A0418C">
            <w:pPr>
              <w:suppressAutoHyphens/>
              <w:spacing w:after="60"/>
              <w:jc w:val="center"/>
              <w:rPr>
                <w:sz w:val="16"/>
                <w:lang w:val="fr-CA"/>
              </w:rPr>
            </w:pPr>
            <w:r w:rsidRPr="00DB1648">
              <w:rPr>
                <w:sz w:val="16"/>
                <w:lang w:val="fr-CA"/>
              </w:rPr>
              <w:t>Mousses</w:t>
            </w:r>
          </w:p>
        </w:tc>
        <w:tc>
          <w:tcPr>
            <w:tcW w:w="428" w:type="pct"/>
            <w:shd w:val="clear" w:color="auto" w:fill="auto"/>
          </w:tcPr>
          <w:p w14:paraId="05FE3033" w14:textId="271B71C8" w:rsidR="00EB31E3" w:rsidRPr="00DB1648" w:rsidRDefault="00FA6721" w:rsidP="00A0418C">
            <w:pPr>
              <w:suppressAutoHyphens/>
              <w:spacing w:after="60"/>
              <w:jc w:val="center"/>
              <w:rPr>
                <w:sz w:val="16"/>
                <w:lang w:val="fr-CA"/>
              </w:rPr>
            </w:pPr>
            <w:r w:rsidRPr="00DB1648">
              <w:rPr>
                <w:sz w:val="16"/>
                <w:lang w:val="fr-CA"/>
              </w:rPr>
              <w:t>Lutte contre les incendies</w:t>
            </w:r>
          </w:p>
        </w:tc>
        <w:tc>
          <w:tcPr>
            <w:tcW w:w="1203" w:type="pct"/>
            <w:gridSpan w:val="2"/>
            <w:shd w:val="clear" w:color="auto" w:fill="auto"/>
          </w:tcPr>
          <w:p w14:paraId="038BCE9A" w14:textId="46132EAE" w:rsidR="00EB31E3" w:rsidRPr="00DB1648" w:rsidRDefault="00FA6721" w:rsidP="00A0418C">
            <w:pPr>
              <w:suppressAutoHyphens/>
              <w:spacing w:after="60"/>
              <w:jc w:val="center"/>
              <w:rPr>
                <w:sz w:val="16"/>
                <w:lang w:val="fr-CA"/>
              </w:rPr>
            </w:pPr>
            <w:r w:rsidRPr="00DB1648">
              <w:rPr>
                <w:sz w:val="16"/>
                <w:lang w:val="fr-CA"/>
              </w:rPr>
              <w:t>Réfrigération</w:t>
            </w:r>
          </w:p>
        </w:tc>
        <w:tc>
          <w:tcPr>
            <w:tcW w:w="417" w:type="pct"/>
            <w:shd w:val="clear" w:color="auto" w:fill="auto"/>
          </w:tcPr>
          <w:p w14:paraId="258194A8" w14:textId="2CD6CA81" w:rsidR="00EB31E3" w:rsidRPr="00DB1648" w:rsidRDefault="00FA6721" w:rsidP="00A0418C">
            <w:pPr>
              <w:suppressAutoHyphens/>
              <w:spacing w:after="60"/>
              <w:jc w:val="center"/>
              <w:rPr>
                <w:sz w:val="16"/>
                <w:lang w:val="fr-CA"/>
              </w:rPr>
            </w:pPr>
            <w:r w:rsidRPr="00DB1648">
              <w:rPr>
                <w:sz w:val="16"/>
                <w:lang w:val="fr-CA"/>
              </w:rPr>
              <w:t xml:space="preserve"> Solvants</w:t>
            </w:r>
          </w:p>
        </w:tc>
        <w:tc>
          <w:tcPr>
            <w:tcW w:w="417" w:type="pct"/>
            <w:shd w:val="clear" w:color="auto" w:fill="auto"/>
          </w:tcPr>
          <w:p w14:paraId="7730B909" w14:textId="285F0E42" w:rsidR="00EB31E3" w:rsidRPr="00DB1648" w:rsidRDefault="00FA6721" w:rsidP="00A0418C">
            <w:pPr>
              <w:suppressAutoHyphens/>
              <w:spacing w:after="60"/>
              <w:jc w:val="center"/>
              <w:rPr>
                <w:sz w:val="16"/>
                <w:lang w:val="fr-CA"/>
              </w:rPr>
            </w:pPr>
            <w:r w:rsidRPr="00DB1648">
              <w:rPr>
                <w:sz w:val="16"/>
                <w:lang w:val="fr-CA"/>
              </w:rPr>
              <w:t>Agents de transformation</w:t>
            </w:r>
          </w:p>
        </w:tc>
        <w:tc>
          <w:tcPr>
            <w:tcW w:w="265" w:type="pct"/>
            <w:shd w:val="clear" w:color="auto" w:fill="auto"/>
          </w:tcPr>
          <w:p w14:paraId="23377D77" w14:textId="2E039C3B" w:rsidR="00EB31E3" w:rsidRPr="00DB1648" w:rsidRDefault="00FA6721" w:rsidP="00A0418C">
            <w:pPr>
              <w:suppressAutoHyphens/>
              <w:spacing w:after="60"/>
              <w:jc w:val="center"/>
              <w:rPr>
                <w:sz w:val="16"/>
                <w:lang w:val="fr-CA"/>
              </w:rPr>
            </w:pPr>
            <w:r w:rsidRPr="00DB1648">
              <w:rPr>
                <w:sz w:val="16"/>
                <w:lang w:val="fr-CA"/>
              </w:rPr>
              <w:t>Utilisation en laboratoire</w:t>
            </w:r>
          </w:p>
        </w:tc>
        <w:tc>
          <w:tcPr>
            <w:tcW w:w="718" w:type="pct"/>
            <w:shd w:val="clear" w:color="auto" w:fill="auto"/>
          </w:tcPr>
          <w:p w14:paraId="22D506FD" w14:textId="583F2A1B" w:rsidR="00EB31E3" w:rsidRPr="00DB1648" w:rsidRDefault="00FA6721" w:rsidP="00A0418C">
            <w:pPr>
              <w:suppressAutoHyphens/>
              <w:spacing w:after="60"/>
              <w:jc w:val="center"/>
              <w:rPr>
                <w:sz w:val="16"/>
                <w:lang w:val="fr-CA"/>
              </w:rPr>
            </w:pPr>
            <w:r w:rsidRPr="00DB1648">
              <w:rPr>
                <w:sz w:val="16"/>
                <w:lang w:val="fr-CA"/>
              </w:rPr>
              <w:t>Consommation totale du secteur</w:t>
            </w:r>
          </w:p>
        </w:tc>
      </w:tr>
      <w:tr w:rsidR="00FA6721" w:rsidRPr="00DB1648" w14:paraId="710FDEC9" w14:textId="77777777" w:rsidTr="00996241">
        <w:trPr>
          <w:trHeight w:val="70"/>
        </w:trPr>
        <w:tc>
          <w:tcPr>
            <w:tcW w:w="1980" w:type="pct"/>
            <w:gridSpan w:val="4"/>
            <w:shd w:val="clear" w:color="auto" w:fill="auto"/>
          </w:tcPr>
          <w:p w14:paraId="1AA16DF0" w14:textId="77777777" w:rsidR="00EB31E3" w:rsidRPr="00DB1648" w:rsidRDefault="00EB31E3" w:rsidP="00A0418C">
            <w:pPr>
              <w:suppressAutoHyphens/>
              <w:spacing w:after="60"/>
              <w:jc w:val="center"/>
              <w:rPr>
                <w:sz w:val="20"/>
                <w:lang w:val="fr-CA"/>
              </w:rPr>
            </w:pPr>
            <w:r w:rsidRPr="00DB1648">
              <w:rPr>
                <w:sz w:val="20"/>
                <w:lang w:val="fr-CA"/>
              </w:rPr>
              <w:t xml:space="preserve"> </w:t>
            </w:r>
          </w:p>
        </w:tc>
        <w:tc>
          <w:tcPr>
            <w:tcW w:w="708" w:type="pct"/>
            <w:shd w:val="clear" w:color="auto" w:fill="auto"/>
          </w:tcPr>
          <w:p w14:paraId="3E0355B9" w14:textId="390FF791" w:rsidR="00EB31E3" w:rsidRPr="00DB1648" w:rsidRDefault="00FA6721" w:rsidP="00A0418C">
            <w:pPr>
              <w:suppressAutoHyphens/>
              <w:spacing w:after="60"/>
              <w:jc w:val="center"/>
              <w:rPr>
                <w:sz w:val="16"/>
                <w:lang w:val="fr-CA"/>
              </w:rPr>
            </w:pPr>
            <w:r w:rsidRPr="00DB1648">
              <w:rPr>
                <w:sz w:val="16"/>
                <w:lang w:val="fr-CA"/>
              </w:rPr>
              <w:t>Fabrication</w:t>
            </w:r>
          </w:p>
        </w:tc>
        <w:tc>
          <w:tcPr>
            <w:tcW w:w="495" w:type="pct"/>
            <w:shd w:val="clear" w:color="auto" w:fill="auto"/>
          </w:tcPr>
          <w:p w14:paraId="20FC6344" w14:textId="7832C344" w:rsidR="00EB31E3" w:rsidRPr="00DB1648" w:rsidRDefault="00FA6721" w:rsidP="00A0418C">
            <w:pPr>
              <w:suppressAutoHyphens/>
              <w:spacing w:after="60"/>
              <w:jc w:val="center"/>
              <w:rPr>
                <w:sz w:val="16"/>
                <w:lang w:val="fr-CA"/>
              </w:rPr>
            </w:pPr>
            <w:r w:rsidRPr="00DB1648">
              <w:rPr>
                <w:sz w:val="16"/>
                <w:lang w:val="fr-CA"/>
              </w:rPr>
              <w:t>Entretien</w:t>
            </w:r>
          </w:p>
        </w:tc>
        <w:tc>
          <w:tcPr>
            <w:tcW w:w="1817" w:type="pct"/>
            <w:gridSpan w:val="4"/>
            <w:shd w:val="clear" w:color="auto" w:fill="auto"/>
          </w:tcPr>
          <w:p w14:paraId="0D78DF01" w14:textId="77777777" w:rsidR="00EB31E3" w:rsidRPr="00DB1648" w:rsidRDefault="00EB31E3" w:rsidP="00A0418C">
            <w:pPr>
              <w:suppressAutoHyphens/>
              <w:spacing w:after="60"/>
              <w:jc w:val="center"/>
              <w:rPr>
                <w:sz w:val="20"/>
                <w:lang w:val="fr-CA"/>
              </w:rPr>
            </w:pPr>
          </w:p>
        </w:tc>
      </w:tr>
      <w:tr w:rsidR="00FA6721" w:rsidRPr="00DB1648" w14:paraId="427A5F85" w14:textId="77777777" w:rsidTr="00B54960">
        <w:trPr>
          <w:trHeight w:val="250"/>
        </w:trPr>
        <w:tc>
          <w:tcPr>
            <w:tcW w:w="786" w:type="pct"/>
            <w:shd w:val="clear" w:color="auto" w:fill="auto"/>
          </w:tcPr>
          <w:p w14:paraId="08E2B26B" w14:textId="77777777" w:rsidR="00EB31E3" w:rsidRPr="00DB1648" w:rsidRDefault="00EB31E3" w:rsidP="00A0418C">
            <w:pPr>
              <w:suppressAutoHyphens/>
              <w:spacing w:after="60"/>
              <w:jc w:val="left"/>
              <w:rPr>
                <w:sz w:val="20"/>
                <w:lang w:val="fr-CA"/>
              </w:rPr>
            </w:pPr>
            <w:r w:rsidRPr="00DB1648">
              <w:rPr>
                <w:color w:val="000000" w:themeColor="text1"/>
                <w:sz w:val="20"/>
                <w:lang w:val="fr-CA"/>
              </w:rPr>
              <w:t>HCFC-22</w:t>
            </w:r>
          </w:p>
        </w:tc>
        <w:tc>
          <w:tcPr>
            <w:tcW w:w="428" w:type="pct"/>
            <w:shd w:val="clear" w:color="auto" w:fill="auto"/>
          </w:tcPr>
          <w:p w14:paraId="7BE36DD6" w14:textId="77777777" w:rsidR="00EB31E3" w:rsidRPr="00DB1648" w:rsidRDefault="00EB31E3" w:rsidP="00A0418C">
            <w:pPr>
              <w:suppressAutoHyphens/>
              <w:spacing w:after="60"/>
              <w:jc w:val="right"/>
              <w:rPr>
                <w:sz w:val="20"/>
                <w:lang w:val="fr-CA"/>
              </w:rPr>
            </w:pPr>
          </w:p>
        </w:tc>
        <w:tc>
          <w:tcPr>
            <w:tcW w:w="338" w:type="pct"/>
            <w:shd w:val="clear" w:color="auto" w:fill="auto"/>
          </w:tcPr>
          <w:p w14:paraId="5EF9A912" w14:textId="77777777" w:rsidR="00EB31E3" w:rsidRPr="00DB1648" w:rsidRDefault="00EB31E3" w:rsidP="00A0418C">
            <w:pPr>
              <w:suppressAutoHyphens/>
              <w:spacing w:after="60"/>
              <w:jc w:val="right"/>
              <w:rPr>
                <w:sz w:val="20"/>
                <w:lang w:val="fr-CA"/>
              </w:rPr>
            </w:pPr>
          </w:p>
        </w:tc>
        <w:tc>
          <w:tcPr>
            <w:tcW w:w="428" w:type="pct"/>
            <w:shd w:val="clear" w:color="auto" w:fill="auto"/>
          </w:tcPr>
          <w:p w14:paraId="2AD7FAF8" w14:textId="77777777" w:rsidR="00EB31E3" w:rsidRPr="00DB1648" w:rsidRDefault="00EB31E3" w:rsidP="00A0418C">
            <w:pPr>
              <w:suppressAutoHyphens/>
              <w:spacing w:after="60"/>
              <w:jc w:val="right"/>
              <w:rPr>
                <w:sz w:val="20"/>
                <w:lang w:val="fr-CA"/>
              </w:rPr>
            </w:pPr>
          </w:p>
        </w:tc>
        <w:tc>
          <w:tcPr>
            <w:tcW w:w="708" w:type="pct"/>
            <w:shd w:val="clear" w:color="auto" w:fill="auto"/>
          </w:tcPr>
          <w:p w14:paraId="3AC3D75B" w14:textId="395D6EBD" w:rsidR="00EB31E3" w:rsidRPr="00DB1648" w:rsidRDefault="00FA6721" w:rsidP="00A0418C">
            <w:pPr>
              <w:suppressAutoHyphens/>
              <w:spacing w:after="60"/>
              <w:jc w:val="right"/>
              <w:rPr>
                <w:sz w:val="20"/>
                <w:lang w:val="fr-CA"/>
              </w:rPr>
            </w:pPr>
            <w:r w:rsidRPr="00DB1648">
              <w:rPr>
                <w:color w:val="000000"/>
                <w:sz w:val="20"/>
                <w:szCs w:val="20"/>
                <w:lang w:val="fr-CA"/>
              </w:rPr>
              <w:t>0,</w:t>
            </w:r>
            <w:r w:rsidR="00B54960" w:rsidRPr="00DB1648">
              <w:rPr>
                <w:color w:val="000000"/>
                <w:sz w:val="20"/>
                <w:szCs w:val="20"/>
                <w:lang w:val="fr-CA"/>
              </w:rPr>
              <w:t>0</w:t>
            </w:r>
            <w:r w:rsidR="0039451D" w:rsidRPr="00DB1648">
              <w:rPr>
                <w:color w:val="000000"/>
                <w:sz w:val="20"/>
                <w:szCs w:val="20"/>
                <w:lang w:val="fr-CA"/>
              </w:rPr>
              <w:t>4</w:t>
            </w:r>
          </w:p>
        </w:tc>
        <w:tc>
          <w:tcPr>
            <w:tcW w:w="495" w:type="pct"/>
            <w:shd w:val="clear" w:color="auto" w:fill="auto"/>
          </w:tcPr>
          <w:p w14:paraId="0629A10B" w14:textId="77777777" w:rsidR="00EB31E3" w:rsidRPr="00DB1648" w:rsidRDefault="00EB31E3" w:rsidP="00A0418C">
            <w:pPr>
              <w:suppressAutoHyphens/>
              <w:spacing w:after="60"/>
              <w:jc w:val="right"/>
              <w:rPr>
                <w:sz w:val="20"/>
                <w:lang w:val="fr-CA"/>
              </w:rPr>
            </w:pPr>
          </w:p>
        </w:tc>
        <w:tc>
          <w:tcPr>
            <w:tcW w:w="417" w:type="pct"/>
            <w:shd w:val="clear" w:color="auto" w:fill="auto"/>
          </w:tcPr>
          <w:p w14:paraId="0613D474" w14:textId="77777777" w:rsidR="00EB31E3" w:rsidRPr="00DB1648" w:rsidRDefault="00EB31E3" w:rsidP="00A0418C">
            <w:pPr>
              <w:suppressAutoHyphens/>
              <w:spacing w:after="60"/>
              <w:jc w:val="right"/>
              <w:rPr>
                <w:sz w:val="20"/>
                <w:lang w:val="fr-CA"/>
              </w:rPr>
            </w:pPr>
          </w:p>
        </w:tc>
        <w:tc>
          <w:tcPr>
            <w:tcW w:w="417" w:type="pct"/>
            <w:shd w:val="clear" w:color="auto" w:fill="auto"/>
          </w:tcPr>
          <w:p w14:paraId="41CA151F" w14:textId="77777777" w:rsidR="00EB31E3" w:rsidRPr="00DB1648" w:rsidRDefault="00EB31E3" w:rsidP="00A0418C">
            <w:pPr>
              <w:suppressAutoHyphens/>
              <w:spacing w:after="60"/>
              <w:jc w:val="right"/>
              <w:rPr>
                <w:sz w:val="20"/>
                <w:lang w:val="fr-CA"/>
              </w:rPr>
            </w:pPr>
          </w:p>
        </w:tc>
        <w:tc>
          <w:tcPr>
            <w:tcW w:w="265" w:type="pct"/>
            <w:shd w:val="clear" w:color="auto" w:fill="auto"/>
          </w:tcPr>
          <w:p w14:paraId="00991BD6" w14:textId="77777777" w:rsidR="00EB31E3" w:rsidRPr="00DB1648" w:rsidRDefault="00EB31E3" w:rsidP="00A0418C">
            <w:pPr>
              <w:suppressAutoHyphens/>
              <w:spacing w:after="60"/>
              <w:jc w:val="right"/>
              <w:rPr>
                <w:sz w:val="20"/>
                <w:lang w:val="fr-CA"/>
              </w:rPr>
            </w:pPr>
          </w:p>
        </w:tc>
        <w:tc>
          <w:tcPr>
            <w:tcW w:w="718" w:type="pct"/>
            <w:shd w:val="clear" w:color="auto" w:fill="auto"/>
          </w:tcPr>
          <w:p w14:paraId="0CCD7E7E" w14:textId="29A1D788" w:rsidR="00EB31E3" w:rsidRPr="00DB1648" w:rsidRDefault="00FA6721" w:rsidP="00A0418C">
            <w:pPr>
              <w:suppressAutoHyphens/>
              <w:spacing w:after="60"/>
              <w:jc w:val="right"/>
              <w:rPr>
                <w:sz w:val="20"/>
                <w:lang w:val="fr-CA"/>
              </w:rPr>
            </w:pPr>
            <w:r w:rsidRPr="00DB1648">
              <w:rPr>
                <w:sz w:val="20"/>
                <w:lang w:val="fr-CA"/>
              </w:rPr>
              <w:t>0,</w:t>
            </w:r>
            <w:r w:rsidR="00B54960" w:rsidRPr="00DB1648">
              <w:rPr>
                <w:sz w:val="20"/>
                <w:lang w:val="fr-CA"/>
              </w:rPr>
              <w:t>04</w:t>
            </w:r>
          </w:p>
        </w:tc>
      </w:tr>
    </w:tbl>
    <w:p w14:paraId="26455886" w14:textId="77777777" w:rsidR="00EB31E3" w:rsidRPr="00DB1648" w:rsidRDefault="00EB31E3" w:rsidP="00A0418C">
      <w:pPr>
        <w:suppressAutoHyphens/>
        <w:jc w:val="left"/>
        <w:rPr>
          <w:b/>
          <w:sz w:val="20"/>
          <w:lang w:val="fr-CA"/>
        </w:rPr>
      </w:pPr>
    </w:p>
    <w:tbl>
      <w:tblPr>
        <w:tblStyle w:val="TableGrid"/>
        <w:tblW w:w="5309" w:type="pct"/>
        <w:tblInd w:w="-113" w:type="dxa"/>
        <w:tblLook w:val="04A0" w:firstRow="1" w:lastRow="0" w:firstColumn="1" w:lastColumn="0" w:noHBand="0" w:noVBand="1"/>
      </w:tblPr>
      <w:tblGrid>
        <w:gridCol w:w="3143"/>
        <w:gridCol w:w="901"/>
        <w:gridCol w:w="5353"/>
        <w:gridCol w:w="531"/>
      </w:tblGrid>
      <w:tr w:rsidR="00EB31E3" w:rsidRPr="001067DD" w14:paraId="3B829FC8" w14:textId="77777777" w:rsidTr="00996241">
        <w:trPr>
          <w:trHeight w:val="289"/>
        </w:trPr>
        <w:tc>
          <w:tcPr>
            <w:tcW w:w="5000" w:type="pct"/>
            <w:gridSpan w:val="4"/>
            <w:shd w:val="clear" w:color="auto" w:fill="auto"/>
          </w:tcPr>
          <w:p w14:paraId="4D61C9AC" w14:textId="74FA91BD" w:rsidR="00EB31E3" w:rsidRPr="00DB1648" w:rsidRDefault="00EB31E3" w:rsidP="00FA6721">
            <w:pPr>
              <w:suppressAutoHyphens/>
              <w:jc w:val="left"/>
              <w:rPr>
                <w:b/>
                <w:sz w:val="20"/>
                <w:lang w:val="fr-CA"/>
              </w:rPr>
            </w:pPr>
            <w:r w:rsidRPr="00DB1648">
              <w:rPr>
                <w:b/>
                <w:sz w:val="20"/>
                <w:lang w:val="fr-CA"/>
              </w:rPr>
              <w:t xml:space="preserve">IV) </w:t>
            </w:r>
            <w:r w:rsidR="00FA6721" w:rsidRPr="00DB1648">
              <w:rPr>
                <w:b/>
                <w:sz w:val="20"/>
                <w:lang w:val="fr-CA"/>
              </w:rPr>
              <w:t>DONNÉES SUR LA CONSOMMATION (tonnes PAO</w:t>
            </w:r>
            <w:r w:rsidRPr="00DB1648">
              <w:rPr>
                <w:b/>
                <w:sz w:val="20"/>
                <w:lang w:val="fr-CA"/>
              </w:rPr>
              <w:t>)</w:t>
            </w:r>
          </w:p>
        </w:tc>
      </w:tr>
      <w:tr w:rsidR="00527D6E" w:rsidRPr="00DB1648" w14:paraId="6A929FC4" w14:textId="77777777" w:rsidTr="00527D6E">
        <w:trPr>
          <w:trHeight w:val="289"/>
        </w:trPr>
        <w:tc>
          <w:tcPr>
            <w:tcW w:w="1583" w:type="pct"/>
            <w:shd w:val="clear" w:color="auto" w:fill="auto"/>
          </w:tcPr>
          <w:p w14:paraId="1D387C66" w14:textId="20B82C83" w:rsidR="00527D6E" w:rsidRPr="00DB1648" w:rsidRDefault="00FA6721" w:rsidP="00FA6721">
            <w:pPr>
              <w:suppressAutoHyphens/>
              <w:spacing w:after="60"/>
              <w:jc w:val="center"/>
              <w:rPr>
                <w:sz w:val="20"/>
                <w:lang w:val="fr-CA"/>
              </w:rPr>
            </w:pPr>
            <w:r w:rsidRPr="00DB1648">
              <w:rPr>
                <w:sz w:val="20"/>
                <w:lang w:val="fr-CA"/>
              </w:rPr>
              <w:t xml:space="preserve">Données de référence </w:t>
            </w:r>
            <w:r w:rsidR="00527D6E" w:rsidRPr="00DB1648">
              <w:rPr>
                <w:sz w:val="20"/>
                <w:lang w:val="fr-CA"/>
              </w:rPr>
              <w:t>2009 - 2010 :</w:t>
            </w:r>
          </w:p>
        </w:tc>
        <w:tc>
          <w:tcPr>
            <w:tcW w:w="454" w:type="pct"/>
            <w:shd w:val="clear" w:color="auto" w:fill="auto"/>
          </w:tcPr>
          <w:p w14:paraId="1B090623" w14:textId="43451F52" w:rsidR="00527D6E" w:rsidRPr="00DB1648" w:rsidRDefault="00527D6E" w:rsidP="00A0418C">
            <w:pPr>
              <w:suppressAutoHyphens/>
              <w:spacing w:after="60"/>
              <w:jc w:val="center"/>
              <w:rPr>
                <w:sz w:val="20"/>
                <w:lang w:val="fr-CA"/>
              </w:rPr>
            </w:pPr>
            <w:r w:rsidRPr="00DB1648">
              <w:rPr>
                <w:sz w:val="18"/>
                <w:lang w:val="fr-CA"/>
              </w:rPr>
              <w:t>1</w:t>
            </w:r>
            <w:r w:rsidR="00B41D66" w:rsidRPr="00DB1648">
              <w:rPr>
                <w:sz w:val="18"/>
                <w:lang w:val="fr-CA"/>
              </w:rPr>
              <w:t>,</w:t>
            </w:r>
            <w:r w:rsidRPr="00DB1648">
              <w:rPr>
                <w:sz w:val="18"/>
                <w:lang w:val="fr-CA"/>
              </w:rPr>
              <w:t>1</w:t>
            </w:r>
          </w:p>
        </w:tc>
        <w:tc>
          <w:tcPr>
            <w:tcW w:w="2696" w:type="pct"/>
            <w:shd w:val="clear" w:color="auto" w:fill="auto"/>
          </w:tcPr>
          <w:p w14:paraId="443D1F37" w14:textId="7E512C18" w:rsidR="00527D6E" w:rsidRPr="00DB1648" w:rsidRDefault="00B41D66" w:rsidP="00DB1648">
            <w:pPr>
              <w:suppressAutoHyphens/>
              <w:spacing w:after="60"/>
              <w:jc w:val="center"/>
              <w:rPr>
                <w:sz w:val="20"/>
                <w:lang w:val="fr-CA"/>
              </w:rPr>
            </w:pPr>
            <w:r w:rsidRPr="00DB1648">
              <w:rPr>
                <w:sz w:val="18"/>
                <w:lang w:val="fr-CA"/>
              </w:rPr>
              <w:t xml:space="preserve">Point de départ pour une réduction </w:t>
            </w:r>
            <w:r w:rsidR="00DB1648">
              <w:rPr>
                <w:sz w:val="18"/>
                <w:lang w:val="fr-CA"/>
              </w:rPr>
              <w:t>globale</w:t>
            </w:r>
            <w:r w:rsidRPr="00DB1648">
              <w:rPr>
                <w:sz w:val="18"/>
                <w:lang w:val="fr-CA"/>
              </w:rPr>
              <w:t xml:space="preserve"> durable </w:t>
            </w:r>
            <w:r w:rsidR="00527D6E" w:rsidRPr="00DB1648">
              <w:rPr>
                <w:sz w:val="18"/>
                <w:lang w:val="fr-CA"/>
              </w:rPr>
              <w:t>:</w:t>
            </w:r>
          </w:p>
        </w:tc>
        <w:tc>
          <w:tcPr>
            <w:tcW w:w="267" w:type="pct"/>
            <w:shd w:val="clear" w:color="auto" w:fill="auto"/>
          </w:tcPr>
          <w:p w14:paraId="77E36B27" w14:textId="0CEC48A8" w:rsidR="00527D6E" w:rsidRPr="00DB1648" w:rsidRDefault="00B41D66" w:rsidP="00A0418C">
            <w:pPr>
              <w:suppressAutoHyphens/>
              <w:spacing w:after="60"/>
              <w:jc w:val="center"/>
              <w:rPr>
                <w:sz w:val="20"/>
                <w:lang w:val="fr-CA"/>
              </w:rPr>
            </w:pPr>
            <w:r w:rsidRPr="00DB1648">
              <w:rPr>
                <w:sz w:val="18"/>
                <w:lang w:val="fr-CA"/>
              </w:rPr>
              <w:t>0,2</w:t>
            </w:r>
            <w:r w:rsidR="00527D6E" w:rsidRPr="00DB1648">
              <w:rPr>
                <w:sz w:val="18"/>
                <w:lang w:val="fr-CA"/>
              </w:rPr>
              <w:t>5</w:t>
            </w:r>
          </w:p>
        </w:tc>
      </w:tr>
      <w:tr w:rsidR="00EB31E3" w:rsidRPr="001067DD" w14:paraId="4EA45DE7" w14:textId="77777777" w:rsidTr="00996241">
        <w:trPr>
          <w:trHeight w:val="173"/>
        </w:trPr>
        <w:tc>
          <w:tcPr>
            <w:tcW w:w="5000" w:type="pct"/>
            <w:gridSpan w:val="4"/>
            <w:shd w:val="clear" w:color="auto" w:fill="auto"/>
          </w:tcPr>
          <w:p w14:paraId="160811ED" w14:textId="536CCCD9" w:rsidR="00EB31E3" w:rsidRPr="00DB1648" w:rsidRDefault="00B41D66" w:rsidP="00B41D66">
            <w:pPr>
              <w:suppressAutoHyphens/>
              <w:jc w:val="center"/>
              <w:rPr>
                <w:b/>
                <w:sz w:val="20"/>
                <w:lang w:val="fr-CA"/>
              </w:rPr>
            </w:pPr>
            <w:r w:rsidRPr="00DB1648">
              <w:rPr>
                <w:b/>
                <w:sz w:val="20"/>
                <w:lang w:val="fr-CA"/>
              </w:rPr>
              <w:t>CONSOMMATION ADMISSIBLE AU FINANCEMENT (tonnes PAO</w:t>
            </w:r>
            <w:r w:rsidR="00EB31E3" w:rsidRPr="00DB1648">
              <w:rPr>
                <w:b/>
                <w:sz w:val="20"/>
                <w:lang w:val="fr-CA"/>
              </w:rPr>
              <w:t>)</w:t>
            </w:r>
          </w:p>
        </w:tc>
      </w:tr>
      <w:tr w:rsidR="00527D6E" w:rsidRPr="00DB1648" w14:paraId="68C5C292" w14:textId="77777777" w:rsidTr="00527D6E">
        <w:trPr>
          <w:trHeight w:val="289"/>
        </w:trPr>
        <w:tc>
          <w:tcPr>
            <w:tcW w:w="1583" w:type="pct"/>
            <w:shd w:val="clear" w:color="auto" w:fill="auto"/>
          </w:tcPr>
          <w:p w14:paraId="12B35896" w14:textId="16BAF188" w:rsidR="00527D6E" w:rsidRPr="00DB1648" w:rsidRDefault="00B41D66" w:rsidP="00A0418C">
            <w:pPr>
              <w:suppressAutoHyphens/>
              <w:spacing w:after="60"/>
              <w:jc w:val="center"/>
              <w:rPr>
                <w:sz w:val="20"/>
                <w:lang w:val="fr-CA"/>
              </w:rPr>
            </w:pPr>
            <w:r w:rsidRPr="00DB1648">
              <w:rPr>
                <w:sz w:val="20"/>
                <w:lang w:val="fr-CA"/>
              </w:rPr>
              <w:t xml:space="preserve">Déjà approuvée </w:t>
            </w:r>
            <w:r w:rsidR="00527D6E" w:rsidRPr="00DB1648">
              <w:rPr>
                <w:sz w:val="20"/>
                <w:lang w:val="fr-CA"/>
              </w:rPr>
              <w:t>:</w:t>
            </w:r>
          </w:p>
        </w:tc>
        <w:tc>
          <w:tcPr>
            <w:tcW w:w="454" w:type="pct"/>
            <w:shd w:val="clear" w:color="auto" w:fill="auto"/>
          </w:tcPr>
          <w:p w14:paraId="055A3B07" w14:textId="0DEA29BB" w:rsidR="00527D6E" w:rsidRPr="00DB1648" w:rsidRDefault="00B41D66" w:rsidP="00A0418C">
            <w:pPr>
              <w:suppressAutoHyphens/>
              <w:spacing w:after="60"/>
              <w:jc w:val="center"/>
              <w:rPr>
                <w:sz w:val="20"/>
                <w:lang w:val="fr-CA"/>
              </w:rPr>
            </w:pPr>
            <w:r w:rsidRPr="00DB1648">
              <w:rPr>
                <w:sz w:val="18"/>
                <w:lang w:val="fr-CA"/>
              </w:rPr>
              <w:t>0,</w:t>
            </w:r>
            <w:r w:rsidR="00527D6E" w:rsidRPr="00DB1648">
              <w:rPr>
                <w:sz w:val="18"/>
                <w:lang w:val="fr-CA"/>
              </w:rPr>
              <w:t>09</w:t>
            </w:r>
          </w:p>
        </w:tc>
        <w:tc>
          <w:tcPr>
            <w:tcW w:w="2696" w:type="pct"/>
            <w:shd w:val="clear" w:color="auto" w:fill="auto"/>
          </w:tcPr>
          <w:p w14:paraId="7197286C" w14:textId="794E6346" w:rsidR="00527D6E" w:rsidRPr="00DB1648" w:rsidRDefault="00B41D66" w:rsidP="00A0418C">
            <w:pPr>
              <w:suppressAutoHyphens/>
              <w:spacing w:after="60"/>
              <w:jc w:val="center"/>
              <w:rPr>
                <w:sz w:val="20"/>
                <w:lang w:val="fr-CA"/>
              </w:rPr>
            </w:pPr>
            <w:r w:rsidRPr="00DB1648">
              <w:rPr>
                <w:sz w:val="18"/>
                <w:lang w:val="fr-CA"/>
              </w:rPr>
              <w:t xml:space="preserve">Restante </w:t>
            </w:r>
            <w:r w:rsidR="00527D6E" w:rsidRPr="00DB1648">
              <w:rPr>
                <w:sz w:val="18"/>
                <w:lang w:val="fr-CA"/>
              </w:rPr>
              <w:t>:</w:t>
            </w:r>
          </w:p>
        </w:tc>
        <w:tc>
          <w:tcPr>
            <w:tcW w:w="267" w:type="pct"/>
            <w:shd w:val="clear" w:color="auto" w:fill="auto"/>
          </w:tcPr>
          <w:p w14:paraId="4EF6AFDE" w14:textId="66F74793" w:rsidR="00527D6E" w:rsidRPr="00DB1648" w:rsidRDefault="00B41D66" w:rsidP="00A0418C">
            <w:pPr>
              <w:suppressAutoHyphens/>
              <w:spacing w:after="60"/>
              <w:jc w:val="center"/>
              <w:rPr>
                <w:sz w:val="20"/>
                <w:lang w:val="fr-CA"/>
              </w:rPr>
            </w:pPr>
            <w:r w:rsidRPr="00DB1648">
              <w:rPr>
                <w:sz w:val="18"/>
                <w:lang w:val="fr-CA"/>
              </w:rPr>
              <w:t>0,</w:t>
            </w:r>
            <w:r w:rsidR="00527D6E" w:rsidRPr="00DB1648">
              <w:rPr>
                <w:sz w:val="18"/>
                <w:lang w:val="fr-CA"/>
              </w:rPr>
              <w:t>16</w:t>
            </w:r>
          </w:p>
        </w:tc>
      </w:tr>
    </w:tbl>
    <w:p w14:paraId="05C63C99" w14:textId="77777777" w:rsidR="00EB31E3" w:rsidRPr="00DB1648" w:rsidRDefault="00EB31E3" w:rsidP="00A0418C">
      <w:pPr>
        <w:suppressAutoHyphens/>
        <w:jc w:val="center"/>
        <w:rPr>
          <w:sz w:val="20"/>
          <w:lang w:val="fr-CA"/>
        </w:rPr>
      </w:pPr>
    </w:p>
    <w:tbl>
      <w:tblPr>
        <w:tblStyle w:val="TableGrid"/>
        <w:tblW w:w="5309" w:type="pct"/>
        <w:tblInd w:w="-113" w:type="dxa"/>
        <w:tblLook w:val="04A0" w:firstRow="1" w:lastRow="0" w:firstColumn="1" w:lastColumn="0" w:noHBand="0" w:noVBand="1"/>
      </w:tblPr>
      <w:tblGrid>
        <w:gridCol w:w="829"/>
        <w:gridCol w:w="3145"/>
        <w:gridCol w:w="1489"/>
        <w:gridCol w:w="1489"/>
        <w:gridCol w:w="1489"/>
        <w:gridCol w:w="1487"/>
      </w:tblGrid>
      <w:tr w:rsidR="00EB31E3" w:rsidRPr="00DB1648" w14:paraId="11635221" w14:textId="77777777" w:rsidTr="00283FE6">
        <w:trPr>
          <w:trHeight w:val="258"/>
        </w:trPr>
        <w:tc>
          <w:tcPr>
            <w:tcW w:w="2001" w:type="pct"/>
            <w:gridSpan w:val="2"/>
            <w:shd w:val="clear" w:color="auto" w:fill="auto"/>
          </w:tcPr>
          <w:p w14:paraId="210F8017" w14:textId="67AD8722" w:rsidR="00EB31E3" w:rsidRPr="00DB1648" w:rsidRDefault="00EB31E3" w:rsidP="00B41D66">
            <w:pPr>
              <w:suppressAutoHyphens/>
              <w:spacing w:after="60"/>
              <w:jc w:val="left"/>
              <w:rPr>
                <w:b/>
                <w:sz w:val="20"/>
                <w:lang w:val="fr-CA"/>
              </w:rPr>
            </w:pPr>
            <w:r w:rsidRPr="00DB1648">
              <w:rPr>
                <w:b/>
                <w:sz w:val="20"/>
                <w:lang w:val="fr-CA"/>
              </w:rPr>
              <w:t xml:space="preserve">V) </w:t>
            </w:r>
            <w:r w:rsidR="00B41D66" w:rsidRPr="00DB1648">
              <w:rPr>
                <w:b/>
                <w:sz w:val="20"/>
                <w:lang w:val="fr-CA"/>
              </w:rPr>
              <w:t>PLAN D’ACTIVITÉS</w:t>
            </w:r>
          </w:p>
        </w:tc>
        <w:tc>
          <w:tcPr>
            <w:tcW w:w="750" w:type="pct"/>
            <w:shd w:val="clear" w:color="auto" w:fill="auto"/>
          </w:tcPr>
          <w:p w14:paraId="6AB1C945" w14:textId="77777777" w:rsidR="00EB31E3" w:rsidRPr="00DB1648" w:rsidRDefault="00EB31E3" w:rsidP="00A0418C">
            <w:pPr>
              <w:suppressAutoHyphens/>
              <w:spacing w:after="60"/>
              <w:jc w:val="center"/>
              <w:rPr>
                <w:b/>
                <w:sz w:val="20"/>
                <w:lang w:val="fr-CA"/>
              </w:rPr>
            </w:pPr>
            <w:r w:rsidRPr="00DB1648">
              <w:rPr>
                <w:b/>
                <w:sz w:val="20"/>
                <w:lang w:val="fr-CA"/>
              </w:rPr>
              <w:t>2021</w:t>
            </w:r>
          </w:p>
        </w:tc>
        <w:tc>
          <w:tcPr>
            <w:tcW w:w="750" w:type="pct"/>
            <w:shd w:val="clear" w:color="auto" w:fill="auto"/>
          </w:tcPr>
          <w:p w14:paraId="418350E1" w14:textId="77777777" w:rsidR="00EB31E3" w:rsidRPr="00DB1648" w:rsidRDefault="00EB31E3" w:rsidP="00A0418C">
            <w:pPr>
              <w:suppressAutoHyphens/>
              <w:spacing w:after="60"/>
              <w:jc w:val="center"/>
              <w:rPr>
                <w:b/>
                <w:sz w:val="20"/>
                <w:lang w:val="fr-CA"/>
              </w:rPr>
            </w:pPr>
            <w:r w:rsidRPr="00DB1648">
              <w:rPr>
                <w:b/>
                <w:sz w:val="20"/>
                <w:lang w:val="fr-CA"/>
              </w:rPr>
              <w:t>2022</w:t>
            </w:r>
          </w:p>
        </w:tc>
        <w:tc>
          <w:tcPr>
            <w:tcW w:w="750" w:type="pct"/>
            <w:shd w:val="clear" w:color="auto" w:fill="auto"/>
          </w:tcPr>
          <w:p w14:paraId="65C2A865" w14:textId="77777777" w:rsidR="00EB31E3" w:rsidRPr="00DB1648" w:rsidRDefault="00EB31E3" w:rsidP="00A0418C">
            <w:pPr>
              <w:suppressAutoHyphens/>
              <w:spacing w:after="60"/>
              <w:jc w:val="center"/>
              <w:rPr>
                <w:b/>
                <w:sz w:val="20"/>
                <w:lang w:val="fr-CA"/>
              </w:rPr>
            </w:pPr>
            <w:r w:rsidRPr="00DB1648">
              <w:rPr>
                <w:b/>
                <w:sz w:val="20"/>
                <w:lang w:val="fr-CA"/>
              </w:rPr>
              <w:t>2023</w:t>
            </w:r>
          </w:p>
        </w:tc>
        <w:tc>
          <w:tcPr>
            <w:tcW w:w="749" w:type="pct"/>
            <w:shd w:val="clear" w:color="auto" w:fill="auto"/>
          </w:tcPr>
          <w:p w14:paraId="77C310AA" w14:textId="77777777" w:rsidR="00EB31E3" w:rsidRPr="00DB1648" w:rsidRDefault="00EB31E3" w:rsidP="00A0418C">
            <w:pPr>
              <w:suppressAutoHyphens/>
              <w:spacing w:after="60"/>
              <w:jc w:val="center"/>
              <w:rPr>
                <w:b/>
                <w:sz w:val="20"/>
                <w:lang w:val="fr-CA"/>
              </w:rPr>
            </w:pPr>
            <w:r w:rsidRPr="00DB1648">
              <w:rPr>
                <w:b/>
                <w:sz w:val="20"/>
                <w:lang w:val="fr-CA"/>
              </w:rPr>
              <w:t>Total</w:t>
            </w:r>
          </w:p>
        </w:tc>
      </w:tr>
      <w:tr w:rsidR="00EB31E3" w:rsidRPr="00DB1648" w14:paraId="4194C95B" w14:textId="77777777" w:rsidTr="00B41D66">
        <w:trPr>
          <w:trHeight w:val="258"/>
        </w:trPr>
        <w:tc>
          <w:tcPr>
            <w:tcW w:w="417" w:type="pct"/>
            <w:vMerge w:val="restart"/>
            <w:shd w:val="clear" w:color="auto" w:fill="auto"/>
          </w:tcPr>
          <w:p w14:paraId="2A5285F2" w14:textId="0D9097DE" w:rsidR="00EB31E3" w:rsidRPr="00DB1648" w:rsidRDefault="00B41D66" w:rsidP="00A0418C">
            <w:pPr>
              <w:suppressAutoHyphens/>
              <w:spacing w:after="60"/>
              <w:jc w:val="center"/>
              <w:rPr>
                <w:sz w:val="20"/>
                <w:lang w:val="fr-CA"/>
              </w:rPr>
            </w:pPr>
            <w:r w:rsidRPr="00DB1648">
              <w:rPr>
                <w:color w:val="000000" w:themeColor="text1"/>
                <w:sz w:val="20"/>
                <w:lang w:val="fr-CA"/>
              </w:rPr>
              <w:t>PNUE</w:t>
            </w:r>
          </w:p>
        </w:tc>
        <w:tc>
          <w:tcPr>
            <w:tcW w:w="1584" w:type="pct"/>
            <w:shd w:val="clear" w:color="auto" w:fill="auto"/>
          </w:tcPr>
          <w:p w14:paraId="3AE9531B" w14:textId="0FF21087" w:rsidR="00EB31E3" w:rsidRPr="00DB1648" w:rsidRDefault="00B41D66" w:rsidP="00A0418C">
            <w:pPr>
              <w:suppressAutoHyphens/>
              <w:spacing w:after="60"/>
              <w:jc w:val="left"/>
              <w:rPr>
                <w:sz w:val="20"/>
                <w:lang w:val="fr-CA"/>
              </w:rPr>
            </w:pPr>
            <w:r w:rsidRPr="00DB1648">
              <w:rPr>
                <w:sz w:val="20"/>
                <w:lang w:val="fr-CA"/>
              </w:rPr>
              <w:t>Élimination des SAO (tonnes PAO)</w:t>
            </w:r>
          </w:p>
        </w:tc>
        <w:tc>
          <w:tcPr>
            <w:tcW w:w="750" w:type="pct"/>
            <w:shd w:val="clear" w:color="auto" w:fill="auto"/>
          </w:tcPr>
          <w:p w14:paraId="24260382" w14:textId="2B248B9B" w:rsidR="00EB31E3" w:rsidRPr="00DB1648" w:rsidRDefault="00B41D66" w:rsidP="00A0418C">
            <w:pPr>
              <w:suppressAutoHyphens/>
              <w:spacing w:after="60"/>
              <w:jc w:val="right"/>
              <w:rPr>
                <w:sz w:val="20"/>
                <w:lang w:val="fr-CA"/>
              </w:rPr>
            </w:pPr>
            <w:r w:rsidRPr="00DB1648">
              <w:rPr>
                <w:sz w:val="20"/>
                <w:lang w:val="fr-CA"/>
              </w:rPr>
              <w:t>0,</w:t>
            </w:r>
            <w:r w:rsidR="00166B46" w:rsidRPr="00DB1648">
              <w:rPr>
                <w:sz w:val="20"/>
                <w:lang w:val="fr-CA"/>
              </w:rPr>
              <w:t>279</w:t>
            </w:r>
          </w:p>
        </w:tc>
        <w:tc>
          <w:tcPr>
            <w:tcW w:w="750" w:type="pct"/>
            <w:shd w:val="clear" w:color="auto" w:fill="auto"/>
          </w:tcPr>
          <w:p w14:paraId="61615DC1" w14:textId="77777777" w:rsidR="00EB31E3" w:rsidRPr="00DB1648" w:rsidRDefault="00EB31E3" w:rsidP="00A0418C">
            <w:pPr>
              <w:suppressAutoHyphens/>
              <w:spacing w:after="60"/>
              <w:jc w:val="right"/>
              <w:rPr>
                <w:sz w:val="20"/>
                <w:lang w:val="fr-CA"/>
              </w:rPr>
            </w:pPr>
          </w:p>
        </w:tc>
        <w:tc>
          <w:tcPr>
            <w:tcW w:w="750" w:type="pct"/>
            <w:shd w:val="clear" w:color="auto" w:fill="auto"/>
          </w:tcPr>
          <w:p w14:paraId="6F56928C" w14:textId="77777777" w:rsidR="00EB31E3" w:rsidRPr="00DB1648" w:rsidRDefault="00EB31E3" w:rsidP="00A0418C">
            <w:pPr>
              <w:suppressAutoHyphens/>
              <w:spacing w:after="60"/>
              <w:jc w:val="right"/>
              <w:rPr>
                <w:sz w:val="20"/>
                <w:lang w:val="fr-CA"/>
              </w:rPr>
            </w:pPr>
          </w:p>
        </w:tc>
        <w:tc>
          <w:tcPr>
            <w:tcW w:w="749" w:type="pct"/>
            <w:shd w:val="clear" w:color="auto" w:fill="auto"/>
          </w:tcPr>
          <w:p w14:paraId="6740F21A" w14:textId="7A081839" w:rsidR="00EB31E3" w:rsidRPr="00DB1648" w:rsidRDefault="00B41D66" w:rsidP="00A0418C">
            <w:pPr>
              <w:suppressAutoHyphens/>
              <w:spacing w:after="60"/>
              <w:jc w:val="right"/>
              <w:rPr>
                <w:sz w:val="20"/>
                <w:lang w:val="fr-CA"/>
              </w:rPr>
            </w:pPr>
            <w:r w:rsidRPr="00DB1648">
              <w:rPr>
                <w:sz w:val="20"/>
                <w:lang w:val="fr-CA"/>
              </w:rPr>
              <w:t>0,</w:t>
            </w:r>
            <w:r w:rsidR="00166B46" w:rsidRPr="00DB1648">
              <w:rPr>
                <w:sz w:val="20"/>
                <w:lang w:val="fr-CA"/>
              </w:rPr>
              <w:t>279</w:t>
            </w:r>
          </w:p>
        </w:tc>
      </w:tr>
      <w:tr w:rsidR="00283FE6" w:rsidRPr="00DB1648" w14:paraId="6F14B27B" w14:textId="77777777" w:rsidTr="00B41D66">
        <w:trPr>
          <w:trHeight w:val="258"/>
        </w:trPr>
        <w:tc>
          <w:tcPr>
            <w:tcW w:w="417" w:type="pct"/>
            <w:vMerge/>
            <w:shd w:val="clear" w:color="auto" w:fill="auto"/>
          </w:tcPr>
          <w:p w14:paraId="03FD6FD8" w14:textId="77777777" w:rsidR="00283FE6" w:rsidRPr="00DB1648" w:rsidRDefault="00283FE6" w:rsidP="00A0418C">
            <w:pPr>
              <w:suppressAutoHyphens/>
              <w:spacing w:after="60"/>
              <w:jc w:val="center"/>
              <w:rPr>
                <w:sz w:val="20"/>
                <w:lang w:val="fr-CA"/>
              </w:rPr>
            </w:pPr>
          </w:p>
        </w:tc>
        <w:tc>
          <w:tcPr>
            <w:tcW w:w="1584" w:type="pct"/>
            <w:shd w:val="clear" w:color="auto" w:fill="auto"/>
          </w:tcPr>
          <w:p w14:paraId="2CB86565" w14:textId="09DB1458" w:rsidR="00283FE6" w:rsidRPr="00DB1648" w:rsidRDefault="00B41D66" w:rsidP="00A0418C">
            <w:pPr>
              <w:suppressAutoHyphens/>
              <w:spacing w:after="60"/>
              <w:jc w:val="left"/>
              <w:rPr>
                <w:sz w:val="20"/>
                <w:lang w:val="fr-CA"/>
              </w:rPr>
            </w:pPr>
            <w:r w:rsidRPr="00DB1648">
              <w:rPr>
                <w:sz w:val="20"/>
                <w:lang w:val="fr-CA"/>
              </w:rPr>
              <w:t>Financement ($US)</w:t>
            </w:r>
          </w:p>
        </w:tc>
        <w:tc>
          <w:tcPr>
            <w:tcW w:w="750" w:type="pct"/>
            <w:shd w:val="clear" w:color="auto" w:fill="auto"/>
          </w:tcPr>
          <w:p w14:paraId="3916A8D0" w14:textId="5DBE7548" w:rsidR="00283FE6" w:rsidRPr="00DB1648" w:rsidRDefault="00B41D66" w:rsidP="00A0418C">
            <w:pPr>
              <w:suppressAutoHyphens/>
              <w:spacing w:after="60"/>
              <w:jc w:val="right"/>
              <w:rPr>
                <w:sz w:val="20"/>
                <w:szCs w:val="20"/>
                <w:lang w:val="fr-CA"/>
              </w:rPr>
            </w:pPr>
            <w:r w:rsidRPr="00DB1648">
              <w:rPr>
                <w:color w:val="000000"/>
                <w:sz w:val="20"/>
                <w:szCs w:val="20"/>
                <w:lang w:val="fr-CA"/>
              </w:rPr>
              <w:t xml:space="preserve">117 </w:t>
            </w:r>
            <w:r w:rsidR="00166B46" w:rsidRPr="00DB1648">
              <w:rPr>
                <w:color w:val="000000"/>
                <w:sz w:val="20"/>
                <w:szCs w:val="20"/>
                <w:lang w:val="fr-CA"/>
              </w:rPr>
              <w:t>379</w:t>
            </w:r>
          </w:p>
        </w:tc>
        <w:tc>
          <w:tcPr>
            <w:tcW w:w="750" w:type="pct"/>
            <w:shd w:val="clear" w:color="auto" w:fill="auto"/>
          </w:tcPr>
          <w:p w14:paraId="3556F43A" w14:textId="14F80C5C" w:rsidR="00283FE6" w:rsidRPr="00DB1648" w:rsidRDefault="00283FE6" w:rsidP="00A0418C">
            <w:pPr>
              <w:suppressAutoHyphens/>
              <w:spacing w:after="60"/>
              <w:jc w:val="right"/>
              <w:rPr>
                <w:sz w:val="20"/>
                <w:lang w:val="fr-CA"/>
              </w:rPr>
            </w:pPr>
          </w:p>
        </w:tc>
        <w:tc>
          <w:tcPr>
            <w:tcW w:w="750" w:type="pct"/>
            <w:shd w:val="clear" w:color="auto" w:fill="auto"/>
          </w:tcPr>
          <w:p w14:paraId="63E4258B" w14:textId="77777777" w:rsidR="00283FE6" w:rsidRPr="00DB1648" w:rsidRDefault="00283FE6" w:rsidP="00A0418C">
            <w:pPr>
              <w:suppressAutoHyphens/>
              <w:spacing w:after="60"/>
              <w:jc w:val="right"/>
              <w:rPr>
                <w:sz w:val="20"/>
                <w:lang w:val="fr-CA"/>
              </w:rPr>
            </w:pPr>
          </w:p>
        </w:tc>
        <w:tc>
          <w:tcPr>
            <w:tcW w:w="749" w:type="pct"/>
            <w:shd w:val="clear" w:color="auto" w:fill="auto"/>
          </w:tcPr>
          <w:p w14:paraId="4281227B" w14:textId="56AE7519" w:rsidR="00283FE6" w:rsidRPr="00DB1648" w:rsidRDefault="00B41D66" w:rsidP="00A0418C">
            <w:pPr>
              <w:suppressAutoHyphens/>
              <w:spacing w:after="60"/>
              <w:jc w:val="right"/>
              <w:rPr>
                <w:sz w:val="20"/>
                <w:szCs w:val="20"/>
                <w:lang w:val="fr-CA"/>
              </w:rPr>
            </w:pPr>
            <w:r w:rsidRPr="00DB1648">
              <w:rPr>
                <w:color w:val="000000"/>
                <w:sz w:val="20"/>
                <w:szCs w:val="20"/>
                <w:lang w:val="fr-CA"/>
              </w:rPr>
              <w:t xml:space="preserve">117 </w:t>
            </w:r>
            <w:r w:rsidR="00166B46" w:rsidRPr="00DB1648">
              <w:rPr>
                <w:color w:val="000000"/>
                <w:sz w:val="20"/>
                <w:szCs w:val="20"/>
                <w:lang w:val="fr-CA"/>
              </w:rPr>
              <w:t>379</w:t>
            </w:r>
          </w:p>
        </w:tc>
      </w:tr>
    </w:tbl>
    <w:p w14:paraId="68977A6B" w14:textId="77777777" w:rsidR="00EB31E3" w:rsidRPr="00DB1648" w:rsidRDefault="00EB31E3" w:rsidP="00A0418C">
      <w:pPr>
        <w:suppressAutoHyphens/>
        <w:jc w:val="center"/>
        <w:rPr>
          <w:sz w:val="20"/>
          <w:lang w:val="fr-CA"/>
        </w:rPr>
      </w:pPr>
    </w:p>
    <w:tbl>
      <w:tblPr>
        <w:tblStyle w:val="TableGrid"/>
        <w:tblW w:w="5300" w:type="pct"/>
        <w:tblInd w:w="-113" w:type="dxa"/>
        <w:tblLayout w:type="fixed"/>
        <w:tblLook w:val="04A0" w:firstRow="1" w:lastRow="0" w:firstColumn="1" w:lastColumn="0" w:noHBand="0" w:noVBand="1"/>
      </w:tblPr>
      <w:tblGrid>
        <w:gridCol w:w="1243"/>
        <w:gridCol w:w="850"/>
        <w:gridCol w:w="1275"/>
        <w:gridCol w:w="900"/>
        <w:gridCol w:w="700"/>
        <w:gridCol w:w="914"/>
        <w:gridCol w:w="706"/>
        <w:gridCol w:w="809"/>
        <w:gridCol w:w="809"/>
        <w:gridCol w:w="809"/>
        <w:gridCol w:w="896"/>
      </w:tblGrid>
      <w:tr w:rsidR="00710B2B" w:rsidRPr="00DB1648" w14:paraId="5D1C76B5" w14:textId="624B5202" w:rsidTr="00710B2B">
        <w:trPr>
          <w:trHeight w:val="216"/>
        </w:trPr>
        <w:tc>
          <w:tcPr>
            <w:tcW w:w="1699" w:type="pct"/>
            <w:gridSpan w:val="3"/>
            <w:shd w:val="clear" w:color="auto" w:fill="auto"/>
          </w:tcPr>
          <w:p w14:paraId="38F39320" w14:textId="7D537DE6" w:rsidR="006663D8" w:rsidRPr="00DB1648" w:rsidRDefault="006663D8" w:rsidP="00B41D66">
            <w:pPr>
              <w:suppressAutoHyphens/>
              <w:jc w:val="left"/>
              <w:rPr>
                <w:b/>
                <w:sz w:val="20"/>
                <w:lang w:val="fr-CA"/>
              </w:rPr>
            </w:pPr>
            <w:r w:rsidRPr="00DB1648">
              <w:rPr>
                <w:b/>
                <w:sz w:val="20"/>
                <w:lang w:val="fr-CA"/>
              </w:rPr>
              <w:t xml:space="preserve">VI) </w:t>
            </w:r>
            <w:r w:rsidR="00B41D66" w:rsidRPr="00DB1648">
              <w:rPr>
                <w:b/>
                <w:sz w:val="20"/>
                <w:lang w:val="fr-CA"/>
              </w:rPr>
              <w:t>DONNÉES RELATIVES AU PROJET</w:t>
            </w:r>
            <w:r w:rsidRPr="00DB1648">
              <w:rPr>
                <w:b/>
                <w:sz w:val="20"/>
                <w:lang w:val="fr-CA"/>
              </w:rPr>
              <w:t xml:space="preserve"> </w:t>
            </w:r>
          </w:p>
        </w:tc>
        <w:tc>
          <w:tcPr>
            <w:tcW w:w="454" w:type="pct"/>
            <w:shd w:val="clear" w:color="auto" w:fill="auto"/>
          </w:tcPr>
          <w:p w14:paraId="73600472" w14:textId="77777777" w:rsidR="006663D8" w:rsidRPr="00DB1648" w:rsidRDefault="006663D8" w:rsidP="00A0418C">
            <w:pPr>
              <w:suppressAutoHyphens/>
              <w:jc w:val="center"/>
              <w:rPr>
                <w:b/>
                <w:sz w:val="20"/>
                <w:szCs w:val="20"/>
                <w:lang w:val="fr-CA"/>
              </w:rPr>
            </w:pPr>
            <w:r w:rsidRPr="00DB1648">
              <w:rPr>
                <w:b/>
                <w:sz w:val="20"/>
                <w:szCs w:val="20"/>
                <w:lang w:val="fr-CA"/>
              </w:rPr>
              <w:t>2021</w:t>
            </w:r>
          </w:p>
        </w:tc>
        <w:tc>
          <w:tcPr>
            <w:tcW w:w="353" w:type="pct"/>
            <w:shd w:val="clear" w:color="auto" w:fill="auto"/>
          </w:tcPr>
          <w:p w14:paraId="459770BD" w14:textId="2F9AA6F2" w:rsidR="006663D8" w:rsidRPr="00DB1648" w:rsidRDefault="006663D8" w:rsidP="00A0418C">
            <w:pPr>
              <w:suppressAutoHyphens/>
              <w:jc w:val="left"/>
              <w:rPr>
                <w:b/>
                <w:sz w:val="20"/>
                <w:szCs w:val="20"/>
                <w:lang w:val="fr-CA"/>
              </w:rPr>
            </w:pPr>
            <w:r w:rsidRPr="00DB1648">
              <w:rPr>
                <w:b/>
                <w:bCs/>
                <w:kern w:val="28"/>
                <w:sz w:val="20"/>
                <w:szCs w:val="20"/>
                <w:lang w:val="fr-CA"/>
              </w:rPr>
              <w:t>2022 -2023</w:t>
            </w:r>
          </w:p>
        </w:tc>
        <w:tc>
          <w:tcPr>
            <w:tcW w:w="461" w:type="pct"/>
            <w:shd w:val="clear" w:color="auto" w:fill="auto"/>
          </w:tcPr>
          <w:p w14:paraId="5DCCEF14" w14:textId="4585E43E" w:rsidR="006663D8" w:rsidRPr="00DB1648" w:rsidRDefault="006663D8" w:rsidP="00A0418C">
            <w:pPr>
              <w:suppressAutoHyphens/>
              <w:jc w:val="center"/>
              <w:rPr>
                <w:b/>
                <w:sz w:val="20"/>
                <w:szCs w:val="20"/>
                <w:lang w:val="fr-CA"/>
              </w:rPr>
            </w:pPr>
            <w:r w:rsidRPr="00DB1648">
              <w:rPr>
                <w:b/>
                <w:bCs/>
                <w:kern w:val="28"/>
                <w:sz w:val="20"/>
                <w:szCs w:val="20"/>
                <w:lang w:val="fr-CA"/>
              </w:rPr>
              <w:t>2024</w:t>
            </w:r>
          </w:p>
        </w:tc>
        <w:tc>
          <w:tcPr>
            <w:tcW w:w="356" w:type="pct"/>
          </w:tcPr>
          <w:p w14:paraId="19FCCC1A" w14:textId="07334CC5" w:rsidR="006663D8" w:rsidRPr="00DB1648" w:rsidRDefault="006663D8" w:rsidP="00A0418C">
            <w:pPr>
              <w:suppressAutoHyphens/>
              <w:jc w:val="left"/>
              <w:rPr>
                <w:b/>
                <w:sz w:val="20"/>
                <w:szCs w:val="20"/>
                <w:lang w:val="fr-CA"/>
              </w:rPr>
            </w:pPr>
            <w:r w:rsidRPr="00DB1648">
              <w:rPr>
                <w:b/>
                <w:bCs/>
                <w:kern w:val="28"/>
                <w:sz w:val="20"/>
                <w:szCs w:val="20"/>
                <w:lang w:val="fr-CA"/>
              </w:rPr>
              <w:t>2025 -2026</w:t>
            </w:r>
          </w:p>
        </w:tc>
        <w:tc>
          <w:tcPr>
            <w:tcW w:w="408" w:type="pct"/>
          </w:tcPr>
          <w:p w14:paraId="122EC243" w14:textId="5D67739A" w:rsidR="006663D8" w:rsidRPr="00DB1648" w:rsidRDefault="006663D8" w:rsidP="00A0418C">
            <w:pPr>
              <w:suppressAutoHyphens/>
              <w:jc w:val="center"/>
              <w:rPr>
                <w:b/>
                <w:sz w:val="20"/>
                <w:szCs w:val="20"/>
                <w:lang w:val="fr-CA"/>
              </w:rPr>
            </w:pPr>
            <w:r w:rsidRPr="00DB1648">
              <w:rPr>
                <w:b/>
                <w:color w:val="000000"/>
                <w:kern w:val="28"/>
                <w:sz w:val="20"/>
                <w:szCs w:val="20"/>
                <w:lang w:val="fr-CA"/>
              </w:rPr>
              <w:t>2027</w:t>
            </w:r>
          </w:p>
        </w:tc>
        <w:tc>
          <w:tcPr>
            <w:tcW w:w="408" w:type="pct"/>
          </w:tcPr>
          <w:p w14:paraId="30AFCCD4" w14:textId="2529637F" w:rsidR="006663D8" w:rsidRPr="00DB1648" w:rsidRDefault="006663D8" w:rsidP="00A0418C">
            <w:pPr>
              <w:suppressAutoHyphens/>
              <w:jc w:val="left"/>
              <w:rPr>
                <w:b/>
                <w:sz w:val="20"/>
                <w:szCs w:val="20"/>
                <w:lang w:val="fr-CA"/>
              </w:rPr>
            </w:pPr>
            <w:r w:rsidRPr="00DB1648">
              <w:rPr>
                <w:b/>
                <w:color w:val="000000"/>
                <w:kern w:val="28"/>
                <w:sz w:val="20"/>
                <w:szCs w:val="20"/>
                <w:lang w:val="fr-CA"/>
              </w:rPr>
              <w:t>2028 -2029</w:t>
            </w:r>
          </w:p>
        </w:tc>
        <w:tc>
          <w:tcPr>
            <w:tcW w:w="408" w:type="pct"/>
            <w:shd w:val="clear" w:color="auto" w:fill="auto"/>
          </w:tcPr>
          <w:p w14:paraId="26DF3C63" w14:textId="16337A92" w:rsidR="006663D8" w:rsidRPr="00DB1648" w:rsidRDefault="006663D8" w:rsidP="00A0418C">
            <w:pPr>
              <w:suppressAutoHyphens/>
              <w:jc w:val="center"/>
              <w:rPr>
                <w:b/>
                <w:sz w:val="20"/>
                <w:szCs w:val="20"/>
                <w:lang w:val="fr-CA"/>
              </w:rPr>
            </w:pPr>
            <w:r w:rsidRPr="00DB1648">
              <w:rPr>
                <w:b/>
                <w:color w:val="000000"/>
                <w:kern w:val="28"/>
                <w:sz w:val="20"/>
                <w:szCs w:val="20"/>
                <w:lang w:val="fr-CA"/>
              </w:rPr>
              <w:t>2030</w:t>
            </w:r>
          </w:p>
        </w:tc>
        <w:tc>
          <w:tcPr>
            <w:tcW w:w="452" w:type="pct"/>
          </w:tcPr>
          <w:p w14:paraId="7E95FD86" w14:textId="49CD3761" w:rsidR="006663D8" w:rsidRPr="00DB1648" w:rsidRDefault="006663D8" w:rsidP="00A0418C">
            <w:pPr>
              <w:suppressAutoHyphens/>
              <w:jc w:val="center"/>
              <w:rPr>
                <w:b/>
                <w:color w:val="000000"/>
                <w:kern w:val="28"/>
                <w:sz w:val="20"/>
                <w:szCs w:val="20"/>
                <w:lang w:val="fr-CA"/>
              </w:rPr>
            </w:pPr>
            <w:r w:rsidRPr="00DB1648">
              <w:rPr>
                <w:b/>
                <w:color w:val="000000"/>
                <w:kern w:val="28"/>
                <w:sz w:val="20"/>
                <w:szCs w:val="20"/>
                <w:lang w:val="fr-CA"/>
              </w:rPr>
              <w:t>Total</w:t>
            </w:r>
          </w:p>
        </w:tc>
      </w:tr>
      <w:tr w:rsidR="00710B2B" w:rsidRPr="00DB1648" w14:paraId="095B66BB" w14:textId="5B2C05F9" w:rsidTr="00710B2B">
        <w:trPr>
          <w:trHeight w:val="69"/>
        </w:trPr>
        <w:tc>
          <w:tcPr>
            <w:tcW w:w="1699" w:type="pct"/>
            <w:gridSpan w:val="3"/>
            <w:shd w:val="clear" w:color="auto" w:fill="auto"/>
          </w:tcPr>
          <w:p w14:paraId="2802E84E" w14:textId="3D83BF9A" w:rsidR="006663D8" w:rsidRPr="00DB1648" w:rsidRDefault="00B41D66" w:rsidP="00A0418C">
            <w:pPr>
              <w:tabs>
                <w:tab w:val="left" w:pos="8280"/>
              </w:tabs>
              <w:suppressAutoHyphens/>
              <w:spacing w:after="60"/>
              <w:jc w:val="left"/>
              <w:rPr>
                <w:sz w:val="20"/>
                <w:lang w:val="fr-CA"/>
              </w:rPr>
            </w:pPr>
            <w:r w:rsidRPr="00DB1648">
              <w:rPr>
                <w:sz w:val="20"/>
                <w:lang w:val="fr-CA"/>
              </w:rPr>
              <w:t>Limites de consommation au titre du Protocole de Montréal</w:t>
            </w:r>
          </w:p>
        </w:tc>
        <w:tc>
          <w:tcPr>
            <w:tcW w:w="454" w:type="pct"/>
            <w:shd w:val="clear" w:color="auto" w:fill="auto"/>
          </w:tcPr>
          <w:p w14:paraId="1296B70E" w14:textId="18D55AEC"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7</w:t>
            </w:r>
            <w:r w:rsidR="00922B5A" w:rsidRPr="00DB1648">
              <w:rPr>
                <w:color w:val="000000"/>
                <w:kern w:val="28"/>
                <w:sz w:val="20"/>
                <w:szCs w:val="20"/>
                <w:lang w:val="fr-CA"/>
              </w:rPr>
              <w:t>2</w:t>
            </w:r>
          </w:p>
        </w:tc>
        <w:tc>
          <w:tcPr>
            <w:tcW w:w="353" w:type="pct"/>
          </w:tcPr>
          <w:p w14:paraId="3AF948D6" w14:textId="46406936"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7</w:t>
            </w:r>
            <w:r w:rsidR="00922B5A" w:rsidRPr="00DB1648">
              <w:rPr>
                <w:color w:val="000000"/>
                <w:kern w:val="28"/>
                <w:sz w:val="20"/>
                <w:szCs w:val="20"/>
                <w:lang w:val="fr-CA"/>
              </w:rPr>
              <w:t>2</w:t>
            </w:r>
          </w:p>
        </w:tc>
        <w:tc>
          <w:tcPr>
            <w:tcW w:w="461" w:type="pct"/>
          </w:tcPr>
          <w:p w14:paraId="086C0ECA" w14:textId="1CE49DAB"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7</w:t>
            </w:r>
            <w:r w:rsidR="00922B5A" w:rsidRPr="00DB1648">
              <w:rPr>
                <w:color w:val="000000"/>
                <w:kern w:val="28"/>
                <w:sz w:val="20"/>
                <w:szCs w:val="20"/>
                <w:lang w:val="fr-CA"/>
              </w:rPr>
              <w:t>2</w:t>
            </w:r>
          </w:p>
        </w:tc>
        <w:tc>
          <w:tcPr>
            <w:tcW w:w="356" w:type="pct"/>
          </w:tcPr>
          <w:p w14:paraId="34801514" w14:textId="42994D74"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36</w:t>
            </w:r>
          </w:p>
        </w:tc>
        <w:tc>
          <w:tcPr>
            <w:tcW w:w="408" w:type="pct"/>
          </w:tcPr>
          <w:p w14:paraId="30B574DC" w14:textId="5C153F24"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36</w:t>
            </w:r>
          </w:p>
        </w:tc>
        <w:tc>
          <w:tcPr>
            <w:tcW w:w="408" w:type="pct"/>
          </w:tcPr>
          <w:p w14:paraId="4EAE756F" w14:textId="2452993E"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36</w:t>
            </w:r>
          </w:p>
        </w:tc>
        <w:tc>
          <w:tcPr>
            <w:tcW w:w="408" w:type="pct"/>
          </w:tcPr>
          <w:p w14:paraId="3C50F889" w14:textId="5E958143" w:rsidR="006663D8" w:rsidRPr="00DB1648" w:rsidRDefault="009822FC" w:rsidP="00A0418C">
            <w:pPr>
              <w:tabs>
                <w:tab w:val="left" w:pos="8280"/>
              </w:tabs>
              <w:suppressAutoHyphens/>
              <w:spacing w:after="60"/>
              <w:jc w:val="right"/>
              <w:rPr>
                <w:sz w:val="20"/>
                <w:szCs w:val="20"/>
                <w:lang w:val="fr-CA"/>
              </w:rPr>
            </w:pPr>
            <w:r w:rsidRPr="00DB1648">
              <w:rPr>
                <w:kern w:val="28"/>
                <w:sz w:val="20"/>
                <w:szCs w:val="20"/>
                <w:lang w:val="fr-CA"/>
              </w:rPr>
              <w:t>0</w:t>
            </w:r>
            <w:r w:rsidR="00385FEE" w:rsidRPr="00DB1648">
              <w:rPr>
                <w:kern w:val="28"/>
                <w:sz w:val="20"/>
                <w:szCs w:val="20"/>
                <w:lang w:val="fr-CA"/>
              </w:rPr>
              <w:t>,</w:t>
            </w:r>
            <w:r w:rsidRPr="00DB1648">
              <w:rPr>
                <w:kern w:val="28"/>
                <w:sz w:val="20"/>
                <w:szCs w:val="20"/>
                <w:lang w:val="fr-CA"/>
              </w:rPr>
              <w:t>0</w:t>
            </w:r>
            <w:r w:rsidR="006663D8" w:rsidRPr="00DB1648">
              <w:rPr>
                <w:kern w:val="28"/>
                <w:sz w:val="20"/>
                <w:szCs w:val="20"/>
                <w:lang w:val="fr-CA"/>
              </w:rPr>
              <w:t>0</w:t>
            </w:r>
          </w:p>
        </w:tc>
        <w:tc>
          <w:tcPr>
            <w:tcW w:w="452" w:type="pct"/>
          </w:tcPr>
          <w:p w14:paraId="42EE0AE2" w14:textId="75F10764" w:rsidR="006663D8" w:rsidRPr="00DB1648" w:rsidRDefault="00DB1648" w:rsidP="00A0418C">
            <w:pPr>
              <w:tabs>
                <w:tab w:val="left" w:pos="8280"/>
              </w:tabs>
              <w:suppressAutoHyphens/>
              <w:spacing w:after="60"/>
              <w:jc w:val="right"/>
              <w:rPr>
                <w:kern w:val="28"/>
                <w:sz w:val="20"/>
                <w:szCs w:val="20"/>
                <w:lang w:val="fr-CA"/>
              </w:rPr>
            </w:pPr>
            <w:proofErr w:type="spellStart"/>
            <w:r>
              <w:rPr>
                <w:kern w:val="28"/>
                <w:sz w:val="20"/>
                <w:szCs w:val="20"/>
                <w:lang w:val="fr-CA"/>
              </w:rPr>
              <w:t>S.o</w:t>
            </w:r>
            <w:proofErr w:type="spellEnd"/>
            <w:r>
              <w:rPr>
                <w:kern w:val="28"/>
                <w:sz w:val="20"/>
                <w:szCs w:val="20"/>
                <w:lang w:val="fr-CA"/>
              </w:rPr>
              <w:t>.</w:t>
            </w:r>
          </w:p>
        </w:tc>
      </w:tr>
      <w:tr w:rsidR="00710B2B" w:rsidRPr="00DB1648" w14:paraId="2EF7AA7B" w14:textId="41244962" w:rsidTr="00F533C5">
        <w:trPr>
          <w:trHeight w:val="69"/>
        </w:trPr>
        <w:tc>
          <w:tcPr>
            <w:tcW w:w="1699" w:type="pct"/>
            <w:gridSpan w:val="3"/>
            <w:shd w:val="clear" w:color="auto" w:fill="auto"/>
          </w:tcPr>
          <w:p w14:paraId="1280C7F0" w14:textId="6D8EDD52" w:rsidR="006663D8" w:rsidRPr="00DB1648" w:rsidRDefault="00B41D66" w:rsidP="00A0418C">
            <w:pPr>
              <w:tabs>
                <w:tab w:val="left" w:pos="8280"/>
              </w:tabs>
              <w:suppressAutoHyphens/>
              <w:spacing w:after="60"/>
              <w:jc w:val="left"/>
              <w:rPr>
                <w:sz w:val="20"/>
                <w:lang w:val="fr-CA"/>
              </w:rPr>
            </w:pPr>
            <w:r w:rsidRPr="00DB1648">
              <w:rPr>
                <w:sz w:val="20"/>
                <w:lang w:val="fr-CA"/>
              </w:rPr>
              <w:t>Consommation maximale permise (tonnes PAO)</w:t>
            </w:r>
          </w:p>
        </w:tc>
        <w:tc>
          <w:tcPr>
            <w:tcW w:w="454" w:type="pct"/>
            <w:shd w:val="clear" w:color="auto" w:fill="auto"/>
          </w:tcPr>
          <w:p w14:paraId="7182F7E9" w14:textId="3DFDCF4D"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04</w:t>
            </w:r>
          </w:p>
        </w:tc>
        <w:tc>
          <w:tcPr>
            <w:tcW w:w="353" w:type="pct"/>
            <w:shd w:val="clear" w:color="auto" w:fill="auto"/>
          </w:tcPr>
          <w:p w14:paraId="486D888D" w14:textId="10EE5A13"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04</w:t>
            </w:r>
          </w:p>
        </w:tc>
        <w:tc>
          <w:tcPr>
            <w:tcW w:w="461" w:type="pct"/>
            <w:shd w:val="clear" w:color="auto" w:fill="auto"/>
          </w:tcPr>
          <w:p w14:paraId="2D1C5A12" w14:textId="283F7F7D"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04</w:t>
            </w:r>
          </w:p>
        </w:tc>
        <w:tc>
          <w:tcPr>
            <w:tcW w:w="356" w:type="pct"/>
            <w:shd w:val="clear" w:color="auto" w:fill="auto"/>
          </w:tcPr>
          <w:p w14:paraId="33B83E01" w14:textId="602EADB9"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02</w:t>
            </w:r>
          </w:p>
        </w:tc>
        <w:tc>
          <w:tcPr>
            <w:tcW w:w="408" w:type="pct"/>
            <w:shd w:val="clear" w:color="auto" w:fill="auto"/>
          </w:tcPr>
          <w:p w14:paraId="3E2F818F" w14:textId="0F91D0C8"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02</w:t>
            </w:r>
          </w:p>
        </w:tc>
        <w:tc>
          <w:tcPr>
            <w:tcW w:w="408" w:type="pct"/>
            <w:shd w:val="clear" w:color="auto" w:fill="auto"/>
          </w:tcPr>
          <w:p w14:paraId="3207F764" w14:textId="5D8E8863" w:rsidR="006663D8" w:rsidRPr="00DB1648" w:rsidRDefault="006663D8" w:rsidP="00A0418C">
            <w:pPr>
              <w:tabs>
                <w:tab w:val="left" w:pos="8280"/>
              </w:tabs>
              <w:suppressAutoHyphens/>
              <w:spacing w:after="60"/>
              <w:jc w:val="right"/>
              <w:rPr>
                <w:sz w:val="20"/>
                <w:szCs w:val="20"/>
                <w:lang w:val="fr-CA"/>
              </w:rPr>
            </w:pPr>
            <w:r w:rsidRPr="00DB1648">
              <w:rPr>
                <w:color w:val="000000"/>
                <w:kern w:val="28"/>
                <w:sz w:val="20"/>
                <w:szCs w:val="20"/>
                <w:lang w:val="fr-CA"/>
              </w:rPr>
              <w:t>0</w:t>
            </w:r>
            <w:r w:rsidR="00385FEE" w:rsidRPr="00DB1648">
              <w:rPr>
                <w:color w:val="000000"/>
                <w:kern w:val="28"/>
                <w:sz w:val="20"/>
                <w:szCs w:val="20"/>
                <w:lang w:val="fr-CA"/>
              </w:rPr>
              <w:t>,</w:t>
            </w:r>
            <w:r w:rsidRPr="00DB1648">
              <w:rPr>
                <w:color w:val="000000"/>
                <w:kern w:val="28"/>
                <w:sz w:val="20"/>
                <w:szCs w:val="20"/>
                <w:lang w:val="fr-CA"/>
              </w:rPr>
              <w:t>02</w:t>
            </w:r>
          </w:p>
        </w:tc>
        <w:tc>
          <w:tcPr>
            <w:tcW w:w="408" w:type="pct"/>
          </w:tcPr>
          <w:p w14:paraId="3F8A1295" w14:textId="38E97B79" w:rsidR="006663D8" w:rsidRPr="00DB1648" w:rsidRDefault="009822FC" w:rsidP="00A0418C">
            <w:pPr>
              <w:tabs>
                <w:tab w:val="left" w:pos="8280"/>
              </w:tabs>
              <w:suppressAutoHyphens/>
              <w:spacing w:after="60"/>
              <w:jc w:val="right"/>
              <w:rPr>
                <w:sz w:val="20"/>
                <w:szCs w:val="20"/>
                <w:lang w:val="fr-CA"/>
              </w:rPr>
            </w:pPr>
            <w:r w:rsidRPr="00DB1648">
              <w:rPr>
                <w:kern w:val="28"/>
                <w:sz w:val="20"/>
                <w:szCs w:val="20"/>
                <w:lang w:val="fr-CA"/>
              </w:rPr>
              <w:t>0</w:t>
            </w:r>
            <w:r w:rsidR="00385FEE" w:rsidRPr="00DB1648">
              <w:rPr>
                <w:kern w:val="28"/>
                <w:sz w:val="20"/>
                <w:szCs w:val="20"/>
                <w:lang w:val="fr-CA"/>
              </w:rPr>
              <w:t>,</w:t>
            </w:r>
            <w:r w:rsidRPr="00DB1648">
              <w:rPr>
                <w:kern w:val="28"/>
                <w:sz w:val="20"/>
                <w:szCs w:val="20"/>
                <w:lang w:val="fr-CA"/>
              </w:rPr>
              <w:t>0</w:t>
            </w:r>
            <w:r w:rsidR="006663D8" w:rsidRPr="00DB1648">
              <w:rPr>
                <w:kern w:val="28"/>
                <w:sz w:val="20"/>
                <w:szCs w:val="20"/>
                <w:lang w:val="fr-CA"/>
              </w:rPr>
              <w:t>0</w:t>
            </w:r>
          </w:p>
        </w:tc>
        <w:tc>
          <w:tcPr>
            <w:tcW w:w="452" w:type="pct"/>
          </w:tcPr>
          <w:p w14:paraId="282000CE" w14:textId="796F40EB" w:rsidR="006663D8" w:rsidRPr="00DB1648" w:rsidRDefault="00DB1648" w:rsidP="00A0418C">
            <w:pPr>
              <w:tabs>
                <w:tab w:val="left" w:pos="8280"/>
              </w:tabs>
              <w:suppressAutoHyphens/>
              <w:spacing w:after="60"/>
              <w:jc w:val="right"/>
              <w:rPr>
                <w:kern w:val="28"/>
                <w:sz w:val="20"/>
                <w:szCs w:val="20"/>
                <w:lang w:val="fr-CA"/>
              </w:rPr>
            </w:pPr>
            <w:proofErr w:type="spellStart"/>
            <w:r>
              <w:rPr>
                <w:kern w:val="28"/>
                <w:sz w:val="20"/>
                <w:szCs w:val="20"/>
                <w:lang w:val="fr-CA"/>
              </w:rPr>
              <w:t>S.o</w:t>
            </w:r>
            <w:proofErr w:type="spellEnd"/>
            <w:r>
              <w:rPr>
                <w:kern w:val="28"/>
                <w:sz w:val="20"/>
                <w:szCs w:val="20"/>
                <w:lang w:val="fr-CA"/>
              </w:rPr>
              <w:t>.</w:t>
            </w:r>
          </w:p>
        </w:tc>
      </w:tr>
      <w:tr w:rsidR="00710B2B" w:rsidRPr="00DB1648" w14:paraId="02133F61" w14:textId="6ECBAE42" w:rsidTr="00F533C5">
        <w:trPr>
          <w:trHeight w:val="474"/>
        </w:trPr>
        <w:tc>
          <w:tcPr>
            <w:tcW w:w="627" w:type="pct"/>
            <w:vMerge w:val="restart"/>
            <w:shd w:val="clear" w:color="auto" w:fill="auto"/>
          </w:tcPr>
          <w:p w14:paraId="6E540E0B" w14:textId="383EE676" w:rsidR="006663D8" w:rsidRPr="00DB1648" w:rsidRDefault="00B41D66" w:rsidP="00A0418C">
            <w:pPr>
              <w:tabs>
                <w:tab w:val="left" w:pos="8280"/>
              </w:tabs>
              <w:suppressAutoHyphens/>
              <w:spacing w:after="60"/>
              <w:jc w:val="left"/>
              <w:rPr>
                <w:sz w:val="20"/>
                <w:lang w:val="fr-CA"/>
              </w:rPr>
            </w:pPr>
            <w:r w:rsidRPr="00DB1648">
              <w:rPr>
                <w:sz w:val="20"/>
                <w:szCs w:val="20"/>
                <w:lang w:val="fr-CA"/>
              </w:rPr>
              <w:t>Coût du projet demandé en principe ($US)</w:t>
            </w:r>
          </w:p>
        </w:tc>
        <w:tc>
          <w:tcPr>
            <w:tcW w:w="429" w:type="pct"/>
            <w:vMerge w:val="restart"/>
            <w:shd w:val="clear" w:color="auto" w:fill="auto"/>
            <w:vAlign w:val="center"/>
          </w:tcPr>
          <w:p w14:paraId="29ABA246" w14:textId="6D48C0DB" w:rsidR="006663D8" w:rsidRPr="00DB1648" w:rsidRDefault="00B41D66" w:rsidP="00A0418C">
            <w:pPr>
              <w:tabs>
                <w:tab w:val="left" w:pos="8280"/>
              </w:tabs>
              <w:suppressAutoHyphens/>
              <w:spacing w:after="60"/>
              <w:jc w:val="center"/>
              <w:rPr>
                <w:sz w:val="20"/>
                <w:lang w:val="fr-CA"/>
              </w:rPr>
            </w:pPr>
            <w:r w:rsidRPr="00DB1648">
              <w:rPr>
                <w:sz w:val="20"/>
                <w:lang w:val="fr-CA"/>
              </w:rPr>
              <w:t>PNUE</w:t>
            </w:r>
          </w:p>
        </w:tc>
        <w:tc>
          <w:tcPr>
            <w:tcW w:w="643" w:type="pct"/>
            <w:shd w:val="clear" w:color="auto" w:fill="auto"/>
          </w:tcPr>
          <w:p w14:paraId="387D2F06" w14:textId="7170AFC0" w:rsidR="006663D8" w:rsidRPr="00DB1648" w:rsidRDefault="00B41D66" w:rsidP="00A0418C">
            <w:pPr>
              <w:tabs>
                <w:tab w:val="left" w:pos="8280"/>
              </w:tabs>
              <w:suppressAutoHyphens/>
              <w:spacing w:after="60"/>
              <w:jc w:val="left"/>
              <w:rPr>
                <w:sz w:val="20"/>
                <w:lang w:val="fr-CA"/>
              </w:rPr>
            </w:pPr>
            <w:r w:rsidRPr="00DB1648">
              <w:rPr>
                <w:sz w:val="20"/>
                <w:lang w:val="fr-CA"/>
              </w:rPr>
              <w:t>Coûts du projet</w:t>
            </w:r>
          </w:p>
        </w:tc>
        <w:tc>
          <w:tcPr>
            <w:tcW w:w="454" w:type="pct"/>
            <w:shd w:val="clear" w:color="auto" w:fill="auto"/>
          </w:tcPr>
          <w:p w14:paraId="3581B99E" w14:textId="36D7BECD" w:rsidR="006663D8" w:rsidRPr="00DB1648" w:rsidRDefault="004E6E6C" w:rsidP="00A0418C">
            <w:pPr>
              <w:suppressAutoHyphens/>
              <w:jc w:val="right"/>
              <w:rPr>
                <w:sz w:val="20"/>
                <w:szCs w:val="20"/>
                <w:lang w:val="fr-CA"/>
              </w:rPr>
            </w:pPr>
            <w:r w:rsidRPr="00DB1648">
              <w:rPr>
                <w:sz w:val="20"/>
                <w:szCs w:val="20"/>
                <w:lang w:val="fr-CA"/>
              </w:rPr>
              <w:t>173</w:t>
            </w:r>
            <w:r w:rsidR="00385FEE" w:rsidRPr="00DB1648">
              <w:rPr>
                <w:sz w:val="20"/>
                <w:szCs w:val="20"/>
                <w:lang w:val="fr-CA"/>
              </w:rPr>
              <w:t xml:space="preserve"> </w:t>
            </w:r>
            <w:r w:rsidRPr="00DB1648">
              <w:rPr>
                <w:sz w:val="20"/>
                <w:szCs w:val="20"/>
                <w:lang w:val="fr-CA"/>
              </w:rPr>
              <w:t>000</w:t>
            </w:r>
          </w:p>
        </w:tc>
        <w:tc>
          <w:tcPr>
            <w:tcW w:w="353" w:type="pct"/>
            <w:shd w:val="clear" w:color="auto" w:fill="auto"/>
          </w:tcPr>
          <w:p w14:paraId="4CBAC454" w14:textId="40F7578F" w:rsidR="006663D8" w:rsidRPr="00DB1648" w:rsidRDefault="006663D8" w:rsidP="00A0418C">
            <w:pPr>
              <w:tabs>
                <w:tab w:val="left" w:pos="8280"/>
              </w:tabs>
              <w:suppressAutoHyphens/>
              <w:spacing w:after="60"/>
              <w:jc w:val="right"/>
              <w:rPr>
                <w:sz w:val="20"/>
                <w:szCs w:val="20"/>
                <w:lang w:val="fr-CA"/>
              </w:rPr>
            </w:pPr>
            <w:r w:rsidRPr="00DB1648">
              <w:rPr>
                <w:kern w:val="28"/>
                <w:sz w:val="20"/>
                <w:szCs w:val="20"/>
                <w:lang w:val="fr-CA"/>
              </w:rPr>
              <w:t>0</w:t>
            </w:r>
          </w:p>
        </w:tc>
        <w:tc>
          <w:tcPr>
            <w:tcW w:w="461" w:type="pct"/>
            <w:shd w:val="clear" w:color="auto" w:fill="auto"/>
          </w:tcPr>
          <w:p w14:paraId="340AB3DE" w14:textId="071B4B14" w:rsidR="006663D8" w:rsidRPr="00DB1648" w:rsidRDefault="004E6E6C" w:rsidP="00A0418C">
            <w:pPr>
              <w:suppressAutoHyphens/>
              <w:jc w:val="right"/>
              <w:rPr>
                <w:sz w:val="20"/>
                <w:szCs w:val="20"/>
                <w:lang w:val="fr-CA"/>
              </w:rPr>
            </w:pPr>
            <w:r w:rsidRPr="00DB1648">
              <w:rPr>
                <w:sz w:val="20"/>
                <w:szCs w:val="20"/>
                <w:lang w:val="fr-CA"/>
              </w:rPr>
              <w:t>131</w:t>
            </w:r>
            <w:r w:rsidR="00385FEE" w:rsidRPr="00DB1648">
              <w:rPr>
                <w:sz w:val="20"/>
                <w:szCs w:val="20"/>
                <w:lang w:val="fr-CA"/>
              </w:rPr>
              <w:t xml:space="preserve"> </w:t>
            </w:r>
            <w:r w:rsidRPr="00DB1648">
              <w:rPr>
                <w:sz w:val="20"/>
                <w:szCs w:val="20"/>
                <w:lang w:val="fr-CA"/>
              </w:rPr>
              <w:t>000</w:t>
            </w:r>
          </w:p>
        </w:tc>
        <w:tc>
          <w:tcPr>
            <w:tcW w:w="356" w:type="pct"/>
            <w:shd w:val="clear" w:color="auto" w:fill="auto"/>
          </w:tcPr>
          <w:p w14:paraId="19A30DF6" w14:textId="39947A73" w:rsidR="006663D8" w:rsidRPr="00DB1648" w:rsidRDefault="004E6E6C"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shd w:val="clear" w:color="auto" w:fill="auto"/>
          </w:tcPr>
          <w:p w14:paraId="1F5B66B1" w14:textId="7515AC2F" w:rsidR="006663D8" w:rsidRPr="00DB1648" w:rsidRDefault="004E6E6C" w:rsidP="00A0418C">
            <w:pPr>
              <w:suppressAutoHyphens/>
              <w:jc w:val="right"/>
              <w:rPr>
                <w:sz w:val="20"/>
                <w:szCs w:val="20"/>
                <w:lang w:val="fr-CA"/>
              </w:rPr>
            </w:pPr>
            <w:r w:rsidRPr="00DB1648">
              <w:rPr>
                <w:sz w:val="20"/>
                <w:szCs w:val="20"/>
                <w:lang w:val="fr-CA"/>
              </w:rPr>
              <w:t>79</w:t>
            </w:r>
            <w:r w:rsidR="00385FEE" w:rsidRPr="00DB1648">
              <w:rPr>
                <w:sz w:val="20"/>
                <w:szCs w:val="20"/>
                <w:lang w:val="fr-CA"/>
              </w:rPr>
              <w:t xml:space="preserve"> </w:t>
            </w:r>
            <w:r w:rsidRPr="00DB1648">
              <w:rPr>
                <w:sz w:val="20"/>
                <w:szCs w:val="20"/>
                <w:lang w:val="fr-CA"/>
              </w:rPr>
              <w:t>000</w:t>
            </w:r>
          </w:p>
        </w:tc>
        <w:tc>
          <w:tcPr>
            <w:tcW w:w="408" w:type="pct"/>
            <w:shd w:val="clear" w:color="auto" w:fill="auto"/>
          </w:tcPr>
          <w:p w14:paraId="05A1B20D" w14:textId="081714FE" w:rsidR="006663D8" w:rsidRPr="00DB1648" w:rsidRDefault="004E6E6C"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107F635A" w14:textId="7749ED87" w:rsidR="006663D8" w:rsidRPr="00DB1648" w:rsidRDefault="004E6E6C" w:rsidP="00A0418C">
            <w:pPr>
              <w:suppressAutoHyphens/>
              <w:jc w:val="right"/>
              <w:rPr>
                <w:sz w:val="20"/>
                <w:szCs w:val="20"/>
                <w:lang w:val="fr-CA"/>
              </w:rPr>
            </w:pPr>
            <w:r w:rsidRPr="00DB1648">
              <w:rPr>
                <w:sz w:val="20"/>
                <w:szCs w:val="20"/>
                <w:lang w:val="fr-CA"/>
              </w:rPr>
              <w:t>44,500</w:t>
            </w:r>
          </w:p>
        </w:tc>
        <w:tc>
          <w:tcPr>
            <w:tcW w:w="452" w:type="pct"/>
          </w:tcPr>
          <w:p w14:paraId="16E90880" w14:textId="69FCD039" w:rsidR="006663D8" w:rsidRPr="00DB1648" w:rsidRDefault="006663D8" w:rsidP="00A0418C">
            <w:pPr>
              <w:tabs>
                <w:tab w:val="left" w:pos="8280"/>
              </w:tabs>
              <w:suppressAutoHyphens/>
              <w:spacing w:after="60"/>
              <w:jc w:val="right"/>
              <w:rPr>
                <w:kern w:val="28"/>
                <w:sz w:val="20"/>
                <w:szCs w:val="20"/>
                <w:lang w:val="fr-CA"/>
              </w:rPr>
            </w:pPr>
            <w:r w:rsidRPr="00DB1648">
              <w:rPr>
                <w:sz w:val="20"/>
                <w:szCs w:val="20"/>
                <w:lang w:val="fr-CA"/>
              </w:rPr>
              <w:t>427,500</w:t>
            </w:r>
          </w:p>
        </w:tc>
      </w:tr>
      <w:tr w:rsidR="00710B2B" w:rsidRPr="00DB1648" w14:paraId="08E6FA83" w14:textId="04F7C6FC" w:rsidTr="00710B2B">
        <w:trPr>
          <w:trHeight w:val="275"/>
        </w:trPr>
        <w:tc>
          <w:tcPr>
            <w:tcW w:w="627" w:type="pct"/>
            <w:vMerge/>
            <w:shd w:val="clear" w:color="auto" w:fill="auto"/>
          </w:tcPr>
          <w:p w14:paraId="37730AE3" w14:textId="77777777" w:rsidR="00710B2B" w:rsidRPr="00DB1648" w:rsidRDefault="00710B2B" w:rsidP="00A0418C">
            <w:pPr>
              <w:tabs>
                <w:tab w:val="left" w:pos="8280"/>
              </w:tabs>
              <w:suppressAutoHyphens/>
              <w:spacing w:after="60"/>
              <w:jc w:val="left"/>
              <w:rPr>
                <w:sz w:val="20"/>
                <w:lang w:val="fr-CA"/>
              </w:rPr>
            </w:pPr>
          </w:p>
        </w:tc>
        <w:tc>
          <w:tcPr>
            <w:tcW w:w="429" w:type="pct"/>
            <w:vMerge/>
            <w:shd w:val="clear" w:color="auto" w:fill="auto"/>
          </w:tcPr>
          <w:p w14:paraId="5375651B" w14:textId="77777777" w:rsidR="00710B2B" w:rsidRPr="00DB1648" w:rsidRDefault="00710B2B" w:rsidP="00A0418C">
            <w:pPr>
              <w:tabs>
                <w:tab w:val="left" w:pos="8280"/>
              </w:tabs>
              <w:suppressAutoHyphens/>
              <w:spacing w:after="60"/>
              <w:jc w:val="center"/>
              <w:rPr>
                <w:sz w:val="20"/>
                <w:lang w:val="fr-CA"/>
              </w:rPr>
            </w:pPr>
          </w:p>
        </w:tc>
        <w:tc>
          <w:tcPr>
            <w:tcW w:w="643" w:type="pct"/>
            <w:shd w:val="clear" w:color="auto" w:fill="auto"/>
          </w:tcPr>
          <w:p w14:paraId="59B4A7F4" w14:textId="29BC0EAD" w:rsidR="00710B2B" w:rsidRPr="00DB1648" w:rsidRDefault="00B41D66" w:rsidP="00B41D66">
            <w:pPr>
              <w:tabs>
                <w:tab w:val="left" w:pos="8280"/>
              </w:tabs>
              <w:suppressAutoHyphens/>
              <w:spacing w:after="60"/>
              <w:jc w:val="left"/>
              <w:rPr>
                <w:sz w:val="20"/>
                <w:lang w:val="fr-CA"/>
              </w:rPr>
            </w:pPr>
            <w:r w:rsidRPr="00DB1648">
              <w:rPr>
                <w:sz w:val="20"/>
                <w:lang w:val="fr-CA"/>
              </w:rPr>
              <w:t>Coûts d’appui au projet</w:t>
            </w:r>
          </w:p>
        </w:tc>
        <w:tc>
          <w:tcPr>
            <w:tcW w:w="454" w:type="pct"/>
            <w:shd w:val="clear" w:color="auto" w:fill="auto"/>
          </w:tcPr>
          <w:p w14:paraId="029C321B" w14:textId="29B74682" w:rsidR="00710B2B" w:rsidRPr="00DB1648" w:rsidRDefault="00710B2B" w:rsidP="00A0418C">
            <w:pPr>
              <w:tabs>
                <w:tab w:val="left" w:pos="8280"/>
              </w:tabs>
              <w:suppressAutoHyphens/>
              <w:spacing w:after="60"/>
              <w:jc w:val="right"/>
              <w:rPr>
                <w:sz w:val="20"/>
                <w:szCs w:val="20"/>
                <w:lang w:val="fr-CA"/>
              </w:rPr>
            </w:pPr>
            <w:r w:rsidRPr="00DB1648">
              <w:rPr>
                <w:color w:val="000000"/>
                <w:sz w:val="20"/>
                <w:szCs w:val="20"/>
                <w:lang w:val="fr-CA"/>
              </w:rPr>
              <w:t>22</w:t>
            </w:r>
            <w:r w:rsidR="00385FEE" w:rsidRPr="00DB1648">
              <w:rPr>
                <w:color w:val="000000"/>
                <w:sz w:val="20"/>
                <w:szCs w:val="20"/>
                <w:lang w:val="fr-CA"/>
              </w:rPr>
              <w:t xml:space="preserve"> </w:t>
            </w:r>
            <w:r w:rsidRPr="00DB1648">
              <w:rPr>
                <w:color w:val="000000"/>
                <w:sz w:val="20"/>
                <w:szCs w:val="20"/>
                <w:lang w:val="fr-CA"/>
              </w:rPr>
              <w:t>490</w:t>
            </w:r>
          </w:p>
        </w:tc>
        <w:tc>
          <w:tcPr>
            <w:tcW w:w="353" w:type="pct"/>
          </w:tcPr>
          <w:p w14:paraId="3D3AEFF4" w14:textId="44B551E6" w:rsidR="00710B2B" w:rsidRPr="00DB1648" w:rsidRDefault="00710B2B" w:rsidP="00A0418C">
            <w:pPr>
              <w:tabs>
                <w:tab w:val="left" w:pos="8280"/>
              </w:tabs>
              <w:suppressAutoHyphens/>
              <w:spacing w:after="60"/>
              <w:jc w:val="right"/>
              <w:rPr>
                <w:sz w:val="20"/>
                <w:szCs w:val="20"/>
                <w:lang w:val="fr-CA"/>
              </w:rPr>
            </w:pPr>
            <w:r w:rsidRPr="00DB1648">
              <w:rPr>
                <w:kern w:val="28"/>
                <w:sz w:val="20"/>
                <w:szCs w:val="20"/>
                <w:lang w:val="fr-CA"/>
              </w:rPr>
              <w:t>0</w:t>
            </w:r>
          </w:p>
        </w:tc>
        <w:tc>
          <w:tcPr>
            <w:tcW w:w="461" w:type="pct"/>
          </w:tcPr>
          <w:p w14:paraId="19143BB0" w14:textId="0B00605C" w:rsidR="00710B2B" w:rsidRPr="00DB1648" w:rsidRDefault="00710B2B" w:rsidP="00A0418C">
            <w:pPr>
              <w:tabs>
                <w:tab w:val="left" w:pos="8280"/>
              </w:tabs>
              <w:suppressAutoHyphens/>
              <w:spacing w:after="60"/>
              <w:jc w:val="right"/>
              <w:rPr>
                <w:sz w:val="20"/>
                <w:szCs w:val="20"/>
                <w:lang w:val="fr-CA"/>
              </w:rPr>
            </w:pPr>
            <w:r w:rsidRPr="00DB1648">
              <w:rPr>
                <w:color w:val="000000"/>
                <w:sz w:val="20"/>
                <w:szCs w:val="20"/>
                <w:lang w:val="fr-CA"/>
              </w:rPr>
              <w:t>17</w:t>
            </w:r>
            <w:r w:rsidR="00385FEE" w:rsidRPr="00DB1648">
              <w:rPr>
                <w:color w:val="000000"/>
                <w:sz w:val="20"/>
                <w:szCs w:val="20"/>
                <w:lang w:val="fr-CA"/>
              </w:rPr>
              <w:t xml:space="preserve"> </w:t>
            </w:r>
            <w:r w:rsidRPr="00DB1648">
              <w:rPr>
                <w:color w:val="000000"/>
                <w:sz w:val="20"/>
                <w:szCs w:val="20"/>
                <w:lang w:val="fr-CA"/>
              </w:rPr>
              <w:t>030</w:t>
            </w:r>
          </w:p>
        </w:tc>
        <w:tc>
          <w:tcPr>
            <w:tcW w:w="356" w:type="pct"/>
          </w:tcPr>
          <w:p w14:paraId="38428377" w14:textId="4213FC7D" w:rsidR="00710B2B" w:rsidRPr="00DB1648" w:rsidRDefault="00710B2B"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6ABA2C5E" w14:textId="6F8C50C1" w:rsidR="00710B2B" w:rsidRPr="00DB1648" w:rsidRDefault="00710B2B" w:rsidP="00A0418C">
            <w:pPr>
              <w:tabs>
                <w:tab w:val="left" w:pos="8280"/>
              </w:tabs>
              <w:suppressAutoHyphens/>
              <w:spacing w:after="60"/>
              <w:jc w:val="right"/>
              <w:rPr>
                <w:sz w:val="20"/>
                <w:szCs w:val="20"/>
                <w:lang w:val="fr-CA"/>
              </w:rPr>
            </w:pPr>
            <w:r w:rsidRPr="00DB1648">
              <w:rPr>
                <w:color w:val="000000"/>
                <w:sz w:val="20"/>
                <w:szCs w:val="20"/>
                <w:lang w:val="fr-CA"/>
              </w:rPr>
              <w:t>10</w:t>
            </w:r>
            <w:r w:rsidR="00385FEE" w:rsidRPr="00DB1648">
              <w:rPr>
                <w:color w:val="000000"/>
                <w:sz w:val="20"/>
                <w:szCs w:val="20"/>
                <w:lang w:val="fr-CA"/>
              </w:rPr>
              <w:t xml:space="preserve"> </w:t>
            </w:r>
            <w:r w:rsidRPr="00DB1648">
              <w:rPr>
                <w:color w:val="000000"/>
                <w:sz w:val="20"/>
                <w:szCs w:val="20"/>
                <w:lang w:val="fr-CA"/>
              </w:rPr>
              <w:t>270</w:t>
            </w:r>
          </w:p>
        </w:tc>
        <w:tc>
          <w:tcPr>
            <w:tcW w:w="408" w:type="pct"/>
          </w:tcPr>
          <w:p w14:paraId="3691C464" w14:textId="4D6D1A48" w:rsidR="00710B2B" w:rsidRPr="00DB1648" w:rsidRDefault="00710B2B"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0344FE93" w14:textId="6D962248" w:rsidR="00710B2B" w:rsidRPr="00DB1648" w:rsidRDefault="00710B2B" w:rsidP="00A0418C">
            <w:pPr>
              <w:tabs>
                <w:tab w:val="left" w:pos="8280"/>
              </w:tabs>
              <w:suppressAutoHyphens/>
              <w:spacing w:after="60"/>
              <w:jc w:val="right"/>
              <w:rPr>
                <w:sz w:val="20"/>
                <w:szCs w:val="20"/>
                <w:lang w:val="fr-CA"/>
              </w:rPr>
            </w:pPr>
            <w:r w:rsidRPr="00DB1648">
              <w:rPr>
                <w:color w:val="000000"/>
                <w:sz w:val="20"/>
                <w:szCs w:val="20"/>
                <w:lang w:val="fr-CA"/>
              </w:rPr>
              <w:t>5,785</w:t>
            </w:r>
          </w:p>
        </w:tc>
        <w:tc>
          <w:tcPr>
            <w:tcW w:w="452" w:type="pct"/>
          </w:tcPr>
          <w:p w14:paraId="309952AB" w14:textId="33AE141A" w:rsidR="00710B2B" w:rsidRPr="00DB1648" w:rsidRDefault="00710B2B" w:rsidP="00A0418C">
            <w:pPr>
              <w:tabs>
                <w:tab w:val="left" w:pos="8280"/>
              </w:tabs>
              <w:suppressAutoHyphens/>
              <w:spacing w:after="60"/>
              <w:jc w:val="right"/>
              <w:rPr>
                <w:color w:val="000000" w:themeColor="text1"/>
                <w:kern w:val="28"/>
                <w:sz w:val="20"/>
                <w:szCs w:val="20"/>
                <w:lang w:val="fr-CA"/>
              </w:rPr>
            </w:pPr>
            <w:r w:rsidRPr="00DB1648">
              <w:rPr>
                <w:color w:val="000000"/>
                <w:sz w:val="20"/>
                <w:szCs w:val="20"/>
                <w:lang w:val="fr-CA"/>
              </w:rPr>
              <w:t>55,575</w:t>
            </w:r>
          </w:p>
        </w:tc>
      </w:tr>
      <w:tr w:rsidR="00710B2B" w:rsidRPr="00DB1648" w14:paraId="21539D69" w14:textId="0505288A" w:rsidTr="00710B2B">
        <w:trPr>
          <w:trHeight w:val="158"/>
        </w:trPr>
        <w:tc>
          <w:tcPr>
            <w:tcW w:w="1699" w:type="pct"/>
            <w:gridSpan w:val="3"/>
            <w:shd w:val="clear" w:color="auto" w:fill="auto"/>
          </w:tcPr>
          <w:p w14:paraId="73F9471B" w14:textId="36E27C01" w:rsidR="004E6E6C" w:rsidRPr="00DB1648" w:rsidRDefault="00B41D66" w:rsidP="00A0418C">
            <w:pPr>
              <w:tabs>
                <w:tab w:val="left" w:pos="8280"/>
              </w:tabs>
              <w:suppressAutoHyphens/>
              <w:spacing w:after="60"/>
              <w:jc w:val="left"/>
              <w:rPr>
                <w:sz w:val="20"/>
                <w:lang w:val="fr-CA"/>
              </w:rPr>
            </w:pPr>
            <w:r w:rsidRPr="00DB1648">
              <w:rPr>
                <w:sz w:val="20"/>
                <w:lang w:val="fr-CA"/>
              </w:rPr>
              <w:t>Coût total du projet demandé en principe ($US)</w:t>
            </w:r>
          </w:p>
        </w:tc>
        <w:tc>
          <w:tcPr>
            <w:tcW w:w="454" w:type="pct"/>
            <w:shd w:val="clear" w:color="auto" w:fill="auto"/>
          </w:tcPr>
          <w:p w14:paraId="3D29C8ED" w14:textId="0CD6155A" w:rsidR="004E6E6C" w:rsidRPr="00DB1648" w:rsidRDefault="004E6E6C" w:rsidP="00A0418C">
            <w:pPr>
              <w:suppressAutoHyphens/>
              <w:jc w:val="right"/>
              <w:rPr>
                <w:sz w:val="20"/>
                <w:szCs w:val="20"/>
                <w:lang w:val="fr-CA"/>
              </w:rPr>
            </w:pPr>
            <w:r w:rsidRPr="00DB1648">
              <w:rPr>
                <w:sz w:val="20"/>
                <w:szCs w:val="20"/>
                <w:lang w:val="fr-CA"/>
              </w:rPr>
              <w:t>173</w:t>
            </w:r>
            <w:r w:rsidR="00385FEE" w:rsidRPr="00DB1648">
              <w:rPr>
                <w:sz w:val="20"/>
                <w:szCs w:val="20"/>
                <w:lang w:val="fr-CA"/>
              </w:rPr>
              <w:t xml:space="preserve"> </w:t>
            </w:r>
            <w:r w:rsidRPr="00DB1648">
              <w:rPr>
                <w:sz w:val="20"/>
                <w:szCs w:val="20"/>
                <w:lang w:val="fr-CA"/>
              </w:rPr>
              <w:t>000</w:t>
            </w:r>
          </w:p>
        </w:tc>
        <w:tc>
          <w:tcPr>
            <w:tcW w:w="353" w:type="pct"/>
          </w:tcPr>
          <w:p w14:paraId="070DF827" w14:textId="796E3DFB" w:rsidR="004E6E6C" w:rsidRPr="00DB1648" w:rsidRDefault="004E6E6C" w:rsidP="00A0418C">
            <w:pPr>
              <w:tabs>
                <w:tab w:val="left" w:pos="8280"/>
              </w:tabs>
              <w:suppressAutoHyphens/>
              <w:spacing w:after="60"/>
              <w:jc w:val="right"/>
              <w:rPr>
                <w:sz w:val="20"/>
                <w:szCs w:val="20"/>
                <w:lang w:val="fr-CA"/>
              </w:rPr>
            </w:pPr>
            <w:r w:rsidRPr="00DB1648">
              <w:rPr>
                <w:kern w:val="28"/>
                <w:sz w:val="20"/>
                <w:szCs w:val="20"/>
                <w:lang w:val="fr-CA"/>
              </w:rPr>
              <w:t>0</w:t>
            </w:r>
          </w:p>
        </w:tc>
        <w:tc>
          <w:tcPr>
            <w:tcW w:w="461" w:type="pct"/>
          </w:tcPr>
          <w:p w14:paraId="3DF5B1A8" w14:textId="22E6DB50" w:rsidR="004E6E6C" w:rsidRPr="00DB1648" w:rsidRDefault="004E6E6C" w:rsidP="00A0418C">
            <w:pPr>
              <w:tabs>
                <w:tab w:val="left" w:pos="8280"/>
              </w:tabs>
              <w:suppressAutoHyphens/>
              <w:spacing w:after="60"/>
              <w:jc w:val="right"/>
              <w:rPr>
                <w:sz w:val="20"/>
                <w:szCs w:val="20"/>
                <w:lang w:val="fr-CA"/>
              </w:rPr>
            </w:pPr>
            <w:r w:rsidRPr="00DB1648">
              <w:rPr>
                <w:sz w:val="20"/>
                <w:szCs w:val="20"/>
                <w:lang w:val="fr-CA"/>
              </w:rPr>
              <w:t>131</w:t>
            </w:r>
            <w:r w:rsidR="00385FEE" w:rsidRPr="00DB1648">
              <w:rPr>
                <w:sz w:val="20"/>
                <w:szCs w:val="20"/>
                <w:lang w:val="fr-CA"/>
              </w:rPr>
              <w:t xml:space="preserve"> </w:t>
            </w:r>
            <w:r w:rsidRPr="00DB1648">
              <w:rPr>
                <w:sz w:val="20"/>
                <w:szCs w:val="20"/>
                <w:lang w:val="fr-CA"/>
              </w:rPr>
              <w:t>000</w:t>
            </w:r>
          </w:p>
        </w:tc>
        <w:tc>
          <w:tcPr>
            <w:tcW w:w="356" w:type="pct"/>
          </w:tcPr>
          <w:p w14:paraId="15AD4A6F" w14:textId="777B9CE3" w:rsidR="004E6E6C" w:rsidRPr="00DB1648" w:rsidRDefault="004E6E6C"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340D33FB" w14:textId="5E156A29" w:rsidR="004E6E6C" w:rsidRPr="00DB1648" w:rsidRDefault="004E6E6C" w:rsidP="00A0418C">
            <w:pPr>
              <w:tabs>
                <w:tab w:val="left" w:pos="8280"/>
              </w:tabs>
              <w:suppressAutoHyphens/>
              <w:spacing w:after="60"/>
              <w:jc w:val="right"/>
              <w:rPr>
                <w:sz w:val="20"/>
                <w:szCs w:val="20"/>
                <w:lang w:val="fr-CA"/>
              </w:rPr>
            </w:pPr>
            <w:r w:rsidRPr="00DB1648">
              <w:rPr>
                <w:sz w:val="20"/>
                <w:szCs w:val="20"/>
                <w:lang w:val="fr-CA"/>
              </w:rPr>
              <w:t>79</w:t>
            </w:r>
            <w:r w:rsidR="00385FEE" w:rsidRPr="00DB1648">
              <w:rPr>
                <w:sz w:val="20"/>
                <w:szCs w:val="20"/>
                <w:lang w:val="fr-CA"/>
              </w:rPr>
              <w:t xml:space="preserve"> </w:t>
            </w:r>
            <w:r w:rsidRPr="00DB1648">
              <w:rPr>
                <w:sz w:val="20"/>
                <w:szCs w:val="20"/>
                <w:lang w:val="fr-CA"/>
              </w:rPr>
              <w:t>000</w:t>
            </w:r>
          </w:p>
        </w:tc>
        <w:tc>
          <w:tcPr>
            <w:tcW w:w="408" w:type="pct"/>
          </w:tcPr>
          <w:p w14:paraId="4524076F" w14:textId="7B1ED8B8" w:rsidR="004E6E6C" w:rsidRPr="00DB1648" w:rsidRDefault="004E6E6C"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798FEBBD" w14:textId="0679821C" w:rsidR="004E6E6C" w:rsidRPr="00DB1648" w:rsidRDefault="004E6E6C" w:rsidP="00A0418C">
            <w:pPr>
              <w:tabs>
                <w:tab w:val="left" w:pos="8280"/>
              </w:tabs>
              <w:suppressAutoHyphens/>
              <w:spacing w:after="60"/>
              <w:jc w:val="right"/>
              <w:rPr>
                <w:sz w:val="20"/>
                <w:szCs w:val="20"/>
                <w:lang w:val="fr-CA"/>
              </w:rPr>
            </w:pPr>
            <w:r w:rsidRPr="00DB1648">
              <w:rPr>
                <w:sz w:val="20"/>
                <w:szCs w:val="20"/>
                <w:lang w:val="fr-CA"/>
              </w:rPr>
              <w:t>44</w:t>
            </w:r>
            <w:r w:rsidR="00385FEE" w:rsidRPr="00DB1648">
              <w:rPr>
                <w:sz w:val="20"/>
                <w:szCs w:val="20"/>
                <w:lang w:val="fr-CA"/>
              </w:rPr>
              <w:t xml:space="preserve"> </w:t>
            </w:r>
            <w:r w:rsidRPr="00DB1648">
              <w:rPr>
                <w:sz w:val="20"/>
                <w:szCs w:val="20"/>
                <w:lang w:val="fr-CA"/>
              </w:rPr>
              <w:t>500</w:t>
            </w:r>
          </w:p>
        </w:tc>
        <w:tc>
          <w:tcPr>
            <w:tcW w:w="452" w:type="pct"/>
          </w:tcPr>
          <w:p w14:paraId="31F0F560" w14:textId="3D205886" w:rsidR="004E6E6C" w:rsidRPr="00DB1648" w:rsidRDefault="004E6E6C" w:rsidP="00A0418C">
            <w:pPr>
              <w:tabs>
                <w:tab w:val="left" w:pos="8280"/>
              </w:tabs>
              <w:suppressAutoHyphens/>
              <w:spacing w:after="60"/>
              <w:jc w:val="right"/>
              <w:rPr>
                <w:color w:val="000000" w:themeColor="text1"/>
                <w:kern w:val="28"/>
                <w:sz w:val="20"/>
                <w:szCs w:val="20"/>
                <w:lang w:val="fr-CA"/>
              </w:rPr>
            </w:pPr>
            <w:r w:rsidRPr="00DB1648">
              <w:rPr>
                <w:color w:val="000000"/>
                <w:sz w:val="20"/>
                <w:szCs w:val="20"/>
                <w:lang w:val="fr-CA"/>
              </w:rPr>
              <w:t>427</w:t>
            </w:r>
            <w:r w:rsidR="00385FEE" w:rsidRPr="00DB1648">
              <w:rPr>
                <w:color w:val="000000"/>
                <w:sz w:val="20"/>
                <w:szCs w:val="20"/>
                <w:lang w:val="fr-CA"/>
              </w:rPr>
              <w:t xml:space="preserve"> </w:t>
            </w:r>
            <w:r w:rsidRPr="00DB1648">
              <w:rPr>
                <w:color w:val="000000"/>
                <w:sz w:val="20"/>
                <w:szCs w:val="20"/>
                <w:lang w:val="fr-CA"/>
              </w:rPr>
              <w:t>500</w:t>
            </w:r>
          </w:p>
        </w:tc>
      </w:tr>
      <w:tr w:rsidR="00710B2B" w:rsidRPr="00DB1648" w14:paraId="35A36374" w14:textId="0402230B" w:rsidTr="00710B2B">
        <w:trPr>
          <w:trHeight w:val="200"/>
        </w:trPr>
        <w:tc>
          <w:tcPr>
            <w:tcW w:w="1699" w:type="pct"/>
            <w:gridSpan w:val="3"/>
            <w:shd w:val="clear" w:color="auto" w:fill="auto"/>
          </w:tcPr>
          <w:p w14:paraId="1FCA806A" w14:textId="783AFC0D" w:rsidR="00422BA8" w:rsidRPr="00DB1648" w:rsidRDefault="00B41D66" w:rsidP="00A0418C">
            <w:pPr>
              <w:tabs>
                <w:tab w:val="left" w:pos="8280"/>
              </w:tabs>
              <w:suppressAutoHyphens/>
              <w:spacing w:after="60"/>
              <w:jc w:val="left"/>
              <w:rPr>
                <w:sz w:val="20"/>
                <w:lang w:val="fr-CA"/>
              </w:rPr>
            </w:pPr>
            <w:r w:rsidRPr="00DB1648">
              <w:rPr>
                <w:sz w:val="20"/>
                <w:lang w:val="fr-CA"/>
              </w:rPr>
              <w:t xml:space="preserve">Total </w:t>
            </w:r>
            <w:r w:rsidR="00385FEE" w:rsidRPr="00DB1648">
              <w:rPr>
                <w:sz w:val="20"/>
                <w:lang w:val="fr-CA"/>
              </w:rPr>
              <w:t>des coûts d’appui demandé en principe ($US)</w:t>
            </w:r>
          </w:p>
        </w:tc>
        <w:tc>
          <w:tcPr>
            <w:tcW w:w="454" w:type="pct"/>
            <w:shd w:val="clear" w:color="auto" w:fill="auto"/>
          </w:tcPr>
          <w:p w14:paraId="36AD2FFC" w14:textId="62D93631" w:rsidR="00422BA8" w:rsidRPr="00DB1648" w:rsidRDefault="00917013" w:rsidP="00A0418C">
            <w:pPr>
              <w:suppressAutoHyphens/>
              <w:jc w:val="right"/>
              <w:rPr>
                <w:color w:val="000000"/>
                <w:sz w:val="20"/>
                <w:szCs w:val="20"/>
                <w:lang w:val="fr-CA"/>
              </w:rPr>
            </w:pPr>
            <w:r w:rsidRPr="00DB1648">
              <w:rPr>
                <w:color w:val="000000"/>
                <w:sz w:val="20"/>
                <w:szCs w:val="20"/>
                <w:lang w:val="fr-CA"/>
              </w:rPr>
              <w:t>22</w:t>
            </w:r>
            <w:r w:rsidR="00385FEE" w:rsidRPr="00DB1648">
              <w:rPr>
                <w:color w:val="000000"/>
                <w:sz w:val="20"/>
                <w:szCs w:val="20"/>
                <w:lang w:val="fr-CA"/>
              </w:rPr>
              <w:t xml:space="preserve"> </w:t>
            </w:r>
            <w:r w:rsidRPr="00DB1648">
              <w:rPr>
                <w:color w:val="000000"/>
                <w:sz w:val="20"/>
                <w:szCs w:val="20"/>
                <w:lang w:val="fr-CA"/>
              </w:rPr>
              <w:t>490</w:t>
            </w:r>
          </w:p>
        </w:tc>
        <w:tc>
          <w:tcPr>
            <w:tcW w:w="353" w:type="pct"/>
          </w:tcPr>
          <w:p w14:paraId="2D16A958" w14:textId="0C461B7D" w:rsidR="00422BA8" w:rsidRPr="00DB1648" w:rsidRDefault="00917013" w:rsidP="00A0418C">
            <w:pPr>
              <w:tabs>
                <w:tab w:val="left" w:pos="8280"/>
              </w:tabs>
              <w:suppressAutoHyphens/>
              <w:spacing w:after="60"/>
              <w:jc w:val="right"/>
              <w:rPr>
                <w:sz w:val="20"/>
                <w:szCs w:val="20"/>
                <w:lang w:val="fr-CA"/>
              </w:rPr>
            </w:pPr>
            <w:r w:rsidRPr="00DB1648">
              <w:rPr>
                <w:kern w:val="28"/>
                <w:sz w:val="20"/>
                <w:szCs w:val="20"/>
                <w:lang w:val="fr-CA"/>
              </w:rPr>
              <w:t>0</w:t>
            </w:r>
          </w:p>
        </w:tc>
        <w:tc>
          <w:tcPr>
            <w:tcW w:w="461" w:type="pct"/>
          </w:tcPr>
          <w:p w14:paraId="596B63CB" w14:textId="35724982" w:rsidR="00422BA8" w:rsidRPr="00DB1648" w:rsidRDefault="00917013" w:rsidP="00A0418C">
            <w:pPr>
              <w:suppressAutoHyphens/>
              <w:jc w:val="right"/>
              <w:rPr>
                <w:color w:val="000000"/>
                <w:sz w:val="20"/>
                <w:szCs w:val="20"/>
                <w:lang w:val="fr-CA"/>
              </w:rPr>
            </w:pPr>
            <w:r w:rsidRPr="00DB1648">
              <w:rPr>
                <w:color w:val="000000"/>
                <w:sz w:val="20"/>
                <w:szCs w:val="20"/>
                <w:lang w:val="fr-CA"/>
              </w:rPr>
              <w:t>17</w:t>
            </w:r>
            <w:r w:rsidR="00385FEE" w:rsidRPr="00DB1648">
              <w:rPr>
                <w:color w:val="000000"/>
                <w:sz w:val="20"/>
                <w:szCs w:val="20"/>
                <w:lang w:val="fr-CA"/>
              </w:rPr>
              <w:t xml:space="preserve"> </w:t>
            </w:r>
            <w:r w:rsidRPr="00DB1648">
              <w:rPr>
                <w:color w:val="000000"/>
                <w:sz w:val="20"/>
                <w:szCs w:val="20"/>
                <w:lang w:val="fr-CA"/>
              </w:rPr>
              <w:t>030</w:t>
            </w:r>
          </w:p>
        </w:tc>
        <w:tc>
          <w:tcPr>
            <w:tcW w:w="356" w:type="pct"/>
          </w:tcPr>
          <w:p w14:paraId="07E03FE3" w14:textId="4CAED91C" w:rsidR="00422BA8" w:rsidRPr="00DB1648" w:rsidRDefault="00917013"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40FF9279" w14:textId="0E9120EC" w:rsidR="00422BA8" w:rsidRPr="00DB1648" w:rsidRDefault="00917013" w:rsidP="00A0418C">
            <w:pPr>
              <w:suppressAutoHyphens/>
              <w:jc w:val="right"/>
              <w:rPr>
                <w:color w:val="000000"/>
                <w:sz w:val="20"/>
                <w:szCs w:val="20"/>
                <w:lang w:val="fr-CA"/>
              </w:rPr>
            </w:pPr>
            <w:r w:rsidRPr="00DB1648">
              <w:rPr>
                <w:color w:val="000000"/>
                <w:sz w:val="20"/>
                <w:szCs w:val="20"/>
                <w:lang w:val="fr-CA"/>
              </w:rPr>
              <w:t>10</w:t>
            </w:r>
            <w:r w:rsidR="00385FEE" w:rsidRPr="00DB1648">
              <w:rPr>
                <w:color w:val="000000"/>
                <w:sz w:val="20"/>
                <w:szCs w:val="20"/>
                <w:lang w:val="fr-CA"/>
              </w:rPr>
              <w:t xml:space="preserve"> </w:t>
            </w:r>
            <w:r w:rsidRPr="00DB1648">
              <w:rPr>
                <w:color w:val="000000"/>
                <w:sz w:val="20"/>
                <w:szCs w:val="20"/>
                <w:lang w:val="fr-CA"/>
              </w:rPr>
              <w:t>270</w:t>
            </w:r>
          </w:p>
        </w:tc>
        <w:tc>
          <w:tcPr>
            <w:tcW w:w="408" w:type="pct"/>
          </w:tcPr>
          <w:p w14:paraId="72A550E8" w14:textId="3605CCB1" w:rsidR="00422BA8" w:rsidRPr="00DB1648" w:rsidRDefault="00917013"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27A30FD7" w14:textId="13A02AE9" w:rsidR="00422BA8" w:rsidRPr="00DB1648" w:rsidRDefault="00917013" w:rsidP="00A0418C">
            <w:pPr>
              <w:suppressAutoHyphens/>
              <w:jc w:val="right"/>
              <w:rPr>
                <w:color w:val="000000"/>
                <w:sz w:val="20"/>
                <w:szCs w:val="20"/>
                <w:lang w:val="fr-CA"/>
              </w:rPr>
            </w:pPr>
            <w:r w:rsidRPr="00DB1648">
              <w:rPr>
                <w:color w:val="000000"/>
                <w:sz w:val="20"/>
                <w:szCs w:val="20"/>
                <w:lang w:val="fr-CA"/>
              </w:rPr>
              <w:t>5</w:t>
            </w:r>
            <w:r w:rsidR="00385FEE" w:rsidRPr="00DB1648">
              <w:rPr>
                <w:color w:val="000000"/>
                <w:sz w:val="20"/>
                <w:szCs w:val="20"/>
                <w:lang w:val="fr-CA"/>
              </w:rPr>
              <w:t xml:space="preserve"> </w:t>
            </w:r>
            <w:r w:rsidRPr="00DB1648">
              <w:rPr>
                <w:color w:val="000000"/>
                <w:sz w:val="20"/>
                <w:szCs w:val="20"/>
                <w:lang w:val="fr-CA"/>
              </w:rPr>
              <w:t>785</w:t>
            </w:r>
          </w:p>
        </w:tc>
        <w:tc>
          <w:tcPr>
            <w:tcW w:w="452" w:type="pct"/>
          </w:tcPr>
          <w:p w14:paraId="61071531" w14:textId="0DAE333E" w:rsidR="00422BA8" w:rsidRPr="00DB1648" w:rsidRDefault="00422BA8" w:rsidP="00A0418C">
            <w:pPr>
              <w:tabs>
                <w:tab w:val="left" w:pos="8280"/>
              </w:tabs>
              <w:suppressAutoHyphens/>
              <w:spacing w:after="60"/>
              <w:jc w:val="right"/>
              <w:rPr>
                <w:color w:val="000000" w:themeColor="text1"/>
                <w:kern w:val="28"/>
                <w:sz w:val="20"/>
                <w:szCs w:val="20"/>
                <w:lang w:val="fr-CA"/>
              </w:rPr>
            </w:pPr>
            <w:r w:rsidRPr="00DB1648">
              <w:rPr>
                <w:color w:val="000000"/>
                <w:sz w:val="20"/>
                <w:szCs w:val="20"/>
                <w:lang w:val="fr-CA"/>
              </w:rPr>
              <w:t>55</w:t>
            </w:r>
            <w:r w:rsidR="00385FEE" w:rsidRPr="00DB1648">
              <w:rPr>
                <w:color w:val="000000"/>
                <w:sz w:val="20"/>
                <w:szCs w:val="20"/>
                <w:lang w:val="fr-CA"/>
              </w:rPr>
              <w:t xml:space="preserve"> </w:t>
            </w:r>
            <w:r w:rsidRPr="00DB1648">
              <w:rPr>
                <w:color w:val="000000"/>
                <w:sz w:val="20"/>
                <w:szCs w:val="20"/>
                <w:lang w:val="fr-CA"/>
              </w:rPr>
              <w:t>575</w:t>
            </w:r>
          </w:p>
        </w:tc>
      </w:tr>
      <w:tr w:rsidR="00710B2B" w:rsidRPr="00DB1648" w14:paraId="1E0010BC" w14:textId="67C4DB7B" w:rsidTr="00710B2B">
        <w:trPr>
          <w:trHeight w:val="95"/>
        </w:trPr>
        <w:tc>
          <w:tcPr>
            <w:tcW w:w="1699" w:type="pct"/>
            <w:gridSpan w:val="3"/>
            <w:shd w:val="clear" w:color="auto" w:fill="auto"/>
          </w:tcPr>
          <w:p w14:paraId="582B2365" w14:textId="757183E3" w:rsidR="006663D8" w:rsidRPr="00DB1648" w:rsidRDefault="00385FEE" w:rsidP="00385FEE">
            <w:pPr>
              <w:tabs>
                <w:tab w:val="left" w:pos="8280"/>
              </w:tabs>
              <w:suppressAutoHyphens/>
              <w:spacing w:after="60"/>
              <w:jc w:val="left"/>
              <w:rPr>
                <w:sz w:val="20"/>
                <w:lang w:val="fr-CA"/>
              </w:rPr>
            </w:pPr>
            <w:r w:rsidRPr="00DB1648">
              <w:rPr>
                <w:sz w:val="20"/>
                <w:lang w:val="fr-CA"/>
              </w:rPr>
              <w:t>Somme totale demandée en principe ($US)</w:t>
            </w:r>
          </w:p>
        </w:tc>
        <w:tc>
          <w:tcPr>
            <w:tcW w:w="454" w:type="pct"/>
            <w:shd w:val="clear" w:color="auto" w:fill="auto"/>
          </w:tcPr>
          <w:p w14:paraId="09F9B3C2" w14:textId="1E1F632D" w:rsidR="006663D8" w:rsidRPr="00DB1648" w:rsidRDefault="00917013" w:rsidP="00A0418C">
            <w:pPr>
              <w:suppressAutoHyphens/>
              <w:jc w:val="right"/>
              <w:rPr>
                <w:color w:val="000000"/>
                <w:sz w:val="20"/>
                <w:szCs w:val="20"/>
                <w:lang w:val="fr-CA"/>
              </w:rPr>
            </w:pPr>
            <w:r w:rsidRPr="00DB1648">
              <w:rPr>
                <w:color w:val="000000"/>
                <w:sz w:val="20"/>
                <w:szCs w:val="20"/>
                <w:lang w:val="fr-CA"/>
              </w:rPr>
              <w:t>195</w:t>
            </w:r>
            <w:r w:rsidR="00385FEE" w:rsidRPr="00DB1648">
              <w:rPr>
                <w:color w:val="000000"/>
                <w:sz w:val="20"/>
                <w:szCs w:val="20"/>
                <w:lang w:val="fr-CA"/>
              </w:rPr>
              <w:t xml:space="preserve"> </w:t>
            </w:r>
            <w:r w:rsidRPr="00DB1648">
              <w:rPr>
                <w:color w:val="000000"/>
                <w:sz w:val="20"/>
                <w:szCs w:val="20"/>
                <w:lang w:val="fr-CA"/>
              </w:rPr>
              <w:t>490</w:t>
            </w:r>
          </w:p>
        </w:tc>
        <w:tc>
          <w:tcPr>
            <w:tcW w:w="353" w:type="pct"/>
          </w:tcPr>
          <w:p w14:paraId="4B71D9B1" w14:textId="65249B1F" w:rsidR="006663D8" w:rsidRPr="00DB1648" w:rsidRDefault="00917013" w:rsidP="00A0418C">
            <w:pPr>
              <w:suppressAutoHyphens/>
              <w:jc w:val="right"/>
              <w:rPr>
                <w:color w:val="000000"/>
                <w:sz w:val="20"/>
                <w:szCs w:val="20"/>
                <w:lang w:val="fr-CA"/>
              </w:rPr>
            </w:pPr>
            <w:r w:rsidRPr="00DB1648">
              <w:rPr>
                <w:kern w:val="28"/>
                <w:sz w:val="20"/>
                <w:szCs w:val="20"/>
                <w:lang w:val="fr-CA"/>
              </w:rPr>
              <w:t>0</w:t>
            </w:r>
          </w:p>
        </w:tc>
        <w:tc>
          <w:tcPr>
            <w:tcW w:w="461" w:type="pct"/>
          </w:tcPr>
          <w:p w14:paraId="69B92853" w14:textId="041A3431" w:rsidR="006663D8" w:rsidRPr="00DB1648" w:rsidRDefault="00917013" w:rsidP="00A0418C">
            <w:pPr>
              <w:tabs>
                <w:tab w:val="left" w:pos="8280"/>
              </w:tabs>
              <w:suppressAutoHyphens/>
              <w:spacing w:after="60"/>
              <w:jc w:val="right"/>
              <w:rPr>
                <w:sz w:val="20"/>
                <w:szCs w:val="20"/>
                <w:lang w:val="fr-CA"/>
              </w:rPr>
            </w:pPr>
            <w:r w:rsidRPr="00DB1648">
              <w:rPr>
                <w:color w:val="000000"/>
                <w:sz w:val="20"/>
                <w:szCs w:val="20"/>
                <w:lang w:val="fr-CA"/>
              </w:rPr>
              <w:t>148</w:t>
            </w:r>
            <w:r w:rsidR="00385FEE" w:rsidRPr="00DB1648">
              <w:rPr>
                <w:color w:val="000000"/>
                <w:sz w:val="20"/>
                <w:szCs w:val="20"/>
                <w:lang w:val="fr-CA"/>
              </w:rPr>
              <w:t xml:space="preserve"> </w:t>
            </w:r>
            <w:r w:rsidRPr="00DB1648">
              <w:rPr>
                <w:color w:val="000000"/>
                <w:sz w:val="20"/>
                <w:szCs w:val="20"/>
                <w:lang w:val="fr-CA"/>
              </w:rPr>
              <w:t>030</w:t>
            </w:r>
          </w:p>
        </w:tc>
        <w:tc>
          <w:tcPr>
            <w:tcW w:w="356" w:type="pct"/>
          </w:tcPr>
          <w:p w14:paraId="7F4CEDDC" w14:textId="73E96268" w:rsidR="006663D8" w:rsidRPr="00DB1648" w:rsidRDefault="00917013"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454E1ED6" w14:textId="45632636" w:rsidR="006663D8" w:rsidRPr="00DB1648" w:rsidRDefault="00917013" w:rsidP="00A0418C">
            <w:pPr>
              <w:suppressAutoHyphens/>
              <w:jc w:val="right"/>
              <w:rPr>
                <w:color w:val="000000"/>
                <w:sz w:val="20"/>
                <w:szCs w:val="20"/>
                <w:lang w:val="fr-CA"/>
              </w:rPr>
            </w:pPr>
            <w:r w:rsidRPr="00DB1648">
              <w:rPr>
                <w:color w:val="000000"/>
                <w:sz w:val="20"/>
                <w:szCs w:val="20"/>
                <w:lang w:val="fr-CA"/>
              </w:rPr>
              <w:t>89</w:t>
            </w:r>
            <w:r w:rsidR="00385FEE" w:rsidRPr="00DB1648">
              <w:rPr>
                <w:color w:val="000000"/>
                <w:sz w:val="20"/>
                <w:szCs w:val="20"/>
                <w:lang w:val="fr-CA"/>
              </w:rPr>
              <w:t xml:space="preserve"> </w:t>
            </w:r>
            <w:r w:rsidRPr="00DB1648">
              <w:rPr>
                <w:color w:val="000000"/>
                <w:sz w:val="20"/>
                <w:szCs w:val="20"/>
                <w:lang w:val="fr-CA"/>
              </w:rPr>
              <w:t>270</w:t>
            </w:r>
          </w:p>
        </w:tc>
        <w:tc>
          <w:tcPr>
            <w:tcW w:w="408" w:type="pct"/>
          </w:tcPr>
          <w:p w14:paraId="51A9F396" w14:textId="2E49DD30" w:rsidR="006663D8" w:rsidRPr="00DB1648" w:rsidRDefault="00917013" w:rsidP="00A0418C">
            <w:pPr>
              <w:tabs>
                <w:tab w:val="left" w:pos="8280"/>
              </w:tabs>
              <w:suppressAutoHyphens/>
              <w:spacing w:after="60"/>
              <w:jc w:val="right"/>
              <w:rPr>
                <w:sz w:val="20"/>
                <w:szCs w:val="20"/>
                <w:lang w:val="fr-CA"/>
              </w:rPr>
            </w:pPr>
            <w:r w:rsidRPr="00DB1648">
              <w:rPr>
                <w:kern w:val="28"/>
                <w:sz w:val="20"/>
                <w:szCs w:val="20"/>
                <w:lang w:val="fr-CA"/>
              </w:rPr>
              <w:t>0</w:t>
            </w:r>
          </w:p>
        </w:tc>
        <w:tc>
          <w:tcPr>
            <w:tcW w:w="408" w:type="pct"/>
          </w:tcPr>
          <w:p w14:paraId="6101D2C7" w14:textId="13A6515B" w:rsidR="006663D8" w:rsidRPr="00DB1648" w:rsidRDefault="00917013" w:rsidP="00A0418C">
            <w:pPr>
              <w:suppressAutoHyphens/>
              <w:jc w:val="right"/>
              <w:rPr>
                <w:sz w:val="20"/>
                <w:szCs w:val="20"/>
                <w:lang w:val="fr-CA"/>
              </w:rPr>
            </w:pPr>
            <w:r w:rsidRPr="00DB1648">
              <w:rPr>
                <w:color w:val="000000"/>
                <w:sz w:val="20"/>
                <w:szCs w:val="20"/>
                <w:lang w:val="fr-CA"/>
              </w:rPr>
              <w:t>50</w:t>
            </w:r>
            <w:r w:rsidR="00385FEE" w:rsidRPr="00DB1648">
              <w:rPr>
                <w:color w:val="000000"/>
                <w:sz w:val="20"/>
                <w:szCs w:val="20"/>
                <w:lang w:val="fr-CA"/>
              </w:rPr>
              <w:t xml:space="preserve"> </w:t>
            </w:r>
            <w:r w:rsidRPr="00DB1648">
              <w:rPr>
                <w:color w:val="000000"/>
                <w:sz w:val="20"/>
                <w:szCs w:val="20"/>
                <w:lang w:val="fr-CA"/>
              </w:rPr>
              <w:t>285</w:t>
            </w:r>
          </w:p>
        </w:tc>
        <w:tc>
          <w:tcPr>
            <w:tcW w:w="452" w:type="pct"/>
          </w:tcPr>
          <w:p w14:paraId="0624DFFE" w14:textId="01638142" w:rsidR="006663D8" w:rsidRPr="00DB1648" w:rsidRDefault="006663D8" w:rsidP="00A0418C">
            <w:pPr>
              <w:tabs>
                <w:tab w:val="left" w:pos="8280"/>
              </w:tabs>
              <w:suppressAutoHyphens/>
              <w:spacing w:after="60"/>
              <w:jc w:val="right"/>
              <w:rPr>
                <w:color w:val="000000" w:themeColor="text1"/>
                <w:kern w:val="28"/>
                <w:sz w:val="20"/>
                <w:szCs w:val="20"/>
                <w:lang w:val="fr-CA"/>
              </w:rPr>
            </w:pPr>
            <w:r w:rsidRPr="00DB1648">
              <w:rPr>
                <w:color w:val="000000" w:themeColor="text1"/>
                <w:kern w:val="28"/>
                <w:sz w:val="20"/>
                <w:szCs w:val="20"/>
                <w:lang w:val="fr-CA"/>
              </w:rPr>
              <w:t>483</w:t>
            </w:r>
            <w:r w:rsidR="00385FEE" w:rsidRPr="00DB1648">
              <w:rPr>
                <w:color w:val="000000" w:themeColor="text1"/>
                <w:kern w:val="28"/>
                <w:sz w:val="20"/>
                <w:szCs w:val="20"/>
                <w:lang w:val="fr-CA"/>
              </w:rPr>
              <w:t xml:space="preserve"> </w:t>
            </w:r>
            <w:r w:rsidRPr="00DB1648">
              <w:rPr>
                <w:color w:val="000000" w:themeColor="text1"/>
                <w:kern w:val="28"/>
                <w:sz w:val="20"/>
                <w:szCs w:val="20"/>
                <w:lang w:val="fr-CA"/>
              </w:rPr>
              <w:t>075</w:t>
            </w:r>
          </w:p>
        </w:tc>
      </w:tr>
    </w:tbl>
    <w:p w14:paraId="038EBA1E" w14:textId="2EDCFFB1" w:rsidR="00EB31E3" w:rsidRPr="00DB1648" w:rsidRDefault="00EB31E3" w:rsidP="00A0418C">
      <w:pPr>
        <w:suppressAutoHyphens/>
        <w:rPr>
          <w:sz w:val="20"/>
          <w:lang w:val="fr-CA"/>
        </w:rPr>
      </w:pPr>
    </w:p>
    <w:tbl>
      <w:tblPr>
        <w:tblStyle w:val="TableGrid10"/>
        <w:tblW w:w="5309" w:type="pct"/>
        <w:tblInd w:w="-113" w:type="dxa"/>
        <w:tblLook w:val="04A0" w:firstRow="1" w:lastRow="0" w:firstColumn="1" w:lastColumn="0" w:noHBand="0" w:noVBand="1"/>
      </w:tblPr>
      <w:tblGrid>
        <w:gridCol w:w="3111"/>
        <w:gridCol w:w="3332"/>
        <w:gridCol w:w="3485"/>
      </w:tblGrid>
      <w:tr w:rsidR="00EB31E3" w:rsidRPr="001067DD" w14:paraId="6D50D23E" w14:textId="77777777" w:rsidTr="00996241">
        <w:trPr>
          <w:trHeight w:hRule="exact" w:val="227"/>
        </w:trPr>
        <w:tc>
          <w:tcPr>
            <w:tcW w:w="5000" w:type="pct"/>
            <w:gridSpan w:val="3"/>
            <w:shd w:val="clear" w:color="auto" w:fill="auto"/>
          </w:tcPr>
          <w:p w14:paraId="1586BEC2" w14:textId="6A644F36" w:rsidR="00EB31E3" w:rsidRPr="00DB1648" w:rsidRDefault="00EB31E3" w:rsidP="00385FEE">
            <w:pPr>
              <w:suppressAutoHyphens/>
              <w:rPr>
                <w:b/>
                <w:color w:val="000000" w:themeColor="text1"/>
                <w:sz w:val="20"/>
                <w:lang w:val="fr-CA"/>
              </w:rPr>
            </w:pPr>
            <w:r w:rsidRPr="00DB1648">
              <w:rPr>
                <w:b/>
                <w:color w:val="000000" w:themeColor="text1"/>
                <w:sz w:val="20"/>
                <w:lang w:val="fr-CA"/>
              </w:rPr>
              <w:t xml:space="preserve">VII) </w:t>
            </w:r>
            <w:r w:rsidR="00385FEE" w:rsidRPr="00DB1648">
              <w:rPr>
                <w:b/>
                <w:color w:val="000000" w:themeColor="text1"/>
                <w:sz w:val="20"/>
                <w:lang w:val="fr-CA"/>
              </w:rPr>
              <w:t>Demande d’approbation du financement de la première tranche (2021)</w:t>
            </w:r>
          </w:p>
        </w:tc>
      </w:tr>
      <w:tr w:rsidR="00EB31E3" w:rsidRPr="00DB1648" w14:paraId="432D7BD4" w14:textId="77777777" w:rsidTr="00996241">
        <w:trPr>
          <w:trHeight w:hRule="exact" w:val="227"/>
        </w:trPr>
        <w:tc>
          <w:tcPr>
            <w:tcW w:w="1567" w:type="pct"/>
            <w:shd w:val="clear" w:color="auto" w:fill="auto"/>
          </w:tcPr>
          <w:p w14:paraId="509E9673" w14:textId="2E91E177" w:rsidR="00EB31E3" w:rsidRPr="00DB1648" w:rsidRDefault="00385FEE" w:rsidP="00A0418C">
            <w:pPr>
              <w:suppressAutoHyphens/>
              <w:jc w:val="center"/>
              <w:rPr>
                <w:b/>
                <w:color w:val="000000" w:themeColor="text1"/>
                <w:sz w:val="20"/>
                <w:lang w:val="fr-CA"/>
              </w:rPr>
            </w:pPr>
            <w:r w:rsidRPr="00DB1648">
              <w:rPr>
                <w:b/>
                <w:color w:val="000000" w:themeColor="text1"/>
                <w:sz w:val="20"/>
                <w:lang w:val="fr-CA"/>
              </w:rPr>
              <w:t>Agence</w:t>
            </w:r>
          </w:p>
        </w:tc>
        <w:tc>
          <w:tcPr>
            <w:tcW w:w="1678" w:type="pct"/>
            <w:shd w:val="clear" w:color="auto" w:fill="auto"/>
          </w:tcPr>
          <w:p w14:paraId="6EFE926A" w14:textId="3153309C" w:rsidR="00EB31E3" w:rsidRPr="00DB1648" w:rsidRDefault="00007D87" w:rsidP="00A0418C">
            <w:pPr>
              <w:suppressAutoHyphens/>
              <w:jc w:val="center"/>
              <w:rPr>
                <w:b/>
                <w:color w:val="000000" w:themeColor="text1"/>
                <w:sz w:val="20"/>
                <w:lang w:val="fr-CA"/>
              </w:rPr>
            </w:pPr>
            <w:r>
              <w:rPr>
                <w:b/>
                <w:color w:val="000000" w:themeColor="text1"/>
                <w:sz w:val="20"/>
                <w:lang w:val="fr-CA"/>
              </w:rPr>
              <w:t>Somme demandée ($US</w:t>
            </w:r>
            <w:r w:rsidR="00385FEE" w:rsidRPr="00DB1648">
              <w:rPr>
                <w:b/>
                <w:color w:val="000000" w:themeColor="text1"/>
                <w:sz w:val="20"/>
                <w:lang w:val="fr-CA"/>
              </w:rPr>
              <w:t>)</w:t>
            </w:r>
          </w:p>
        </w:tc>
        <w:tc>
          <w:tcPr>
            <w:tcW w:w="1755" w:type="pct"/>
            <w:shd w:val="clear" w:color="auto" w:fill="auto"/>
          </w:tcPr>
          <w:p w14:paraId="3743E824" w14:textId="06BE5B67" w:rsidR="00EB31E3" w:rsidRPr="00DB1648" w:rsidRDefault="00385FEE" w:rsidP="00A0418C">
            <w:pPr>
              <w:suppressAutoHyphens/>
              <w:jc w:val="center"/>
              <w:rPr>
                <w:b/>
                <w:color w:val="000000" w:themeColor="text1"/>
                <w:sz w:val="20"/>
                <w:lang w:val="fr-CA"/>
              </w:rPr>
            </w:pPr>
            <w:r w:rsidRPr="00DB1648">
              <w:rPr>
                <w:b/>
                <w:color w:val="000000" w:themeColor="text1"/>
                <w:sz w:val="20"/>
                <w:lang w:val="fr-CA"/>
              </w:rPr>
              <w:t>Coûts d’appui ($US)</w:t>
            </w:r>
          </w:p>
        </w:tc>
      </w:tr>
      <w:tr w:rsidR="00917013" w:rsidRPr="00DB1648" w14:paraId="4FAB7EF1" w14:textId="77777777" w:rsidTr="00996241">
        <w:trPr>
          <w:trHeight w:hRule="exact" w:val="227"/>
        </w:trPr>
        <w:tc>
          <w:tcPr>
            <w:tcW w:w="1567" w:type="pct"/>
            <w:shd w:val="clear" w:color="auto" w:fill="auto"/>
          </w:tcPr>
          <w:p w14:paraId="42F44A2F" w14:textId="59AEF10A" w:rsidR="00917013" w:rsidRPr="00DB1648" w:rsidRDefault="00385FEE" w:rsidP="00A0418C">
            <w:pPr>
              <w:suppressAutoHyphens/>
              <w:rPr>
                <w:color w:val="000000" w:themeColor="text1"/>
                <w:sz w:val="20"/>
                <w:lang w:val="fr-CA"/>
              </w:rPr>
            </w:pPr>
            <w:r w:rsidRPr="00DB1648">
              <w:rPr>
                <w:color w:val="000000" w:themeColor="text1"/>
                <w:sz w:val="20"/>
                <w:lang w:val="fr-CA"/>
              </w:rPr>
              <w:t>PNUE</w:t>
            </w:r>
          </w:p>
        </w:tc>
        <w:tc>
          <w:tcPr>
            <w:tcW w:w="1678" w:type="pct"/>
            <w:shd w:val="clear" w:color="auto" w:fill="auto"/>
          </w:tcPr>
          <w:p w14:paraId="30CEC292" w14:textId="725D7B6B" w:rsidR="00917013" w:rsidRPr="00DB1648" w:rsidRDefault="00917013" w:rsidP="00385FEE">
            <w:pPr>
              <w:suppressAutoHyphens/>
              <w:jc w:val="right"/>
              <w:rPr>
                <w:color w:val="000000" w:themeColor="text1"/>
                <w:sz w:val="20"/>
                <w:lang w:val="fr-CA"/>
              </w:rPr>
            </w:pPr>
            <w:r w:rsidRPr="00DB1648">
              <w:rPr>
                <w:sz w:val="20"/>
                <w:szCs w:val="20"/>
                <w:lang w:val="fr-CA"/>
              </w:rPr>
              <w:t>173</w:t>
            </w:r>
            <w:r w:rsidR="00385FEE" w:rsidRPr="00DB1648">
              <w:rPr>
                <w:sz w:val="20"/>
                <w:szCs w:val="20"/>
                <w:lang w:val="fr-CA"/>
              </w:rPr>
              <w:t xml:space="preserve"> </w:t>
            </w:r>
            <w:r w:rsidRPr="00DB1648">
              <w:rPr>
                <w:sz w:val="20"/>
                <w:szCs w:val="20"/>
                <w:lang w:val="fr-CA"/>
              </w:rPr>
              <w:t>000</w:t>
            </w:r>
          </w:p>
        </w:tc>
        <w:tc>
          <w:tcPr>
            <w:tcW w:w="1755" w:type="pct"/>
            <w:shd w:val="clear" w:color="auto" w:fill="auto"/>
          </w:tcPr>
          <w:p w14:paraId="070B182F" w14:textId="18F0246D" w:rsidR="00917013" w:rsidRPr="00DB1648" w:rsidRDefault="00917013" w:rsidP="00A0418C">
            <w:pPr>
              <w:suppressAutoHyphens/>
              <w:jc w:val="right"/>
              <w:rPr>
                <w:color w:val="000000" w:themeColor="text1"/>
                <w:sz w:val="20"/>
                <w:lang w:val="fr-CA"/>
              </w:rPr>
            </w:pPr>
            <w:r w:rsidRPr="00DB1648">
              <w:rPr>
                <w:color w:val="000000" w:themeColor="text1"/>
                <w:kern w:val="28"/>
                <w:sz w:val="20"/>
                <w:szCs w:val="20"/>
                <w:lang w:val="fr-CA"/>
              </w:rPr>
              <w:t>1</w:t>
            </w:r>
            <w:r w:rsidR="00385FEE" w:rsidRPr="00DB1648">
              <w:rPr>
                <w:color w:val="000000" w:themeColor="text1"/>
                <w:kern w:val="28"/>
                <w:sz w:val="20"/>
                <w:szCs w:val="20"/>
                <w:lang w:val="fr-CA"/>
              </w:rPr>
              <w:t xml:space="preserve">9 </w:t>
            </w:r>
            <w:r w:rsidRPr="00DB1648">
              <w:rPr>
                <w:color w:val="000000" w:themeColor="text1"/>
                <w:kern w:val="28"/>
                <w:sz w:val="20"/>
                <w:szCs w:val="20"/>
                <w:lang w:val="fr-CA"/>
              </w:rPr>
              <w:t>760</w:t>
            </w:r>
          </w:p>
        </w:tc>
      </w:tr>
      <w:tr w:rsidR="00917013" w:rsidRPr="00DB1648" w14:paraId="24526349" w14:textId="77777777" w:rsidTr="00996241">
        <w:trPr>
          <w:trHeight w:hRule="exact" w:val="227"/>
        </w:trPr>
        <w:tc>
          <w:tcPr>
            <w:tcW w:w="1567" w:type="pct"/>
            <w:shd w:val="clear" w:color="auto" w:fill="auto"/>
          </w:tcPr>
          <w:p w14:paraId="19763326" w14:textId="77777777" w:rsidR="00917013" w:rsidRPr="00DB1648" w:rsidRDefault="00917013" w:rsidP="00A0418C">
            <w:pPr>
              <w:suppressAutoHyphens/>
              <w:rPr>
                <w:color w:val="000000" w:themeColor="text1"/>
                <w:sz w:val="20"/>
                <w:lang w:val="fr-CA"/>
              </w:rPr>
            </w:pPr>
            <w:r w:rsidRPr="00DB1648">
              <w:rPr>
                <w:color w:val="000000" w:themeColor="text1"/>
                <w:sz w:val="20"/>
                <w:lang w:val="fr-CA"/>
              </w:rPr>
              <w:t>Total</w:t>
            </w:r>
          </w:p>
        </w:tc>
        <w:tc>
          <w:tcPr>
            <w:tcW w:w="1678" w:type="pct"/>
            <w:shd w:val="clear" w:color="auto" w:fill="auto"/>
          </w:tcPr>
          <w:p w14:paraId="6694F079" w14:textId="572F4DC5" w:rsidR="00917013" w:rsidRPr="00DB1648" w:rsidRDefault="00385FEE" w:rsidP="00A0418C">
            <w:pPr>
              <w:suppressAutoHyphens/>
              <w:jc w:val="right"/>
              <w:rPr>
                <w:color w:val="000000" w:themeColor="text1"/>
                <w:sz w:val="20"/>
                <w:lang w:val="fr-CA"/>
              </w:rPr>
            </w:pPr>
            <w:r w:rsidRPr="00DB1648">
              <w:rPr>
                <w:sz w:val="20"/>
                <w:szCs w:val="20"/>
                <w:lang w:val="fr-CA"/>
              </w:rPr>
              <w:t xml:space="preserve">173 </w:t>
            </w:r>
            <w:r w:rsidR="00917013" w:rsidRPr="00DB1648">
              <w:rPr>
                <w:sz w:val="20"/>
                <w:szCs w:val="20"/>
                <w:lang w:val="fr-CA"/>
              </w:rPr>
              <w:t>000</w:t>
            </w:r>
          </w:p>
        </w:tc>
        <w:tc>
          <w:tcPr>
            <w:tcW w:w="1755" w:type="pct"/>
            <w:shd w:val="clear" w:color="auto" w:fill="auto"/>
          </w:tcPr>
          <w:p w14:paraId="7ADA5095" w14:textId="0228B003" w:rsidR="00917013" w:rsidRPr="00DB1648" w:rsidRDefault="00385FEE" w:rsidP="00A0418C">
            <w:pPr>
              <w:suppressAutoHyphens/>
              <w:jc w:val="right"/>
              <w:rPr>
                <w:color w:val="000000" w:themeColor="text1"/>
                <w:sz w:val="20"/>
                <w:lang w:val="fr-CA"/>
              </w:rPr>
            </w:pPr>
            <w:r w:rsidRPr="00DB1648">
              <w:rPr>
                <w:color w:val="000000" w:themeColor="text1"/>
                <w:kern w:val="28"/>
                <w:sz w:val="20"/>
                <w:szCs w:val="20"/>
                <w:lang w:val="fr-CA"/>
              </w:rPr>
              <w:t xml:space="preserve">19 </w:t>
            </w:r>
            <w:r w:rsidR="00917013" w:rsidRPr="00DB1648">
              <w:rPr>
                <w:color w:val="000000" w:themeColor="text1"/>
                <w:kern w:val="28"/>
                <w:sz w:val="20"/>
                <w:szCs w:val="20"/>
                <w:lang w:val="fr-CA"/>
              </w:rPr>
              <w:t>760</w:t>
            </w:r>
          </w:p>
        </w:tc>
      </w:tr>
    </w:tbl>
    <w:p w14:paraId="07B7A471" w14:textId="77777777" w:rsidR="00EB31E3" w:rsidRPr="00DB1648" w:rsidRDefault="00EB31E3" w:rsidP="00A0418C">
      <w:pPr>
        <w:suppressAutoHyphens/>
        <w:ind w:left="-567"/>
        <w:rPr>
          <w:sz w:val="20"/>
          <w:lang w:val="fr-CA"/>
        </w:rPr>
      </w:pPr>
    </w:p>
    <w:tbl>
      <w:tblPr>
        <w:tblStyle w:val="TableGrid"/>
        <w:tblW w:w="5309" w:type="pct"/>
        <w:tblInd w:w="-113" w:type="dxa"/>
        <w:tblLook w:val="04A0" w:firstRow="1" w:lastRow="0" w:firstColumn="1" w:lastColumn="0" w:noHBand="0" w:noVBand="1"/>
      </w:tblPr>
      <w:tblGrid>
        <w:gridCol w:w="3121"/>
        <w:gridCol w:w="6807"/>
      </w:tblGrid>
      <w:tr w:rsidR="00EB31E3" w:rsidRPr="00DB1648" w14:paraId="4196F421" w14:textId="77777777" w:rsidTr="00996241">
        <w:trPr>
          <w:trHeight w:hRule="exact" w:val="281"/>
        </w:trPr>
        <w:tc>
          <w:tcPr>
            <w:tcW w:w="1572" w:type="pct"/>
            <w:shd w:val="clear" w:color="auto" w:fill="auto"/>
          </w:tcPr>
          <w:p w14:paraId="2B2C2A04" w14:textId="6D1821AF" w:rsidR="00EB31E3" w:rsidRPr="00DB1648" w:rsidRDefault="00385FEE" w:rsidP="00A0418C">
            <w:pPr>
              <w:suppressAutoHyphens/>
              <w:jc w:val="left"/>
              <w:rPr>
                <w:b/>
                <w:color w:val="000000" w:themeColor="text1"/>
                <w:sz w:val="20"/>
                <w:lang w:val="fr-CA"/>
              </w:rPr>
            </w:pPr>
            <w:r w:rsidRPr="00DB1648">
              <w:rPr>
                <w:b/>
                <w:color w:val="000000" w:themeColor="text1"/>
                <w:sz w:val="20"/>
                <w:lang w:val="fr-CA"/>
              </w:rPr>
              <w:t xml:space="preserve">Recommandation du Secrétariat </w:t>
            </w:r>
            <w:r w:rsidR="00EB31E3" w:rsidRPr="00DB1648">
              <w:rPr>
                <w:b/>
                <w:color w:val="000000" w:themeColor="text1"/>
                <w:sz w:val="20"/>
                <w:lang w:val="fr-CA"/>
              </w:rPr>
              <w:t>:</w:t>
            </w:r>
          </w:p>
        </w:tc>
        <w:tc>
          <w:tcPr>
            <w:tcW w:w="3428" w:type="pct"/>
            <w:shd w:val="clear" w:color="auto" w:fill="auto"/>
          </w:tcPr>
          <w:p w14:paraId="5854A050" w14:textId="73A9A6D3" w:rsidR="00EB31E3" w:rsidRPr="00DB1648" w:rsidRDefault="00385FEE" w:rsidP="00A0418C">
            <w:pPr>
              <w:suppressAutoHyphens/>
              <w:jc w:val="center"/>
              <w:rPr>
                <w:color w:val="000000" w:themeColor="text1"/>
                <w:sz w:val="20"/>
                <w:lang w:val="fr-CA"/>
              </w:rPr>
            </w:pPr>
            <w:r w:rsidRPr="00DB1648">
              <w:rPr>
                <w:color w:val="000000" w:themeColor="text1"/>
                <w:sz w:val="20"/>
                <w:lang w:val="fr-CA"/>
              </w:rPr>
              <w:t>Examen individuel</w:t>
            </w:r>
          </w:p>
        </w:tc>
      </w:tr>
    </w:tbl>
    <w:p w14:paraId="57207260" w14:textId="77777777" w:rsidR="00EB31E3" w:rsidRPr="00DB1648" w:rsidRDefault="00EB31E3" w:rsidP="00A0418C">
      <w:pPr>
        <w:suppressAutoHyphens/>
        <w:jc w:val="left"/>
        <w:rPr>
          <w:lang w:val="fr-CA"/>
        </w:rPr>
      </w:pPr>
      <w:r w:rsidRPr="00DB1648">
        <w:rPr>
          <w:lang w:val="fr-CA"/>
        </w:rPr>
        <w:br w:type="page"/>
      </w:r>
    </w:p>
    <w:p w14:paraId="12D0A54B" w14:textId="14F95D2A" w:rsidR="00EB31E3" w:rsidRPr="00DB1648" w:rsidRDefault="00DB1648" w:rsidP="00A0418C">
      <w:pPr>
        <w:tabs>
          <w:tab w:val="left" w:pos="2880"/>
          <w:tab w:val="left" w:pos="5760"/>
        </w:tabs>
        <w:suppressAutoHyphens/>
        <w:spacing w:after="240"/>
        <w:jc w:val="center"/>
        <w:rPr>
          <w:b/>
          <w:lang w:val="fr-CA"/>
        </w:rPr>
      </w:pPr>
      <w:r>
        <w:rPr>
          <w:b/>
          <w:lang w:val="fr-CA"/>
        </w:rPr>
        <w:lastRenderedPageBreak/>
        <w:t>DESCRIPTION DU PROJET</w:t>
      </w:r>
    </w:p>
    <w:p w14:paraId="6961EE9B" w14:textId="4383FF97" w:rsidR="00EB31E3" w:rsidRPr="00DB1648" w:rsidRDefault="00007D87" w:rsidP="00A0418C">
      <w:pPr>
        <w:suppressAutoHyphens/>
        <w:rPr>
          <w:b/>
          <w:lang w:val="fr-CA"/>
        </w:rPr>
      </w:pPr>
      <w:r>
        <w:rPr>
          <w:b/>
          <w:lang w:val="fr-CA"/>
        </w:rPr>
        <w:t>Contexte</w:t>
      </w:r>
    </w:p>
    <w:p w14:paraId="6D0BB1A2" w14:textId="77777777" w:rsidR="00EB31E3" w:rsidRPr="00DB1648" w:rsidRDefault="00EB31E3" w:rsidP="00A0418C">
      <w:pPr>
        <w:suppressAutoHyphens/>
        <w:rPr>
          <w:lang w:val="fr-CA"/>
        </w:rPr>
      </w:pPr>
    </w:p>
    <w:p w14:paraId="74AA8152" w14:textId="3D77C663" w:rsidR="00EB31E3" w:rsidRPr="00DB1648" w:rsidRDefault="009E5EFF" w:rsidP="00A0418C">
      <w:pPr>
        <w:numPr>
          <w:ilvl w:val="0"/>
          <w:numId w:val="1"/>
        </w:numPr>
        <w:suppressAutoHyphens/>
        <w:spacing w:after="240"/>
        <w:outlineLvl w:val="0"/>
        <w:rPr>
          <w:lang w:val="fr-CA"/>
        </w:rPr>
      </w:pPr>
      <w:r w:rsidRPr="00DB1648">
        <w:rPr>
          <w:lang w:val="fr-CA"/>
        </w:rPr>
        <w:t xml:space="preserve">Le PNUE, au nom du gouvernement de Cabo Verde et en qualité d’agence d’exécution désignée, </w:t>
      </w:r>
      <w:r w:rsidR="002C7DAE" w:rsidRPr="00DB1648">
        <w:rPr>
          <w:lang w:val="fr-CA"/>
        </w:rPr>
        <w:t>présente une demande de financement de la phase II du plan de gestion de l'élimination des HCFC (PGEH) pour la somme de 590 000 $US, plus les coûts d’appui à l’agence de 76 700 $US, selon la proposition d’origine</w:t>
      </w:r>
      <w:r w:rsidR="00BE0DB0" w:rsidRPr="00DB1648">
        <w:rPr>
          <w:lang w:val="fr-CA"/>
        </w:rPr>
        <w:t>.</w:t>
      </w:r>
      <w:r w:rsidR="0039451D" w:rsidRPr="00DB1648">
        <w:rPr>
          <w:rStyle w:val="FootnoteReference"/>
          <w:lang w:val="fr-CA"/>
        </w:rPr>
        <w:footnoteReference w:id="3"/>
      </w:r>
      <w:r w:rsidR="00BE0DB0" w:rsidRPr="00DB1648">
        <w:rPr>
          <w:lang w:val="fr-CA"/>
        </w:rPr>
        <w:t xml:space="preserve"> </w:t>
      </w:r>
      <w:r w:rsidR="002C7DAE" w:rsidRPr="00DB1648">
        <w:rPr>
          <w:lang w:val="fr-CA"/>
        </w:rPr>
        <w:t>La mise en œuvre de la phase II du PGEH aboutira à l’élimination de la consommation restante de HCFC d’ici à 2030</w:t>
      </w:r>
      <w:r w:rsidR="00EB31E3" w:rsidRPr="00DB1648">
        <w:rPr>
          <w:lang w:val="fr-CA"/>
        </w:rPr>
        <w:t xml:space="preserve">. </w:t>
      </w:r>
    </w:p>
    <w:p w14:paraId="0D543318" w14:textId="31309B17" w:rsidR="00C375DC" w:rsidRPr="00DB1648" w:rsidRDefault="002C7DAE" w:rsidP="00A0418C">
      <w:pPr>
        <w:numPr>
          <w:ilvl w:val="0"/>
          <w:numId w:val="1"/>
        </w:numPr>
        <w:suppressAutoHyphens/>
        <w:spacing w:after="240"/>
        <w:outlineLvl w:val="0"/>
        <w:rPr>
          <w:b/>
          <w:lang w:val="fr-CA"/>
        </w:rPr>
      </w:pPr>
      <w:r w:rsidRPr="00DB1648">
        <w:rPr>
          <w:lang w:val="fr-CA"/>
        </w:rPr>
        <w:t>La première tranche de la phase II du PGEH demandée à la présente réunion représente la</w:t>
      </w:r>
      <w:r w:rsidR="005A5DA6">
        <w:rPr>
          <w:lang w:val="fr-CA"/>
        </w:rPr>
        <w:t> </w:t>
      </w:r>
      <w:r w:rsidRPr="00DB1648">
        <w:rPr>
          <w:lang w:val="fr-CA"/>
        </w:rPr>
        <w:t>somme</w:t>
      </w:r>
      <w:r w:rsidR="005A5DA6">
        <w:rPr>
          <w:lang w:val="fr-CA"/>
        </w:rPr>
        <w:t> </w:t>
      </w:r>
      <w:r w:rsidRPr="00DB1648">
        <w:rPr>
          <w:lang w:val="fr-CA"/>
        </w:rPr>
        <w:t xml:space="preserve">de 200 000 $US, plus les coûts d’appui de 26 000 $US, </w:t>
      </w:r>
      <w:r w:rsidR="004A5D7A">
        <w:rPr>
          <w:lang w:val="fr-CA"/>
        </w:rPr>
        <w:t>s</w:t>
      </w:r>
      <w:r w:rsidRPr="00DB1648">
        <w:rPr>
          <w:lang w:val="fr-CA"/>
        </w:rPr>
        <w:t>elon la proposition d’origine</w:t>
      </w:r>
      <w:r w:rsidR="00FF1228" w:rsidRPr="00DB1648">
        <w:rPr>
          <w:lang w:val="fr-CA"/>
        </w:rPr>
        <w:t>.</w:t>
      </w:r>
      <w:r w:rsidR="00EB31E3" w:rsidRPr="00DB1648">
        <w:rPr>
          <w:lang w:val="fr-CA"/>
        </w:rPr>
        <w:t xml:space="preserve"> </w:t>
      </w:r>
    </w:p>
    <w:p w14:paraId="526937F9" w14:textId="6CDF2905" w:rsidR="00EB31E3" w:rsidRPr="00DB1648" w:rsidRDefault="002C7DAE" w:rsidP="00A0418C">
      <w:pPr>
        <w:suppressAutoHyphens/>
        <w:spacing w:after="240"/>
        <w:outlineLvl w:val="0"/>
        <w:rPr>
          <w:b/>
          <w:lang w:val="fr-CA"/>
        </w:rPr>
      </w:pPr>
      <w:r w:rsidRPr="00DB1648">
        <w:rPr>
          <w:b/>
          <w:lang w:val="fr-CA"/>
        </w:rPr>
        <w:t>État de la mise en œuvre de la phase I du PGEH</w:t>
      </w:r>
    </w:p>
    <w:p w14:paraId="58D05146" w14:textId="36101F9E" w:rsidR="00EB31E3" w:rsidRPr="00DB1648" w:rsidRDefault="002C7DAE" w:rsidP="00704540">
      <w:pPr>
        <w:numPr>
          <w:ilvl w:val="0"/>
          <w:numId w:val="1"/>
        </w:numPr>
        <w:tabs>
          <w:tab w:val="num" w:pos="709"/>
        </w:tabs>
        <w:suppressAutoHyphens/>
        <w:spacing w:after="240"/>
        <w:outlineLvl w:val="0"/>
        <w:rPr>
          <w:lang w:val="fr-CA"/>
        </w:rPr>
      </w:pPr>
      <w:r w:rsidRPr="00DB1648">
        <w:rPr>
          <w:lang w:val="fr-CA"/>
        </w:rPr>
        <w:t>L</w:t>
      </w:r>
      <w:r w:rsidR="00704540" w:rsidRPr="00DB1648">
        <w:rPr>
          <w:lang w:val="fr-CA"/>
        </w:rPr>
        <w:t>a phase I du PGEH de Cabo Verde</w:t>
      </w:r>
      <w:r w:rsidRPr="00DB1648">
        <w:rPr>
          <w:lang w:val="fr-CA"/>
        </w:rPr>
        <w:t xml:space="preserve"> a été</w:t>
      </w:r>
      <w:r w:rsidR="00704540" w:rsidRPr="00DB1648">
        <w:rPr>
          <w:lang w:val="fr-CA"/>
        </w:rPr>
        <w:t xml:space="preserve"> initialement approuvée à la 64</w:t>
      </w:r>
      <w:r w:rsidR="00704540" w:rsidRPr="00DB1648">
        <w:rPr>
          <w:vertAlign w:val="superscript"/>
          <w:lang w:val="fr-CA"/>
        </w:rPr>
        <w:t>e</w:t>
      </w:r>
      <w:r w:rsidR="00704540" w:rsidRPr="00DB1648">
        <w:rPr>
          <w:lang w:val="fr-CA"/>
        </w:rPr>
        <w:t xml:space="preserve"> réunion</w:t>
      </w:r>
      <w:r w:rsidR="00EB31E3" w:rsidRPr="00DB1648">
        <w:rPr>
          <w:vertAlign w:val="superscript"/>
          <w:lang w:val="fr-CA"/>
        </w:rPr>
        <w:footnoteReference w:id="4"/>
      </w:r>
      <w:r w:rsidR="00704540" w:rsidRPr="00DB1648">
        <w:rPr>
          <w:lang w:val="fr-CA"/>
        </w:rPr>
        <w:t xml:space="preserve"> pour la somme de 160 000 $US, plus les coûts d’appui,</w:t>
      </w:r>
      <w:r w:rsidR="00EB31E3" w:rsidRPr="00DB1648">
        <w:rPr>
          <w:lang w:val="fr-CA"/>
        </w:rPr>
        <w:t xml:space="preserve"> </w:t>
      </w:r>
      <w:r w:rsidR="00704540" w:rsidRPr="00DB1648">
        <w:rPr>
          <w:lang w:val="fr-CA"/>
        </w:rPr>
        <w:t xml:space="preserve">afin d’éliminer 35 pour cent de la consommation de référence avant la fin de 2020, à savoir 0,09 tonne PAO de HCFC utilisée dans le secteur de l’entretien de l’équipement </w:t>
      </w:r>
      <w:r w:rsidR="004A5D7A">
        <w:rPr>
          <w:lang w:val="fr-CA"/>
        </w:rPr>
        <w:t>d</w:t>
      </w:r>
      <w:r w:rsidR="00704540" w:rsidRPr="00DB1648">
        <w:rPr>
          <w:lang w:val="fr-CA"/>
        </w:rPr>
        <w:t>e réfrigération et de climatisation. La cinquième et dernière tranche de la phase I a été approuvée dans le cadre du processus d’approbation intersessions de la 86</w:t>
      </w:r>
      <w:r w:rsidR="00704540" w:rsidRPr="00DB1648">
        <w:rPr>
          <w:vertAlign w:val="superscript"/>
          <w:lang w:val="fr-CA"/>
        </w:rPr>
        <w:t>e</w:t>
      </w:r>
      <w:r w:rsidR="00704540" w:rsidRPr="00DB1648">
        <w:rPr>
          <w:lang w:val="fr-CA"/>
        </w:rPr>
        <w:t xml:space="preserve"> réunion, en décembre 2020; la phase I sera achevée </w:t>
      </w:r>
      <w:r w:rsidR="004A5D7A">
        <w:rPr>
          <w:lang w:val="fr-CA"/>
        </w:rPr>
        <w:t>d’ici</w:t>
      </w:r>
      <w:r w:rsidR="00704540" w:rsidRPr="00DB1648">
        <w:rPr>
          <w:lang w:val="fr-CA"/>
        </w:rPr>
        <w:t xml:space="preserve"> décembre 2021</w:t>
      </w:r>
      <w:r w:rsidR="00EB31E3" w:rsidRPr="00DB1648">
        <w:rPr>
          <w:lang w:val="fr-CA"/>
        </w:rPr>
        <w:t>.</w:t>
      </w:r>
    </w:p>
    <w:p w14:paraId="4ACAC8D7" w14:textId="355F7BF2" w:rsidR="00EB31E3" w:rsidRPr="00DB1648" w:rsidRDefault="00704540" w:rsidP="00A0418C">
      <w:pPr>
        <w:suppressAutoHyphens/>
        <w:rPr>
          <w:u w:val="single"/>
          <w:lang w:val="fr-CA"/>
        </w:rPr>
      </w:pPr>
      <w:r w:rsidRPr="00DB1648">
        <w:rPr>
          <w:u w:val="single"/>
          <w:lang w:val="fr-CA"/>
        </w:rPr>
        <w:t>Consommation de HCFC</w:t>
      </w:r>
    </w:p>
    <w:p w14:paraId="12A1008A" w14:textId="77777777" w:rsidR="00651E3B" w:rsidRPr="00DB1648" w:rsidRDefault="00651E3B" w:rsidP="00A0418C">
      <w:pPr>
        <w:suppressAutoHyphens/>
        <w:rPr>
          <w:lang w:val="fr-CA"/>
        </w:rPr>
      </w:pPr>
    </w:p>
    <w:p w14:paraId="7F871550" w14:textId="6AE0C605" w:rsidR="00EB31E3" w:rsidRPr="00DB1648" w:rsidRDefault="00704540" w:rsidP="00A0418C">
      <w:pPr>
        <w:numPr>
          <w:ilvl w:val="0"/>
          <w:numId w:val="1"/>
        </w:numPr>
        <w:suppressAutoHyphens/>
        <w:spacing w:after="240"/>
        <w:outlineLvl w:val="0"/>
        <w:rPr>
          <w:lang w:val="fr-CA"/>
        </w:rPr>
      </w:pPr>
      <w:r w:rsidRPr="00DB1648">
        <w:rPr>
          <w:lang w:val="fr-CA"/>
        </w:rPr>
        <w:t xml:space="preserve">Le gouvernement de Cabo Verde a déclaré une consommation de 0,04 tonne PAO de HCFC en 2020, ce qui </w:t>
      </w:r>
      <w:r w:rsidR="00EE59FE" w:rsidRPr="00DB1648">
        <w:rPr>
          <w:lang w:val="fr-CA"/>
        </w:rPr>
        <w:t>représente</w:t>
      </w:r>
      <w:r w:rsidRPr="00DB1648">
        <w:rPr>
          <w:lang w:val="fr-CA"/>
        </w:rPr>
        <w:t xml:space="preserve"> 96 pour cent de moins que la va</w:t>
      </w:r>
      <w:r w:rsidR="00EE59FE" w:rsidRPr="00DB1648">
        <w:rPr>
          <w:lang w:val="fr-CA"/>
        </w:rPr>
        <w:t>l</w:t>
      </w:r>
      <w:r w:rsidRPr="00DB1648">
        <w:rPr>
          <w:lang w:val="fr-CA"/>
        </w:rPr>
        <w:t>eur de référence pour les HCFC</w:t>
      </w:r>
      <w:r w:rsidR="00EE59FE" w:rsidRPr="00DB1648">
        <w:rPr>
          <w:lang w:val="fr-CA"/>
        </w:rPr>
        <w:t xml:space="preserve"> aux fins de conformité et 84 pour cent de moins que le point de départ de la réduction globale de la consommation de HCFC</w:t>
      </w:r>
      <w:r w:rsidR="00EB31E3" w:rsidRPr="00DB1648">
        <w:rPr>
          <w:lang w:val="fr-CA"/>
        </w:rPr>
        <w:t>.</w:t>
      </w:r>
      <w:r w:rsidR="00144E28" w:rsidRPr="00DB1648">
        <w:rPr>
          <w:rStyle w:val="FootnoteReference"/>
          <w:lang w:val="fr-CA"/>
        </w:rPr>
        <w:footnoteReference w:id="5"/>
      </w:r>
      <w:r w:rsidR="00EB31E3" w:rsidRPr="00DB1648">
        <w:rPr>
          <w:lang w:val="fr-CA"/>
        </w:rPr>
        <w:t xml:space="preserve"> </w:t>
      </w:r>
      <w:r w:rsidR="00EE59FE" w:rsidRPr="00DB1648">
        <w:rPr>
          <w:lang w:val="fr-CA"/>
        </w:rPr>
        <w:t xml:space="preserve">La consommation de 2016-2020 est indiquée dans le tableau </w:t>
      </w:r>
      <w:r w:rsidR="00EB31E3" w:rsidRPr="00DB1648">
        <w:rPr>
          <w:lang w:val="fr-CA"/>
        </w:rPr>
        <w:t>1</w:t>
      </w:r>
      <w:r w:rsidR="00EE59FE" w:rsidRPr="00DB1648">
        <w:rPr>
          <w:lang w:val="fr-CA"/>
        </w:rPr>
        <w:t>, ci-dessous</w:t>
      </w:r>
      <w:r w:rsidR="00EB31E3" w:rsidRPr="00DB1648">
        <w:rPr>
          <w:lang w:val="fr-CA"/>
        </w:rPr>
        <w:t>.</w:t>
      </w:r>
    </w:p>
    <w:p w14:paraId="7C499F89" w14:textId="37BBCA0B" w:rsidR="00EB31E3" w:rsidRPr="00DB1648" w:rsidRDefault="00EB31E3" w:rsidP="00A0418C">
      <w:pPr>
        <w:suppressAutoHyphens/>
        <w:rPr>
          <w:b/>
          <w:lang w:val="fr-CA"/>
        </w:rPr>
      </w:pPr>
      <w:r w:rsidRPr="00DB1648">
        <w:rPr>
          <w:b/>
          <w:lang w:val="fr-CA"/>
        </w:rPr>
        <w:t>Table</w:t>
      </w:r>
      <w:r w:rsidR="00EE59FE" w:rsidRPr="00DB1648">
        <w:rPr>
          <w:b/>
          <w:lang w:val="fr-CA"/>
        </w:rPr>
        <w:t>au</w:t>
      </w:r>
      <w:r w:rsidRPr="00DB1648">
        <w:rPr>
          <w:b/>
          <w:lang w:val="fr-CA"/>
        </w:rPr>
        <w:t xml:space="preserve"> 1. </w:t>
      </w:r>
      <w:r w:rsidR="00EE59FE" w:rsidRPr="00DB1648">
        <w:rPr>
          <w:b/>
          <w:lang w:val="fr-CA"/>
        </w:rPr>
        <w:t>Consommation de HCFC à Cabo Verde (données en lien avec l’article 7, 2016-2020</w:t>
      </w:r>
      <w:r w:rsidRPr="00DB1648">
        <w:rPr>
          <w:b/>
          <w:lang w:val="fr-CA"/>
        </w:rPr>
        <w:t>)</w:t>
      </w:r>
    </w:p>
    <w:tbl>
      <w:tblPr>
        <w:tblW w:w="4997" w:type="pct"/>
        <w:tblLook w:val="04A0" w:firstRow="1" w:lastRow="0" w:firstColumn="1" w:lastColumn="0" w:noHBand="0" w:noVBand="1"/>
      </w:tblPr>
      <w:tblGrid>
        <w:gridCol w:w="2071"/>
        <w:gridCol w:w="1034"/>
        <w:gridCol w:w="1040"/>
        <w:gridCol w:w="1036"/>
        <w:gridCol w:w="1040"/>
        <w:gridCol w:w="1036"/>
        <w:gridCol w:w="1032"/>
        <w:gridCol w:w="1055"/>
      </w:tblGrid>
      <w:tr w:rsidR="00DB647B" w:rsidRPr="00DB1648" w14:paraId="13E39217" w14:textId="77777777" w:rsidTr="00DB647B">
        <w:trPr>
          <w:trHeight w:val="248"/>
          <w:tblHeader/>
        </w:trPr>
        <w:tc>
          <w:tcPr>
            <w:tcW w:w="111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F7A462E" w14:textId="77777777" w:rsidR="00DB647B" w:rsidRPr="00DB1648" w:rsidRDefault="00DB647B" w:rsidP="00A0418C">
            <w:pPr>
              <w:suppressAutoHyphens/>
              <w:jc w:val="left"/>
              <w:rPr>
                <w:b/>
                <w:color w:val="000000"/>
                <w:sz w:val="20"/>
                <w:lang w:val="fr-CA"/>
              </w:rPr>
            </w:pPr>
            <w:r w:rsidRPr="00DB1648">
              <w:rPr>
                <w:b/>
                <w:color w:val="000000"/>
                <w:sz w:val="20"/>
                <w:lang w:val="fr-CA"/>
              </w:rPr>
              <w:t>HCFC-22</w:t>
            </w:r>
          </w:p>
        </w:tc>
        <w:tc>
          <w:tcPr>
            <w:tcW w:w="555" w:type="pct"/>
            <w:tcBorders>
              <w:top w:val="single" w:sz="4" w:space="0" w:color="auto"/>
              <w:left w:val="nil"/>
              <w:bottom w:val="single" w:sz="4" w:space="0" w:color="auto"/>
              <w:right w:val="single" w:sz="4" w:space="0" w:color="auto"/>
            </w:tcBorders>
            <w:shd w:val="clear" w:color="auto" w:fill="auto"/>
            <w:noWrap/>
            <w:hideMark/>
          </w:tcPr>
          <w:p w14:paraId="00E30C7C" w14:textId="77777777" w:rsidR="00DB647B" w:rsidRPr="00DB1648" w:rsidRDefault="00DB647B" w:rsidP="00A0418C">
            <w:pPr>
              <w:suppressAutoHyphens/>
              <w:jc w:val="center"/>
              <w:rPr>
                <w:b/>
                <w:color w:val="000000"/>
                <w:sz w:val="20"/>
                <w:lang w:val="fr-CA"/>
              </w:rPr>
            </w:pPr>
            <w:r w:rsidRPr="00DB1648">
              <w:rPr>
                <w:b/>
                <w:color w:val="000000"/>
                <w:sz w:val="20"/>
                <w:lang w:val="fr-CA"/>
              </w:rPr>
              <w:t>2016</w:t>
            </w:r>
          </w:p>
        </w:tc>
        <w:tc>
          <w:tcPr>
            <w:tcW w:w="558" w:type="pct"/>
            <w:tcBorders>
              <w:top w:val="single" w:sz="4" w:space="0" w:color="auto"/>
              <w:left w:val="nil"/>
              <w:bottom w:val="single" w:sz="4" w:space="0" w:color="auto"/>
              <w:right w:val="single" w:sz="4" w:space="0" w:color="auto"/>
            </w:tcBorders>
          </w:tcPr>
          <w:p w14:paraId="2162A640" w14:textId="77777777" w:rsidR="00DB647B" w:rsidRPr="00DB1648" w:rsidRDefault="00DB647B" w:rsidP="00A0418C">
            <w:pPr>
              <w:suppressAutoHyphens/>
              <w:jc w:val="center"/>
              <w:rPr>
                <w:b/>
                <w:color w:val="000000"/>
                <w:sz w:val="20"/>
                <w:lang w:val="fr-CA"/>
              </w:rPr>
            </w:pPr>
            <w:r w:rsidRPr="00DB1648">
              <w:rPr>
                <w:b/>
                <w:color w:val="000000"/>
                <w:sz w:val="20"/>
                <w:lang w:val="fr-CA"/>
              </w:rPr>
              <w:t>2017</w:t>
            </w:r>
          </w:p>
        </w:tc>
        <w:tc>
          <w:tcPr>
            <w:tcW w:w="556" w:type="pct"/>
            <w:tcBorders>
              <w:top w:val="single" w:sz="4" w:space="0" w:color="auto"/>
              <w:left w:val="single" w:sz="4" w:space="0" w:color="auto"/>
              <w:bottom w:val="single" w:sz="4" w:space="0" w:color="auto"/>
              <w:right w:val="single" w:sz="4" w:space="0" w:color="auto"/>
            </w:tcBorders>
          </w:tcPr>
          <w:p w14:paraId="60909760" w14:textId="77777777" w:rsidR="00DB647B" w:rsidRPr="00DB1648" w:rsidRDefault="00DB647B" w:rsidP="00A0418C">
            <w:pPr>
              <w:suppressAutoHyphens/>
              <w:jc w:val="center"/>
              <w:rPr>
                <w:b/>
                <w:color w:val="000000"/>
                <w:sz w:val="20"/>
                <w:lang w:val="fr-CA"/>
              </w:rPr>
            </w:pPr>
            <w:r w:rsidRPr="00DB1648">
              <w:rPr>
                <w:b/>
                <w:color w:val="000000"/>
                <w:sz w:val="20"/>
                <w:lang w:val="fr-CA"/>
              </w:rPr>
              <w:t>2018</w:t>
            </w:r>
          </w:p>
        </w:tc>
        <w:tc>
          <w:tcPr>
            <w:tcW w:w="558" w:type="pct"/>
            <w:tcBorders>
              <w:top w:val="single" w:sz="4" w:space="0" w:color="auto"/>
              <w:left w:val="single" w:sz="4" w:space="0" w:color="auto"/>
              <w:bottom w:val="single" w:sz="4" w:space="0" w:color="auto"/>
              <w:right w:val="single" w:sz="4" w:space="0" w:color="auto"/>
            </w:tcBorders>
          </w:tcPr>
          <w:p w14:paraId="260C3713" w14:textId="77777777" w:rsidR="00DB647B" w:rsidRPr="00DB1648" w:rsidRDefault="00DB647B" w:rsidP="00A0418C">
            <w:pPr>
              <w:suppressAutoHyphens/>
              <w:jc w:val="center"/>
              <w:rPr>
                <w:b/>
                <w:color w:val="000000"/>
                <w:sz w:val="20"/>
                <w:lang w:val="fr-CA"/>
              </w:rPr>
            </w:pPr>
            <w:r w:rsidRPr="00DB1648">
              <w:rPr>
                <w:b/>
                <w:color w:val="000000"/>
                <w:sz w:val="20"/>
                <w:lang w:val="fr-CA"/>
              </w:rPr>
              <w:t>2019</w:t>
            </w:r>
          </w:p>
        </w:tc>
        <w:tc>
          <w:tcPr>
            <w:tcW w:w="556" w:type="pct"/>
            <w:tcBorders>
              <w:top w:val="single" w:sz="4" w:space="0" w:color="auto"/>
              <w:left w:val="single" w:sz="4" w:space="0" w:color="auto"/>
              <w:bottom w:val="single" w:sz="4" w:space="0" w:color="auto"/>
              <w:right w:val="single" w:sz="4" w:space="0" w:color="auto"/>
            </w:tcBorders>
          </w:tcPr>
          <w:p w14:paraId="3DA992FE" w14:textId="7F11CF84" w:rsidR="00DB647B" w:rsidRPr="00DB1648" w:rsidRDefault="00DB647B" w:rsidP="00A0418C">
            <w:pPr>
              <w:suppressAutoHyphens/>
              <w:jc w:val="center"/>
              <w:rPr>
                <w:b/>
                <w:color w:val="000000"/>
                <w:sz w:val="20"/>
                <w:lang w:val="fr-CA"/>
              </w:rPr>
            </w:pPr>
            <w:r w:rsidRPr="00DB1648">
              <w:rPr>
                <w:b/>
                <w:color w:val="000000"/>
                <w:sz w:val="20"/>
                <w:lang w:val="fr-CA"/>
              </w:rPr>
              <w:t>2020</w:t>
            </w:r>
          </w:p>
        </w:tc>
        <w:tc>
          <w:tcPr>
            <w:tcW w:w="554" w:type="pct"/>
            <w:tcBorders>
              <w:top w:val="single" w:sz="4" w:space="0" w:color="auto"/>
              <w:left w:val="single" w:sz="4" w:space="0" w:color="auto"/>
              <w:bottom w:val="single" w:sz="4" w:space="0" w:color="auto"/>
              <w:right w:val="single" w:sz="4" w:space="0" w:color="auto"/>
            </w:tcBorders>
          </w:tcPr>
          <w:p w14:paraId="7E156F4A" w14:textId="7EA706FF" w:rsidR="00DB647B" w:rsidRPr="00DB1648" w:rsidRDefault="00EE59FE" w:rsidP="00A0418C">
            <w:pPr>
              <w:suppressAutoHyphens/>
              <w:jc w:val="center"/>
              <w:rPr>
                <w:b/>
                <w:bCs/>
                <w:color w:val="000000"/>
                <w:sz w:val="20"/>
                <w:szCs w:val="20"/>
                <w:lang w:val="fr-CA"/>
              </w:rPr>
            </w:pPr>
            <w:r w:rsidRPr="00DB1648">
              <w:rPr>
                <w:b/>
                <w:bCs/>
                <w:color w:val="000000"/>
                <w:sz w:val="20"/>
                <w:szCs w:val="20"/>
                <w:lang w:val="fr-CA"/>
              </w:rPr>
              <w:t>Point de départ</w:t>
            </w:r>
          </w:p>
        </w:tc>
        <w:tc>
          <w:tcPr>
            <w:tcW w:w="554" w:type="pct"/>
            <w:tcBorders>
              <w:top w:val="single" w:sz="4" w:space="0" w:color="auto"/>
              <w:left w:val="single" w:sz="4" w:space="0" w:color="auto"/>
              <w:bottom w:val="single" w:sz="4" w:space="0" w:color="auto"/>
              <w:right w:val="single" w:sz="4" w:space="0" w:color="auto"/>
            </w:tcBorders>
            <w:shd w:val="clear" w:color="auto" w:fill="auto"/>
            <w:noWrap/>
            <w:hideMark/>
          </w:tcPr>
          <w:p w14:paraId="2D78F1DE" w14:textId="6298B001" w:rsidR="00DB647B" w:rsidRPr="00DB1648" w:rsidRDefault="00EE59FE" w:rsidP="00A0418C">
            <w:pPr>
              <w:suppressAutoHyphens/>
              <w:jc w:val="center"/>
              <w:rPr>
                <w:b/>
                <w:color w:val="000000"/>
                <w:sz w:val="20"/>
                <w:lang w:val="fr-CA"/>
              </w:rPr>
            </w:pPr>
            <w:r w:rsidRPr="00DB1648">
              <w:rPr>
                <w:b/>
                <w:bCs/>
                <w:color w:val="000000"/>
                <w:sz w:val="20"/>
                <w:szCs w:val="20"/>
                <w:lang w:val="fr-CA"/>
              </w:rPr>
              <w:t xml:space="preserve">Valeur de </w:t>
            </w:r>
            <w:r w:rsidRPr="00DB1648">
              <w:rPr>
                <w:b/>
                <w:bCs/>
                <w:color w:val="000000"/>
                <w:sz w:val="20"/>
                <w:szCs w:val="20"/>
                <w:lang w:val="fr-CA"/>
              </w:rPr>
              <w:br/>
              <w:t>référence</w:t>
            </w:r>
          </w:p>
        </w:tc>
      </w:tr>
      <w:tr w:rsidR="00DB647B" w:rsidRPr="00DB1648" w14:paraId="075BC894" w14:textId="77777777" w:rsidTr="00DB647B">
        <w:trPr>
          <w:trHeight w:val="240"/>
        </w:trPr>
        <w:tc>
          <w:tcPr>
            <w:tcW w:w="1110"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C6837ED" w14:textId="3CDEB394" w:rsidR="00DB647B" w:rsidRPr="00DB1648" w:rsidRDefault="00EE59FE" w:rsidP="00A0418C">
            <w:pPr>
              <w:suppressAutoHyphens/>
              <w:jc w:val="left"/>
              <w:rPr>
                <w:color w:val="000000"/>
                <w:sz w:val="20"/>
                <w:lang w:val="fr-CA"/>
              </w:rPr>
            </w:pPr>
            <w:r w:rsidRPr="00DB1648">
              <w:rPr>
                <w:color w:val="000000"/>
                <w:sz w:val="20"/>
                <w:lang w:val="fr-CA"/>
              </w:rPr>
              <w:t>Tonnes métriques (tm)</w:t>
            </w:r>
          </w:p>
        </w:tc>
        <w:tc>
          <w:tcPr>
            <w:tcW w:w="555" w:type="pct"/>
            <w:tcBorders>
              <w:top w:val="nil"/>
              <w:left w:val="nil"/>
              <w:bottom w:val="single" w:sz="4" w:space="0" w:color="auto"/>
              <w:right w:val="single" w:sz="4" w:space="0" w:color="auto"/>
            </w:tcBorders>
            <w:shd w:val="clear" w:color="auto" w:fill="auto"/>
            <w:noWrap/>
            <w:tcMar>
              <w:left w:w="115" w:type="dxa"/>
              <w:right w:w="230" w:type="dxa"/>
            </w:tcMar>
            <w:vAlign w:val="center"/>
          </w:tcPr>
          <w:p w14:paraId="65364215" w14:textId="434AC3EA" w:rsidR="00DB647B" w:rsidRPr="00DB1648" w:rsidRDefault="00DB647B" w:rsidP="00A0418C">
            <w:pPr>
              <w:suppressAutoHyphens/>
              <w:jc w:val="right"/>
              <w:rPr>
                <w:sz w:val="20"/>
                <w:lang w:val="fr-CA"/>
              </w:rPr>
            </w:pPr>
            <w:r w:rsidRPr="00DB1648">
              <w:rPr>
                <w:color w:val="000000"/>
                <w:sz w:val="20"/>
                <w:szCs w:val="20"/>
                <w:lang w:val="fr-CA" w:eastAsia="zh-CN"/>
              </w:rPr>
              <w:t>2</w:t>
            </w:r>
            <w:r w:rsidR="00EE59FE" w:rsidRPr="00DB1648">
              <w:rPr>
                <w:color w:val="000000"/>
                <w:sz w:val="20"/>
                <w:szCs w:val="20"/>
                <w:lang w:val="fr-CA" w:eastAsia="zh-CN"/>
              </w:rPr>
              <w:t>,</w:t>
            </w:r>
            <w:r w:rsidRPr="00DB1648">
              <w:rPr>
                <w:color w:val="000000"/>
                <w:sz w:val="20"/>
                <w:szCs w:val="20"/>
                <w:lang w:val="fr-CA" w:eastAsia="zh-CN"/>
              </w:rPr>
              <w:t>30</w:t>
            </w:r>
          </w:p>
        </w:tc>
        <w:tc>
          <w:tcPr>
            <w:tcW w:w="558" w:type="pct"/>
            <w:tcBorders>
              <w:top w:val="single" w:sz="4" w:space="0" w:color="auto"/>
              <w:left w:val="nil"/>
              <w:bottom w:val="single" w:sz="4" w:space="0" w:color="auto"/>
              <w:right w:val="single" w:sz="4" w:space="0" w:color="auto"/>
            </w:tcBorders>
            <w:tcMar>
              <w:left w:w="115" w:type="dxa"/>
              <w:right w:w="230" w:type="dxa"/>
            </w:tcMar>
            <w:vAlign w:val="center"/>
          </w:tcPr>
          <w:p w14:paraId="6D92084D" w14:textId="1C65FA3B" w:rsidR="00DB647B" w:rsidRPr="00DB1648" w:rsidRDefault="00DB647B" w:rsidP="00A0418C">
            <w:pPr>
              <w:suppressAutoHyphens/>
              <w:jc w:val="right"/>
              <w:rPr>
                <w:sz w:val="20"/>
                <w:lang w:val="fr-CA"/>
              </w:rPr>
            </w:pPr>
            <w:r w:rsidRPr="00DB1648">
              <w:rPr>
                <w:color w:val="000000"/>
                <w:sz w:val="20"/>
                <w:szCs w:val="20"/>
                <w:lang w:val="fr-CA" w:eastAsia="zh-CN"/>
              </w:rPr>
              <w:t>1</w:t>
            </w:r>
            <w:r w:rsidR="00EE59FE" w:rsidRPr="00DB1648">
              <w:rPr>
                <w:color w:val="000000"/>
                <w:sz w:val="20"/>
                <w:szCs w:val="20"/>
                <w:lang w:val="fr-CA" w:eastAsia="zh-CN"/>
              </w:rPr>
              <w:t>,</w:t>
            </w:r>
            <w:r w:rsidRPr="00DB1648">
              <w:rPr>
                <w:color w:val="000000"/>
                <w:sz w:val="20"/>
                <w:szCs w:val="20"/>
                <w:lang w:val="fr-CA" w:eastAsia="zh-CN"/>
              </w:rPr>
              <w:t>57</w:t>
            </w:r>
          </w:p>
        </w:tc>
        <w:tc>
          <w:tcPr>
            <w:tcW w:w="556" w:type="pct"/>
            <w:tcBorders>
              <w:top w:val="nil"/>
              <w:left w:val="single" w:sz="4" w:space="0" w:color="auto"/>
              <w:bottom w:val="single" w:sz="4" w:space="0" w:color="auto"/>
              <w:right w:val="single" w:sz="4" w:space="0" w:color="auto"/>
            </w:tcBorders>
            <w:tcMar>
              <w:left w:w="115" w:type="dxa"/>
              <w:right w:w="230" w:type="dxa"/>
            </w:tcMar>
          </w:tcPr>
          <w:p w14:paraId="165568A9" w14:textId="436F424B" w:rsidR="00DB647B" w:rsidRPr="00DB1648" w:rsidRDefault="00DB647B" w:rsidP="00A0418C">
            <w:pPr>
              <w:suppressAutoHyphens/>
              <w:jc w:val="right"/>
              <w:rPr>
                <w:sz w:val="20"/>
                <w:lang w:val="fr-CA"/>
              </w:rPr>
            </w:pPr>
            <w:r w:rsidRPr="00DB1648">
              <w:rPr>
                <w:bCs/>
                <w:color w:val="000000"/>
                <w:sz w:val="20"/>
                <w:szCs w:val="20"/>
                <w:lang w:val="fr-CA"/>
              </w:rPr>
              <w:t>1</w:t>
            </w:r>
            <w:r w:rsidR="00EE59FE" w:rsidRPr="00DB1648">
              <w:rPr>
                <w:bCs/>
                <w:color w:val="000000"/>
                <w:sz w:val="20"/>
                <w:szCs w:val="20"/>
                <w:lang w:val="fr-CA"/>
              </w:rPr>
              <w:t>,</w:t>
            </w:r>
            <w:r w:rsidRPr="00DB1648">
              <w:rPr>
                <w:bCs/>
                <w:color w:val="000000"/>
                <w:sz w:val="20"/>
                <w:szCs w:val="20"/>
                <w:lang w:val="fr-CA"/>
              </w:rPr>
              <w:t>00</w:t>
            </w:r>
          </w:p>
        </w:tc>
        <w:tc>
          <w:tcPr>
            <w:tcW w:w="558" w:type="pct"/>
            <w:tcBorders>
              <w:top w:val="nil"/>
              <w:left w:val="single" w:sz="4" w:space="0" w:color="auto"/>
              <w:bottom w:val="single" w:sz="4" w:space="0" w:color="auto"/>
              <w:right w:val="single" w:sz="4" w:space="0" w:color="auto"/>
            </w:tcBorders>
            <w:tcMar>
              <w:left w:w="115" w:type="dxa"/>
              <w:right w:w="230" w:type="dxa"/>
            </w:tcMar>
          </w:tcPr>
          <w:p w14:paraId="659CEA71" w14:textId="5CA52FC3" w:rsidR="00DB647B" w:rsidRPr="00DB1648" w:rsidRDefault="00DB647B" w:rsidP="00A0418C">
            <w:pPr>
              <w:suppressAutoHyphens/>
              <w:jc w:val="right"/>
              <w:rPr>
                <w:rFonts w:eastAsiaTheme="minorHAnsi"/>
                <w:color w:val="000000"/>
                <w:sz w:val="20"/>
                <w:lang w:val="fr-CA"/>
              </w:rPr>
            </w:pPr>
            <w:r w:rsidRPr="00DB1648">
              <w:rPr>
                <w:rFonts w:eastAsiaTheme="minorHAnsi"/>
                <w:color w:val="000000"/>
                <w:sz w:val="20"/>
                <w:szCs w:val="20"/>
                <w:lang w:val="fr-CA"/>
              </w:rPr>
              <w:t>1</w:t>
            </w:r>
            <w:r w:rsidR="00EE59FE" w:rsidRPr="00DB1648">
              <w:rPr>
                <w:rFonts w:eastAsiaTheme="minorHAnsi"/>
                <w:color w:val="000000"/>
                <w:sz w:val="20"/>
                <w:szCs w:val="20"/>
                <w:lang w:val="fr-CA"/>
              </w:rPr>
              <w:t>,</w:t>
            </w:r>
            <w:r w:rsidRPr="00DB1648">
              <w:rPr>
                <w:rFonts w:eastAsiaTheme="minorHAnsi"/>
                <w:color w:val="000000"/>
                <w:sz w:val="20"/>
                <w:szCs w:val="20"/>
                <w:lang w:val="fr-CA"/>
              </w:rPr>
              <w:t>00</w:t>
            </w:r>
          </w:p>
        </w:tc>
        <w:tc>
          <w:tcPr>
            <w:tcW w:w="556" w:type="pct"/>
            <w:tcBorders>
              <w:top w:val="nil"/>
              <w:left w:val="single" w:sz="4" w:space="0" w:color="auto"/>
              <w:bottom w:val="single" w:sz="4" w:space="0" w:color="auto"/>
              <w:right w:val="single" w:sz="4" w:space="0" w:color="auto"/>
            </w:tcBorders>
            <w:tcMar>
              <w:left w:w="115" w:type="dxa"/>
              <w:right w:w="230" w:type="dxa"/>
            </w:tcMar>
            <w:vAlign w:val="center"/>
          </w:tcPr>
          <w:p w14:paraId="4FDAE317" w14:textId="7E34EB34" w:rsidR="00DB647B" w:rsidRPr="00DB1648" w:rsidRDefault="00DB647B" w:rsidP="00A0418C">
            <w:pPr>
              <w:suppressAutoHyphens/>
              <w:jc w:val="right"/>
              <w:rPr>
                <w:color w:val="000000"/>
                <w:sz w:val="20"/>
                <w:lang w:val="fr-CA"/>
              </w:rPr>
            </w:pPr>
            <w:r w:rsidRPr="00DB1648">
              <w:rPr>
                <w:color w:val="000000"/>
                <w:sz w:val="20"/>
                <w:szCs w:val="20"/>
                <w:lang w:val="fr-CA" w:eastAsia="zh-CN"/>
              </w:rPr>
              <w:t>0</w:t>
            </w:r>
            <w:r w:rsidR="00EE59FE" w:rsidRPr="00DB1648">
              <w:rPr>
                <w:color w:val="000000"/>
                <w:sz w:val="20"/>
                <w:szCs w:val="20"/>
                <w:lang w:val="fr-CA" w:eastAsia="zh-CN"/>
              </w:rPr>
              <w:t>,</w:t>
            </w:r>
            <w:r w:rsidR="00DC0644" w:rsidRPr="00DB1648">
              <w:rPr>
                <w:color w:val="000000"/>
                <w:sz w:val="20"/>
                <w:szCs w:val="20"/>
                <w:lang w:val="fr-CA" w:eastAsia="zh-CN"/>
              </w:rPr>
              <w:t>80</w:t>
            </w:r>
          </w:p>
        </w:tc>
        <w:tc>
          <w:tcPr>
            <w:tcW w:w="554" w:type="pct"/>
            <w:tcBorders>
              <w:top w:val="nil"/>
              <w:left w:val="single" w:sz="4" w:space="0" w:color="auto"/>
              <w:bottom w:val="single" w:sz="4" w:space="0" w:color="auto"/>
              <w:right w:val="single" w:sz="4" w:space="0" w:color="auto"/>
            </w:tcBorders>
          </w:tcPr>
          <w:p w14:paraId="2A4950FF" w14:textId="03254AFE" w:rsidR="00DB647B" w:rsidRPr="00DB1648" w:rsidRDefault="00DB647B" w:rsidP="00A0418C">
            <w:pPr>
              <w:suppressAutoHyphens/>
              <w:jc w:val="right"/>
              <w:rPr>
                <w:color w:val="000000"/>
                <w:sz w:val="20"/>
                <w:szCs w:val="20"/>
                <w:lang w:val="fr-CA" w:eastAsia="zh-CN"/>
              </w:rPr>
            </w:pPr>
            <w:r w:rsidRPr="00DB1648">
              <w:rPr>
                <w:color w:val="000000"/>
                <w:sz w:val="20"/>
                <w:szCs w:val="20"/>
                <w:lang w:val="fr-CA" w:eastAsia="zh-CN"/>
              </w:rPr>
              <w:t>4</w:t>
            </w:r>
            <w:r w:rsidR="00EE59FE" w:rsidRPr="00DB1648">
              <w:rPr>
                <w:color w:val="000000"/>
                <w:sz w:val="20"/>
                <w:szCs w:val="20"/>
                <w:lang w:val="fr-CA" w:eastAsia="zh-CN"/>
              </w:rPr>
              <w:t>,</w:t>
            </w:r>
            <w:r w:rsidRPr="00DB1648">
              <w:rPr>
                <w:color w:val="000000"/>
                <w:sz w:val="20"/>
                <w:szCs w:val="20"/>
                <w:lang w:val="fr-CA" w:eastAsia="zh-CN"/>
              </w:rPr>
              <w:t>54</w:t>
            </w:r>
          </w:p>
        </w:tc>
        <w:tc>
          <w:tcPr>
            <w:tcW w:w="554" w:type="pct"/>
            <w:tcBorders>
              <w:top w:val="nil"/>
              <w:left w:val="single" w:sz="4" w:space="0" w:color="auto"/>
              <w:bottom w:val="single" w:sz="4" w:space="0" w:color="auto"/>
              <w:right w:val="single" w:sz="4" w:space="0" w:color="auto"/>
            </w:tcBorders>
            <w:shd w:val="clear" w:color="auto" w:fill="auto"/>
            <w:noWrap/>
            <w:tcMar>
              <w:left w:w="115" w:type="dxa"/>
              <w:right w:w="230" w:type="dxa"/>
            </w:tcMar>
            <w:vAlign w:val="center"/>
          </w:tcPr>
          <w:p w14:paraId="1B46D4BB" w14:textId="38B5481C" w:rsidR="00DB647B" w:rsidRPr="00DB1648" w:rsidRDefault="00DB647B" w:rsidP="00A0418C">
            <w:pPr>
              <w:suppressAutoHyphens/>
              <w:jc w:val="right"/>
              <w:rPr>
                <w:color w:val="000000"/>
                <w:sz w:val="20"/>
                <w:lang w:val="fr-CA"/>
              </w:rPr>
            </w:pPr>
            <w:r w:rsidRPr="00DB1648">
              <w:rPr>
                <w:color w:val="000000"/>
                <w:sz w:val="20"/>
                <w:szCs w:val="20"/>
                <w:lang w:val="fr-CA" w:eastAsia="zh-CN"/>
              </w:rPr>
              <w:t>20</w:t>
            </w:r>
            <w:r w:rsidR="00EE59FE" w:rsidRPr="00DB1648">
              <w:rPr>
                <w:color w:val="000000"/>
                <w:sz w:val="20"/>
                <w:szCs w:val="20"/>
                <w:lang w:val="fr-CA" w:eastAsia="zh-CN"/>
              </w:rPr>
              <w:t>,</w:t>
            </w:r>
            <w:r w:rsidRPr="00DB1648">
              <w:rPr>
                <w:color w:val="000000"/>
                <w:sz w:val="20"/>
                <w:szCs w:val="20"/>
                <w:lang w:val="fr-CA" w:eastAsia="zh-CN"/>
              </w:rPr>
              <w:t>1</w:t>
            </w:r>
          </w:p>
        </w:tc>
      </w:tr>
      <w:tr w:rsidR="00DB647B" w:rsidRPr="00DB1648" w14:paraId="35203B56" w14:textId="77777777" w:rsidTr="00DB647B">
        <w:trPr>
          <w:trHeight w:val="40"/>
        </w:trPr>
        <w:tc>
          <w:tcPr>
            <w:tcW w:w="1110"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72A838B" w14:textId="64AF264C" w:rsidR="00DB647B" w:rsidRPr="00DB1648" w:rsidRDefault="00EE59FE" w:rsidP="00A0418C">
            <w:pPr>
              <w:suppressAutoHyphens/>
              <w:jc w:val="left"/>
              <w:rPr>
                <w:color w:val="000000"/>
                <w:sz w:val="20"/>
                <w:lang w:val="fr-CA"/>
              </w:rPr>
            </w:pPr>
            <w:r w:rsidRPr="00DB1648">
              <w:rPr>
                <w:color w:val="000000"/>
                <w:sz w:val="20"/>
                <w:lang w:val="fr-CA"/>
              </w:rPr>
              <w:t>Tonnes PAO</w:t>
            </w:r>
          </w:p>
        </w:tc>
        <w:tc>
          <w:tcPr>
            <w:tcW w:w="555" w:type="pct"/>
            <w:tcBorders>
              <w:top w:val="single" w:sz="4" w:space="0" w:color="auto"/>
              <w:left w:val="nil"/>
              <w:bottom w:val="single" w:sz="4" w:space="0" w:color="auto"/>
              <w:right w:val="single" w:sz="4" w:space="0" w:color="auto"/>
            </w:tcBorders>
            <w:shd w:val="clear" w:color="auto" w:fill="auto"/>
            <w:noWrap/>
            <w:tcMar>
              <w:left w:w="115" w:type="dxa"/>
              <w:right w:w="230" w:type="dxa"/>
            </w:tcMar>
          </w:tcPr>
          <w:p w14:paraId="65056B06" w14:textId="0BFA2EF9" w:rsidR="00DB647B" w:rsidRPr="00DB1648" w:rsidRDefault="00DB647B" w:rsidP="00A0418C">
            <w:pPr>
              <w:suppressAutoHyphens/>
              <w:jc w:val="right"/>
              <w:rPr>
                <w:sz w:val="20"/>
                <w:lang w:val="fr-CA"/>
              </w:rPr>
            </w:pPr>
            <w:r w:rsidRPr="00DB1648">
              <w:rPr>
                <w:color w:val="1E1E1E"/>
                <w:sz w:val="20"/>
                <w:szCs w:val="20"/>
                <w:lang w:val="fr-CA"/>
              </w:rPr>
              <w:t>0</w:t>
            </w:r>
            <w:r w:rsidR="00EE59FE" w:rsidRPr="00DB1648">
              <w:rPr>
                <w:color w:val="1E1E1E"/>
                <w:sz w:val="20"/>
                <w:szCs w:val="20"/>
                <w:lang w:val="fr-CA"/>
              </w:rPr>
              <w:t>,</w:t>
            </w:r>
            <w:r w:rsidRPr="00DB1648">
              <w:rPr>
                <w:color w:val="1E1E1E"/>
                <w:sz w:val="20"/>
                <w:szCs w:val="20"/>
                <w:lang w:val="fr-CA"/>
              </w:rPr>
              <w:t>13</w:t>
            </w:r>
          </w:p>
        </w:tc>
        <w:tc>
          <w:tcPr>
            <w:tcW w:w="558" w:type="pct"/>
            <w:tcBorders>
              <w:top w:val="single" w:sz="4" w:space="0" w:color="auto"/>
              <w:left w:val="nil"/>
              <w:bottom w:val="single" w:sz="4" w:space="0" w:color="auto"/>
              <w:right w:val="single" w:sz="4" w:space="0" w:color="auto"/>
            </w:tcBorders>
            <w:tcMar>
              <w:left w:w="115" w:type="dxa"/>
              <w:right w:w="230" w:type="dxa"/>
            </w:tcMar>
          </w:tcPr>
          <w:p w14:paraId="1BE7A4DE" w14:textId="57068DED" w:rsidR="00DB647B" w:rsidRPr="00DB1648" w:rsidRDefault="00DB647B" w:rsidP="00A0418C">
            <w:pPr>
              <w:suppressAutoHyphens/>
              <w:jc w:val="right"/>
              <w:rPr>
                <w:sz w:val="20"/>
                <w:lang w:val="fr-CA"/>
              </w:rPr>
            </w:pPr>
            <w:r w:rsidRPr="00DB1648">
              <w:rPr>
                <w:color w:val="1E1E1E"/>
                <w:sz w:val="20"/>
                <w:szCs w:val="20"/>
                <w:lang w:val="fr-CA"/>
              </w:rPr>
              <w:t>0</w:t>
            </w:r>
            <w:r w:rsidR="00EE59FE" w:rsidRPr="00DB1648">
              <w:rPr>
                <w:color w:val="1E1E1E"/>
                <w:sz w:val="20"/>
                <w:szCs w:val="20"/>
                <w:lang w:val="fr-CA"/>
              </w:rPr>
              <w:t>,</w:t>
            </w:r>
            <w:r w:rsidRPr="00DB1648">
              <w:rPr>
                <w:color w:val="1E1E1E"/>
                <w:sz w:val="20"/>
                <w:szCs w:val="20"/>
                <w:lang w:val="fr-CA"/>
              </w:rPr>
              <w:t>08</w:t>
            </w:r>
          </w:p>
        </w:tc>
        <w:tc>
          <w:tcPr>
            <w:tcW w:w="556" w:type="pct"/>
            <w:tcBorders>
              <w:top w:val="single" w:sz="4" w:space="0" w:color="auto"/>
              <w:left w:val="single" w:sz="4" w:space="0" w:color="auto"/>
              <w:bottom w:val="single" w:sz="4" w:space="0" w:color="auto"/>
              <w:right w:val="single" w:sz="4" w:space="0" w:color="auto"/>
            </w:tcBorders>
            <w:tcMar>
              <w:left w:w="115" w:type="dxa"/>
              <w:right w:w="230" w:type="dxa"/>
            </w:tcMar>
          </w:tcPr>
          <w:p w14:paraId="20AC8A67" w14:textId="0707C447" w:rsidR="00DB647B" w:rsidRPr="00DB1648" w:rsidRDefault="00DB647B" w:rsidP="00A0418C">
            <w:pPr>
              <w:suppressAutoHyphens/>
              <w:jc w:val="right"/>
              <w:rPr>
                <w:sz w:val="20"/>
                <w:lang w:val="fr-CA"/>
              </w:rPr>
            </w:pPr>
            <w:r w:rsidRPr="00DB1648">
              <w:rPr>
                <w:color w:val="1E1E1E"/>
                <w:sz w:val="20"/>
                <w:szCs w:val="20"/>
                <w:lang w:val="fr-CA"/>
              </w:rPr>
              <w:t>0</w:t>
            </w:r>
            <w:r w:rsidR="00EE59FE" w:rsidRPr="00DB1648">
              <w:rPr>
                <w:color w:val="1E1E1E"/>
                <w:sz w:val="20"/>
                <w:szCs w:val="20"/>
                <w:lang w:val="fr-CA"/>
              </w:rPr>
              <w:t>,</w:t>
            </w:r>
            <w:r w:rsidRPr="00DB1648">
              <w:rPr>
                <w:color w:val="1E1E1E"/>
                <w:sz w:val="20"/>
                <w:szCs w:val="20"/>
                <w:lang w:val="fr-CA"/>
              </w:rPr>
              <w:t>06</w:t>
            </w:r>
          </w:p>
        </w:tc>
        <w:tc>
          <w:tcPr>
            <w:tcW w:w="558" w:type="pct"/>
            <w:tcBorders>
              <w:top w:val="single" w:sz="4" w:space="0" w:color="auto"/>
              <w:left w:val="single" w:sz="4" w:space="0" w:color="auto"/>
              <w:bottom w:val="single" w:sz="4" w:space="0" w:color="auto"/>
              <w:right w:val="single" w:sz="4" w:space="0" w:color="auto"/>
            </w:tcBorders>
            <w:tcMar>
              <w:left w:w="115" w:type="dxa"/>
              <w:right w:w="230" w:type="dxa"/>
            </w:tcMar>
          </w:tcPr>
          <w:p w14:paraId="16465C46" w14:textId="655CF257" w:rsidR="00DB647B" w:rsidRPr="00DB1648" w:rsidRDefault="00DB647B" w:rsidP="00A0418C">
            <w:pPr>
              <w:suppressAutoHyphens/>
              <w:jc w:val="right"/>
              <w:rPr>
                <w:rFonts w:eastAsiaTheme="minorHAnsi"/>
                <w:color w:val="000000"/>
                <w:sz w:val="20"/>
                <w:lang w:val="fr-CA"/>
              </w:rPr>
            </w:pPr>
            <w:r w:rsidRPr="00DB1648">
              <w:rPr>
                <w:color w:val="1E1E1E"/>
                <w:sz w:val="20"/>
                <w:szCs w:val="20"/>
                <w:lang w:val="fr-CA"/>
              </w:rPr>
              <w:t>0</w:t>
            </w:r>
            <w:r w:rsidR="00EE59FE" w:rsidRPr="00DB1648">
              <w:rPr>
                <w:color w:val="1E1E1E"/>
                <w:sz w:val="20"/>
                <w:szCs w:val="20"/>
                <w:lang w:val="fr-CA"/>
              </w:rPr>
              <w:t>,</w:t>
            </w:r>
            <w:r w:rsidRPr="00DB1648">
              <w:rPr>
                <w:color w:val="1E1E1E"/>
                <w:sz w:val="20"/>
                <w:szCs w:val="20"/>
                <w:lang w:val="fr-CA"/>
              </w:rPr>
              <w:t>06</w:t>
            </w:r>
          </w:p>
        </w:tc>
        <w:tc>
          <w:tcPr>
            <w:tcW w:w="556" w:type="pct"/>
            <w:tcBorders>
              <w:top w:val="single" w:sz="4" w:space="0" w:color="auto"/>
              <w:left w:val="single" w:sz="4" w:space="0" w:color="auto"/>
              <w:bottom w:val="single" w:sz="4" w:space="0" w:color="auto"/>
              <w:right w:val="single" w:sz="4" w:space="0" w:color="auto"/>
            </w:tcBorders>
            <w:tcMar>
              <w:left w:w="115" w:type="dxa"/>
              <w:right w:w="230" w:type="dxa"/>
            </w:tcMar>
          </w:tcPr>
          <w:p w14:paraId="244EAE84" w14:textId="12702B53" w:rsidR="00DB647B" w:rsidRPr="00DB1648" w:rsidRDefault="00DB647B" w:rsidP="00A0418C">
            <w:pPr>
              <w:suppressAutoHyphens/>
              <w:jc w:val="right"/>
              <w:rPr>
                <w:rFonts w:eastAsiaTheme="minorHAnsi"/>
                <w:color w:val="000000"/>
                <w:sz w:val="20"/>
                <w:lang w:val="fr-CA"/>
              </w:rPr>
            </w:pPr>
            <w:r w:rsidRPr="00DB1648">
              <w:rPr>
                <w:color w:val="1E1E1E"/>
                <w:sz w:val="20"/>
                <w:szCs w:val="20"/>
                <w:lang w:val="fr-CA"/>
              </w:rPr>
              <w:t>0</w:t>
            </w:r>
            <w:r w:rsidR="00EE59FE" w:rsidRPr="00DB1648">
              <w:rPr>
                <w:color w:val="1E1E1E"/>
                <w:sz w:val="20"/>
                <w:szCs w:val="20"/>
                <w:lang w:val="fr-CA"/>
              </w:rPr>
              <w:t>,</w:t>
            </w:r>
            <w:r w:rsidRPr="00DB1648">
              <w:rPr>
                <w:color w:val="1E1E1E"/>
                <w:sz w:val="20"/>
                <w:szCs w:val="20"/>
                <w:lang w:val="fr-CA"/>
              </w:rPr>
              <w:t>04</w:t>
            </w:r>
          </w:p>
        </w:tc>
        <w:tc>
          <w:tcPr>
            <w:tcW w:w="554" w:type="pct"/>
            <w:tcBorders>
              <w:top w:val="single" w:sz="4" w:space="0" w:color="auto"/>
              <w:left w:val="single" w:sz="4" w:space="0" w:color="auto"/>
              <w:bottom w:val="single" w:sz="4" w:space="0" w:color="auto"/>
              <w:right w:val="single" w:sz="4" w:space="0" w:color="auto"/>
            </w:tcBorders>
          </w:tcPr>
          <w:p w14:paraId="143B9F0A" w14:textId="0E35218F" w:rsidR="00DB647B" w:rsidRPr="00DB1648" w:rsidRDefault="00DB647B" w:rsidP="00A0418C">
            <w:pPr>
              <w:suppressAutoHyphens/>
              <w:jc w:val="right"/>
              <w:rPr>
                <w:color w:val="1E1E1E"/>
                <w:sz w:val="20"/>
                <w:szCs w:val="20"/>
                <w:shd w:val="clear" w:color="auto" w:fill="FFFFFF"/>
                <w:lang w:val="fr-CA"/>
              </w:rPr>
            </w:pPr>
            <w:r w:rsidRPr="00DB1648">
              <w:rPr>
                <w:color w:val="1E1E1E"/>
                <w:sz w:val="20"/>
                <w:szCs w:val="20"/>
                <w:shd w:val="clear" w:color="auto" w:fill="FFFFFF"/>
                <w:lang w:val="fr-CA"/>
              </w:rPr>
              <w:t>0</w:t>
            </w:r>
            <w:r w:rsidR="00EE59FE" w:rsidRPr="00DB1648">
              <w:rPr>
                <w:color w:val="1E1E1E"/>
                <w:sz w:val="20"/>
                <w:szCs w:val="20"/>
                <w:shd w:val="clear" w:color="auto" w:fill="FFFFFF"/>
                <w:lang w:val="fr-CA"/>
              </w:rPr>
              <w:t>,</w:t>
            </w:r>
            <w:r w:rsidRPr="00DB1648">
              <w:rPr>
                <w:color w:val="1E1E1E"/>
                <w:sz w:val="20"/>
                <w:szCs w:val="20"/>
                <w:shd w:val="clear" w:color="auto" w:fill="FFFFFF"/>
                <w:lang w:val="fr-CA"/>
              </w:rPr>
              <w:t>25</w:t>
            </w:r>
          </w:p>
        </w:tc>
        <w:tc>
          <w:tcPr>
            <w:tcW w:w="554" w:type="pct"/>
            <w:tcBorders>
              <w:top w:val="single" w:sz="4" w:space="0" w:color="auto"/>
              <w:left w:val="single" w:sz="4" w:space="0" w:color="auto"/>
              <w:bottom w:val="single" w:sz="4" w:space="0" w:color="auto"/>
              <w:right w:val="single" w:sz="4" w:space="0" w:color="auto"/>
            </w:tcBorders>
            <w:shd w:val="clear" w:color="auto" w:fill="auto"/>
            <w:noWrap/>
            <w:tcMar>
              <w:left w:w="115" w:type="dxa"/>
              <w:right w:w="230" w:type="dxa"/>
            </w:tcMar>
          </w:tcPr>
          <w:p w14:paraId="7989C38F" w14:textId="08858160" w:rsidR="00DB647B" w:rsidRPr="00DB1648" w:rsidRDefault="00DB647B" w:rsidP="00A0418C">
            <w:pPr>
              <w:suppressAutoHyphens/>
              <w:jc w:val="right"/>
              <w:rPr>
                <w:rFonts w:eastAsiaTheme="minorHAnsi"/>
                <w:color w:val="000000"/>
                <w:sz w:val="20"/>
                <w:lang w:val="fr-CA"/>
              </w:rPr>
            </w:pPr>
            <w:r w:rsidRPr="00DB1648">
              <w:rPr>
                <w:color w:val="1E1E1E"/>
                <w:sz w:val="20"/>
                <w:szCs w:val="20"/>
                <w:shd w:val="clear" w:color="auto" w:fill="FFFFFF"/>
                <w:lang w:val="fr-CA"/>
              </w:rPr>
              <w:t>1</w:t>
            </w:r>
            <w:r w:rsidR="00EE59FE" w:rsidRPr="00DB1648">
              <w:rPr>
                <w:color w:val="1E1E1E"/>
                <w:sz w:val="20"/>
                <w:szCs w:val="20"/>
                <w:shd w:val="clear" w:color="auto" w:fill="FFFFFF"/>
                <w:lang w:val="fr-CA"/>
              </w:rPr>
              <w:t>,</w:t>
            </w:r>
            <w:r w:rsidRPr="00DB1648">
              <w:rPr>
                <w:color w:val="1E1E1E"/>
                <w:sz w:val="20"/>
                <w:szCs w:val="20"/>
                <w:shd w:val="clear" w:color="auto" w:fill="FFFFFF"/>
                <w:lang w:val="fr-CA"/>
              </w:rPr>
              <w:t>1</w:t>
            </w:r>
          </w:p>
        </w:tc>
      </w:tr>
    </w:tbl>
    <w:p w14:paraId="4C4973D1" w14:textId="77777777" w:rsidR="00EB31E3" w:rsidRPr="00DB1648" w:rsidRDefault="00EB31E3" w:rsidP="00A0418C">
      <w:pPr>
        <w:suppressAutoHyphens/>
        <w:rPr>
          <w:lang w:val="fr-CA"/>
        </w:rPr>
      </w:pPr>
    </w:p>
    <w:p w14:paraId="3FF956B6" w14:textId="47ADA64A" w:rsidR="004069CD" w:rsidRPr="00DB1648" w:rsidRDefault="00EE59FE" w:rsidP="00A0418C">
      <w:pPr>
        <w:pStyle w:val="ListParagraph"/>
        <w:keepLines/>
        <w:numPr>
          <w:ilvl w:val="0"/>
          <w:numId w:val="1"/>
        </w:numPr>
        <w:tabs>
          <w:tab w:val="num" w:pos="709"/>
        </w:tabs>
        <w:suppressAutoHyphens/>
        <w:spacing w:after="240"/>
        <w:outlineLvl w:val="0"/>
        <w:rPr>
          <w:lang w:val="fr-CA"/>
        </w:rPr>
      </w:pPr>
      <w:r w:rsidRPr="00DB1648">
        <w:rPr>
          <w:lang w:val="fr-CA"/>
        </w:rPr>
        <w:t>La consommation de HCFC est à la baisse à Cabo Verde grâce à la mise en place d’un programme d’octroi de permis et de quotas</w:t>
      </w:r>
      <w:r w:rsidR="008603AD" w:rsidRPr="00DB1648">
        <w:rPr>
          <w:lang w:val="fr-CA"/>
        </w:rPr>
        <w:t xml:space="preserve">, </w:t>
      </w:r>
      <w:r w:rsidR="00D75142">
        <w:rPr>
          <w:lang w:val="fr-CA"/>
        </w:rPr>
        <w:t>aux</w:t>
      </w:r>
      <w:r w:rsidR="008603AD" w:rsidRPr="00DB1648">
        <w:rPr>
          <w:lang w:val="fr-CA"/>
        </w:rPr>
        <w:t xml:space="preserve"> activités dans le secteur de l’entretien de l’équipement de réfrigération et de climatisation, </w:t>
      </w:r>
      <w:r w:rsidR="00D75142">
        <w:rPr>
          <w:lang w:val="fr-CA"/>
        </w:rPr>
        <w:t>aux</w:t>
      </w:r>
      <w:r w:rsidR="008603AD" w:rsidRPr="00DB1648">
        <w:rPr>
          <w:lang w:val="fr-CA"/>
        </w:rPr>
        <w:t xml:space="preserve"> activités de sensibilisation et </w:t>
      </w:r>
      <w:r w:rsidR="00D75142">
        <w:rPr>
          <w:lang w:val="fr-CA"/>
        </w:rPr>
        <w:t xml:space="preserve">à </w:t>
      </w:r>
      <w:r w:rsidR="008603AD" w:rsidRPr="00DB1648">
        <w:rPr>
          <w:lang w:val="fr-CA"/>
        </w:rPr>
        <w:t xml:space="preserve">l’avènement de substances de remplacement sans HCFC des frigorigènes dans le secteur de la réfrigération et de la climatisation commerciale, </w:t>
      </w:r>
      <w:r w:rsidR="00D75142">
        <w:rPr>
          <w:lang w:val="fr-CA"/>
        </w:rPr>
        <w:t>composés notamment de mélanges comprenant des frigorigènes à base de HFC</w:t>
      </w:r>
      <w:r w:rsidR="008603AD" w:rsidRPr="00DB1648">
        <w:rPr>
          <w:lang w:val="fr-CA"/>
        </w:rPr>
        <w:t>. Le dernier appareil utilisant le HCFC</w:t>
      </w:r>
      <w:r w:rsidR="005A5DA6">
        <w:rPr>
          <w:lang w:val="fr-CA"/>
        </w:rPr>
        <w:noBreakHyphen/>
      </w:r>
      <w:r w:rsidR="008603AD" w:rsidRPr="00DB1648">
        <w:rPr>
          <w:lang w:val="fr-CA"/>
        </w:rPr>
        <w:t>22 comme frigorigène a été install</w:t>
      </w:r>
      <w:r w:rsidR="00CC1A5F" w:rsidRPr="00DB1648">
        <w:rPr>
          <w:lang w:val="fr-CA"/>
        </w:rPr>
        <w:t>é</w:t>
      </w:r>
      <w:r w:rsidR="008603AD" w:rsidRPr="00DB1648">
        <w:rPr>
          <w:lang w:val="fr-CA"/>
        </w:rPr>
        <w:t xml:space="preserve"> en 2015, ce qui a influencé les niveaux de consommation </w:t>
      </w:r>
      <w:r w:rsidR="00D75142">
        <w:rPr>
          <w:lang w:val="fr-CA"/>
        </w:rPr>
        <w:t>depuis 2016</w:t>
      </w:r>
      <w:r w:rsidR="008603AD" w:rsidRPr="00DB1648">
        <w:rPr>
          <w:lang w:val="fr-CA"/>
        </w:rPr>
        <w:t xml:space="preserve">. De plus, la consommation de </w:t>
      </w:r>
      <w:r w:rsidR="00CC1A5F" w:rsidRPr="00DB1648">
        <w:rPr>
          <w:lang w:val="fr-CA"/>
        </w:rPr>
        <w:t>HCFC de 2020 a été fortement influencée par les dérangements dans la chaîne d’approvisionnement occasionnés par la pandémie de la COVID-19 et le ralentissement important de l’activité économique au pays</w:t>
      </w:r>
      <w:r w:rsidR="004069CD" w:rsidRPr="00DB1648">
        <w:rPr>
          <w:lang w:val="fr-CA"/>
        </w:rPr>
        <w:t>.</w:t>
      </w:r>
    </w:p>
    <w:p w14:paraId="0C4E09CC" w14:textId="77777777" w:rsidR="002A3228" w:rsidRPr="00DB1648" w:rsidRDefault="002A3228" w:rsidP="00A0418C">
      <w:pPr>
        <w:pStyle w:val="ListParagraph"/>
        <w:keepLines/>
        <w:tabs>
          <w:tab w:val="num" w:pos="709"/>
        </w:tabs>
        <w:suppressAutoHyphens/>
        <w:spacing w:after="240"/>
        <w:ind w:left="0"/>
        <w:outlineLvl w:val="0"/>
        <w:rPr>
          <w:lang w:val="fr-CA"/>
        </w:rPr>
      </w:pPr>
    </w:p>
    <w:p w14:paraId="41105EDA" w14:textId="77777777" w:rsidR="00CC1A5F" w:rsidRPr="00DB1648" w:rsidRDefault="00CC1A5F">
      <w:pPr>
        <w:jc w:val="left"/>
        <w:rPr>
          <w:i/>
          <w:lang w:val="fr-CA"/>
        </w:rPr>
      </w:pPr>
      <w:r w:rsidRPr="00DB1648">
        <w:rPr>
          <w:i/>
          <w:lang w:val="fr-CA"/>
        </w:rPr>
        <w:br w:type="page"/>
      </w:r>
    </w:p>
    <w:p w14:paraId="509FDC74" w14:textId="2E45A67A" w:rsidR="002A3228" w:rsidRPr="00DB1648" w:rsidRDefault="00CC1A5F" w:rsidP="00A0418C">
      <w:pPr>
        <w:pStyle w:val="ListParagraph"/>
        <w:suppressAutoHyphens/>
        <w:spacing w:after="240"/>
        <w:ind w:left="0"/>
        <w:outlineLvl w:val="0"/>
        <w:rPr>
          <w:u w:val="single"/>
          <w:lang w:val="fr-CA"/>
        </w:rPr>
      </w:pPr>
      <w:r w:rsidRPr="00DB1648">
        <w:rPr>
          <w:i/>
          <w:lang w:val="fr-CA"/>
        </w:rPr>
        <w:lastRenderedPageBreak/>
        <w:t>Rapport sur la mise en œuvre du programme de pays</w:t>
      </w:r>
    </w:p>
    <w:p w14:paraId="0313144E" w14:textId="77777777" w:rsidR="002A3228" w:rsidRPr="00DB1648" w:rsidRDefault="002A3228" w:rsidP="00A0418C">
      <w:pPr>
        <w:pStyle w:val="ListParagraph"/>
        <w:suppressAutoHyphens/>
        <w:rPr>
          <w:lang w:val="fr-CA"/>
        </w:rPr>
      </w:pPr>
    </w:p>
    <w:p w14:paraId="19371B4A" w14:textId="39F118AD" w:rsidR="008D2116" w:rsidRPr="00DB1648" w:rsidRDefault="00B25E65" w:rsidP="00A0418C">
      <w:pPr>
        <w:pStyle w:val="ListParagraph"/>
        <w:numPr>
          <w:ilvl w:val="0"/>
          <w:numId w:val="1"/>
        </w:numPr>
        <w:suppressAutoHyphens/>
        <w:spacing w:after="240"/>
        <w:outlineLvl w:val="0"/>
        <w:rPr>
          <w:u w:val="single"/>
          <w:lang w:val="fr-CA"/>
        </w:rPr>
      </w:pPr>
      <w:r w:rsidRPr="00DB1648">
        <w:rPr>
          <w:lang w:val="fr-CA"/>
        </w:rPr>
        <w:t>Les données sectorielles sur la consommation de HCFC déclarées par le gouvernement de Cabo Verde dans son rapport sur la mise en œuvre du programme de pays en 2020 sont conformées aux donnée</w:t>
      </w:r>
      <w:r w:rsidR="00007D87">
        <w:rPr>
          <w:lang w:val="fr-CA"/>
        </w:rPr>
        <w:t>s</w:t>
      </w:r>
      <w:r w:rsidRPr="00DB1648">
        <w:rPr>
          <w:lang w:val="fr-CA"/>
        </w:rPr>
        <w:t xml:space="preserve"> déclarées en vertu de l’article 7 du Protocole de Montréal</w:t>
      </w:r>
      <w:r w:rsidR="00EB31E3" w:rsidRPr="00DB1648">
        <w:rPr>
          <w:lang w:val="fr-CA"/>
        </w:rPr>
        <w:t xml:space="preserve">. </w:t>
      </w:r>
    </w:p>
    <w:p w14:paraId="76AEEEA4" w14:textId="0E88EC6E" w:rsidR="00EB31E3" w:rsidRPr="00DB1648" w:rsidRDefault="00B25E65" w:rsidP="00A0418C">
      <w:pPr>
        <w:suppressAutoHyphens/>
        <w:spacing w:after="240"/>
        <w:outlineLvl w:val="0"/>
        <w:rPr>
          <w:u w:val="single"/>
          <w:lang w:val="fr-CA"/>
        </w:rPr>
      </w:pPr>
      <w:r w:rsidRPr="00DB1648">
        <w:rPr>
          <w:u w:val="single"/>
          <w:lang w:val="fr-CA"/>
        </w:rPr>
        <w:t>État des progrès et des décaissements</w:t>
      </w:r>
    </w:p>
    <w:p w14:paraId="44DED28F" w14:textId="1CB03D02" w:rsidR="00757A9F" w:rsidRPr="00DB1648" w:rsidRDefault="00B25E65" w:rsidP="00F312EE">
      <w:pPr>
        <w:pStyle w:val="ListParagraph"/>
        <w:keepNext/>
        <w:suppressAutoHyphens/>
        <w:ind w:left="0"/>
        <w:rPr>
          <w:i/>
          <w:lang w:val="fr-CA"/>
        </w:rPr>
      </w:pPr>
      <w:r w:rsidRPr="00DB1648">
        <w:rPr>
          <w:i/>
          <w:lang w:val="fr-CA"/>
        </w:rPr>
        <w:t>Cadre juridique</w:t>
      </w:r>
    </w:p>
    <w:p w14:paraId="3340801B" w14:textId="77777777" w:rsidR="00757A9F" w:rsidRPr="00DB1648" w:rsidRDefault="00757A9F" w:rsidP="00F312EE">
      <w:pPr>
        <w:pStyle w:val="ListParagraph"/>
        <w:keepNext/>
        <w:suppressAutoHyphens/>
        <w:ind w:left="0"/>
        <w:rPr>
          <w:color w:val="000000" w:themeColor="text1"/>
          <w:lang w:val="fr-CA"/>
        </w:rPr>
      </w:pPr>
    </w:p>
    <w:p w14:paraId="7FAEB50F" w14:textId="2416FECA" w:rsidR="00A51F1A" w:rsidRPr="00DB1648" w:rsidRDefault="00B25E65" w:rsidP="00A0418C">
      <w:pPr>
        <w:pStyle w:val="ListParagraph"/>
        <w:numPr>
          <w:ilvl w:val="0"/>
          <w:numId w:val="1"/>
        </w:numPr>
        <w:suppressAutoHyphens/>
        <w:rPr>
          <w:bCs/>
          <w:color w:val="000000"/>
          <w:lang w:val="fr-CA"/>
        </w:rPr>
      </w:pPr>
      <w:r w:rsidRPr="00DB1648">
        <w:rPr>
          <w:bCs/>
          <w:color w:val="000000"/>
          <w:lang w:val="fr-CA"/>
        </w:rPr>
        <w:t xml:space="preserve">La réglementation des HCFC et de l’équipement à base de HCFC à Cabo Verde a été mise en place en juillet 2011. </w:t>
      </w:r>
      <w:r w:rsidR="00571E3D" w:rsidRPr="00DB1648">
        <w:rPr>
          <w:bCs/>
          <w:color w:val="000000"/>
          <w:lang w:val="fr-CA"/>
        </w:rPr>
        <w:t>Depuis cette date, le gouvernement applique un programme d’octroi de permis et de quotas afin de réglementer la consommation de HCFC, et l’importation d’équipement à base de HCFC est sujette à autorisation. Aucun équipement à base de HCFC n’</w:t>
      </w:r>
      <w:r w:rsidR="002D1867" w:rsidRPr="00DB1648">
        <w:rPr>
          <w:bCs/>
          <w:color w:val="000000"/>
          <w:lang w:val="fr-CA"/>
        </w:rPr>
        <w:t>a été impor</w:t>
      </w:r>
      <w:r w:rsidR="00571E3D" w:rsidRPr="00DB1648">
        <w:rPr>
          <w:bCs/>
          <w:color w:val="000000"/>
          <w:lang w:val="fr-CA"/>
        </w:rPr>
        <w:t xml:space="preserve">té depuis 2015 en vertu du nouveau programme </w:t>
      </w:r>
      <w:r w:rsidR="002D1867" w:rsidRPr="00DB1648">
        <w:rPr>
          <w:bCs/>
          <w:color w:val="000000"/>
          <w:lang w:val="fr-CA"/>
        </w:rPr>
        <w:t>de permis d’importation. Cabo Verde a ratifié l’Amendement de Kigali le 28 octobre 2020.</w:t>
      </w:r>
    </w:p>
    <w:p w14:paraId="7C37F093" w14:textId="77777777" w:rsidR="006D7D01" w:rsidRPr="00DB1648" w:rsidRDefault="006D7D01" w:rsidP="00A0418C">
      <w:pPr>
        <w:pStyle w:val="ListParagraph"/>
        <w:suppressAutoHyphens/>
        <w:ind w:left="0"/>
        <w:rPr>
          <w:lang w:val="fr-CA"/>
        </w:rPr>
      </w:pPr>
    </w:p>
    <w:p w14:paraId="5F79F4B1" w14:textId="1F12120F" w:rsidR="00757A9F" w:rsidRPr="00DB1648" w:rsidRDefault="002D1867" w:rsidP="00A0418C">
      <w:pPr>
        <w:pStyle w:val="ListParagraph"/>
        <w:suppressAutoHyphens/>
        <w:ind w:left="0"/>
        <w:rPr>
          <w:i/>
          <w:lang w:val="fr-CA"/>
        </w:rPr>
      </w:pPr>
      <w:r w:rsidRPr="00DB1648">
        <w:rPr>
          <w:i/>
          <w:lang w:val="fr-CA"/>
        </w:rPr>
        <w:t>Secteur de l’entretien de l’équipement de réfrigération</w:t>
      </w:r>
    </w:p>
    <w:p w14:paraId="64AD0F87" w14:textId="77777777" w:rsidR="00757A9F" w:rsidRPr="00DB1648" w:rsidRDefault="00757A9F" w:rsidP="00A0418C">
      <w:pPr>
        <w:pStyle w:val="ListParagraph"/>
        <w:suppressAutoHyphens/>
        <w:ind w:left="0"/>
        <w:rPr>
          <w:lang w:val="fr-CA"/>
        </w:rPr>
      </w:pPr>
    </w:p>
    <w:p w14:paraId="72C42B4B" w14:textId="16F69F3E" w:rsidR="00757A9F" w:rsidRPr="00DB1648" w:rsidRDefault="002D1867" w:rsidP="00A0418C">
      <w:pPr>
        <w:pStyle w:val="ListParagraph"/>
        <w:numPr>
          <w:ilvl w:val="0"/>
          <w:numId w:val="1"/>
        </w:numPr>
        <w:suppressAutoHyphens/>
        <w:rPr>
          <w:color w:val="000000"/>
          <w:lang w:val="fr-CA"/>
        </w:rPr>
      </w:pPr>
      <w:r w:rsidRPr="00DB1648">
        <w:rPr>
          <w:lang w:val="fr-CA"/>
        </w:rPr>
        <w:t>Le Bureau national de l’ozone applique le programme d’octroi de quotas en collaboration avec les agents douaniers en poste dans les trois îles du pays. Trois cent quatre-vingt-dix-sept douaniers et autres agents d’exécution ont reçu une formatio</w:t>
      </w:r>
      <w:r w:rsidR="00D154E6" w:rsidRPr="00DB1648">
        <w:rPr>
          <w:lang w:val="fr-CA"/>
        </w:rPr>
        <w:t>n en identificati</w:t>
      </w:r>
      <w:r w:rsidRPr="00DB1648">
        <w:rPr>
          <w:lang w:val="fr-CA"/>
        </w:rPr>
        <w:t>on</w:t>
      </w:r>
      <w:r w:rsidR="00E61AEC">
        <w:rPr>
          <w:lang w:val="fr-CA"/>
        </w:rPr>
        <w:t>,</w:t>
      </w:r>
      <w:r w:rsidRPr="00DB1648">
        <w:rPr>
          <w:lang w:val="fr-CA"/>
        </w:rPr>
        <w:t xml:space="preserve"> réglementation et surveillance des HCFC</w:t>
      </w:r>
      <w:r w:rsidR="00E61AEC">
        <w:rPr>
          <w:lang w:val="fr-CA"/>
        </w:rPr>
        <w:t xml:space="preserve"> et d</w:t>
      </w:r>
      <w:r w:rsidRPr="00DB1648">
        <w:rPr>
          <w:lang w:val="fr-CA"/>
        </w:rPr>
        <w:t>e l’équipement à</w:t>
      </w:r>
      <w:r w:rsidR="00D154E6" w:rsidRPr="00DB1648">
        <w:rPr>
          <w:lang w:val="fr-CA"/>
        </w:rPr>
        <w:t xml:space="preserve"> base de HCFC; en repérage de contrebande de frigorigènes; en repérage des envois en consignation, étiquetage et emballage des SAO; en util</w:t>
      </w:r>
      <w:r w:rsidR="00E43B2F" w:rsidRPr="00DB1648">
        <w:rPr>
          <w:lang w:val="fr-CA"/>
        </w:rPr>
        <w:t>isation des listes de vérificati</w:t>
      </w:r>
      <w:r w:rsidR="00D154E6" w:rsidRPr="00DB1648">
        <w:rPr>
          <w:lang w:val="fr-CA"/>
        </w:rPr>
        <w:t xml:space="preserve">on douanière; en échantillonnage et en manipulation des SAO; et en utilisation </w:t>
      </w:r>
      <w:r w:rsidR="00E61AEC">
        <w:rPr>
          <w:lang w:val="fr-CA"/>
        </w:rPr>
        <w:t>d’identificateurs</w:t>
      </w:r>
      <w:r w:rsidR="00D154E6" w:rsidRPr="00DB1648">
        <w:rPr>
          <w:lang w:val="fr-CA"/>
        </w:rPr>
        <w:t xml:space="preserve"> de frigorigènes</w:t>
      </w:r>
      <w:r w:rsidR="00E43B2F" w:rsidRPr="00DB1648">
        <w:rPr>
          <w:lang w:val="fr-CA"/>
        </w:rPr>
        <w:t xml:space="preserve">. Un </w:t>
      </w:r>
      <w:r w:rsidR="00E61AEC">
        <w:rPr>
          <w:lang w:val="fr-CA"/>
        </w:rPr>
        <w:t>identificateur</w:t>
      </w:r>
      <w:r w:rsidR="00E43B2F" w:rsidRPr="00DB1648">
        <w:rPr>
          <w:lang w:val="fr-CA"/>
        </w:rPr>
        <w:t xml:space="preserve"> de frigorigènes a été fourni et des essais d’identification des SAO ont été effectués au cours de la formation</w:t>
      </w:r>
      <w:r w:rsidR="00CE1F34" w:rsidRPr="00DB1648">
        <w:rPr>
          <w:color w:val="000000"/>
          <w:lang w:val="fr-CA"/>
        </w:rPr>
        <w:t>.</w:t>
      </w:r>
      <w:r w:rsidR="00BA718C" w:rsidRPr="00DB1648">
        <w:rPr>
          <w:lang w:val="fr-CA"/>
        </w:rPr>
        <w:t xml:space="preserve"> </w:t>
      </w:r>
    </w:p>
    <w:p w14:paraId="2A5A373B" w14:textId="77777777" w:rsidR="00432E35" w:rsidRPr="00DB1648" w:rsidRDefault="00432E35" w:rsidP="00A0418C">
      <w:pPr>
        <w:pStyle w:val="ListParagraph"/>
        <w:suppressAutoHyphens/>
        <w:ind w:left="0"/>
        <w:rPr>
          <w:color w:val="000000"/>
          <w:lang w:val="fr-CA"/>
        </w:rPr>
      </w:pPr>
    </w:p>
    <w:p w14:paraId="292F55DF" w14:textId="4735F80E" w:rsidR="00B97B26" w:rsidRPr="00DB1648" w:rsidRDefault="00E43B2F" w:rsidP="00E43B2F">
      <w:pPr>
        <w:pStyle w:val="Heading2"/>
        <w:widowControl/>
        <w:numPr>
          <w:ilvl w:val="0"/>
          <w:numId w:val="1"/>
        </w:numPr>
        <w:suppressAutoHyphens/>
        <w:rPr>
          <w:lang w:val="fr-CA"/>
        </w:rPr>
      </w:pPr>
      <w:r w:rsidRPr="00DB1648">
        <w:rPr>
          <w:lang w:val="fr-CA"/>
        </w:rPr>
        <w:t xml:space="preserve">Une formation en bonnes pratiques d’entretien, assurée par des formateurs en réfrigération et des experts de l’industrie en tant que ressources, et comprenant la manipulation sans danger des frigorigènes à base d’hydrocarbures, a été offerte à 469 techniciens en réfrigération. Deux pompes à vide et manomètres ont été achetés et distribués </w:t>
      </w:r>
      <w:r w:rsidR="005A266C" w:rsidRPr="00DB1648">
        <w:rPr>
          <w:lang w:val="fr-CA"/>
        </w:rPr>
        <w:t>a</w:t>
      </w:r>
      <w:r w:rsidRPr="00DB1648">
        <w:rPr>
          <w:lang w:val="fr-CA"/>
        </w:rPr>
        <w:t xml:space="preserve">fin de renforcer les capacités des deux centres d’excellence. Un protocole a aussi été signé avec un centre de </w:t>
      </w:r>
      <w:r w:rsidR="005A266C" w:rsidRPr="00DB1648">
        <w:rPr>
          <w:lang w:val="fr-CA"/>
        </w:rPr>
        <w:t>formation</w:t>
      </w:r>
      <w:r w:rsidRPr="00DB1648">
        <w:rPr>
          <w:lang w:val="fr-CA"/>
        </w:rPr>
        <w:t xml:space="preserve"> professionnelle (situé à São Domingos) </w:t>
      </w:r>
      <w:r w:rsidR="005A266C" w:rsidRPr="00DB1648">
        <w:rPr>
          <w:lang w:val="fr-CA"/>
        </w:rPr>
        <w:t>afin d’inclure la récupération et le recyclage des SAO et la manipulation des frigorigènes à base d’hydrocarbures au programme à comp</w:t>
      </w:r>
      <w:r w:rsidR="00996C68">
        <w:rPr>
          <w:lang w:val="fr-CA"/>
        </w:rPr>
        <w:t>ter de décembre 2019. Environ 60</w:t>
      </w:r>
      <w:r w:rsidR="005A266C" w:rsidRPr="00DB1648">
        <w:rPr>
          <w:lang w:val="fr-CA"/>
        </w:rPr>
        <w:t xml:space="preserve"> étudiants ont obtenu leur diplôme depuis cette date</w:t>
      </w:r>
      <w:r w:rsidR="00D97A19" w:rsidRPr="00DB1648">
        <w:rPr>
          <w:lang w:val="fr-CA"/>
        </w:rPr>
        <w:t>.</w:t>
      </w:r>
    </w:p>
    <w:p w14:paraId="79EC6CBC" w14:textId="0DD1B246" w:rsidR="001F2EE7" w:rsidRPr="00DB1648" w:rsidRDefault="005A266C" w:rsidP="00A0418C">
      <w:pPr>
        <w:suppressAutoHyphens/>
        <w:rPr>
          <w:color w:val="000000" w:themeColor="text1"/>
          <w:u w:val="single"/>
          <w:lang w:val="fr-CA"/>
        </w:rPr>
      </w:pPr>
      <w:r w:rsidRPr="00DB1648">
        <w:rPr>
          <w:color w:val="000000" w:themeColor="text1"/>
          <w:u w:val="single"/>
          <w:lang w:val="fr-CA"/>
        </w:rPr>
        <w:t>Niveau de décaissement</w:t>
      </w:r>
      <w:r w:rsidR="001F2EE7" w:rsidRPr="00DB1648">
        <w:rPr>
          <w:color w:val="000000" w:themeColor="text1"/>
          <w:u w:val="single"/>
          <w:lang w:val="fr-CA"/>
        </w:rPr>
        <w:t xml:space="preserve"> </w:t>
      </w:r>
    </w:p>
    <w:p w14:paraId="7E146ABE" w14:textId="77777777" w:rsidR="001F2EE7" w:rsidRPr="00DB1648" w:rsidRDefault="001F2EE7" w:rsidP="00A0418C">
      <w:pPr>
        <w:suppressAutoHyphens/>
        <w:rPr>
          <w:color w:val="000000" w:themeColor="text1"/>
          <w:u w:val="single"/>
          <w:lang w:val="fr-CA"/>
        </w:rPr>
      </w:pPr>
    </w:p>
    <w:p w14:paraId="7050045D" w14:textId="6AF86001" w:rsidR="001F2EE7" w:rsidRPr="00DB1648" w:rsidRDefault="005A266C" w:rsidP="00A0418C">
      <w:pPr>
        <w:pStyle w:val="Heading1"/>
        <w:numPr>
          <w:ilvl w:val="0"/>
          <w:numId w:val="1"/>
        </w:numPr>
        <w:suppressAutoHyphens/>
        <w:rPr>
          <w:lang w:val="fr-CA"/>
        </w:rPr>
      </w:pPr>
      <w:r w:rsidRPr="00DB1648">
        <w:rPr>
          <w:lang w:val="fr-CA"/>
        </w:rPr>
        <w:t>Une part de 150 000 $US des 160 000 $US approuvés pour la phase I du PGEH a été décaissée au 30 juin 2021. Le solde de 10 000 $US sera décaissé d’ici au 31 décembre 2021</w:t>
      </w:r>
      <w:r w:rsidR="009E3FB5" w:rsidRPr="00DB1648">
        <w:rPr>
          <w:lang w:val="fr-CA"/>
        </w:rPr>
        <w:t>.</w:t>
      </w:r>
    </w:p>
    <w:p w14:paraId="70172D67" w14:textId="68C531E6" w:rsidR="00EB31E3" w:rsidRPr="00DB1648" w:rsidRDefault="005A266C" w:rsidP="00A0418C">
      <w:pPr>
        <w:suppressAutoHyphens/>
        <w:autoSpaceDE w:val="0"/>
        <w:autoSpaceDN w:val="0"/>
        <w:adjustRightInd w:val="0"/>
        <w:rPr>
          <w:b/>
          <w:lang w:val="fr-CA"/>
        </w:rPr>
      </w:pPr>
      <w:r w:rsidRPr="00DB1648">
        <w:rPr>
          <w:b/>
          <w:lang w:val="fr-CA"/>
        </w:rPr>
        <w:t>Phase II du PGEH</w:t>
      </w:r>
    </w:p>
    <w:p w14:paraId="4435CC24" w14:textId="77777777" w:rsidR="00EB31E3" w:rsidRPr="00DB1648" w:rsidRDefault="00EB31E3" w:rsidP="00A0418C">
      <w:pPr>
        <w:suppressAutoHyphens/>
        <w:rPr>
          <w:lang w:val="fr-CA"/>
        </w:rPr>
      </w:pPr>
    </w:p>
    <w:p w14:paraId="5EE56781" w14:textId="38180302" w:rsidR="00EB31E3" w:rsidRPr="00DB1648" w:rsidRDefault="0082285B" w:rsidP="00A0418C">
      <w:pPr>
        <w:suppressAutoHyphens/>
        <w:spacing w:after="240"/>
        <w:outlineLvl w:val="0"/>
        <w:rPr>
          <w:u w:val="single"/>
          <w:lang w:val="fr-CA"/>
        </w:rPr>
      </w:pPr>
      <w:r w:rsidRPr="00DB1648">
        <w:rPr>
          <w:u w:val="single"/>
          <w:lang w:val="fr-CA"/>
        </w:rPr>
        <w:t>Consommation restante admissible au financement</w:t>
      </w:r>
    </w:p>
    <w:p w14:paraId="4BC4A43D" w14:textId="360ADCDF" w:rsidR="00234194" w:rsidRPr="00DB1648" w:rsidRDefault="0082285B" w:rsidP="00A0418C">
      <w:pPr>
        <w:numPr>
          <w:ilvl w:val="0"/>
          <w:numId w:val="1"/>
        </w:numPr>
        <w:tabs>
          <w:tab w:val="clear" w:pos="0"/>
        </w:tabs>
        <w:suppressAutoHyphens/>
        <w:spacing w:after="240"/>
        <w:outlineLvl w:val="0"/>
        <w:rPr>
          <w:u w:val="single"/>
          <w:lang w:val="fr-CA"/>
        </w:rPr>
      </w:pPr>
      <w:r w:rsidRPr="00DB1648">
        <w:rPr>
          <w:lang w:val="fr-CA"/>
        </w:rPr>
        <w:t>La consommation restante admissible au financement de la phase II</w:t>
      </w:r>
      <w:r w:rsidR="00996C68">
        <w:rPr>
          <w:lang w:val="fr-CA"/>
        </w:rPr>
        <w:t xml:space="preserve"> </w:t>
      </w:r>
      <w:r w:rsidR="00996C68" w:rsidRPr="00DB1648">
        <w:rPr>
          <w:lang w:val="fr-CA"/>
        </w:rPr>
        <w:t>est de 0,16 tonne PAO de HCFC-22</w:t>
      </w:r>
      <w:r w:rsidRPr="00DB1648">
        <w:rPr>
          <w:lang w:val="fr-CA"/>
        </w:rPr>
        <w:t>, après avoir soustrait 0,09 tonne PA</w:t>
      </w:r>
      <w:r w:rsidR="00996C68">
        <w:rPr>
          <w:lang w:val="fr-CA"/>
        </w:rPr>
        <w:t>O de SAO associée à la phase I</w:t>
      </w:r>
      <w:r w:rsidR="00EB31E3" w:rsidRPr="00DB1648">
        <w:rPr>
          <w:lang w:val="fr-CA"/>
        </w:rPr>
        <w:t xml:space="preserve">. </w:t>
      </w:r>
    </w:p>
    <w:p w14:paraId="7692EC04" w14:textId="5DA90328" w:rsidR="00EB31E3" w:rsidRPr="00DB1648" w:rsidRDefault="0082285B" w:rsidP="005A5DA6">
      <w:pPr>
        <w:suppressAutoHyphens/>
        <w:spacing w:after="120"/>
        <w:outlineLvl w:val="0"/>
        <w:rPr>
          <w:u w:val="single"/>
          <w:lang w:val="fr-CA"/>
        </w:rPr>
      </w:pPr>
      <w:r w:rsidRPr="00DB1648">
        <w:rPr>
          <w:u w:val="single"/>
          <w:lang w:val="fr-CA"/>
        </w:rPr>
        <w:t>Répartition sectorielle des HCFC</w:t>
      </w:r>
    </w:p>
    <w:p w14:paraId="7D753C40" w14:textId="02031D4A" w:rsidR="00EB31E3" w:rsidRPr="00DB1648" w:rsidRDefault="0082285B" w:rsidP="00A0418C">
      <w:pPr>
        <w:numPr>
          <w:ilvl w:val="0"/>
          <w:numId w:val="1"/>
        </w:numPr>
        <w:suppressAutoHyphens/>
        <w:spacing w:after="240"/>
        <w:outlineLvl w:val="0"/>
        <w:rPr>
          <w:lang w:val="fr-CA"/>
        </w:rPr>
      </w:pPr>
      <w:r w:rsidRPr="00DB1648">
        <w:rPr>
          <w:lang w:val="fr-CA"/>
        </w:rPr>
        <w:t>Le secteur de l’entretien réunit environ 500 techniciens et 40 ateliers qui consomment du HCFC</w:t>
      </w:r>
      <w:r w:rsidR="005A5DA6">
        <w:rPr>
          <w:lang w:val="fr-CA"/>
        </w:rPr>
        <w:noBreakHyphen/>
      </w:r>
      <w:r w:rsidRPr="00DB1648">
        <w:rPr>
          <w:lang w:val="fr-CA"/>
        </w:rPr>
        <w:t xml:space="preserve">22 afin d’entretenir différents équipements (congélateurs, </w:t>
      </w:r>
      <w:r w:rsidR="006F389A" w:rsidRPr="00DB1648">
        <w:rPr>
          <w:lang w:val="fr-CA"/>
        </w:rPr>
        <w:t>systèmes</w:t>
      </w:r>
      <w:r w:rsidRPr="00DB1648">
        <w:rPr>
          <w:lang w:val="fr-CA"/>
        </w:rPr>
        <w:t xml:space="preserve"> monoblocs et biblocs</w:t>
      </w:r>
      <w:r w:rsidR="004B1C71">
        <w:rPr>
          <w:lang w:val="fr-CA"/>
        </w:rPr>
        <w:t>,</w:t>
      </w:r>
      <w:r w:rsidRPr="00DB1648">
        <w:rPr>
          <w:lang w:val="fr-CA"/>
        </w:rPr>
        <w:t xml:space="preserve"> entrepôts frigo</w:t>
      </w:r>
      <w:r w:rsidR="006F389A" w:rsidRPr="00DB1648">
        <w:rPr>
          <w:lang w:val="fr-CA"/>
        </w:rPr>
        <w:t>rifiques</w:t>
      </w:r>
      <w:r w:rsidRPr="00DB1648">
        <w:rPr>
          <w:lang w:val="fr-CA"/>
        </w:rPr>
        <w:t xml:space="preserve"> commerciaux, refroidisseurs, climatiseurs et pompes à chaleur), comme indiqué dans le tableau 2.</w:t>
      </w:r>
      <w:r w:rsidR="006F389A" w:rsidRPr="00DB1648">
        <w:rPr>
          <w:lang w:val="fr-CA"/>
        </w:rPr>
        <w:t xml:space="preserve"> Le HCFC-22 représente 9 pour cent des frigorigènes utilisés, suivi du R-404A (46 pour cent), du R-410A (33 pour cent) et du HFC-134a (12 pour cent).</w:t>
      </w:r>
    </w:p>
    <w:p w14:paraId="4F4264CE" w14:textId="69E1F0FA" w:rsidR="00EB31E3" w:rsidRPr="00DB1648" w:rsidRDefault="00EB31E3" w:rsidP="00A0418C">
      <w:pPr>
        <w:suppressAutoHyphens/>
        <w:outlineLvl w:val="0"/>
        <w:rPr>
          <w:b/>
          <w:lang w:val="fr-CA"/>
        </w:rPr>
      </w:pPr>
      <w:r w:rsidRPr="00DB1648">
        <w:rPr>
          <w:b/>
          <w:lang w:val="fr-CA"/>
        </w:rPr>
        <w:lastRenderedPageBreak/>
        <w:t>Table</w:t>
      </w:r>
      <w:r w:rsidR="006F389A" w:rsidRPr="00DB1648">
        <w:rPr>
          <w:b/>
          <w:lang w:val="fr-CA"/>
        </w:rPr>
        <w:t>au</w:t>
      </w:r>
      <w:r w:rsidRPr="00DB1648">
        <w:rPr>
          <w:b/>
          <w:lang w:val="fr-CA"/>
        </w:rPr>
        <w:t xml:space="preserve"> 2. </w:t>
      </w:r>
      <w:r w:rsidR="006F389A" w:rsidRPr="00DB1648">
        <w:rPr>
          <w:b/>
          <w:lang w:val="fr-CA"/>
        </w:rPr>
        <w:t>Répartition sectorielle du HCFC-22 à Cabo Verde en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554"/>
        <w:gridCol w:w="1171"/>
        <w:gridCol w:w="1079"/>
        <w:gridCol w:w="1025"/>
        <w:gridCol w:w="1311"/>
      </w:tblGrid>
      <w:tr w:rsidR="00766221" w:rsidRPr="00DB1648" w14:paraId="3D5AEE84" w14:textId="77777777" w:rsidTr="00A22709">
        <w:trPr>
          <w:cantSplit/>
          <w:tblHeader/>
        </w:trPr>
        <w:tc>
          <w:tcPr>
            <w:tcW w:w="1717" w:type="pct"/>
            <w:shd w:val="clear" w:color="auto" w:fill="auto"/>
            <w:vAlign w:val="center"/>
            <w:hideMark/>
          </w:tcPr>
          <w:p w14:paraId="41220F99" w14:textId="412D91D8" w:rsidR="00766221" w:rsidRPr="00DB1648" w:rsidRDefault="006F389A" w:rsidP="00A0418C">
            <w:pPr>
              <w:suppressAutoHyphens/>
              <w:jc w:val="left"/>
              <w:rPr>
                <w:b/>
                <w:sz w:val="20"/>
                <w:lang w:val="fr-CA"/>
              </w:rPr>
            </w:pPr>
            <w:r w:rsidRPr="00DB1648">
              <w:rPr>
                <w:b/>
                <w:sz w:val="20"/>
                <w:lang w:val="fr-CA"/>
              </w:rPr>
              <w:t>Secteur/application</w:t>
            </w:r>
          </w:p>
        </w:tc>
        <w:tc>
          <w:tcPr>
            <w:tcW w:w="831" w:type="pct"/>
            <w:shd w:val="clear" w:color="auto" w:fill="auto"/>
            <w:tcMar>
              <w:left w:w="0" w:type="dxa"/>
              <w:right w:w="0" w:type="dxa"/>
            </w:tcMar>
            <w:vAlign w:val="center"/>
            <w:hideMark/>
          </w:tcPr>
          <w:p w14:paraId="52BD357A" w14:textId="6DC95C3C" w:rsidR="00766221" w:rsidRPr="00DB1648" w:rsidRDefault="006F389A" w:rsidP="006F389A">
            <w:pPr>
              <w:suppressAutoHyphens/>
              <w:jc w:val="center"/>
              <w:rPr>
                <w:b/>
                <w:sz w:val="20"/>
                <w:szCs w:val="20"/>
                <w:lang w:val="fr-CA"/>
              </w:rPr>
            </w:pPr>
            <w:r w:rsidRPr="00DB1648">
              <w:rPr>
                <w:b/>
                <w:sz w:val="20"/>
                <w:szCs w:val="20"/>
                <w:lang w:val="fr-CA"/>
              </w:rPr>
              <w:t>Équipement (</w:t>
            </w:r>
            <w:r w:rsidRPr="00A22709">
              <w:rPr>
                <w:b/>
                <w:sz w:val="20"/>
                <w:szCs w:val="20"/>
                <w:lang w:val="fr-CA"/>
              </w:rPr>
              <w:t>n</w:t>
            </w:r>
            <w:r w:rsidRPr="00DB1648">
              <w:rPr>
                <w:b/>
                <w:sz w:val="20"/>
                <w:szCs w:val="20"/>
                <w:vertAlign w:val="superscript"/>
                <w:lang w:val="fr-CA"/>
              </w:rPr>
              <w:t>bre</w:t>
            </w:r>
            <w:r w:rsidR="00A22709">
              <w:rPr>
                <w:b/>
                <w:sz w:val="20"/>
                <w:szCs w:val="20"/>
                <w:vertAlign w:val="superscript"/>
                <w:lang w:val="fr-CA"/>
              </w:rPr>
              <w:t> </w:t>
            </w:r>
            <w:r w:rsidRPr="00DB1648">
              <w:rPr>
                <w:b/>
                <w:sz w:val="20"/>
                <w:szCs w:val="20"/>
                <w:lang w:val="fr-CA"/>
              </w:rPr>
              <w:t>d’appareils)</w:t>
            </w:r>
          </w:p>
        </w:tc>
        <w:tc>
          <w:tcPr>
            <w:tcW w:w="626" w:type="pct"/>
            <w:tcMar>
              <w:left w:w="0" w:type="dxa"/>
              <w:right w:w="0" w:type="dxa"/>
            </w:tcMar>
            <w:vAlign w:val="center"/>
          </w:tcPr>
          <w:p w14:paraId="3FB95B71" w14:textId="6ED487D9" w:rsidR="00766221" w:rsidRPr="00DB1648" w:rsidRDefault="006F389A" w:rsidP="00A0418C">
            <w:pPr>
              <w:suppressAutoHyphens/>
              <w:jc w:val="center"/>
              <w:rPr>
                <w:b/>
                <w:sz w:val="20"/>
                <w:szCs w:val="20"/>
                <w:lang w:val="fr-CA"/>
              </w:rPr>
            </w:pPr>
            <w:r w:rsidRPr="00DB1648">
              <w:rPr>
                <w:b/>
                <w:sz w:val="20"/>
                <w:szCs w:val="20"/>
                <w:lang w:val="fr-CA"/>
              </w:rPr>
              <w:t>Charge moyenne (kg)</w:t>
            </w:r>
          </w:p>
        </w:tc>
        <w:tc>
          <w:tcPr>
            <w:tcW w:w="577" w:type="pct"/>
            <w:shd w:val="clear" w:color="auto" w:fill="auto"/>
            <w:tcMar>
              <w:left w:w="0" w:type="dxa"/>
              <w:right w:w="0" w:type="dxa"/>
            </w:tcMar>
            <w:vAlign w:val="center"/>
          </w:tcPr>
          <w:p w14:paraId="44F5DAE3" w14:textId="0A448CF6" w:rsidR="00766221" w:rsidRPr="00DB1648" w:rsidRDefault="006F389A" w:rsidP="00A0418C">
            <w:pPr>
              <w:suppressAutoHyphens/>
              <w:jc w:val="center"/>
              <w:rPr>
                <w:b/>
                <w:sz w:val="20"/>
                <w:szCs w:val="20"/>
                <w:lang w:val="fr-CA"/>
              </w:rPr>
            </w:pPr>
            <w:r w:rsidRPr="00DB1648">
              <w:rPr>
                <w:b/>
                <w:sz w:val="20"/>
                <w:szCs w:val="20"/>
                <w:lang w:val="fr-CA"/>
              </w:rPr>
              <w:t>Charge totale (tm)</w:t>
            </w:r>
          </w:p>
        </w:tc>
        <w:tc>
          <w:tcPr>
            <w:tcW w:w="548" w:type="pct"/>
            <w:vAlign w:val="center"/>
          </w:tcPr>
          <w:p w14:paraId="548AD136" w14:textId="2BDB251B" w:rsidR="00766221" w:rsidRPr="00DB1648" w:rsidRDefault="006F389A" w:rsidP="00A0418C">
            <w:pPr>
              <w:suppressAutoHyphens/>
              <w:jc w:val="center"/>
              <w:rPr>
                <w:b/>
                <w:sz w:val="20"/>
                <w:szCs w:val="20"/>
                <w:lang w:val="fr-CA"/>
              </w:rPr>
            </w:pPr>
            <w:r w:rsidRPr="00DB1648">
              <w:rPr>
                <w:b/>
                <w:sz w:val="20"/>
                <w:szCs w:val="20"/>
                <w:lang w:val="fr-CA"/>
              </w:rPr>
              <w:t>Taux de fuite (%)</w:t>
            </w:r>
          </w:p>
        </w:tc>
        <w:tc>
          <w:tcPr>
            <w:tcW w:w="701" w:type="pct"/>
            <w:tcMar>
              <w:left w:w="0" w:type="dxa"/>
              <w:right w:w="0" w:type="dxa"/>
            </w:tcMar>
            <w:vAlign w:val="center"/>
          </w:tcPr>
          <w:p w14:paraId="26DB1254" w14:textId="2457E598" w:rsidR="00766221" w:rsidRPr="00DB1648" w:rsidRDefault="006F389A" w:rsidP="00A0418C">
            <w:pPr>
              <w:suppressAutoHyphens/>
              <w:jc w:val="center"/>
              <w:rPr>
                <w:b/>
                <w:sz w:val="20"/>
                <w:szCs w:val="20"/>
                <w:lang w:val="fr-CA"/>
              </w:rPr>
            </w:pPr>
            <w:r w:rsidRPr="00DB1648">
              <w:rPr>
                <w:b/>
                <w:sz w:val="20"/>
                <w:szCs w:val="20"/>
                <w:lang w:val="fr-CA"/>
              </w:rPr>
              <w:t>Consommation (tm)</w:t>
            </w:r>
          </w:p>
        </w:tc>
      </w:tr>
      <w:tr w:rsidR="00766221" w:rsidRPr="00DB1648" w14:paraId="3397D2BB" w14:textId="77777777" w:rsidTr="00A22709">
        <w:trPr>
          <w:cantSplit/>
        </w:trPr>
        <w:tc>
          <w:tcPr>
            <w:tcW w:w="1717" w:type="pct"/>
            <w:shd w:val="clear" w:color="auto" w:fill="auto"/>
            <w:hideMark/>
          </w:tcPr>
          <w:p w14:paraId="647D1B29" w14:textId="6910435E" w:rsidR="00766221" w:rsidRPr="00DB1648" w:rsidRDefault="00D72417" w:rsidP="00A22709">
            <w:pPr>
              <w:suppressAutoHyphens/>
              <w:jc w:val="left"/>
              <w:rPr>
                <w:sz w:val="20"/>
                <w:lang w:val="fr-CA"/>
              </w:rPr>
            </w:pPr>
            <w:r w:rsidRPr="00DB1648">
              <w:rPr>
                <w:sz w:val="20"/>
                <w:lang w:val="fr-CA"/>
              </w:rPr>
              <w:t>Climatiseurs individuels (monoblocs, biblocs)</w:t>
            </w:r>
          </w:p>
        </w:tc>
        <w:tc>
          <w:tcPr>
            <w:tcW w:w="831" w:type="pct"/>
            <w:shd w:val="clear" w:color="auto" w:fill="auto"/>
            <w:tcMar>
              <w:left w:w="115" w:type="dxa"/>
              <w:right w:w="216" w:type="dxa"/>
            </w:tcMar>
            <w:vAlign w:val="center"/>
          </w:tcPr>
          <w:p w14:paraId="2E87F29A" w14:textId="354536EB" w:rsidR="00766221" w:rsidRPr="00DB1648" w:rsidRDefault="00766221" w:rsidP="00F312EE">
            <w:pPr>
              <w:suppressAutoHyphens/>
              <w:jc w:val="right"/>
              <w:rPr>
                <w:sz w:val="20"/>
                <w:szCs w:val="20"/>
                <w:lang w:val="fr-CA"/>
              </w:rPr>
            </w:pPr>
            <w:r w:rsidRPr="00DB1648">
              <w:rPr>
                <w:sz w:val="20"/>
                <w:szCs w:val="20"/>
                <w:lang w:val="fr-CA"/>
              </w:rPr>
              <w:t>3</w:t>
            </w:r>
            <w:r w:rsidR="00D72417" w:rsidRPr="00DB1648">
              <w:rPr>
                <w:sz w:val="20"/>
                <w:szCs w:val="20"/>
                <w:lang w:val="fr-CA"/>
              </w:rPr>
              <w:t xml:space="preserve"> </w:t>
            </w:r>
            <w:r w:rsidRPr="00DB1648">
              <w:rPr>
                <w:sz w:val="20"/>
                <w:szCs w:val="20"/>
                <w:lang w:val="fr-CA"/>
              </w:rPr>
              <w:t>000</w:t>
            </w:r>
          </w:p>
        </w:tc>
        <w:tc>
          <w:tcPr>
            <w:tcW w:w="626" w:type="pct"/>
            <w:tcMar>
              <w:left w:w="115" w:type="dxa"/>
              <w:right w:w="216" w:type="dxa"/>
            </w:tcMar>
            <w:vAlign w:val="center"/>
          </w:tcPr>
          <w:p w14:paraId="3072B757" w14:textId="031C2BEF" w:rsidR="00766221" w:rsidRPr="00DB1648" w:rsidRDefault="00766221" w:rsidP="00A0418C">
            <w:pPr>
              <w:suppressAutoHyphens/>
              <w:jc w:val="right"/>
              <w:rPr>
                <w:sz w:val="20"/>
                <w:szCs w:val="20"/>
                <w:lang w:val="fr-CA"/>
              </w:rPr>
            </w:pPr>
            <w:r w:rsidRPr="00DB1648">
              <w:rPr>
                <w:sz w:val="20"/>
                <w:szCs w:val="20"/>
                <w:lang w:val="fr-CA"/>
              </w:rPr>
              <w:t>1</w:t>
            </w:r>
            <w:r w:rsidR="00D72417" w:rsidRPr="00DB1648">
              <w:rPr>
                <w:sz w:val="20"/>
                <w:szCs w:val="20"/>
                <w:lang w:val="fr-CA"/>
              </w:rPr>
              <w:t>,</w:t>
            </w:r>
            <w:r w:rsidRPr="00DB1648">
              <w:rPr>
                <w:sz w:val="20"/>
                <w:szCs w:val="20"/>
                <w:lang w:val="fr-CA"/>
              </w:rPr>
              <w:t>5</w:t>
            </w:r>
            <w:r w:rsidR="00F312EE" w:rsidRPr="00DB1648">
              <w:rPr>
                <w:sz w:val="20"/>
                <w:szCs w:val="20"/>
                <w:lang w:val="fr-CA"/>
              </w:rPr>
              <w:t>0</w:t>
            </w:r>
          </w:p>
        </w:tc>
        <w:tc>
          <w:tcPr>
            <w:tcW w:w="577" w:type="pct"/>
            <w:tcMar>
              <w:left w:w="115" w:type="dxa"/>
              <w:right w:w="216" w:type="dxa"/>
            </w:tcMar>
            <w:vAlign w:val="center"/>
          </w:tcPr>
          <w:p w14:paraId="3BF063B1" w14:textId="03C7F4A6" w:rsidR="00766221" w:rsidRPr="00DB1648" w:rsidRDefault="00766221" w:rsidP="00A0418C">
            <w:pPr>
              <w:suppressAutoHyphens/>
              <w:jc w:val="right"/>
              <w:rPr>
                <w:sz w:val="20"/>
                <w:szCs w:val="20"/>
                <w:lang w:val="fr-CA"/>
              </w:rPr>
            </w:pPr>
            <w:r w:rsidRPr="00DB1648">
              <w:rPr>
                <w:sz w:val="20"/>
                <w:szCs w:val="20"/>
                <w:lang w:val="fr-CA"/>
              </w:rPr>
              <w:t>4</w:t>
            </w:r>
            <w:r w:rsidR="00D72417" w:rsidRPr="00DB1648">
              <w:rPr>
                <w:sz w:val="20"/>
                <w:szCs w:val="20"/>
                <w:lang w:val="fr-CA"/>
              </w:rPr>
              <w:t>,</w:t>
            </w:r>
            <w:r w:rsidRPr="00DB1648">
              <w:rPr>
                <w:sz w:val="20"/>
                <w:szCs w:val="20"/>
                <w:lang w:val="fr-CA"/>
              </w:rPr>
              <w:t>5</w:t>
            </w:r>
            <w:r w:rsidR="00F312EE" w:rsidRPr="00DB1648">
              <w:rPr>
                <w:sz w:val="20"/>
                <w:szCs w:val="20"/>
                <w:lang w:val="fr-CA"/>
              </w:rPr>
              <w:t>0</w:t>
            </w:r>
          </w:p>
        </w:tc>
        <w:tc>
          <w:tcPr>
            <w:tcW w:w="548" w:type="pct"/>
            <w:vAlign w:val="center"/>
          </w:tcPr>
          <w:p w14:paraId="5B2C9044" w14:textId="64EA1141" w:rsidR="00766221" w:rsidRPr="00DB1648" w:rsidRDefault="00766221" w:rsidP="00A0418C">
            <w:pPr>
              <w:suppressAutoHyphens/>
              <w:jc w:val="right"/>
              <w:rPr>
                <w:sz w:val="20"/>
                <w:szCs w:val="20"/>
                <w:lang w:val="fr-CA"/>
              </w:rPr>
            </w:pPr>
            <w:r w:rsidRPr="00DB1648">
              <w:rPr>
                <w:sz w:val="20"/>
                <w:szCs w:val="20"/>
                <w:lang w:val="fr-CA"/>
              </w:rPr>
              <w:t>5</w:t>
            </w:r>
          </w:p>
        </w:tc>
        <w:tc>
          <w:tcPr>
            <w:tcW w:w="701" w:type="pct"/>
            <w:tcMar>
              <w:left w:w="115" w:type="dxa"/>
              <w:right w:w="216" w:type="dxa"/>
            </w:tcMar>
            <w:vAlign w:val="center"/>
          </w:tcPr>
          <w:p w14:paraId="102D4409" w14:textId="2CDD1B51" w:rsidR="00766221" w:rsidRPr="00DB1648" w:rsidRDefault="00766221" w:rsidP="00A0418C">
            <w:pPr>
              <w:suppressAutoHyphens/>
              <w:jc w:val="right"/>
              <w:rPr>
                <w:sz w:val="20"/>
                <w:szCs w:val="20"/>
                <w:lang w:val="fr-CA"/>
              </w:rPr>
            </w:pPr>
            <w:r w:rsidRPr="00DB1648">
              <w:rPr>
                <w:sz w:val="20"/>
                <w:szCs w:val="20"/>
                <w:lang w:val="fr-CA"/>
              </w:rPr>
              <w:t>0</w:t>
            </w:r>
            <w:r w:rsidR="00D72417" w:rsidRPr="00DB1648">
              <w:rPr>
                <w:sz w:val="20"/>
                <w:szCs w:val="20"/>
                <w:lang w:val="fr-CA"/>
              </w:rPr>
              <w:t>,</w:t>
            </w:r>
            <w:r w:rsidRPr="00DB1648">
              <w:rPr>
                <w:sz w:val="20"/>
                <w:szCs w:val="20"/>
                <w:lang w:val="fr-CA"/>
              </w:rPr>
              <w:t>225</w:t>
            </w:r>
          </w:p>
        </w:tc>
      </w:tr>
      <w:tr w:rsidR="00766221" w:rsidRPr="00DB1648" w14:paraId="3CEF2FF8" w14:textId="77777777" w:rsidTr="00A22709">
        <w:trPr>
          <w:cantSplit/>
        </w:trPr>
        <w:tc>
          <w:tcPr>
            <w:tcW w:w="1717" w:type="pct"/>
            <w:shd w:val="clear" w:color="auto" w:fill="auto"/>
            <w:hideMark/>
          </w:tcPr>
          <w:p w14:paraId="627C1205" w14:textId="75E1DCB8" w:rsidR="00766221" w:rsidRPr="00DB1648" w:rsidRDefault="00D72417" w:rsidP="00A22709">
            <w:pPr>
              <w:suppressAutoHyphens/>
              <w:jc w:val="left"/>
              <w:rPr>
                <w:sz w:val="20"/>
                <w:lang w:val="fr-CA"/>
              </w:rPr>
            </w:pPr>
            <w:r w:rsidRPr="00DB1648">
              <w:rPr>
                <w:sz w:val="20"/>
                <w:lang w:val="fr-CA"/>
              </w:rPr>
              <w:t>Climatisation commerciale (de toit, plusieurs biblocs, refroidisseurs)</w:t>
            </w:r>
          </w:p>
        </w:tc>
        <w:tc>
          <w:tcPr>
            <w:tcW w:w="831" w:type="pct"/>
            <w:shd w:val="clear" w:color="auto" w:fill="auto"/>
            <w:tcMar>
              <w:left w:w="115" w:type="dxa"/>
              <w:right w:w="216" w:type="dxa"/>
            </w:tcMar>
            <w:vAlign w:val="center"/>
          </w:tcPr>
          <w:p w14:paraId="4CCC2B99" w14:textId="6675CE76" w:rsidR="00766221" w:rsidRPr="00DB1648" w:rsidRDefault="00766221" w:rsidP="00A0418C">
            <w:pPr>
              <w:suppressAutoHyphens/>
              <w:jc w:val="right"/>
              <w:rPr>
                <w:sz w:val="20"/>
                <w:szCs w:val="20"/>
                <w:lang w:val="fr-CA"/>
              </w:rPr>
            </w:pPr>
            <w:r w:rsidRPr="00DB1648">
              <w:rPr>
                <w:sz w:val="20"/>
                <w:szCs w:val="20"/>
                <w:lang w:val="fr-CA"/>
              </w:rPr>
              <w:t>500</w:t>
            </w:r>
          </w:p>
        </w:tc>
        <w:tc>
          <w:tcPr>
            <w:tcW w:w="626" w:type="pct"/>
            <w:tcMar>
              <w:left w:w="115" w:type="dxa"/>
              <w:right w:w="216" w:type="dxa"/>
            </w:tcMar>
            <w:vAlign w:val="center"/>
          </w:tcPr>
          <w:p w14:paraId="4FB167FE" w14:textId="3FF25009" w:rsidR="00766221" w:rsidRPr="00DB1648" w:rsidRDefault="00766221" w:rsidP="00A0418C">
            <w:pPr>
              <w:suppressAutoHyphens/>
              <w:jc w:val="right"/>
              <w:rPr>
                <w:sz w:val="20"/>
                <w:szCs w:val="20"/>
                <w:lang w:val="fr-CA"/>
              </w:rPr>
            </w:pPr>
            <w:r w:rsidRPr="00DB1648">
              <w:rPr>
                <w:sz w:val="20"/>
                <w:szCs w:val="20"/>
                <w:lang w:val="fr-CA"/>
              </w:rPr>
              <w:t>6</w:t>
            </w:r>
            <w:r w:rsidR="00D72417" w:rsidRPr="00DB1648">
              <w:rPr>
                <w:sz w:val="20"/>
                <w:szCs w:val="20"/>
                <w:lang w:val="fr-CA"/>
              </w:rPr>
              <w:t>,</w:t>
            </w:r>
            <w:r w:rsidRPr="00DB1648">
              <w:rPr>
                <w:sz w:val="20"/>
                <w:szCs w:val="20"/>
                <w:lang w:val="fr-CA"/>
              </w:rPr>
              <w:t>5</w:t>
            </w:r>
            <w:r w:rsidR="00F312EE" w:rsidRPr="00DB1648">
              <w:rPr>
                <w:sz w:val="20"/>
                <w:szCs w:val="20"/>
                <w:lang w:val="fr-CA"/>
              </w:rPr>
              <w:t>0</w:t>
            </w:r>
          </w:p>
        </w:tc>
        <w:tc>
          <w:tcPr>
            <w:tcW w:w="577" w:type="pct"/>
            <w:tcMar>
              <w:left w:w="115" w:type="dxa"/>
              <w:right w:w="216" w:type="dxa"/>
            </w:tcMar>
            <w:vAlign w:val="center"/>
          </w:tcPr>
          <w:p w14:paraId="63EF6C30" w14:textId="567B0B11" w:rsidR="00766221" w:rsidRPr="00DB1648" w:rsidRDefault="00766221" w:rsidP="00A0418C">
            <w:pPr>
              <w:suppressAutoHyphens/>
              <w:jc w:val="right"/>
              <w:rPr>
                <w:sz w:val="20"/>
                <w:szCs w:val="20"/>
                <w:lang w:val="fr-CA"/>
              </w:rPr>
            </w:pPr>
            <w:r w:rsidRPr="00DB1648">
              <w:rPr>
                <w:sz w:val="20"/>
                <w:szCs w:val="20"/>
                <w:lang w:val="fr-CA"/>
              </w:rPr>
              <w:t>3</w:t>
            </w:r>
            <w:r w:rsidR="00D72417" w:rsidRPr="00DB1648">
              <w:rPr>
                <w:sz w:val="20"/>
                <w:szCs w:val="20"/>
                <w:lang w:val="fr-CA"/>
              </w:rPr>
              <w:t>,</w:t>
            </w:r>
            <w:r w:rsidRPr="00DB1648">
              <w:rPr>
                <w:sz w:val="20"/>
                <w:szCs w:val="20"/>
                <w:lang w:val="fr-CA"/>
              </w:rPr>
              <w:t>25</w:t>
            </w:r>
          </w:p>
        </w:tc>
        <w:tc>
          <w:tcPr>
            <w:tcW w:w="548" w:type="pct"/>
            <w:vAlign w:val="center"/>
          </w:tcPr>
          <w:p w14:paraId="4EC164B2" w14:textId="00C4E745" w:rsidR="00766221" w:rsidRPr="00DB1648" w:rsidRDefault="00766221" w:rsidP="00A0418C">
            <w:pPr>
              <w:suppressAutoHyphens/>
              <w:jc w:val="right"/>
              <w:rPr>
                <w:sz w:val="20"/>
                <w:szCs w:val="20"/>
                <w:lang w:val="fr-CA"/>
              </w:rPr>
            </w:pPr>
            <w:r w:rsidRPr="00DB1648">
              <w:rPr>
                <w:sz w:val="20"/>
                <w:szCs w:val="20"/>
                <w:lang w:val="fr-CA"/>
              </w:rPr>
              <w:t>10</w:t>
            </w:r>
          </w:p>
        </w:tc>
        <w:tc>
          <w:tcPr>
            <w:tcW w:w="701" w:type="pct"/>
            <w:tcMar>
              <w:left w:w="115" w:type="dxa"/>
              <w:right w:w="216" w:type="dxa"/>
            </w:tcMar>
            <w:vAlign w:val="center"/>
          </w:tcPr>
          <w:p w14:paraId="7316635F" w14:textId="2AD7A3E3" w:rsidR="00766221" w:rsidRPr="00DB1648" w:rsidRDefault="00766221" w:rsidP="00A0418C">
            <w:pPr>
              <w:suppressAutoHyphens/>
              <w:jc w:val="right"/>
              <w:rPr>
                <w:sz w:val="20"/>
                <w:szCs w:val="20"/>
                <w:lang w:val="fr-CA"/>
              </w:rPr>
            </w:pPr>
            <w:r w:rsidRPr="00DB1648">
              <w:rPr>
                <w:sz w:val="20"/>
                <w:szCs w:val="20"/>
                <w:lang w:val="fr-CA"/>
              </w:rPr>
              <w:t>0</w:t>
            </w:r>
            <w:r w:rsidR="00D72417" w:rsidRPr="00DB1648">
              <w:rPr>
                <w:sz w:val="20"/>
                <w:szCs w:val="20"/>
                <w:lang w:val="fr-CA"/>
              </w:rPr>
              <w:t>,</w:t>
            </w:r>
            <w:r w:rsidRPr="00DB1648">
              <w:rPr>
                <w:sz w:val="20"/>
                <w:szCs w:val="20"/>
                <w:lang w:val="fr-CA"/>
              </w:rPr>
              <w:t>325</w:t>
            </w:r>
          </w:p>
        </w:tc>
      </w:tr>
      <w:tr w:rsidR="00766221" w:rsidRPr="00DB1648" w14:paraId="699F804C" w14:textId="77777777" w:rsidTr="00A22709">
        <w:trPr>
          <w:cantSplit/>
        </w:trPr>
        <w:tc>
          <w:tcPr>
            <w:tcW w:w="1717" w:type="pct"/>
            <w:shd w:val="clear" w:color="auto" w:fill="auto"/>
            <w:hideMark/>
          </w:tcPr>
          <w:p w14:paraId="3F100BB2" w14:textId="164A6BFA" w:rsidR="00766221" w:rsidRPr="00DB1648" w:rsidRDefault="00D72417" w:rsidP="00A22709">
            <w:pPr>
              <w:suppressAutoHyphens/>
              <w:jc w:val="left"/>
              <w:rPr>
                <w:sz w:val="20"/>
                <w:lang w:val="fr-CA"/>
              </w:rPr>
            </w:pPr>
            <w:r w:rsidRPr="00DB1648">
              <w:rPr>
                <w:sz w:val="20"/>
                <w:lang w:val="fr-CA"/>
              </w:rPr>
              <w:t>Réfrigération commerciale (condensateurs moyens)</w:t>
            </w:r>
          </w:p>
        </w:tc>
        <w:tc>
          <w:tcPr>
            <w:tcW w:w="831" w:type="pct"/>
            <w:shd w:val="clear" w:color="auto" w:fill="auto"/>
            <w:tcMar>
              <w:left w:w="115" w:type="dxa"/>
              <w:right w:w="216" w:type="dxa"/>
            </w:tcMar>
            <w:vAlign w:val="center"/>
          </w:tcPr>
          <w:p w14:paraId="659D73E5" w14:textId="7E2435A9" w:rsidR="00766221" w:rsidRPr="00DB1648" w:rsidRDefault="00766221" w:rsidP="00A0418C">
            <w:pPr>
              <w:suppressAutoHyphens/>
              <w:jc w:val="right"/>
              <w:rPr>
                <w:sz w:val="20"/>
                <w:szCs w:val="20"/>
                <w:lang w:val="fr-CA"/>
              </w:rPr>
            </w:pPr>
            <w:r w:rsidRPr="00DB1648">
              <w:rPr>
                <w:sz w:val="20"/>
                <w:szCs w:val="20"/>
                <w:lang w:val="fr-CA"/>
              </w:rPr>
              <w:t>400</w:t>
            </w:r>
          </w:p>
        </w:tc>
        <w:tc>
          <w:tcPr>
            <w:tcW w:w="626" w:type="pct"/>
            <w:tcMar>
              <w:left w:w="115" w:type="dxa"/>
              <w:right w:w="216" w:type="dxa"/>
            </w:tcMar>
            <w:vAlign w:val="center"/>
          </w:tcPr>
          <w:p w14:paraId="6473F5ED" w14:textId="60778883" w:rsidR="00766221" w:rsidRPr="00DB1648" w:rsidRDefault="00766221" w:rsidP="00A0418C">
            <w:pPr>
              <w:suppressAutoHyphens/>
              <w:jc w:val="right"/>
              <w:rPr>
                <w:sz w:val="20"/>
                <w:szCs w:val="20"/>
                <w:lang w:val="fr-CA"/>
              </w:rPr>
            </w:pPr>
            <w:r w:rsidRPr="00DB1648">
              <w:rPr>
                <w:sz w:val="20"/>
                <w:szCs w:val="20"/>
                <w:lang w:val="fr-CA"/>
              </w:rPr>
              <w:t>2</w:t>
            </w:r>
            <w:r w:rsidR="00D72417" w:rsidRPr="00DB1648">
              <w:rPr>
                <w:sz w:val="20"/>
                <w:szCs w:val="20"/>
                <w:lang w:val="fr-CA"/>
              </w:rPr>
              <w:t>,</w:t>
            </w:r>
            <w:r w:rsidRPr="00DB1648">
              <w:rPr>
                <w:sz w:val="20"/>
                <w:szCs w:val="20"/>
                <w:lang w:val="fr-CA"/>
              </w:rPr>
              <w:t>5</w:t>
            </w:r>
            <w:r w:rsidR="00F312EE" w:rsidRPr="00DB1648">
              <w:rPr>
                <w:sz w:val="20"/>
                <w:szCs w:val="20"/>
                <w:lang w:val="fr-CA"/>
              </w:rPr>
              <w:t>0</w:t>
            </w:r>
          </w:p>
        </w:tc>
        <w:tc>
          <w:tcPr>
            <w:tcW w:w="577" w:type="pct"/>
            <w:tcMar>
              <w:left w:w="115" w:type="dxa"/>
              <w:right w:w="216" w:type="dxa"/>
            </w:tcMar>
            <w:vAlign w:val="center"/>
          </w:tcPr>
          <w:p w14:paraId="4FAE67DA" w14:textId="3E3CBB52" w:rsidR="00766221" w:rsidRPr="00DB1648" w:rsidRDefault="00766221" w:rsidP="00A0418C">
            <w:pPr>
              <w:suppressAutoHyphens/>
              <w:jc w:val="right"/>
              <w:rPr>
                <w:sz w:val="20"/>
                <w:szCs w:val="20"/>
                <w:lang w:val="fr-CA"/>
              </w:rPr>
            </w:pPr>
            <w:r w:rsidRPr="00DB1648">
              <w:rPr>
                <w:sz w:val="20"/>
                <w:szCs w:val="20"/>
                <w:lang w:val="fr-CA"/>
              </w:rPr>
              <w:t>1</w:t>
            </w:r>
            <w:r w:rsidR="00D72417" w:rsidRPr="00DB1648">
              <w:rPr>
                <w:sz w:val="20"/>
                <w:szCs w:val="20"/>
                <w:lang w:val="fr-CA"/>
              </w:rPr>
              <w:t>,</w:t>
            </w:r>
            <w:r w:rsidR="00F312EE" w:rsidRPr="00DB1648">
              <w:rPr>
                <w:sz w:val="20"/>
                <w:szCs w:val="20"/>
                <w:lang w:val="fr-CA"/>
              </w:rPr>
              <w:t>00</w:t>
            </w:r>
          </w:p>
        </w:tc>
        <w:tc>
          <w:tcPr>
            <w:tcW w:w="548" w:type="pct"/>
            <w:vAlign w:val="center"/>
          </w:tcPr>
          <w:p w14:paraId="10644905" w14:textId="60518D29" w:rsidR="00766221" w:rsidRPr="00DB1648" w:rsidRDefault="00766221" w:rsidP="00A0418C">
            <w:pPr>
              <w:suppressAutoHyphens/>
              <w:jc w:val="right"/>
              <w:rPr>
                <w:sz w:val="20"/>
                <w:szCs w:val="20"/>
                <w:lang w:val="fr-CA"/>
              </w:rPr>
            </w:pPr>
            <w:r w:rsidRPr="00DB1648">
              <w:rPr>
                <w:sz w:val="20"/>
                <w:szCs w:val="20"/>
                <w:lang w:val="fr-CA"/>
              </w:rPr>
              <w:t>10</w:t>
            </w:r>
          </w:p>
        </w:tc>
        <w:tc>
          <w:tcPr>
            <w:tcW w:w="701" w:type="pct"/>
            <w:tcMar>
              <w:left w:w="115" w:type="dxa"/>
              <w:right w:w="216" w:type="dxa"/>
            </w:tcMar>
            <w:vAlign w:val="center"/>
          </w:tcPr>
          <w:p w14:paraId="70D2FF78" w14:textId="68AC2B58" w:rsidR="00766221" w:rsidRPr="00DB1648" w:rsidRDefault="00766221" w:rsidP="00A0418C">
            <w:pPr>
              <w:suppressAutoHyphens/>
              <w:jc w:val="right"/>
              <w:rPr>
                <w:sz w:val="20"/>
                <w:szCs w:val="20"/>
                <w:lang w:val="fr-CA"/>
              </w:rPr>
            </w:pPr>
            <w:r w:rsidRPr="00DB1648">
              <w:rPr>
                <w:sz w:val="20"/>
                <w:szCs w:val="20"/>
                <w:lang w:val="fr-CA"/>
              </w:rPr>
              <w:t>0</w:t>
            </w:r>
            <w:r w:rsidR="00D72417" w:rsidRPr="00DB1648">
              <w:rPr>
                <w:sz w:val="20"/>
                <w:szCs w:val="20"/>
                <w:lang w:val="fr-CA"/>
              </w:rPr>
              <w:t>,</w:t>
            </w:r>
            <w:r w:rsidRPr="00DB1648">
              <w:rPr>
                <w:sz w:val="20"/>
                <w:szCs w:val="20"/>
                <w:lang w:val="fr-CA"/>
              </w:rPr>
              <w:t>10</w:t>
            </w:r>
            <w:r w:rsidR="00253178" w:rsidRPr="00DB1648">
              <w:rPr>
                <w:sz w:val="20"/>
                <w:szCs w:val="20"/>
                <w:lang w:val="fr-CA"/>
              </w:rPr>
              <w:t>0</w:t>
            </w:r>
          </w:p>
        </w:tc>
      </w:tr>
      <w:tr w:rsidR="00766221" w:rsidRPr="00DB1648" w14:paraId="3920D3D1" w14:textId="77777777" w:rsidTr="00A22709">
        <w:trPr>
          <w:cantSplit/>
        </w:trPr>
        <w:tc>
          <w:tcPr>
            <w:tcW w:w="1717" w:type="pct"/>
            <w:shd w:val="clear" w:color="auto" w:fill="auto"/>
            <w:hideMark/>
          </w:tcPr>
          <w:p w14:paraId="021D3C97" w14:textId="77777777" w:rsidR="00766221" w:rsidRPr="00DB1648" w:rsidRDefault="00766221" w:rsidP="00A0418C">
            <w:pPr>
              <w:suppressAutoHyphens/>
              <w:jc w:val="left"/>
              <w:rPr>
                <w:b/>
                <w:sz w:val="20"/>
                <w:lang w:val="fr-CA"/>
              </w:rPr>
            </w:pPr>
            <w:r w:rsidRPr="00DB1648">
              <w:rPr>
                <w:b/>
                <w:sz w:val="20"/>
                <w:lang w:val="fr-CA"/>
              </w:rPr>
              <w:t xml:space="preserve">Total </w:t>
            </w:r>
          </w:p>
        </w:tc>
        <w:tc>
          <w:tcPr>
            <w:tcW w:w="831" w:type="pct"/>
            <w:shd w:val="clear" w:color="auto" w:fill="auto"/>
            <w:noWrap/>
            <w:tcMar>
              <w:left w:w="115" w:type="dxa"/>
              <w:right w:w="216" w:type="dxa"/>
            </w:tcMar>
          </w:tcPr>
          <w:p w14:paraId="36AA2ABF" w14:textId="5565EF5B" w:rsidR="00766221" w:rsidRPr="00DB1648" w:rsidRDefault="000D2EB5" w:rsidP="00F312EE">
            <w:pPr>
              <w:suppressAutoHyphens/>
              <w:jc w:val="right"/>
              <w:rPr>
                <w:b/>
                <w:sz w:val="20"/>
                <w:szCs w:val="20"/>
                <w:lang w:val="fr-CA"/>
              </w:rPr>
            </w:pPr>
            <w:r w:rsidRPr="00DB1648">
              <w:rPr>
                <w:sz w:val="20"/>
                <w:szCs w:val="20"/>
                <w:lang w:val="fr-CA"/>
              </w:rPr>
              <w:t>3</w:t>
            </w:r>
            <w:r w:rsidR="00D72417" w:rsidRPr="00DB1648">
              <w:rPr>
                <w:sz w:val="20"/>
                <w:szCs w:val="20"/>
                <w:lang w:val="fr-CA"/>
              </w:rPr>
              <w:t xml:space="preserve"> </w:t>
            </w:r>
            <w:r w:rsidRPr="00DB1648">
              <w:rPr>
                <w:sz w:val="20"/>
                <w:szCs w:val="20"/>
                <w:lang w:val="fr-CA"/>
              </w:rPr>
              <w:t>900</w:t>
            </w:r>
          </w:p>
        </w:tc>
        <w:tc>
          <w:tcPr>
            <w:tcW w:w="626" w:type="pct"/>
            <w:tcMar>
              <w:left w:w="115" w:type="dxa"/>
              <w:right w:w="216" w:type="dxa"/>
            </w:tcMar>
            <w:vAlign w:val="bottom"/>
          </w:tcPr>
          <w:p w14:paraId="3936BC94" w14:textId="4FA021D3" w:rsidR="00766221" w:rsidRPr="00DB1648" w:rsidRDefault="00766221" w:rsidP="00A0418C">
            <w:pPr>
              <w:suppressAutoHyphens/>
              <w:jc w:val="right"/>
              <w:rPr>
                <w:b/>
                <w:sz w:val="20"/>
                <w:szCs w:val="20"/>
                <w:lang w:val="fr-CA"/>
              </w:rPr>
            </w:pPr>
            <w:r w:rsidRPr="00DB1648">
              <w:rPr>
                <w:sz w:val="20"/>
                <w:szCs w:val="20"/>
                <w:lang w:val="fr-CA"/>
              </w:rPr>
              <w:t> </w:t>
            </w:r>
          </w:p>
        </w:tc>
        <w:tc>
          <w:tcPr>
            <w:tcW w:w="577" w:type="pct"/>
            <w:tcMar>
              <w:left w:w="115" w:type="dxa"/>
              <w:right w:w="216" w:type="dxa"/>
            </w:tcMar>
            <w:vAlign w:val="center"/>
          </w:tcPr>
          <w:p w14:paraId="03ED466C" w14:textId="2B91CD10" w:rsidR="00766221" w:rsidRPr="00DB1648" w:rsidRDefault="00766221" w:rsidP="00A0418C">
            <w:pPr>
              <w:suppressAutoHyphens/>
              <w:jc w:val="right"/>
              <w:rPr>
                <w:b/>
                <w:sz w:val="20"/>
                <w:szCs w:val="20"/>
                <w:lang w:val="fr-CA"/>
              </w:rPr>
            </w:pPr>
          </w:p>
        </w:tc>
        <w:tc>
          <w:tcPr>
            <w:tcW w:w="548" w:type="pct"/>
            <w:vAlign w:val="bottom"/>
          </w:tcPr>
          <w:p w14:paraId="7118B759" w14:textId="6FD7F853" w:rsidR="00766221" w:rsidRPr="00DB1648" w:rsidRDefault="00766221" w:rsidP="00A0418C">
            <w:pPr>
              <w:suppressAutoHyphens/>
              <w:jc w:val="right"/>
              <w:rPr>
                <w:b/>
                <w:sz w:val="20"/>
                <w:szCs w:val="20"/>
                <w:lang w:val="fr-CA"/>
              </w:rPr>
            </w:pPr>
            <w:r w:rsidRPr="00DB1648">
              <w:rPr>
                <w:sz w:val="20"/>
                <w:szCs w:val="20"/>
                <w:lang w:val="fr-CA"/>
              </w:rPr>
              <w:t> </w:t>
            </w:r>
          </w:p>
        </w:tc>
        <w:tc>
          <w:tcPr>
            <w:tcW w:w="701" w:type="pct"/>
            <w:tcMar>
              <w:left w:w="115" w:type="dxa"/>
              <w:right w:w="216" w:type="dxa"/>
            </w:tcMar>
            <w:vAlign w:val="center"/>
          </w:tcPr>
          <w:p w14:paraId="40B349BE" w14:textId="36C61B1B" w:rsidR="00766221" w:rsidRPr="00DB1648" w:rsidRDefault="00766221" w:rsidP="00A0418C">
            <w:pPr>
              <w:suppressAutoHyphens/>
              <w:jc w:val="right"/>
              <w:rPr>
                <w:b/>
                <w:sz w:val="20"/>
                <w:szCs w:val="20"/>
                <w:lang w:val="fr-CA"/>
              </w:rPr>
            </w:pPr>
            <w:r w:rsidRPr="00DB1648">
              <w:rPr>
                <w:sz w:val="20"/>
                <w:szCs w:val="20"/>
                <w:lang w:val="fr-CA"/>
              </w:rPr>
              <w:t>0</w:t>
            </w:r>
            <w:r w:rsidR="00D72417" w:rsidRPr="00DB1648">
              <w:rPr>
                <w:sz w:val="20"/>
                <w:szCs w:val="20"/>
                <w:lang w:val="fr-CA"/>
              </w:rPr>
              <w:t>,</w:t>
            </w:r>
            <w:r w:rsidRPr="00DB1648">
              <w:rPr>
                <w:sz w:val="20"/>
                <w:szCs w:val="20"/>
                <w:lang w:val="fr-CA"/>
              </w:rPr>
              <w:t>65</w:t>
            </w:r>
            <w:r w:rsidR="00253178" w:rsidRPr="00DB1648">
              <w:rPr>
                <w:sz w:val="20"/>
                <w:szCs w:val="20"/>
                <w:lang w:val="fr-CA"/>
              </w:rPr>
              <w:t>0</w:t>
            </w:r>
          </w:p>
        </w:tc>
      </w:tr>
    </w:tbl>
    <w:p w14:paraId="60E46A13" w14:textId="77777777" w:rsidR="00A22709" w:rsidRDefault="00A22709" w:rsidP="00A0418C">
      <w:pPr>
        <w:keepNext/>
        <w:suppressAutoHyphens/>
        <w:spacing w:after="240"/>
        <w:rPr>
          <w:u w:val="single"/>
          <w:lang w:val="fr-CA"/>
        </w:rPr>
      </w:pPr>
    </w:p>
    <w:p w14:paraId="0C04DC4D" w14:textId="0FB430C5" w:rsidR="00EB31E3" w:rsidRPr="00DB1648" w:rsidRDefault="00D72417" w:rsidP="00A0418C">
      <w:pPr>
        <w:keepNext/>
        <w:suppressAutoHyphens/>
        <w:spacing w:after="240"/>
        <w:rPr>
          <w:b/>
          <w:lang w:val="fr-CA"/>
        </w:rPr>
      </w:pPr>
      <w:r w:rsidRPr="00DB1648">
        <w:rPr>
          <w:u w:val="single"/>
          <w:lang w:val="fr-CA"/>
        </w:rPr>
        <w:t>Stratégie d’élimination de la phase I</w:t>
      </w:r>
      <w:r w:rsidR="00A22709">
        <w:rPr>
          <w:u w:val="single"/>
          <w:lang w:val="fr-CA"/>
        </w:rPr>
        <w:t>I</w:t>
      </w:r>
      <w:r w:rsidRPr="00DB1648">
        <w:rPr>
          <w:u w:val="single"/>
          <w:lang w:val="fr-CA"/>
        </w:rPr>
        <w:t xml:space="preserve"> du PGEH</w:t>
      </w:r>
    </w:p>
    <w:p w14:paraId="31842FF8" w14:textId="0AC8E02C" w:rsidR="00EB31E3" w:rsidRPr="00DB1648" w:rsidRDefault="00517DA3" w:rsidP="00A0418C">
      <w:pPr>
        <w:keepNext/>
        <w:numPr>
          <w:ilvl w:val="0"/>
          <w:numId w:val="1"/>
        </w:numPr>
        <w:suppressAutoHyphens/>
        <w:spacing w:after="240"/>
        <w:outlineLvl w:val="0"/>
        <w:rPr>
          <w:lang w:val="fr-CA"/>
        </w:rPr>
      </w:pPr>
      <w:r w:rsidRPr="00DB1648">
        <w:rPr>
          <w:lang w:val="fr-CA"/>
        </w:rPr>
        <w:t>La phase II du</w:t>
      </w:r>
      <w:r w:rsidR="006F17D2" w:rsidRPr="00DB1648">
        <w:rPr>
          <w:lang w:val="fr-CA"/>
        </w:rPr>
        <w:t xml:space="preserve"> </w:t>
      </w:r>
      <w:r w:rsidRPr="00DB1648">
        <w:rPr>
          <w:lang w:val="fr-CA"/>
        </w:rPr>
        <w:t>P</w:t>
      </w:r>
      <w:r w:rsidR="006F17D2" w:rsidRPr="00DB1648">
        <w:rPr>
          <w:lang w:val="fr-CA"/>
        </w:rPr>
        <w:t>G</w:t>
      </w:r>
      <w:r w:rsidRPr="00DB1648">
        <w:rPr>
          <w:lang w:val="fr-CA"/>
        </w:rPr>
        <w:t xml:space="preserve">EH a été développée à partir des expériences acquises pendant la mise en </w:t>
      </w:r>
      <w:r w:rsidR="006F17D2" w:rsidRPr="00DB1648">
        <w:rPr>
          <w:lang w:val="fr-CA"/>
        </w:rPr>
        <w:t xml:space="preserve">œuvre </w:t>
      </w:r>
      <w:r w:rsidRPr="00DB1648">
        <w:rPr>
          <w:lang w:val="fr-CA"/>
        </w:rPr>
        <w:t>de la phase précédente. Elle portera sur le renforcement du programme d’octroi de per</w:t>
      </w:r>
      <w:r w:rsidR="000E6FAF">
        <w:rPr>
          <w:lang w:val="fr-CA"/>
        </w:rPr>
        <w:t xml:space="preserve">mis et de quotas pour les HCFC; </w:t>
      </w:r>
      <w:r w:rsidRPr="00DB1648">
        <w:rPr>
          <w:lang w:val="fr-CA"/>
        </w:rPr>
        <w:t>le suivi de l’utilisation des frigorigènes par les utilisateurs finaux</w:t>
      </w:r>
      <w:r w:rsidR="000E6FAF">
        <w:rPr>
          <w:lang w:val="fr-CA"/>
        </w:rPr>
        <w:t>;</w:t>
      </w:r>
      <w:r w:rsidRPr="00DB1648">
        <w:rPr>
          <w:lang w:val="fr-CA"/>
        </w:rPr>
        <w:t xml:space="preserve"> </w:t>
      </w:r>
      <w:r w:rsidR="006F17D2" w:rsidRPr="00DB1648">
        <w:rPr>
          <w:lang w:val="fr-CA"/>
        </w:rPr>
        <w:t xml:space="preserve">l’élaboration et la mise en place d’instruments légaux en lien avec l’interdiction de vidanger avec des HCFC et </w:t>
      </w:r>
      <w:r w:rsidR="00A22709">
        <w:rPr>
          <w:lang w:val="fr-CA"/>
        </w:rPr>
        <w:t>d’importer de</w:t>
      </w:r>
      <w:r w:rsidR="006F17D2" w:rsidRPr="00DB1648">
        <w:rPr>
          <w:lang w:val="fr-CA"/>
        </w:rPr>
        <w:t xml:space="preserve"> </w:t>
      </w:r>
      <w:r w:rsidR="00A22709">
        <w:rPr>
          <w:lang w:val="fr-CA"/>
        </w:rPr>
        <w:t>l</w:t>
      </w:r>
      <w:r w:rsidR="000E6FAF">
        <w:rPr>
          <w:lang w:val="fr-CA"/>
        </w:rPr>
        <w:t>’équipement à base de HCFC;</w:t>
      </w:r>
      <w:r w:rsidR="006F17D2" w:rsidRPr="00DB1648">
        <w:rPr>
          <w:lang w:val="fr-CA"/>
        </w:rPr>
        <w:t xml:space="preserve"> le renforcement </w:t>
      </w:r>
      <w:r w:rsidR="000E6FAF">
        <w:rPr>
          <w:lang w:val="fr-CA"/>
        </w:rPr>
        <w:t>accru</w:t>
      </w:r>
      <w:r w:rsidR="006F17D2" w:rsidRPr="00DB1648">
        <w:rPr>
          <w:lang w:val="fr-CA"/>
        </w:rPr>
        <w:t xml:space="preserve"> de la capacité des douaniers et des </w:t>
      </w:r>
      <w:r w:rsidR="000E6FAF">
        <w:rPr>
          <w:lang w:val="fr-CA"/>
        </w:rPr>
        <w:t>autres agents d’exécution;</w:t>
      </w:r>
      <w:r w:rsidR="006F17D2" w:rsidRPr="00DB1648">
        <w:rPr>
          <w:lang w:val="fr-CA"/>
        </w:rPr>
        <w:t xml:space="preserve"> le renforcement de la formation et la mise sur pied d’un programme d’accréditation des techniciens en réfri</w:t>
      </w:r>
      <w:r w:rsidR="00A22709">
        <w:rPr>
          <w:lang w:val="fr-CA"/>
        </w:rPr>
        <w:t>gération</w:t>
      </w:r>
      <w:r w:rsidR="000E6FAF">
        <w:rPr>
          <w:lang w:val="fr-CA"/>
        </w:rPr>
        <w:t>;</w:t>
      </w:r>
      <w:r w:rsidR="00A22709">
        <w:rPr>
          <w:lang w:val="fr-CA"/>
        </w:rPr>
        <w:t xml:space="preserve"> l’approvisionnement en </w:t>
      </w:r>
      <w:r w:rsidR="006F17D2" w:rsidRPr="00DB1648">
        <w:rPr>
          <w:lang w:val="fr-CA"/>
        </w:rPr>
        <w:t>outils pour les ateliers d’entretien</w:t>
      </w:r>
      <w:r w:rsidR="000E6FAF">
        <w:rPr>
          <w:lang w:val="fr-CA"/>
        </w:rPr>
        <w:t>;</w:t>
      </w:r>
      <w:r w:rsidR="008E25FE">
        <w:rPr>
          <w:lang w:val="fr-CA"/>
        </w:rPr>
        <w:t xml:space="preserve"> et la sensibilisation d</w:t>
      </w:r>
      <w:r w:rsidR="006F17D2" w:rsidRPr="00DB1648">
        <w:rPr>
          <w:lang w:val="fr-CA"/>
        </w:rPr>
        <w:t xml:space="preserve">u public </w:t>
      </w:r>
      <w:r w:rsidR="000E6FAF">
        <w:rPr>
          <w:lang w:val="fr-CA"/>
        </w:rPr>
        <w:t>à</w:t>
      </w:r>
      <w:r w:rsidR="006F17D2" w:rsidRPr="00DB1648">
        <w:rPr>
          <w:lang w:val="fr-CA"/>
        </w:rPr>
        <w:t xml:space="preserve"> l’adoption de technologies de remplacement à faible PRG</w:t>
      </w:r>
      <w:r w:rsidR="00EB31E3" w:rsidRPr="00DB1648">
        <w:rPr>
          <w:lang w:val="fr-CA"/>
        </w:rPr>
        <w:t xml:space="preserve">. </w:t>
      </w:r>
    </w:p>
    <w:p w14:paraId="37310733" w14:textId="2A2CAC53" w:rsidR="00EB31E3" w:rsidRPr="00DB1648" w:rsidRDefault="006F17D2" w:rsidP="00A0418C">
      <w:pPr>
        <w:suppressAutoHyphens/>
        <w:rPr>
          <w:u w:val="single"/>
          <w:lang w:val="fr-CA"/>
        </w:rPr>
      </w:pPr>
      <w:r w:rsidRPr="00DB1648">
        <w:rPr>
          <w:u w:val="single"/>
          <w:lang w:val="fr-CA"/>
        </w:rPr>
        <w:t>Activités proposées à la phase II du PGEH</w:t>
      </w:r>
    </w:p>
    <w:p w14:paraId="6EEDFBA7" w14:textId="77777777" w:rsidR="00EB31E3" w:rsidRPr="00DB1648" w:rsidRDefault="00EB31E3" w:rsidP="00A0418C">
      <w:pPr>
        <w:suppressAutoHyphens/>
        <w:rPr>
          <w:lang w:val="fr-CA"/>
        </w:rPr>
      </w:pPr>
    </w:p>
    <w:p w14:paraId="3ADC247D" w14:textId="4FBECC9E" w:rsidR="00EB31E3" w:rsidRPr="00DB1648" w:rsidRDefault="006F17D2" w:rsidP="00A0418C">
      <w:pPr>
        <w:numPr>
          <w:ilvl w:val="0"/>
          <w:numId w:val="1"/>
        </w:numPr>
        <w:suppressAutoHyphens/>
        <w:spacing w:after="240"/>
        <w:outlineLvl w:val="0"/>
        <w:rPr>
          <w:lang w:val="fr-CA"/>
        </w:rPr>
      </w:pPr>
      <w:r w:rsidRPr="00DB1648">
        <w:rPr>
          <w:lang w:val="fr-CA"/>
        </w:rPr>
        <w:t xml:space="preserve">Les activités suivantes sont proposées à la phase II </w:t>
      </w:r>
      <w:r w:rsidR="00EB31E3" w:rsidRPr="00DB1648">
        <w:rPr>
          <w:lang w:val="fr-CA"/>
        </w:rPr>
        <w:t xml:space="preserve">: </w:t>
      </w:r>
    </w:p>
    <w:p w14:paraId="3FFB1B48" w14:textId="1D32D68E" w:rsidR="001C6D94" w:rsidRPr="00DB1648" w:rsidRDefault="007F569C" w:rsidP="006F17D2">
      <w:pPr>
        <w:pStyle w:val="Heading2"/>
        <w:rPr>
          <w:lang w:val="fr-CA"/>
        </w:rPr>
      </w:pPr>
      <w:r w:rsidRPr="00DB1648">
        <w:rPr>
          <w:i/>
          <w:iCs/>
          <w:lang w:val="fr-CA"/>
        </w:rPr>
        <w:t xml:space="preserve">Renforcement de la réglementation sur l’importation des HCFC </w:t>
      </w:r>
      <w:r w:rsidR="002E087B" w:rsidRPr="00DB1648">
        <w:rPr>
          <w:lang w:val="fr-CA"/>
        </w:rPr>
        <w:t>:</w:t>
      </w:r>
      <w:r w:rsidR="00590384" w:rsidRPr="00DB1648">
        <w:rPr>
          <w:lang w:val="fr-CA"/>
        </w:rPr>
        <w:t xml:space="preserve"> </w:t>
      </w:r>
      <w:r w:rsidRPr="00DB1648">
        <w:rPr>
          <w:lang w:val="fr-CA"/>
        </w:rPr>
        <w:t>Interdiction d’importer du HCFC à compter du 1</w:t>
      </w:r>
      <w:r w:rsidRPr="00DB1648">
        <w:rPr>
          <w:vertAlign w:val="superscript"/>
          <w:lang w:val="fr-CA"/>
        </w:rPr>
        <w:t>er</w:t>
      </w:r>
      <w:r w:rsidRPr="00DB1648">
        <w:rPr>
          <w:lang w:val="fr-CA"/>
        </w:rPr>
        <w:t xml:space="preserve"> janvier 2030, sauf pour le volet résiduel de l’entretien; </w:t>
      </w:r>
      <w:r w:rsidR="006E6DF3" w:rsidRPr="00DB1648">
        <w:rPr>
          <w:lang w:val="fr-CA"/>
        </w:rPr>
        <w:t xml:space="preserve">mise en place d’un système d’établissement de rapports obligatoire pour les importateurs sur les quantités annuelles de HCFC avant l’obtention de leur quota pour l’année suivante, </w:t>
      </w:r>
      <w:r w:rsidR="000E6FAF">
        <w:rPr>
          <w:lang w:val="fr-CA"/>
        </w:rPr>
        <w:t xml:space="preserve">en vigueur </w:t>
      </w:r>
      <w:r w:rsidR="006E6DF3" w:rsidRPr="00DB1648">
        <w:rPr>
          <w:lang w:val="fr-CA"/>
        </w:rPr>
        <w:t>à compter du 1</w:t>
      </w:r>
      <w:r w:rsidR="006E6DF3" w:rsidRPr="00DB1648">
        <w:rPr>
          <w:vertAlign w:val="superscript"/>
          <w:lang w:val="fr-CA"/>
        </w:rPr>
        <w:t>er</w:t>
      </w:r>
      <w:r w:rsidR="006E6DF3" w:rsidRPr="00DB1648">
        <w:rPr>
          <w:lang w:val="fr-CA"/>
        </w:rPr>
        <w:t xml:space="preserve"> janvier 2023; interdiction d’importer de l’équipement à base de HCFC à compter du 1</w:t>
      </w:r>
      <w:r w:rsidR="006E6DF3" w:rsidRPr="00DB1648">
        <w:rPr>
          <w:vertAlign w:val="superscript"/>
          <w:lang w:val="fr-CA"/>
        </w:rPr>
        <w:t>er</w:t>
      </w:r>
      <w:r w:rsidR="006E6DF3" w:rsidRPr="00DB1648">
        <w:rPr>
          <w:lang w:val="fr-CA"/>
        </w:rPr>
        <w:t xml:space="preserve"> janvier 2025 et interdiction d’utiliser le HCFC pour </w:t>
      </w:r>
      <w:r w:rsidR="003D4A1B" w:rsidRPr="00DB1648">
        <w:rPr>
          <w:lang w:val="fr-CA"/>
        </w:rPr>
        <w:t>vidanger</w:t>
      </w:r>
      <w:r w:rsidR="006E6DF3" w:rsidRPr="00DB1648">
        <w:rPr>
          <w:lang w:val="fr-CA"/>
        </w:rPr>
        <w:t xml:space="preserve"> à compter du 1</w:t>
      </w:r>
      <w:r w:rsidR="006E6DF3" w:rsidRPr="00DB1648">
        <w:rPr>
          <w:vertAlign w:val="superscript"/>
          <w:lang w:val="fr-CA"/>
        </w:rPr>
        <w:t>er</w:t>
      </w:r>
      <w:r w:rsidR="000E6FAF">
        <w:rPr>
          <w:lang w:val="fr-CA"/>
        </w:rPr>
        <w:t xml:space="preserve"> janvier 202</w:t>
      </w:r>
      <w:r w:rsidR="006E6DF3" w:rsidRPr="00DB1648">
        <w:rPr>
          <w:lang w:val="fr-CA"/>
        </w:rPr>
        <w:t>3 (10 000 $US)</w:t>
      </w:r>
      <w:r w:rsidR="004829AF" w:rsidRPr="00DB1648">
        <w:rPr>
          <w:lang w:val="fr-CA"/>
        </w:rPr>
        <w:t>;</w:t>
      </w:r>
    </w:p>
    <w:p w14:paraId="504C2132" w14:textId="6DC64A0A" w:rsidR="00A71282" w:rsidRPr="00DB1648" w:rsidRDefault="006E6DF3" w:rsidP="00104564">
      <w:pPr>
        <w:pStyle w:val="Heading2"/>
        <w:rPr>
          <w:lang w:val="fr-CA"/>
        </w:rPr>
      </w:pPr>
      <w:r w:rsidRPr="00DB1648">
        <w:rPr>
          <w:i/>
          <w:lang w:val="fr-CA"/>
        </w:rPr>
        <w:t xml:space="preserve">Renforcement des capacités pour la mise en œuvre de la réglementation et du suivi des importations par les douaniers et autres agents d’exécution </w:t>
      </w:r>
      <w:r w:rsidR="00C67702" w:rsidRPr="00DB1648">
        <w:rPr>
          <w:i/>
          <w:lang w:val="fr-CA"/>
        </w:rPr>
        <w:t>:</w:t>
      </w:r>
      <w:r w:rsidR="002E087B" w:rsidRPr="00DB1648">
        <w:rPr>
          <w:lang w:val="fr-CA"/>
        </w:rPr>
        <w:t xml:space="preserve"> </w:t>
      </w:r>
      <w:r w:rsidRPr="00DB1648">
        <w:rPr>
          <w:lang w:val="fr-CA"/>
        </w:rPr>
        <w:t>Facilitation de trois dialogues entre les îles afin d’échanger des informations et d’élaborer</w:t>
      </w:r>
      <w:r w:rsidR="003F0EF1" w:rsidRPr="00DB1648">
        <w:rPr>
          <w:lang w:val="fr-CA"/>
        </w:rPr>
        <w:t xml:space="preserve"> des procédures communes pour repérer/prévenir le commerce illicite </w:t>
      </w:r>
      <w:r w:rsidR="003F616D">
        <w:rPr>
          <w:lang w:val="fr-CA"/>
        </w:rPr>
        <w:t>possible</w:t>
      </w:r>
      <w:r w:rsidR="003F0EF1" w:rsidRPr="00DB1648">
        <w:rPr>
          <w:lang w:val="fr-CA"/>
        </w:rPr>
        <w:t>; tenu</w:t>
      </w:r>
      <w:r w:rsidR="00F63843" w:rsidRPr="00DB1648">
        <w:rPr>
          <w:lang w:val="fr-CA"/>
        </w:rPr>
        <w:t>e</w:t>
      </w:r>
      <w:r w:rsidR="003F0EF1" w:rsidRPr="00DB1648">
        <w:rPr>
          <w:lang w:val="fr-CA"/>
        </w:rPr>
        <w:t xml:space="preserve"> de 27 séances de formation à l’intention de 540 douaniers et autres agents d’</w:t>
      </w:r>
      <w:r w:rsidR="00F63843" w:rsidRPr="00DB1648">
        <w:rPr>
          <w:lang w:val="fr-CA"/>
        </w:rPr>
        <w:t>exé</w:t>
      </w:r>
      <w:r w:rsidR="003F0EF1" w:rsidRPr="00DB1648">
        <w:rPr>
          <w:lang w:val="fr-CA"/>
        </w:rPr>
        <w:t xml:space="preserve">cution des lois, notamment sur </w:t>
      </w:r>
      <w:r w:rsidR="00F63843" w:rsidRPr="00DB1648">
        <w:rPr>
          <w:lang w:val="fr-CA"/>
        </w:rPr>
        <w:t>la réglementati</w:t>
      </w:r>
      <w:r w:rsidR="003F0EF1" w:rsidRPr="00DB1648">
        <w:rPr>
          <w:lang w:val="fr-CA"/>
        </w:rPr>
        <w:t>on actualisée, les codes douaniers révisés, l’in</w:t>
      </w:r>
      <w:r w:rsidR="00F63843" w:rsidRPr="00DB1648">
        <w:rPr>
          <w:lang w:val="fr-CA"/>
        </w:rPr>
        <w:t>s</w:t>
      </w:r>
      <w:r w:rsidR="003F0EF1" w:rsidRPr="00DB1648">
        <w:rPr>
          <w:lang w:val="fr-CA"/>
        </w:rPr>
        <w:t>pection des expéditions et l’utilisation d’</w:t>
      </w:r>
      <w:r w:rsidR="00E71BD0" w:rsidRPr="00DB1648">
        <w:rPr>
          <w:lang w:val="fr-CA"/>
        </w:rPr>
        <w:t xml:space="preserve">un </w:t>
      </w:r>
      <w:r w:rsidR="00996C68">
        <w:rPr>
          <w:lang w:val="fr-CA"/>
        </w:rPr>
        <w:t>identificateur</w:t>
      </w:r>
      <w:r w:rsidR="00F63843" w:rsidRPr="00DB1648">
        <w:rPr>
          <w:lang w:val="fr-CA"/>
        </w:rPr>
        <w:t xml:space="preserve"> de frigorigènes; mise à</w:t>
      </w:r>
      <w:r w:rsidR="003F0EF1" w:rsidRPr="00DB1648">
        <w:rPr>
          <w:lang w:val="fr-CA"/>
        </w:rPr>
        <w:t xml:space="preserve"> jour des procédures de réglementation des SAO (p. ex., révision des codes douaniers du Système harmonisé et mise à jour des logiciels d’importation des services douaniers, émissions de circulair</w:t>
      </w:r>
      <w:r w:rsidR="00F63843" w:rsidRPr="00DB1648">
        <w:rPr>
          <w:lang w:val="fr-CA"/>
        </w:rPr>
        <w:t>e</w:t>
      </w:r>
      <w:r w:rsidR="003F0EF1" w:rsidRPr="00DB1648">
        <w:rPr>
          <w:lang w:val="fr-CA"/>
        </w:rPr>
        <w:t>s, notes techniques et autres mesures administratives, et visites d’</w:t>
      </w:r>
      <w:r w:rsidR="00F63843" w:rsidRPr="00DB1648">
        <w:rPr>
          <w:lang w:val="fr-CA"/>
        </w:rPr>
        <w:t>inspection, si nécessair</w:t>
      </w:r>
      <w:r w:rsidR="003F0EF1" w:rsidRPr="00DB1648">
        <w:rPr>
          <w:lang w:val="fr-CA"/>
        </w:rPr>
        <w:t>e</w:t>
      </w:r>
      <w:r w:rsidR="00F63843" w:rsidRPr="00DB1648">
        <w:rPr>
          <w:lang w:val="fr-CA"/>
        </w:rPr>
        <w:t>)</w:t>
      </w:r>
      <w:r w:rsidR="003F0EF1" w:rsidRPr="00DB1648">
        <w:rPr>
          <w:lang w:val="fr-CA"/>
        </w:rPr>
        <w:t xml:space="preserve">, </w:t>
      </w:r>
      <w:r w:rsidR="00F63843" w:rsidRPr="00DB1648">
        <w:rPr>
          <w:lang w:val="fr-CA"/>
        </w:rPr>
        <w:t>i</w:t>
      </w:r>
      <w:r w:rsidR="003F0EF1" w:rsidRPr="00DB1648">
        <w:rPr>
          <w:lang w:val="fr-CA"/>
        </w:rPr>
        <w:t>mpression des publications Action ozone</w:t>
      </w:r>
      <w:r w:rsidR="00773DDF" w:rsidRPr="00DB1648">
        <w:rPr>
          <w:lang w:val="fr-CA"/>
        </w:rPr>
        <w:t xml:space="preserve"> et outil</w:t>
      </w:r>
      <w:r w:rsidR="00F63843" w:rsidRPr="00DB1648">
        <w:rPr>
          <w:lang w:val="fr-CA"/>
        </w:rPr>
        <w:t xml:space="preserve">s d’information pertinents en appui à la vérification des SAO et leur distribution aux agents formés, et achat de cinq </w:t>
      </w:r>
      <w:r w:rsidR="00996C68">
        <w:rPr>
          <w:lang w:val="fr-CA"/>
        </w:rPr>
        <w:t>identificateurs</w:t>
      </w:r>
      <w:r w:rsidR="00F63843" w:rsidRPr="00DB1648">
        <w:rPr>
          <w:lang w:val="fr-CA"/>
        </w:rPr>
        <w:t xml:space="preserve"> de frigorigènes et pièces de rechange (190 000 $US)</w:t>
      </w:r>
      <w:r w:rsidR="002E087B" w:rsidRPr="00DB1648">
        <w:rPr>
          <w:lang w:val="fr-CA"/>
        </w:rPr>
        <w:t>;</w:t>
      </w:r>
    </w:p>
    <w:p w14:paraId="5F838F6E" w14:textId="1B83A6F7" w:rsidR="006244A6" w:rsidRPr="00DB1648" w:rsidRDefault="00C96F4C" w:rsidP="00A0418C">
      <w:pPr>
        <w:pStyle w:val="Heading2"/>
        <w:widowControl/>
        <w:suppressAutoHyphens/>
        <w:rPr>
          <w:lang w:val="fr-CA"/>
        </w:rPr>
      </w:pPr>
      <w:r w:rsidRPr="00DB1648">
        <w:rPr>
          <w:i/>
          <w:iCs/>
          <w:lang w:val="fr-CA"/>
        </w:rPr>
        <w:t xml:space="preserve">Renforcement des capacités des techniciens d’entretien en réfrigération et climatisation, et mise sur pied et exécution d’un programme d’accréditation obligatoire en entretien d’équipement de réfrigération </w:t>
      </w:r>
      <w:r w:rsidR="004D4A73" w:rsidRPr="00DB1648">
        <w:rPr>
          <w:i/>
          <w:iCs/>
          <w:lang w:val="fr-CA"/>
        </w:rPr>
        <w:t>:</w:t>
      </w:r>
      <w:r w:rsidR="004D4A73" w:rsidRPr="00DB1648">
        <w:rPr>
          <w:lang w:val="fr-CA"/>
        </w:rPr>
        <w:t xml:space="preserve"> </w:t>
      </w:r>
      <w:r w:rsidRPr="00DB1648">
        <w:rPr>
          <w:lang w:val="fr-CA"/>
        </w:rPr>
        <w:t>Mise sur pied d’un programme d’accréditation obligatoire des techniciens</w:t>
      </w:r>
      <w:r w:rsidR="00AE3E22" w:rsidRPr="00DB1648">
        <w:rPr>
          <w:lang w:val="fr-CA"/>
        </w:rPr>
        <w:t xml:space="preserve"> en réfrigération et climatisati</w:t>
      </w:r>
      <w:r w:rsidRPr="00DB1648">
        <w:rPr>
          <w:lang w:val="fr-CA"/>
        </w:rPr>
        <w:t xml:space="preserve">on </w:t>
      </w:r>
      <w:r w:rsidR="00A11F34">
        <w:rPr>
          <w:lang w:val="fr-CA"/>
        </w:rPr>
        <w:t xml:space="preserve">qui entrera </w:t>
      </w:r>
      <w:r w:rsidR="003F616D">
        <w:rPr>
          <w:lang w:val="fr-CA"/>
        </w:rPr>
        <w:t xml:space="preserve">en vigueur </w:t>
      </w:r>
      <w:r w:rsidR="00A11F34">
        <w:rPr>
          <w:lang w:val="fr-CA"/>
        </w:rPr>
        <w:t>le</w:t>
      </w:r>
      <w:r w:rsidRPr="00DB1648">
        <w:rPr>
          <w:lang w:val="fr-CA"/>
        </w:rPr>
        <w:t xml:space="preserve"> 1</w:t>
      </w:r>
      <w:r w:rsidRPr="00DB1648">
        <w:rPr>
          <w:vertAlign w:val="superscript"/>
          <w:lang w:val="fr-CA"/>
        </w:rPr>
        <w:t>er</w:t>
      </w:r>
      <w:r w:rsidRPr="00DB1648">
        <w:rPr>
          <w:lang w:val="fr-CA"/>
        </w:rPr>
        <w:t xml:space="preserve"> janvier 2025; </w:t>
      </w:r>
      <w:r w:rsidRPr="00DB1648">
        <w:rPr>
          <w:lang w:val="fr-CA"/>
        </w:rPr>
        <w:lastRenderedPageBreak/>
        <w:t xml:space="preserve">embauche d’un expert afin de faciliter la mise sur pied d’un programme d’accréditation en entretien d’équipement de réfrigération et climatisation, </w:t>
      </w:r>
      <w:r w:rsidR="00773DDF" w:rsidRPr="00DB1648">
        <w:rPr>
          <w:lang w:val="fr-CA"/>
        </w:rPr>
        <w:t>mise sur pied</w:t>
      </w:r>
      <w:r w:rsidRPr="00DB1648">
        <w:rPr>
          <w:lang w:val="fr-CA"/>
        </w:rPr>
        <w:t xml:space="preserve"> de deux centre</w:t>
      </w:r>
      <w:r w:rsidR="00A11F34">
        <w:rPr>
          <w:lang w:val="fr-CA"/>
        </w:rPr>
        <w:t>s</w:t>
      </w:r>
      <w:r w:rsidRPr="00DB1648">
        <w:rPr>
          <w:lang w:val="fr-CA"/>
        </w:rPr>
        <w:t xml:space="preserve"> d’accréditation, développement des capacités à l’</w:t>
      </w:r>
      <w:r w:rsidR="00AE3E22" w:rsidRPr="00DB1648">
        <w:rPr>
          <w:lang w:val="fr-CA"/>
        </w:rPr>
        <w:t xml:space="preserve">étranger pour au moins deux enseignants en vue d’en faire des </w:t>
      </w:r>
      <w:r w:rsidR="00B00493" w:rsidRPr="00DB1648">
        <w:rPr>
          <w:lang w:val="fr-CA"/>
        </w:rPr>
        <w:t>agents d’accréditation</w:t>
      </w:r>
      <w:r w:rsidR="00AE3E22" w:rsidRPr="00DB1648">
        <w:rPr>
          <w:lang w:val="fr-CA"/>
        </w:rPr>
        <w:t xml:space="preserve">, et mise à l’essai du fonctionnement du programme en accréditant 25 techniciens; création d’un code de </w:t>
      </w:r>
      <w:r w:rsidR="00F00D4E" w:rsidRPr="00DB1648">
        <w:rPr>
          <w:lang w:val="fr-CA"/>
        </w:rPr>
        <w:t>déontologie et d’u</w:t>
      </w:r>
      <w:r w:rsidR="00AE3E22" w:rsidRPr="00DB1648">
        <w:rPr>
          <w:lang w:val="fr-CA"/>
        </w:rPr>
        <w:t>ne orientation en vue de l’</w:t>
      </w:r>
      <w:r w:rsidR="00F00D4E" w:rsidRPr="00DB1648">
        <w:rPr>
          <w:lang w:val="fr-CA"/>
        </w:rPr>
        <w:t>accréditation; présentati</w:t>
      </w:r>
      <w:r w:rsidR="00AE3E22" w:rsidRPr="00DB1648">
        <w:rPr>
          <w:lang w:val="fr-CA"/>
        </w:rPr>
        <w:t xml:space="preserve">on de 25 sessions en vue de former et d’accréditer 500 techniciens </w:t>
      </w:r>
      <w:r w:rsidR="00F00D4E" w:rsidRPr="00DB1648">
        <w:rPr>
          <w:lang w:val="fr-CA"/>
        </w:rPr>
        <w:t>en</w:t>
      </w:r>
      <w:r w:rsidR="00AE3E22" w:rsidRPr="00DB1648">
        <w:rPr>
          <w:lang w:val="fr-CA"/>
        </w:rPr>
        <w:t xml:space="preserve"> réfrigér</w:t>
      </w:r>
      <w:r w:rsidR="00F00D4E" w:rsidRPr="00DB1648">
        <w:rPr>
          <w:lang w:val="fr-CA"/>
        </w:rPr>
        <w:t>ation et climatisati</w:t>
      </w:r>
      <w:r w:rsidR="00AE3E22" w:rsidRPr="00DB1648">
        <w:rPr>
          <w:lang w:val="fr-CA"/>
        </w:rPr>
        <w:t xml:space="preserve">on </w:t>
      </w:r>
      <w:r w:rsidR="00F00D4E" w:rsidRPr="00DB1648">
        <w:rPr>
          <w:lang w:val="fr-CA"/>
        </w:rPr>
        <w:t>concernant les bonnes pratiques d’entretien e</w:t>
      </w:r>
      <w:r w:rsidR="00157C57">
        <w:rPr>
          <w:lang w:val="fr-CA"/>
        </w:rPr>
        <w:t xml:space="preserve">t la gestion des frigorigènes </w:t>
      </w:r>
      <w:r w:rsidR="00F00D4E" w:rsidRPr="00DB1648">
        <w:rPr>
          <w:lang w:val="fr-CA"/>
        </w:rPr>
        <w:t>inflammables; signature d’un accord avec deux centre</w:t>
      </w:r>
      <w:r w:rsidR="00B00493" w:rsidRPr="00DB1648">
        <w:rPr>
          <w:lang w:val="fr-CA"/>
        </w:rPr>
        <w:t>s</w:t>
      </w:r>
      <w:r w:rsidR="00F00D4E" w:rsidRPr="00DB1648">
        <w:rPr>
          <w:lang w:val="fr-CA"/>
        </w:rPr>
        <w:t xml:space="preserve"> de formation professionnelle supplémentaires afin d’intégrer la récupération et le recyclage des HCFC et la manipulation des hydrocar</w:t>
      </w:r>
      <w:r w:rsidR="00503B56">
        <w:rPr>
          <w:lang w:val="fr-CA"/>
        </w:rPr>
        <w:t>bures à leur programme de cours;</w:t>
      </w:r>
      <w:r w:rsidR="00F00D4E" w:rsidRPr="00DB1648">
        <w:rPr>
          <w:lang w:val="fr-CA"/>
        </w:rPr>
        <w:t xml:space="preserve"> renforcement de l’association de réfrigération et climatisation, et sensibilisation</w:t>
      </w:r>
      <w:r w:rsidR="00FC6D98" w:rsidRPr="00DB1648">
        <w:rPr>
          <w:lang w:val="fr-CA"/>
        </w:rPr>
        <w:t xml:space="preserve"> accrue du public</w:t>
      </w:r>
      <w:r w:rsidR="00F00D4E" w:rsidRPr="00DB1648">
        <w:rPr>
          <w:lang w:val="fr-CA"/>
        </w:rPr>
        <w:t xml:space="preserve"> grâce </w:t>
      </w:r>
      <w:r w:rsidR="00FC6D98" w:rsidRPr="00DB1648">
        <w:rPr>
          <w:lang w:val="fr-CA"/>
        </w:rPr>
        <w:t>à</w:t>
      </w:r>
      <w:r w:rsidR="00F00D4E" w:rsidRPr="00DB1648">
        <w:rPr>
          <w:lang w:val="fr-CA"/>
        </w:rPr>
        <w:t xml:space="preserve"> la publicité </w:t>
      </w:r>
      <w:r w:rsidR="00AA2859" w:rsidRPr="00DB1648">
        <w:rPr>
          <w:lang w:val="fr-CA"/>
        </w:rPr>
        <w:t>dans les</w:t>
      </w:r>
      <w:r w:rsidR="00F00D4E" w:rsidRPr="00DB1648">
        <w:rPr>
          <w:lang w:val="fr-CA"/>
        </w:rPr>
        <w:t xml:space="preserve"> médias locaux</w:t>
      </w:r>
      <w:r w:rsidR="00503B56">
        <w:rPr>
          <w:lang w:val="fr-CA"/>
        </w:rPr>
        <w:t xml:space="preserve"> </w:t>
      </w:r>
      <w:r w:rsidR="006728B8">
        <w:rPr>
          <w:lang w:val="fr-CA"/>
        </w:rPr>
        <w:t xml:space="preserve">et les ateliers </w:t>
      </w:r>
      <w:r w:rsidR="00503B56">
        <w:rPr>
          <w:lang w:val="fr-CA"/>
        </w:rPr>
        <w:t>afin d’</w:t>
      </w:r>
      <w:r w:rsidR="00F00D4E" w:rsidRPr="00DB1648">
        <w:rPr>
          <w:lang w:val="fr-CA"/>
        </w:rPr>
        <w:t xml:space="preserve">informer les utilisateurs finaux de la technologie à PRG de faible à nul et </w:t>
      </w:r>
      <w:r w:rsidR="00503B56">
        <w:rPr>
          <w:lang w:val="fr-CA"/>
        </w:rPr>
        <w:t xml:space="preserve">les </w:t>
      </w:r>
      <w:r w:rsidR="00FC6D98" w:rsidRPr="00DB1648">
        <w:rPr>
          <w:lang w:val="fr-CA"/>
        </w:rPr>
        <w:t xml:space="preserve">dissuader </w:t>
      </w:r>
      <w:r w:rsidR="00503B56">
        <w:rPr>
          <w:lang w:val="fr-CA"/>
        </w:rPr>
        <w:t>d’utiliser des</w:t>
      </w:r>
      <w:r w:rsidR="00FC6D98" w:rsidRPr="00DB1648">
        <w:rPr>
          <w:lang w:val="fr-CA"/>
        </w:rPr>
        <w:t xml:space="preserve"> technologies à base de HFC (290 000 $US);</w:t>
      </w:r>
    </w:p>
    <w:p w14:paraId="527B3BCE" w14:textId="7D8370B9" w:rsidR="00EB31E3" w:rsidRPr="00DB1648" w:rsidRDefault="00FC6D98" w:rsidP="00A0418C">
      <w:pPr>
        <w:pStyle w:val="Heading2"/>
        <w:widowControl/>
        <w:suppressAutoHyphens/>
        <w:rPr>
          <w:lang w:val="fr-CA"/>
        </w:rPr>
      </w:pPr>
      <w:r w:rsidRPr="00DB1648">
        <w:rPr>
          <w:i/>
          <w:iCs/>
          <w:lang w:val="fr-CA"/>
        </w:rPr>
        <w:t xml:space="preserve">Approvisionnement du secteur de l’entretien en trousses </w:t>
      </w:r>
      <w:r w:rsidR="00AA2859" w:rsidRPr="00DB1648">
        <w:rPr>
          <w:i/>
          <w:iCs/>
          <w:lang w:val="fr-CA"/>
        </w:rPr>
        <w:t>d’</w:t>
      </w:r>
      <w:r w:rsidRPr="00DB1648">
        <w:rPr>
          <w:i/>
          <w:iCs/>
          <w:lang w:val="fr-CA"/>
        </w:rPr>
        <w:t>outils et équipement</w:t>
      </w:r>
      <w:r w:rsidR="00AA2859" w:rsidRPr="00DB1648">
        <w:rPr>
          <w:i/>
          <w:iCs/>
          <w:lang w:val="fr-CA"/>
        </w:rPr>
        <w:t>s</w:t>
      </w:r>
      <w:r w:rsidRPr="00DB1648">
        <w:rPr>
          <w:i/>
          <w:iCs/>
          <w:lang w:val="fr-CA"/>
        </w:rPr>
        <w:t xml:space="preserve"> convenables : </w:t>
      </w:r>
      <w:r w:rsidRPr="00DB1648">
        <w:rPr>
          <w:iCs/>
          <w:lang w:val="fr-CA"/>
        </w:rPr>
        <w:t xml:space="preserve">Achat de 20 trousses d’outils (p. ex., système de dérivation </w:t>
      </w:r>
      <w:r w:rsidR="00AA2859" w:rsidRPr="00DB1648">
        <w:rPr>
          <w:iCs/>
          <w:lang w:val="fr-CA"/>
        </w:rPr>
        <w:t>comprenant</w:t>
      </w:r>
      <w:r w:rsidRPr="00DB1648">
        <w:rPr>
          <w:iCs/>
          <w:lang w:val="fr-CA"/>
        </w:rPr>
        <w:t xml:space="preserve"> des accessoires pour les différents frigorigènes, jeu de 3 conduites, outil d’enlèvement des robinets, miroir d’inspection, différents appareils d’évasement, outil d’évasement, coupe</w:t>
      </w:r>
      <w:r w:rsidR="005A5DA6">
        <w:rPr>
          <w:iCs/>
          <w:lang w:val="fr-CA"/>
        </w:rPr>
        <w:noBreakHyphen/>
      </w:r>
      <w:r w:rsidRPr="00DB1648">
        <w:rPr>
          <w:iCs/>
          <w:lang w:val="fr-CA"/>
        </w:rPr>
        <w:t>tuyaux, thermomètre électronique, clé à rochet, ressorts de pliage et balances électroniques) aux fins de distribution dans les collèges techniques (50 000 $US)</w:t>
      </w:r>
      <w:r w:rsidR="00A71282" w:rsidRPr="00DB1648">
        <w:rPr>
          <w:lang w:val="fr-CA"/>
        </w:rPr>
        <w:t xml:space="preserve">. </w:t>
      </w:r>
    </w:p>
    <w:p w14:paraId="394FCD88" w14:textId="3F70DC92" w:rsidR="00EB31E3" w:rsidRPr="00DB1648" w:rsidRDefault="006D047F" w:rsidP="00A0418C">
      <w:pPr>
        <w:keepNext/>
        <w:suppressAutoHyphens/>
        <w:rPr>
          <w:i/>
          <w:lang w:val="fr-CA"/>
        </w:rPr>
      </w:pPr>
      <w:r w:rsidRPr="00DB1648">
        <w:rPr>
          <w:i/>
          <w:lang w:val="fr-CA"/>
        </w:rPr>
        <w:t>Mise en œuvre et suivi du projet</w:t>
      </w:r>
      <w:r w:rsidR="00EF552A" w:rsidRPr="00DB1648">
        <w:rPr>
          <w:i/>
          <w:lang w:val="fr-CA"/>
        </w:rPr>
        <w:t xml:space="preserve"> </w:t>
      </w:r>
    </w:p>
    <w:p w14:paraId="458C9A18" w14:textId="77777777" w:rsidR="00EB31E3" w:rsidRPr="00DB1648" w:rsidRDefault="00EB31E3" w:rsidP="00A0418C">
      <w:pPr>
        <w:keepNext/>
        <w:suppressAutoHyphens/>
        <w:rPr>
          <w:i/>
          <w:lang w:val="fr-CA"/>
        </w:rPr>
      </w:pPr>
    </w:p>
    <w:p w14:paraId="3E0073B2" w14:textId="21965A2D" w:rsidR="00EB31E3" w:rsidRPr="00DB1648" w:rsidRDefault="006D047F" w:rsidP="00A0418C">
      <w:pPr>
        <w:keepNext/>
        <w:numPr>
          <w:ilvl w:val="0"/>
          <w:numId w:val="1"/>
        </w:numPr>
        <w:tabs>
          <w:tab w:val="clear" w:pos="0"/>
        </w:tabs>
        <w:suppressAutoHyphens/>
        <w:spacing w:after="240"/>
        <w:outlineLvl w:val="0"/>
        <w:rPr>
          <w:lang w:val="fr-CA"/>
        </w:rPr>
      </w:pPr>
      <w:r w:rsidRPr="00DB1648">
        <w:rPr>
          <w:lang w:val="fr-CA"/>
        </w:rPr>
        <w:t xml:space="preserve">Le programme mis sur pied à la phase I du PGEH se poursuivra </w:t>
      </w:r>
      <w:r w:rsidR="00A06F48">
        <w:rPr>
          <w:lang w:val="fr-CA"/>
        </w:rPr>
        <w:t>pendant</w:t>
      </w:r>
      <w:r w:rsidRPr="00DB1648">
        <w:rPr>
          <w:lang w:val="fr-CA"/>
        </w:rPr>
        <w:t xml:space="preserve"> la phase II, au cours de laquelle le Bureau national de l’ozone effectuera un suivi des activités, fera rapport des progrès et collaborera avec les parties prenantes afin d’éliminer les HCFC. Le coût de ces activités est de 50 000 $US pour la phase II</w:t>
      </w:r>
      <w:r w:rsidR="00EB31E3" w:rsidRPr="00DB1648">
        <w:rPr>
          <w:lang w:val="fr-CA"/>
        </w:rPr>
        <w:t>.</w:t>
      </w:r>
    </w:p>
    <w:p w14:paraId="0AD3335B" w14:textId="1C49FD93" w:rsidR="00EB31E3" w:rsidRPr="00DB1648" w:rsidRDefault="006D047F" w:rsidP="00A0418C">
      <w:pPr>
        <w:suppressAutoHyphens/>
        <w:rPr>
          <w:i/>
          <w:lang w:val="fr-CA"/>
        </w:rPr>
      </w:pPr>
      <w:r w:rsidRPr="00DB1648">
        <w:rPr>
          <w:i/>
          <w:lang w:val="fr-CA"/>
        </w:rPr>
        <w:t xml:space="preserve">Mise en œuvre de la politique </w:t>
      </w:r>
      <w:r w:rsidR="006308F9" w:rsidRPr="00DB1648">
        <w:rPr>
          <w:i/>
          <w:lang w:val="fr-CA"/>
        </w:rPr>
        <w:t>sur l’intégration de l’égalité des sexes</w:t>
      </w:r>
      <w:r w:rsidRPr="00DB1648">
        <w:rPr>
          <w:i/>
          <w:lang w:val="fr-CA"/>
        </w:rPr>
        <w:t xml:space="preserve"> </w:t>
      </w:r>
      <w:r w:rsidR="00EB31E3" w:rsidRPr="00DB1648">
        <w:rPr>
          <w:i/>
          <w:vertAlign w:val="superscript"/>
          <w:lang w:val="fr-CA"/>
        </w:rPr>
        <w:footnoteReference w:id="6"/>
      </w:r>
    </w:p>
    <w:p w14:paraId="6365E0FB" w14:textId="77777777" w:rsidR="00EB31E3" w:rsidRPr="00DB1648" w:rsidRDefault="00EB31E3" w:rsidP="00A0418C">
      <w:pPr>
        <w:pStyle w:val="Default"/>
        <w:widowControl/>
        <w:suppressAutoHyphens/>
        <w:jc w:val="both"/>
        <w:rPr>
          <w:lang w:val="fr-CA"/>
        </w:rPr>
      </w:pPr>
    </w:p>
    <w:p w14:paraId="33D94AA1" w14:textId="3479749B" w:rsidR="00CB34C9" w:rsidRPr="00DB1648" w:rsidRDefault="006308F9" w:rsidP="00A0418C">
      <w:pPr>
        <w:numPr>
          <w:ilvl w:val="0"/>
          <w:numId w:val="1"/>
        </w:numPr>
        <w:tabs>
          <w:tab w:val="clear" w:pos="0"/>
        </w:tabs>
        <w:suppressAutoHyphens/>
        <w:spacing w:after="240"/>
        <w:ind w:right="4"/>
        <w:outlineLvl w:val="0"/>
        <w:rPr>
          <w:lang w:val="fr-CA"/>
        </w:rPr>
      </w:pPr>
      <w:r w:rsidRPr="00DB1648">
        <w:rPr>
          <w:lang w:val="fr-CA"/>
        </w:rPr>
        <w:t>Conformément à la décision 84/92 d), le gouvernement de Cabo Verde encouragera la participation des femmes aux activités de la phase II (c.-à-d., prise de décisions, recrutement des ressources humaines, renforcement des capacités et information sur la sensibilité au genre). De plus, le Bureau national de l’ozone soutiendra la collecte de données réparties selon les sexes et recherchera des synergies avec les agences gouvernementales, le secteur privé, les organisations non gouvernementales, les organismes communautaires et les associations de femmes aux fins d’intégration et de responsabilisation des femmes</w:t>
      </w:r>
      <w:r w:rsidR="0031538B" w:rsidRPr="00DB1648">
        <w:rPr>
          <w:lang w:val="fr-CA"/>
        </w:rPr>
        <w:t>.</w:t>
      </w:r>
    </w:p>
    <w:p w14:paraId="5C3BA969" w14:textId="3E2B6FDF" w:rsidR="00EB31E3" w:rsidRPr="00DB1648" w:rsidRDefault="006308F9" w:rsidP="00A0418C">
      <w:pPr>
        <w:suppressAutoHyphens/>
        <w:spacing w:after="240"/>
        <w:outlineLvl w:val="0"/>
        <w:rPr>
          <w:u w:val="single"/>
          <w:lang w:val="fr-CA"/>
        </w:rPr>
      </w:pPr>
      <w:r w:rsidRPr="00DB1648">
        <w:rPr>
          <w:u w:val="single"/>
          <w:lang w:val="fr-CA"/>
        </w:rPr>
        <w:t>Coût total de la phase II du PGEH</w:t>
      </w:r>
    </w:p>
    <w:p w14:paraId="3D20405E" w14:textId="1BDA5F71" w:rsidR="008C33B5" w:rsidRPr="00DB1648" w:rsidRDefault="006308F9" w:rsidP="00A0418C">
      <w:pPr>
        <w:numPr>
          <w:ilvl w:val="0"/>
          <w:numId w:val="1"/>
        </w:numPr>
        <w:tabs>
          <w:tab w:val="clear" w:pos="0"/>
        </w:tabs>
        <w:suppressAutoHyphens/>
        <w:spacing w:after="240"/>
        <w:ind w:right="4"/>
        <w:outlineLvl w:val="0"/>
        <w:rPr>
          <w:lang w:val="fr-CA"/>
        </w:rPr>
      </w:pPr>
      <w:r w:rsidRPr="00DB1648">
        <w:rPr>
          <w:lang w:val="fr-CA"/>
        </w:rPr>
        <w:t>Le coût total de la phase II du PGEH</w:t>
      </w:r>
      <w:r w:rsidR="00004B0D" w:rsidRPr="00DB1648">
        <w:rPr>
          <w:lang w:val="fr-CA"/>
        </w:rPr>
        <w:t xml:space="preserve"> pour Cabo Verde est évalué à 590 000 $US (plus les coûts d’appui à l’agence), selon la proposition d’origine, afin de réduire de 67,5 pour cent la consommation de HCFC par rapport à sa valeur de référence d’ici 2025 et de 100 pour cent d’ici à 2030</w:t>
      </w:r>
      <w:r w:rsidR="004F38D7" w:rsidRPr="00DB1648">
        <w:rPr>
          <w:lang w:val="fr-CA"/>
        </w:rPr>
        <w:t>.</w:t>
      </w:r>
    </w:p>
    <w:p w14:paraId="1602675B" w14:textId="76B939D2" w:rsidR="00EB31E3" w:rsidRPr="00DB1648" w:rsidRDefault="00004B0D" w:rsidP="005A5DA6">
      <w:pPr>
        <w:keepNext/>
        <w:keepLines/>
        <w:widowControl w:val="0"/>
        <w:suppressAutoHyphens/>
        <w:spacing w:after="240"/>
        <w:rPr>
          <w:u w:val="single"/>
          <w:lang w:val="fr-CA"/>
        </w:rPr>
      </w:pPr>
      <w:r w:rsidRPr="00DB1648">
        <w:rPr>
          <w:u w:val="single"/>
          <w:lang w:val="fr-CA"/>
        </w:rPr>
        <w:lastRenderedPageBreak/>
        <w:t>Activités prévues pour la première tranche de la phase II</w:t>
      </w:r>
      <w:r w:rsidR="00EB31E3" w:rsidRPr="00DB1648">
        <w:rPr>
          <w:u w:val="single"/>
          <w:lang w:val="fr-CA"/>
        </w:rPr>
        <w:t xml:space="preserve"> </w:t>
      </w:r>
    </w:p>
    <w:p w14:paraId="7543C667" w14:textId="42EB3DD3" w:rsidR="00EB31E3" w:rsidRPr="00DB1648" w:rsidRDefault="00004B0D" w:rsidP="005A5DA6">
      <w:pPr>
        <w:keepNext/>
        <w:keepLines/>
        <w:widowControl w:val="0"/>
        <w:numPr>
          <w:ilvl w:val="0"/>
          <w:numId w:val="1"/>
        </w:numPr>
        <w:tabs>
          <w:tab w:val="clear" w:pos="0"/>
        </w:tabs>
        <w:suppressAutoHyphens/>
        <w:spacing w:after="240"/>
        <w:outlineLvl w:val="0"/>
        <w:rPr>
          <w:lang w:val="fr-CA"/>
        </w:rPr>
      </w:pPr>
      <w:r w:rsidRPr="00DB1648">
        <w:rPr>
          <w:lang w:val="fr-CA"/>
        </w:rPr>
        <w:t xml:space="preserve">La première tranche de financement de la phase II du PGEH, qui sera de l’ordre de 200 000 $US, sera </w:t>
      </w:r>
      <w:r w:rsidR="00FA6CD8">
        <w:rPr>
          <w:lang w:val="fr-CA"/>
        </w:rPr>
        <w:t xml:space="preserve">mise en œuvre </w:t>
      </w:r>
      <w:r w:rsidRPr="00DB1648">
        <w:rPr>
          <w:lang w:val="fr-CA"/>
        </w:rPr>
        <w:t xml:space="preserve">de janvier 2022 à décembre 2024, et portera sur les activités suivantes </w:t>
      </w:r>
      <w:r w:rsidR="00EB31E3" w:rsidRPr="00DB1648">
        <w:rPr>
          <w:lang w:val="fr-CA"/>
        </w:rPr>
        <w:t xml:space="preserve">: </w:t>
      </w:r>
    </w:p>
    <w:p w14:paraId="1F92880A" w14:textId="4BA2A9AA" w:rsidR="00C67702" w:rsidRPr="00DB1648" w:rsidRDefault="00004B0D" w:rsidP="005A5DA6">
      <w:pPr>
        <w:pStyle w:val="Heading2"/>
        <w:keepNext/>
        <w:keepLines/>
        <w:suppressAutoHyphens/>
        <w:rPr>
          <w:lang w:val="fr-CA"/>
        </w:rPr>
      </w:pPr>
      <w:r w:rsidRPr="00DB1648">
        <w:rPr>
          <w:i/>
          <w:lang w:val="fr-CA"/>
        </w:rPr>
        <w:t xml:space="preserve">Renforcement </w:t>
      </w:r>
      <w:r w:rsidR="003D4A1B" w:rsidRPr="00DB1648">
        <w:rPr>
          <w:i/>
          <w:lang w:val="fr-CA"/>
        </w:rPr>
        <w:t xml:space="preserve">de la  réglementation sur l’importation des HCFC </w:t>
      </w:r>
      <w:r w:rsidR="00590384" w:rsidRPr="00DB1648">
        <w:rPr>
          <w:lang w:val="fr-CA"/>
        </w:rPr>
        <w:t xml:space="preserve">: </w:t>
      </w:r>
      <w:r w:rsidR="003D4A1B" w:rsidRPr="00DB1648">
        <w:rPr>
          <w:lang w:val="fr-CA"/>
        </w:rPr>
        <w:t>Interdiction d’importer du HCFC à compter du 1</w:t>
      </w:r>
      <w:r w:rsidR="003D4A1B" w:rsidRPr="00DB1648">
        <w:rPr>
          <w:vertAlign w:val="superscript"/>
          <w:lang w:val="fr-CA"/>
        </w:rPr>
        <w:t>er</w:t>
      </w:r>
      <w:r w:rsidR="003D4A1B" w:rsidRPr="00DB1648">
        <w:rPr>
          <w:lang w:val="fr-CA"/>
        </w:rPr>
        <w:t xml:space="preserve"> janvier 2030, sauf pour le volet résiduel de l’entretien; mise en place d’un système d’établissement de rapports obligatoire pour les importateurs et les exportateurs de HCFC qui entrera en vigueur le 1</w:t>
      </w:r>
      <w:r w:rsidR="003D4A1B" w:rsidRPr="00DB1648">
        <w:rPr>
          <w:vertAlign w:val="superscript"/>
          <w:lang w:val="fr-CA"/>
        </w:rPr>
        <w:t>er</w:t>
      </w:r>
      <w:r w:rsidR="003D4A1B" w:rsidRPr="00DB1648">
        <w:rPr>
          <w:lang w:val="fr-CA"/>
        </w:rPr>
        <w:t xml:space="preserve"> janvier 2023; interdiction d’importer de l’équipement à base de HCFC à compter du 1</w:t>
      </w:r>
      <w:r w:rsidR="003D4A1B" w:rsidRPr="00DB1648">
        <w:rPr>
          <w:vertAlign w:val="superscript"/>
          <w:lang w:val="fr-CA"/>
        </w:rPr>
        <w:t>er</w:t>
      </w:r>
      <w:r w:rsidR="003D4A1B" w:rsidRPr="00DB1648">
        <w:rPr>
          <w:lang w:val="fr-CA"/>
        </w:rPr>
        <w:t xml:space="preserve"> janvier 2025 et interdiction d’utiliser le HCFC pour vidanger à compter du 1</w:t>
      </w:r>
      <w:r w:rsidR="003D4A1B" w:rsidRPr="00DB1648">
        <w:rPr>
          <w:vertAlign w:val="superscript"/>
          <w:lang w:val="fr-CA"/>
        </w:rPr>
        <w:t>er</w:t>
      </w:r>
      <w:r w:rsidR="00FA6CD8">
        <w:rPr>
          <w:lang w:val="fr-CA"/>
        </w:rPr>
        <w:t xml:space="preserve"> janvier 20</w:t>
      </w:r>
      <w:r w:rsidR="003D4A1B" w:rsidRPr="00DB1648">
        <w:rPr>
          <w:lang w:val="fr-CA"/>
        </w:rPr>
        <w:t>23 (10 000 $US)</w:t>
      </w:r>
      <w:r w:rsidR="00264DCF" w:rsidRPr="00DB1648">
        <w:rPr>
          <w:lang w:val="fr-CA"/>
        </w:rPr>
        <w:t>;</w:t>
      </w:r>
    </w:p>
    <w:p w14:paraId="34A383D6" w14:textId="474C07E6" w:rsidR="00455603" w:rsidRPr="00DB1648" w:rsidRDefault="00E71BD0" w:rsidP="00E71BD0">
      <w:pPr>
        <w:pStyle w:val="Heading2"/>
        <w:rPr>
          <w:lang w:val="fr-CA"/>
        </w:rPr>
      </w:pPr>
      <w:r w:rsidRPr="00DB1648">
        <w:rPr>
          <w:i/>
          <w:lang w:val="fr-CA"/>
        </w:rPr>
        <w:t>Renforcement des capacités pour la mise en œuvre de la réglementation et du suivi des importations par les douaniers et autres agents d’exécution :</w:t>
      </w:r>
      <w:r w:rsidRPr="00DB1648">
        <w:rPr>
          <w:lang w:val="fr-CA"/>
        </w:rPr>
        <w:t xml:space="preserve"> Facilitation d’un dialogue entre les îles afin d’échanger des informations et d’élaborer des procédures communes pour repérer/prévenir le commerce illicite </w:t>
      </w:r>
      <w:r w:rsidR="003F616D">
        <w:rPr>
          <w:lang w:val="fr-CA"/>
        </w:rPr>
        <w:t>possible</w:t>
      </w:r>
      <w:r w:rsidRPr="00DB1648">
        <w:rPr>
          <w:lang w:val="fr-CA"/>
        </w:rPr>
        <w:t xml:space="preserve">; tenue de huit séances de formation à l’intention de 160 douaniers et autres agents d’exécution des lois, notamment sur la réglementation actualisée, les codes douaniers révisés, l’inspection des expéditions et l’utilisation d’un </w:t>
      </w:r>
      <w:r w:rsidR="00996C68">
        <w:rPr>
          <w:lang w:val="fr-CA"/>
        </w:rPr>
        <w:t>identificateur</w:t>
      </w:r>
      <w:r w:rsidRPr="00DB1648">
        <w:rPr>
          <w:lang w:val="fr-CA"/>
        </w:rPr>
        <w:t xml:space="preserve"> de frigorigènes; mise à jour des procédures de réglementation des SAO (p. ex., révision des codes douaniers du Système harmonisé et mise à jour des logiciels d’importation des services douaniers, émissions de circulaires, notes techniques et autres mesures administratives, </w:t>
      </w:r>
      <w:r w:rsidR="00FA6CD8">
        <w:rPr>
          <w:lang w:val="fr-CA"/>
        </w:rPr>
        <w:t xml:space="preserve">visites d’inspection, si nécessaires), </w:t>
      </w:r>
      <w:r w:rsidRPr="00DB1648">
        <w:rPr>
          <w:lang w:val="fr-CA"/>
        </w:rPr>
        <w:t>impression des publications Action ozone</w:t>
      </w:r>
      <w:r w:rsidR="00773DDF" w:rsidRPr="00DB1648">
        <w:rPr>
          <w:lang w:val="fr-CA"/>
        </w:rPr>
        <w:t xml:space="preserve"> et outil</w:t>
      </w:r>
      <w:r w:rsidRPr="00DB1648">
        <w:rPr>
          <w:lang w:val="fr-CA"/>
        </w:rPr>
        <w:t xml:space="preserve">s d’information pertinents en appui à la vérification des SAO et leur distribution aux agents formés, et achat de cinq </w:t>
      </w:r>
      <w:r w:rsidR="00996C68">
        <w:rPr>
          <w:lang w:val="fr-CA"/>
        </w:rPr>
        <w:t>identificateurs</w:t>
      </w:r>
      <w:r w:rsidRPr="00DB1648">
        <w:rPr>
          <w:lang w:val="fr-CA"/>
        </w:rPr>
        <w:t xml:space="preserve"> de frigorigènes et pièces de rechange (70 000 $US) </w:t>
      </w:r>
      <w:r w:rsidR="00455603" w:rsidRPr="00DB1648">
        <w:rPr>
          <w:lang w:val="fr-CA"/>
        </w:rPr>
        <w:t>;</w:t>
      </w:r>
    </w:p>
    <w:p w14:paraId="00056D15" w14:textId="2443B42E" w:rsidR="00455603" w:rsidRPr="00DB1648" w:rsidRDefault="00773DDF" w:rsidP="0053118F">
      <w:pPr>
        <w:pStyle w:val="Heading2"/>
        <w:widowControl/>
        <w:suppressAutoHyphens/>
        <w:rPr>
          <w:lang w:val="fr-CA"/>
        </w:rPr>
      </w:pPr>
      <w:r w:rsidRPr="00DB1648">
        <w:rPr>
          <w:i/>
          <w:iCs/>
          <w:lang w:val="fr-CA"/>
        </w:rPr>
        <w:t>Renforcement des capacités des techniciens d’entretien en réfrigération et climatisation, et mise sur pied et exécution d’un programme d’accréditation obligatoire en entretien d’équipement de réfrigération :</w:t>
      </w:r>
      <w:r w:rsidRPr="00DB1648">
        <w:rPr>
          <w:lang w:val="fr-CA"/>
        </w:rPr>
        <w:t xml:space="preserve"> Mise sur pied d’un programme d’accréditation obligatoire des techniciens en réfrigération et climatisation </w:t>
      </w:r>
      <w:r w:rsidR="00A11F34">
        <w:rPr>
          <w:lang w:val="fr-CA"/>
        </w:rPr>
        <w:t xml:space="preserve">qui </w:t>
      </w:r>
      <w:r w:rsidR="007D6880">
        <w:rPr>
          <w:lang w:val="fr-CA"/>
        </w:rPr>
        <w:t xml:space="preserve">entre </w:t>
      </w:r>
      <w:r w:rsidR="003F616D">
        <w:rPr>
          <w:lang w:val="fr-CA"/>
        </w:rPr>
        <w:t xml:space="preserve">en vigueur </w:t>
      </w:r>
      <w:r w:rsidR="00A11F34">
        <w:rPr>
          <w:lang w:val="fr-CA"/>
        </w:rPr>
        <w:t>le</w:t>
      </w:r>
      <w:r w:rsidRPr="00DB1648">
        <w:rPr>
          <w:lang w:val="fr-CA"/>
        </w:rPr>
        <w:t xml:space="preserve"> 1</w:t>
      </w:r>
      <w:r w:rsidRPr="00DB1648">
        <w:rPr>
          <w:vertAlign w:val="superscript"/>
          <w:lang w:val="fr-CA"/>
        </w:rPr>
        <w:t>er</w:t>
      </w:r>
      <w:r w:rsidRPr="00DB1648">
        <w:rPr>
          <w:lang w:val="fr-CA"/>
        </w:rPr>
        <w:t xml:space="preserve"> janvier 2025, embauche d’un expert afin de faciliter la mise sur pied d’un programme d’accréditation fonctionnel en entretien d’équipement de réfrigération et climatisation, mise sur pied de deux centre</w:t>
      </w:r>
      <w:r w:rsidR="00A11F34">
        <w:rPr>
          <w:lang w:val="fr-CA"/>
        </w:rPr>
        <w:t>s</w:t>
      </w:r>
      <w:r w:rsidRPr="00DB1648">
        <w:rPr>
          <w:lang w:val="fr-CA"/>
        </w:rPr>
        <w:t xml:space="preserve"> d’accréditation, développement des capacités à l’étranger pour au moins deux enseignants en vue d’en faire des </w:t>
      </w:r>
      <w:r w:rsidR="00B00493" w:rsidRPr="00DB1648">
        <w:rPr>
          <w:lang w:val="fr-CA"/>
        </w:rPr>
        <w:t>agents d’accréditation</w:t>
      </w:r>
      <w:r w:rsidRPr="00DB1648">
        <w:rPr>
          <w:lang w:val="fr-CA"/>
        </w:rPr>
        <w:t xml:space="preserve"> et mise à l’essai du fonctionnement du programme en accréditant 25 techniciens; création d’un code de déontologie et d’une orientation en vue de l’accréditation; présentation de </w:t>
      </w:r>
      <w:r w:rsidR="00B00493" w:rsidRPr="00DB1648">
        <w:rPr>
          <w:lang w:val="fr-CA"/>
        </w:rPr>
        <w:t>huit</w:t>
      </w:r>
      <w:r w:rsidRPr="00DB1648">
        <w:rPr>
          <w:lang w:val="fr-CA"/>
        </w:rPr>
        <w:t xml:space="preserve"> sessions en vue de former et d’accréditer </w:t>
      </w:r>
      <w:r w:rsidR="00B00493" w:rsidRPr="00DB1648">
        <w:rPr>
          <w:lang w:val="fr-CA"/>
        </w:rPr>
        <w:t>160</w:t>
      </w:r>
      <w:r w:rsidRPr="00DB1648">
        <w:rPr>
          <w:lang w:val="fr-CA"/>
        </w:rPr>
        <w:t xml:space="preserve"> techniciens en réfrigération et climatisation concernant les bonnes pratiques d’entretien e</w:t>
      </w:r>
      <w:r w:rsidR="00157C57">
        <w:rPr>
          <w:lang w:val="fr-CA"/>
        </w:rPr>
        <w:t xml:space="preserve">t la gestion des frigorigènes </w:t>
      </w:r>
      <w:r w:rsidRPr="00DB1648">
        <w:rPr>
          <w:lang w:val="fr-CA"/>
        </w:rPr>
        <w:t>inflammables; signature d’un accord avec deux centre</w:t>
      </w:r>
      <w:r w:rsidR="00B00493" w:rsidRPr="00DB1648">
        <w:rPr>
          <w:lang w:val="fr-CA"/>
        </w:rPr>
        <w:t>s</w:t>
      </w:r>
      <w:r w:rsidRPr="00DB1648">
        <w:rPr>
          <w:lang w:val="fr-CA"/>
        </w:rPr>
        <w:t xml:space="preserve"> de formation professionnelle supplémentaires afin d’intégrer la récupération et le recyclage des HCFC et la manipulation des hydrocarbures à leur programme de cour</w:t>
      </w:r>
      <w:r w:rsidR="00503B56">
        <w:rPr>
          <w:lang w:val="fr-CA"/>
        </w:rPr>
        <w:t>s;</w:t>
      </w:r>
      <w:r w:rsidRPr="00DB1648">
        <w:rPr>
          <w:lang w:val="fr-CA"/>
        </w:rPr>
        <w:t xml:space="preserve"> renforcement de l’association de réfrigération et climatisation, et sensibilisation </w:t>
      </w:r>
      <w:r w:rsidR="00A11F34">
        <w:rPr>
          <w:lang w:val="fr-CA"/>
        </w:rPr>
        <w:t xml:space="preserve">accrue </w:t>
      </w:r>
      <w:r w:rsidRPr="00DB1648">
        <w:rPr>
          <w:lang w:val="fr-CA"/>
        </w:rPr>
        <w:t xml:space="preserve">du public grâce à la publicité </w:t>
      </w:r>
      <w:r w:rsidR="00AA2859" w:rsidRPr="00DB1648">
        <w:rPr>
          <w:lang w:val="fr-CA"/>
        </w:rPr>
        <w:t>dans les</w:t>
      </w:r>
      <w:r w:rsidRPr="00DB1648">
        <w:rPr>
          <w:lang w:val="fr-CA"/>
        </w:rPr>
        <w:t xml:space="preserve"> médias locaux</w:t>
      </w:r>
      <w:r w:rsidR="00A11F34">
        <w:rPr>
          <w:lang w:val="fr-CA"/>
        </w:rPr>
        <w:t xml:space="preserve"> </w:t>
      </w:r>
      <w:r w:rsidR="006728B8">
        <w:rPr>
          <w:lang w:val="fr-CA"/>
        </w:rPr>
        <w:t xml:space="preserve">et les ateliers </w:t>
      </w:r>
      <w:r w:rsidR="00A11F34">
        <w:rPr>
          <w:lang w:val="fr-CA"/>
        </w:rPr>
        <w:t>afin d’</w:t>
      </w:r>
      <w:r w:rsidR="00A11F34" w:rsidRPr="00DB1648">
        <w:rPr>
          <w:lang w:val="fr-CA"/>
        </w:rPr>
        <w:t xml:space="preserve">informer les utilisateurs finaux de la technologie à PRG de faible à nul et </w:t>
      </w:r>
      <w:r w:rsidR="00A11F34">
        <w:rPr>
          <w:lang w:val="fr-CA"/>
        </w:rPr>
        <w:t xml:space="preserve">les </w:t>
      </w:r>
      <w:r w:rsidR="00A11F34" w:rsidRPr="00DB1648">
        <w:rPr>
          <w:lang w:val="fr-CA"/>
        </w:rPr>
        <w:t xml:space="preserve">dissuader </w:t>
      </w:r>
      <w:r w:rsidR="00A11F34">
        <w:rPr>
          <w:lang w:val="fr-CA"/>
        </w:rPr>
        <w:t>d’utiliser des</w:t>
      </w:r>
      <w:r w:rsidR="00A11F34" w:rsidRPr="00DB1648">
        <w:rPr>
          <w:lang w:val="fr-CA"/>
        </w:rPr>
        <w:t xml:space="preserve"> technologies à base de HFC</w:t>
      </w:r>
      <w:r w:rsidRPr="00DB1648">
        <w:rPr>
          <w:lang w:val="fr-CA"/>
        </w:rPr>
        <w:t xml:space="preserve"> (90 000 $US)</w:t>
      </w:r>
      <w:r w:rsidR="006B78A5" w:rsidRPr="00DB1648">
        <w:rPr>
          <w:lang w:val="fr-CA"/>
        </w:rPr>
        <w:t>;</w:t>
      </w:r>
      <w:r w:rsidR="00455603" w:rsidRPr="00DB1648">
        <w:rPr>
          <w:lang w:val="fr-CA"/>
        </w:rPr>
        <w:t xml:space="preserve"> </w:t>
      </w:r>
    </w:p>
    <w:p w14:paraId="602E7FB7" w14:textId="05B9F548" w:rsidR="0085594D" w:rsidRPr="00DB1648" w:rsidRDefault="00AA2859" w:rsidP="00A0418C">
      <w:pPr>
        <w:numPr>
          <w:ilvl w:val="1"/>
          <w:numId w:val="1"/>
        </w:numPr>
        <w:suppressAutoHyphens/>
        <w:spacing w:after="240"/>
        <w:outlineLvl w:val="1"/>
        <w:rPr>
          <w:lang w:val="fr-CA"/>
        </w:rPr>
      </w:pPr>
      <w:r w:rsidRPr="00DB1648">
        <w:rPr>
          <w:i/>
          <w:iCs/>
          <w:lang w:val="fr-CA"/>
        </w:rPr>
        <w:t xml:space="preserve">Approvisionnement du secteur de l’entretien en trousses d’outils et équipements convenables : </w:t>
      </w:r>
      <w:r w:rsidRPr="00DB1648">
        <w:rPr>
          <w:iCs/>
          <w:lang w:val="fr-CA"/>
        </w:rPr>
        <w:t>Achat de 12 trousses d’outils (p. ex., système de dérivation comprenant des accessoires pour les différents frigorigènes, jeu de 3 conduites, outil d’enlèvement des robinets, miroir d’inspection, différents appareils d’évasement, outil d’évasement, coupe</w:t>
      </w:r>
      <w:r w:rsidR="005A5DA6">
        <w:rPr>
          <w:iCs/>
          <w:lang w:val="fr-CA"/>
        </w:rPr>
        <w:noBreakHyphen/>
      </w:r>
      <w:r w:rsidRPr="00DB1648">
        <w:rPr>
          <w:iCs/>
          <w:lang w:val="fr-CA"/>
        </w:rPr>
        <w:t>tuyaux, thermomètre électronique, clé à rochet, ressorts de pliage et balances électroniques) aux fins de distribution dans les coll</w:t>
      </w:r>
      <w:r w:rsidR="005A2D76" w:rsidRPr="00DB1648">
        <w:rPr>
          <w:iCs/>
          <w:lang w:val="fr-CA"/>
        </w:rPr>
        <w:t>èges techniques (2</w:t>
      </w:r>
      <w:r w:rsidRPr="00DB1648">
        <w:rPr>
          <w:iCs/>
          <w:lang w:val="fr-CA"/>
        </w:rPr>
        <w:t>0 000 $US);</w:t>
      </w:r>
    </w:p>
    <w:p w14:paraId="0C31EE6D" w14:textId="25E253A2" w:rsidR="0079735D" w:rsidRPr="00DB1648" w:rsidRDefault="005A2D76" w:rsidP="00A0418C">
      <w:pPr>
        <w:numPr>
          <w:ilvl w:val="1"/>
          <w:numId w:val="1"/>
        </w:numPr>
        <w:suppressAutoHyphens/>
        <w:spacing w:after="240"/>
        <w:outlineLvl w:val="1"/>
        <w:rPr>
          <w:lang w:val="fr-CA"/>
        </w:rPr>
      </w:pPr>
      <w:r w:rsidRPr="00DB1648">
        <w:rPr>
          <w:i/>
          <w:lang w:val="fr-CA"/>
        </w:rPr>
        <w:lastRenderedPageBreak/>
        <w:t>Suivi et soutien au projet :</w:t>
      </w:r>
      <w:r w:rsidR="00C54484" w:rsidRPr="00DB1648">
        <w:rPr>
          <w:lang w:val="fr-CA"/>
        </w:rPr>
        <w:t xml:space="preserve"> </w:t>
      </w:r>
      <w:r w:rsidR="0079735D" w:rsidRPr="00DB1648">
        <w:rPr>
          <w:lang w:val="fr-CA"/>
        </w:rPr>
        <w:t>(</w:t>
      </w:r>
      <w:r w:rsidRPr="00DB1648">
        <w:rPr>
          <w:lang w:val="fr-CA"/>
        </w:rPr>
        <w:t>6 000 $US pour un consultant; 2 500 $US pour les déplacements liés au suivi et 1 500 $US pour les réunions de coordination) (10 000 $US)</w:t>
      </w:r>
      <w:r w:rsidR="0079735D" w:rsidRPr="00DB1648">
        <w:rPr>
          <w:lang w:val="fr-CA"/>
        </w:rPr>
        <w:t>.</w:t>
      </w:r>
    </w:p>
    <w:p w14:paraId="2DD6A81C" w14:textId="32F757BD" w:rsidR="00EB31E3" w:rsidRPr="00DB1648" w:rsidRDefault="005A2D76" w:rsidP="00A0418C">
      <w:pPr>
        <w:suppressAutoHyphens/>
        <w:spacing w:after="240"/>
        <w:jc w:val="center"/>
        <w:rPr>
          <w:b/>
          <w:lang w:val="fr-CA"/>
        </w:rPr>
      </w:pPr>
      <w:r w:rsidRPr="00DB1648">
        <w:rPr>
          <w:b/>
          <w:lang w:val="fr-CA"/>
        </w:rPr>
        <w:t>OBSERVATIONS ET RECOMMANDATION DU SECRÉTARIAT</w:t>
      </w:r>
    </w:p>
    <w:p w14:paraId="1EFC0554" w14:textId="429ED6D9" w:rsidR="00EB31E3" w:rsidRPr="00DB1648" w:rsidRDefault="005A2D76" w:rsidP="00A0418C">
      <w:pPr>
        <w:suppressAutoHyphens/>
        <w:spacing w:after="240"/>
        <w:rPr>
          <w:b/>
          <w:lang w:val="fr-CA"/>
        </w:rPr>
      </w:pPr>
      <w:r w:rsidRPr="00DB1648">
        <w:rPr>
          <w:b/>
          <w:lang w:val="fr-CA"/>
        </w:rPr>
        <w:t>OBSERVATIONS</w:t>
      </w:r>
    </w:p>
    <w:p w14:paraId="4565221C" w14:textId="60475EAC" w:rsidR="00EB31E3" w:rsidRPr="00DB1648" w:rsidRDefault="007D2318" w:rsidP="00A0418C">
      <w:pPr>
        <w:numPr>
          <w:ilvl w:val="0"/>
          <w:numId w:val="1"/>
        </w:numPr>
        <w:suppressAutoHyphens/>
        <w:spacing w:after="240"/>
        <w:outlineLvl w:val="0"/>
        <w:rPr>
          <w:lang w:val="fr-CA"/>
        </w:rPr>
      </w:pPr>
      <w:r w:rsidRPr="00DB1648">
        <w:rPr>
          <w:lang w:val="fr-CA"/>
        </w:rPr>
        <w:t>Le Secrétariat a examiné la phase II du PGEH à la lumière de la phase I, des politiques et orientations du Fonds multilatéral, dont les critères de financement de l’élimination de la consommation de HCFC à la phase II du PGEH (décision 74</w:t>
      </w:r>
      <w:r w:rsidR="006728B8">
        <w:rPr>
          <w:lang w:val="fr-CA"/>
        </w:rPr>
        <w:t>/50), et le plan</w:t>
      </w:r>
      <w:r w:rsidRPr="00DB1648">
        <w:rPr>
          <w:lang w:val="fr-CA"/>
        </w:rPr>
        <w:t xml:space="preserve"> d’activités du Fonds multilatéral pour 2021-2023</w:t>
      </w:r>
      <w:r w:rsidR="00EB31E3" w:rsidRPr="00DB1648">
        <w:rPr>
          <w:lang w:val="fr-CA"/>
        </w:rPr>
        <w:t xml:space="preserve">. </w:t>
      </w:r>
    </w:p>
    <w:p w14:paraId="5B19CEAF" w14:textId="2D7B80C7" w:rsidR="00EC48B9" w:rsidRPr="00DB1648" w:rsidRDefault="007D2318" w:rsidP="00A0418C">
      <w:pPr>
        <w:pStyle w:val="ListParagraph"/>
        <w:suppressAutoHyphens/>
        <w:ind w:left="0"/>
        <w:rPr>
          <w:u w:val="single"/>
          <w:lang w:val="fr-CA"/>
        </w:rPr>
      </w:pPr>
      <w:r w:rsidRPr="00DB1648">
        <w:rPr>
          <w:u w:val="single"/>
          <w:lang w:val="fr-CA"/>
        </w:rPr>
        <w:t>Consommation de HCFC</w:t>
      </w:r>
    </w:p>
    <w:p w14:paraId="081AEF43" w14:textId="77777777" w:rsidR="00EC48B9" w:rsidRPr="00DB1648" w:rsidRDefault="00EC48B9" w:rsidP="00A0418C">
      <w:pPr>
        <w:pStyle w:val="ListParagraph"/>
        <w:suppressAutoHyphens/>
        <w:ind w:left="0"/>
        <w:rPr>
          <w:lang w:val="fr-CA"/>
        </w:rPr>
      </w:pPr>
    </w:p>
    <w:p w14:paraId="0C598F19" w14:textId="3C8DD806" w:rsidR="00EC48B9" w:rsidRPr="00DB1648" w:rsidRDefault="000075AE" w:rsidP="00A0418C">
      <w:pPr>
        <w:pStyle w:val="Heading1"/>
        <w:numPr>
          <w:ilvl w:val="0"/>
          <w:numId w:val="1"/>
        </w:numPr>
        <w:suppressAutoHyphens/>
        <w:rPr>
          <w:u w:val="single"/>
          <w:lang w:val="fr-CA"/>
        </w:rPr>
      </w:pPr>
      <w:r w:rsidRPr="00DB1648">
        <w:rPr>
          <w:rFonts w:eastAsia="Calibri"/>
          <w:lang w:val="fr-CA"/>
        </w:rPr>
        <w:t>Compte tenu du niveau de réduction de la consommation de HCFC atteint depuis 2016 et du quota de 0,04 tonne PAO (réduction de 96 pour cent de la valeur de référence) émis pour 2022, le Secrétariat a demandé au PNUE si la pays accepterait d’adopter un calendrier d’élimination accélérée pour les HCFC. Après en avoir discuté avec le gouvernement, le PNUE a indiqué que le pays acceptait de réviser son calendrier d’élimination comme suit : 96 pour cent de</w:t>
      </w:r>
      <w:r w:rsidR="007375F0" w:rsidRPr="00DB1648">
        <w:rPr>
          <w:rFonts w:eastAsia="Calibri"/>
          <w:lang w:val="fr-CA"/>
        </w:rPr>
        <w:t xml:space="preserve"> 2022 à 2024, 98 pour cent de 20</w:t>
      </w:r>
      <w:r w:rsidRPr="00DB1648">
        <w:rPr>
          <w:rFonts w:eastAsia="Calibri"/>
          <w:lang w:val="fr-CA"/>
        </w:rPr>
        <w:t>25</w:t>
      </w:r>
      <w:r w:rsidR="006728B8">
        <w:rPr>
          <w:rFonts w:eastAsia="Calibri"/>
          <w:lang w:val="fr-CA"/>
        </w:rPr>
        <w:t xml:space="preserve"> à 2029 et 100</w:t>
      </w:r>
      <w:r w:rsidR="005A5DA6">
        <w:rPr>
          <w:rFonts w:eastAsia="Calibri"/>
          <w:lang w:val="fr-CA"/>
        </w:rPr>
        <w:t> </w:t>
      </w:r>
      <w:r w:rsidR="006728B8">
        <w:rPr>
          <w:rFonts w:eastAsia="Calibri"/>
          <w:lang w:val="fr-CA"/>
        </w:rPr>
        <w:t>pour</w:t>
      </w:r>
      <w:r w:rsidR="005A5DA6">
        <w:rPr>
          <w:rFonts w:eastAsia="Calibri"/>
          <w:lang w:val="fr-CA"/>
        </w:rPr>
        <w:t> </w:t>
      </w:r>
      <w:r w:rsidR="006728B8">
        <w:rPr>
          <w:rFonts w:eastAsia="Calibri"/>
          <w:lang w:val="fr-CA"/>
        </w:rPr>
        <w:t>cent d’ici</w:t>
      </w:r>
      <w:r w:rsidRPr="00DB1648">
        <w:rPr>
          <w:rFonts w:eastAsia="Calibri"/>
          <w:lang w:val="fr-CA"/>
        </w:rPr>
        <w:t xml:space="preserve"> 2030</w:t>
      </w:r>
      <w:r w:rsidR="00EC48B9" w:rsidRPr="00DB1648">
        <w:rPr>
          <w:lang w:val="fr-CA"/>
        </w:rPr>
        <w:t>.</w:t>
      </w:r>
    </w:p>
    <w:p w14:paraId="62D35692" w14:textId="06BEA57C" w:rsidR="00EC48B9" w:rsidRPr="00DB1648" w:rsidRDefault="0053118F" w:rsidP="00A0418C">
      <w:pPr>
        <w:pStyle w:val="Heading1"/>
        <w:suppressAutoHyphens/>
        <w:rPr>
          <w:u w:val="single"/>
          <w:lang w:val="fr-CA"/>
        </w:rPr>
      </w:pPr>
      <w:r w:rsidRPr="00DB1648">
        <w:rPr>
          <w:u w:val="single"/>
          <w:lang w:val="fr-CA"/>
        </w:rPr>
        <w:t>Stratégie globale</w:t>
      </w:r>
    </w:p>
    <w:p w14:paraId="60AD0A7C" w14:textId="261C57B2" w:rsidR="00EC48B9" w:rsidRPr="00DB1648" w:rsidRDefault="0053118F" w:rsidP="00A0418C">
      <w:pPr>
        <w:pStyle w:val="Heading1"/>
        <w:numPr>
          <w:ilvl w:val="0"/>
          <w:numId w:val="1"/>
        </w:numPr>
        <w:suppressAutoHyphens/>
        <w:rPr>
          <w:lang w:val="fr-CA"/>
        </w:rPr>
      </w:pPr>
      <w:r w:rsidRPr="00DB1648">
        <w:rPr>
          <w:lang w:val="fr-CA"/>
        </w:rPr>
        <w:t xml:space="preserve">En plus de respecter le calendrier d’élimination accélérée ci-dessus, le gouvernement de Cabo Verde propose de maintenir une consommation annuelle maximale de HCFC </w:t>
      </w:r>
      <w:r w:rsidR="00157C57">
        <w:rPr>
          <w:lang w:val="fr-CA"/>
        </w:rPr>
        <w:t>conforme au paragraphe 8 ter </w:t>
      </w:r>
      <w:r w:rsidRPr="00DB1648">
        <w:rPr>
          <w:lang w:val="fr-CA"/>
        </w:rPr>
        <w:t xml:space="preserve">e) i) </w:t>
      </w:r>
      <w:r w:rsidR="007375F0" w:rsidRPr="00DB1648">
        <w:rPr>
          <w:lang w:val="fr-CA"/>
        </w:rPr>
        <w:t xml:space="preserve">de l’article 5 </w:t>
      </w:r>
      <w:r w:rsidRPr="00DB1648">
        <w:rPr>
          <w:lang w:val="fr-CA"/>
        </w:rPr>
        <w:t>du Protocole de Montréal, de 2030 à 2040</w:t>
      </w:r>
      <w:r w:rsidR="00EC48B9" w:rsidRPr="00DB1648">
        <w:rPr>
          <w:lang w:val="fr-CA"/>
        </w:rPr>
        <w:t>.</w:t>
      </w:r>
      <w:r w:rsidR="00EC48B9" w:rsidRPr="00DB1648">
        <w:rPr>
          <w:rStyle w:val="FootnoteReference"/>
          <w:lang w:val="fr-CA"/>
        </w:rPr>
        <w:footnoteReference w:id="7"/>
      </w:r>
      <w:r w:rsidR="00EC48B9" w:rsidRPr="00DB1648">
        <w:rPr>
          <w:lang w:val="fr-CA"/>
        </w:rPr>
        <w:t xml:space="preserve"> </w:t>
      </w:r>
      <w:r w:rsidRPr="00DB1648">
        <w:rPr>
          <w:lang w:val="fr-CA"/>
        </w:rPr>
        <w:t xml:space="preserve">Le gouvernement s’engage également à continuer à appliquer des critères sévères dans le cadre de son programme d’octroi de permis afin d’assurer le suivi des niveaux d’importation et des utilisations des HCFC au cours de cette période, </w:t>
      </w:r>
      <w:r w:rsidR="006728B8">
        <w:rPr>
          <w:lang w:val="fr-CA"/>
        </w:rPr>
        <w:t>et</w:t>
      </w:r>
      <w:r w:rsidRPr="00DB1648">
        <w:rPr>
          <w:lang w:val="fr-CA"/>
        </w:rPr>
        <w:t xml:space="preserve"> de garantir que tout est conforme aux dispositions du Protocole de Montréal.</w:t>
      </w:r>
    </w:p>
    <w:p w14:paraId="69782304" w14:textId="1EC569AC" w:rsidR="00EC48B9" w:rsidRPr="00DB1648" w:rsidRDefault="005A078B" w:rsidP="00A0418C">
      <w:pPr>
        <w:pStyle w:val="Heading1"/>
        <w:numPr>
          <w:ilvl w:val="0"/>
          <w:numId w:val="1"/>
        </w:numPr>
        <w:suppressAutoHyphens/>
        <w:rPr>
          <w:lang w:val="fr-CA"/>
        </w:rPr>
      </w:pPr>
      <w:r w:rsidRPr="00DB1648">
        <w:rPr>
          <w:lang w:val="fr-CA"/>
        </w:rPr>
        <w:t xml:space="preserve">Conformément à la décision 86/51 et dans le but d’assurer l’examen de </w:t>
      </w:r>
      <w:r w:rsidR="006728B8">
        <w:rPr>
          <w:lang w:val="fr-CA"/>
        </w:rPr>
        <w:t>l</w:t>
      </w:r>
      <w:r w:rsidRPr="00DB1648">
        <w:rPr>
          <w:lang w:val="fr-CA"/>
        </w:rPr>
        <w:t xml:space="preserve">a dernière tranche de son PGEH, le gouvernement de Cabo Verde accepte de remettre une description détaillée du cadre de réglementation et de politique en place afin de garantir </w:t>
      </w:r>
      <w:r w:rsidR="00275961">
        <w:rPr>
          <w:lang w:val="fr-CA"/>
        </w:rPr>
        <w:t xml:space="preserve">une </w:t>
      </w:r>
      <w:r w:rsidRPr="00DB1648">
        <w:rPr>
          <w:lang w:val="fr-CA"/>
        </w:rPr>
        <w:t>consommation de HCFC conforme au paragraphe 8 ter e) i) de l’article 5 du Protocole de Montréal de 2030 à 2040 et à la consommation annuelle prévue de HCFC pour cette même période</w:t>
      </w:r>
      <w:r w:rsidR="00EC48B9" w:rsidRPr="00DB1648">
        <w:rPr>
          <w:lang w:val="fr-CA"/>
        </w:rPr>
        <w:t>.</w:t>
      </w:r>
    </w:p>
    <w:p w14:paraId="49AD4224" w14:textId="174C89F5" w:rsidR="00EB31E3" w:rsidRPr="00DB1648" w:rsidRDefault="007375F0" w:rsidP="00B37BBD">
      <w:pPr>
        <w:keepNext/>
        <w:keepLines/>
        <w:suppressAutoHyphens/>
        <w:spacing w:after="240"/>
        <w:rPr>
          <w:u w:val="single"/>
          <w:lang w:val="fr-CA"/>
        </w:rPr>
      </w:pPr>
      <w:r w:rsidRPr="00DB1648">
        <w:rPr>
          <w:u w:val="single"/>
          <w:lang w:val="fr-CA"/>
        </w:rPr>
        <w:t>Questions techniques et de coût</w:t>
      </w:r>
    </w:p>
    <w:p w14:paraId="7DF72F28" w14:textId="285D0615" w:rsidR="00BC48B5" w:rsidRPr="00DB1648" w:rsidRDefault="007375F0" w:rsidP="00B37BBD">
      <w:pPr>
        <w:keepNext/>
        <w:keepLines/>
        <w:numPr>
          <w:ilvl w:val="0"/>
          <w:numId w:val="1"/>
        </w:numPr>
        <w:suppressAutoHyphens/>
        <w:spacing w:after="240"/>
        <w:outlineLvl w:val="0"/>
        <w:rPr>
          <w:rFonts w:eastAsia="Calibri"/>
          <w:lang w:val="fr-CA"/>
        </w:rPr>
      </w:pPr>
      <w:r w:rsidRPr="00DB1648">
        <w:rPr>
          <w:rFonts w:eastAsia="Calibri"/>
          <w:lang w:val="fr-CA"/>
        </w:rPr>
        <w:t xml:space="preserve">Ayant pris note de </w:t>
      </w:r>
      <w:r w:rsidR="00275961">
        <w:rPr>
          <w:rFonts w:eastAsia="Calibri"/>
          <w:lang w:val="fr-CA"/>
        </w:rPr>
        <w:t>la hausse graduelle de l’utilisation de</w:t>
      </w:r>
      <w:r w:rsidRPr="00DB1648">
        <w:rPr>
          <w:rFonts w:eastAsia="Calibri"/>
          <w:lang w:val="fr-CA"/>
        </w:rPr>
        <w:t xml:space="preserve"> substances des remplacement des HCFC, surtout des frigorigènes à base de HFC, au fil des ans (bien que le prix des frigorigènes de remplacement demeure supérieur à celui du HCFC-22), le Secrétariat a demandé à savoir comment le pays</w:t>
      </w:r>
      <w:r w:rsidR="00BB1E2D" w:rsidRPr="00DB1648">
        <w:rPr>
          <w:rFonts w:eastAsia="Calibri"/>
          <w:lang w:val="fr-CA"/>
        </w:rPr>
        <w:t xml:space="preserve"> </w:t>
      </w:r>
      <w:r w:rsidR="00275961">
        <w:rPr>
          <w:rFonts w:eastAsia="Calibri"/>
          <w:lang w:val="fr-CA"/>
        </w:rPr>
        <w:t>comptait encourager</w:t>
      </w:r>
      <w:r w:rsidR="00BB1E2D" w:rsidRPr="00DB1648">
        <w:rPr>
          <w:rFonts w:eastAsia="Calibri"/>
          <w:lang w:val="fr-CA"/>
        </w:rPr>
        <w:t xml:space="preserve"> l’</w:t>
      </w:r>
      <w:r w:rsidR="00BB1E2D" w:rsidRPr="00DB1648">
        <w:rPr>
          <w:lang w:val="fr-CA"/>
        </w:rPr>
        <w:t>utilisation</w:t>
      </w:r>
      <w:r w:rsidR="00BB1E2D" w:rsidRPr="00DB1648">
        <w:rPr>
          <w:rFonts w:eastAsia="Calibri"/>
          <w:lang w:val="fr-CA"/>
        </w:rPr>
        <w:t xml:space="preserve"> de substances à faible PRG pour remplacer les HCFC. Le PNUE a expliqué que l’équipement à base d’hydrocarbures faisait lentement son entrée au pays et que par conséquent, le gouvernement proposait des formations et des activités de sensibilisation supplémentaires à l’intention des techniciens en réfrigération et climatisation</w:t>
      </w:r>
      <w:r w:rsidR="00157C57">
        <w:rPr>
          <w:rFonts w:eastAsia="Calibri"/>
          <w:lang w:val="fr-CA"/>
        </w:rPr>
        <w:t>,</w:t>
      </w:r>
      <w:r w:rsidR="00BB1E2D" w:rsidRPr="00DB1648">
        <w:rPr>
          <w:rFonts w:eastAsia="Calibri"/>
          <w:lang w:val="fr-CA"/>
        </w:rPr>
        <w:t xml:space="preserve"> afin de préparer le secteur </w:t>
      </w:r>
      <w:r w:rsidR="00275961">
        <w:rPr>
          <w:rFonts w:eastAsia="Calibri"/>
          <w:lang w:val="fr-CA"/>
        </w:rPr>
        <w:t>à</w:t>
      </w:r>
      <w:r w:rsidR="00BB1E2D" w:rsidRPr="00DB1648">
        <w:rPr>
          <w:rFonts w:eastAsia="Calibri"/>
          <w:lang w:val="fr-CA"/>
        </w:rPr>
        <w:t xml:space="preserve"> l’adoption de technologies inflammables, et que l’étude sur les utilisateurs finaux avait pour but d’encourager l’introduction de technologies à faible PRG</w:t>
      </w:r>
      <w:r w:rsidR="00822A8F" w:rsidRPr="00DB1648">
        <w:rPr>
          <w:lang w:val="fr-CA"/>
        </w:rPr>
        <w:t>.</w:t>
      </w:r>
    </w:p>
    <w:p w14:paraId="16739C57" w14:textId="77777777" w:rsidR="00275961" w:rsidRDefault="00275961" w:rsidP="00A0418C">
      <w:pPr>
        <w:suppressAutoHyphens/>
        <w:spacing w:after="240"/>
        <w:outlineLvl w:val="0"/>
        <w:rPr>
          <w:u w:val="single"/>
          <w:lang w:val="fr-CA"/>
        </w:rPr>
      </w:pPr>
    </w:p>
    <w:p w14:paraId="009E525C" w14:textId="518C4EAD" w:rsidR="00EB31E3" w:rsidRPr="00DB1648" w:rsidRDefault="00BB1E2D" w:rsidP="00A0418C">
      <w:pPr>
        <w:suppressAutoHyphens/>
        <w:spacing w:after="240"/>
        <w:outlineLvl w:val="0"/>
        <w:rPr>
          <w:u w:val="single"/>
          <w:lang w:val="fr-CA"/>
        </w:rPr>
      </w:pPr>
      <w:r w:rsidRPr="00DB1648">
        <w:rPr>
          <w:u w:val="single"/>
          <w:lang w:val="fr-CA"/>
        </w:rPr>
        <w:lastRenderedPageBreak/>
        <w:t>Coût total du projet</w:t>
      </w:r>
    </w:p>
    <w:p w14:paraId="7CC0B01E" w14:textId="0569A5BA" w:rsidR="00DC0644" w:rsidRPr="00DB1648" w:rsidRDefault="006906CA" w:rsidP="00A0418C">
      <w:pPr>
        <w:pStyle w:val="Heading1"/>
        <w:numPr>
          <w:ilvl w:val="0"/>
          <w:numId w:val="1"/>
        </w:numPr>
        <w:suppressAutoHyphens/>
        <w:rPr>
          <w:lang w:val="fr-CA"/>
        </w:rPr>
      </w:pPr>
      <w:r w:rsidRPr="00DB1648">
        <w:rPr>
          <w:lang w:val="fr-CA"/>
        </w:rPr>
        <w:t xml:space="preserve">Le Secrétariat a constaté que la somme totale demandée pour la phase II du PGEH dépasse le niveau de financement disponible pour </w:t>
      </w:r>
      <w:r w:rsidR="00726A4E">
        <w:rPr>
          <w:lang w:val="fr-CA"/>
        </w:rPr>
        <w:t>les pays à</w:t>
      </w:r>
      <w:r w:rsidRPr="00DB1648">
        <w:rPr>
          <w:lang w:val="fr-CA"/>
        </w:rPr>
        <w:t xml:space="preserve"> faible volume de consommation. Ayant pris connaissance des </w:t>
      </w:r>
      <w:r w:rsidR="00661E5E" w:rsidRPr="00DB1648">
        <w:rPr>
          <w:lang w:val="fr-CA"/>
        </w:rPr>
        <w:t>pré</w:t>
      </w:r>
      <w:r w:rsidRPr="00DB1648">
        <w:rPr>
          <w:lang w:val="fr-CA"/>
        </w:rPr>
        <w:t xml:space="preserve">cisions apportées par le Secrétariat concernant la </w:t>
      </w:r>
      <w:r w:rsidR="00661E5E" w:rsidRPr="00DB1648">
        <w:rPr>
          <w:lang w:val="fr-CA"/>
        </w:rPr>
        <w:t>dé</w:t>
      </w:r>
      <w:r w:rsidRPr="00DB1648">
        <w:rPr>
          <w:lang w:val="fr-CA"/>
        </w:rPr>
        <w:t>cision 74/50</w:t>
      </w:r>
      <w:r w:rsidR="00817AFF" w:rsidRPr="00DB1648">
        <w:rPr>
          <w:lang w:val="fr-CA"/>
        </w:rPr>
        <w:t>,</w:t>
      </w:r>
      <w:r w:rsidR="00DC0644" w:rsidRPr="00DB1648">
        <w:rPr>
          <w:rStyle w:val="FootnoteReference"/>
          <w:lang w:val="fr-CA"/>
        </w:rPr>
        <w:footnoteReference w:id="8"/>
      </w:r>
      <w:r w:rsidR="00DC0644" w:rsidRPr="00DB1648">
        <w:rPr>
          <w:lang w:val="fr-CA"/>
        </w:rPr>
        <w:t xml:space="preserve"> </w:t>
      </w:r>
      <w:r w:rsidRPr="00DB1648">
        <w:rPr>
          <w:lang w:val="fr-CA"/>
        </w:rPr>
        <w:t xml:space="preserve">le </w:t>
      </w:r>
      <w:r w:rsidR="00661E5E" w:rsidRPr="00DB1648">
        <w:rPr>
          <w:lang w:val="fr-CA"/>
        </w:rPr>
        <w:t>pays</w:t>
      </w:r>
      <w:r w:rsidRPr="00DB1648">
        <w:rPr>
          <w:lang w:val="fr-CA"/>
        </w:rPr>
        <w:t xml:space="preserve"> a</w:t>
      </w:r>
      <w:r w:rsidR="00661E5E" w:rsidRPr="00DB1648">
        <w:rPr>
          <w:lang w:val="fr-CA"/>
        </w:rPr>
        <w:t xml:space="preserve"> modifié la priorité de ses activités, ce qui a mené à la révision du coût total de la phase II à 427 500 $US. La ventilation des coûts et </w:t>
      </w:r>
      <w:r w:rsidR="00726A4E">
        <w:rPr>
          <w:lang w:val="fr-CA"/>
        </w:rPr>
        <w:t>la différence</w:t>
      </w:r>
      <w:r w:rsidR="00661E5E" w:rsidRPr="00DB1648">
        <w:rPr>
          <w:lang w:val="fr-CA"/>
        </w:rPr>
        <w:t xml:space="preserve"> entre le coût proposé à l’origine et </w:t>
      </w:r>
      <w:r w:rsidR="00726A4E">
        <w:rPr>
          <w:lang w:val="fr-CA"/>
        </w:rPr>
        <w:t xml:space="preserve">celui </w:t>
      </w:r>
      <w:r w:rsidR="00661E5E" w:rsidRPr="00DB1648">
        <w:rPr>
          <w:lang w:val="fr-CA"/>
        </w:rPr>
        <w:t xml:space="preserve">de la proposition révisée </w:t>
      </w:r>
      <w:r w:rsidR="00726A4E">
        <w:rPr>
          <w:lang w:val="fr-CA"/>
        </w:rPr>
        <w:t>sont résumées</w:t>
      </w:r>
      <w:r w:rsidR="00661E5E" w:rsidRPr="00DB1648">
        <w:rPr>
          <w:lang w:val="fr-CA"/>
        </w:rPr>
        <w:t xml:space="preserve"> au tableau 3</w:t>
      </w:r>
      <w:r w:rsidR="00DC0644" w:rsidRPr="00DB1648">
        <w:rPr>
          <w:lang w:val="fr-CA"/>
        </w:rPr>
        <w:t>.</w:t>
      </w:r>
    </w:p>
    <w:p w14:paraId="073176BF" w14:textId="71BC99BC" w:rsidR="00DC0644" w:rsidRPr="00DB1648" w:rsidRDefault="00DC0644" w:rsidP="00A0418C">
      <w:pPr>
        <w:suppressAutoHyphens/>
        <w:rPr>
          <w:b/>
          <w:lang w:val="fr-CA"/>
        </w:rPr>
      </w:pPr>
      <w:r w:rsidRPr="00DB1648">
        <w:rPr>
          <w:b/>
          <w:lang w:val="fr-CA"/>
        </w:rPr>
        <w:t>Table</w:t>
      </w:r>
      <w:r w:rsidR="00661E5E" w:rsidRPr="00DB1648">
        <w:rPr>
          <w:b/>
          <w:lang w:val="fr-CA"/>
        </w:rPr>
        <w:t>au</w:t>
      </w:r>
      <w:r w:rsidRPr="00DB1648">
        <w:rPr>
          <w:b/>
          <w:lang w:val="fr-CA"/>
        </w:rPr>
        <w:t xml:space="preserve"> 3. </w:t>
      </w:r>
      <w:r w:rsidR="00661E5E" w:rsidRPr="00DB1648">
        <w:rPr>
          <w:b/>
          <w:lang w:val="fr-CA"/>
        </w:rPr>
        <w:t>Coût total de la phase II du PGEH pour Cabo Verde ($US)</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0"/>
        <w:gridCol w:w="1983"/>
        <w:gridCol w:w="1843"/>
      </w:tblGrid>
      <w:tr w:rsidR="00DC0644" w:rsidRPr="00DB1648" w14:paraId="50C267E6" w14:textId="77777777" w:rsidTr="008C33B5">
        <w:trPr>
          <w:trHeight w:val="251"/>
        </w:trPr>
        <w:tc>
          <w:tcPr>
            <w:tcW w:w="2955" w:type="pct"/>
            <w:shd w:val="clear" w:color="auto" w:fill="auto"/>
            <w:vAlign w:val="center"/>
            <w:hideMark/>
          </w:tcPr>
          <w:p w14:paraId="0FA53D01" w14:textId="6FFE35D5" w:rsidR="00DC0644" w:rsidRPr="00DB1648" w:rsidRDefault="00661E5E" w:rsidP="00A0418C">
            <w:pPr>
              <w:suppressAutoHyphens/>
              <w:jc w:val="left"/>
              <w:rPr>
                <w:b/>
                <w:color w:val="000000"/>
                <w:sz w:val="20"/>
                <w:szCs w:val="20"/>
                <w:lang w:val="fr-CA"/>
              </w:rPr>
            </w:pPr>
            <w:r w:rsidRPr="00DB1648">
              <w:rPr>
                <w:b/>
                <w:color w:val="000000"/>
                <w:sz w:val="20"/>
                <w:szCs w:val="20"/>
                <w:lang w:val="fr-CA"/>
              </w:rPr>
              <w:t>Activité</w:t>
            </w:r>
          </w:p>
        </w:tc>
        <w:tc>
          <w:tcPr>
            <w:tcW w:w="1060" w:type="pct"/>
            <w:vAlign w:val="center"/>
          </w:tcPr>
          <w:p w14:paraId="51220B01" w14:textId="47130352" w:rsidR="00DC0644" w:rsidRPr="00DB1648" w:rsidRDefault="00661E5E" w:rsidP="00A0418C">
            <w:pPr>
              <w:suppressAutoHyphens/>
              <w:jc w:val="center"/>
              <w:rPr>
                <w:b/>
                <w:color w:val="000000"/>
                <w:sz w:val="20"/>
                <w:szCs w:val="20"/>
                <w:lang w:val="fr-CA"/>
              </w:rPr>
            </w:pPr>
            <w:r w:rsidRPr="00DB1648">
              <w:rPr>
                <w:b/>
                <w:color w:val="000000"/>
                <w:sz w:val="20"/>
                <w:szCs w:val="20"/>
                <w:lang w:val="fr-CA"/>
              </w:rPr>
              <w:t>Coût de la proposition d’origine</w:t>
            </w:r>
          </w:p>
        </w:tc>
        <w:tc>
          <w:tcPr>
            <w:tcW w:w="985" w:type="pct"/>
            <w:shd w:val="clear" w:color="auto" w:fill="auto"/>
            <w:vAlign w:val="center"/>
            <w:hideMark/>
          </w:tcPr>
          <w:p w14:paraId="6B0598C3" w14:textId="2B248E2E" w:rsidR="00DC0644" w:rsidRPr="00DB1648" w:rsidRDefault="00661E5E" w:rsidP="00A0418C">
            <w:pPr>
              <w:suppressAutoHyphens/>
              <w:jc w:val="center"/>
              <w:rPr>
                <w:b/>
                <w:color w:val="000000"/>
                <w:sz w:val="20"/>
                <w:szCs w:val="20"/>
                <w:lang w:val="fr-CA"/>
              </w:rPr>
            </w:pPr>
            <w:r w:rsidRPr="00DB1648">
              <w:rPr>
                <w:b/>
                <w:color w:val="000000"/>
                <w:sz w:val="20"/>
                <w:szCs w:val="20"/>
                <w:lang w:val="fr-CA"/>
              </w:rPr>
              <w:t>Coût révisé</w:t>
            </w:r>
          </w:p>
        </w:tc>
      </w:tr>
      <w:tr w:rsidR="00DC0644" w:rsidRPr="00DB1648" w14:paraId="5413B2DD" w14:textId="77777777" w:rsidTr="008C33B5">
        <w:tc>
          <w:tcPr>
            <w:tcW w:w="2955" w:type="pct"/>
            <w:shd w:val="clear" w:color="auto" w:fill="auto"/>
            <w:noWrap/>
          </w:tcPr>
          <w:p w14:paraId="4D18D485" w14:textId="014B46BE" w:rsidR="00DC0644" w:rsidRPr="00DB1648" w:rsidRDefault="00661E5E" w:rsidP="00A0418C">
            <w:pPr>
              <w:suppressAutoHyphens/>
              <w:rPr>
                <w:sz w:val="20"/>
                <w:szCs w:val="20"/>
                <w:lang w:val="fr-CA"/>
              </w:rPr>
            </w:pPr>
            <w:r w:rsidRPr="00DB1648">
              <w:rPr>
                <w:sz w:val="20"/>
                <w:szCs w:val="20"/>
                <w:lang w:val="fr-CA"/>
              </w:rPr>
              <w:t>Renforcement des mesures législatives, application des mesures de réglementation et de suivi, et renforcement des capacités des douaniers et des autres agents d’exécution</w:t>
            </w:r>
          </w:p>
        </w:tc>
        <w:tc>
          <w:tcPr>
            <w:tcW w:w="1060" w:type="pct"/>
          </w:tcPr>
          <w:p w14:paraId="4C9DD6B8" w14:textId="2CBA0A27" w:rsidR="00DC0644" w:rsidRPr="00DB1648" w:rsidRDefault="00DC0644" w:rsidP="00A0418C">
            <w:pPr>
              <w:suppressAutoHyphens/>
              <w:ind w:right="169"/>
              <w:jc w:val="right"/>
              <w:rPr>
                <w:sz w:val="20"/>
                <w:szCs w:val="20"/>
                <w:lang w:val="fr-CA"/>
              </w:rPr>
            </w:pPr>
            <w:r w:rsidRPr="00DB1648">
              <w:rPr>
                <w:sz w:val="20"/>
                <w:szCs w:val="20"/>
                <w:lang w:val="fr-CA"/>
              </w:rPr>
              <w:t>200</w:t>
            </w:r>
            <w:r w:rsidR="00F454BB" w:rsidRPr="00DB1648">
              <w:rPr>
                <w:sz w:val="20"/>
                <w:szCs w:val="20"/>
                <w:lang w:val="fr-CA"/>
              </w:rPr>
              <w:t xml:space="preserve"> </w:t>
            </w:r>
            <w:r w:rsidRPr="00DB1648">
              <w:rPr>
                <w:sz w:val="20"/>
                <w:szCs w:val="20"/>
                <w:lang w:val="fr-CA"/>
              </w:rPr>
              <w:t>000</w:t>
            </w:r>
          </w:p>
        </w:tc>
        <w:tc>
          <w:tcPr>
            <w:tcW w:w="985" w:type="pct"/>
            <w:shd w:val="clear" w:color="auto" w:fill="auto"/>
          </w:tcPr>
          <w:p w14:paraId="5E4339F7" w14:textId="24CBC17F" w:rsidR="00DC0644" w:rsidRPr="00DB1648" w:rsidRDefault="00DC0644" w:rsidP="00A0418C">
            <w:pPr>
              <w:suppressAutoHyphens/>
              <w:ind w:right="304"/>
              <w:jc w:val="right"/>
              <w:rPr>
                <w:sz w:val="20"/>
                <w:szCs w:val="20"/>
                <w:lang w:val="fr-CA"/>
              </w:rPr>
            </w:pPr>
            <w:r w:rsidRPr="00DB1648">
              <w:rPr>
                <w:sz w:val="20"/>
                <w:szCs w:val="20"/>
                <w:lang w:val="fr-CA"/>
              </w:rPr>
              <w:t>157</w:t>
            </w:r>
            <w:r w:rsidR="00F454BB" w:rsidRPr="00DB1648">
              <w:rPr>
                <w:sz w:val="20"/>
                <w:szCs w:val="20"/>
                <w:lang w:val="fr-CA"/>
              </w:rPr>
              <w:t xml:space="preserve"> </w:t>
            </w:r>
            <w:r w:rsidRPr="00DB1648">
              <w:rPr>
                <w:sz w:val="20"/>
                <w:szCs w:val="20"/>
                <w:lang w:val="fr-CA"/>
              </w:rPr>
              <w:t>500</w:t>
            </w:r>
          </w:p>
        </w:tc>
      </w:tr>
      <w:tr w:rsidR="00DC0644" w:rsidRPr="00DB1648" w14:paraId="18524DEF" w14:textId="77777777" w:rsidTr="008C33B5">
        <w:tc>
          <w:tcPr>
            <w:tcW w:w="2955" w:type="pct"/>
            <w:shd w:val="clear" w:color="auto" w:fill="auto"/>
            <w:noWrap/>
          </w:tcPr>
          <w:p w14:paraId="12C1A4F9" w14:textId="2802A986" w:rsidR="00DC0644" w:rsidRPr="00DB1648" w:rsidRDefault="00661E5E" w:rsidP="00A0418C">
            <w:pPr>
              <w:suppressAutoHyphens/>
              <w:rPr>
                <w:color w:val="000000"/>
                <w:sz w:val="20"/>
                <w:szCs w:val="20"/>
                <w:lang w:val="fr-CA"/>
              </w:rPr>
            </w:pPr>
            <w:r w:rsidRPr="00DB1648">
              <w:rPr>
                <w:sz w:val="20"/>
                <w:szCs w:val="20"/>
                <w:lang w:val="fr-CA"/>
              </w:rPr>
              <w:t xml:space="preserve">Renforcement des capacités des techniciens en réfrigération et climatisation, </w:t>
            </w:r>
            <w:r w:rsidR="00F454BB" w:rsidRPr="00DB1648">
              <w:rPr>
                <w:sz w:val="20"/>
                <w:szCs w:val="20"/>
                <w:lang w:val="fr-CA"/>
              </w:rPr>
              <w:t>mise sur pied et exécution d’un programme d’accréditation obligatoire en entretien d’équipement de réfrigération et climatisation</w:t>
            </w:r>
          </w:p>
        </w:tc>
        <w:tc>
          <w:tcPr>
            <w:tcW w:w="1060" w:type="pct"/>
          </w:tcPr>
          <w:p w14:paraId="29E2B262" w14:textId="7D4380ED" w:rsidR="00DC0644" w:rsidRPr="00DB1648" w:rsidRDefault="00DC0644" w:rsidP="00A0418C">
            <w:pPr>
              <w:suppressAutoHyphens/>
              <w:ind w:right="169"/>
              <w:jc w:val="right"/>
              <w:rPr>
                <w:bCs/>
                <w:sz w:val="20"/>
                <w:szCs w:val="20"/>
                <w:lang w:val="fr-CA"/>
              </w:rPr>
            </w:pPr>
            <w:r w:rsidRPr="00DB1648">
              <w:rPr>
                <w:color w:val="000000"/>
                <w:sz w:val="20"/>
                <w:szCs w:val="20"/>
                <w:lang w:val="fr-CA"/>
              </w:rPr>
              <w:t>290</w:t>
            </w:r>
            <w:r w:rsidR="00F454BB" w:rsidRPr="00DB1648">
              <w:rPr>
                <w:color w:val="000000"/>
                <w:sz w:val="20"/>
                <w:szCs w:val="20"/>
                <w:lang w:val="fr-CA"/>
              </w:rPr>
              <w:t xml:space="preserve"> </w:t>
            </w:r>
            <w:r w:rsidRPr="00DB1648">
              <w:rPr>
                <w:color w:val="000000"/>
                <w:sz w:val="20"/>
                <w:szCs w:val="20"/>
                <w:lang w:val="fr-CA"/>
              </w:rPr>
              <w:t>000</w:t>
            </w:r>
          </w:p>
        </w:tc>
        <w:tc>
          <w:tcPr>
            <w:tcW w:w="985" w:type="pct"/>
            <w:shd w:val="clear" w:color="auto" w:fill="auto"/>
          </w:tcPr>
          <w:p w14:paraId="78E22FD7" w14:textId="5E23577A" w:rsidR="00DC0644" w:rsidRPr="00DB1648" w:rsidRDefault="00DC0644" w:rsidP="00A0418C">
            <w:pPr>
              <w:suppressAutoHyphens/>
              <w:ind w:right="304"/>
              <w:jc w:val="right"/>
              <w:rPr>
                <w:color w:val="000000"/>
                <w:sz w:val="20"/>
                <w:szCs w:val="20"/>
                <w:lang w:val="fr-CA"/>
              </w:rPr>
            </w:pPr>
            <w:r w:rsidRPr="00DB1648">
              <w:rPr>
                <w:sz w:val="20"/>
                <w:szCs w:val="20"/>
                <w:lang w:val="fr-CA"/>
              </w:rPr>
              <w:t>170</w:t>
            </w:r>
            <w:r w:rsidR="00F454BB" w:rsidRPr="00DB1648">
              <w:rPr>
                <w:sz w:val="20"/>
                <w:szCs w:val="20"/>
                <w:lang w:val="fr-CA"/>
              </w:rPr>
              <w:t xml:space="preserve"> </w:t>
            </w:r>
            <w:r w:rsidRPr="00DB1648">
              <w:rPr>
                <w:sz w:val="20"/>
                <w:szCs w:val="20"/>
                <w:lang w:val="fr-CA"/>
              </w:rPr>
              <w:t>000</w:t>
            </w:r>
          </w:p>
        </w:tc>
      </w:tr>
      <w:tr w:rsidR="00DC0644" w:rsidRPr="00DB1648" w14:paraId="7FC6A596" w14:textId="77777777" w:rsidTr="00AE61CE">
        <w:trPr>
          <w:trHeight w:hRule="exact" w:val="442"/>
        </w:trPr>
        <w:tc>
          <w:tcPr>
            <w:tcW w:w="2955" w:type="pct"/>
            <w:shd w:val="clear" w:color="auto" w:fill="auto"/>
            <w:noWrap/>
          </w:tcPr>
          <w:p w14:paraId="288482FF" w14:textId="0D6EEBE2" w:rsidR="00DC0644" w:rsidRPr="00DB1648" w:rsidRDefault="00F454BB" w:rsidP="00A0418C">
            <w:pPr>
              <w:suppressAutoHyphens/>
              <w:spacing w:after="240"/>
              <w:outlineLvl w:val="1"/>
              <w:rPr>
                <w:sz w:val="20"/>
                <w:szCs w:val="20"/>
                <w:lang w:val="fr-CA"/>
              </w:rPr>
            </w:pPr>
            <w:r w:rsidRPr="00DB1648">
              <w:rPr>
                <w:sz w:val="20"/>
                <w:szCs w:val="20"/>
                <w:lang w:val="fr-CA"/>
              </w:rPr>
              <w:t>Approvisionnement en trousses d’outils et équipement pour le secteur de l’entretien</w:t>
            </w:r>
          </w:p>
        </w:tc>
        <w:tc>
          <w:tcPr>
            <w:tcW w:w="1060" w:type="pct"/>
          </w:tcPr>
          <w:p w14:paraId="7EA23AD0" w14:textId="01F216D5" w:rsidR="00DC0644" w:rsidRPr="00DB1648" w:rsidRDefault="00DC0644" w:rsidP="00A0418C">
            <w:pPr>
              <w:suppressAutoHyphens/>
              <w:ind w:right="169"/>
              <w:jc w:val="right"/>
              <w:rPr>
                <w:color w:val="000000"/>
                <w:sz w:val="20"/>
                <w:szCs w:val="20"/>
                <w:lang w:val="fr-CA"/>
              </w:rPr>
            </w:pPr>
            <w:r w:rsidRPr="00DB1648">
              <w:rPr>
                <w:color w:val="000000"/>
                <w:sz w:val="20"/>
                <w:szCs w:val="20"/>
                <w:lang w:val="fr-CA"/>
              </w:rPr>
              <w:t>50</w:t>
            </w:r>
            <w:r w:rsidR="00F454BB" w:rsidRPr="00DB1648">
              <w:rPr>
                <w:color w:val="000000"/>
                <w:sz w:val="20"/>
                <w:szCs w:val="20"/>
                <w:lang w:val="fr-CA"/>
              </w:rPr>
              <w:t xml:space="preserve"> </w:t>
            </w:r>
            <w:r w:rsidRPr="00DB1648">
              <w:rPr>
                <w:color w:val="000000"/>
                <w:sz w:val="20"/>
                <w:szCs w:val="20"/>
                <w:lang w:val="fr-CA"/>
              </w:rPr>
              <w:t>000</w:t>
            </w:r>
          </w:p>
        </w:tc>
        <w:tc>
          <w:tcPr>
            <w:tcW w:w="985" w:type="pct"/>
            <w:shd w:val="clear" w:color="auto" w:fill="auto"/>
            <w:tcMar>
              <w:left w:w="115" w:type="dxa"/>
              <w:right w:w="432" w:type="dxa"/>
            </w:tcMar>
          </w:tcPr>
          <w:p w14:paraId="30B73706" w14:textId="4605A546" w:rsidR="00DC0644" w:rsidRPr="00DB1648" w:rsidRDefault="00DC0644" w:rsidP="00A0418C">
            <w:pPr>
              <w:suppressAutoHyphens/>
              <w:ind w:right="-18"/>
              <w:jc w:val="right"/>
              <w:rPr>
                <w:sz w:val="20"/>
                <w:szCs w:val="20"/>
                <w:lang w:val="fr-CA"/>
              </w:rPr>
            </w:pPr>
            <w:r w:rsidRPr="00DB1648">
              <w:rPr>
                <w:color w:val="000000"/>
                <w:sz w:val="20"/>
                <w:szCs w:val="20"/>
                <w:lang w:val="fr-CA"/>
              </w:rPr>
              <w:t>50</w:t>
            </w:r>
            <w:r w:rsidR="00F454BB" w:rsidRPr="00DB1648">
              <w:rPr>
                <w:color w:val="000000"/>
                <w:sz w:val="20"/>
                <w:szCs w:val="20"/>
                <w:lang w:val="fr-CA"/>
              </w:rPr>
              <w:t xml:space="preserve"> </w:t>
            </w:r>
            <w:r w:rsidRPr="00DB1648">
              <w:rPr>
                <w:color w:val="000000"/>
                <w:sz w:val="20"/>
                <w:szCs w:val="20"/>
                <w:lang w:val="fr-CA"/>
              </w:rPr>
              <w:t>000</w:t>
            </w:r>
          </w:p>
        </w:tc>
      </w:tr>
      <w:tr w:rsidR="00DC0644" w:rsidRPr="00DB1648" w14:paraId="5A417C40" w14:textId="77777777" w:rsidTr="008C33B5">
        <w:trPr>
          <w:trHeight w:hRule="exact" w:val="284"/>
        </w:trPr>
        <w:tc>
          <w:tcPr>
            <w:tcW w:w="2955" w:type="pct"/>
            <w:shd w:val="clear" w:color="auto" w:fill="auto"/>
            <w:noWrap/>
          </w:tcPr>
          <w:p w14:paraId="02CB657B" w14:textId="7B2B2F60" w:rsidR="00DC0644" w:rsidRPr="00DB1648" w:rsidRDefault="00F454BB" w:rsidP="00A0418C">
            <w:pPr>
              <w:tabs>
                <w:tab w:val="left" w:pos="360"/>
              </w:tabs>
              <w:suppressAutoHyphens/>
              <w:rPr>
                <w:color w:val="000000"/>
                <w:sz w:val="20"/>
                <w:szCs w:val="20"/>
                <w:lang w:val="fr-CA"/>
              </w:rPr>
            </w:pPr>
            <w:r w:rsidRPr="00DB1648">
              <w:rPr>
                <w:color w:val="000000"/>
                <w:sz w:val="20"/>
                <w:szCs w:val="20"/>
                <w:lang w:val="fr-CA"/>
              </w:rPr>
              <w:t>Suivi et établissement de rapports</w:t>
            </w:r>
          </w:p>
        </w:tc>
        <w:tc>
          <w:tcPr>
            <w:tcW w:w="1060" w:type="pct"/>
          </w:tcPr>
          <w:p w14:paraId="5000C812" w14:textId="2B8CFBCA" w:rsidR="00DC0644" w:rsidRPr="00DB1648" w:rsidRDefault="00DC0644" w:rsidP="00A0418C">
            <w:pPr>
              <w:suppressAutoHyphens/>
              <w:ind w:right="169"/>
              <w:jc w:val="right"/>
              <w:rPr>
                <w:sz w:val="20"/>
                <w:szCs w:val="20"/>
                <w:lang w:val="fr-CA"/>
              </w:rPr>
            </w:pPr>
            <w:r w:rsidRPr="00DB1648">
              <w:rPr>
                <w:color w:val="000000"/>
                <w:sz w:val="20"/>
                <w:szCs w:val="20"/>
                <w:lang w:val="fr-CA"/>
              </w:rPr>
              <w:t>50</w:t>
            </w:r>
            <w:r w:rsidR="00F454BB" w:rsidRPr="00DB1648">
              <w:rPr>
                <w:color w:val="000000"/>
                <w:sz w:val="20"/>
                <w:szCs w:val="20"/>
                <w:lang w:val="fr-CA"/>
              </w:rPr>
              <w:t xml:space="preserve"> </w:t>
            </w:r>
            <w:r w:rsidRPr="00DB1648">
              <w:rPr>
                <w:color w:val="000000"/>
                <w:sz w:val="20"/>
                <w:szCs w:val="20"/>
                <w:lang w:val="fr-CA"/>
              </w:rPr>
              <w:t>000</w:t>
            </w:r>
          </w:p>
        </w:tc>
        <w:tc>
          <w:tcPr>
            <w:tcW w:w="985" w:type="pct"/>
            <w:shd w:val="clear" w:color="auto" w:fill="auto"/>
            <w:tcMar>
              <w:left w:w="115" w:type="dxa"/>
              <w:right w:w="432" w:type="dxa"/>
            </w:tcMar>
          </w:tcPr>
          <w:p w14:paraId="490830B5" w14:textId="69F84DCB" w:rsidR="00DC0644" w:rsidRPr="00DB1648" w:rsidRDefault="00DC0644" w:rsidP="00A0418C">
            <w:pPr>
              <w:suppressAutoHyphens/>
              <w:ind w:right="-18"/>
              <w:jc w:val="right"/>
              <w:rPr>
                <w:color w:val="000000"/>
                <w:sz w:val="20"/>
                <w:szCs w:val="20"/>
                <w:lang w:val="fr-CA"/>
              </w:rPr>
            </w:pPr>
            <w:r w:rsidRPr="00DB1648">
              <w:rPr>
                <w:sz w:val="20"/>
                <w:szCs w:val="20"/>
                <w:lang w:val="fr-CA"/>
              </w:rPr>
              <w:t>50</w:t>
            </w:r>
            <w:r w:rsidR="00F454BB" w:rsidRPr="00DB1648">
              <w:rPr>
                <w:sz w:val="20"/>
                <w:szCs w:val="20"/>
                <w:lang w:val="fr-CA"/>
              </w:rPr>
              <w:t xml:space="preserve"> </w:t>
            </w:r>
            <w:r w:rsidRPr="00DB1648">
              <w:rPr>
                <w:sz w:val="20"/>
                <w:szCs w:val="20"/>
                <w:lang w:val="fr-CA"/>
              </w:rPr>
              <w:t>000</w:t>
            </w:r>
          </w:p>
        </w:tc>
      </w:tr>
      <w:tr w:rsidR="00DC0644" w:rsidRPr="00DB1648" w14:paraId="52A926AC" w14:textId="77777777" w:rsidTr="008C33B5">
        <w:trPr>
          <w:trHeight w:hRule="exact" w:val="284"/>
        </w:trPr>
        <w:tc>
          <w:tcPr>
            <w:tcW w:w="2955" w:type="pct"/>
            <w:shd w:val="clear" w:color="auto" w:fill="auto"/>
            <w:noWrap/>
            <w:hideMark/>
          </w:tcPr>
          <w:p w14:paraId="1D487DB1" w14:textId="77777777" w:rsidR="00DC0644" w:rsidRPr="00DB1648" w:rsidRDefault="00DC0644" w:rsidP="00A0418C">
            <w:pPr>
              <w:suppressAutoHyphens/>
              <w:jc w:val="left"/>
              <w:rPr>
                <w:b/>
                <w:color w:val="000000"/>
                <w:sz w:val="20"/>
                <w:szCs w:val="20"/>
                <w:lang w:val="fr-CA"/>
              </w:rPr>
            </w:pPr>
            <w:r w:rsidRPr="00DB1648">
              <w:rPr>
                <w:b/>
                <w:color w:val="000000"/>
                <w:sz w:val="20"/>
                <w:szCs w:val="20"/>
                <w:lang w:val="fr-CA"/>
              </w:rPr>
              <w:t xml:space="preserve">Total </w:t>
            </w:r>
          </w:p>
        </w:tc>
        <w:tc>
          <w:tcPr>
            <w:tcW w:w="1060" w:type="pct"/>
          </w:tcPr>
          <w:p w14:paraId="010AABFF" w14:textId="6247DFBA" w:rsidR="00DC0644" w:rsidRPr="00DB1648" w:rsidRDefault="00DC0644" w:rsidP="00A0418C">
            <w:pPr>
              <w:suppressAutoHyphens/>
              <w:ind w:right="169"/>
              <w:jc w:val="right"/>
              <w:rPr>
                <w:b/>
                <w:bCs/>
                <w:sz w:val="20"/>
                <w:szCs w:val="20"/>
                <w:lang w:val="fr-CA"/>
              </w:rPr>
            </w:pPr>
            <w:r w:rsidRPr="00DB1648">
              <w:rPr>
                <w:b/>
                <w:color w:val="000000"/>
                <w:sz w:val="20"/>
                <w:szCs w:val="20"/>
                <w:lang w:val="fr-CA"/>
              </w:rPr>
              <w:t>590</w:t>
            </w:r>
            <w:r w:rsidR="00F454BB" w:rsidRPr="00DB1648">
              <w:rPr>
                <w:b/>
                <w:color w:val="000000"/>
                <w:sz w:val="20"/>
                <w:szCs w:val="20"/>
                <w:lang w:val="fr-CA"/>
              </w:rPr>
              <w:t xml:space="preserve"> </w:t>
            </w:r>
            <w:r w:rsidRPr="00DB1648">
              <w:rPr>
                <w:b/>
                <w:color w:val="000000"/>
                <w:sz w:val="20"/>
                <w:szCs w:val="20"/>
                <w:lang w:val="fr-CA"/>
              </w:rPr>
              <w:t>000</w:t>
            </w:r>
          </w:p>
        </w:tc>
        <w:tc>
          <w:tcPr>
            <w:tcW w:w="985" w:type="pct"/>
            <w:shd w:val="clear" w:color="auto" w:fill="auto"/>
            <w:tcMar>
              <w:left w:w="115" w:type="dxa"/>
              <w:right w:w="432" w:type="dxa"/>
            </w:tcMar>
          </w:tcPr>
          <w:p w14:paraId="11750E10" w14:textId="1FF8D39C" w:rsidR="00DC0644" w:rsidRPr="00DB1648" w:rsidRDefault="00DC0644" w:rsidP="00A0418C">
            <w:pPr>
              <w:suppressAutoHyphens/>
              <w:ind w:right="-18"/>
              <w:jc w:val="right"/>
              <w:rPr>
                <w:b/>
                <w:color w:val="000000"/>
                <w:sz w:val="20"/>
                <w:szCs w:val="20"/>
                <w:lang w:val="fr-CA"/>
              </w:rPr>
            </w:pPr>
            <w:r w:rsidRPr="00DB1648">
              <w:rPr>
                <w:b/>
                <w:color w:val="000000"/>
                <w:sz w:val="20"/>
                <w:szCs w:val="20"/>
                <w:lang w:val="fr-CA"/>
              </w:rPr>
              <w:t>427</w:t>
            </w:r>
            <w:r w:rsidR="00F454BB" w:rsidRPr="00DB1648">
              <w:rPr>
                <w:b/>
                <w:color w:val="000000"/>
                <w:sz w:val="20"/>
                <w:szCs w:val="20"/>
                <w:lang w:val="fr-CA"/>
              </w:rPr>
              <w:t xml:space="preserve"> </w:t>
            </w:r>
            <w:r w:rsidRPr="00DB1648">
              <w:rPr>
                <w:b/>
                <w:color w:val="000000"/>
                <w:sz w:val="20"/>
                <w:szCs w:val="20"/>
                <w:lang w:val="fr-CA"/>
              </w:rPr>
              <w:t>500</w:t>
            </w:r>
          </w:p>
        </w:tc>
      </w:tr>
    </w:tbl>
    <w:p w14:paraId="59BF5C62" w14:textId="5DBB94DF" w:rsidR="00A0418C" w:rsidRPr="00DB1648" w:rsidRDefault="00A0418C" w:rsidP="00A0418C">
      <w:pPr>
        <w:suppressAutoHyphens/>
        <w:outlineLvl w:val="0"/>
        <w:rPr>
          <w:lang w:val="fr-CA"/>
        </w:rPr>
      </w:pPr>
    </w:p>
    <w:p w14:paraId="74D76136" w14:textId="086ABD66" w:rsidR="008C1F32" w:rsidRPr="00DB1648" w:rsidRDefault="00F454BB" w:rsidP="008C1F32">
      <w:pPr>
        <w:numPr>
          <w:ilvl w:val="0"/>
          <w:numId w:val="1"/>
        </w:numPr>
        <w:suppressAutoHyphens/>
        <w:spacing w:after="240"/>
        <w:outlineLvl w:val="0"/>
        <w:rPr>
          <w:lang w:val="fr-CA"/>
        </w:rPr>
      </w:pPr>
      <w:r w:rsidRPr="00DB1648">
        <w:rPr>
          <w:lang w:val="fr-CA"/>
        </w:rPr>
        <w:t>Les activités de renforcement des lois, de mise sur pied d’</w:t>
      </w:r>
      <w:r w:rsidR="001A4A9F" w:rsidRPr="00DB1648">
        <w:rPr>
          <w:lang w:val="fr-CA"/>
        </w:rPr>
        <w:t>u</w:t>
      </w:r>
      <w:r w:rsidRPr="00DB1648">
        <w:rPr>
          <w:lang w:val="fr-CA"/>
        </w:rPr>
        <w:t>n programme d’accréditation des techniciens d’entretien de l’équipement de réfrigération, d’approvisionnement en trousses à outils et en équipement pour les ateliers d’</w:t>
      </w:r>
      <w:r w:rsidR="001A4A9F" w:rsidRPr="00DB1648">
        <w:rPr>
          <w:lang w:val="fr-CA"/>
        </w:rPr>
        <w:t>entretien, de sensibilisati</w:t>
      </w:r>
      <w:r w:rsidRPr="00DB1648">
        <w:rPr>
          <w:lang w:val="fr-CA"/>
        </w:rPr>
        <w:t>on du public à l’adopti</w:t>
      </w:r>
      <w:r w:rsidR="001A4A9F" w:rsidRPr="00DB1648">
        <w:rPr>
          <w:lang w:val="fr-CA"/>
        </w:rPr>
        <w:t>on de technologies de remplacem</w:t>
      </w:r>
      <w:r w:rsidRPr="00DB1648">
        <w:rPr>
          <w:lang w:val="fr-CA"/>
        </w:rPr>
        <w:t>ent à faible PRG, et de suivi et établissement de rapports demeurent inchangées par rapport à la proposition d’</w:t>
      </w:r>
      <w:r w:rsidR="001A4A9F" w:rsidRPr="00DB1648">
        <w:rPr>
          <w:lang w:val="fr-CA"/>
        </w:rPr>
        <w:t>o</w:t>
      </w:r>
      <w:r w:rsidRPr="00DB1648">
        <w:rPr>
          <w:lang w:val="fr-CA"/>
        </w:rPr>
        <w:t xml:space="preserve">rigine. </w:t>
      </w:r>
      <w:r w:rsidR="001A4A9F" w:rsidRPr="00DB1648">
        <w:rPr>
          <w:lang w:val="fr-CA"/>
        </w:rPr>
        <w:t>Les cibles de la phase II ont été modifiées comme suit : la formation serait donnée à 500 techniciens en réfrigération et climatisation au lieu des 540 prévus</w:t>
      </w:r>
      <w:r w:rsidR="00726A4E">
        <w:rPr>
          <w:lang w:val="fr-CA"/>
        </w:rPr>
        <w:t xml:space="preserve"> à l’origine</w:t>
      </w:r>
      <w:r w:rsidR="001A4A9F" w:rsidRPr="00DB1648">
        <w:rPr>
          <w:lang w:val="fr-CA"/>
        </w:rPr>
        <w:t xml:space="preserve">; 500 techniciens en réfrigération et climatisation recevraient une formation s’étalant sur 20 cours au lieu de 25; et une évaluation de l’équipement à base de HCFC installé (comprenant le lieu, la capacité, la charge de frigorigène et la date d’installation) portant sur le potentiel de remplacement par de l’équipement de réfrigération </w:t>
      </w:r>
      <w:r w:rsidR="00726A4E">
        <w:rPr>
          <w:lang w:val="fr-CA"/>
        </w:rPr>
        <w:t>e</w:t>
      </w:r>
      <w:r w:rsidR="001A4A9F" w:rsidRPr="00DB1648">
        <w:rPr>
          <w:lang w:val="fr-CA"/>
        </w:rPr>
        <w:t xml:space="preserve">t de climatisation à base de frigorigènes à faible PRG au lieu de renforcer l’association de techniciens de réfrigération et climatisation. De plus les changements suivants ont été apportés aux résultats prévus de la première tranche : formation de 120 douaniers et autres agents d’exécution au lieu des 160 indiqués dans la proposition d’origine; </w:t>
      </w:r>
      <w:r w:rsidR="00FB643B">
        <w:rPr>
          <w:lang w:val="fr-CA"/>
        </w:rPr>
        <w:t>formation de 10</w:t>
      </w:r>
      <w:r w:rsidR="001A4A9F" w:rsidRPr="00DB1648">
        <w:rPr>
          <w:lang w:val="fr-CA"/>
        </w:rPr>
        <w:t>0 techniciens en réfrigération et climatisation au lieu de 160; et l’évaluation de l’équipement à base de HCFC installé au lieu du renforcement de l’association des techniciens en réfrigération et climatisation</w:t>
      </w:r>
      <w:r w:rsidR="008C1F32" w:rsidRPr="00DB1648">
        <w:rPr>
          <w:lang w:val="fr-CA"/>
        </w:rPr>
        <w:t>.</w:t>
      </w:r>
    </w:p>
    <w:p w14:paraId="67C13A1E" w14:textId="522456CC" w:rsidR="00EE5F73" w:rsidRPr="00DB1648" w:rsidRDefault="009967AF" w:rsidP="005A5DA6">
      <w:pPr>
        <w:numPr>
          <w:ilvl w:val="0"/>
          <w:numId w:val="1"/>
        </w:numPr>
        <w:suppressAutoHyphens/>
        <w:spacing w:after="120"/>
        <w:outlineLvl w:val="0"/>
        <w:rPr>
          <w:lang w:val="fr-CA"/>
        </w:rPr>
      </w:pPr>
      <w:r w:rsidRPr="00DB1648">
        <w:rPr>
          <w:lang w:val="fr-CA"/>
        </w:rPr>
        <w:t xml:space="preserve">Étant donné que le financement admissible est inférieur </w:t>
      </w:r>
      <w:r w:rsidR="00942E3F">
        <w:rPr>
          <w:lang w:val="fr-CA"/>
        </w:rPr>
        <w:t>à la somme demandée à l’origine</w:t>
      </w:r>
      <w:r w:rsidRPr="00DB1648">
        <w:rPr>
          <w:lang w:val="fr-CA"/>
        </w:rPr>
        <w:t>, le Secrétariat s’est entretenu avec le PNUE de la répartition des tranches proposée pour la phase II. La répartition des tranches révisée convenue est présentée dans le tableau 4</w:t>
      </w:r>
      <w:r w:rsidR="000504FB" w:rsidRPr="00DB1648">
        <w:rPr>
          <w:lang w:val="fr-CA"/>
        </w:rPr>
        <w:t>.</w:t>
      </w:r>
    </w:p>
    <w:p w14:paraId="7ADF80D7" w14:textId="37FDC3B7" w:rsidR="00EE5F73" w:rsidRPr="00DB1648" w:rsidRDefault="00EE5F73" w:rsidP="005A5DA6">
      <w:pPr>
        <w:suppressAutoHyphens/>
        <w:rPr>
          <w:b/>
          <w:lang w:val="fr-CA"/>
        </w:rPr>
      </w:pPr>
      <w:r w:rsidRPr="00DB1648">
        <w:rPr>
          <w:b/>
          <w:lang w:val="fr-CA"/>
        </w:rPr>
        <w:t>Tabl</w:t>
      </w:r>
      <w:r w:rsidR="004F6E72" w:rsidRPr="00DB1648">
        <w:rPr>
          <w:b/>
          <w:lang w:val="fr-CA"/>
        </w:rPr>
        <w:t>eau</w:t>
      </w:r>
      <w:r w:rsidRPr="00DB1648">
        <w:rPr>
          <w:b/>
          <w:lang w:val="fr-CA"/>
        </w:rPr>
        <w:t xml:space="preserve"> 4. </w:t>
      </w:r>
      <w:r w:rsidR="004F6E72" w:rsidRPr="00DB1648">
        <w:rPr>
          <w:b/>
          <w:lang w:val="fr-CA"/>
        </w:rPr>
        <w:t>Répartition des tranches proposée à l’origine et révisée pour la phase II du PGEH de Cabo Verde ($US)</w:t>
      </w:r>
    </w:p>
    <w:tbl>
      <w:tblPr>
        <w:tblStyle w:val="TableGrid"/>
        <w:tblW w:w="9351" w:type="dxa"/>
        <w:tblLayout w:type="fixed"/>
        <w:tblCellMar>
          <w:left w:w="115" w:type="dxa"/>
          <w:right w:w="115" w:type="dxa"/>
        </w:tblCellMar>
        <w:tblLook w:val="04A0" w:firstRow="1" w:lastRow="0" w:firstColumn="1" w:lastColumn="0" w:noHBand="0" w:noVBand="1"/>
      </w:tblPr>
      <w:tblGrid>
        <w:gridCol w:w="2245"/>
        <w:gridCol w:w="1421"/>
        <w:gridCol w:w="1421"/>
        <w:gridCol w:w="1421"/>
        <w:gridCol w:w="1421"/>
        <w:gridCol w:w="1422"/>
      </w:tblGrid>
      <w:tr w:rsidR="00EE5F73" w:rsidRPr="00DB1648" w14:paraId="51CBA080" w14:textId="77777777" w:rsidTr="0049322F">
        <w:trPr>
          <w:trHeight w:val="230"/>
        </w:trPr>
        <w:tc>
          <w:tcPr>
            <w:tcW w:w="2245" w:type="dxa"/>
            <w:shd w:val="clear" w:color="auto" w:fill="auto"/>
            <w:noWrap/>
            <w:tcMar>
              <w:left w:w="72" w:type="dxa"/>
              <w:right w:w="72" w:type="dxa"/>
            </w:tcMar>
            <w:vAlign w:val="center"/>
          </w:tcPr>
          <w:p w14:paraId="6B5EA02E" w14:textId="542ECF87" w:rsidR="00EE5F73" w:rsidRPr="00DB1648" w:rsidRDefault="004F6E72" w:rsidP="005A5DA6">
            <w:pPr>
              <w:suppressAutoHyphens/>
              <w:jc w:val="left"/>
              <w:rPr>
                <w:b/>
                <w:sz w:val="21"/>
                <w:szCs w:val="21"/>
                <w:lang w:val="fr-CA"/>
              </w:rPr>
            </w:pPr>
            <w:r w:rsidRPr="00DB1648">
              <w:rPr>
                <w:b/>
                <w:sz w:val="21"/>
                <w:szCs w:val="21"/>
                <w:lang w:val="fr-CA"/>
              </w:rPr>
              <w:t>Financement</w:t>
            </w:r>
            <w:r w:rsidR="00EE5F73" w:rsidRPr="00DB1648">
              <w:rPr>
                <w:b/>
                <w:sz w:val="21"/>
                <w:szCs w:val="21"/>
                <w:lang w:val="fr-CA"/>
              </w:rPr>
              <w:t xml:space="preserve"> </w:t>
            </w:r>
          </w:p>
        </w:tc>
        <w:tc>
          <w:tcPr>
            <w:tcW w:w="1421" w:type="dxa"/>
            <w:shd w:val="clear" w:color="auto" w:fill="auto"/>
            <w:noWrap/>
            <w:tcMar>
              <w:left w:w="0" w:type="dxa"/>
              <w:right w:w="0" w:type="dxa"/>
            </w:tcMar>
          </w:tcPr>
          <w:p w14:paraId="2833EA17" w14:textId="77777777" w:rsidR="00EE5F73" w:rsidRPr="00DB1648" w:rsidRDefault="00EE5F73" w:rsidP="005A5DA6">
            <w:pPr>
              <w:suppressAutoHyphens/>
              <w:jc w:val="center"/>
              <w:rPr>
                <w:b/>
                <w:sz w:val="21"/>
                <w:szCs w:val="21"/>
                <w:lang w:val="fr-CA"/>
              </w:rPr>
            </w:pPr>
            <w:r w:rsidRPr="00DB1648">
              <w:rPr>
                <w:b/>
                <w:sz w:val="21"/>
                <w:szCs w:val="21"/>
                <w:lang w:val="fr-CA"/>
              </w:rPr>
              <w:t>2021</w:t>
            </w:r>
          </w:p>
        </w:tc>
        <w:tc>
          <w:tcPr>
            <w:tcW w:w="1421" w:type="dxa"/>
            <w:shd w:val="clear" w:color="auto" w:fill="auto"/>
            <w:tcMar>
              <w:left w:w="0" w:type="dxa"/>
              <w:right w:w="0" w:type="dxa"/>
            </w:tcMar>
          </w:tcPr>
          <w:p w14:paraId="6AA8450D" w14:textId="77777777" w:rsidR="00EE5F73" w:rsidRPr="00DB1648" w:rsidRDefault="00EE5F73" w:rsidP="005A5DA6">
            <w:pPr>
              <w:suppressAutoHyphens/>
              <w:jc w:val="center"/>
              <w:rPr>
                <w:b/>
                <w:sz w:val="21"/>
                <w:szCs w:val="21"/>
                <w:lang w:val="fr-CA"/>
              </w:rPr>
            </w:pPr>
            <w:r w:rsidRPr="00DB1648">
              <w:rPr>
                <w:b/>
                <w:sz w:val="21"/>
                <w:szCs w:val="21"/>
                <w:lang w:val="fr-CA"/>
              </w:rPr>
              <w:t>2024</w:t>
            </w:r>
          </w:p>
        </w:tc>
        <w:tc>
          <w:tcPr>
            <w:tcW w:w="1421" w:type="dxa"/>
            <w:shd w:val="clear" w:color="auto" w:fill="auto"/>
            <w:tcMar>
              <w:left w:w="0" w:type="dxa"/>
              <w:right w:w="0" w:type="dxa"/>
            </w:tcMar>
          </w:tcPr>
          <w:p w14:paraId="546DF59D" w14:textId="77777777" w:rsidR="00EE5F73" w:rsidRPr="00DB1648" w:rsidRDefault="00EE5F73" w:rsidP="005A5DA6">
            <w:pPr>
              <w:suppressAutoHyphens/>
              <w:jc w:val="center"/>
              <w:rPr>
                <w:b/>
                <w:sz w:val="21"/>
                <w:szCs w:val="21"/>
                <w:lang w:val="fr-CA"/>
              </w:rPr>
            </w:pPr>
            <w:r w:rsidRPr="00DB1648">
              <w:rPr>
                <w:b/>
                <w:sz w:val="21"/>
                <w:szCs w:val="21"/>
                <w:lang w:val="fr-CA"/>
              </w:rPr>
              <w:t>2027</w:t>
            </w:r>
          </w:p>
        </w:tc>
        <w:tc>
          <w:tcPr>
            <w:tcW w:w="1421" w:type="dxa"/>
            <w:shd w:val="clear" w:color="auto" w:fill="auto"/>
            <w:noWrap/>
            <w:tcMar>
              <w:left w:w="0" w:type="dxa"/>
              <w:right w:w="0" w:type="dxa"/>
            </w:tcMar>
          </w:tcPr>
          <w:p w14:paraId="19746579" w14:textId="77777777" w:rsidR="00EE5F73" w:rsidRPr="00DB1648" w:rsidRDefault="00EE5F73" w:rsidP="005A5DA6">
            <w:pPr>
              <w:suppressAutoHyphens/>
              <w:jc w:val="center"/>
              <w:rPr>
                <w:b/>
                <w:sz w:val="21"/>
                <w:szCs w:val="21"/>
                <w:lang w:val="fr-CA"/>
              </w:rPr>
            </w:pPr>
            <w:r w:rsidRPr="00DB1648">
              <w:rPr>
                <w:b/>
                <w:sz w:val="21"/>
                <w:szCs w:val="21"/>
                <w:lang w:val="fr-CA"/>
              </w:rPr>
              <w:t>2030</w:t>
            </w:r>
          </w:p>
        </w:tc>
        <w:tc>
          <w:tcPr>
            <w:tcW w:w="1422" w:type="dxa"/>
          </w:tcPr>
          <w:p w14:paraId="216599D7" w14:textId="77777777" w:rsidR="00EE5F73" w:rsidRPr="00DB1648" w:rsidRDefault="00EE5F73" w:rsidP="005A5DA6">
            <w:pPr>
              <w:suppressAutoHyphens/>
              <w:jc w:val="center"/>
              <w:rPr>
                <w:b/>
                <w:sz w:val="21"/>
                <w:szCs w:val="21"/>
                <w:lang w:val="fr-CA"/>
              </w:rPr>
            </w:pPr>
            <w:r w:rsidRPr="00DB1648">
              <w:rPr>
                <w:b/>
                <w:sz w:val="21"/>
                <w:szCs w:val="21"/>
                <w:lang w:val="fr-CA"/>
              </w:rPr>
              <w:t>Total</w:t>
            </w:r>
          </w:p>
        </w:tc>
      </w:tr>
      <w:tr w:rsidR="00EE5F73" w:rsidRPr="00DB1648" w14:paraId="6BE575DE" w14:textId="77777777" w:rsidTr="00EF552A">
        <w:trPr>
          <w:trHeight w:val="230"/>
        </w:trPr>
        <w:tc>
          <w:tcPr>
            <w:tcW w:w="2245" w:type="dxa"/>
            <w:shd w:val="clear" w:color="auto" w:fill="auto"/>
            <w:noWrap/>
            <w:tcMar>
              <w:left w:w="72" w:type="dxa"/>
              <w:right w:w="72" w:type="dxa"/>
            </w:tcMar>
          </w:tcPr>
          <w:p w14:paraId="0BD92EB6" w14:textId="4A1DAAD1" w:rsidR="00EE5F73" w:rsidRPr="00DB1648" w:rsidRDefault="004F6E72" w:rsidP="005A5DA6">
            <w:pPr>
              <w:suppressAutoHyphens/>
              <w:jc w:val="left"/>
              <w:rPr>
                <w:sz w:val="21"/>
                <w:szCs w:val="21"/>
                <w:lang w:val="fr-CA"/>
              </w:rPr>
            </w:pPr>
            <w:r w:rsidRPr="00DB1648">
              <w:rPr>
                <w:sz w:val="21"/>
                <w:szCs w:val="21"/>
                <w:lang w:val="fr-CA"/>
              </w:rPr>
              <w:t>Selon la proposition d’origine</w:t>
            </w:r>
          </w:p>
        </w:tc>
        <w:tc>
          <w:tcPr>
            <w:tcW w:w="1421" w:type="dxa"/>
            <w:shd w:val="clear" w:color="auto" w:fill="auto"/>
            <w:noWrap/>
            <w:tcMar>
              <w:left w:w="72" w:type="dxa"/>
              <w:right w:w="202" w:type="dxa"/>
            </w:tcMar>
            <w:vAlign w:val="center"/>
          </w:tcPr>
          <w:p w14:paraId="25E1B849" w14:textId="6ADD8CFD" w:rsidR="00EE5F73" w:rsidRPr="00DB1648" w:rsidRDefault="00FD6C5A" w:rsidP="005A5DA6">
            <w:pPr>
              <w:suppressAutoHyphens/>
              <w:jc w:val="right"/>
              <w:rPr>
                <w:sz w:val="21"/>
                <w:szCs w:val="21"/>
                <w:lang w:val="fr-CA"/>
              </w:rPr>
            </w:pPr>
            <w:r w:rsidRPr="00DB1648">
              <w:rPr>
                <w:sz w:val="21"/>
                <w:szCs w:val="21"/>
                <w:lang w:val="fr-CA"/>
              </w:rPr>
              <w:t>200</w:t>
            </w:r>
            <w:r w:rsidR="004F6E72" w:rsidRPr="00DB1648">
              <w:rPr>
                <w:sz w:val="21"/>
                <w:szCs w:val="21"/>
                <w:lang w:val="fr-CA"/>
              </w:rPr>
              <w:t xml:space="preserve"> </w:t>
            </w:r>
            <w:r w:rsidRPr="00DB1648">
              <w:rPr>
                <w:sz w:val="21"/>
                <w:szCs w:val="21"/>
                <w:lang w:val="fr-CA"/>
              </w:rPr>
              <w:t>000</w:t>
            </w:r>
          </w:p>
        </w:tc>
        <w:tc>
          <w:tcPr>
            <w:tcW w:w="1421" w:type="dxa"/>
            <w:shd w:val="clear" w:color="auto" w:fill="auto"/>
            <w:tcMar>
              <w:left w:w="72" w:type="dxa"/>
              <w:right w:w="202" w:type="dxa"/>
            </w:tcMar>
            <w:vAlign w:val="center"/>
          </w:tcPr>
          <w:p w14:paraId="5F679CE3" w14:textId="77B2173F" w:rsidR="00EE5F73" w:rsidRPr="00DB1648" w:rsidRDefault="00FD6C5A" w:rsidP="005A5DA6">
            <w:pPr>
              <w:suppressAutoHyphens/>
              <w:jc w:val="right"/>
              <w:rPr>
                <w:sz w:val="21"/>
                <w:szCs w:val="21"/>
                <w:lang w:val="fr-CA"/>
              </w:rPr>
            </w:pPr>
            <w:r w:rsidRPr="00DB1648">
              <w:rPr>
                <w:bCs/>
                <w:color w:val="000000" w:themeColor="text1"/>
                <w:sz w:val="21"/>
                <w:szCs w:val="21"/>
                <w:lang w:val="fr-CA"/>
              </w:rPr>
              <w:t>155</w:t>
            </w:r>
            <w:r w:rsidR="004F6E72" w:rsidRPr="00DB1648">
              <w:rPr>
                <w:bCs/>
                <w:color w:val="000000" w:themeColor="text1"/>
                <w:sz w:val="21"/>
                <w:szCs w:val="21"/>
                <w:lang w:val="fr-CA"/>
              </w:rPr>
              <w:t xml:space="preserve"> </w:t>
            </w:r>
            <w:r w:rsidRPr="00DB1648">
              <w:rPr>
                <w:bCs/>
                <w:color w:val="000000" w:themeColor="text1"/>
                <w:sz w:val="21"/>
                <w:szCs w:val="21"/>
                <w:lang w:val="fr-CA"/>
              </w:rPr>
              <w:t>000</w:t>
            </w:r>
          </w:p>
        </w:tc>
        <w:tc>
          <w:tcPr>
            <w:tcW w:w="1421" w:type="dxa"/>
            <w:shd w:val="clear" w:color="auto" w:fill="auto"/>
            <w:tcMar>
              <w:left w:w="72" w:type="dxa"/>
              <w:right w:w="202" w:type="dxa"/>
            </w:tcMar>
            <w:vAlign w:val="center"/>
          </w:tcPr>
          <w:p w14:paraId="24FA9E89" w14:textId="61D5ADD4" w:rsidR="00EE5F73" w:rsidRPr="00DB1648" w:rsidRDefault="00FD6C5A" w:rsidP="005A5DA6">
            <w:pPr>
              <w:suppressAutoHyphens/>
              <w:jc w:val="right"/>
              <w:rPr>
                <w:sz w:val="21"/>
                <w:szCs w:val="21"/>
                <w:lang w:val="fr-CA"/>
              </w:rPr>
            </w:pPr>
            <w:r w:rsidRPr="00DB1648">
              <w:rPr>
                <w:bCs/>
                <w:color w:val="000000" w:themeColor="text1"/>
                <w:sz w:val="21"/>
                <w:szCs w:val="21"/>
                <w:lang w:val="fr-CA"/>
              </w:rPr>
              <w:t>130</w:t>
            </w:r>
            <w:r w:rsidR="004F6E72" w:rsidRPr="00DB1648">
              <w:rPr>
                <w:bCs/>
                <w:color w:val="000000" w:themeColor="text1"/>
                <w:sz w:val="21"/>
                <w:szCs w:val="21"/>
                <w:lang w:val="fr-CA"/>
              </w:rPr>
              <w:t xml:space="preserve"> </w:t>
            </w:r>
            <w:r w:rsidR="00EE5F73" w:rsidRPr="00DB1648">
              <w:rPr>
                <w:bCs/>
                <w:color w:val="000000" w:themeColor="text1"/>
                <w:sz w:val="21"/>
                <w:szCs w:val="21"/>
                <w:lang w:val="fr-CA"/>
              </w:rPr>
              <w:t>000</w:t>
            </w:r>
          </w:p>
        </w:tc>
        <w:tc>
          <w:tcPr>
            <w:tcW w:w="1421" w:type="dxa"/>
            <w:shd w:val="clear" w:color="auto" w:fill="auto"/>
            <w:noWrap/>
            <w:tcMar>
              <w:left w:w="72" w:type="dxa"/>
              <w:right w:w="202" w:type="dxa"/>
            </w:tcMar>
            <w:vAlign w:val="center"/>
          </w:tcPr>
          <w:p w14:paraId="3DA0C117" w14:textId="3FE46C41" w:rsidR="00EE5F73" w:rsidRPr="00DB1648" w:rsidRDefault="00FD6C5A" w:rsidP="005A5DA6">
            <w:pPr>
              <w:suppressAutoHyphens/>
              <w:jc w:val="right"/>
              <w:rPr>
                <w:sz w:val="21"/>
                <w:szCs w:val="21"/>
                <w:lang w:val="fr-CA"/>
              </w:rPr>
            </w:pPr>
            <w:r w:rsidRPr="00DB1648">
              <w:rPr>
                <w:bCs/>
                <w:color w:val="000000" w:themeColor="text1"/>
                <w:sz w:val="21"/>
                <w:szCs w:val="21"/>
                <w:lang w:val="fr-CA"/>
              </w:rPr>
              <w:t>105</w:t>
            </w:r>
            <w:r w:rsidR="004F6E72" w:rsidRPr="00DB1648">
              <w:rPr>
                <w:bCs/>
                <w:color w:val="000000" w:themeColor="text1"/>
                <w:sz w:val="21"/>
                <w:szCs w:val="21"/>
                <w:lang w:val="fr-CA"/>
              </w:rPr>
              <w:t xml:space="preserve"> </w:t>
            </w:r>
            <w:r w:rsidRPr="00DB1648">
              <w:rPr>
                <w:bCs/>
                <w:color w:val="000000" w:themeColor="text1"/>
                <w:sz w:val="21"/>
                <w:szCs w:val="21"/>
                <w:lang w:val="fr-CA"/>
              </w:rPr>
              <w:t>000</w:t>
            </w:r>
          </w:p>
        </w:tc>
        <w:tc>
          <w:tcPr>
            <w:tcW w:w="1422" w:type="dxa"/>
            <w:tcMar>
              <w:right w:w="202" w:type="dxa"/>
            </w:tcMar>
          </w:tcPr>
          <w:p w14:paraId="5B1C6898" w14:textId="2F253710" w:rsidR="00EE5F73" w:rsidRPr="00DB1648" w:rsidRDefault="00D46FAB" w:rsidP="005A5DA6">
            <w:pPr>
              <w:suppressAutoHyphens/>
              <w:jc w:val="right"/>
              <w:rPr>
                <w:bCs/>
                <w:color w:val="000000" w:themeColor="text1"/>
                <w:sz w:val="21"/>
                <w:szCs w:val="21"/>
                <w:lang w:val="fr-CA"/>
              </w:rPr>
            </w:pPr>
            <w:r w:rsidRPr="00DB1648">
              <w:rPr>
                <w:bCs/>
                <w:color w:val="000000" w:themeColor="text1"/>
                <w:sz w:val="21"/>
                <w:szCs w:val="21"/>
                <w:lang w:val="fr-CA"/>
              </w:rPr>
              <w:t>590</w:t>
            </w:r>
            <w:r w:rsidR="004F6E72" w:rsidRPr="00DB1648">
              <w:rPr>
                <w:bCs/>
                <w:color w:val="000000" w:themeColor="text1"/>
                <w:sz w:val="21"/>
                <w:szCs w:val="21"/>
                <w:lang w:val="fr-CA"/>
              </w:rPr>
              <w:t xml:space="preserve"> </w:t>
            </w:r>
            <w:r w:rsidRPr="00DB1648">
              <w:rPr>
                <w:bCs/>
                <w:color w:val="000000" w:themeColor="text1"/>
                <w:sz w:val="21"/>
                <w:szCs w:val="21"/>
                <w:lang w:val="fr-CA"/>
              </w:rPr>
              <w:t>000</w:t>
            </w:r>
          </w:p>
        </w:tc>
      </w:tr>
      <w:tr w:rsidR="00FD6C5A" w:rsidRPr="00DB1648" w14:paraId="5991F122" w14:textId="77777777" w:rsidTr="00EF552A">
        <w:trPr>
          <w:trHeight w:val="230"/>
        </w:trPr>
        <w:tc>
          <w:tcPr>
            <w:tcW w:w="2245" w:type="dxa"/>
            <w:shd w:val="clear" w:color="auto" w:fill="auto"/>
            <w:noWrap/>
            <w:tcMar>
              <w:left w:w="72" w:type="dxa"/>
              <w:right w:w="72" w:type="dxa"/>
            </w:tcMar>
          </w:tcPr>
          <w:p w14:paraId="5CE7C001" w14:textId="6904AD89" w:rsidR="00FD6C5A" w:rsidRPr="00DB1648" w:rsidRDefault="004F6E72" w:rsidP="005A5DA6">
            <w:pPr>
              <w:suppressAutoHyphens/>
              <w:jc w:val="left"/>
              <w:rPr>
                <w:sz w:val="21"/>
                <w:szCs w:val="21"/>
                <w:lang w:val="fr-CA"/>
              </w:rPr>
            </w:pPr>
            <w:r w:rsidRPr="00DB1648">
              <w:rPr>
                <w:sz w:val="21"/>
                <w:szCs w:val="21"/>
                <w:lang w:val="fr-CA"/>
              </w:rPr>
              <w:t>Révisé</w:t>
            </w:r>
          </w:p>
        </w:tc>
        <w:tc>
          <w:tcPr>
            <w:tcW w:w="1421" w:type="dxa"/>
            <w:shd w:val="clear" w:color="auto" w:fill="auto"/>
            <w:noWrap/>
            <w:tcMar>
              <w:left w:w="72" w:type="dxa"/>
              <w:right w:w="202" w:type="dxa"/>
            </w:tcMar>
            <w:vAlign w:val="bottom"/>
          </w:tcPr>
          <w:p w14:paraId="41BDD808" w14:textId="392212BF" w:rsidR="00FD6C5A" w:rsidRPr="00DB1648" w:rsidRDefault="00FD6C5A" w:rsidP="005A5DA6">
            <w:pPr>
              <w:suppressAutoHyphens/>
              <w:jc w:val="right"/>
              <w:rPr>
                <w:sz w:val="21"/>
                <w:szCs w:val="21"/>
                <w:lang w:val="fr-CA"/>
              </w:rPr>
            </w:pPr>
            <w:r w:rsidRPr="00DB1648">
              <w:rPr>
                <w:sz w:val="21"/>
                <w:szCs w:val="21"/>
                <w:lang w:val="fr-CA"/>
              </w:rPr>
              <w:t>173</w:t>
            </w:r>
            <w:r w:rsidR="004F6E72" w:rsidRPr="00DB1648">
              <w:rPr>
                <w:sz w:val="21"/>
                <w:szCs w:val="21"/>
                <w:lang w:val="fr-CA"/>
              </w:rPr>
              <w:t xml:space="preserve"> </w:t>
            </w:r>
            <w:r w:rsidRPr="00DB1648">
              <w:rPr>
                <w:sz w:val="21"/>
                <w:szCs w:val="21"/>
                <w:lang w:val="fr-CA"/>
              </w:rPr>
              <w:t>000</w:t>
            </w:r>
          </w:p>
        </w:tc>
        <w:tc>
          <w:tcPr>
            <w:tcW w:w="1421" w:type="dxa"/>
            <w:shd w:val="clear" w:color="auto" w:fill="auto"/>
            <w:tcMar>
              <w:left w:w="72" w:type="dxa"/>
              <w:right w:w="202" w:type="dxa"/>
            </w:tcMar>
            <w:vAlign w:val="bottom"/>
          </w:tcPr>
          <w:p w14:paraId="2B157370" w14:textId="11FB7BAF" w:rsidR="00FD6C5A" w:rsidRPr="00DB1648" w:rsidRDefault="00FD6C5A" w:rsidP="005A5DA6">
            <w:pPr>
              <w:suppressAutoHyphens/>
              <w:jc w:val="right"/>
              <w:rPr>
                <w:sz w:val="21"/>
                <w:szCs w:val="21"/>
                <w:lang w:val="fr-CA"/>
              </w:rPr>
            </w:pPr>
            <w:r w:rsidRPr="00DB1648">
              <w:rPr>
                <w:sz w:val="21"/>
                <w:szCs w:val="21"/>
                <w:lang w:val="fr-CA"/>
              </w:rPr>
              <w:t>1</w:t>
            </w:r>
            <w:r w:rsidR="004F3B44" w:rsidRPr="00DB1648">
              <w:rPr>
                <w:sz w:val="21"/>
                <w:szCs w:val="21"/>
                <w:lang w:val="fr-CA"/>
              </w:rPr>
              <w:t>3</w:t>
            </w:r>
            <w:r w:rsidRPr="00DB1648">
              <w:rPr>
                <w:sz w:val="21"/>
                <w:szCs w:val="21"/>
                <w:lang w:val="fr-CA"/>
              </w:rPr>
              <w:t>1</w:t>
            </w:r>
            <w:r w:rsidR="004F6E72" w:rsidRPr="00DB1648">
              <w:rPr>
                <w:sz w:val="21"/>
                <w:szCs w:val="21"/>
                <w:lang w:val="fr-CA"/>
              </w:rPr>
              <w:t xml:space="preserve"> </w:t>
            </w:r>
            <w:r w:rsidRPr="00DB1648">
              <w:rPr>
                <w:sz w:val="21"/>
                <w:szCs w:val="21"/>
                <w:lang w:val="fr-CA"/>
              </w:rPr>
              <w:t>000</w:t>
            </w:r>
          </w:p>
        </w:tc>
        <w:tc>
          <w:tcPr>
            <w:tcW w:w="1421" w:type="dxa"/>
            <w:shd w:val="clear" w:color="auto" w:fill="auto"/>
            <w:tcMar>
              <w:left w:w="72" w:type="dxa"/>
              <w:right w:w="202" w:type="dxa"/>
            </w:tcMar>
            <w:vAlign w:val="bottom"/>
          </w:tcPr>
          <w:p w14:paraId="70FA62EE" w14:textId="5018C890" w:rsidR="00FD6C5A" w:rsidRPr="00DB1648" w:rsidRDefault="00FD6C5A" w:rsidP="005A5DA6">
            <w:pPr>
              <w:suppressAutoHyphens/>
              <w:jc w:val="right"/>
              <w:rPr>
                <w:sz w:val="21"/>
                <w:szCs w:val="21"/>
                <w:lang w:val="fr-CA"/>
              </w:rPr>
            </w:pPr>
            <w:r w:rsidRPr="00DB1648">
              <w:rPr>
                <w:sz w:val="21"/>
                <w:szCs w:val="21"/>
                <w:lang w:val="fr-CA"/>
              </w:rPr>
              <w:t>79</w:t>
            </w:r>
            <w:r w:rsidR="004F6E72" w:rsidRPr="00DB1648">
              <w:rPr>
                <w:sz w:val="21"/>
                <w:szCs w:val="21"/>
                <w:lang w:val="fr-CA"/>
              </w:rPr>
              <w:t xml:space="preserve"> </w:t>
            </w:r>
            <w:r w:rsidRPr="00DB1648">
              <w:rPr>
                <w:sz w:val="21"/>
                <w:szCs w:val="21"/>
                <w:lang w:val="fr-CA"/>
              </w:rPr>
              <w:t>000</w:t>
            </w:r>
          </w:p>
        </w:tc>
        <w:tc>
          <w:tcPr>
            <w:tcW w:w="1421" w:type="dxa"/>
            <w:shd w:val="clear" w:color="auto" w:fill="auto"/>
            <w:noWrap/>
            <w:tcMar>
              <w:left w:w="72" w:type="dxa"/>
              <w:right w:w="202" w:type="dxa"/>
            </w:tcMar>
            <w:vAlign w:val="bottom"/>
          </w:tcPr>
          <w:p w14:paraId="50B23D18" w14:textId="797BAE0B" w:rsidR="00FD6C5A" w:rsidRPr="00DB1648" w:rsidRDefault="00FD6C5A" w:rsidP="005A5DA6">
            <w:pPr>
              <w:suppressAutoHyphens/>
              <w:jc w:val="right"/>
              <w:rPr>
                <w:sz w:val="21"/>
                <w:szCs w:val="21"/>
                <w:lang w:val="fr-CA"/>
              </w:rPr>
            </w:pPr>
            <w:r w:rsidRPr="00DB1648">
              <w:rPr>
                <w:sz w:val="21"/>
                <w:szCs w:val="21"/>
                <w:lang w:val="fr-CA"/>
              </w:rPr>
              <w:t>44</w:t>
            </w:r>
            <w:r w:rsidR="004F6E72" w:rsidRPr="00DB1648">
              <w:rPr>
                <w:sz w:val="21"/>
                <w:szCs w:val="21"/>
                <w:lang w:val="fr-CA"/>
              </w:rPr>
              <w:t xml:space="preserve"> </w:t>
            </w:r>
            <w:r w:rsidRPr="00DB1648">
              <w:rPr>
                <w:sz w:val="21"/>
                <w:szCs w:val="21"/>
                <w:lang w:val="fr-CA"/>
              </w:rPr>
              <w:t>500</w:t>
            </w:r>
          </w:p>
        </w:tc>
        <w:tc>
          <w:tcPr>
            <w:tcW w:w="1422" w:type="dxa"/>
            <w:tcMar>
              <w:right w:w="202" w:type="dxa"/>
            </w:tcMar>
          </w:tcPr>
          <w:p w14:paraId="60DEACA4" w14:textId="207118B5" w:rsidR="00FD6C5A" w:rsidRPr="00DB1648" w:rsidRDefault="00FD6C5A" w:rsidP="005A5DA6">
            <w:pPr>
              <w:suppressAutoHyphens/>
              <w:jc w:val="right"/>
              <w:rPr>
                <w:sz w:val="21"/>
                <w:szCs w:val="21"/>
                <w:lang w:val="fr-CA"/>
              </w:rPr>
            </w:pPr>
            <w:r w:rsidRPr="00DB1648">
              <w:rPr>
                <w:sz w:val="21"/>
                <w:szCs w:val="21"/>
                <w:lang w:val="fr-CA"/>
              </w:rPr>
              <w:t>427</w:t>
            </w:r>
            <w:r w:rsidR="004F6E72" w:rsidRPr="00DB1648">
              <w:rPr>
                <w:sz w:val="21"/>
                <w:szCs w:val="21"/>
                <w:lang w:val="fr-CA"/>
              </w:rPr>
              <w:t xml:space="preserve"> </w:t>
            </w:r>
            <w:r w:rsidRPr="00DB1648">
              <w:rPr>
                <w:sz w:val="21"/>
                <w:szCs w:val="21"/>
                <w:lang w:val="fr-CA"/>
              </w:rPr>
              <w:t>500</w:t>
            </w:r>
          </w:p>
        </w:tc>
      </w:tr>
    </w:tbl>
    <w:p w14:paraId="508C1B36" w14:textId="411B2AD8" w:rsidR="00EB31E3" w:rsidRPr="00DB1648" w:rsidRDefault="00EB31E3" w:rsidP="005A5DA6">
      <w:pPr>
        <w:keepNext/>
        <w:keepLines/>
        <w:suppressAutoHyphens/>
        <w:spacing w:after="240"/>
        <w:rPr>
          <w:u w:val="single"/>
          <w:lang w:val="fr-CA"/>
        </w:rPr>
      </w:pPr>
      <w:r w:rsidRPr="00DB1648">
        <w:rPr>
          <w:u w:val="single"/>
          <w:lang w:val="fr-CA"/>
        </w:rPr>
        <w:lastRenderedPageBreak/>
        <w:t xml:space="preserve">Impact </w:t>
      </w:r>
      <w:r w:rsidR="004F6E72" w:rsidRPr="00DB1648">
        <w:rPr>
          <w:u w:val="single"/>
          <w:lang w:val="fr-CA"/>
        </w:rPr>
        <w:t>sur le climat</w:t>
      </w:r>
    </w:p>
    <w:p w14:paraId="29FCB73E" w14:textId="626A9218" w:rsidR="00EB31E3" w:rsidRPr="00DB1648" w:rsidRDefault="004F6E72" w:rsidP="005A5DA6">
      <w:pPr>
        <w:pStyle w:val="Heading1"/>
        <w:keepNext/>
        <w:keepLines/>
        <w:numPr>
          <w:ilvl w:val="0"/>
          <w:numId w:val="1"/>
        </w:numPr>
        <w:suppressAutoHyphens/>
        <w:rPr>
          <w:lang w:val="fr-CA"/>
        </w:rPr>
      </w:pPr>
      <w:r w:rsidRPr="00DB1648">
        <w:rPr>
          <w:lang w:val="fr-CA"/>
        </w:rPr>
        <w:t>Les activités proposées pour le secteur de l’entretien, qui comprennent un meilleur confinement des frigorigènes par la formation et l’approvisionnement en outils, réduiront les quantités de HCFC-22 utilisées p</w:t>
      </w:r>
      <w:r w:rsidR="00E42FA0" w:rsidRPr="00DB1648">
        <w:rPr>
          <w:lang w:val="fr-CA"/>
        </w:rPr>
        <w:t>o</w:t>
      </w:r>
      <w:r w:rsidRPr="00DB1648">
        <w:rPr>
          <w:lang w:val="fr-CA"/>
        </w:rPr>
        <w:t>ur l’entretien de l’équipement de réfrigération et climatisation. Chaque kilogramme de HCFC</w:t>
      </w:r>
      <w:r w:rsidR="005A5DA6">
        <w:rPr>
          <w:lang w:val="fr-CA"/>
        </w:rPr>
        <w:noBreakHyphen/>
      </w:r>
      <w:r w:rsidRPr="00DB1648">
        <w:rPr>
          <w:lang w:val="fr-CA"/>
        </w:rPr>
        <w:t>22 non dégagé grâce à de meilleures pratiques d’</w:t>
      </w:r>
      <w:r w:rsidR="00E42FA0" w:rsidRPr="00DB1648">
        <w:rPr>
          <w:lang w:val="fr-CA"/>
        </w:rPr>
        <w:t>en</w:t>
      </w:r>
      <w:r w:rsidRPr="00DB1648">
        <w:rPr>
          <w:lang w:val="fr-CA"/>
        </w:rPr>
        <w:t>tretien se traduit par une économie d’environ 1,8</w:t>
      </w:r>
      <w:r w:rsidR="005A5DA6">
        <w:rPr>
          <w:lang w:val="fr-CA"/>
        </w:rPr>
        <w:t> </w:t>
      </w:r>
      <w:r w:rsidRPr="00DB1648">
        <w:rPr>
          <w:lang w:val="fr-CA"/>
        </w:rPr>
        <w:t>tonne</w:t>
      </w:r>
      <w:r w:rsidR="005A5DA6">
        <w:rPr>
          <w:lang w:val="fr-CA"/>
        </w:rPr>
        <w:t> </w:t>
      </w:r>
      <w:r w:rsidRPr="00DB1648">
        <w:rPr>
          <w:lang w:val="fr-CA"/>
        </w:rPr>
        <w:t>d’équivalent de CO</w:t>
      </w:r>
      <w:r w:rsidRPr="00FB643B">
        <w:rPr>
          <w:vertAlign w:val="subscript"/>
          <w:lang w:val="fr-CA"/>
        </w:rPr>
        <w:t>2</w:t>
      </w:r>
      <w:r w:rsidRPr="00DB1648">
        <w:rPr>
          <w:lang w:val="fr-CA"/>
        </w:rPr>
        <w:t>. Bien que</w:t>
      </w:r>
      <w:r w:rsidR="00E42FA0" w:rsidRPr="00DB1648">
        <w:rPr>
          <w:lang w:val="fr-CA"/>
        </w:rPr>
        <w:t xml:space="preserve"> le PGEH ne tienne pas compte de l’impact sur le climat, les activités prévu</w:t>
      </w:r>
      <w:r w:rsidR="00FB643B">
        <w:rPr>
          <w:lang w:val="fr-CA"/>
        </w:rPr>
        <w:t>e</w:t>
      </w:r>
      <w:r w:rsidR="00E42FA0" w:rsidRPr="00DB1648">
        <w:rPr>
          <w:lang w:val="fr-CA"/>
        </w:rPr>
        <w:t>s par Cabo Verde, dont ses efforts pour encourager l’utilisation de substances de remplacement à faible PRG, ainsi que les bonnes pratiques d’entretien</w:t>
      </w:r>
      <w:r w:rsidR="00C702DB">
        <w:rPr>
          <w:lang w:val="fr-CA"/>
        </w:rPr>
        <w:t>,</w:t>
      </w:r>
      <w:r w:rsidR="00E42FA0" w:rsidRPr="00DB1648">
        <w:rPr>
          <w:lang w:val="fr-CA"/>
        </w:rPr>
        <w:t xml:space="preserve"> démontrent que la mise en œuvre du PGEH réduira les émissions de frigorigènes dans l’atmosphère et aura des avantages pour le climat</w:t>
      </w:r>
      <w:r w:rsidR="00EB31E3" w:rsidRPr="00DB1648">
        <w:rPr>
          <w:lang w:val="fr-CA"/>
        </w:rPr>
        <w:t>.</w:t>
      </w:r>
    </w:p>
    <w:p w14:paraId="5F0E8A15" w14:textId="1829DCC8" w:rsidR="00EB31E3" w:rsidRPr="00DB1648" w:rsidRDefault="00E42FA0" w:rsidP="005A5DA6">
      <w:pPr>
        <w:suppressAutoHyphens/>
        <w:spacing w:after="240"/>
        <w:outlineLvl w:val="0"/>
        <w:rPr>
          <w:b/>
          <w:lang w:val="fr-CA"/>
        </w:rPr>
      </w:pPr>
      <w:r w:rsidRPr="00DB1648">
        <w:rPr>
          <w:b/>
          <w:lang w:val="fr-CA"/>
        </w:rPr>
        <w:t>Cofinancement</w:t>
      </w:r>
    </w:p>
    <w:p w14:paraId="2207217A" w14:textId="39D45944" w:rsidR="00234374" w:rsidRPr="00DB1648" w:rsidRDefault="00E42FA0" w:rsidP="005A5DA6">
      <w:pPr>
        <w:pStyle w:val="ListParagraph"/>
        <w:numPr>
          <w:ilvl w:val="0"/>
          <w:numId w:val="1"/>
        </w:numPr>
        <w:suppressAutoHyphens/>
        <w:spacing w:after="240"/>
        <w:contextualSpacing w:val="0"/>
        <w:rPr>
          <w:color w:val="000000"/>
          <w:lang w:val="fr-CA" w:eastAsia="en-CA"/>
        </w:rPr>
      </w:pPr>
      <w:r w:rsidRPr="00DB1648">
        <w:rPr>
          <w:lang w:val="fr-CA"/>
        </w:rPr>
        <w:t>Le gouvernement de Cabo Verde fournira un soutien en biens et services tels que du personnel, de l’espace de bureau et un soutien logistique, selon les besoins, au cours de la mise en œuvre du projet</w:t>
      </w:r>
      <w:r w:rsidR="003A2A96" w:rsidRPr="00DB1648">
        <w:rPr>
          <w:color w:val="000000"/>
          <w:lang w:val="fr-CA"/>
        </w:rPr>
        <w:t>.</w:t>
      </w:r>
      <w:r w:rsidR="00234374" w:rsidRPr="00DB1648">
        <w:rPr>
          <w:color w:val="000000"/>
          <w:lang w:val="fr-CA" w:eastAsia="en-CA"/>
        </w:rPr>
        <w:t xml:space="preserve"> </w:t>
      </w:r>
    </w:p>
    <w:p w14:paraId="7D39CD41" w14:textId="20B3AB28" w:rsidR="00234374" w:rsidRPr="00DB1648" w:rsidRDefault="00E42FA0" w:rsidP="005A5DA6">
      <w:pPr>
        <w:pStyle w:val="ListParagraph"/>
        <w:suppressAutoHyphens/>
        <w:spacing w:after="240"/>
        <w:ind w:left="0"/>
        <w:contextualSpacing w:val="0"/>
        <w:rPr>
          <w:color w:val="000000"/>
          <w:lang w:val="fr-CA" w:eastAsia="en-CA"/>
        </w:rPr>
      </w:pPr>
      <w:r w:rsidRPr="00DB1648">
        <w:rPr>
          <w:b/>
          <w:lang w:val="fr-CA"/>
        </w:rPr>
        <w:t>Plan d’activités du Fonds multilatéral pour</w:t>
      </w:r>
      <w:r w:rsidR="00234374" w:rsidRPr="00DB1648">
        <w:rPr>
          <w:b/>
          <w:lang w:val="fr-CA"/>
        </w:rPr>
        <w:t xml:space="preserve"> 2021-2023</w:t>
      </w:r>
    </w:p>
    <w:p w14:paraId="03017B83" w14:textId="47D31AE6" w:rsidR="00166B46" w:rsidRPr="00DB1648" w:rsidRDefault="00F94E43" w:rsidP="005A5DA6">
      <w:pPr>
        <w:pStyle w:val="ListParagraph"/>
        <w:numPr>
          <w:ilvl w:val="0"/>
          <w:numId w:val="1"/>
        </w:numPr>
        <w:suppressAutoHyphens/>
        <w:spacing w:after="240"/>
        <w:contextualSpacing w:val="0"/>
        <w:rPr>
          <w:color w:val="000000"/>
          <w:lang w:val="fr-CA" w:eastAsia="en-CA"/>
        </w:rPr>
      </w:pPr>
      <w:r w:rsidRPr="00DB1648">
        <w:rPr>
          <w:lang w:val="fr-CA"/>
        </w:rPr>
        <w:t xml:space="preserve">Le PNUE demande la somme de 427 500 $US, plus les coûts d’appui à l’agence, pour la mise en œuvre de la phase II du PGEH pour Cabo Verde. La valeur totale demandée de 195 490 US, comprenant les coûts d’appui à l’agence pour la période 2021-2023, </w:t>
      </w:r>
      <w:r w:rsidR="00126359">
        <w:rPr>
          <w:lang w:val="fr-CA"/>
        </w:rPr>
        <w:t>représente</w:t>
      </w:r>
      <w:r w:rsidRPr="00DB1648">
        <w:rPr>
          <w:lang w:val="fr-CA"/>
        </w:rPr>
        <w:t xml:space="preserve"> 78 111 $US de plus que la somme indiquée dans le plan d’activités</w:t>
      </w:r>
      <w:r w:rsidR="00EB31E3" w:rsidRPr="00DB1648">
        <w:rPr>
          <w:lang w:val="fr-CA"/>
        </w:rPr>
        <w:t>.</w:t>
      </w:r>
    </w:p>
    <w:p w14:paraId="37B190AD" w14:textId="014D6D47" w:rsidR="00EB31E3" w:rsidRPr="00DB1648" w:rsidRDefault="00F94E43" w:rsidP="005A5DA6">
      <w:pPr>
        <w:keepNext/>
        <w:suppressAutoHyphens/>
        <w:spacing w:after="240"/>
        <w:outlineLvl w:val="0"/>
        <w:rPr>
          <w:b/>
          <w:lang w:val="fr-CA"/>
        </w:rPr>
      </w:pPr>
      <w:r w:rsidRPr="00DB1648">
        <w:rPr>
          <w:b/>
          <w:lang w:val="fr-CA"/>
        </w:rPr>
        <w:t>Projet d’accord</w:t>
      </w:r>
    </w:p>
    <w:p w14:paraId="3207FC77" w14:textId="1DB48758" w:rsidR="00EB31E3" w:rsidRPr="00DB1648" w:rsidRDefault="00F94E43" w:rsidP="005A5DA6">
      <w:pPr>
        <w:keepNext/>
        <w:numPr>
          <w:ilvl w:val="0"/>
          <w:numId w:val="1"/>
        </w:numPr>
        <w:tabs>
          <w:tab w:val="clear" w:pos="0"/>
        </w:tabs>
        <w:suppressAutoHyphens/>
        <w:spacing w:after="240"/>
        <w:outlineLvl w:val="0"/>
        <w:rPr>
          <w:lang w:val="fr-CA"/>
        </w:rPr>
      </w:pPr>
      <w:r w:rsidRPr="00DB1648">
        <w:rPr>
          <w:lang w:val="fr-CA"/>
        </w:rPr>
        <w:t>Le projet d’accord entre le gouvernement de Cabo Verde et le Comité exécutif pour l’élimination des HCFC à la phase II du PGEH est joint à l’annexe I au présent document</w:t>
      </w:r>
      <w:r w:rsidR="00EB31E3" w:rsidRPr="00DB1648">
        <w:rPr>
          <w:lang w:val="fr-CA"/>
        </w:rPr>
        <w:t>.</w:t>
      </w:r>
    </w:p>
    <w:p w14:paraId="2FF98755" w14:textId="234F0729" w:rsidR="00EB31E3" w:rsidRPr="00DB1648" w:rsidRDefault="00F94E43" w:rsidP="005A5DA6">
      <w:pPr>
        <w:keepNext/>
        <w:suppressAutoHyphens/>
        <w:autoSpaceDE w:val="0"/>
        <w:autoSpaceDN w:val="0"/>
        <w:adjustRightInd w:val="0"/>
        <w:spacing w:after="240"/>
        <w:outlineLvl w:val="0"/>
        <w:rPr>
          <w:b/>
          <w:lang w:val="fr-CA"/>
        </w:rPr>
      </w:pPr>
      <w:r w:rsidRPr="00DB1648">
        <w:rPr>
          <w:b/>
          <w:lang w:val="fr-CA"/>
        </w:rPr>
        <w:t>RECOMMA</w:t>
      </w:r>
      <w:r w:rsidR="00EB31E3" w:rsidRPr="00DB1648">
        <w:rPr>
          <w:b/>
          <w:lang w:val="fr-CA"/>
        </w:rPr>
        <w:t>NDATION</w:t>
      </w:r>
    </w:p>
    <w:p w14:paraId="582C111B" w14:textId="3F3997B1" w:rsidR="00EB31E3" w:rsidRPr="00DB1648" w:rsidRDefault="00F94E43" w:rsidP="005A5DA6">
      <w:pPr>
        <w:keepNext/>
        <w:numPr>
          <w:ilvl w:val="0"/>
          <w:numId w:val="1"/>
        </w:numPr>
        <w:tabs>
          <w:tab w:val="clear" w:pos="0"/>
        </w:tabs>
        <w:suppressAutoHyphens/>
        <w:spacing w:after="240"/>
        <w:outlineLvl w:val="0"/>
        <w:rPr>
          <w:u w:val="single"/>
          <w:lang w:val="fr-CA"/>
        </w:rPr>
      </w:pPr>
      <w:r w:rsidRPr="00DB1648">
        <w:rPr>
          <w:lang w:val="fr-CA"/>
        </w:rPr>
        <w:t xml:space="preserve">Le Comité exécutif pourrait souhaiter </w:t>
      </w:r>
      <w:r w:rsidR="00EB31E3" w:rsidRPr="00DB1648">
        <w:rPr>
          <w:lang w:val="fr-CA"/>
        </w:rPr>
        <w:t>:</w:t>
      </w:r>
    </w:p>
    <w:p w14:paraId="420B41B5" w14:textId="143804BD" w:rsidR="003B2F9E" w:rsidRPr="00DB1648" w:rsidRDefault="00F94E43" w:rsidP="005A5DA6">
      <w:pPr>
        <w:numPr>
          <w:ilvl w:val="1"/>
          <w:numId w:val="1"/>
        </w:numPr>
        <w:suppressAutoHyphens/>
        <w:spacing w:after="240"/>
        <w:outlineLvl w:val="1"/>
        <w:rPr>
          <w:lang w:val="fr-CA"/>
        </w:rPr>
      </w:pPr>
      <w:r w:rsidRPr="00DB1648">
        <w:rPr>
          <w:lang w:val="fr-CA"/>
        </w:rPr>
        <w:t>Approuver</w:t>
      </w:r>
      <w:r w:rsidR="00126359">
        <w:rPr>
          <w:lang w:val="fr-CA"/>
        </w:rPr>
        <w:t>,</w:t>
      </w:r>
      <w:r w:rsidRPr="00DB1648">
        <w:rPr>
          <w:lang w:val="fr-CA"/>
        </w:rPr>
        <w:t xml:space="preserve"> en principe</w:t>
      </w:r>
      <w:r w:rsidR="00126359">
        <w:rPr>
          <w:lang w:val="fr-CA"/>
        </w:rPr>
        <w:t>,</w:t>
      </w:r>
      <w:r w:rsidRPr="00DB1648">
        <w:rPr>
          <w:lang w:val="fr-CA"/>
        </w:rPr>
        <w:t xml:space="preserve"> la phase II du plan de gestion de l'élimination des HCFC (PGEH) pour Cabo</w:t>
      </w:r>
      <w:r w:rsidR="001B6D29" w:rsidRPr="00DB1648">
        <w:rPr>
          <w:lang w:val="fr-CA"/>
        </w:rPr>
        <w:t xml:space="preserve"> Verde pour la période 2021-2030</w:t>
      </w:r>
      <w:r w:rsidR="00C702DB">
        <w:rPr>
          <w:lang w:val="fr-CA"/>
        </w:rPr>
        <w:t>,</w:t>
      </w:r>
      <w:r w:rsidR="001B6D29" w:rsidRPr="00DB1648">
        <w:rPr>
          <w:lang w:val="fr-CA"/>
        </w:rPr>
        <w:t xml:space="preserve"> afin d’éliminer complètement la consommation de HCFC pour la somme de 427 500 $US, plus les coûts d’appui à l’agence de 55 575 $US pour le PNUE, étant entendu que le Fonds multilatéral ne fournira aucun soutien financier supplémentaire pour l’élimination des HCFC</w:t>
      </w:r>
      <w:r w:rsidR="00EB31E3" w:rsidRPr="00DB1648">
        <w:rPr>
          <w:lang w:val="fr-CA"/>
        </w:rPr>
        <w:t xml:space="preserve">; </w:t>
      </w:r>
    </w:p>
    <w:p w14:paraId="44E48C07" w14:textId="24A6F2CF" w:rsidR="003B2F9E" w:rsidRPr="00DB1648" w:rsidRDefault="001B6D29" w:rsidP="005A5DA6">
      <w:pPr>
        <w:pStyle w:val="Heading2"/>
        <w:widowControl/>
        <w:suppressAutoHyphens/>
        <w:rPr>
          <w:lang w:val="fr-CA"/>
        </w:rPr>
      </w:pPr>
      <w:r w:rsidRPr="00DB1648">
        <w:rPr>
          <w:lang w:val="fr-CA"/>
        </w:rPr>
        <w:t xml:space="preserve">Prendre note des engagements du gouvernement de Cabo Verde </w:t>
      </w:r>
      <w:r w:rsidR="003B2F9E" w:rsidRPr="00DB1648">
        <w:rPr>
          <w:lang w:val="fr-CA"/>
        </w:rPr>
        <w:t>:</w:t>
      </w:r>
    </w:p>
    <w:p w14:paraId="0EDCC921" w14:textId="64A76A74" w:rsidR="003B2F9E" w:rsidRPr="00DB1648" w:rsidRDefault="001B6D29" w:rsidP="005A5DA6">
      <w:pPr>
        <w:pStyle w:val="Heading3"/>
        <w:rPr>
          <w:lang w:val="fr-CA"/>
        </w:rPr>
      </w:pPr>
      <w:r w:rsidRPr="00DB1648">
        <w:rPr>
          <w:lang w:val="fr-CA"/>
        </w:rPr>
        <w:t xml:space="preserve">De réduire la consommation de HCFC de 96 pour cent de </w:t>
      </w:r>
      <w:r w:rsidR="003E741A" w:rsidRPr="00DB1648">
        <w:rPr>
          <w:lang w:val="fr-CA"/>
        </w:rPr>
        <w:t>la valeur de référence du pays d’</w:t>
      </w:r>
      <w:r w:rsidR="00126359">
        <w:rPr>
          <w:lang w:val="fr-CA"/>
        </w:rPr>
        <w:t>ici</w:t>
      </w:r>
      <w:r w:rsidR="003E741A" w:rsidRPr="00DB1648">
        <w:rPr>
          <w:lang w:val="fr-CA"/>
        </w:rPr>
        <w:t xml:space="preserve"> 2022 et de 98 pour cent d’</w:t>
      </w:r>
      <w:r w:rsidR="00126359">
        <w:rPr>
          <w:lang w:val="fr-CA"/>
        </w:rPr>
        <w:t>ici</w:t>
      </w:r>
      <w:r w:rsidR="003E741A" w:rsidRPr="00DB1648">
        <w:rPr>
          <w:lang w:val="fr-CA"/>
        </w:rPr>
        <w:t xml:space="preserve"> 2025, d’éliminer complètement la consommation de HCFC d’ici le 1</w:t>
      </w:r>
      <w:r w:rsidR="003E741A" w:rsidRPr="00DB1648">
        <w:rPr>
          <w:vertAlign w:val="superscript"/>
          <w:lang w:val="fr-CA"/>
        </w:rPr>
        <w:t>er</w:t>
      </w:r>
      <w:r w:rsidR="003E741A" w:rsidRPr="00DB1648">
        <w:rPr>
          <w:lang w:val="fr-CA"/>
        </w:rPr>
        <w:t xml:space="preserve"> janvier 2030 et d’interdire l’importation </w:t>
      </w:r>
      <w:r w:rsidR="001713CB">
        <w:rPr>
          <w:lang w:val="fr-CA"/>
        </w:rPr>
        <w:t xml:space="preserve">de cette substance </w:t>
      </w:r>
      <w:r w:rsidR="003E741A" w:rsidRPr="00DB1648">
        <w:rPr>
          <w:lang w:val="fr-CA"/>
        </w:rPr>
        <w:t>après cette date, sauf les quantités nécessaires pour le volet résiduel de l’entretien de 2</w:t>
      </w:r>
      <w:r w:rsidR="00126359">
        <w:rPr>
          <w:lang w:val="fr-CA"/>
        </w:rPr>
        <w:t>030</w:t>
      </w:r>
      <w:r w:rsidR="003E741A" w:rsidRPr="00DB1648">
        <w:rPr>
          <w:lang w:val="fr-CA"/>
        </w:rPr>
        <w:t xml:space="preserve"> à 2040, si nécessaire, conformément aux dispositions du Protocole de Montréal</w:t>
      </w:r>
      <w:r w:rsidR="003B2F9E" w:rsidRPr="00DB1648">
        <w:rPr>
          <w:lang w:val="fr-CA"/>
        </w:rPr>
        <w:t>;</w:t>
      </w:r>
    </w:p>
    <w:p w14:paraId="328ABFFB" w14:textId="26123C67" w:rsidR="003B2F9E" w:rsidRPr="00DB1648" w:rsidRDefault="003E741A" w:rsidP="005A5DA6">
      <w:pPr>
        <w:pStyle w:val="Heading3"/>
        <w:widowControl/>
        <w:suppressAutoHyphens/>
        <w:rPr>
          <w:lang w:val="fr-CA"/>
        </w:rPr>
      </w:pPr>
      <w:r w:rsidRPr="00DB1648">
        <w:rPr>
          <w:lang w:val="fr-CA"/>
        </w:rPr>
        <w:t>D’interdire l’importation d’équipement à base de HCFC à compter du 1</w:t>
      </w:r>
      <w:r w:rsidRPr="00DB1648">
        <w:rPr>
          <w:vertAlign w:val="superscript"/>
          <w:lang w:val="fr-CA"/>
        </w:rPr>
        <w:t>er</w:t>
      </w:r>
      <w:r w:rsidRPr="00DB1648">
        <w:rPr>
          <w:lang w:val="fr-CA"/>
        </w:rPr>
        <w:t xml:space="preserve"> janvier 2025 et d’interdire la vidange avec le HCFC à compter du 1</w:t>
      </w:r>
      <w:r w:rsidRPr="00DB1648">
        <w:rPr>
          <w:vertAlign w:val="superscript"/>
          <w:lang w:val="fr-CA"/>
        </w:rPr>
        <w:t>er</w:t>
      </w:r>
      <w:r w:rsidRPr="00DB1648">
        <w:rPr>
          <w:lang w:val="fr-CA"/>
        </w:rPr>
        <w:t xml:space="preserve"> janvier 2023</w:t>
      </w:r>
      <w:r w:rsidR="0064774F" w:rsidRPr="00DB1648">
        <w:rPr>
          <w:lang w:val="fr-CA"/>
        </w:rPr>
        <w:t>;</w:t>
      </w:r>
    </w:p>
    <w:p w14:paraId="62CCC620" w14:textId="5D6B5DC1" w:rsidR="00EB31E3" w:rsidRPr="00DB1648" w:rsidRDefault="003E741A" w:rsidP="005A5DA6">
      <w:pPr>
        <w:numPr>
          <w:ilvl w:val="1"/>
          <w:numId w:val="1"/>
        </w:numPr>
        <w:suppressAutoHyphens/>
        <w:spacing w:after="240"/>
        <w:outlineLvl w:val="1"/>
        <w:rPr>
          <w:lang w:val="fr-CA"/>
        </w:rPr>
      </w:pPr>
      <w:r w:rsidRPr="00DB1648">
        <w:rPr>
          <w:lang w:val="fr-CA"/>
        </w:rPr>
        <w:t>Soustraire 0,16 tonne PAO de HCFC de la consommation restante</w:t>
      </w:r>
      <w:r w:rsidR="003E4B88" w:rsidRPr="00DB1648">
        <w:rPr>
          <w:lang w:val="fr-CA"/>
        </w:rPr>
        <w:t xml:space="preserve"> de HCFC</w:t>
      </w:r>
      <w:r w:rsidRPr="00DB1648">
        <w:rPr>
          <w:lang w:val="fr-CA"/>
        </w:rPr>
        <w:t xml:space="preserve"> admissible au financement</w:t>
      </w:r>
      <w:r w:rsidR="00EB31E3" w:rsidRPr="00DB1648">
        <w:rPr>
          <w:lang w:val="fr-CA"/>
        </w:rPr>
        <w:t xml:space="preserve">; </w:t>
      </w:r>
    </w:p>
    <w:p w14:paraId="64D99EC7" w14:textId="5742C29C" w:rsidR="00EB31E3" w:rsidRPr="00DB1648" w:rsidRDefault="003E4B88" w:rsidP="005A5DA6">
      <w:pPr>
        <w:numPr>
          <w:ilvl w:val="1"/>
          <w:numId w:val="1"/>
        </w:numPr>
        <w:suppressAutoHyphens/>
        <w:spacing w:after="240"/>
        <w:outlineLvl w:val="1"/>
        <w:rPr>
          <w:lang w:val="fr-CA"/>
        </w:rPr>
      </w:pPr>
      <w:r w:rsidRPr="00DB1648">
        <w:rPr>
          <w:lang w:val="fr-CA"/>
        </w:rPr>
        <w:lastRenderedPageBreak/>
        <w:t xml:space="preserve">Approuver le projet d’accord entre le </w:t>
      </w:r>
      <w:r w:rsidR="00126359">
        <w:rPr>
          <w:lang w:val="fr-CA"/>
        </w:rPr>
        <w:t>gouvernement de Cabo Verde et le</w:t>
      </w:r>
      <w:r w:rsidRPr="00DB1648">
        <w:rPr>
          <w:lang w:val="fr-CA"/>
        </w:rPr>
        <w:t xml:space="preserve"> Comité exécutif sur la réduction de la consommation de HCFC conformément à la phase II du PGEH, joint à l’annexe I au présent document</w:t>
      </w:r>
      <w:r w:rsidR="00EB31E3" w:rsidRPr="00DB1648">
        <w:rPr>
          <w:lang w:val="fr-CA"/>
        </w:rPr>
        <w:t xml:space="preserve">; </w:t>
      </w:r>
    </w:p>
    <w:p w14:paraId="0BAD1A61" w14:textId="4F40DB15" w:rsidR="00EB31E3" w:rsidRPr="00DB1648" w:rsidRDefault="003E4B88" w:rsidP="005A5DA6">
      <w:pPr>
        <w:numPr>
          <w:ilvl w:val="1"/>
          <w:numId w:val="1"/>
        </w:numPr>
        <w:suppressAutoHyphens/>
        <w:spacing w:after="240"/>
        <w:outlineLvl w:val="1"/>
        <w:rPr>
          <w:lang w:val="fr-CA"/>
        </w:rPr>
      </w:pPr>
      <w:r w:rsidRPr="00DB1648">
        <w:rPr>
          <w:lang w:val="fr-CA"/>
        </w:rPr>
        <w:t xml:space="preserve">Tenir compte du fait que le gouvernement de Cabo Verde devrait fournir ce qui suit aux fins d’examen de la dernière tranche de son PGEH </w:t>
      </w:r>
      <w:r w:rsidR="00EB31E3" w:rsidRPr="00DB1648">
        <w:rPr>
          <w:lang w:val="fr-CA"/>
        </w:rPr>
        <w:t>:</w:t>
      </w:r>
    </w:p>
    <w:p w14:paraId="0AD9A5CD" w14:textId="6FB1230F" w:rsidR="00EB31E3" w:rsidRPr="00DB1648" w:rsidRDefault="003E4B88" w:rsidP="005A5DA6">
      <w:pPr>
        <w:numPr>
          <w:ilvl w:val="2"/>
          <w:numId w:val="1"/>
        </w:numPr>
        <w:suppressAutoHyphens/>
        <w:spacing w:after="240"/>
        <w:outlineLvl w:val="2"/>
        <w:rPr>
          <w:lang w:val="fr-CA"/>
        </w:rPr>
      </w:pPr>
      <w:r w:rsidRPr="00DB1648">
        <w:rPr>
          <w:lang w:val="fr-CA"/>
        </w:rPr>
        <w:t xml:space="preserve">Une description détaillée du cadre de réglementation et de politique en place pour la mise en œuvre de mesures pour garantir </w:t>
      </w:r>
      <w:r w:rsidR="00126359">
        <w:rPr>
          <w:lang w:val="fr-CA"/>
        </w:rPr>
        <w:t>une</w:t>
      </w:r>
      <w:r w:rsidRPr="00DB1648">
        <w:rPr>
          <w:lang w:val="fr-CA"/>
        </w:rPr>
        <w:t xml:space="preserve"> consommation de HCFC conforme au paragraphe 8 ter e) i) de l’article 5 du Protocole de Montréal pour la période 2030-2040;</w:t>
      </w:r>
    </w:p>
    <w:p w14:paraId="5ABA638A" w14:textId="523B6B3F" w:rsidR="00EB31E3" w:rsidRPr="00DB1648" w:rsidRDefault="003E4B88" w:rsidP="005A5DA6">
      <w:pPr>
        <w:pStyle w:val="Heading3"/>
        <w:widowControl/>
        <w:suppressAutoHyphens/>
        <w:rPr>
          <w:lang w:val="fr-CA"/>
        </w:rPr>
      </w:pPr>
      <w:r w:rsidRPr="00DB1648">
        <w:rPr>
          <w:lang w:val="fr-CA"/>
        </w:rPr>
        <w:t>La consommation annuelle prévue de HCFC à Cabo Verde pour la période 2030-2040;</w:t>
      </w:r>
    </w:p>
    <w:p w14:paraId="7AC1B4E6" w14:textId="40CD4BC5" w:rsidR="00804CB0" w:rsidRPr="00DB1648" w:rsidRDefault="003E4B88" w:rsidP="005A5DA6">
      <w:pPr>
        <w:numPr>
          <w:ilvl w:val="1"/>
          <w:numId w:val="1"/>
        </w:numPr>
        <w:suppressAutoHyphens/>
        <w:spacing w:after="240"/>
        <w:outlineLvl w:val="1"/>
        <w:rPr>
          <w:lang w:val="fr-CA"/>
        </w:rPr>
      </w:pPr>
      <w:r w:rsidRPr="00DB1648">
        <w:rPr>
          <w:lang w:val="fr-CA"/>
        </w:rPr>
        <w:t>Approuver la première tranche du PGEH pour Cabo Verde et le plan de mise en œuvre de la tranche correspondant pour la somme de 173 000 $US plus les coûts d’appui à l’agence de 22 490 $US pour le PNUE</w:t>
      </w:r>
      <w:r w:rsidR="00EB31E3" w:rsidRPr="00DB1648">
        <w:rPr>
          <w:lang w:val="fr-CA"/>
        </w:rPr>
        <w:t>.</w:t>
      </w:r>
    </w:p>
    <w:p w14:paraId="3C175EFB" w14:textId="77777777" w:rsidR="00804CB0" w:rsidRPr="00DB1648" w:rsidRDefault="00804CB0" w:rsidP="00A0418C">
      <w:pPr>
        <w:suppressAutoHyphens/>
        <w:spacing w:after="240"/>
        <w:ind w:left="1440"/>
        <w:outlineLvl w:val="1"/>
        <w:rPr>
          <w:lang w:val="fr-CA"/>
        </w:rPr>
        <w:sectPr w:rsidR="00804CB0" w:rsidRPr="00DB1648" w:rsidSect="0049322F">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docGrid w:linePitch="299"/>
        </w:sectPr>
      </w:pPr>
    </w:p>
    <w:p w14:paraId="78FBD95B" w14:textId="77777777" w:rsidR="001067DD" w:rsidRPr="003B4169" w:rsidRDefault="001067DD" w:rsidP="001067DD">
      <w:pPr>
        <w:spacing w:after="240"/>
        <w:jc w:val="center"/>
        <w:rPr>
          <w:b/>
          <w:bCs/>
          <w:lang w:val="fr-CA"/>
        </w:rPr>
      </w:pPr>
      <w:r w:rsidRPr="001067DD">
        <w:rPr>
          <w:b/>
          <w:lang w:val="fr-CA"/>
        </w:rPr>
        <w:lastRenderedPageBreak/>
        <w:t>Annexe I</w:t>
      </w:r>
    </w:p>
    <w:p w14:paraId="70CE6334" w14:textId="77777777" w:rsidR="001067DD" w:rsidRPr="003B4169" w:rsidRDefault="001067DD" w:rsidP="001067DD">
      <w:pPr>
        <w:jc w:val="center"/>
        <w:rPr>
          <w:lang w:val="fr-CA"/>
        </w:rPr>
      </w:pPr>
      <w:r w:rsidRPr="001067DD">
        <w:rPr>
          <w:b/>
          <w:lang w:val="fr-CA"/>
        </w:rPr>
        <w:t xml:space="preserve">PROJET D’ACCORD ENTRE LE GOUVERNEMENT DE CABO VERDE ET LE COMITÉ EXÉCUTIF DU FONDS MULTILATÉRAL POUR LA RÉDUCTION DE LA CONSOMMATION DES HYDROFLUOROCARBURES CONFORMÉMENT À LA DEUXIÈME PHASE DU PLAN DE GESTION DE L'ÉLIMINATION DES HCFC </w:t>
      </w:r>
    </w:p>
    <w:p w14:paraId="38C0B881" w14:textId="77777777" w:rsidR="001067DD" w:rsidRPr="003B4169" w:rsidRDefault="001067DD" w:rsidP="001067DD">
      <w:pPr>
        <w:jc w:val="center"/>
        <w:rPr>
          <w:lang w:val="fr-CA"/>
        </w:rPr>
      </w:pPr>
    </w:p>
    <w:p w14:paraId="5472F505" w14:textId="77777777" w:rsidR="001067DD" w:rsidRPr="003B4169" w:rsidRDefault="001067DD" w:rsidP="001067DD">
      <w:pPr>
        <w:jc w:val="left"/>
        <w:rPr>
          <w:b/>
          <w:lang w:val="fr-CA"/>
        </w:rPr>
      </w:pPr>
      <w:r w:rsidRPr="003B4169">
        <w:rPr>
          <w:b/>
          <w:lang w:val="fr-CA"/>
        </w:rPr>
        <w:t>Objet</w:t>
      </w:r>
    </w:p>
    <w:p w14:paraId="592E9795" w14:textId="77777777" w:rsidR="001067DD" w:rsidRPr="003B4169" w:rsidRDefault="001067DD" w:rsidP="001067DD">
      <w:pPr>
        <w:jc w:val="left"/>
        <w:rPr>
          <w:lang w:val="fr-CA"/>
        </w:rPr>
      </w:pPr>
    </w:p>
    <w:p w14:paraId="6B7A1601" w14:textId="77777777" w:rsidR="001067DD" w:rsidRPr="001067DD" w:rsidRDefault="001067DD" w:rsidP="0037339A">
      <w:pPr>
        <w:pStyle w:val="Heading1"/>
        <w:numPr>
          <w:ilvl w:val="0"/>
          <w:numId w:val="36"/>
        </w:numPr>
        <w:rPr>
          <w:lang w:val="fr-CA"/>
        </w:rPr>
      </w:pPr>
      <w:r w:rsidRPr="001067DD">
        <w:rPr>
          <w:lang w:val="fr-CA"/>
        </w:rPr>
        <w:t>Le présent Accord représente l’entente conclue entre le gouvernement de Cabo Verde (le « Pays ») et le Comité exécutif concernant la réduction de l’usage réglementé des substances appauvrissant la couche d’ozone (SAO) indiquées à l’appendice 1-A (les « Substances ») à un niveau durable de zéro tonnes PAO d’ici au 1</w:t>
      </w:r>
      <w:r w:rsidRPr="001067DD">
        <w:rPr>
          <w:vertAlign w:val="superscript"/>
          <w:lang w:val="fr-CA"/>
        </w:rPr>
        <w:t>er</w:t>
      </w:r>
      <w:r w:rsidRPr="001067DD">
        <w:rPr>
          <w:lang w:val="fr-CA"/>
        </w:rPr>
        <w:t> janvier 2030, conformément au calendrier de réduction du Protocole Montréal.</w:t>
      </w:r>
    </w:p>
    <w:p w14:paraId="45AB0D43" w14:textId="77777777" w:rsidR="001067DD" w:rsidRPr="001067DD" w:rsidRDefault="001067DD" w:rsidP="001067DD">
      <w:pPr>
        <w:pStyle w:val="Heading1"/>
        <w:numPr>
          <w:ilvl w:val="0"/>
          <w:numId w:val="1"/>
        </w:numPr>
        <w:rPr>
          <w:lang w:val="fr-CA"/>
        </w:rPr>
      </w:pPr>
      <w:r w:rsidRPr="001067DD">
        <w:rPr>
          <w:lang w:val="fr-CA"/>
        </w:rPr>
        <w:t xml:space="preserve">Le Pays convient de respecter les limites de consommation annuelle des Substances définies à la ligne 1.2 de l’Appendice 2-A (« Objectifs et financement ») du présent Accord, ainsi que les limites de consommation annuelle du Protocole de Montréal précisées dans l’Appendice 1-A pour toutes les Substances. Le Pays consent, en acceptant le présent Accord et lorsque le Comité exécutif s’acquitte de ses obligations de financement décrites au paragraphe 3, à renoncer à toute demande ou allocation de fonds supplémentaires du Fonds multilatéral pour toute consommation de Substances dépassant le niveau indiqué à la ligne 1.2 de l’Appendice 2-A, constituant la phase finale de réduction en vertu du présent Accord pour toutes les substances spécifiées à l’Appendice 1-A, et pour toute consommation de chacune des substances dépassant le niveau défini à </w:t>
      </w:r>
      <w:proofErr w:type="spellStart"/>
      <w:r w:rsidRPr="001067DD">
        <w:rPr>
          <w:lang w:val="fr-CA"/>
        </w:rPr>
        <w:t>l</w:t>
      </w:r>
      <w:proofErr w:type="spellEnd"/>
      <w:r w:rsidRPr="001067DD">
        <w:rPr>
          <w:lang w:val="fr-CA"/>
        </w:rPr>
        <w:t xml:space="preserve"> la ligne 4.1.3 (consommation restante admissible au financement).</w:t>
      </w:r>
    </w:p>
    <w:p w14:paraId="4E28A891" w14:textId="77777777" w:rsidR="001067DD" w:rsidRPr="001067DD" w:rsidRDefault="001067DD" w:rsidP="001067DD">
      <w:pPr>
        <w:pStyle w:val="Heading1"/>
        <w:numPr>
          <w:ilvl w:val="0"/>
          <w:numId w:val="1"/>
        </w:numPr>
        <w:rPr>
          <w:lang w:val="fr-CA"/>
        </w:rPr>
      </w:pPr>
      <w:r w:rsidRPr="001067DD">
        <w:rPr>
          <w:lang w:val="fr-CA"/>
        </w:rPr>
        <w:t>Si le Pays se conforme aux obligations définies dans le présent Accord, le Comité exécutif convient en principe de lui accorder le financement indiqué à la ligne 3.1 de l’Appendice 2-A. Le Comité exécutif accordera, en principe, ce financement lors de ses réunions spécifiées à l’Appendice 3-A (« Calendrier de financement approuvé »).</w:t>
      </w:r>
    </w:p>
    <w:p w14:paraId="08D7ABBB" w14:textId="77777777" w:rsidR="001067DD" w:rsidRPr="001067DD" w:rsidRDefault="001067DD" w:rsidP="001067DD">
      <w:pPr>
        <w:pStyle w:val="Heading1"/>
        <w:numPr>
          <w:ilvl w:val="0"/>
          <w:numId w:val="1"/>
        </w:numPr>
        <w:rPr>
          <w:lang w:val="fr-CA"/>
        </w:rPr>
      </w:pPr>
      <w:r w:rsidRPr="001067DD">
        <w:rPr>
          <w:lang w:val="fr-CA"/>
        </w:rPr>
        <w:t>Le Pays accepte de mettre en œuvre cet Accord conformément à la deuxième phase du plan de gestion de l'élimination des HCFC (PGEH) approuvé (le « Plan »). Conformément au paragraphe 5 b) du présent Accord, le Pays acceptera une vérification indépendante du respect des limites de consommation annuelle des Substances, tel qu’elles figurent à la ligne 1.2 de l’Appendice 2-A du présent Accord. La vérification mentionnée ci-dessus sera commandée par l’agence bilatérale ou l’agence d’exécution concernée.</w:t>
      </w:r>
    </w:p>
    <w:p w14:paraId="54E3CB5F" w14:textId="77777777" w:rsidR="001067DD" w:rsidRPr="003B4169" w:rsidRDefault="001067DD" w:rsidP="001067DD">
      <w:pPr>
        <w:rPr>
          <w:b/>
          <w:lang w:eastAsia="en-CA"/>
        </w:rPr>
      </w:pPr>
      <w:r w:rsidRPr="003B4169">
        <w:rPr>
          <w:b/>
          <w:lang w:eastAsia="en-CA"/>
        </w:rPr>
        <w:t xml:space="preserve">Conditions de </w:t>
      </w:r>
      <w:proofErr w:type="spellStart"/>
      <w:r w:rsidRPr="003B4169">
        <w:rPr>
          <w:b/>
          <w:lang w:eastAsia="en-CA"/>
        </w:rPr>
        <w:t>décaissement</w:t>
      </w:r>
      <w:proofErr w:type="spellEnd"/>
      <w:r w:rsidRPr="003B4169">
        <w:rPr>
          <w:b/>
          <w:lang w:eastAsia="en-CA"/>
        </w:rPr>
        <w:t xml:space="preserve"> des </w:t>
      </w:r>
      <w:proofErr w:type="spellStart"/>
      <w:r w:rsidRPr="003B4169">
        <w:rPr>
          <w:b/>
          <w:lang w:eastAsia="en-CA"/>
        </w:rPr>
        <w:t>sommes</w:t>
      </w:r>
      <w:proofErr w:type="spellEnd"/>
    </w:p>
    <w:p w14:paraId="41FDDC52" w14:textId="77777777" w:rsidR="001067DD" w:rsidRPr="003B4169" w:rsidRDefault="001067DD" w:rsidP="001067DD">
      <w:pPr>
        <w:rPr>
          <w:lang w:eastAsia="en-CA"/>
        </w:rPr>
      </w:pPr>
    </w:p>
    <w:p w14:paraId="42FA0357" w14:textId="77777777" w:rsidR="001067DD" w:rsidRPr="001067DD" w:rsidRDefault="001067DD" w:rsidP="001067DD">
      <w:pPr>
        <w:pStyle w:val="Heading1"/>
        <w:numPr>
          <w:ilvl w:val="0"/>
          <w:numId w:val="1"/>
        </w:numPr>
        <w:rPr>
          <w:lang w:val="fr-CA"/>
        </w:rPr>
      </w:pPr>
      <w:r w:rsidRPr="001067DD">
        <w:rPr>
          <w:lang w:val="fr-CA"/>
        </w:rPr>
        <w:t>Le Comité exécutif n’accordera le financement prévu au calendrier de financement approuvé que lorsque le Pays aura satisfait aux conditions suivantes au moins huit semaines avant la réunion du Comité exécutif indiquée dans le calendrier de financement approuvé :</w:t>
      </w:r>
    </w:p>
    <w:p w14:paraId="0C5EFA5F" w14:textId="77777777" w:rsidR="001067DD" w:rsidRPr="001067DD" w:rsidRDefault="001067DD" w:rsidP="001067DD">
      <w:pPr>
        <w:pStyle w:val="Heading2"/>
        <w:rPr>
          <w:lang w:val="fr-CA"/>
        </w:rPr>
      </w:pPr>
      <w:r w:rsidRPr="001067DD">
        <w:rPr>
          <w:lang w:val="fr-CA"/>
        </w:rPr>
        <w:t xml:space="preserve">Le Pays a respecté les objectifs fixés à la ligne 1.2 de l’Appendice 2-A pour toutes les années concernées. Les années concernées sont toutes celles qui se sont écoulées depuis l’année d’approbation du présent Accord. Les années auxquelles aucun rapport sur la mise en œuvre du programme de pays n’est dû à la date de la réunion du Comité à laquelle la demande de financement est soumise, font exception ; </w:t>
      </w:r>
    </w:p>
    <w:p w14:paraId="32B7D937" w14:textId="77777777" w:rsidR="001067DD" w:rsidRPr="001067DD" w:rsidRDefault="001067DD" w:rsidP="001067DD">
      <w:pPr>
        <w:pStyle w:val="Heading2"/>
        <w:rPr>
          <w:lang w:val="fr-CA"/>
        </w:rPr>
      </w:pPr>
      <w:r w:rsidRPr="001067DD">
        <w:rPr>
          <w:lang w:val="fr-CA"/>
        </w:rPr>
        <w:t>Le respect de ces objectifs a été vérifié de manière indépendante pour toutes les années concernées, à moins que le Comité exécutif n’ait décidé que cette vérification n’était pas nécessaire ;</w:t>
      </w:r>
    </w:p>
    <w:p w14:paraId="5214F07D" w14:textId="77777777" w:rsidR="001067DD" w:rsidRPr="001067DD" w:rsidRDefault="001067DD" w:rsidP="001067DD">
      <w:pPr>
        <w:pStyle w:val="Heading2"/>
        <w:keepNext/>
        <w:keepLines/>
        <w:rPr>
          <w:lang w:val="fr-CA"/>
        </w:rPr>
      </w:pPr>
      <w:r w:rsidRPr="001067DD">
        <w:rPr>
          <w:lang w:val="fr-CA"/>
        </w:rPr>
        <w:lastRenderedPageBreak/>
        <w:t>Le Pays a soumis des rapports annuels de mise en œuvre de la tranche sous la forme décrite à l’Appendice 4-A (« Format de rapports et de plans de mise en œuvre de la tranche ») pour chaque année civile précédente indiquant qu’il avait achevé une part importante de la mise en œuvre des activités amorcées lors de tranches précédentes approuvées et que le taux de décaissement du financement disponible associé à la tranche précédente approuvée était de plus de 20 pour cent ; et</w:t>
      </w:r>
    </w:p>
    <w:p w14:paraId="085ADFA1" w14:textId="77777777" w:rsidR="001067DD" w:rsidRPr="001067DD" w:rsidRDefault="001067DD" w:rsidP="001067DD">
      <w:pPr>
        <w:pStyle w:val="Heading2"/>
        <w:keepNext/>
        <w:keepLines/>
        <w:rPr>
          <w:lang w:val="fr-CA"/>
        </w:rPr>
      </w:pPr>
      <w:r w:rsidRPr="001067DD">
        <w:rPr>
          <w:lang w:val="fr-CA"/>
        </w:rPr>
        <w:t>Le Pays a soumis un plan annuel de mise en œuvre de la tranche et a reçu l’approbation du Comité exécutif, sous la forme indiquée à l’Appendice 4-A, pour chaque année civile, y compris l’année au cours de laquelle le calendrier de financement prévoit la soumission de la tranche suivante, ou, dans le cas de la tranche finale, jusqu’à l’achèvement de toutes les activités prévues.</w:t>
      </w:r>
    </w:p>
    <w:p w14:paraId="2141CC67" w14:textId="77777777" w:rsidR="001067DD" w:rsidRPr="003B4169" w:rsidRDefault="001067DD" w:rsidP="001067DD">
      <w:pPr>
        <w:rPr>
          <w:b/>
          <w:lang w:eastAsia="en-CA"/>
        </w:rPr>
      </w:pPr>
      <w:proofErr w:type="spellStart"/>
      <w:r w:rsidRPr="003B4169">
        <w:rPr>
          <w:b/>
          <w:lang w:eastAsia="en-CA"/>
        </w:rPr>
        <w:t>Suivi</w:t>
      </w:r>
      <w:proofErr w:type="spellEnd"/>
    </w:p>
    <w:p w14:paraId="744B45A2" w14:textId="77777777" w:rsidR="001067DD" w:rsidRPr="003B4169" w:rsidRDefault="001067DD" w:rsidP="001067DD">
      <w:pPr>
        <w:rPr>
          <w:lang w:eastAsia="en-CA"/>
        </w:rPr>
      </w:pPr>
    </w:p>
    <w:p w14:paraId="06BB5D3A" w14:textId="77777777" w:rsidR="001067DD" w:rsidRPr="001067DD" w:rsidRDefault="001067DD" w:rsidP="001067DD">
      <w:pPr>
        <w:pStyle w:val="Heading1"/>
        <w:numPr>
          <w:ilvl w:val="0"/>
          <w:numId w:val="1"/>
        </w:numPr>
        <w:rPr>
          <w:lang w:val="fr-CA"/>
        </w:rPr>
      </w:pPr>
      <w:r w:rsidRPr="001067DD">
        <w:rPr>
          <w:lang w:val="fr-CA"/>
        </w:rPr>
        <w:t>Le Pays veillera à effectuer une surveillance rigoureuse de ses activités dans le cadre du présent Accord. Les institutions indiquées à l’Appendice 5-A (« Institutions de surveillance et leur rôle ») assureront la surveillance et présenteront des rapports sur la mise en œuvre des activités des plans annuels de mise en œuvre de tranche précédents, conformément à leurs rôles et responsabilités définis dans le même appendice.</w:t>
      </w:r>
    </w:p>
    <w:p w14:paraId="5CF439D5" w14:textId="77777777" w:rsidR="001067DD" w:rsidRPr="001067DD" w:rsidRDefault="001067DD" w:rsidP="001067DD">
      <w:pPr>
        <w:rPr>
          <w:b/>
          <w:lang w:val="fr-CA" w:eastAsia="en-CA"/>
        </w:rPr>
      </w:pPr>
      <w:r w:rsidRPr="001067DD">
        <w:rPr>
          <w:b/>
          <w:lang w:val="fr-CA" w:eastAsia="en-CA"/>
        </w:rPr>
        <w:t>Souplesse dans la réaffectation des sommes</w:t>
      </w:r>
    </w:p>
    <w:p w14:paraId="205B9053" w14:textId="77777777" w:rsidR="001067DD" w:rsidRPr="001067DD" w:rsidRDefault="001067DD" w:rsidP="001067DD">
      <w:pPr>
        <w:rPr>
          <w:b/>
          <w:lang w:val="fr-CA" w:eastAsia="en-CA"/>
        </w:rPr>
      </w:pPr>
    </w:p>
    <w:p w14:paraId="73BC81DD" w14:textId="77777777" w:rsidR="001067DD" w:rsidRPr="001067DD" w:rsidRDefault="001067DD" w:rsidP="001067DD">
      <w:pPr>
        <w:pStyle w:val="Heading1"/>
        <w:numPr>
          <w:ilvl w:val="0"/>
          <w:numId w:val="1"/>
        </w:numPr>
        <w:rPr>
          <w:lang w:val="fr-CA"/>
        </w:rPr>
      </w:pPr>
      <w:r w:rsidRPr="001067DD">
        <w:rPr>
          <w:lang w:val="fr-CA"/>
        </w:rPr>
        <w:t>Le Comité exécutif accepte que le Pays bénéficie d’une certaine marge de manœuvre lui permettant de réaffecter une partie ou la totalité des fonds approuvés, en fonction de l’évolution de la situation, afin d’assurer une réduction de la consommation et une élimination fluides des substances précisées à l’Appendice 1-A :</w:t>
      </w:r>
    </w:p>
    <w:p w14:paraId="21CEE097" w14:textId="77777777" w:rsidR="001067DD" w:rsidRPr="003B4169" w:rsidRDefault="001067DD" w:rsidP="001067DD">
      <w:pPr>
        <w:pStyle w:val="Heading2"/>
        <w:rPr>
          <w:lang w:val="fr-CA"/>
        </w:rPr>
      </w:pPr>
      <w:r w:rsidRPr="001067DD">
        <w:rPr>
          <w:lang w:val="fr-CA"/>
        </w:rPr>
        <w:t xml:space="preserve">Les réaffectations classées comme changements importants doivent être documentées à l’avance, dans un plan annuel de mise en œuvre de la tranche, remis tel que prévu au paragraphe 5 d) ci-dessus, ou dans une révision d’un plan annuel de mise en œuvre de la tranche existant, à remettre huit semaines avant toute réunion du Comité exécutif, pour approbation. </w:t>
      </w:r>
      <w:proofErr w:type="spellStart"/>
      <w:r w:rsidRPr="003B4169">
        <w:t>Une</w:t>
      </w:r>
      <w:proofErr w:type="spellEnd"/>
      <w:r w:rsidRPr="003B4169">
        <w:t xml:space="preserve"> </w:t>
      </w:r>
      <w:proofErr w:type="spellStart"/>
      <w:r w:rsidRPr="003B4169">
        <w:t>réaffectation</w:t>
      </w:r>
      <w:proofErr w:type="spellEnd"/>
      <w:r w:rsidRPr="003B4169">
        <w:t xml:space="preserve"> </w:t>
      </w:r>
      <w:proofErr w:type="spellStart"/>
      <w:r w:rsidRPr="003B4169">
        <w:t>est</w:t>
      </w:r>
      <w:proofErr w:type="spellEnd"/>
      <w:r w:rsidRPr="003B4169">
        <w:t xml:space="preserve"> </w:t>
      </w:r>
      <w:proofErr w:type="spellStart"/>
      <w:r w:rsidRPr="003B4169">
        <w:t>dite</w:t>
      </w:r>
      <w:proofErr w:type="spellEnd"/>
      <w:r w:rsidRPr="003B4169">
        <w:t xml:space="preserve"> </w:t>
      </w:r>
      <w:proofErr w:type="spellStart"/>
      <w:r w:rsidRPr="003B4169">
        <w:t>importante</w:t>
      </w:r>
      <w:proofErr w:type="spellEnd"/>
      <w:r w:rsidRPr="003B4169">
        <w:t xml:space="preserve"> </w:t>
      </w:r>
      <w:proofErr w:type="spellStart"/>
      <w:r w:rsidRPr="003B4169">
        <w:t>lorsqu’elle</w:t>
      </w:r>
      <w:proofErr w:type="spellEnd"/>
      <w:r w:rsidRPr="003B4169">
        <w:t xml:space="preserve"> </w:t>
      </w:r>
      <w:proofErr w:type="gramStart"/>
      <w:r w:rsidRPr="003B4169">
        <w:t>vise</w:t>
      </w:r>
      <w:r>
        <w:t xml:space="preserve"> </w:t>
      </w:r>
      <w:r w:rsidRPr="003B4169">
        <w:t>:</w:t>
      </w:r>
      <w:proofErr w:type="gramEnd"/>
    </w:p>
    <w:p w14:paraId="188ACA83" w14:textId="77777777" w:rsidR="001067DD" w:rsidRPr="001067DD" w:rsidRDefault="001067DD" w:rsidP="001067DD">
      <w:pPr>
        <w:pStyle w:val="Heading3"/>
        <w:rPr>
          <w:lang w:val="fr-CA"/>
        </w:rPr>
      </w:pPr>
      <w:r w:rsidRPr="003B4169">
        <w:rPr>
          <w:lang w:val="fr-CA"/>
        </w:rPr>
        <w:t>D</w:t>
      </w:r>
      <w:r w:rsidRPr="001067DD">
        <w:rPr>
          <w:lang w:val="fr-CA"/>
        </w:rPr>
        <w:t xml:space="preserve">es enjeux qui pourraient concerner les règles et politiques du Fonds multilatéral ; </w:t>
      </w:r>
    </w:p>
    <w:p w14:paraId="1F87CC46" w14:textId="77777777" w:rsidR="001067DD" w:rsidRPr="001067DD" w:rsidRDefault="001067DD" w:rsidP="001067DD">
      <w:pPr>
        <w:pStyle w:val="Heading3"/>
        <w:rPr>
          <w:lang w:val="fr-CA"/>
        </w:rPr>
      </w:pPr>
      <w:r w:rsidRPr="001067DD">
        <w:rPr>
          <w:lang w:val="fr-CA"/>
        </w:rPr>
        <w:t xml:space="preserve">Des changements qui pourraient modifier une clause quelconque du présent Accord ; </w:t>
      </w:r>
    </w:p>
    <w:p w14:paraId="37B45440" w14:textId="77777777" w:rsidR="001067DD" w:rsidRPr="001067DD" w:rsidRDefault="001067DD" w:rsidP="001067DD">
      <w:pPr>
        <w:pStyle w:val="Heading3"/>
        <w:rPr>
          <w:lang w:val="fr-CA"/>
        </w:rPr>
      </w:pPr>
      <w:r w:rsidRPr="001067DD">
        <w:rPr>
          <w:lang w:val="fr-CA"/>
        </w:rPr>
        <w:t xml:space="preserve">Des changements dans les montants annuels de financement alloués aux agences bilatérales individuelles ou d’exécution pour les différentes tranches ; </w:t>
      </w:r>
    </w:p>
    <w:p w14:paraId="1C10E548" w14:textId="77777777" w:rsidR="001067DD" w:rsidRPr="001067DD" w:rsidRDefault="001067DD" w:rsidP="001067DD">
      <w:pPr>
        <w:pStyle w:val="Heading3"/>
        <w:rPr>
          <w:lang w:val="fr-CA"/>
        </w:rPr>
      </w:pPr>
      <w:r w:rsidRPr="001067DD">
        <w:rPr>
          <w:lang w:val="fr-CA"/>
        </w:rPr>
        <w:t>La fourniture de fonds pour des activités qui ne sont pas incluses dans le plan de mise en œuvre annuel de la tranche courant endossé ou bien le retrait d’une activité du plan annuel de mise en œuvre de la tranche, représentant un coût supérieur à 30 pour cent du coût total de la dernière tranche approuvée ; et</w:t>
      </w:r>
    </w:p>
    <w:p w14:paraId="4F38C051" w14:textId="77777777" w:rsidR="001067DD" w:rsidRPr="001067DD" w:rsidRDefault="001067DD" w:rsidP="001067DD">
      <w:pPr>
        <w:pStyle w:val="Heading3"/>
        <w:rPr>
          <w:lang w:val="fr-CA"/>
        </w:rPr>
      </w:pPr>
      <w:r w:rsidRPr="001067DD">
        <w:rPr>
          <w:lang w:val="fr-CA"/>
        </w:rPr>
        <w:t xml:space="preserve">Les changements de technologie de remplacement, étant entendu que toute proposition relative à une telle demande précisera les coûts différentiels connexes, les conséquences possibles sur le climat et la différence en tonnes PAO à éliminer, s’il y a lieu, et confirmera que le pays reconnaît que les économies possibles de coûts différentiels liées au changement de technologie réduiraient en conséquence le financement global prévu à cet Accord. </w:t>
      </w:r>
    </w:p>
    <w:p w14:paraId="4F36B000" w14:textId="77777777" w:rsidR="001067DD" w:rsidRPr="001067DD" w:rsidRDefault="001067DD" w:rsidP="001067DD">
      <w:pPr>
        <w:pStyle w:val="Heading2"/>
        <w:rPr>
          <w:lang w:val="fr-CA"/>
        </w:rPr>
      </w:pPr>
      <w:r w:rsidRPr="001067DD">
        <w:rPr>
          <w:lang w:val="fr-CA"/>
        </w:rPr>
        <w:lastRenderedPageBreak/>
        <w:t>Les réaffectations qui ne sont pas classées comme changements importants peuvent être intégrées au plan annuel de mise en œuvre de la tranche approuvée, en cours d’application à ce moment, et communiquées au Comité exécutif dans le rapport annuel de mise en œuvre de la tranche suivant ; et</w:t>
      </w:r>
    </w:p>
    <w:p w14:paraId="000AE245" w14:textId="77777777" w:rsidR="001067DD" w:rsidRPr="001067DD" w:rsidRDefault="001067DD" w:rsidP="001067DD">
      <w:pPr>
        <w:pStyle w:val="Heading2"/>
        <w:keepNext/>
        <w:keepLines/>
        <w:rPr>
          <w:lang w:val="fr-CA"/>
        </w:rPr>
      </w:pPr>
      <w:r w:rsidRPr="001067DD">
        <w:rPr>
          <w:lang w:val="fr-CA"/>
        </w:rPr>
        <w:t xml:space="preserve">Tous les fonds restants détenus par les agences bilatérales ou d’exécution en vertu du Plan seront restitués au Fonds multilatéral lors de l’achèvement de la dernière tranche prévue dans le cadre du présent Accord. </w:t>
      </w:r>
    </w:p>
    <w:p w14:paraId="3C97249E" w14:textId="77777777" w:rsidR="001067DD" w:rsidRPr="001067DD" w:rsidRDefault="001067DD" w:rsidP="001067DD">
      <w:pPr>
        <w:rPr>
          <w:lang w:val="fr-CA" w:eastAsia="en-CA"/>
        </w:rPr>
      </w:pPr>
      <w:r w:rsidRPr="001067DD">
        <w:rPr>
          <w:b/>
          <w:lang w:val="fr-CA" w:eastAsia="en-CA"/>
        </w:rPr>
        <w:t>Facteurs à prendre en ligne de compte pour le secteur de l’entretien de l’équipement de réfrigération</w:t>
      </w:r>
    </w:p>
    <w:p w14:paraId="0D649A0B" w14:textId="77777777" w:rsidR="001067DD" w:rsidRPr="001067DD" w:rsidRDefault="001067DD" w:rsidP="001067DD">
      <w:pPr>
        <w:rPr>
          <w:lang w:val="fr-CA" w:eastAsia="en-CA"/>
        </w:rPr>
      </w:pPr>
    </w:p>
    <w:p w14:paraId="67765489" w14:textId="77777777" w:rsidR="001067DD" w:rsidRPr="001067DD" w:rsidRDefault="001067DD" w:rsidP="001067DD">
      <w:pPr>
        <w:pStyle w:val="Heading1"/>
        <w:numPr>
          <w:ilvl w:val="0"/>
          <w:numId w:val="1"/>
        </w:numPr>
        <w:rPr>
          <w:lang w:val="fr-CA"/>
        </w:rPr>
      </w:pPr>
      <w:r w:rsidRPr="001067DD">
        <w:rPr>
          <w:lang w:val="fr-CA"/>
        </w:rPr>
        <w:t>La réalisation des activités dans le sous-secteur de l’entretien des appareils de réfrigération fera l’objet d’une attention particulière, notamment sur les points suivants : </w:t>
      </w:r>
    </w:p>
    <w:p w14:paraId="419602FB" w14:textId="77777777" w:rsidR="001067DD" w:rsidRPr="001067DD" w:rsidRDefault="001067DD" w:rsidP="001067DD">
      <w:pPr>
        <w:pStyle w:val="Heading2"/>
        <w:rPr>
          <w:lang w:val="fr-CA"/>
        </w:rPr>
      </w:pPr>
      <w:r w:rsidRPr="001067DD">
        <w:rPr>
          <w:lang w:val="fr-CA"/>
        </w:rPr>
        <w:t>Le Pays utilisera la marge de manœuvre offerte en vertu du présent Accord pour répondre aux besoins spécifiques qui pourraient survenir lors de la mise en œuvre du projet ; et</w:t>
      </w:r>
    </w:p>
    <w:p w14:paraId="32FD30A6" w14:textId="77777777" w:rsidR="001067DD" w:rsidRPr="001067DD" w:rsidRDefault="001067DD" w:rsidP="001067DD">
      <w:pPr>
        <w:pStyle w:val="Heading2"/>
        <w:rPr>
          <w:lang w:val="fr-CA"/>
        </w:rPr>
      </w:pPr>
      <w:r w:rsidRPr="001067DD">
        <w:rPr>
          <w:lang w:val="fr-CA"/>
        </w:rPr>
        <w:t>Le Pays et les agences bilatérales et d’exécution concernées tiendront compte des décisions pertinentes concernant le secteur de l’entretien de l’équipement de réfrigération pendant la mise en œuvre du plan.</w:t>
      </w:r>
    </w:p>
    <w:p w14:paraId="36402580" w14:textId="77777777" w:rsidR="001067DD" w:rsidRPr="003B4169" w:rsidRDefault="001067DD" w:rsidP="001067DD">
      <w:pPr>
        <w:pStyle w:val="Heading2"/>
        <w:numPr>
          <w:ilvl w:val="0"/>
          <w:numId w:val="0"/>
        </w:numPr>
      </w:pPr>
      <w:proofErr w:type="spellStart"/>
      <w:r w:rsidRPr="003B4169">
        <w:rPr>
          <w:b/>
          <w:lang w:eastAsia="en-CA"/>
        </w:rPr>
        <w:t>Agences</w:t>
      </w:r>
      <w:proofErr w:type="spellEnd"/>
      <w:r w:rsidRPr="003B4169">
        <w:rPr>
          <w:b/>
          <w:lang w:eastAsia="en-CA"/>
        </w:rPr>
        <w:t xml:space="preserve"> </w:t>
      </w:r>
      <w:proofErr w:type="spellStart"/>
      <w:r w:rsidRPr="003B4169">
        <w:rPr>
          <w:b/>
          <w:lang w:eastAsia="en-CA"/>
        </w:rPr>
        <w:t>bilatérales</w:t>
      </w:r>
      <w:proofErr w:type="spellEnd"/>
      <w:r w:rsidRPr="003B4169">
        <w:rPr>
          <w:b/>
          <w:lang w:eastAsia="en-CA"/>
        </w:rPr>
        <w:t xml:space="preserve"> et </w:t>
      </w:r>
      <w:proofErr w:type="spellStart"/>
      <w:r w:rsidRPr="003B4169">
        <w:rPr>
          <w:b/>
          <w:lang w:eastAsia="en-CA"/>
        </w:rPr>
        <w:t>d’exécution</w:t>
      </w:r>
      <w:proofErr w:type="spellEnd"/>
    </w:p>
    <w:p w14:paraId="55EB6721" w14:textId="77777777" w:rsidR="001067DD" w:rsidRPr="001067DD" w:rsidRDefault="001067DD" w:rsidP="001067DD">
      <w:pPr>
        <w:pStyle w:val="Heading1"/>
        <w:widowControl w:val="0"/>
        <w:numPr>
          <w:ilvl w:val="0"/>
          <w:numId w:val="1"/>
        </w:numPr>
        <w:rPr>
          <w:lang w:val="fr-CA"/>
        </w:rPr>
      </w:pPr>
      <w:r w:rsidRPr="001067DD">
        <w:rPr>
          <w:lang w:val="fr-CA"/>
        </w:rPr>
        <w:t>Le Pays convient d’assumer la responsabilité générale de la gestion et de la mise en œuvre du présent Accord et de toutes les activités entreprises dans le cadre de ce dernier ou en son nom afin de s’acquitter de ses obligations en vertu du présent Accord. Le PNUE a convenu d’agir en qualité d’agence d’exécution principale (« l’Agence principale ») en ce qui concerne les activités du Pays prévues en vertu du présent Accord. Le Pays accepte les évaluations périodiques qui pourront être effectuées dans le cadre des programmes de travail de surveillance et d’évaluation du Fonds multilatéral ou du programme d’évaluation de l’Agence principale partie au présent Accord.</w:t>
      </w:r>
    </w:p>
    <w:p w14:paraId="42E04FB4" w14:textId="77777777" w:rsidR="001067DD" w:rsidRPr="001067DD" w:rsidRDefault="001067DD" w:rsidP="001067DD">
      <w:pPr>
        <w:pStyle w:val="Heading1"/>
        <w:numPr>
          <w:ilvl w:val="0"/>
          <w:numId w:val="1"/>
        </w:numPr>
        <w:rPr>
          <w:lang w:val="fr-CA"/>
        </w:rPr>
      </w:pPr>
      <w:r w:rsidRPr="001067DD">
        <w:rPr>
          <w:lang w:val="fr-CA"/>
        </w:rPr>
        <w:t>L’Agence principale sera responsable de la coordination de la planification, de la mise en œuvre et des rapports pour toutes les activités dans le cadre du présent Accord, comprenant entre autres la vérification indépendante indiquée au paragraphe 5 b). Les rôles de l’Agence principale sont indiqués respectivement à l’Appendices 6-A. Le Comité exécutif consent, en principe, à verser à l’Agence principale les honoraires indiqués à la ligne 2.2 de l’Appendice 2-A.</w:t>
      </w:r>
    </w:p>
    <w:p w14:paraId="325E89C1" w14:textId="77777777" w:rsidR="001067DD" w:rsidRPr="003B4169" w:rsidRDefault="001067DD" w:rsidP="001067DD">
      <w:pPr>
        <w:rPr>
          <w:b/>
          <w:lang w:eastAsia="en-CA"/>
        </w:rPr>
      </w:pPr>
      <w:r w:rsidRPr="003B4169">
        <w:rPr>
          <w:b/>
          <w:lang w:eastAsia="en-CA"/>
        </w:rPr>
        <w:t xml:space="preserve">Non-respect de </w:t>
      </w:r>
      <w:proofErr w:type="spellStart"/>
      <w:r w:rsidRPr="003B4169">
        <w:rPr>
          <w:b/>
          <w:lang w:eastAsia="en-CA"/>
        </w:rPr>
        <w:t>l’Accord</w:t>
      </w:r>
      <w:proofErr w:type="spellEnd"/>
    </w:p>
    <w:p w14:paraId="6FD77106" w14:textId="77777777" w:rsidR="001067DD" w:rsidRPr="003B4169" w:rsidRDefault="001067DD" w:rsidP="001067DD">
      <w:pPr>
        <w:rPr>
          <w:b/>
          <w:lang w:eastAsia="en-CA"/>
        </w:rPr>
      </w:pPr>
    </w:p>
    <w:p w14:paraId="3717F10F" w14:textId="77777777" w:rsidR="001067DD" w:rsidRPr="001067DD" w:rsidRDefault="001067DD" w:rsidP="001067DD">
      <w:pPr>
        <w:pStyle w:val="Heading1"/>
        <w:numPr>
          <w:ilvl w:val="0"/>
          <w:numId w:val="1"/>
        </w:numPr>
        <w:rPr>
          <w:lang w:val="fr-CA"/>
        </w:rPr>
      </w:pPr>
      <w:r w:rsidRPr="001067DD">
        <w:rPr>
          <w:lang w:val="fr-CA"/>
        </w:rPr>
        <w:t xml:space="preserve">Si, pour quelque raison que ce soit, le Pays ne respecte pas les Objectifs d’élimination des substances indiquées à la ligne 1.2. </w:t>
      </w:r>
      <w:proofErr w:type="gramStart"/>
      <w:r w:rsidRPr="001067DD">
        <w:rPr>
          <w:lang w:val="fr-CA"/>
        </w:rPr>
        <w:t>de</w:t>
      </w:r>
      <w:proofErr w:type="gramEnd"/>
      <w:r w:rsidRPr="001067DD">
        <w:rPr>
          <w:lang w:val="fr-CA"/>
        </w:rPr>
        <w:t xml:space="preserve"> l’Appendice 2-A ou bien ne se conforme pas au présent Accord, il accepte alors de ne plus être en droit de prétendre au financement conformément au calendrier de financement approuvé. Il appartient au Comité exécutif de rétablir ce financement, conformément à un calendrier de financement révisé établi par ses soins, une fois que le Pays aura prouvé qu’il a respecté toutes les obligations qu’il aurait dû satisfaire avant la réception de la prochaine tranche de financement conformément au calendrier de financement approuvé. Le Pays convient que le Comité exécutif peut déduire du montant du financement le montant indiqué à l’Appendice 7-A (« Réductions du financement en cas de non-conformité ») pour chaque kilogramme de PAO dont la consommation n’aura pas été réduite au cours d’une même année. Le Comité exécutif étudiera chaque cas spécifique de non-conformité du Pays au présent Accord et prendra des décisions en conséquence. Une fois les décisions prises, ce cas spécifique de non-conformité ne constituera plus un obstacle au financement des tranches futures indiquées au paragraphe 5 précédent.</w:t>
      </w:r>
    </w:p>
    <w:p w14:paraId="2C87AC49" w14:textId="77777777" w:rsidR="001067DD" w:rsidRPr="001067DD" w:rsidRDefault="001067DD" w:rsidP="001067DD">
      <w:pPr>
        <w:pStyle w:val="Heading1"/>
        <w:numPr>
          <w:ilvl w:val="0"/>
          <w:numId w:val="1"/>
        </w:numPr>
        <w:rPr>
          <w:lang w:val="fr-CA"/>
        </w:rPr>
      </w:pPr>
      <w:r w:rsidRPr="001067DD">
        <w:rPr>
          <w:lang w:val="fr-CA"/>
        </w:rPr>
        <w:lastRenderedPageBreak/>
        <w:t>Le financement du présent Accord ne sera pas modifié en raison de toute décision future du Comité exécutif qui pourrait avoir une incidence sur le financement de tout autre projet de consommation sectorielle ou sur toute autre activité connexe dans le Pays.</w:t>
      </w:r>
    </w:p>
    <w:p w14:paraId="6BE92C35" w14:textId="77777777" w:rsidR="001067DD" w:rsidRPr="001067DD" w:rsidRDefault="001067DD" w:rsidP="001067DD">
      <w:pPr>
        <w:pStyle w:val="Heading1"/>
        <w:numPr>
          <w:ilvl w:val="0"/>
          <w:numId w:val="1"/>
        </w:numPr>
        <w:rPr>
          <w:lang w:val="fr-CA"/>
        </w:rPr>
      </w:pPr>
      <w:r w:rsidRPr="001067DD">
        <w:rPr>
          <w:lang w:val="fr-CA"/>
        </w:rPr>
        <w:t>Le Pays se conformera à toute demande raisonnable du Comité exécutif, de l’Agence principale en vue de faciliter la mise en œuvre du présent Accord. En particulier, il permettra à l’Agence principale d’accéder aux renseignements nécessaires pour vérifier la conformité à cet Accord.</w:t>
      </w:r>
    </w:p>
    <w:p w14:paraId="6B51D63A" w14:textId="77777777" w:rsidR="001067DD" w:rsidRPr="003B4169" w:rsidRDefault="001067DD" w:rsidP="001067DD">
      <w:pPr>
        <w:rPr>
          <w:lang w:eastAsia="en-CA"/>
        </w:rPr>
      </w:pPr>
      <w:r w:rsidRPr="003B4169">
        <w:rPr>
          <w:b/>
          <w:lang w:eastAsia="en-CA"/>
        </w:rPr>
        <w:t xml:space="preserve">Date </w:t>
      </w:r>
      <w:proofErr w:type="spellStart"/>
      <w:r w:rsidRPr="003B4169">
        <w:rPr>
          <w:b/>
          <w:lang w:eastAsia="en-CA"/>
        </w:rPr>
        <w:t>d’achèvement</w:t>
      </w:r>
      <w:proofErr w:type="spellEnd"/>
    </w:p>
    <w:p w14:paraId="3D945B58" w14:textId="77777777" w:rsidR="001067DD" w:rsidRPr="003B4169" w:rsidRDefault="001067DD" w:rsidP="001067DD">
      <w:pPr>
        <w:rPr>
          <w:lang w:eastAsia="en-CA"/>
        </w:rPr>
      </w:pPr>
    </w:p>
    <w:p w14:paraId="7F810493" w14:textId="77777777" w:rsidR="001067DD" w:rsidRPr="001067DD" w:rsidRDefault="001067DD" w:rsidP="001067DD">
      <w:pPr>
        <w:pStyle w:val="Heading1"/>
        <w:numPr>
          <w:ilvl w:val="0"/>
          <w:numId w:val="1"/>
        </w:numPr>
        <w:rPr>
          <w:lang w:val="fr-CA"/>
        </w:rPr>
      </w:pPr>
      <w:r w:rsidRPr="001067DD">
        <w:rPr>
          <w:lang w:val="fr-CA"/>
        </w:rPr>
        <w:t>L’achèvement du Plan et de l’Accord s’y rapportant aura lieu à la fin de l’année qui suit la dernière année pour laquelle la consommation totale maximum autorisée est spécifiée dans l’Appendice 2-A. Si des activités qui étaient prévues dans le plan de mise en œuvre de la tranche et dans ses révisions conformément aux paragraphes 5 d) et 7 se trouvaient encore en souffrance à ce moment-là, l’achèvement du Plan serait reporté à la fin de l’année suivant la mise en œuvre des activités restantes. Les exigences de remise de rapport selon les paragraphes 1 a), 1 b), 1 d) et 1 e) de l’Appendice 4-A continueront jusqu’à l’achèvement du Plan à moins d’indication contraire de la part du Comité exécutif.</w:t>
      </w:r>
    </w:p>
    <w:p w14:paraId="139971CB" w14:textId="77777777" w:rsidR="001067DD" w:rsidRPr="003B4169" w:rsidRDefault="001067DD" w:rsidP="001067DD">
      <w:pPr>
        <w:rPr>
          <w:b/>
          <w:lang w:eastAsia="en-CA"/>
        </w:rPr>
      </w:pPr>
      <w:proofErr w:type="spellStart"/>
      <w:r w:rsidRPr="003B4169">
        <w:rPr>
          <w:b/>
          <w:lang w:eastAsia="en-CA"/>
        </w:rPr>
        <w:t>Validité</w:t>
      </w:r>
      <w:proofErr w:type="spellEnd"/>
    </w:p>
    <w:p w14:paraId="00AF2BED" w14:textId="77777777" w:rsidR="001067DD" w:rsidRPr="003B4169" w:rsidRDefault="001067DD" w:rsidP="001067DD">
      <w:pPr>
        <w:rPr>
          <w:b/>
          <w:lang w:eastAsia="en-CA"/>
        </w:rPr>
      </w:pPr>
    </w:p>
    <w:p w14:paraId="5B34D8E5" w14:textId="77777777" w:rsidR="001067DD" w:rsidRPr="003B4169" w:rsidRDefault="001067DD" w:rsidP="001067DD">
      <w:pPr>
        <w:pStyle w:val="StyleHeading1Para1Heading1CharHeading1Char3CharHeadin"/>
        <w:numPr>
          <w:ilvl w:val="0"/>
          <w:numId w:val="1"/>
        </w:numPr>
        <w:tabs>
          <w:tab w:val="clear" w:pos="0"/>
        </w:tabs>
        <w:rPr>
          <w:lang w:val="fr-CA"/>
        </w:rPr>
      </w:pPr>
      <w:r w:rsidRPr="003B4169">
        <w:rPr>
          <w:lang w:val="fr-FR"/>
        </w:rPr>
        <w:t>Toutes les conditions définies dans le présent Accord seront mises en œuvre uniquement dans le contexte du Protocole de Montréal et comme le stipule le présent Accord. Sauf indication contraire, la signification de tous les termes utilisés dans le présent Accord est celle qui leur est attribuée dans le Protocole de Montréal.</w:t>
      </w:r>
    </w:p>
    <w:p w14:paraId="1571B312" w14:textId="77777777" w:rsidR="001067DD" w:rsidRPr="00C7083F" w:rsidRDefault="001067DD" w:rsidP="001067DD">
      <w:pPr>
        <w:pStyle w:val="StyleHeading1Para1Heading1CharHeading1Char3CharHeadin"/>
        <w:numPr>
          <w:ilvl w:val="0"/>
          <w:numId w:val="1"/>
        </w:numPr>
        <w:tabs>
          <w:tab w:val="clear" w:pos="0"/>
        </w:tabs>
        <w:jc w:val="left"/>
        <w:rPr>
          <w:b/>
          <w:lang w:val="fr-CA"/>
        </w:rPr>
      </w:pPr>
      <w:r w:rsidRPr="00C7083F">
        <w:rPr>
          <w:lang w:val="fr-FR"/>
        </w:rPr>
        <w:t>Cet Accord ne peut être modifié ou résilié que par consentement écrit mutuel du Pays et du Comité exécutif du Fonds multilatéral.</w:t>
      </w:r>
    </w:p>
    <w:p w14:paraId="45EF6B5E" w14:textId="77777777" w:rsidR="001067DD" w:rsidRDefault="001067DD" w:rsidP="001067DD">
      <w:pPr>
        <w:jc w:val="left"/>
        <w:rPr>
          <w:b/>
          <w:lang w:val="fr-CA"/>
        </w:rPr>
      </w:pPr>
    </w:p>
    <w:p w14:paraId="0CF6C6F9" w14:textId="77777777" w:rsidR="001067DD" w:rsidRDefault="001067DD" w:rsidP="001067DD">
      <w:pPr>
        <w:jc w:val="left"/>
        <w:rPr>
          <w:b/>
          <w:lang w:val="fr-CA"/>
        </w:rPr>
      </w:pPr>
      <w:r>
        <w:rPr>
          <w:b/>
          <w:lang w:val="fr-CA"/>
        </w:rPr>
        <w:br w:type="page"/>
      </w:r>
    </w:p>
    <w:p w14:paraId="723BFF6B" w14:textId="77777777" w:rsidR="001067DD" w:rsidRPr="003B4169" w:rsidRDefault="001067DD" w:rsidP="001067DD">
      <w:pPr>
        <w:keepNext/>
        <w:keepLines/>
        <w:tabs>
          <w:tab w:val="left" w:pos="1440"/>
        </w:tabs>
        <w:rPr>
          <w:b/>
          <w:lang w:val="fr-CA"/>
        </w:rPr>
      </w:pPr>
      <w:r w:rsidRPr="003B4169">
        <w:rPr>
          <w:b/>
          <w:lang w:val="fr-CA"/>
        </w:rPr>
        <w:lastRenderedPageBreak/>
        <w:t xml:space="preserve">APPENDICES </w:t>
      </w:r>
    </w:p>
    <w:p w14:paraId="02C29839" w14:textId="77777777" w:rsidR="001067DD" w:rsidRPr="003B4169" w:rsidRDefault="001067DD" w:rsidP="001067DD">
      <w:pPr>
        <w:keepNext/>
        <w:keepLines/>
        <w:rPr>
          <w:b/>
          <w:sz w:val="16"/>
          <w:szCs w:val="16"/>
          <w:lang w:val="fr-CA"/>
        </w:rPr>
      </w:pPr>
    </w:p>
    <w:p w14:paraId="7E5668FE" w14:textId="77777777" w:rsidR="001067DD" w:rsidRPr="003B4169" w:rsidRDefault="001067DD" w:rsidP="001067DD">
      <w:pPr>
        <w:keepNext/>
        <w:keepLines/>
        <w:rPr>
          <w:sz w:val="16"/>
          <w:szCs w:val="16"/>
          <w:lang w:val="fr-CA"/>
        </w:rPr>
      </w:pPr>
      <w:r w:rsidRPr="003B4169">
        <w:rPr>
          <w:b/>
          <w:lang w:val="fr-CA"/>
        </w:rPr>
        <w:t>APPENDICE 1-A</w:t>
      </w:r>
      <w:r>
        <w:rPr>
          <w:b/>
          <w:lang w:val="fr-CA"/>
        </w:rPr>
        <w:t xml:space="preserve"> </w:t>
      </w:r>
      <w:r w:rsidRPr="003B4169">
        <w:rPr>
          <w:b/>
          <w:lang w:val="fr-CA"/>
        </w:rPr>
        <w:t>: LES SUBSTANCES</w:t>
      </w:r>
    </w:p>
    <w:p w14:paraId="5406D182" w14:textId="77777777" w:rsidR="001067DD" w:rsidRDefault="001067DD" w:rsidP="001067DD">
      <w:pPr>
        <w:keepNext/>
        <w:keepLines/>
        <w:spacing w:after="2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143"/>
        <w:gridCol w:w="1106"/>
        <w:gridCol w:w="2934"/>
      </w:tblGrid>
      <w:tr w:rsidR="001067DD" w:rsidRPr="002935B3" w14:paraId="77F4C573" w14:textId="77777777" w:rsidTr="000F326C">
        <w:trPr>
          <w:trHeight w:val="413"/>
        </w:trPr>
        <w:tc>
          <w:tcPr>
            <w:tcW w:w="2262" w:type="pct"/>
            <w:shd w:val="clear" w:color="auto" w:fill="auto"/>
            <w:vAlign w:val="center"/>
          </w:tcPr>
          <w:p w14:paraId="24A05519" w14:textId="77777777" w:rsidR="001067DD" w:rsidRPr="002935B3" w:rsidRDefault="001067DD" w:rsidP="000F326C">
            <w:pPr>
              <w:keepNext/>
              <w:keepLines/>
              <w:jc w:val="center"/>
              <w:rPr>
                <w:b/>
                <w:sz w:val="20"/>
                <w:szCs w:val="20"/>
                <w:lang w:val="fr-CA" w:eastAsia="en-CA"/>
              </w:rPr>
            </w:pPr>
            <w:r w:rsidRPr="002935B3">
              <w:rPr>
                <w:b/>
                <w:sz w:val="20"/>
                <w:szCs w:val="20"/>
                <w:lang w:val="fr-CA" w:eastAsia="en-CA"/>
              </w:rPr>
              <w:t>Substances</w:t>
            </w:r>
          </w:p>
        </w:tc>
        <w:tc>
          <w:tcPr>
            <w:tcW w:w="604" w:type="pct"/>
            <w:shd w:val="clear" w:color="auto" w:fill="auto"/>
            <w:vAlign w:val="center"/>
          </w:tcPr>
          <w:p w14:paraId="35ED7700" w14:textId="77777777" w:rsidR="001067DD" w:rsidRPr="002935B3" w:rsidRDefault="001067DD" w:rsidP="000F326C">
            <w:pPr>
              <w:keepNext/>
              <w:keepLines/>
              <w:jc w:val="center"/>
              <w:rPr>
                <w:b/>
                <w:sz w:val="20"/>
                <w:szCs w:val="20"/>
                <w:lang w:val="fr-CA" w:eastAsia="en-CA"/>
              </w:rPr>
            </w:pPr>
            <w:r w:rsidRPr="002935B3">
              <w:rPr>
                <w:b/>
                <w:sz w:val="20"/>
                <w:szCs w:val="20"/>
                <w:lang w:val="fr-CA" w:eastAsia="en-CA"/>
              </w:rPr>
              <w:t>Annexe</w:t>
            </w:r>
          </w:p>
        </w:tc>
        <w:tc>
          <w:tcPr>
            <w:tcW w:w="584" w:type="pct"/>
            <w:shd w:val="clear" w:color="auto" w:fill="auto"/>
            <w:vAlign w:val="center"/>
          </w:tcPr>
          <w:p w14:paraId="71FB0972" w14:textId="77777777" w:rsidR="001067DD" w:rsidRPr="002935B3" w:rsidRDefault="001067DD" w:rsidP="000F326C">
            <w:pPr>
              <w:keepNext/>
              <w:keepLines/>
              <w:jc w:val="center"/>
              <w:rPr>
                <w:b/>
                <w:sz w:val="20"/>
                <w:szCs w:val="20"/>
                <w:lang w:val="fr-CA" w:eastAsia="en-CA"/>
              </w:rPr>
            </w:pPr>
            <w:r w:rsidRPr="002935B3">
              <w:rPr>
                <w:b/>
                <w:sz w:val="20"/>
                <w:szCs w:val="20"/>
                <w:lang w:val="fr-CA" w:eastAsia="en-CA"/>
              </w:rPr>
              <w:t>Groupe</w:t>
            </w:r>
          </w:p>
        </w:tc>
        <w:tc>
          <w:tcPr>
            <w:tcW w:w="1550" w:type="pct"/>
            <w:shd w:val="clear" w:color="auto" w:fill="auto"/>
            <w:vAlign w:val="center"/>
          </w:tcPr>
          <w:p w14:paraId="46A6616F" w14:textId="77777777" w:rsidR="001067DD" w:rsidRPr="002935B3" w:rsidRDefault="001067DD" w:rsidP="000F326C">
            <w:pPr>
              <w:keepNext/>
              <w:keepLines/>
              <w:jc w:val="center"/>
              <w:rPr>
                <w:b/>
                <w:sz w:val="20"/>
                <w:szCs w:val="20"/>
                <w:lang w:val="fr-CA" w:eastAsia="en-CA"/>
              </w:rPr>
            </w:pPr>
            <w:r w:rsidRPr="002935B3">
              <w:rPr>
                <w:b/>
                <w:sz w:val="20"/>
                <w:szCs w:val="20"/>
                <w:lang w:val="fr-CA" w:eastAsia="en-CA"/>
              </w:rPr>
              <w:t>Point de départ des réductions globales de consommation (tonnes PAO)</w:t>
            </w:r>
          </w:p>
        </w:tc>
      </w:tr>
      <w:tr w:rsidR="001067DD" w:rsidRPr="00B375EA" w14:paraId="0F8DB5F4" w14:textId="77777777" w:rsidTr="000F326C">
        <w:tc>
          <w:tcPr>
            <w:tcW w:w="2262" w:type="pct"/>
            <w:shd w:val="clear" w:color="auto" w:fill="auto"/>
          </w:tcPr>
          <w:p w14:paraId="0447BCB9" w14:textId="77777777" w:rsidR="001067DD" w:rsidRPr="00B375EA" w:rsidRDefault="001067DD" w:rsidP="000F326C">
            <w:pPr>
              <w:keepNext/>
              <w:suppressAutoHyphens/>
              <w:rPr>
                <w:sz w:val="20"/>
                <w:szCs w:val="20"/>
              </w:rPr>
            </w:pPr>
            <w:r w:rsidRPr="00B375EA">
              <w:rPr>
                <w:sz w:val="20"/>
                <w:szCs w:val="20"/>
              </w:rPr>
              <w:t>HCFC-22</w:t>
            </w:r>
          </w:p>
        </w:tc>
        <w:tc>
          <w:tcPr>
            <w:tcW w:w="604" w:type="pct"/>
            <w:shd w:val="clear" w:color="auto" w:fill="auto"/>
          </w:tcPr>
          <w:p w14:paraId="4F1FC712" w14:textId="77777777" w:rsidR="001067DD" w:rsidRPr="00B375EA" w:rsidRDefault="001067DD" w:rsidP="000F326C">
            <w:pPr>
              <w:keepNext/>
              <w:suppressAutoHyphens/>
              <w:jc w:val="center"/>
              <w:rPr>
                <w:sz w:val="20"/>
                <w:szCs w:val="20"/>
              </w:rPr>
            </w:pPr>
            <w:r w:rsidRPr="00B375EA">
              <w:rPr>
                <w:sz w:val="20"/>
                <w:szCs w:val="20"/>
              </w:rPr>
              <w:t>C</w:t>
            </w:r>
          </w:p>
        </w:tc>
        <w:tc>
          <w:tcPr>
            <w:tcW w:w="584" w:type="pct"/>
            <w:shd w:val="clear" w:color="auto" w:fill="auto"/>
          </w:tcPr>
          <w:p w14:paraId="1124CA6B" w14:textId="77777777" w:rsidR="001067DD" w:rsidRPr="00B375EA" w:rsidRDefault="001067DD" w:rsidP="000F326C">
            <w:pPr>
              <w:keepNext/>
              <w:suppressAutoHyphens/>
              <w:jc w:val="center"/>
              <w:rPr>
                <w:sz w:val="20"/>
                <w:szCs w:val="20"/>
              </w:rPr>
            </w:pPr>
            <w:r w:rsidRPr="00B375EA">
              <w:rPr>
                <w:sz w:val="20"/>
                <w:szCs w:val="20"/>
              </w:rPr>
              <w:t>I</w:t>
            </w:r>
          </w:p>
        </w:tc>
        <w:tc>
          <w:tcPr>
            <w:tcW w:w="1550" w:type="pct"/>
            <w:shd w:val="clear" w:color="auto" w:fill="auto"/>
          </w:tcPr>
          <w:p w14:paraId="4B762C48" w14:textId="77777777" w:rsidR="001067DD" w:rsidRPr="00231107" w:rsidRDefault="001067DD" w:rsidP="000F326C">
            <w:pPr>
              <w:keepNext/>
              <w:suppressAutoHyphens/>
              <w:jc w:val="center"/>
              <w:rPr>
                <w:sz w:val="20"/>
                <w:szCs w:val="20"/>
              </w:rPr>
            </w:pPr>
            <w:r w:rsidRPr="000B1045">
              <w:rPr>
                <w:sz w:val="20"/>
                <w:szCs w:val="20"/>
              </w:rPr>
              <w:t>0</w:t>
            </w:r>
            <w:r>
              <w:rPr>
                <w:sz w:val="20"/>
                <w:szCs w:val="20"/>
              </w:rPr>
              <w:t>,</w:t>
            </w:r>
            <w:r w:rsidRPr="000B1045">
              <w:rPr>
                <w:sz w:val="20"/>
                <w:szCs w:val="20"/>
              </w:rPr>
              <w:t>25</w:t>
            </w:r>
          </w:p>
        </w:tc>
      </w:tr>
    </w:tbl>
    <w:p w14:paraId="4A8A056A" w14:textId="77777777" w:rsidR="001067DD" w:rsidRPr="00C568CD" w:rsidRDefault="001067DD" w:rsidP="001067DD">
      <w:pPr>
        <w:suppressAutoHyphens/>
      </w:pPr>
    </w:p>
    <w:p w14:paraId="2BFEA10E" w14:textId="77777777" w:rsidR="001067DD" w:rsidRPr="00280449" w:rsidRDefault="001067DD" w:rsidP="001067DD">
      <w:pPr>
        <w:pStyle w:val="Heading1"/>
        <w:suppressAutoHyphens/>
        <w:rPr>
          <w:b/>
          <w:lang w:val="fr-CA"/>
        </w:rPr>
      </w:pPr>
      <w:r w:rsidRPr="001067DD">
        <w:rPr>
          <w:b/>
          <w:lang w:val="fr-CA"/>
        </w:rPr>
        <w:t>APPENDICE 2-A : LES OBJECTIFS ET LE FINANCEMENT</w:t>
      </w:r>
    </w:p>
    <w:tbl>
      <w:tblPr>
        <w:tblW w:w="9360" w:type="dxa"/>
        <w:tblLayout w:type="fixed"/>
        <w:tblLook w:val="04A0" w:firstRow="1" w:lastRow="0" w:firstColumn="1" w:lastColumn="0" w:noHBand="0" w:noVBand="1"/>
      </w:tblPr>
      <w:tblGrid>
        <w:gridCol w:w="694"/>
        <w:gridCol w:w="1756"/>
        <w:gridCol w:w="848"/>
        <w:gridCol w:w="848"/>
        <w:gridCol w:w="848"/>
        <w:gridCol w:w="850"/>
        <w:gridCol w:w="848"/>
        <w:gridCol w:w="848"/>
        <w:gridCol w:w="850"/>
        <w:gridCol w:w="970"/>
      </w:tblGrid>
      <w:tr w:rsidR="001067DD" w:rsidRPr="00796E9A" w14:paraId="44D5D990" w14:textId="77777777" w:rsidTr="000F326C">
        <w:trPr>
          <w:tblHeader/>
        </w:trPr>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62755EFD" w14:textId="77777777" w:rsidR="001067DD" w:rsidRPr="00597EBD" w:rsidRDefault="001067DD" w:rsidP="000F326C">
            <w:pPr>
              <w:keepNext/>
              <w:keepLines/>
              <w:jc w:val="center"/>
              <w:rPr>
                <w:b/>
                <w:bCs/>
                <w:sz w:val="18"/>
                <w:szCs w:val="18"/>
              </w:rPr>
            </w:pPr>
            <w:proofErr w:type="spellStart"/>
            <w:r w:rsidRPr="00597EBD">
              <w:rPr>
                <w:b/>
                <w:bCs/>
                <w:sz w:val="18"/>
                <w:szCs w:val="18"/>
              </w:rPr>
              <w:t>Ligne</w:t>
            </w:r>
            <w:proofErr w:type="spellEnd"/>
          </w:p>
        </w:tc>
        <w:tc>
          <w:tcPr>
            <w:tcW w:w="938" w:type="pct"/>
            <w:tcBorders>
              <w:top w:val="single" w:sz="4" w:space="0" w:color="auto"/>
              <w:left w:val="nil"/>
              <w:bottom w:val="single" w:sz="4" w:space="0" w:color="auto"/>
              <w:right w:val="single" w:sz="4" w:space="0" w:color="auto"/>
            </w:tcBorders>
            <w:shd w:val="clear" w:color="auto" w:fill="auto"/>
            <w:hideMark/>
          </w:tcPr>
          <w:p w14:paraId="4BCA05FF" w14:textId="77777777" w:rsidR="001067DD" w:rsidRPr="00597EBD" w:rsidRDefault="001067DD" w:rsidP="000F326C">
            <w:pPr>
              <w:keepNext/>
              <w:keepLines/>
              <w:jc w:val="center"/>
              <w:rPr>
                <w:b/>
                <w:bCs/>
                <w:sz w:val="18"/>
                <w:szCs w:val="18"/>
              </w:rPr>
            </w:pPr>
            <w:proofErr w:type="spellStart"/>
            <w:r w:rsidRPr="00597EBD">
              <w:rPr>
                <w:b/>
                <w:bCs/>
                <w:sz w:val="18"/>
                <w:szCs w:val="18"/>
              </w:rPr>
              <w:t>Caractéristiques</w:t>
            </w:r>
            <w:proofErr w:type="spellEnd"/>
          </w:p>
        </w:tc>
        <w:tc>
          <w:tcPr>
            <w:tcW w:w="453"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2054EBAB" w14:textId="77777777" w:rsidR="001067DD" w:rsidRPr="00D3332E" w:rsidRDefault="001067DD" w:rsidP="000F326C">
            <w:pPr>
              <w:keepNext/>
              <w:keepLines/>
              <w:suppressAutoHyphens/>
              <w:jc w:val="center"/>
              <w:rPr>
                <w:b/>
                <w:bCs/>
                <w:color w:val="000000"/>
                <w:sz w:val="20"/>
                <w:szCs w:val="20"/>
                <w:lang w:eastAsia="en-CA"/>
              </w:rPr>
            </w:pPr>
            <w:r w:rsidRPr="00D3332E">
              <w:rPr>
                <w:b/>
                <w:bCs/>
                <w:color w:val="000000"/>
                <w:sz w:val="20"/>
                <w:szCs w:val="20"/>
                <w:lang w:eastAsia="en-CA"/>
              </w:rPr>
              <w:t>2021</w:t>
            </w:r>
          </w:p>
        </w:tc>
        <w:tc>
          <w:tcPr>
            <w:tcW w:w="453"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74E1C567" w14:textId="77777777" w:rsidR="001067DD" w:rsidRPr="00D3332E" w:rsidRDefault="001067DD" w:rsidP="000F326C">
            <w:pPr>
              <w:keepNext/>
              <w:keepLines/>
              <w:suppressAutoHyphens/>
              <w:jc w:val="center"/>
              <w:rPr>
                <w:b/>
                <w:bCs/>
                <w:color w:val="000000"/>
                <w:sz w:val="20"/>
                <w:szCs w:val="20"/>
                <w:lang w:eastAsia="en-CA"/>
              </w:rPr>
            </w:pPr>
            <w:r w:rsidRPr="00D3332E">
              <w:rPr>
                <w:b/>
                <w:bCs/>
                <w:color w:val="000000"/>
                <w:sz w:val="20"/>
                <w:szCs w:val="20"/>
                <w:lang w:eastAsia="en-CA"/>
              </w:rPr>
              <w:t>2022 - 2023</w:t>
            </w:r>
          </w:p>
        </w:tc>
        <w:tc>
          <w:tcPr>
            <w:tcW w:w="453" w:type="pct"/>
            <w:tcBorders>
              <w:top w:val="single" w:sz="4" w:space="0" w:color="auto"/>
              <w:left w:val="nil"/>
              <w:bottom w:val="single" w:sz="4" w:space="0" w:color="auto"/>
              <w:right w:val="single" w:sz="4" w:space="0" w:color="auto"/>
            </w:tcBorders>
            <w:shd w:val="clear" w:color="auto" w:fill="auto"/>
            <w:tcMar>
              <w:left w:w="0" w:type="dxa"/>
              <w:right w:w="58" w:type="dxa"/>
            </w:tcMar>
            <w:vAlign w:val="center"/>
            <w:hideMark/>
          </w:tcPr>
          <w:p w14:paraId="145EE8CC" w14:textId="77777777" w:rsidR="001067DD" w:rsidRPr="00D3332E" w:rsidRDefault="001067DD" w:rsidP="000F326C">
            <w:pPr>
              <w:keepNext/>
              <w:keepLines/>
              <w:suppressAutoHyphens/>
              <w:jc w:val="center"/>
              <w:rPr>
                <w:b/>
                <w:bCs/>
                <w:color w:val="000000"/>
                <w:sz w:val="20"/>
                <w:szCs w:val="20"/>
                <w:lang w:eastAsia="en-CA"/>
              </w:rPr>
            </w:pPr>
            <w:r w:rsidRPr="00D3332E">
              <w:rPr>
                <w:b/>
                <w:bCs/>
                <w:color w:val="000000"/>
                <w:sz w:val="20"/>
                <w:szCs w:val="20"/>
                <w:lang w:eastAsia="en-CA"/>
              </w:rPr>
              <w:t>2024</w:t>
            </w:r>
          </w:p>
        </w:tc>
        <w:tc>
          <w:tcPr>
            <w:tcW w:w="454" w:type="pct"/>
            <w:tcBorders>
              <w:top w:val="single" w:sz="4" w:space="0" w:color="auto"/>
              <w:left w:val="nil"/>
              <w:bottom w:val="single" w:sz="4" w:space="0" w:color="auto"/>
              <w:right w:val="single" w:sz="4" w:space="0" w:color="auto"/>
            </w:tcBorders>
            <w:tcMar>
              <w:left w:w="0" w:type="dxa"/>
              <w:right w:w="58" w:type="dxa"/>
            </w:tcMar>
            <w:vAlign w:val="center"/>
          </w:tcPr>
          <w:p w14:paraId="18158EA3" w14:textId="77777777" w:rsidR="001067DD" w:rsidRPr="00E72F65" w:rsidRDefault="001067DD" w:rsidP="000F326C">
            <w:pPr>
              <w:keepNext/>
              <w:keepLines/>
              <w:suppressAutoHyphens/>
              <w:jc w:val="center"/>
              <w:rPr>
                <w:b/>
                <w:bCs/>
                <w:color w:val="000000"/>
                <w:sz w:val="20"/>
                <w:szCs w:val="20"/>
                <w:lang w:eastAsia="en-CA"/>
              </w:rPr>
            </w:pPr>
            <w:r>
              <w:rPr>
                <w:b/>
                <w:bCs/>
                <w:color w:val="000000"/>
                <w:sz w:val="20"/>
                <w:szCs w:val="20"/>
                <w:lang w:eastAsia="en-CA"/>
              </w:rPr>
              <w:t xml:space="preserve">2025 – </w:t>
            </w:r>
            <w:r w:rsidRPr="00E72F65">
              <w:rPr>
                <w:b/>
                <w:bCs/>
                <w:color w:val="000000"/>
                <w:sz w:val="20"/>
                <w:szCs w:val="20"/>
                <w:lang w:eastAsia="en-CA"/>
              </w:rPr>
              <w:t>2026</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vAlign w:val="center"/>
          </w:tcPr>
          <w:p w14:paraId="0E0DC35B" w14:textId="77777777" w:rsidR="001067DD" w:rsidRPr="00E72F65" w:rsidRDefault="001067DD" w:rsidP="000F326C">
            <w:pPr>
              <w:keepNext/>
              <w:keepLines/>
              <w:suppressAutoHyphens/>
              <w:jc w:val="center"/>
              <w:rPr>
                <w:b/>
                <w:bCs/>
                <w:color w:val="000000"/>
                <w:sz w:val="20"/>
                <w:szCs w:val="20"/>
                <w:lang w:eastAsia="en-CA"/>
              </w:rPr>
            </w:pPr>
            <w:r w:rsidRPr="00E72F65">
              <w:rPr>
                <w:b/>
                <w:bCs/>
                <w:color w:val="000000"/>
                <w:sz w:val="20"/>
                <w:szCs w:val="20"/>
                <w:lang w:eastAsia="en-CA"/>
              </w:rPr>
              <w:t>2027</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vAlign w:val="center"/>
            <w:hideMark/>
          </w:tcPr>
          <w:p w14:paraId="410C401E" w14:textId="77777777" w:rsidR="001067DD" w:rsidRPr="00E72F65" w:rsidRDefault="001067DD" w:rsidP="000F326C">
            <w:pPr>
              <w:keepNext/>
              <w:keepLines/>
              <w:suppressAutoHyphens/>
              <w:jc w:val="center"/>
              <w:rPr>
                <w:b/>
                <w:bCs/>
                <w:color w:val="000000"/>
                <w:sz w:val="20"/>
                <w:szCs w:val="20"/>
                <w:lang w:eastAsia="en-CA"/>
              </w:rPr>
            </w:pPr>
            <w:r w:rsidRPr="00E72F65">
              <w:rPr>
                <w:b/>
                <w:bCs/>
                <w:color w:val="000000"/>
                <w:sz w:val="20"/>
                <w:szCs w:val="20"/>
                <w:lang w:eastAsia="en-CA"/>
              </w:rPr>
              <w:t>2028 -2029</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vAlign w:val="center"/>
            <w:hideMark/>
          </w:tcPr>
          <w:p w14:paraId="0E04925F" w14:textId="77777777" w:rsidR="001067DD" w:rsidRPr="00E72F65" w:rsidRDefault="001067DD" w:rsidP="000F326C">
            <w:pPr>
              <w:keepNext/>
              <w:keepLines/>
              <w:suppressAutoHyphens/>
              <w:jc w:val="center"/>
              <w:rPr>
                <w:b/>
                <w:bCs/>
                <w:color w:val="000000"/>
                <w:sz w:val="20"/>
                <w:szCs w:val="20"/>
                <w:lang w:eastAsia="en-CA"/>
              </w:rPr>
            </w:pPr>
            <w:r w:rsidRPr="00E72F65">
              <w:rPr>
                <w:b/>
                <w:bCs/>
                <w:color w:val="000000"/>
                <w:sz w:val="20"/>
                <w:szCs w:val="20"/>
                <w:lang w:eastAsia="en-CA"/>
              </w:rPr>
              <w:t>2030</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00753" w14:textId="77777777" w:rsidR="001067DD" w:rsidRPr="00E72F65" w:rsidRDefault="001067DD" w:rsidP="000F326C">
            <w:pPr>
              <w:keepNext/>
              <w:keepLines/>
              <w:suppressAutoHyphens/>
              <w:jc w:val="center"/>
              <w:rPr>
                <w:b/>
                <w:bCs/>
                <w:color w:val="000000"/>
                <w:sz w:val="20"/>
                <w:szCs w:val="20"/>
                <w:lang w:eastAsia="en-CA"/>
              </w:rPr>
            </w:pPr>
            <w:r w:rsidRPr="00E72F65">
              <w:rPr>
                <w:b/>
                <w:bCs/>
                <w:color w:val="000000"/>
                <w:sz w:val="20"/>
                <w:szCs w:val="20"/>
                <w:lang w:eastAsia="en-CA"/>
              </w:rPr>
              <w:t>Total</w:t>
            </w:r>
          </w:p>
        </w:tc>
      </w:tr>
      <w:tr w:rsidR="001067DD" w:rsidRPr="00796E9A" w14:paraId="6149366A"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5B083E0E" w14:textId="77777777" w:rsidR="001067DD" w:rsidRPr="00E72F65" w:rsidRDefault="001067DD" w:rsidP="000F326C">
            <w:pPr>
              <w:keepNext/>
              <w:keepLines/>
              <w:suppressAutoHyphens/>
              <w:jc w:val="left"/>
              <w:rPr>
                <w:color w:val="000000"/>
                <w:sz w:val="20"/>
                <w:szCs w:val="20"/>
                <w:lang w:eastAsia="en-CA"/>
              </w:rPr>
            </w:pPr>
            <w:r w:rsidRPr="00E72F65">
              <w:rPr>
                <w:color w:val="000000"/>
                <w:sz w:val="20"/>
                <w:szCs w:val="20"/>
                <w:lang w:eastAsia="en-CA"/>
              </w:rPr>
              <w:t>1.1</w:t>
            </w:r>
          </w:p>
        </w:tc>
        <w:tc>
          <w:tcPr>
            <w:tcW w:w="938" w:type="pct"/>
            <w:tcBorders>
              <w:top w:val="nil"/>
              <w:left w:val="nil"/>
              <w:bottom w:val="single" w:sz="4" w:space="0" w:color="auto"/>
              <w:right w:val="single" w:sz="4" w:space="0" w:color="auto"/>
            </w:tcBorders>
            <w:shd w:val="clear" w:color="auto" w:fill="auto"/>
            <w:hideMark/>
          </w:tcPr>
          <w:p w14:paraId="664189A2" w14:textId="77777777" w:rsidR="001067DD" w:rsidRPr="001067DD" w:rsidRDefault="001067DD" w:rsidP="000F326C">
            <w:pPr>
              <w:keepNext/>
              <w:keepLines/>
              <w:jc w:val="left"/>
              <w:rPr>
                <w:sz w:val="18"/>
                <w:szCs w:val="18"/>
                <w:lang w:val="fr-CA"/>
              </w:rPr>
            </w:pPr>
            <w:r w:rsidRPr="001067DD">
              <w:rPr>
                <w:sz w:val="18"/>
                <w:szCs w:val="18"/>
                <w:lang w:val="fr-CA"/>
              </w:rPr>
              <w:t>Calendrier de réduction des substances du groupe I de l’annexe C du Protocole de Montréal (tonnes PAO)</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7B49F0ED" w14:textId="77777777" w:rsidR="001067DD" w:rsidRPr="00D3332E" w:rsidRDefault="001067DD" w:rsidP="000F326C">
            <w:pPr>
              <w:keepNext/>
              <w:keepLines/>
              <w:suppressAutoHyphens/>
              <w:jc w:val="right"/>
              <w:rPr>
                <w:color w:val="000000"/>
                <w:sz w:val="20"/>
                <w:szCs w:val="20"/>
                <w:lang w:eastAsia="en-CA"/>
              </w:rPr>
            </w:pPr>
            <w:r w:rsidRPr="00D3332E">
              <w:rPr>
                <w:color w:val="000000"/>
                <w:sz w:val="20"/>
                <w:szCs w:val="20"/>
                <w:lang w:eastAsia="en-CA"/>
              </w:rPr>
              <w:t>0</w:t>
            </w:r>
            <w:r>
              <w:rPr>
                <w:color w:val="000000"/>
                <w:sz w:val="20"/>
                <w:szCs w:val="20"/>
                <w:lang w:eastAsia="en-CA"/>
              </w:rPr>
              <w:t>,</w:t>
            </w:r>
            <w:r w:rsidRPr="00D3332E">
              <w:rPr>
                <w:color w:val="000000"/>
                <w:sz w:val="20"/>
                <w:szCs w:val="20"/>
                <w:lang w:eastAsia="en-CA"/>
              </w:rPr>
              <w:t>72</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5EACB592" w14:textId="77777777" w:rsidR="001067DD" w:rsidRPr="00D3332E" w:rsidRDefault="001067DD" w:rsidP="000F326C">
            <w:pPr>
              <w:keepNext/>
              <w:keepLines/>
              <w:suppressAutoHyphens/>
              <w:jc w:val="right"/>
              <w:rPr>
                <w:color w:val="000000"/>
                <w:sz w:val="20"/>
                <w:szCs w:val="20"/>
                <w:lang w:eastAsia="en-CA"/>
              </w:rPr>
            </w:pPr>
            <w:r w:rsidRPr="00D3332E">
              <w:rPr>
                <w:color w:val="000000"/>
                <w:sz w:val="20"/>
                <w:szCs w:val="20"/>
                <w:lang w:eastAsia="en-CA"/>
              </w:rPr>
              <w:t>0</w:t>
            </w:r>
            <w:r>
              <w:rPr>
                <w:color w:val="000000"/>
                <w:sz w:val="20"/>
                <w:szCs w:val="20"/>
                <w:lang w:eastAsia="en-CA"/>
              </w:rPr>
              <w:t>,</w:t>
            </w:r>
            <w:r w:rsidRPr="00D3332E">
              <w:rPr>
                <w:color w:val="000000"/>
                <w:sz w:val="20"/>
                <w:szCs w:val="20"/>
                <w:lang w:eastAsia="en-CA"/>
              </w:rPr>
              <w:t>72</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2BE9D73" w14:textId="77777777" w:rsidR="001067DD" w:rsidRPr="00D3332E" w:rsidRDefault="001067DD" w:rsidP="000F326C">
            <w:pPr>
              <w:keepNext/>
              <w:keepLines/>
              <w:suppressAutoHyphens/>
              <w:jc w:val="right"/>
              <w:rPr>
                <w:color w:val="000000"/>
                <w:sz w:val="20"/>
                <w:szCs w:val="20"/>
                <w:lang w:eastAsia="en-CA"/>
              </w:rPr>
            </w:pPr>
            <w:r w:rsidRPr="00D3332E">
              <w:rPr>
                <w:color w:val="000000"/>
                <w:sz w:val="20"/>
                <w:szCs w:val="20"/>
                <w:lang w:eastAsia="en-CA"/>
              </w:rPr>
              <w:t>0</w:t>
            </w:r>
            <w:r>
              <w:rPr>
                <w:color w:val="000000"/>
                <w:sz w:val="20"/>
                <w:szCs w:val="20"/>
                <w:lang w:eastAsia="en-CA"/>
              </w:rPr>
              <w:t>,</w:t>
            </w:r>
            <w:r w:rsidRPr="00D3332E">
              <w:rPr>
                <w:color w:val="000000"/>
                <w:sz w:val="20"/>
                <w:szCs w:val="20"/>
                <w:lang w:eastAsia="en-CA"/>
              </w:rPr>
              <w:t>72</w:t>
            </w:r>
          </w:p>
        </w:tc>
        <w:tc>
          <w:tcPr>
            <w:tcW w:w="454" w:type="pct"/>
            <w:tcBorders>
              <w:top w:val="single" w:sz="4" w:space="0" w:color="auto"/>
              <w:left w:val="nil"/>
              <w:bottom w:val="single" w:sz="4" w:space="0" w:color="auto"/>
              <w:right w:val="single" w:sz="4" w:space="0" w:color="auto"/>
            </w:tcBorders>
            <w:tcMar>
              <w:left w:w="0" w:type="dxa"/>
              <w:right w:w="58" w:type="dxa"/>
            </w:tcMar>
          </w:tcPr>
          <w:p w14:paraId="05AAFE7A"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r>
              <w:rPr>
                <w:color w:val="000000"/>
                <w:sz w:val="20"/>
                <w:szCs w:val="20"/>
                <w:lang w:eastAsia="en-CA"/>
              </w:rPr>
              <w:t>,</w:t>
            </w:r>
            <w:r w:rsidRPr="00E72F65">
              <w:rPr>
                <w:color w:val="000000"/>
                <w:sz w:val="20"/>
                <w:szCs w:val="20"/>
                <w:lang w:eastAsia="en-CA"/>
              </w:rPr>
              <w:t>36</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0BF13C8E"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r>
              <w:rPr>
                <w:color w:val="000000"/>
                <w:sz w:val="20"/>
                <w:szCs w:val="20"/>
                <w:lang w:eastAsia="en-CA"/>
              </w:rPr>
              <w:t>,</w:t>
            </w:r>
            <w:r w:rsidRPr="00E72F65">
              <w:rPr>
                <w:color w:val="000000"/>
                <w:sz w:val="20"/>
                <w:szCs w:val="20"/>
                <w:lang w:eastAsia="en-CA"/>
              </w:rPr>
              <w:t>36</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40ACC9D6"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r>
              <w:rPr>
                <w:color w:val="000000"/>
                <w:sz w:val="20"/>
                <w:szCs w:val="20"/>
                <w:lang w:eastAsia="en-CA"/>
              </w:rPr>
              <w:t>,</w:t>
            </w:r>
            <w:r w:rsidRPr="00E72F65">
              <w:rPr>
                <w:color w:val="000000"/>
                <w:sz w:val="20"/>
                <w:szCs w:val="20"/>
                <w:lang w:eastAsia="en-CA"/>
              </w:rPr>
              <w:t>36</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3FC7DDB3"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7190F663"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n/</w:t>
            </w:r>
            <w:r>
              <w:rPr>
                <w:color w:val="000000"/>
                <w:sz w:val="20"/>
                <w:szCs w:val="20"/>
                <w:lang w:eastAsia="en-CA"/>
              </w:rPr>
              <w:t>d</w:t>
            </w:r>
          </w:p>
        </w:tc>
      </w:tr>
      <w:tr w:rsidR="001067DD" w:rsidRPr="00B375EA" w14:paraId="379871D4"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50B9637D"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1.2</w:t>
            </w:r>
          </w:p>
        </w:tc>
        <w:tc>
          <w:tcPr>
            <w:tcW w:w="938" w:type="pct"/>
            <w:tcBorders>
              <w:top w:val="nil"/>
              <w:left w:val="nil"/>
              <w:bottom w:val="single" w:sz="4" w:space="0" w:color="auto"/>
              <w:right w:val="single" w:sz="4" w:space="0" w:color="auto"/>
            </w:tcBorders>
            <w:shd w:val="clear" w:color="auto" w:fill="auto"/>
            <w:hideMark/>
          </w:tcPr>
          <w:p w14:paraId="732A8A39" w14:textId="77777777" w:rsidR="001067DD" w:rsidRPr="001067DD" w:rsidRDefault="001067DD" w:rsidP="000F326C">
            <w:pPr>
              <w:keepNext/>
              <w:keepLines/>
              <w:jc w:val="left"/>
              <w:rPr>
                <w:sz w:val="18"/>
                <w:szCs w:val="18"/>
                <w:lang w:val="fr-CA"/>
              </w:rPr>
            </w:pPr>
            <w:r w:rsidRPr="001067DD">
              <w:rPr>
                <w:sz w:val="18"/>
                <w:szCs w:val="18"/>
                <w:lang w:val="fr-CA"/>
              </w:rPr>
              <w:t>Consommation totale maximum autorisée des substances du groupe I de l’annexe C (tonnes PAO)</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4205A86A" w14:textId="77777777" w:rsidR="001067DD" w:rsidRPr="00E72F65" w:rsidRDefault="001067DD" w:rsidP="000F326C">
            <w:pPr>
              <w:suppressAutoHyphens/>
              <w:jc w:val="right"/>
              <w:rPr>
                <w:sz w:val="20"/>
                <w:szCs w:val="20"/>
                <w:lang w:eastAsia="en-CA"/>
              </w:rPr>
            </w:pPr>
            <w:r w:rsidRPr="00E72F65">
              <w:rPr>
                <w:sz w:val="20"/>
                <w:szCs w:val="20"/>
              </w:rPr>
              <w:t>0</w:t>
            </w:r>
            <w:r>
              <w:rPr>
                <w:sz w:val="20"/>
                <w:szCs w:val="20"/>
              </w:rPr>
              <w:t>,</w:t>
            </w:r>
            <w:r w:rsidRPr="00E72F65">
              <w:rPr>
                <w:sz w:val="20"/>
                <w:szCs w:val="20"/>
              </w:rPr>
              <w:t>04</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6E1AC026" w14:textId="77777777" w:rsidR="001067DD" w:rsidRPr="00E72F65" w:rsidRDefault="001067DD" w:rsidP="000F326C">
            <w:pPr>
              <w:suppressAutoHyphens/>
              <w:jc w:val="right"/>
              <w:rPr>
                <w:sz w:val="20"/>
                <w:szCs w:val="20"/>
                <w:lang w:eastAsia="en-CA"/>
              </w:rPr>
            </w:pPr>
            <w:r w:rsidRPr="00E72F65">
              <w:rPr>
                <w:sz w:val="20"/>
                <w:szCs w:val="20"/>
              </w:rPr>
              <w:t>0</w:t>
            </w:r>
            <w:r>
              <w:rPr>
                <w:sz w:val="20"/>
                <w:szCs w:val="20"/>
              </w:rPr>
              <w:t>,</w:t>
            </w:r>
            <w:r w:rsidRPr="00E72F65">
              <w:rPr>
                <w:sz w:val="20"/>
                <w:szCs w:val="20"/>
              </w:rPr>
              <w:t>04</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134A6340" w14:textId="77777777" w:rsidR="001067DD" w:rsidRPr="00E72F65" w:rsidRDefault="001067DD" w:rsidP="000F326C">
            <w:pPr>
              <w:suppressAutoHyphens/>
              <w:jc w:val="right"/>
              <w:rPr>
                <w:sz w:val="20"/>
                <w:szCs w:val="20"/>
                <w:lang w:eastAsia="en-CA"/>
              </w:rPr>
            </w:pPr>
            <w:r w:rsidRPr="00E72F65">
              <w:rPr>
                <w:sz w:val="20"/>
                <w:szCs w:val="20"/>
              </w:rPr>
              <w:t>0</w:t>
            </w:r>
            <w:r>
              <w:rPr>
                <w:sz w:val="20"/>
                <w:szCs w:val="20"/>
              </w:rPr>
              <w:t>,</w:t>
            </w:r>
            <w:r w:rsidRPr="00E72F65">
              <w:rPr>
                <w:sz w:val="20"/>
                <w:szCs w:val="20"/>
              </w:rPr>
              <w:t>0</w:t>
            </w:r>
            <w:r>
              <w:rPr>
                <w:sz w:val="20"/>
                <w:szCs w:val="20"/>
              </w:rPr>
              <w:t>4</w:t>
            </w:r>
          </w:p>
        </w:tc>
        <w:tc>
          <w:tcPr>
            <w:tcW w:w="454" w:type="pct"/>
            <w:tcBorders>
              <w:top w:val="single" w:sz="4" w:space="0" w:color="auto"/>
              <w:left w:val="nil"/>
              <w:bottom w:val="single" w:sz="4" w:space="0" w:color="auto"/>
              <w:right w:val="single" w:sz="4" w:space="0" w:color="auto"/>
            </w:tcBorders>
            <w:tcMar>
              <w:left w:w="0" w:type="dxa"/>
              <w:right w:w="58" w:type="dxa"/>
            </w:tcMar>
          </w:tcPr>
          <w:p w14:paraId="27CE4207" w14:textId="77777777" w:rsidR="001067DD" w:rsidRPr="00E72F65" w:rsidRDefault="001067DD" w:rsidP="000F326C">
            <w:pPr>
              <w:suppressAutoHyphens/>
              <w:jc w:val="right"/>
              <w:rPr>
                <w:sz w:val="20"/>
                <w:szCs w:val="20"/>
              </w:rPr>
            </w:pPr>
            <w:r w:rsidRPr="00E72F65">
              <w:rPr>
                <w:sz w:val="20"/>
                <w:szCs w:val="20"/>
              </w:rPr>
              <w:t>0</w:t>
            </w:r>
            <w:r>
              <w:rPr>
                <w:sz w:val="20"/>
                <w:szCs w:val="20"/>
              </w:rPr>
              <w:t>,</w:t>
            </w:r>
            <w:r w:rsidRPr="00E72F65">
              <w:rPr>
                <w:sz w:val="20"/>
                <w:szCs w:val="20"/>
              </w:rPr>
              <w:t>02</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2EC7CDBA" w14:textId="77777777" w:rsidR="001067DD" w:rsidRPr="00E72F65" w:rsidRDefault="001067DD" w:rsidP="000F326C">
            <w:pPr>
              <w:suppressAutoHyphens/>
              <w:jc w:val="right"/>
              <w:rPr>
                <w:sz w:val="20"/>
                <w:szCs w:val="20"/>
              </w:rPr>
            </w:pPr>
            <w:r w:rsidRPr="00E72F65">
              <w:rPr>
                <w:sz w:val="20"/>
                <w:szCs w:val="20"/>
              </w:rPr>
              <w:t>0</w:t>
            </w:r>
            <w:r>
              <w:rPr>
                <w:sz w:val="20"/>
                <w:szCs w:val="20"/>
              </w:rPr>
              <w:t>,</w:t>
            </w:r>
            <w:r w:rsidRPr="00E72F65">
              <w:rPr>
                <w:sz w:val="20"/>
                <w:szCs w:val="20"/>
              </w:rPr>
              <w:t>02</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422C217A" w14:textId="77777777" w:rsidR="001067DD" w:rsidRPr="00E72F65" w:rsidRDefault="001067DD" w:rsidP="000F326C">
            <w:pPr>
              <w:suppressAutoHyphens/>
              <w:jc w:val="right"/>
              <w:rPr>
                <w:sz w:val="20"/>
                <w:szCs w:val="20"/>
                <w:lang w:eastAsia="en-CA"/>
              </w:rPr>
            </w:pPr>
            <w:r w:rsidRPr="00E72F65">
              <w:rPr>
                <w:sz w:val="20"/>
                <w:szCs w:val="20"/>
              </w:rPr>
              <w:t>0</w:t>
            </w:r>
            <w:r>
              <w:rPr>
                <w:sz w:val="20"/>
                <w:szCs w:val="20"/>
              </w:rPr>
              <w:t>,</w:t>
            </w:r>
            <w:r w:rsidRPr="00E72F65">
              <w:rPr>
                <w:sz w:val="20"/>
                <w:szCs w:val="20"/>
              </w:rPr>
              <w:t>02</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320D150C"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AED2B07"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n/</w:t>
            </w:r>
            <w:r>
              <w:rPr>
                <w:color w:val="000000"/>
                <w:sz w:val="20"/>
                <w:szCs w:val="20"/>
                <w:lang w:eastAsia="en-CA"/>
              </w:rPr>
              <w:t>d</w:t>
            </w:r>
          </w:p>
        </w:tc>
      </w:tr>
      <w:tr w:rsidR="001067DD" w:rsidRPr="000E4C5D" w14:paraId="71A728A6"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6E539406"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2.1</w:t>
            </w:r>
          </w:p>
        </w:tc>
        <w:tc>
          <w:tcPr>
            <w:tcW w:w="938" w:type="pct"/>
            <w:tcBorders>
              <w:top w:val="nil"/>
              <w:left w:val="nil"/>
              <w:bottom w:val="single" w:sz="4" w:space="0" w:color="auto"/>
              <w:right w:val="single" w:sz="4" w:space="0" w:color="auto"/>
            </w:tcBorders>
            <w:shd w:val="clear" w:color="auto" w:fill="auto"/>
            <w:hideMark/>
          </w:tcPr>
          <w:p w14:paraId="1762AB5C" w14:textId="77777777" w:rsidR="001067DD" w:rsidRPr="001067DD" w:rsidRDefault="001067DD" w:rsidP="000F326C">
            <w:pPr>
              <w:jc w:val="left"/>
              <w:rPr>
                <w:sz w:val="18"/>
                <w:szCs w:val="18"/>
                <w:lang w:val="fr-CA"/>
              </w:rPr>
            </w:pPr>
            <w:r w:rsidRPr="001067DD">
              <w:rPr>
                <w:sz w:val="18"/>
                <w:szCs w:val="18"/>
                <w:lang w:val="fr-CA"/>
              </w:rPr>
              <w:t>Financement convenu pour la PNUE, agence principale ($US)</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3F54A198" w14:textId="77777777" w:rsidR="001067DD" w:rsidRPr="00E72F65" w:rsidRDefault="001067DD" w:rsidP="000F326C">
            <w:pPr>
              <w:suppressAutoHyphens/>
              <w:jc w:val="right"/>
              <w:rPr>
                <w:color w:val="000000"/>
                <w:sz w:val="20"/>
                <w:szCs w:val="20"/>
                <w:lang w:eastAsia="en-CA"/>
              </w:rPr>
            </w:pPr>
            <w:r w:rsidRPr="00E72F65">
              <w:rPr>
                <w:sz w:val="20"/>
                <w:szCs w:val="20"/>
              </w:rPr>
              <w:t>173</w:t>
            </w:r>
            <w:r>
              <w:rPr>
                <w:sz w:val="20"/>
                <w:szCs w:val="20"/>
              </w:rPr>
              <w:t>.</w:t>
            </w:r>
            <w:r w:rsidRPr="00E72F65">
              <w:rPr>
                <w:sz w:val="20"/>
                <w:szCs w:val="20"/>
              </w:rPr>
              <w:t>000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CC80E66"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11DD3227" w14:textId="77777777" w:rsidR="001067DD" w:rsidRPr="00E72F65" w:rsidRDefault="001067DD" w:rsidP="000F326C">
            <w:pPr>
              <w:suppressAutoHyphens/>
              <w:jc w:val="right"/>
              <w:rPr>
                <w:color w:val="000000"/>
                <w:sz w:val="20"/>
                <w:szCs w:val="20"/>
                <w:lang w:eastAsia="en-CA"/>
              </w:rPr>
            </w:pPr>
            <w:r w:rsidRPr="00E72F65">
              <w:rPr>
                <w:sz w:val="20"/>
                <w:szCs w:val="20"/>
              </w:rPr>
              <w:t>131</w:t>
            </w:r>
            <w:r>
              <w:rPr>
                <w:sz w:val="20"/>
                <w:szCs w:val="20"/>
              </w:rPr>
              <w:t>.</w:t>
            </w:r>
            <w:r w:rsidRPr="00E72F65">
              <w:rPr>
                <w:sz w:val="20"/>
                <w:szCs w:val="20"/>
              </w:rPr>
              <w:t>000</w:t>
            </w:r>
          </w:p>
        </w:tc>
        <w:tc>
          <w:tcPr>
            <w:tcW w:w="454" w:type="pct"/>
            <w:tcBorders>
              <w:top w:val="single" w:sz="4" w:space="0" w:color="auto"/>
              <w:left w:val="nil"/>
              <w:bottom w:val="single" w:sz="4" w:space="0" w:color="auto"/>
              <w:right w:val="single" w:sz="4" w:space="0" w:color="auto"/>
            </w:tcBorders>
            <w:tcMar>
              <w:left w:w="0" w:type="dxa"/>
              <w:right w:w="58" w:type="dxa"/>
            </w:tcMar>
          </w:tcPr>
          <w:p w14:paraId="6DD9C680" w14:textId="77777777" w:rsidR="001067DD" w:rsidRPr="00E72F65" w:rsidRDefault="001067DD" w:rsidP="000F326C">
            <w:pPr>
              <w:suppressAutoHyphens/>
              <w:jc w:val="right"/>
              <w:rPr>
                <w:sz w:val="20"/>
                <w:szCs w:val="20"/>
              </w:rPr>
            </w:pPr>
            <w:r w:rsidRPr="00E72F65">
              <w:rPr>
                <w:color w:val="000000"/>
                <w:sz w:val="20"/>
                <w:szCs w:val="20"/>
                <w:lang w:eastAsia="en-CA"/>
              </w:rPr>
              <w:t>0</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56A10F84" w14:textId="77777777" w:rsidR="001067DD" w:rsidRPr="00E72F65" w:rsidRDefault="001067DD" w:rsidP="000F326C">
            <w:pPr>
              <w:suppressAutoHyphens/>
              <w:jc w:val="right"/>
              <w:rPr>
                <w:color w:val="000000"/>
                <w:sz w:val="20"/>
                <w:szCs w:val="20"/>
                <w:lang w:eastAsia="en-CA"/>
              </w:rPr>
            </w:pPr>
            <w:r w:rsidRPr="00E72F65">
              <w:rPr>
                <w:sz w:val="20"/>
                <w:szCs w:val="20"/>
              </w:rPr>
              <w:t>79</w:t>
            </w:r>
            <w:r>
              <w:rPr>
                <w:sz w:val="20"/>
                <w:szCs w:val="20"/>
              </w:rPr>
              <w:t>.</w:t>
            </w:r>
            <w:r w:rsidRPr="00E72F65">
              <w:rPr>
                <w:sz w:val="20"/>
                <w:szCs w:val="20"/>
              </w:rPr>
              <w:t>000</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7BDD0DE5"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6A6B0D50" w14:textId="77777777" w:rsidR="001067DD" w:rsidRPr="00E72F65" w:rsidRDefault="001067DD" w:rsidP="000F326C">
            <w:pPr>
              <w:suppressAutoHyphens/>
              <w:jc w:val="right"/>
              <w:rPr>
                <w:color w:val="000000"/>
                <w:sz w:val="20"/>
                <w:szCs w:val="20"/>
                <w:lang w:eastAsia="en-CA"/>
              </w:rPr>
            </w:pPr>
            <w:r w:rsidRPr="00E72F65">
              <w:rPr>
                <w:sz w:val="20"/>
                <w:szCs w:val="20"/>
              </w:rPr>
              <w:t>44</w:t>
            </w:r>
            <w:r>
              <w:rPr>
                <w:sz w:val="20"/>
                <w:szCs w:val="20"/>
              </w:rPr>
              <w:t>.</w:t>
            </w:r>
            <w:r w:rsidRPr="00E72F65">
              <w:rPr>
                <w:sz w:val="20"/>
                <w:szCs w:val="20"/>
              </w:rPr>
              <w:t>500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7EAB179" w14:textId="77777777" w:rsidR="001067DD" w:rsidRPr="00E72F65" w:rsidRDefault="001067DD" w:rsidP="000F326C">
            <w:pPr>
              <w:suppressAutoHyphens/>
              <w:jc w:val="right"/>
              <w:rPr>
                <w:color w:val="000000"/>
                <w:sz w:val="20"/>
                <w:szCs w:val="20"/>
                <w:lang w:eastAsia="en-CA"/>
              </w:rPr>
            </w:pPr>
            <w:r w:rsidRPr="00E72F65">
              <w:rPr>
                <w:sz w:val="20"/>
                <w:szCs w:val="20"/>
              </w:rPr>
              <w:t>427</w:t>
            </w:r>
            <w:r>
              <w:rPr>
                <w:sz w:val="20"/>
                <w:szCs w:val="20"/>
              </w:rPr>
              <w:t>.</w:t>
            </w:r>
            <w:r w:rsidRPr="00E72F65">
              <w:rPr>
                <w:sz w:val="20"/>
                <w:szCs w:val="20"/>
              </w:rPr>
              <w:t>500</w:t>
            </w:r>
          </w:p>
        </w:tc>
      </w:tr>
      <w:tr w:rsidR="001067DD" w:rsidRPr="00B375EA" w14:paraId="4CEA0434"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34CF6343"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2.2</w:t>
            </w:r>
          </w:p>
        </w:tc>
        <w:tc>
          <w:tcPr>
            <w:tcW w:w="938" w:type="pct"/>
            <w:tcBorders>
              <w:top w:val="nil"/>
              <w:left w:val="nil"/>
              <w:bottom w:val="single" w:sz="4" w:space="0" w:color="auto"/>
              <w:right w:val="single" w:sz="4" w:space="0" w:color="auto"/>
            </w:tcBorders>
            <w:shd w:val="clear" w:color="auto" w:fill="auto"/>
            <w:hideMark/>
          </w:tcPr>
          <w:p w14:paraId="131FDE07" w14:textId="77777777" w:rsidR="001067DD" w:rsidRPr="001067DD" w:rsidRDefault="001067DD" w:rsidP="000F326C">
            <w:pPr>
              <w:jc w:val="left"/>
              <w:rPr>
                <w:sz w:val="18"/>
                <w:szCs w:val="18"/>
                <w:lang w:val="fr-CA"/>
              </w:rPr>
            </w:pPr>
            <w:r w:rsidRPr="001067DD">
              <w:rPr>
                <w:sz w:val="18"/>
                <w:szCs w:val="18"/>
                <w:lang w:val="fr-CA"/>
              </w:rPr>
              <w:t>Coûts d’appui pour l’agence principale ($US)</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48958078" w14:textId="77777777" w:rsidR="001067DD" w:rsidRPr="00E72F65" w:rsidRDefault="001067DD" w:rsidP="000F326C">
            <w:pPr>
              <w:tabs>
                <w:tab w:val="left" w:pos="336"/>
              </w:tabs>
              <w:suppressAutoHyphens/>
              <w:jc w:val="right"/>
              <w:rPr>
                <w:color w:val="000000"/>
                <w:sz w:val="20"/>
                <w:szCs w:val="20"/>
                <w:lang w:eastAsia="en-CA"/>
              </w:rPr>
            </w:pPr>
            <w:r w:rsidRPr="00E72F65">
              <w:rPr>
                <w:color w:val="000000"/>
                <w:sz w:val="20"/>
                <w:szCs w:val="20"/>
              </w:rPr>
              <w:t>22</w:t>
            </w:r>
            <w:r>
              <w:rPr>
                <w:color w:val="000000"/>
                <w:sz w:val="20"/>
                <w:szCs w:val="20"/>
              </w:rPr>
              <w:t>.</w:t>
            </w:r>
            <w:r w:rsidRPr="00E72F65">
              <w:rPr>
                <w:color w:val="000000"/>
                <w:sz w:val="20"/>
                <w:szCs w:val="20"/>
              </w:rPr>
              <w:t>490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A6E51D6"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65465B34" w14:textId="77777777" w:rsidR="001067DD" w:rsidRPr="00E72F65" w:rsidRDefault="001067DD" w:rsidP="000F326C">
            <w:pPr>
              <w:suppressAutoHyphens/>
              <w:jc w:val="right"/>
              <w:rPr>
                <w:color w:val="000000"/>
                <w:sz w:val="20"/>
                <w:szCs w:val="20"/>
                <w:lang w:eastAsia="en-CA"/>
              </w:rPr>
            </w:pPr>
            <w:r w:rsidRPr="00E72F65">
              <w:rPr>
                <w:color w:val="000000"/>
                <w:sz w:val="20"/>
                <w:szCs w:val="20"/>
              </w:rPr>
              <w:t>17</w:t>
            </w:r>
            <w:r>
              <w:rPr>
                <w:color w:val="000000"/>
                <w:sz w:val="20"/>
                <w:szCs w:val="20"/>
              </w:rPr>
              <w:t>.</w:t>
            </w:r>
            <w:r w:rsidRPr="00E72F65">
              <w:rPr>
                <w:color w:val="000000"/>
                <w:sz w:val="20"/>
                <w:szCs w:val="20"/>
              </w:rPr>
              <w:t>030</w:t>
            </w:r>
          </w:p>
        </w:tc>
        <w:tc>
          <w:tcPr>
            <w:tcW w:w="454" w:type="pct"/>
            <w:tcBorders>
              <w:top w:val="single" w:sz="4" w:space="0" w:color="auto"/>
              <w:left w:val="nil"/>
              <w:bottom w:val="single" w:sz="4" w:space="0" w:color="auto"/>
              <w:right w:val="single" w:sz="4" w:space="0" w:color="auto"/>
            </w:tcBorders>
            <w:tcMar>
              <w:left w:w="0" w:type="dxa"/>
              <w:right w:w="58" w:type="dxa"/>
            </w:tcMar>
          </w:tcPr>
          <w:p w14:paraId="5725B946" w14:textId="77777777" w:rsidR="001067DD" w:rsidRPr="00E72F65" w:rsidRDefault="001067DD" w:rsidP="000F326C">
            <w:pPr>
              <w:suppressAutoHyphens/>
              <w:jc w:val="right"/>
              <w:rPr>
                <w:color w:val="000000"/>
                <w:sz w:val="20"/>
                <w:szCs w:val="20"/>
              </w:rPr>
            </w:pPr>
            <w:r w:rsidRPr="00E72F65">
              <w:rPr>
                <w:color w:val="000000"/>
                <w:sz w:val="20"/>
                <w:szCs w:val="20"/>
                <w:lang w:eastAsia="en-CA"/>
              </w:rPr>
              <w:t>0</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5D419509" w14:textId="77777777" w:rsidR="001067DD" w:rsidRPr="00E72F65" w:rsidRDefault="001067DD" w:rsidP="000F326C">
            <w:pPr>
              <w:suppressAutoHyphens/>
              <w:jc w:val="right"/>
              <w:rPr>
                <w:color w:val="000000"/>
                <w:sz w:val="20"/>
                <w:szCs w:val="20"/>
                <w:lang w:eastAsia="en-CA"/>
              </w:rPr>
            </w:pPr>
            <w:r w:rsidRPr="00E72F65">
              <w:rPr>
                <w:color w:val="000000"/>
                <w:sz w:val="20"/>
                <w:szCs w:val="20"/>
              </w:rPr>
              <w:t>10</w:t>
            </w:r>
            <w:r>
              <w:rPr>
                <w:color w:val="000000"/>
                <w:sz w:val="20"/>
                <w:szCs w:val="20"/>
              </w:rPr>
              <w:t>.</w:t>
            </w:r>
            <w:r w:rsidRPr="00E72F65">
              <w:rPr>
                <w:color w:val="000000"/>
                <w:sz w:val="20"/>
                <w:szCs w:val="20"/>
              </w:rPr>
              <w:t>270</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37FF559C"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59840542" w14:textId="77777777" w:rsidR="001067DD" w:rsidRPr="00E72F65" w:rsidRDefault="001067DD" w:rsidP="000F326C">
            <w:pPr>
              <w:suppressAutoHyphens/>
              <w:jc w:val="right"/>
              <w:rPr>
                <w:color w:val="000000"/>
                <w:sz w:val="20"/>
                <w:szCs w:val="20"/>
                <w:lang w:eastAsia="en-CA"/>
              </w:rPr>
            </w:pPr>
            <w:r w:rsidRPr="00E72F65">
              <w:rPr>
                <w:color w:val="000000"/>
                <w:sz w:val="20"/>
                <w:szCs w:val="20"/>
              </w:rPr>
              <w:t>5</w:t>
            </w:r>
            <w:r>
              <w:rPr>
                <w:color w:val="000000"/>
                <w:sz w:val="20"/>
                <w:szCs w:val="20"/>
              </w:rPr>
              <w:t>.</w:t>
            </w:r>
            <w:r w:rsidRPr="00E72F65">
              <w:rPr>
                <w:color w:val="000000"/>
                <w:sz w:val="20"/>
                <w:szCs w:val="20"/>
              </w:rPr>
              <w:t>785</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8CA88AC" w14:textId="77777777" w:rsidR="001067DD" w:rsidRPr="00E72F65" w:rsidRDefault="001067DD" w:rsidP="000F326C">
            <w:pPr>
              <w:suppressAutoHyphens/>
              <w:jc w:val="right"/>
              <w:rPr>
                <w:color w:val="000000"/>
                <w:sz w:val="20"/>
                <w:szCs w:val="20"/>
                <w:lang w:eastAsia="en-CA"/>
              </w:rPr>
            </w:pPr>
            <w:r w:rsidRPr="00E72F65">
              <w:rPr>
                <w:color w:val="000000"/>
                <w:sz w:val="20"/>
                <w:szCs w:val="20"/>
              </w:rPr>
              <w:t>55</w:t>
            </w:r>
            <w:r>
              <w:rPr>
                <w:color w:val="000000"/>
                <w:sz w:val="20"/>
                <w:szCs w:val="20"/>
              </w:rPr>
              <w:t>.</w:t>
            </w:r>
            <w:r w:rsidRPr="00E72F65">
              <w:rPr>
                <w:color w:val="000000"/>
                <w:sz w:val="20"/>
                <w:szCs w:val="20"/>
              </w:rPr>
              <w:t>575</w:t>
            </w:r>
          </w:p>
        </w:tc>
      </w:tr>
      <w:tr w:rsidR="001067DD" w:rsidRPr="00B375EA" w14:paraId="4385A7C5"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48B010F0"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3.1</w:t>
            </w:r>
          </w:p>
        </w:tc>
        <w:tc>
          <w:tcPr>
            <w:tcW w:w="938" w:type="pct"/>
            <w:tcBorders>
              <w:top w:val="nil"/>
              <w:left w:val="nil"/>
              <w:bottom w:val="single" w:sz="4" w:space="0" w:color="auto"/>
              <w:right w:val="single" w:sz="4" w:space="0" w:color="auto"/>
            </w:tcBorders>
            <w:shd w:val="clear" w:color="auto" w:fill="auto"/>
            <w:hideMark/>
          </w:tcPr>
          <w:p w14:paraId="25869D0F" w14:textId="77777777" w:rsidR="001067DD" w:rsidRPr="001067DD" w:rsidRDefault="001067DD" w:rsidP="000F326C">
            <w:pPr>
              <w:jc w:val="left"/>
              <w:rPr>
                <w:sz w:val="18"/>
                <w:szCs w:val="18"/>
                <w:lang w:val="fr-CA"/>
              </w:rPr>
            </w:pPr>
            <w:r w:rsidRPr="001067DD">
              <w:rPr>
                <w:sz w:val="18"/>
                <w:szCs w:val="18"/>
                <w:lang w:val="fr-CA"/>
              </w:rPr>
              <w:t>Total du financement convenu ($US)</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38440212" w14:textId="77777777" w:rsidR="001067DD" w:rsidRPr="00E72F65" w:rsidRDefault="001067DD" w:rsidP="000F326C">
            <w:pPr>
              <w:suppressAutoHyphens/>
              <w:jc w:val="right"/>
              <w:rPr>
                <w:color w:val="000000"/>
                <w:sz w:val="20"/>
                <w:szCs w:val="20"/>
                <w:lang w:eastAsia="en-CA"/>
              </w:rPr>
            </w:pPr>
            <w:r w:rsidRPr="00E72F65">
              <w:rPr>
                <w:sz w:val="20"/>
                <w:szCs w:val="20"/>
              </w:rPr>
              <w:t>173</w:t>
            </w:r>
            <w:r>
              <w:rPr>
                <w:sz w:val="20"/>
                <w:szCs w:val="20"/>
              </w:rPr>
              <w:t>.</w:t>
            </w:r>
            <w:r w:rsidRPr="00E72F65">
              <w:rPr>
                <w:sz w:val="20"/>
                <w:szCs w:val="20"/>
              </w:rPr>
              <w:t>000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4103A2B"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1D943DFE" w14:textId="77777777" w:rsidR="001067DD" w:rsidRPr="00E72F65" w:rsidRDefault="001067DD" w:rsidP="000F326C">
            <w:pPr>
              <w:suppressAutoHyphens/>
              <w:jc w:val="right"/>
              <w:rPr>
                <w:color w:val="000000"/>
                <w:sz w:val="20"/>
                <w:szCs w:val="20"/>
                <w:lang w:eastAsia="en-CA"/>
              </w:rPr>
            </w:pPr>
            <w:r w:rsidRPr="00E72F65">
              <w:rPr>
                <w:sz w:val="20"/>
                <w:szCs w:val="20"/>
              </w:rPr>
              <w:t>131</w:t>
            </w:r>
            <w:r>
              <w:rPr>
                <w:sz w:val="20"/>
                <w:szCs w:val="20"/>
              </w:rPr>
              <w:t>.</w:t>
            </w:r>
            <w:r w:rsidRPr="00E72F65">
              <w:rPr>
                <w:sz w:val="20"/>
                <w:szCs w:val="20"/>
              </w:rPr>
              <w:t>000</w:t>
            </w:r>
          </w:p>
        </w:tc>
        <w:tc>
          <w:tcPr>
            <w:tcW w:w="454" w:type="pct"/>
            <w:tcBorders>
              <w:top w:val="single" w:sz="4" w:space="0" w:color="auto"/>
              <w:left w:val="nil"/>
              <w:bottom w:val="single" w:sz="4" w:space="0" w:color="auto"/>
              <w:right w:val="single" w:sz="4" w:space="0" w:color="auto"/>
            </w:tcBorders>
            <w:tcMar>
              <w:left w:w="0" w:type="dxa"/>
              <w:right w:w="58" w:type="dxa"/>
            </w:tcMar>
          </w:tcPr>
          <w:p w14:paraId="5B1AFFDB" w14:textId="77777777" w:rsidR="001067DD" w:rsidRPr="00E72F65" w:rsidRDefault="001067DD" w:rsidP="000F326C">
            <w:pPr>
              <w:suppressAutoHyphens/>
              <w:jc w:val="right"/>
              <w:rPr>
                <w:sz w:val="20"/>
                <w:szCs w:val="20"/>
              </w:rPr>
            </w:pPr>
            <w:r w:rsidRPr="00E72F65">
              <w:rPr>
                <w:color w:val="000000"/>
                <w:sz w:val="20"/>
                <w:szCs w:val="20"/>
                <w:lang w:eastAsia="en-CA"/>
              </w:rPr>
              <w:t>0</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35D65272" w14:textId="77777777" w:rsidR="001067DD" w:rsidRPr="00E72F65" w:rsidRDefault="001067DD" w:rsidP="000F326C">
            <w:pPr>
              <w:suppressAutoHyphens/>
              <w:jc w:val="right"/>
              <w:rPr>
                <w:color w:val="000000"/>
                <w:sz w:val="20"/>
                <w:szCs w:val="20"/>
                <w:lang w:eastAsia="en-CA"/>
              </w:rPr>
            </w:pPr>
            <w:r w:rsidRPr="00E72F65">
              <w:rPr>
                <w:sz w:val="20"/>
                <w:szCs w:val="20"/>
              </w:rPr>
              <w:t>79</w:t>
            </w:r>
            <w:r>
              <w:rPr>
                <w:sz w:val="20"/>
                <w:szCs w:val="20"/>
              </w:rPr>
              <w:t>.</w:t>
            </w:r>
            <w:r w:rsidRPr="00E72F65">
              <w:rPr>
                <w:sz w:val="20"/>
                <w:szCs w:val="20"/>
              </w:rPr>
              <w:t>000</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7A25A9BD"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11EDBF0F" w14:textId="77777777" w:rsidR="001067DD" w:rsidRPr="00E72F65" w:rsidRDefault="001067DD" w:rsidP="000F326C">
            <w:pPr>
              <w:suppressAutoHyphens/>
              <w:jc w:val="right"/>
              <w:rPr>
                <w:color w:val="000000"/>
                <w:sz w:val="20"/>
                <w:szCs w:val="20"/>
                <w:lang w:eastAsia="en-CA"/>
              </w:rPr>
            </w:pPr>
            <w:r w:rsidRPr="00E72F65">
              <w:rPr>
                <w:sz w:val="20"/>
                <w:szCs w:val="20"/>
              </w:rPr>
              <w:t>44</w:t>
            </w:r>
            <w:r>
              <w:rPr>
                <w:sz w:val="20"/>
                <w:szCs w:val="20"/>
              </w:rPr>
              <w:t>.</w:t>
            </w:r>
            <w:r w:rsidRPr="00E72F65">
              <w:rPr>
                <w:sz w:val="20"/>
                <w:szCs w:val="20"/>
              </w:rPr>
              <w:t>500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8C75E9D" w14:textId="77777777" w:rsidR="001067DD" w:rsidRPr="00E72F65" w:rsidRDefault="001067DD" w:rsidP="000F326C">
            <w:pPr>
              <w:suppressAutoHyphens/>
              <w:jc w:val="right"/>
              <w:rPr>
                <w:color w:val="000000"/>
                <w:sz w:val="20"/>
                <w:szCs w:val="20"/>
                <w:lang w:eastAsia="en-CA"/>
              </w:rPr>
            </w:pPr>
            <w:r w:rsidRPr="00E72F65">
              <w:rPr>
                <w:color w:val="000000"/>
                <w:sz w:val="20"/>
                <w:szCs w:val="20"/>
              </w:rPr>
              <w:t>427</w:t>
            </w:r>
            <w:r>
              <w:rPr>
                <w:color w:val="000000"/>
                <w:sz w:val="20"/>
                <w:szCs w:val="20"/>
              </w:rPr>
              <w:t>.</w:t>
            </w:r>
            <w:r w:rsidRPr="00E72F65">
              <w:rPr>
                <w:color w:val="000000"/>
                <w:sz w:val="20"/>
                <w:szCs w:val="20"/>
              </w:rPr>
              <w:t>500</w:t>
            </w:r>
          </w:p>
        </w:tc>
      </w:tr>
      <w:tr w:rsidR="001067DD" w:rsidRPr="00B375EA" w14:paraId="1A102402"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7981F845"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3.2</w:t>
            </w:r>
          </w:p>
        </w:tc>
        <w:tc>
          <w:tcPr>
            <w:tcW w:w="938" w:type="pct"/>
            <w:tcBorders>
              <w:top w:val="nil"/>
              <w:left w:val="nil"/>
              <w:bottom w:val="single" w:sz="4" w:space="0" w:color="auto"/>
              <w:right w:val="single" w:sz="4" w:space="0" w:color="auto"/>
            </w:tcBorders>
            <w:shd w:val="clear" w:color="auto" w:fill="auto"/>
            <w:hideMark/>
          </w:tcPr>
          <w:p w14:paraId="0A1E68C1" w14:textId="77777777" w:rsidR="001067DD" w:rsidRPr="001067DD" w:rsidRDefault="001067DD" w:rsidP="000F326C">
            <w:pPr>
              <w:jc w:val="left"/>
              <w:rPr>
                <w:sz w:val="18"/>
                <w:szCs w:val="18"/>
                <w:lang w:val="fr-CA"/>
              </w:rPr>
            </w:pPr>
            <w:r w:rsidRPr="001067DD">
              <w:rPr>
                <w:sz w:val="18"/>
                <w:szCs w:val="18"/>
                <w:lang w:val="fr-CA"/>
              </w:rPr>
              <w:t>Total des coûts d’appui ($US)</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4BA566FD" w14:textId="77777777" w:rsidR="001067DD" w:rsidRPr="00E72F65" w:rsidRDefault="001067DD" w:rsidP="000F326C">
            <w:pPr>
              <w:suppressAutoHyphens/>
              <w:jc w:val="right"/>
              <w:rPr>
                <w:color w:val="000000"/>
                <w:sz w:val="20"/>
                <w:szCs w:val="20"/>
                <w:lang w:eastAsia="en-CA"/>
              </w:rPr>
            </w:pPr>
            <w:r w:rsidRPr="00E72F65">
              <w:rPr>
                <w:color w:val="000000"/>
                <w:sz w:val="20"/>
                <w:szCs w:val="20"/>
              </w:rPr>
              <w:t>22</w:t>
            </w:r>
            <w:r>
              <w:rPr>
                <w:color w:val="000000"/>
                <w:sz w:val="20"/>
                <w:szCs w:val="20"/>
              </w:rPr>
              <w:t>.</w:t>
            </w:r>
            <w:r w:rsidRPr="00E72F65">
              <w:rPr>
                <w:color w:val="000000"/>
                <w:sz w:val="20"/>
                <w:szCs w:val="20"/>
              </w:rPr>
              <w:t>490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36CDE90"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2A30E4F" w14:textId="77777777" w:rsidR="001067DD" w:rsidRPr="00E72F65" w:rsidRDefault="001067DD" w:rsidP="000F326C">
            <w:pPr>
              <w:suppressAutoHyphens/>
              <w:jc w:val="right"/>
              <w:rPr>
                <w:color w:val="000000"/>
                <w:sz w:val="20"/>
                <w:szCs w:val="20"/>
                <w:lang w:eastAsia="en-CA"/>
              </w:rPr>
            </w:pPr>
            <w:r w:rsidRPr="00E72F65">
              <w:rPr>
                <w:color w:val="000000"/>
                <w:sz w:val="20"/>
                <w:szCs w:val="20"/>
              </w:rPr>
              <w:t>17</w:t>
            </w:r>
            <w:r>
              <w:rPr>
                <w:color w:val="000000"/>
                <w:sz w:val="20"/>
                <w:szCs w:val="20"/>
              </w:rPr>
              <w:t>.</w:t>
            </w:r>
            <w:r w:rsidRPr="00E72F65">
              <w:rPr>
                <w:color w:val="000000"/>
                <w:sz w:val="20"/>
                <w:szCs w:val="20"/>
              </w:rPr>
              <w:t>030</w:t>
            </w:r>
          </w:p>
        </w:tc>
        <w:tc>
          <w:tcPr>
            <w:tcW w:w="454" w:type="pct"/>
            <w:tcBorders>
              <w:top w:val="single" w:sz="4" w:space="0" w:color="auto"/>
              <w:left w:val="nil"/>
              <w:bottom w:val="single" w:sz="4" w:space="0" w:color="auto"/>
              <w:right w:val="single" w:sz="4" w:space="0" w:color="auto"/>
            </w:tcBorders>
            <w:tcMar>
              <w:left w:w="0" w:type="dxa"/>
              <w:right w:w="58" w:type="dxa"/>
            </w:tcMar>
          </w:tcPr>
          <w:p w14:paraId="6468B7ED" w14:textId="77777777" w:rsidR="001067DD" w:rsidRPr="00E72F65" w:rsidRDefault="001067DD" w:rsidP="000F326C">
            <w:pPr>
              <w:suppressAutoHyphens/>
              <w:jc w:val="right"/>
              <w:rPr>
                <w:color w:val="000000"/>
                <w:sz w:val="20"/>
                <w:szCs w:val="20"/>
              </w:rPr>
            </w:pPr>
            <w:r w:rsidRPr="00E72F65">
              <w:rPr>
                <w:color w:val="000000"/>
                <w:sz w:val="20"/>
                <w:szCs w:val="20"/>
                <w:lang w:eastAsia="en-CA"/>
              </w:rPr>
              <w:t>0</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2064E707" w14:textId="77777777" w:rsidR="001067DD" w:rsidRPr="00E72F65" w:rsidRDefault="001067DD" w:rsidP="000F326C">
            <w:pPr>
              <w:suppressAutoHyphens/>
              <w:jc w:val="right"/>
              <w:rPr>
                <w:color w:val="000000"/>
                <w:sz w:val="20"/>
                <w:szCs w:val="20"/>
                <w:lang w:eastAsia="en-CA"/>
              </w:rPr>
            </w:pPr>
            <w:r w:rsidRPr="00E72F65">
              <w:rPr>
                <w:color w:val="000000"/>
                <w:sz w:val="20"/>
                <w:szCs w:val="20"/>
              </w:rPr>
              <w:t>10</w:t>
            </w:r>
            <w:r>
              <w:rPr>
                <w:color w:val="000000"/>
                <w:sz w:val="20"/>
                <w:szCs w:val="20"/>
              </w:rPr>
              <w:t>.</w:t>
            </w:r>
            <w:r w:rsidRPr="00E72F65">
              <w:rPr>
                <w:color w:val="000000"/>
                <w:sz w:val="20"/>
                <w:szCs w:val="20"/>
              </w:rPr>
              <w:t>270</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59FFA88B"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3FF1D4C2" w14:textId="77777777" w:rsidR="001067DD" w:rsidRPr="00E72F65" w:rsidRDefault="001067DD" w:rsidP="000F326C">
            <w:pPr>
              <w:suppressAutoHyphens/>
              <w:jc w:val="right"/>
              <w:rPr>
                <w:color w:val="000000"/>
                <w:sz w:val="20"/>
                <w:szCs w:val="20"/>
                <w:lang w:eastAsia="en-CA"/>
              </w:rPr>
            </w:pPr>
            <w:r w:rsidRPr="00E72F65">
              <w:rPr>
                <w:color w:val="000000"/>
                <w:sz w:val="20"/>
                <w:szCs w:val="20"/>
              </w:rPr>
              <w:t>5</w:t>
            </w:r>
            <w:r>
              <w:rPr>
                <w:color w:val="000000"/>
                <w:sz w:val="20"/>
                <w:szCs w:val="20"/>
              </w:rPr>
              <w:t>.</w:t>
            </w:r>
            <w:r w:rsidRPr="00E72F65">
              <w:rPr>
                <w:color w:val="000000"/>
                <w:sz w:val="20"/>
                <w:szCs w:val="20"/>
              </w:rPr>
              <w:t>785</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B7BDE69" w14:textId="77777777" w:rsidR="001067DD" w:rsidRPr="00E72F65" w:rsidRDefault="001067DD" w:rsidP="000F326C">
            <w:pPr>
              <w:suppressAutoHyphens/>
              <w:jc w:val="right"/>
              <w:rPr>
                <w:color w:val="000000"/>
                <w:sz w:val="20"/>
                <w:szCs w:val="20"/>
                <w:lang w:eastAsia="en-CA"/>
              </w:rPr>
            </w:pPr>
            <w:r w:rsidRPr="00E72F65">
              <w:rPr>
                <w:color w:val="000000"/>
                <w:sz w:val="20"/>
                <w:szCs w:val="20"/>
              </w:rPr>
              <w:t>55</w:t>
            </w:r>
            <w:r>
              <w:rPr>
                <w:color w:val="000000"/>
                <w:sz w:val="20"/>
                <w:szCs w:val="20"/>
              </w:rPr>
              <w:t>.</w:t>
            </w:r>
            <w:r w:rsidRPr="00E72F65">
              <w:rPr>
                <w:color w:val="000000"/>
                <w:sz w:val="20"/>
                <w:szCs w:val="20"/>
              </w:rPr>
              <w:t>575</w:t>
            </w:r>
          </w:p>
        </w:tc>
      </w:tr>
      <w:tr w:rsidR="001067DD" w:rsidRPr="00B375EA" w14:paraId="1526B30C"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78422D9A"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3.3</w:t>
            </w:r>
          </w:p>
        </w:tc>
        <w:tc>
          <w:tcPr>
            <w:tcW w:w="938" w:type="pct"/>
            <w:tcBorders>
              <w:top w:val="nil"/>
              <w:left w:val="nil"/>
              <w:bottom w:val="single" w:sz="4" w:space="0" w:color="auto"/>
              <w:right w:val="single" w:sz="4" w:space="0" w:color="auto"/>
            </w:tcBorders>
            <w:shd w:val="clear" w:color="auto" w:fill="auto"/>
            <w:hideMark/>
          </w:tcPr>
          <w:p w14:paraId="1DDC54B9" w14:textId="77777777" w:rsidR="001067DD" w:rsidRPr="001067DD" w:rsidRDefault="001067DD" w:rsidP="000F326C">
            <w:pPr>
              <w:jc w:val="left"/>
              <w:rPr>
                <w:sz w:val="18"/>
                <w:szCs w:val="18"/>
                <w:lang w:val="fr-CA"/>
              </w:rPr>
            </w:pPr>
            <w:r w:rsidRPr="001067DD">
              <w:rPr>
                <w:sz w:val="18"/>
                <w:szCs w:val="18"/>
                <w:lang w:val="fr-CA"/>
              </w:rPr>
              <w:t>Total des coûts convenus ($US)</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28AB06B7"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195</w:t>
            </w:r>
            <w:r>
              <w:rPr>
                <w:color w:val="000000"/>
                <w:sz w:val="20"/>
                <w:szCs w:val="20"/>
                <w:lang w:eastAsia="en-CA"/>
              </w:rPr>
              <w:t>.</w:t>
            </w:r>
            <w:r w:rsidRPr="00E72F65">
              <w:rPr>
                <w:color w:val="000000"/>
                <w:sz w:val="20"/>
                <w:szCs w:val="20"/>
                <w:lang w:eastAsia="en-CA"/>
              </w:rPr>
              <w:t>490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442D5539"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3" w:type="pct"/>
            <w:tcBorders>
              <w:top w:val="nil"/>
              <w:left w:val="nil"/>
              <w:bottom w:val="single" w:sz="4" w:space="0" w:color="auto"/>
              <w:right w:val="single" w:sz="4" w:space="0" w:color="auto"/>
            </w:tcBorders>
            <w:shd w:val="clear" w:color="auto" w:fill="auto"/>
            <w:tcMar>
              <w:left w:w="0" w:type="dxa"/>
              <w:right w:w="58" w:type="dxa"/>
            </w:tcMar>
          </w:tcPr>
          <w:p w14:paraId="1A2B5522" w14:textId="77777777" w:rsidR="001067DD" w:rsidRPr="00E72F65" w:rsidRDefault="001067DD" w:rsidP="000F326C">
            <w:pPr>
              <w:suppressAutoHyphens/>
              <w:jc w:val="right"/>
              <w:rPr>
                <w:color w:val="000000"/>
                <w:sz w:val="20"/>
                <w:szCs w:val="20"/>
                <w:lang w:eastAsia="en-CA"/>
              </w:rPr>
            </w:pPr>
            <w:r w:rsidRPr="00E72F65">
              <w:rPr>
                <w:color w:val="000000"/>
                <w:sz w:val="20"/>
                <w:szCs w:val="20"/>
              </w:rPr>
              <w:t>148</w:t>
            </w:r>
            <w:r>
              <w:rPr>
                <w:color w:val="000000"/>
                <w:sz w:val="20"/>
                <w:szCs w:val="20"/>
              </w:rPr>
              <w:t>.</w:t>
            </w:r>
            <w:r w:rsidRPr="00E72F65">
              <w:rPr>
                <w:color w:val="000000"/>
                <w:sz w:val="20"/>
                <w:szCs w:val="20"/>
              </w:rPr>
              <w:t>030</w:t>
            </w:r>
          </w:p>
        </w:tc>
        <w:tc>
          <w:tcPr>
            <w:tcW w:w="454" w:type="pct"/>
            <w:tcBorders>
              <w:top w:val="single" w:sz="4" w:space="0" w:color="auto"/>
              <w:left w:val="nil"/>
              <w:bottom w:val="single" w:sz="4" w:space="0" w:color="auto"/>
              <w:right w:val="single" w:sz="4" w:space="0" w:color="auto"/>
            </w:tcBorders>
            <w:tcMar>
              <w:left w:w="0" w:type="dxa"/>
              <w:right w:w="58" w:type="dxa"/>
            </w:tcMar>
          </w:tcPr>
          <w:p w14:paraId="0B6DC2A3" w14:textId="77777777" w:rsidR="001067DD" w:rsidRPr="00E72F65" w:rsidRDefault="001067DD" w:rsidP="000F326C">
            <w:pPr>
              <w:suppressAutoHyphens/>
              <w:jc w:val="right"/>
              <w:rPr>
                <w:color w:val="000000"/>
                <w:sz w:val="20"/>
                <w:szCs w:val="20"/>
              </w:rPr>
            </w:pPr>
            <w:r w:rsidRPr="00E72F65">
              <w:rPr>
                <w:color w:val="000000"/>
                <w:sz w:val="20"/>
                <w:szCs w:val="20"/>
                <w:lang w:eastAsia="en-CA"/>
              </w:rPr>
              <w:t>0</w:t>
            </w:r>
          </w:p>
        </w:tc>
        <w:tc>
          <w:tcPr>
            <w:tcW w:w="453" w:type="pct"/>
            <w:tcBorders>
              <w:top w:val="single" w:sz="4" w:space="0" w:color="auto"/>
              <w:left w:val="single" w:sz="4" w:space="0" w:color="auto"/>
              <w:bottom w:val="single" w:sz="4" w:space="0" w:color="auto"/>
              <w:right w:val="single" w:sz="4" w:space="0" w:color="auto"/>
            </w:tcBorders>
            <w:tcMar>
              <w:left w:w="0" w:type="dxa"/>
              <w:right w:w="58" w:type="dxa"/>
            </w:tcMar>
          </w:tcPr>
          <w:p w14:paraId="0CD08D0F" w14:textId="77777777" w:rsidR="001067DD" w:rsidRPr="00E72F65" w:rsidRDefault="001067DD" w:rsidP="000F326C">
            <w:pPr>
              <w:suppressAutoHyphens/>
              <w:jc w:val="right"/>
              <w:rPr>
                <w:color w:val="000000"/>
                <w:sz w:val="20"/>
                <w:szCs w:val="20"/>
                <w:lang w:eastAsia="en-CA"/>
              </w:rPr>
            </w:pPr>
            <w:r w:rsidRPr="00E72F65">
              <w:rPr>
                <w:color w:val="000000"/>
                <w:sz w:val="20"/>
                <w:szCs w:val="20"/>
              </w:rPr>
              <w:t>89</w:t>
            </w:r>
            <w:r>
              <w:rPr>
                <w:color w:val="000000"/>
                <w:sz w:val="20"/>
                <w:szCs w:val="20"/>
              </w:rPr>
              <w:t>.</w:t>
            </w:r>
            <w:r w:rsidRPr="00E72F65">
              <w:rPr>
                <w:color w:val="000000"/>
                <w:sz w:val="20"/>
                <w:szCs w:val="20"/>
              </w:rPr>
              <w:t>270</w:t>
            </w:r>
          </w:p>
        </w:tc>
        <w:tc>
          <w:tcPr>
            <w:tcW w:w="453"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37C02183" w14:textId="77777777" w:rsidR="001067DD" w:rsidRPr="00E72F65" w:rsidRDefault="001067DD" w:rsidP="000F326C">
            <w:pPr>
              <w:suppressAutoHyphens/>
              <w:jc w:val="right"/>
              <w:rPr>
                <w:color w:val="000000"/>
                <w:sz w:val="20"/>
                <w:szCs w:val="20"/>
                <w:lang w:eastAsia="en-CA"/>
              </w:rPr>
            </w:pPr>
            <w:r w:rsidRPr="00E72F65">
              <w:rPr>
                <w:color w:val="000000"/>
                <w:sz w:val="20"/>
                <w:szCs w:val="20"/>
                <w:lang w:eastAsia="en-CA"/>
              </w:rPr>
              <w:t>0</w:t>
            </w:r>
          </w:p>
        </w:tc>
        <w:tc>
          <w:tcPr>
            <w:tcW w:w="454" w:type="pct"/>
            <w:tcBorders>
              <w:top w:val="single" w:sz="4" w:space="0" w:color="auto"/>
              <w:left w:val="single" w:sz="4" w:space="0" w:color="auto"/>
              <w:bottom w:val="single" w:sz="4" w:space="0" w:color="auto"/>
              <w:right w:val="single" w:sz="4" w:space="0" w:color="auto"/>
            </w:tcBorders>
            <w:shd w:val="clear" w:color="auto" w:fill="auto"/>
            <w:tcMar>
              <w:left w:w="0" w:type="dxa"/>
              <w:right w:w="58" w:type="dxa"/>
            </w:tcMar>
          </w:tcPr>
          <w:p w14:paraId="60D266BE" w14:textId="77777777" w:rsidR="001067DD" w:rsidRPr="00E72F65" w:rsidRDefault="001067DD" w:rsidP="000F326C">
            <w:pPr>
              <w:suppressAutoHyphens/>
              <w:jc w:val="right"/>
              <w:rPr>
                <w:color w:val="000000"/>
                <w:sz w:val="20"/>
                <w:szCs w:val="20"/>
                <w:lang w:eastAsia="en-CA"/>
              </w:rPr>
            </w:pPr>
            <w:r w:rsidRPr="00E72F65">
              <w:rPr>
                <w:color w:val="000000"/>
                <w:sz w:val="20"/>
                <w:szCs w:val="20"/>
              </w:rPr>
              <w:t>50</w:t>
            </w:r>
            <w:r>
              <w:rPr>
                <w:color w:val="000000"/>
                <w:sz w:val="20"/>
                <w:szCs w:val="20"/>
              </w:rPr>
              <w:t>.</w:t>
            </w:r>
            <w:r w:rsidRPr="00E72F65">
              <w:rPr>
                <w:color w:val="000000"/>
                <w:sz w:val="20"/>
                <w:szCs w:val="20"/>
              </w:rPr>
              <w:t>285</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2BC8428" w14:textId="77777777" w:rsidR="001067DD" w:rsidRPr="00E72F65" w:rsidRDefault="001067DD" w:rsidP="000F326C">
            <w:pPr>
              <w:suppressAutoHyphens/>
              <w:jc w:val="right"/>
              <w:rPr>
                <w:color w:val="000000"/>
                <w:sz w:val="20"/>
                <w:szCs w:val="20"/>
                <w:lang w:eastAsia="en-CA"/>
              </w:rPr>
            </w:pPr>
            <w:r w:rsidRPr="00E72F65">
              <w:rPr>
                <w:color w:val="000000" w:themeColor="text1"/>
                <w:kern w:val="28"/>
                <w:sz w:val="20"/>
                <w:szCs w:val="20"/>
              </w:rPr>
              <w:t>483</w:t>
            </w:r>
            <w:r>
              <w:rPr>
                <w:color w:val="000000" w:themeColor="text1"/>
                <w:kern w:val="28"/>
                <w:sz w:val="20"/>
                <w:szCs w:val="20"/>
              </w:rPr>
              <w:t>.</w:t>
            </w:r>
            <w:r w:rsidRPr="00E72F65">
              <w:rPr>
                <w:color w:val="000000" w:themeColor="text1"/>
                <w:kern w:val="28"/>
                <w:sz w:val="20"/>
                <w:szCs w:val="20"/>
              </w:rPr>
              <w:t>075</w:t>
            </w:r>
          </w:p>
        </w:tc>
      </w:tr>
      <w:tr w:rsidR="001067DD" w:rsidRPr="00B375EA" w14:paraId="22B002F9" w14:textId="77777777" w:rsidTr="000F326C">
        <w:tc>
          <w:tcPr>
            <w:tcW w:w="371" w:type="pct"/>
            <w:tcBorders>
              <w:top w:val="single" w:sz="4" w:space="0" w:color="auto"/>
              <w:left w:val="single" w:sz="4" w:space="0" w:color="auto"/>
              <w:bottom w:val="single" w:sz="4" w:space="0" w:color="auto"/>
              <w:right w:val="single" w:sz="4" w:space="0" w:color="auto"/>
            </w:tcBorders>
            <w:shd w:val="clear" w:color="auto" w:fill="auto"/>
            <w:hideMark/>
          </w:tcPr>
          <w:p w14:paraId="08AF95E7" w14:textId="77777777" w:rsidR="001067DD" w:rsidRPr="00E72F65" w:rsidRDefault="001067DD" w:rsidP="000F326C">
            <w:pPr>
              <w:suppressAutoHyphens/>
              <w:jc w:val="left"/>
              <w:rPr>
                <w:color w:val="000000"/>
                <w:sz w:val="20"/>
                <w:szCs w:val="20"/>
                <w:lang w:eastAsia="en-CA"/>
              </w:rPr>
            </w:pPr>
            <w:r w:rsidRPr="00E72F65">
              <w:rPr>
                <w:sz w:val="20"/>
                <w:szCs w:val="20"/>
              </w:rPr>
              <w:br w:type="page"/>
            </w:r>
            <w:r w:rsidRPr="00E72F65">
              <w:rPr>
                <w:color w:val="000000"/>
                <w:sz w:val="20"/>
                <w:szCs w:val="20"/>
                <w:lang w:eastAsia="en-CA"/>
              </w:rPr>
              <w:t>4.1.1</w:t>
            </w:r>
          </w:p>
        </w:tc>
        <w:tc>
          <w:tcPr>
            <w:tcW w:w="4111" w:type="pct"/>
            <w:gridSpan w:val="8"/>
            <w:tcBorders>
              <w:top w:val="single" w:sz="4" w:space="0" w:color="auto"/>
              <w:left w:val="nil"/>
              <w:bottom w:val="single" w:sz="4" w:space="0" w:color="auto"/>
              <w:right w:val="single" w:sz="4" w:space="0" w:color="000000"/>
            </w:tcBorders>
          </w:tcPr>
          <w:p w14:paraId="53166E6C" w14:textId="77777777" w:rsidR="001067DD" w:rsidRPr="001067DD" w:rsidRDefault="001067DD" w:rsidP="000F326C">
            <w:pPr>
              <w:jc w:val="left"/>
              <w:rPr>
                <w:sz w:val="18"/>
                <w:szCs w:val="18"/>
                <w:lang w:val="fr-CA"/>
              </w:rPr>
            </w:pPr>
            <w:r w:rsidRPr="001067DD">
              <w:rPr>
                <w:sz w:val="18"/>
                <w:szCs w:val="18"/>
                <w:lang w:val="fr-CA"/>
              </w:rPr>
              <w:t>Élimination totale de HCFC-22 convenue de réaliser en vertu du présent Accord (tonnes PAO)</w:t>
            </w:r>
          </w:p>
        </w:tc>
        <w:tc>
          <w:tcPr>
            <w:tcW w:w="518" w:type="pct"/>
            <w:tcBorders>
              <w:top w:val="single" w:sz="4" w:space="0" w:color="auto"/>
              <w:left w:val="nil"/>
              <w:bottom w:val="single" w:sz="4" w:space="0" w:color="auto"/>
              <w:right w:val="single" w:sz="4" w:space="0" w:color="auto"/>
            </w:tcBorders>
            <w:shd w:val="clear" w:color="auto" w:fill="auto"/>
          </w:tcPr>
          <w:p w14:paraId="1E970538"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r>
              <w:rPr>
                <w:color w:val="000000"/>
                <w:sz w:val="20"/>
                <w:szCs w:val="20"/>
                <w:lang w:eastAsia="en-CA"/>
              </w:rPr>
              <w:t>,</w:t>
            </w:r>
            <w:r w:rsidRPr="00E72F65">
              <w:rPr>
                <w:color w:val="000000"/>
                <w:sz w:val="20"/>
                <w:szCs w:val="20"/>
                <w:lang w:eastAsia="en-CA"/>
              </w:rPr>
              <w:t>16</w:t>
            </w:r>
          </w:p>
        </w:tc>
      </w:tr>
      <w:tr w:rsidR="001067DD" w:rsidRPr="00B375EA" w14:paraId="75237BEB"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556EC4D3"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4.1.2</w:t>
            </w:r>
          </w:p>
        </w:tc>
        <w:tc>
          <w:tcPr>
            <w:tcW w:w="4111" w:type="pct"/>
            <w:gridSpan w:val="8"/>
            <w:tcBorders>
              <w:top w:val="single" w:sz="4" w:space="0" w:color="auto"/>
              <w:left w:val="nil"/>
              <w:bottom w:val="single" w:sz="4" w:space="0" w:color="auto"/>
              <w:right w:val="single" w:sz="4" w:space="0" w:color="000000"/>
            </w:tcBorders>
          </w:tcPr>
          <w:p w14:paraId="1581BF9A" w14:textId="77777777" w:rsidR="001067DD" w:rsidRPr="001067DD" w:rsidRDefault="001067DD" w:rsidP="000F326C">
            <w:pPr>
              <w:jc w:val="left"/>
              <w:rPr>
                <w:sz w:val="18"/>
                <w:szCs w:val="18"/>
                <w:lang w:val="fr-CA"/>
              </w:rPr>
            </w:pPr>
            <w:r w:rsidRPr="001067DD">
              <w:rPr>
                <w:sz w:val="18"/>
                <w:szCs w:val="18"/>
                <w:lang w:val="fr-CA"/>
              </w:rPr>
              <w:t>Élimination du HCFC-22 réalisée lors de la phase précédente (tonnes PAO)</w:t>
            </w:r>
          </w:p>
        </w:tc>
        <w:tc>
          <w:tcPr>
            <w:tcW w:w="518" w:type="pct"/>
            <w:tcBorders>
              <w:top w:val="nil"/>
              <w:left w:val="nil"/>
              <w:bottom w:val="single" w:sz="4" w:space="0" w:color="auto"/>
              <w:right w:val="single" w:sz="4" w:space="0" w:color="auto"/>
            </w:tcBorders>
            <w:shd w:val="clear" w:color="auto" w:fill="auto"/>
          </w:tcPr>
          <w:p w14:paraId="2DA02E78"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r>
              <w:rPr>
                <w:color w:val="000000"/>
                <w:sz w:val="20"/>
                <w:szCs w:val="20"/>
                <w:lang w:eastAsia="en-CA"/>
              </w:rPr>
              <w:t>,</w:t>
            </w:r>
            <w:r w:rsidRPr="00E72F65">
              <w:rPr>
                <w:color w:val="000000"/>
                <w:sz w:val="20"/>
                <w:szCs w:val="20"/>
                <w:lang w:eastAsia="en-CA"/>
              </w:rPr>
              <w:t>09</w:t>
            </w:r>
          </w:p>
        </w:tc>
      </w:tr>
      <w:tr w:rsidR="001067DD" w:rsidRPr="00B375EA" w14:paraId="2F0DF1B3" w14:textId="77777777" w:rsidTr="000F326C">
        <w:tc>
          <w:tcPr>
            <w:tcW w:w="371" w:type="pct"/>
            <w:tcBorders>
              <w:top w:val="nil"/>
              <w:left w:val="single" w:sz="4" w:space="0" w:color="auto"/>
              <w:bottom w:val="single" w:sz="4" w:space="0" w:color="auto"/>
              <w:right w:val="single" w:sz="4" w:space="0" w:color="auto"/>
            </w:tcBorders>
            <w:shd w:val="clear" w:color="auto" w:fill="auto"/>
            <w:hideMark/>
          </w:tcPr>
          <w:p w14:paraId="6D55EDC4" w14:textId="77777777" w:rsidR="001067DD" w:rsidRPr="00E72F65" w:rsidRDefault="001067DD" w:rsidP="000F326C">
            <w:pPr>
              <w:suppressAutoHyphens/>
              <w:jc w:val="left"/>
              <w:rPr>
                <w:color w:val="000000"/>
                <w:sz w:val="20"/>
                <w:szCs w:val="20"/>
                <w:lang w:eastAsia="en-CA"/>
              </w:rPr>
            </w:pPr>
            <w:r w:rsidRPr="00E72F65">
              <w:rPr>
                <w:color w:val="000000"/>
                <w:sz w:val="20"/>
                <w:szCs w:val="20"/>
                <w:lang w:eastAsia="en-CA"/>
              </w:rPr>
              <w:t>4.1.3</w:t>
            </w:r>
          </w:p>
        </w:tc>
        <w:tc>
          <w:tcPr>
            <w:tcW w:w="4111" w:type="pct"/>
            <w:gridSpan w:val="8"/>
            <w:tcBorders>
              <w:top w:val="single" w:sz="4" w:space="0" w:color="auto"/>
              <w:left w:val="nil"/>
              <w:bottom w:val="single" w:sz="4" w:space="0" w:color="auto"/>
              <w:right w:val="single" w:sz="4" w:space="0" w:color="000000"/>
            </w:tcBorders>
          </w:tcPr>
          <w:p w14:paraId="148F5ABD" w14:textId="77777777" w:rsidR="001067DD" w:rsidRPr="001067DD" w:rsidRDefault="001067DD" w:rsidP="000F326C">
            <w:pPr>
              <w:jc w:val="left"/>
              <w:rPr>
                <w:sz w:val="18"/>
                <w:szCs w:val="18"/>
                <w:lang w:val="fr-CA"/>
              </w:rPr>
            </w:pPr>
            <w:r w:rsidRPr="001067DD">
              <w:rPr>
                <w:sz w:val="18"/>
                <w:szCs w:val="18"/>
                <w:lang w:val="fr-CA"/>
              </w:rPr>
              <w:t>Consommation restante admissible pour le HCFC-22 (tonnes PAO)</w:t>
            </w:r>
          </w:p>
        </w:tc>
        <w:tc>
          <w:tcPr>
            <w:tcW w:w="518" w:type="pct"/>
            <w:tcBorders>
              <w:top w:val="nil"/>
              <w:left w:val="nil"/>
              <w:bottom w:val="single" w:sz="4" w:space="0" w:color="auto"/>
              <w:right w:val="single" w:sz="4" w:space="0" w:color="auto"/>
            </w:tcBorders>
            <w:shd w:val="clear" w:color="auto" w:fill="auto"/>
          </w:tcPr>
          <w:p w14:paraId="5A98B2BD" w14:textId="77777777" w:rsidR="001067DD" w:rsidRPr="00E72F65" w:rsidRDefault="001067DD" w:rsidP="000F326C">
            <w:pPr>
              <w:keepNext/>
              <w:keepLines/>
              <w:suppressAutoHyphens/>
              <w:jc w:val="right"/>
              <w:rPr>
                <w:color w:val="000000"/>
                <w:sz w:val="20"/>
                <w:szCs w:val="20"/>
                <w:lang w:eastAsia="en-CA"/>
              </w:rPr>
            </w:pPr>
            <w:r w:rsidRPr="00E72F65">
              <w:rPr>
                <w:color w:val="000000"/>
                <w:sz w:val="20"/>
                <w:szCs w:val="20"/>
                <w:lang w:eastAsia="en-CA"/>
              </w:rPr>
              <w:t>0</w:t>
            </w:r>
          </w:p>
        </w:tc>
      </w:tr>
    </w:tbl>
    <w:p w14:paraId="44FE2F3A" w14:textId="77777777" w:rsidR="001067DD" w:rsidRPr="001067DD" w:rsidRDefault="001067DD" w:rsidP="001067DD">
      <w:pPr>
        <w:pStyle w:val="Heading1"/>
        <w:rPr>
          <w:sz w:val="19"/>
          <w:szCs w:val="19"/>
          <w:lang w:val="fr-CA"/>
        </w:rPr>
      </w:pPr>
      <w:r w:rsidRPr="001067DD">
        <w:rPr>
          <w:sz w:val="19"/>
          <w:szCs w:val="19"/>
          <w:lang w:val="fr-CA"/>
        </w:rPr>
        <w:t xml:space="preserve">*Date d’achèvement de l’étape I selon l’accord de l’étape </w:t>
      </w:r>
      <w:proofErr w:type="gramStart"/>
      <w:r w:rsidRPr="001067DD">
        <w:rPr>
          <w:sz w:val="19"/>
          <w:szCs w:val="19"/>
          <w:lang w:val="fr-CA"/>
        </w:rPr>
        <w:t>I:</w:t>
      </w:r>
      <w:proofErr w:type="gramEnd"/>
      <w:r w:rsidRPr="001067DD">
        <w:rPr>
          <w:sz w:val="19"/>
          <w:szCs w:val="19"/>
          <w:lang w:val="fr-CA"/>
        </w:rPr>
        <w:t xml:space="preserve"> 31 décembre 2021.</w:t>
      </w:r>
    </w:p>
    <w:p w14:paraId="66669DAF" w14:textId="77777777" w:rsidR="001067DD" w:rsidRPr="003B4169" w:rsidRDefault="001067DD" w:rsidP="001067DD">
      <w:pPr>
        <w:keepNext/>
        <w:keepLines/>
        <w:rPr>
          <w:b/>
          <w:lang w:val="fr-CA"/>
        </w:rPr>
      </w:pPr>
      <w:r w:rsidRPr="003B4169">
        <w:rPr>
          <w:b/>
          <w:lang w:val="fr-CA"/>
        </w:rPr>
        <w:t>APPENDICE 3-A</w:t>
      </w:r>
      <w:r>
        <w:rPr>
          <w:b/>
          <w:lang w:val="fr-CA"/>
        </w:rPr>
        <w:t xml:space="preserve"> </w:t>
      </w:r>
      <w:r w:rsidRPr="003B4169">
        <w:rPr>
          <w:b/>
          <w:lang w:val="fr-CA"/>
        </w:rPr>
        <w:t>: CALENDRIER DE FINANCEMENT APPROUVÉ</w:t>
      </w:r>
    </w:p>
    <w:p w14:paraId="09BC25B5" w14:textId="77777777" w:rsidR="001067DD" w:rsidRPr="003B4169" w:rsidRDefault="001067DD" w:rsidP="001067DD">
      <w:pPr>
        <w:keepNext/>
        <w:keepLines/>
        <w:rPr>
          <w:lang w:val="fr-CA"/>
        </w:rPr>
      </w:pPr>
    </w:p>
    <w:p w14:paraId="11FF5025" w14:textId="77777777" w:rsidR="001067DD" w:rsidRPr="003B4169" w:rsidRDefault="001067DD" w:rsidP="001067DD">
      <w:pPr>
        <w:pStyle w:val="Heading1"/>
        <w:keepNext/>
        <w:keepLines/>
        <w:numPr>
          <w:ilvl w:val="0"/>
          <w:numId w:val="23"/>
        </w:numPr>
        <w:rPr>
          <w:lang w:val="fr-CA"/>
        </w:rPr>
      </w:pPr>
      <w:r w:rsidRPr="003B4169">
        <w:rPr>
          <w:lang w:val="fr-CA"/>
        </w:rPr>
        <w:t xml:space="preserve">Le financement des futures tranches sera examiné pour approbation lors de la </w:t>
      </w:r>
      <w:r>
        <w:rPr>
          <w:lang w:val="fr-CA"/>
        </w:rPr>
        <w:t>deuxième</w:t>
      </w:r>
      <w:r w:rsidRPr="003B4169">
        <w:rPr>
          <w:lang w:val="fr-CA"/>
        </w:rPr>
        <w:t xml:space="preserve"> réunion de l’année spécifiée à l’Appendice 2-A.</w:t>
      </w:r>
    </w:p>
    <w:p w14:paraId="0AB2688C" w14:textId="77777777" w:rsidR="001067DD" w:rsidRPr="003B4169" w:rsidRDefault="001067DD" w:rsidP="001067DD">
      <w:pPr>
        <w:rPr>
          <w:b/>
          <w:lang w:val="fr-CA"/>
        </w:rPr>
      </w:pPr>
      <w:r w:rsidRPr="003B4169">
        <w:rPr>
          <w:b/>
          <w:lang w:val="fr-CA"/>
        </w:rPr>
        <w:t>APPENDICE 4-A</w:t>
      </w:r>
      <w:r>
        <w:rPr>
          <w:b/>
          <w:lang w:val="fr-CA"/>
        </w:rPr>
        <w:t xml:space="preserve"> </w:t>
      </w:r>
      <w:r w:rsidRPr="003B4169">
        <w:rPr>
          <w:b/>
          <w:lang w:val="fr-CA"/>
        </w:rPr>
        <w:t>: FORMAT DES RAPPORTS ET DES PLANS DE MISE EN ŒUVRE DE LA TRANCHE</w:t>
      </w:r>
    </w:p>
    <w:p w14:paraId="796172CF" w14:textId="77777777" w:rsidR="001067DD" w:rsidRPr="003B4169" w:rsidRDefault="001067DD" w:rsidP="001067DD">
      <w:pPr>
        <w:rPr>
          <w:lang w:val="fr-CA"/>
        </w:rPr>
      </w:pPr>
    </w:p>
    <w:p w14:paraId="2A7E78FE" w14:textId="77777777" w:rsidR="001067DD" w:rsidRPr="000D011B" w:rsidRDefault="001067DD" w:rsidP="001067DD">
      <w:pPr>
        <w:pStyle w:val="Heading1"/>
        <w:numPr>
          <w:ilvl w:val="0"/>
          <w:numId w:val="23"/>
        </w:numPr>
        <w:rPr>
          <w:lang w:val="fr-CA"/>
        </w:rPr>
      </w:pPr>
      <w:r w:rsidRPr="000D011B">
        <w:rPr>
          <w:lang w:val="fr-CA"/>
        </w:rPr>
        <w:t>La présentation du plan et du rapport de mise en œuvre de la tranche pour chaque demande de tranche comprendra cinq parties :</w:t>
      </w:r>
    </w:p>
    <w:p w14:paraId="50F4839C" w14:textId="77777777" w:rsidR="001067DD" w:rsidRPr="003B4169" w:rsidRDefault="001067DD" w:rsidP="001067DD">
      <w:pPr>
        <w:pStyle w:val="Heading2"/>
        <w:rPr>
          <w:lang w:val="fr-CA"/>
        </w:rPr>
      </w:pPr>
      <w:r w:rsidRPr="003B4169">
        <w:rPr>
          <w:lang w:val="fr-CA"/>
        </w:rPr>
        <w:t>Un rapport narratif, avec des données fourn</w:t>
      </w:r>
      <w:r>
        <w:rPr>
          <w:lang w:val="fr-CA"/>
        </w:rPr>
        <w:t xml:space="preserve">ies par tranche, décrivant les </w:t>
      </w:r>
      <w:r w:rsidRPr="003B4169">
        <w:rPr>
          <w:lang w:val="fr-CA"/>
        </w:rPr>
        <w:t xml:space="preserve">progrès réalisés depuis le précédent rapport, reflétant la situation du pays en matière d’élimination des </w:t>
      </w:r>
      <w:r w:rsidRPr="003B4169">
        <w:rPr>
          <w:lang w:val="fr-CA"/>
        </w:rPr>
        <w:lastRenderedPageBreak/>
        <w:t>Substances, la façon dont les différentes activités y contribuent et comment elles sont reliées entre elles. Le rapport inclura la quantité de SAO éliminée en tant que résultat direct de la mise en œuvre des activités, par substance, et la technologie de remplacement utilisée et l’introduction correspondante des produits de remplacement, afin de permettre au Secrétariat de fournir au Comité exécutif les informations se rapportant aux changements intervenus dans les émissions importantes sur le plan climatique. Ce rapport doit aussi mettre en lumière les réussites, les expériences et les défis correspondant aux différentes activités incluses dans le plan, reflétant tout changement de situation intervenu dans le pays et fournissant d’autres informations utiles. Le rapport doit également éclairer et justifier tout changement par rapport au plan de la tranche soumis précédemment, tels que des retards, l’utilisation de la marge de manœuvre pour la réaffectation des fonds durant la mise en œuvre d’une tranche, tel qu’indiqué au paragraphe 7 du présent Accord, ou autres changements</w:t>
      </w:r>
      <w:r>
        <w:rPr>
          <w:lang w:val="fr-CA"/>
        </w:rPr>
        <w:t xml:space="preserve"> </w:t>
      </w:r>
      <w:r w:rsidRPr="003B4169">
        <w:rPr>
          <w:lang w:val="fr-CA"/>
        </w:rPr>
        <w:t xml:space="preserve">; </w:t>
      </w:r>
    </w:p>
    <w:p w14:paraId="4F69E19F" w14:textId="77777777" w:rsidR="001067DD" w:rsidRPr="003B4169" w:rsidRDefault="001067DD" w:rsidP="001067DD">
      <w:pPr>
        <w:pStyle w:val="Heading2"/>
        <w:rPr>
          <w:lang w:val="fr-CA"/>
        </w:rPr>
      </w:pPr>
      <w:r w:rsidRPr="003B4169">
        <w:rPr>
          <w:lang w:val="fr-CA"/>
        </w:rPr>
        <w:t>Un rapport de vérification indépendant des résultats du plan et de la consommation des substances mentionnées à l’Appendice 1-A, conformément au paragraphe 5 b) de l’Accord. À moins que le Comité exécutif n’en ait décidé autrement, cette vérification doit accompagner chaque demande de tranche et fournir une vérification de la consommation pour toutes les années concernées spécifiées au paragraphe 5 a) de l’Accord pour lesquelles un rapport de vérification n’a pas encore été accepté par le Comité</w:t>
      </w:r>
      <w:r>
        <w:rPr>
          <w:lang w:val="fr-CA"/>
        </w:rPr>
        <w:t xml:space="preserve"> </w:t>
      </w:r>
      <w:r w:rsidRPr="003B4169">
        <w:rPr>
          <w:lang w:val="fr-CA"/>
        </w:rPr>
        <w:t>;</w:t>
      </w:r>
    </w:p>
    <w:p w14:paraId="2C016475" w14:textId="77777777" w:rsidR="001067DD" w:rsidRPr="003B4169" w:rsidRDefault="001067DD" w:rsidP="001067DD">
      <w:pPr>
        <w:pStyle w:val="Heading2"/>
        <w:rPr>
          <w:lang w:val="fr-CA"/>
        </w:rPr>
      </w:pPr>
      <w:r w:rsidRPr="003B4169">
        <w:rPr>
          <w:lang w:val="fr-CA"/>
        </w:rPr>
        <w:t>Une description écrite des activités à entreprendre au cours de la période visée par la demande de tranche, soulignant les étapes de la mise en œuvre, la date de leur achèvement et leur interdépendance et tenant compte des expériences acquises et des progrès réalisés dans la mise en œuvre des tranches précédentes</w:t>
      </w:r>
      <w:r>
        <w:rPr>
          <w:lang w:val="fr-CA"/>
        </w:rPr>
        <w:t xml:space="preserve"> </w:t>
      </w:r>
      <w:r w:rsidRPr="003B4169">
        <w:rPr>
          <w:lang w:val="fr-CA"/>
        </w:rPr>
        <w:t>; les données du plan seront fournies par année civile. La description doit aussi faire mention du plan d’ensemble et des progrès réalisés ainsi que des changements éventuels prévus au plan d’ensemble. Elle doit également spécifier et expliquer toutes révisions apportées au plan d’ensemble ayant été jugées nécessaires. Cette description des activités futures peut être soumise en tant que partie du même document que le rapport narratif mentionné au paragraphe b) ci-dessus</w:t>
      </w:r>
      <w:r>
        <w:rPr>
          <w:lang w:val="fr-CA"/>
        </w:rPr>
        <w:t xml:space="preserve"> </w:t>
      </w:r>
      <w:r w:rsidRPr="003B4169">
        <w:rPr>
          <w:lang w:val="fr-CA"/>
        </w:rPr>
        <w:t xml:space="preserve">; </w:t>
      </w:r>
    </w:p>
    <w:p w14:paraId="4C77B239" w14:textId="77777777" w:rsidR="001067DD" w:rsidRPr="003B4169" w:rsidRDefault="001067DD" w:rsidP="001067DD">
      <w:pPr>
        <w:pStyle w:val="Heading2"/>
        <w:rPr>
          <w:lang w:val="fr-CA"/>
        </w:rPr>
      </w:pPr>
      <w:r w:rsidRPr="003B4169">
        <w:rPr>
          <w:lang w:val="fr-CA"/>
        </w:rPr>
        <w:t>Une série d’informations quantitatives pour tous les rapports et les plans annuels de mise en œuvre de la tranche présentées dans une base de données communiquées en ligne</w:t>
      </w:r>
      <w:r>
        <w:rPr>
          <w:lang w:val="fr-CA"/>
        </w:rPr>
        <w:t xml:space="preserve"> </w:t>
      </w:r>
      <w:r w:rsidRPr="003B4169">
        <w:rPr>
          <w:lang w:val="fr-CA"/>
        </w:rPr>
        <w:t>;</w:t>
      </w:r>
      <w:r>
        <w:rPr>
          <w:lang w:val="fr-CA"/>
        </w:rPr>
        <w:t xml:space="preserve"> et</w:t>
      </w:r>
      <w:r w:rsidRPr="003B4169">
        <w:rPr>
          <w:lang w:val="fr-CA"/>
        </w:rPr>
        <w:t xml:space="preserve">  </w:t>
      </w:r>
    </w:p>
    <w:p w14:paraId="26FD06C1" w14:textId="77777777" w:rsidR="001067DD" w:rsidRPr="003B4169" w:rsidRDefault="001067DD" w:rsidP="001067DD">
      <w:pPr>
        <w:pStyle w:val="Heading2"/>
        <w:rPr>
          <w:lang w:val="fr-CA"/>
        </w:rPr>
      </w:pPr>
      <w:r w:rsidRPr="003B4169">
        <w:rPr>
          <w:lang w:val="fr-CA"/>
        </w:rPr>
        <w:t>Une synthèse comprenant environ cinq paragraphes, résumant les informations des paragraphes 1 a) à 1 d) ci-dessus.</w:t>
      </w:r>
    </w:p>
    <w:p w14:paraId="53F8EFFB" w14:textId="77777777" w:rsidR="001067DD" w:rsidRPr="003B4169" w:rsidRDefault="001067DD" w:rsidP="001067DD">
      <w:pPr>
        <w:pStyle w:val="Heading1"/>
        <w:numPr>
          <w:ilvl w:val="0"/>
          <w:numId w:val="1"/>
        </w:numPr>
        <w:rPr>
          <w:lang w:val="fr-CA"/>
        </w:rPr>
      </w:pPr>
      <w:r w:rsidRPr="003B4169">
        <w:rPr>
          <w:lang w:val="fr-CA"/>
        </w:rPr>
        <w:t>Si deux phases du PGEH sont mises en œuvre en parallèle au cours d’une année donnée, les considérations ci-dessous doivent entrer en ligne de compte dans la préparation du rapport et du plan de mise en œuvre</w:t>
      </w:r>
      <w:r>
        <w:rPr>
          <w:lang w:val="fr-CA"/>
        </w:rPr>
        <w:t xml:space="preserve"> </w:t>
      </w:r>
      <w:r w:rsidRPr="003B4169">
        <w:rPr>
          <w:lang w:val="fr-CA"/>
        </w:rPr>
        <w:t>:</w:t>
      </w:r>
    </w:p>
    <w:p w14:paraId="101B502C" w14:textId="77777777" w:rsidR="001067DD" w:rsidRPr="003B4169" w:rsidRDefault="001067DD" w:rsidP="001067DD">
      <w:pPr>
        <w:pStyle w:val="Heading2"/>
        <w:rPr>
          <w:lang w:val="fr-CA"/>
        </w:rPr>
      </w:pPr>
      <w:r w:rsidRPr="003B4169">
        <w:rPr>
          <w:lang w:val="fr-CA"/>
        </w:rPr>
        <w:t>Les rapports et plans de mise en œuvre de la tranche dont il est question dans le présent Accord ne porteront que sur les activités et les sommes prévues dans cet Accord</w:t>
      </w:r>
      <w:r>
        <w:rPr>
          <w:lang w:val="fr-CA"/>
        </w:rPr>
        <w:t xml:space="preserve"> </w:t>
      </w:r>
      <w:r w:rsidRPr="003B4169">
        <w:rPr>
          <w:lang w:val="fr-CA"/>
        </w:rPr>
        <w:t>; et</w:t>
      </w:r>
    </w:p>
    <w:p w14:paraId="02DF4F40" w14:textId="77777777" w:rsidR="001067DD" w:rsidRPr="003B4169" w:rsidRDefault="001067DD" w:rsidP="001067DD">
      <w:pPr>
        <w:pStyle w:val="Heading2"/>
        <w:rPr>
          <w:lang w:val="fr-CA"/>
        </w:rPr>
      </w:pPr>
      <w:r w:rsidRPr="003B4169">
        <w:rPr>
          <w:lang w:val="fr-CA"/>
        </w:rPr>
        <w:t>Si les phases mises en œuvre présentent des objectifs de consommation de HCFC différents pour une même année, selon l’Appendice 2-A de chaque accord, l’objectif de consommation de HCFC le plus bas servira de référence aux fins de conformité à ces accords et de base pour les vérifications indépendantes.</w:t>
      </w:r>
    </w:p>
    <w:p w14:paraId="4BF0049E" w14:textId="77777777" w:rsidR="001067DD" w:rsidRPr="003B4169" w:rsidRDefault="001067DD" w:rsidP="001067DD">
      <w:pPr>
        <w:keepNext/>
        <w:keepLines/>
        <w:rPr>
          <w:b/>
          <w:lang w:val="fr-CA"/>
        </w:rPr>
      </w:pPr>
      <w:r w:rsidRPr="003B4169">
        <w:rPr>
          <w:b/>
          <w:lang w:val="fr-CA"/>
        </w:rPr>
        <w:lastRenderedPageBreak/>
        <w:t>APPENDICE 5-A</w:t>
      </w:r>
      <w:r>
        <w:rPr>
          <w:b/>
          <w:lang w:val="fr-CA"/>
        </w:rPr>
        <w:t xml:space="preserve"> </w:t>
      </w:r>
      <w:r w:rsidRPr="003B4169">
        <w:rPr>
          <w:b/>
          <w:lang w:val="fr-CA"/>
        </w:rPr>
        <w:t xml:space="preserve">: INSTITUTIONS DE SUIVI ET LEUR RÔLE </w:t>
      </w:r>
    </w:p>
    <w:p w14:paraId="51EE0E59" w14:textId="77777777" w:rsidR="001067DD" w:rsidRPr="003B4169" w:rsidRDefault="001067DD" w:rsidP="001067DD">
      <w:pPr>
        <w:keepNext/>
        <w:keepLines/>
        <w:rPr>
          <w:lang w:val="fr-CA"/>
        </w:rPr>
      </w:pPr>
    </w:p>
    <w:p w14:paraId="34A93ADC" w14:textId="77777777" w:rsidR="001067DD" w:rsidRPr="008146AC" w:rsidRDefault="001067DD" w:rsidP="0037339A">
      <w:pPr>
        <w:pStyle w:val="Heading1"/>
        <w:keepNext/>
        <w:keepLines/>
        <w:numPr>
          <w:ilvl w:val="0"/>
          <w:numId w:val="37"/>
        </w:numPr>
        <w:rPr>
          <w:lang w:val="fr-CA"/>
        </w:rPr>
      </w:pPr>
      <w:r w:rsidRPr="008146AC">
        <w:rPr>
          <w:lang w:val="fr-CA"/>
        </w:rPr>
        <w:t>Le pays veillera à effectuer un suivi précis de ses activités dans le cadre du présent accord. L'Unité nationale de l'ozone soumettra des rapports d'a</w:t>
      </w:r>
      <w:r>
        <w:rPr>
          <w:lang w:val="fr-CA"/>
        </w:rPr>
        <w:t xml:space="preserve">ctivités </w:t>
      </w:r>
      <w:r w:rsidRPr="008146AC">
        <w:rPr>
          <w:lang w:val="fr-CA"/>
        </w:rPr>
        <w:t>annuels sur l'état de la mise en œuvre à l'agence d'exécution principale. La vérification de la réalisation des objectifs de performance conformément aux exigences du Comité exécutif sera confiée à une société indépendante ou à des consultants indépendants sélectionnés par l'</w:t>
      </w:r>
      <w:r>
        <w:rPr>
          <w:lang w:val="fr-CA"/>
        </w:rPr>
        <w:t>agence d’exécution principale.</w:t>
      </w:r>
    </w:p>
    <w:p w14:paraId="5B43CB2F" w14:textId="77777777" w:rsidR="001067DD" w:rsidRPr="008146AC" w:rsidRDefault="001067DD" w:rsidP="001067DD">
      <w:pPr>
        <w:pStyle w:val="ListParagraph"/>
        <w:rPr>
          <w:bCs/>
          <w:lang w:val="fr-CA"/>
        </w:rPr>
      </w:pPr>
    </w:p>
    <w:p w14:paraId="52D6ABEE" w14:textId="77777777" w:rsidR="001067DD" w:rsidRPr="008146AC" w:rsidRDefault="001067DD" w:rsidP="001067DD">
      <w:pPr>
        <w:rPr>
          <w:b/>
          <w:lang w:val="fr-CA"/>
        </w:rPr>
      </w:pPr>
      <w:r w:rsidRPr="008146AC">
        <w:rPr>
          <w:b/>
          <w:lang w:val="fr-CA"/>
        </w:rPr>
        <w:t xml:space="preserve">APPENDICE 6-A : RÔLE DE L’AGENCE D’EXÉCUTION PRINCIPALE </w:t>
      </w:r>
    </w:p>
    <w:p w14:paraId="108EABD8" w14:textId="77777777" w:rsidR="001067DD" w:rsidRPr="003B4169" w:rsidRDefault="001067DD" w:rsidP="001067DD">
      <w:pPr>
        <w:rPr>
          <w:lang w:val="fr-CA"/>
        </w:rPr>
      </w:pPr>
    </w:p>
    <w:p w14:paraId="4C6343E7" w14:textId="77777777" w:rsidR="001067DD" w:rsidRPr="000D011B" w:rsidRDefault="001067DD" w:rsidP="0037339A">
      <w:pPr>
        <w:pStyle w:val="Heading1"/>
        <w:numPr>
          <w:ilvl w:val="0"/>
          <w:numId w:val="38"/>
        </w:numPr>
        <w:rPr>
          <w:lang w:val="fr-CA"/>
        </w:rPr>
      </w:pPr>
      <w:r w:rsidRPr="000D011B">
        <w:rPr>
          <w:lang w:val="fr-CA"/>
        </w:rPr>
        <w:t xml:space="preserve">L’Agence principale sera responsable </w:t>
      </w:r>
      <w:r w:rsidRPr="000D011B">
        <w:rPr>
          <w:color w:val="000000"/>
          <w:lang w:val="fr-CA"/>
        </w:rPr>
        <w:t>d’une série d’activités, incluant au moins les activités suivantes</w:t>
      </w:r>
      <w:r>
        <w:rPr>
          <w:color w:val="000000"/>
          <w:lang w:val="fr-CA"/>
        </w:rPr>
        <w:t xml:space="preserve"> </w:t>
      </w:r>
      <w:r w:rsidRPr="000D011B">
        <w:rPr>
          <w:color w:val="000000"/>
          <w:lang w:val="fr-CA"/>
        </w:rPr>
        <w:t>:</w:t>
      </w:r>
    </w:p>
    <w:p w14:paraId="1730C4DF" w14:textId="77777777" w:rsidR="001067DD" w:rsidRPr="003B4169" w:rsidRDefault="001067DD" w:rsidP="001067DD">
      <w:pPr>
        <w:pStyle w:val="Heading2"/>
        <w:rPr>
          <w:lang w:val="fr-CA"/>
        </w:rPr>
      </w:pPr>
      <w:r w:rsidRPr="003B4169">
        <w:rPr>
          <w:lang w:val="fr-CA"/>
        </w:rPr>
        <w:t>S’assurer du rendement et de la vérification financière conformément au présent Accord et à ses procédures internes et exigences spécifiques définies dans le PGEH du Pays</w:t>
      </w:r>
      <w:r>
        <w:rPr>
          <w:lang w:val="fr-CA"/>
        </w:rPr>
        <w:t xml:space="preserve"> </w:t>
      </w:r>
      <w:r w:rsidRPr="003B4169">
        <w:rPr>
          <w:lang w:val="fr-CA"/>
        </w:rPr>
        <w:t>;</w:t>
      </w:r>
    </w:p>
    <w:p w14:paraId="44FD4B38" w14:textId="77777777" w:rsidR="001067DD" w:rsidRPr="003B4169" w:rsidRDefault="001067DD" w:rsidP="001067DD">
      <w:pPr>
        <w:pStyle w:val="Heading2"/>
        <w:rPr>
          <w:lang w:val="fr-CA"/>
        </w:rPr>
      </w:pPr>
      <w:r w:rsidRPr="003B4169">
        <w:rPr>
          <w:lang w:val="fr-CA"/>
        </w:rPr>
        <w:t>Aider le Pays à préparer les plans de mise en œuvre de la tranche et les rapports ultérieurs conformément à l’Appendice 4-A</w:t>
      </w:r>
      <w:r>
        <w:rPr>
          <w:lang w:val="fr-CA"/>
        </w:rPr>
        <w:t xml:space="preserve"> </w:t>
      </w:r>
      <w:r w:rsidRPr="003B4169">
        <w:rPr>
          <w:lang w:val="fr-CA"/>
        </w:rPr>
        <w:t>;</w:t>
      </w:r>
    </w:p>
    <w:p w14:paraId="443B83A0" w14:textId="77777777" w:rsidR="001067DD" w:rsidRPr="003B4169" w:rsidRDefault="001067DD" w:rsidP="001067DD">
      <w:pPr>
        <w:pStyle w:val="Heading2"/>
        <w:rPr>
          <w:lang w:val="fr-CA"/>
        </w:rPr>
      </w:pPr>
      <w:r w:rsidRPr="003B4169">
        <w:rPr>
          <w:lang w:val="fr-CA"/>
        </w:rPr>
        <w:t>Remettre au Comité exécutif un rapport de vérification indépendante confirmant que les objectifs ont été atteints et que les activités annuelles correspondantes ont été réalisées conformément au plan de mise en œuvre de la tranche, en accord avec l’Appendice 4-A</w:t>
      </w:r>
      <w:r>
        <w:rPr>
          <w:lang w:val="fr-CA"/>
        </w:rPr>
        <w:t xml:space="preserve"> </w:t>
      </w:r>
      <w:r w:rsidRPr="003B4169">
        <w:rPr>
          <w:lang w:val="fr-CA"/>
        </w:rPr>
        <w:t xml:space="preserve">; </w:t>
      </w:r>
    </w:p>
    <w:p w14:paraId="3A357AA0" w14:textId="77777777" w:rsidR="001067DD" w:rsidRPr="003B4169" w:rsidRDefault="001067DD" w:rsidP="001067DD">
      <w:pPr>
        <w:pStyle w:val="Heading2"/>
        <w:keepNext/>
        <w:keepLines/>
        <w:rPr>
          <w:lang w:val="fr-CA"/>
        </w:rPr>
      </w:pPr>
      <w:r w:rsidRPr="003B4169">
        <w:rPr>
          <w:lang w:val="fr-CA"/>
        </w:rPr>
        <w:t>Veiller à ce que les expériences et progrès transparaissent dans les mises à jour du plan d’ensemble et les plans annuels de mi</w:t>
      </w:r>
      <w:r>
        <w:rPr>
          <w:lang w:val="fr-CA"/>
        </w:rPr>
        <w:t>se en œuvre de la tranche future</w:t>
      </w:r>
      <w:r w:rsidRPr="003B4169">
        <w:rPr>
          <w:lang w:val="fr-CA"/>
        </w:rPr>
        <w:t>, conformément aux paragraphes 1 c) et 1 d) de l’Appendice 4-A</w:t>
      </w:r>
      <w:r>
        <w:rPr>
          <w:lang w:val="fr-CA"/>
        </w:rPr>
        <w:t xml:space="preserve"> </w:t>
      </w:r>
      <w:r w:rsidRPr="003B4169">
        <w:rPr>
          <w:lang w:val="fr-CA"/>
        </w:rPr>
        <w:t>;</w:t>
      </w:r>
    </w:p>
    <w:p w14:paraId="30AE1C60" w14:textId="77777777" w:rsidR="001067DD" w:rsidRPr="003B4169" w:rsidRDefault="001067DD" w:rsidP="001067DD">
      <w:pPr>
        <w:pStyle w:val="Heading2"/>
        <w:rPr>
          <w:lang w:val="fr-CA"/>
        </w:rPr>
      </w:pPr>
      <w:r w:rsidRPr="003B4169">
        <w:rPr>
          <w:lang w:val="fr-CA"/>
        </w:rPr>
        <w:t>Satisfaire aux exigences de rapport pour les rapports et plans de mise en œuvre de la tranche et le plan d’ensemble selon les spécifications de l’Appendice 4-A aux fins de présentation au Comité e</w:t>
      </w:r>
      <w:r>
        <w:rPr>
          <w:lang w:val="fr-CA"/>
        </w:rPr>
        <w:t xml:space="preserve">xécutif </w:t>
      </w:r>
      <w:r w:rsidRPr="003B4169">
        <w:rPr>
          <w:lang w:val="fr-CA"/>
        </w:rPr>
        <w:t>;</w:t>
      </w:r>
    </w:p>
    <w:p w14:paraId="228356F5" w14:textId="77777777" w:rsidR="001067DD" w:rsidRPr="003B4169" w:rsidRDefault="001067DD" w:rsidP="001067DD">
      <w:pPr>
        <w:pStyle w:val="Heading2"/>
        <w:rPr>
          <w:lang w:val="fr-CA"/>
        </w:rPr>
      </w:pPr>
      <w:r w:rsidRPr="003B4169">
        <w:rPr>
          <w:lang w:val="fr-CA"/>
        </w:rPr>
        <w:t>Dans l’éventualité où la dernière tranche de financement est demandée une année ou plus avant la dernière année pour laquelle un objectif de consommation a été établi, les rapports de mise en œuvre de la tranche annuelle et, s’il y a lieu, les rapports de vérification du stage actuel du Plan doivent être soumis jusqu’à ce que toutes les activités prévues aient été menées à terme et que les objectifs de consommation aient été atteints</w:t>
      </w:r>
      <w:r>
        <w:rPr>
          <w:lang w:val="fr-CA"/>
        </w:rPr>
        <w:t xml:space="preserve"> </w:t>
      </w:r>
      <w:r w:rsidRPr="003B4169">
        <w:rPr>
          <w:lang w:val="fr-CA"/>
        </w:rPr>
        <w:t>;</w:t>
      </w:r>
    </w:p>
    <w:p w14:paraId="23ABC4CE" w14:textId="77777777" w:rsidR="001067DD" w:rsidRPr="003B4169" w:rsidRDefault="001067DD" w:rsidP="001067DD">
      <w:pPr>
        <w:pStyle w:val="Heading2"/>
        <w:rPr>
          <w:lang w:val="fr-CA"/>
        </w:rPr>
      </w:pPr>
      <w:r w:rsidRPr="003B4169">
        <w:rPr>
          <w:lang w:val="fr-CA"/>
        </w:rPr>
        <w:t>Veiller à ce que des experts techniques indépendants et qualifiés réalisent les examens techniques</w:t>
      </w:r>
      <w:r>
        <w:rPr>
          <w:lang w:val="fr-CA"/>
        </w:rPr>
        <w:t xml:space="preserve"> </w:t>
      </w:r>
      <w:r w:rsidRPr="003B4169">
        <w:rPr>
          <w:lang w:val="fr-CA"/>
        </w:rPr>
        <w:t>;</w:t>
      </w:r>
    </w:p>
    <w:p w14:paraId="0FA9D779" w14:textId="77777777" w:rsidR="001067DD" w:rsidRPr="003B4169" w:rsidRDefault="001067DD" w:rsidP="001067DD">
      <w:pPr>
        <w:pStyle w:val="Heading2"/>
        <w:rPr>
          <w:lang w:val="fr-CA"/>
        </w:rPr>
      </w:pPr>
      <w:r w:rsidRPr="003B4169">
        <w:rPr>
          <w:lang w:val="fr-CA"/>
        </w:rPr>
        <w:t>Exécuter les missions de supervision requises</w:t>
      </w:r>
      <w:r>
        <w:rPr>
          <w:lang w:val="fr-CA"/>
        </w:rPr>
        <w:t xml:space="preserve"> </w:t>
      </w:r>
      <w:r w:rsidRPr="003B4169">
        <w:rPr>
          <w:lang w:val="fr-CA"/>
        </w:rPr>
        <w:t>;</w:t>
      </w:r>
    </w:p>
    <w:p w14:paraId="01BBFF1F" w14:textId="77777777" w:rsidR="001067DD" w:rsidRPr="003B4169" w:rsidRDefault="001067DD" w:rsidP="001067DD">
      <w:pPr>
        <w:pStyle w:val="Heading2"/>
        <w:rPr>
          <w:lang w:val="fr-CA"/>
        </w:rPr>
      </w:pPr>
      <w:r w:rsidRPr="003B4169">
        <w:rPr>
          <w:lang w:val="fr-CA"/>
        </w:rPr>
        <w:t>S’assurer qu’il existe un mécanisme opérationnel permettant la mise en œuvre efficace et transparente du plan de mise en œuvre de la tranche et la communication de données exactes</w:t>
      </w:r>
      <w:r>
        <w:rPr>
          <w:lang w:val="fr-CA"/>
        </w:rPr>
        <w:t xml:space="preserve"> </w:t>
      </w:r>
      <w:r w:rsidRPr="003B4169">
        <w:rPr>
          <w:lang w:val="fr-CA"/>
        </w:rPr>
        <w:t>;</w:t>
      </w:r>
    </w:p>
    <w:p w14:paraId="24370AA6" w14:textId="77777777" w:rsidR="001067DD" w:rsidRPr="003B4169" w:rsidRDefault="001067DD" w:rsidP="001067DD">
      <w:pPr>
        <w:pStyle w:val="Heading2"/>
        <w:rPr>
          <w:lang w:val="fr-CA"/>
        </w:rPr>
      </w:pPr>
      <w:r w:rsidRPr="003B4169">
        <w:rPr>
          <w:lang w:val="fr-CA"/>
        </w:rPr>
        <w:t>En cas de réduction du soutien financier pour non-conformité au paragraphe 11 de l’Accord, déterminer, en consultation avec le Pays, la répartition des réductions aux différents postes budgétaires et au financement de l’Agence principale</w:t>
      </w:r>
      <w:r>
        <w:rPr>
          <w:lang w:val="fr-CA"/>
        </w:rPr>
        <w:t xml:space="preserve"> </w:t>
      </w:r>
      <w:r w:rsidRPr="003B4169">
        <w:rPr>
          <w:lang w:val="fr-CA"/>
        </w:rPr>
        <w:t xml:space="preserve">; </w:t>
      </w:r>
    </w:p>
    <w:p w14:paraId="6EA05999" w14:textId="77777777" w:rsidR="001067DD" w:rsidRPr="003B4169" w:rsidRDefault="001067DD" w:rsidP="001067DD">
      <w:pPr>
        <w:pStyle w:val="Heading2"/>
        <w:rPr>
          <w:lang w:val="fr-CA"/>
        </w:rPr>
      </w:pPr>
      <w:r w:rsidRPr="003B4169">
        <w:rPr>
          <w:lang w:val="fr-CA"/>
        </w:rPr>
        <w:t>Veiller à ce que les versements effectués au Pays reposent sur l’utilisation des indicateurs</w:t>
      </w:r>
      <w:r>
        <w:rPr>
          <w:lang w:val="fr-CA"/>
        </w:rPr>
        <w:t> </w:t>
      </w:r>
      <w:r w:rsidRPr="003B4169">
        <w:rPr>
          <w:lang w:val="fr-CA"/>
        </w:rPr>
        <w:t xml:space="preserve">; </w:t>
      </w:r>
    </w:p>
    <w:p w14:paraId="189A2484" w14:textId="77777777" w:rsidR="001067DD" w:rsidRPr="003B4169" w:rsidRDefault="001067DD" w:rsidP="001067DD">
      <w:pPr>
        <w:pStyle w:val="Heading2"/>
        <w:rPr>
          <w:lang w:val="fr-CA"/>
        </w:rPr>
      </w:pPr>
      <w:r w:rsidRPr="003B4169">
        <w:rPr>
          <w:lang w:val="fr-CA"/>
        </w:rPr>
        <w:t xml:space="preserve">Fournir si nécessaire une assistance en matière de politique, de gestion et de soutien </w:t>
      </w:r>
      <w:r w:rsidRPr="003B4169">
        <w:rPr>
          <w:lang w:val="fr-CA"/>
        </w:rPr>
        <w:lastRenderedPageBreak/>
        <w:t>technique</w:t>
      </w:r>
      <w:r>
        <w:rPr>
          <w:lang w:val="fr-CA"/>
        </w:rPr>
        <w:t> </w:t>
      </w:r>
      <w:r w:rsidRPr="003B4169">
        <w:rPr>
          <w:lang w:val="fr-CA"/>
        </w:rPr>
        <w:t>;</w:t>
      </w:r>
      <w:r>
        <w:rPr>
          <w:lang w:val="fr-CA"/>
        </w:rPr>
        <w:t xml:space="preserve"> et</w:t>
      </w:r>
    </w:p>
    <w:p w14:paraId="6C779F03" w14:textId="77777777" w:rsidR="001067DD" w:rsidRPr="003B4169" w:rsidRDefault="001067DD" w:rsidP="001067DD">
      <w:pPr>
        <w:pStyle w:val="Heading2"/>
        <w:rPr>
          <w:lang w:val="fr-CA"/>
        </w:rPr>
      </w:pPr>
      <w:r>
        <w:rPr>
          <w:lang w:val="fr-CA"/>
        </w:rPr>
        <w:t>Décaisser les sommes au P</w:t>
      </w:r>
      <w:r w:rsidRPr="003B4169">
        <w:rPr>
          <w:lang w:val="fr-CA"/>
        </w:rPr>
        <w:t>ays/aux entreprises participants dans les délais nécessaires pour achever les activités reliées au projet.</w:t>
      </w:r>
    </w:p>
    <w:p w14:paraId="441C25BC" w14:textId="77777777" w:rsidR="001067DD" w:rsidRPr="003B4169" w:rsidRDefault="001067DD" w:rsidP="001067DD">
      <w:pPr>
        <w:pStyle w:val="Heading1"/>
        <w:numPr>
          <w:ilvl w:val="0"/>
          <w:numId w:val="1"/>
        </w:numPr>
        <w:rPr>
          <w:lang w:val="fr-CA"/>
        </w:rPr>
      </w:pPr>
      <w:r w:rsidRPr="003B4169">
        <w:rPr>
          <w:lang w:val="fr-CA"/>
        </w:rPr>
        <w:t>Après avoir consulté le Pays et pris en considération les points de vue exprimés, l’Agence principale sélectionnera et chargera une organisation indépendante de réaliser la vérification des résultats du plan de gestion de l’élimination des HCFC et de la consommation des substances mentionnées à l’Appendice 1-A, conformément au paragraphe 5 b) de l’Accord et au paragraphe 1 b) de l’Appendice 4</w:t>
      </w:r>
      <w:r w:rsidRPr="003B4169">
        <w:rPr>
          <w:lang w:val="fr-CA"/>
        </w:rPr>
        <w:noBreakHyphen/>
        <w:t>A.</w:t>
      </w:r>
    </w:p>
    <w:p w14:paraId="06E069A7" w14:textId="77777777" w:rsidR="001067DD" w:rsidRPr="003B4169" w:rsidRDefault="001067DD" w:rsidP="001067DD">
      <w:pPr>
        <w:rPr>
          <w:b/>
          <w:lang w:val="fr-CA"/>
        </w:rPr>
      </w:pPr>
      <w:r w:rsidRPr="003B4169">
        <w:rPr>
          <w:b/>
          <w:lang w:val="fr-CA"/>
        </w:rPr>
        <w:t>APPENDICE 7-A</w:t>
      </w:r>
      <w:r>
        <w:rPr>
          <w:b/>
          <w:lang w:val="fr-CA"/>
        </w:rPr>
        <w:t xml:space="preserve"> </w:t>
      </w:r>
      <w:r w:rsidRPr="003B4169">
        <w:rPr>
          <w:b/>
          <w:lang w:val="fr-CA"/>
        </w:rPr>
        <w:t>: RÉDUCTIONS DU FINANCEMENT EN CAS DE NON</w:t>
      </w:r>
      <w:r w:rsidRPr="003B4169">
        <w:rPr>
          <w:b/>
          <w:lang w:val="fr-CA"/>
        </w:rPr>
        <w:noBreakHyphen/>
        <w:t>CONFORMITÉ</w:t>
      </w:r>
    </w:p>
    <w:p w14:paraId="6A41E2AA" w14:textId="77777777" w:rsidR="001067DD" w:rsidRPr="003B4169" w:rsidRDefault="001067DD" w:rsidP="001067DD">
      <w:pPr>
        <w:rPr>
          <w:lang w:val="fr-CA"/>
        </w:rPr>
      </w:pPr>
    </w:p>
    <w:p w14:paraId="7CA17A08" w14:textId="77777777" w:rsidR="001067DD" w:rsidRPr="00F31CD9" w:rsidRDefault="001067DD" w:rsidP="0037339A">
      <w:pPr>
        <w:pStyle w:val="Heading1"/>
        <w:numPr>
          <w:ilvl w:val="0"/>
          <w:numId w:val="39"/>
        </w:numPr>
        <w:rPr>
          <w:lang w:val="fr-CA"/>
        </w:rPr>
      </w:pPr>
      <w:bookmarkStart w:id="0" w:name="_GoBack"/>
      <w:bookmarkEnd w:id="0"/>
      <w:r w:rsidRPr="00F31CD9">
        <w:rPr>
          <w:lang w:val="fr-CA"/>
        </w:rPr>
        <w:t>Conformément au paragraphe 11 de l’Accord, il pourra être déduit du montant du financement accordé un montant de 1</w:t>
      </w:r>
      <w:r>
        <w:rPr>
          <w:lang w:val="fr-CA"/>
        </w:rPr>
        <w:t>80</w:t>
      </w:r>
      <w:r w:rsidRPr="00F31CD9">
        <w:rPr>
          <w:lang w:val="fr-CA"/>
        </w:rPr>
        <w:t xml:space="preserve"> $US par kg PAO de consommation dépassant la quantité précisée à la ligne 1.2 de l’Appendice 2-A pour chaque année de non-conformité à l’objectif précisé à la ligne 1.2 de l’Appendice 2-A, étant entendu que la réduction maximum du financement ne dépassera pas le niveau de financement de la tranche demandé. Des mesures supplémentaires pourront s’appliquer si la situation de non-conformité atteint deux années consécutives.</w:t>
      </w:r>
    </w:p>
    <w:p w14:paraId="59D382C9" w14:textId="77777777" w:rsidR="001067DD" w:rsidRDefault="001067DD" w:rsidP="001067DD">
      <w:pPr>
        <w:pStyle w:val="Heading1"/>
        <w:numPr>
          <w:ilvl w:val="0"/>
          <w:numId w:val="23"/>
        </w:numPr>
        <w:rPr>
          <w:lang w:val="fr-CA"/>
        </w:rPr>
      </w:pPr>
      <w:r w:rsidRPr="003B4169">
        <w:rPr>
          <w:lang w:val="fr-CA"/>
        </w:rPr>
        <w:t xml:space="preserve">Si la pénalité doit être appliquée au cours d’une année où deux accords assortis de pénalités différentes sont en vigueur (mise en œuvre en parallèle de deux phases du PGEH), l’application de la pénalité </w:t>
      </w:r>
      <w:proofErr w:type="gramStart"/>
      <w:r w:rsidRPr="003B4169">
        <w:rPr>
          <w:lang w:val="fr-CA"/>
        </w:rPr>
        <w:t>sera</w:t>
      </w:r>
      <w:proofErr w:type="gramEnd"/>
      <w:r w:rsidRPr="003B4169">
        <w:rPr>
          <w:lang w:val="fr-CA"/>
        </w:rPr>
        <w:t xml:space="preserve"> déterminée au cas par cas en tenant compte du secteur en particulier responsable de la non-conformité. S’il est impossible de déterminer ce secteur ou que les deux étapes portent sur le même secteur, la pénalité la plus élevée sera appliquée.</w:t>
      </w:r>
    </w:p>
    <w:p w14:paraId="224D38DB" w14:textId="77777777" w:rsidR="001067DD" w:rsidRDefault="001067DD" w:rsidP="001067D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4"/>
        <w:gridCol w:w="1895"/>
        <w:gridCol w:w="1895"/>
        <w:gridCol w:w="1895"/>
        <w:gridCol w:w="1896"/>
      </w:tblGrid>
      <w:tr w:rsidR="005A5DA6" w:rsidRPr="001067DD" w14:paraId="10C0CEC0" w14:textId="77777777" w:rsidTr="001067DD">
        <w:tc>
          <w:tcPr>
            <w:tcW w:w="1894" w:type="dxa"/>
          </w:tcPr>
          <w:p w14:paraId="14953C39" w14:textId="77777777" w:rsidR="005A5DA6" w:rsidRPr="001067DD" w:rsidRDefault="005A5DA6" w:rsidP="00905DA5">
            <w:pPr>
              <w:suppressAutoHyphens/>
              <w:rPr>
                <w:lang w:val="fr-CA"/>
              </w:rPr>
            </w:pPr>
          </w:p>
        </w:tc>
        <w:tc>
          <w:tcPr>
            <w:tcW w:w="1895" w:type="dxa"/>
          </w:tcPr>
          <w:p w14:paraId="3C3425E8" w14:textId="77777777" w:rsidR="005A5DA6" w:rsidRPr="001067DD" w:rsidRDefault="005A5DA6" w:rsidP="00905DA5">
            <w:pPr>
              <w:suppressAutoHyphens/>
              <w:rPr>
                <w:lang w:val="fr-CA"/>
              </w:rPr>
            </w:pPr>
          </w:p>
        </w:tc>
        <w:tc>
          <w:tcPr>
            <w:tcW w:w="1895" w:type="dxa"/>
            <w:tcBorders>
              <w:bottom w:val="single" w:sz="4" w:space="0" w:color="auto"/>
            </w:tcBorders>
          </w:tcPr>
          <w:p w14:paraId="379F0EE5" w14:textId="77777777" w:rsidR="005A5DA6" w:rsidRPr="001067DD" w:rsidRDefault="005A5DA6" w:rsidP="00905DA5">
            <w:pPr>
              <w:suppressAutoHyphens/>
              <w:rPr>
                <w:lang w:val="fr-CA"/>
              </w:rPr>
            </w:pPr>
          </w:p>
        </w:tc>
        <w:tc>
          <w:tcPr>
            <w:tcW w:w="1895" w:type="dxa"/>
          </w:tcPr>
          <w:p w14:paraId="6C0B4A52" w14:textId="77777777" w:rsidR="005A5DA6" w:rsidRPr="001067DD" w:rsidRDefault="005A5DA6" w:rsidP="00905DA5">
            <w:pPr>
              <w:suppressAutoHyphens/>
              <w:rPr>
                <w:lang w:val="fr-CA"/>
              </w:rPr>
            </w:pPr>
          </w:p>
        </w:tc>
        <w:tc>
          <w:tcPr>
            <w:tcW w:w="1896" w:type="dxa"/>
          </w:tcPr>
          <w:p w14:paraId="082F118C" w14:textId="77777777" w:rsidR="005A5DA6" w:rsidRPr="001067DD" w:rsidRDefault="005A5DA6" w:rsidP="00905DA5">
            <w:pPr>
              <w:suppressAutoHyphens/>
              <w:rPr>
                <w:lang w:val="fr-CA"/>
              </w:rPr>
            </w:pPr>
          </w:p>
        </w:tc>
      </w:tr>
    </w:tbl>
    <w:p w14:paraId="4FC859A4" w14:textId="77777777" w:rsidR="005A5DA6" w:rsidRPr="001067DD" w:rsidRDefault="005A5DA6" w:rsidP="005A5DA6">
      <w:pPr>
        <w:suppressAutoHyphens/>
        <w:rPr>
          <w:lang w:val="fr-CA"/>
        </w:rPr>
      </w:pPr>
    </w:p>
    <w:p w14:paraId="56E52AA9" w14:textId="37F88427" w:rsidR="00470284" w:rsidRPr="001067DD" w:rsidRDefault="00470284" w:rsidP="005A5DA6">
      <w:pPr>
        <w:suppressAutoHyphens/>
        <w:jc w:val="center"/>
        <w:rPr>
          <w:lang w:val="fr-CA"/>
        </w:rPr>
      </w:pPr>
    </w:p>
    <w:sectPr w:rsidR="00470284" w:rsidRPr="001067DD" w:rsidSect="00863CA3">
      <w:headerReference w:type="even" r:id="rId17"/>
      <w:headerReference w:type="default" r:id="rId18"/>
      <w:footerReference w:type="even" r:id="rId19"/>
      <w:footerReference w:type="default" r:id="rId20"/>
      <w:headerReference w:type="first" r:id="rId21"/>
      <w:footerReference w:type="first" r:id="rId22"/>
      <w:pgSz w:w="12240" w:h="15840" w:code="1"/>
      <w:pgMar w:top="720" w:right="1325" w:bottom="864" w:left="1440" w:header="720" w:footer="47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D7DE" w14:textId="77777777" w:rsidR="00296384" w:rsidRDefault="00296384" w:rsidP="004A504B">
      <w:r>
        <w:separator/>
      </w:r>
    </w:p>
  </w:endnote>
  <w:endnote w:type="continuationSeparator" w:id="0">
    <w:p w14:paraId="1D5BDB60" w14:textId="77777777" w:rsidR="00296384" w:rsidRDefault="00296384" w:rsidP="004A504B">
      <w:r>
        <w:continuationSeparator/>
      </w:r>
    </w:p>
  </w:endnote>
  <w:endnote w:type="continuationNotice" w:id="1">
    <w:p w14:paraId="3F533937" w14:textId="77777777" w:rsidR="00296384" w:rsidRDefault="00296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5136" w14:textId="59957AEC" w:rsidR="00007D87" w:rsidRPr="0033525D" w:rsidRDefault="00007D87">
    <w:pPr>
      <w:jc w:val="center"/>
    </w:pPr>
    <w:r>
      <w:fldChar w:fldCharType="begin"/>
    </w:r>
    <w:r>
      <w:instrText xml:space="preserve"> PAGE </w:instrText>
    </w:r>
    <w:r>
      <w:fldChar w:fldCharType="separate"/>
    </w:r>
    <w:r w:rsidR="0037339A">
      <w:rPr>
        <w:noProof/>
      </w:rPr>
      <w:t>10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944" w14:textId="5B3F9E13" w:rsidR="00007D87" w:rsidRPr="0033525D" w:rsidRDefault="00007D87" w:rsidP="002A3228">
    <w:pPr>
      <w:tabs>
        <w:tab w:val="center" w:pos="4737"/>
        <w:tab w:val="left" w:pos="5482"/>
      </w:tabs>
      <w:jc w:val="left"/>
    </w:pPr>
    <w:r>
      <w:tab/>
    </w:r>
    <w:r>
      <w:fldChar w:fldCharType="begin"/>
    </w:r>
    <w:r>
      <w:instrText xml:space="preserve"> PAGE </w:instrText>
    </w:r>
    <w:r>
      <w:fldChar w:fldCharType="separate"/>
    </w:r>
    <w:r w:rsidR="0037339A">
      <w:rPr>
        <w:noProof/>
      </w:rPr>
      <w:t>11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41941" w14:textId="77777777" w:rsidR="00007D87" w:rsidRDefault="00007D87" w:rsidP="00014227">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5571B48C" w14:textId="1D69CA80" w:rsidR="00007D87" w:rsidRPr="00014227" w:rsidRDefault="00007D87" w:rsidP="00014227">
    <w:pPr>
      <w:pBdr>
        <w:top w:val="single" w:sz="4" w:space="1" w:color="auto"/>
        <w:left w:val="single" w:sz="4" w:space="4" w:color="auto"/>
        <w:bottom w:val="single" w:sz="4" w:space="1" w:color="auto"/>
        <w:right w:val="single" w:sz="4" w:space="4" w:color="auto"/>
      </w:pBdr>
      <w:jc w:val="center"/>
      <w:rPr>
        <w:sz w:val="18"/>
        <w:szCs w:val="18"/>
        <w:lang w:val="fr-CA"/>
      </w:rPr>
    </w:pPr>
    <w:r>
      <w:rPr>
        <w:rFonts w:cs="MS Serif"/>
        <w:sz w:val="20"/>
        <w:lang w:val="fr-FR"/>
      </w:rPr>
      <w:t>Montréal sont présentés sous réserve des décisions pouvant être prises par le Comité exécutif après leur publication</w:t>
    </w:r>
    <w:r w:rsidRPr="008B5CB2">
      <w:rPr>
        <w:sz w:val="18"/>
        <w:szCs w:val="18"/>
        <w:lang w:val="fr-CA"/>
      </w:rPr>
      <w:t>.</w:t>
    </w:r>
  </w:p>
  <w:p w14:paraId="062849A3" w14:textId="77777777" w:rsidR="00007D87" w:rsidRPr="00014227" w:rsidRDefault="00007D87" w:rsidP="004E7F9C">
    <w:pPr>
      <w:pBdr>
        <w:top w:val="single" w:sz="4" w:space="1" w:color="auto"/>
        <w:left w:val="single" w:sz="4" w:space="4" w:color="auto"/>
        <w:bottom w:val="single" w:sz="4" w:space="1" w:color="auto"/>
        <w:right w:val="single" w:sz="4" w:space="4" w:color="auto"/>
      </w:pBdr>
      <w:jc w:val="center"/>
      <w:rPr>
        <w:sz w:val="18"/>
        <w:szCs w:val="18"/>
        <w:lang w:val="fr-C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BA57" w14:textId="7736CE8E" w:rsidR="001067DD" w:rsidRPr="0033525D" w:rsidRDefault="001067DD">
    <w:pPr>
      <w:jc w:val="center"/>
    </w:pPr>
    <w:r>
      <w:fldChar w:fldCharType="begin"/>
    </w:r>
    <w:r>
      <w:instrText xml:space="preserve"> PAGE </w:instrText>
    </w:r>
    <w:r>
      <w:fldChar w:fldCharType="separate"/>
    </w:r>
    <w:r w:rsidR="0037339A">
      <w:rPr>
        <w:noProof/>
      </w:rPr>
      <w:t>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44D4" w14:textId="5A19A2CC" w:rsidR="001067DD" w:rsidRPr="0033525D" w:rsidRDefault="001067DD" w:rsidP="002A3228">
    <w:pPr>
      <w:tabs>
        <w:tab w:val="center" w:pos="4737"/>
        <w:tab w:val="left" w:pos="5482"/>
      </w:tabs>
      <w:jc w:val="left"/>
    </w:pPr>
    <w:r>
      <w:tab/>
    </w:r>
    <w:r>
      <w:fldChar w:fldCharType="begin"/>
    </w:r>
    <w:r>
      <w:instrText xml:space="preserve"> PAGE </w:instrText>
    </w:r>
    <w:r>
      <w:fldChar w:fldCharType="separate"/>
    </w:r>
    <w:r w:rsidR="0037339A">
      <w:rPr>
        <w:noProof/>
      </w:rPr>
      <w:t>7</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15990"/>
      <w:docPartObj>
        <w:docPartGallery w:val="Page Numbers (Bottom of Page)"/>
        <w:docPartUnique/>
      </w:docPartObj>
    </w:sdtPr>
    <w:sdtEndPr>
      <w:rPr>
        <w:noProof/>
      </w:rPr>
    </w:sdtEndPr>
    <w:sdtContent>
      <w:p w14:paraId="4CAFF698" w14:textId="2C46EDCE" w:rsidR="0003623E" w:rsidRDefault="0003623E">
        <w:pPr>
          <w:pStyle w:val="Footer"/>
          <w:jc w:val="center"/>
        </w:pPr>
        <w:r>
          <w:fldChar w:fldCharType="begin"/>
        </w:r>
        <w:r>
          <w:instrText xml:space="preserve"> PAGE   \* MERGEFORMAT </w:instrText>
        </w:r>
        <w:r>
          <w:fldChar w:fldCharType="separate"/>
        </w:r>
        <w:r w:rsidR="003733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26A2" w14:textId="77777777" w:rsidR="00296384" w:rsidRDefault="00296384" w:rsidP="004A504B">
      <w:r>
        <w:separator/>
      </w:r>
    </w:p>
  </w:footnote>
  <w:footnote w:type="continuationSeparator" w:id="0">
    <w:p w14:paraId="7F903050" w14:textId="77777777" w:rsidR="00296384" w:rsidRDefault="00296384" w:rsidP="004A504B">
      <w:r>
        <w:continuationSeparator/>
      </w:r>
    </w:p>
  </w:footnote>
  <w:footnote w:type="continuationNotice" w:id="1">
    <w:p w14:paraId="14EB750A" w14:textId="77777777" w:rsidR="00296384" w:rsidRDefault="00296384"/>
  </w:footnote>
  <w:footnote w:id="2">
    <w:p w14:paraId="6D8EFEAE" w14:textId="7EED664E" w:rsidR="00007D87" w:rsidRPr="006A34FE" w:rsidRDefault="00007D87" w:rsidP="00014227">
      <w:pPr>
        <w:pStyle w:val="FootnoteText"/>
        <w:rPr>
          <w:lang w:val="fr-CA"/>
        </w:rPr>
      </w:pPr>
      <w:r>
        <w:rPr>
          <w:rStyle w:val="FootnoteReference"/>
        </w:rPr>
        <w:footnoteRef/>
      </w:r>
      <w:r w:rsidRPr="006A34FE">
        <w:rPr>
          <w:lang w:val="fr-CA"/>
        </w:rPr>
        <w:t xml:space="preserve"> Les r</w:t>
      </w:r>
      <w:r>
        <w:rPr>
          <w:lang w:val="fr-CA"/>
        </w:rPr>
        <w:t>é</w:t>
      </w:r>
      <w:r w:rsidRPr="006A34FE">
        <w:rPr>
          <w:lang w:val="fr-CA"/>
        </w:rPr>
        <w:t xml:space="preserve">unions et le processus d’approbation intersessions se </w:t>
      </w:r>
      <w:r>
        <w:rPr>
          <w:lang w:val="fr-CA"/>
        </w:rPr>
        <w:t>dérouleront en ligne en n</w:t>
      </w:r>
      <w:r w:rsidRPr="006A34FE">
        <w:rPr>
          <w:lang w:val="fr-CA"/>
        </w:rPr>
        <w:t xml:space="preserve">ovembre et en décembre </w:t>
      </w:r>
      <w:r>
        <w:rPr>
          <w:lang w:val="fr-CA"/>
        </w:rPr>
        <w:t>à cause du coronavirus (COVID-19)</w:t>
      </w:r>
    </w:p>
    <w:p w14:paraId="21CD5D50" w14:textId="77777777" w:rsidR="00007D87" w:rsidRPr="006A34FE" w:rsidRDefault="00007D87" w:rsidP="00014227">
      <w:pPr>
        <w:pStyle w:val="FootnoteText"/>
        <w:rPr>
          <w:lang w:val="fr-CA"/>
        </w:rPr>
      </w:pPr>
    </w:p>
  </w:footnote>
  <w:footnote w:id="3">
    <w:p w14:paraId="26AE0084" w14:textId="357386A4" w:rsidR="00007D87" w:rsidRPr="00CC1A5F" w:rsidRDefault="00007D87" w:rsidP="0039451D">
      <w:pPr>
        <w:pStyle w:val="FootnoteText"/>
        <w:rPr>
          <w:lang w:val="fr-CA"/>
        </w:rPr>
      </w:pPr>
      <w:r>
        <w:rPr>
          <w:rStyle w:val="FootnoteReference"/>
        </w:rPr>
        <w:footnoteRef/>
      </w:r>
      <w:r w:rsidRPr="00CC1A5F">
        <w:rPr>
          <w:lang w:val="fr-CA"/>
        </w:rPr>
        <w:t xml:space="preserve"> </w:t>
      </w:r>
      <w:r>
        <w:rPr>
          <w:lang w:val="fr-CA"/>
        </w:rPr>
        <w:t>Lettre du 30 juin 2021 du ministère de l’Agriculture et de l’Environnement de Cabo Verde au PNUE</w:t>
      </w:r>
      <w:r w:rsidRPr="00CC1A5F">
        <w:rPr>
          <w:lang w:val="fr-CA"/>
        </w:rPr>
        <w:t>.</w:t>
      </w:r>
    </w:p>
  </w:footnote>
  <w:footnote w:id="4">
    <w:p w14:paraId="0D12B9B7" w14:textId="69E899EA" w:rsidR="00007D87" w:rsidRPr="00CC1A5F" w:rsidRDefault="00007D87" w:rsidP="00A51F1A">
      <w:pPr>
        <w:pStyle w:val="ListParagraph"/>
        <w:ind w:left="0"/>
        <w:rPr>
          <w:sz w:val="20"/>
          <w:szCs w:val="20"/>
          <w:lang w:val="fr-CA"/>
        </w:rPr>
      </w:pPr>
      <w:r w:rsidRPr="00CC1A5F">
        <w:rPr>
          <w:rStyle w:val="FootnoteReference"/>
          <w:sz w:val="20"/>
          <w:szCs w:val="20"/>
          <w:lang w:val="fr-CA"/>
        </w:rPr>
        <w:footnoteRef/>
      </w:r>
      <w:r w:rsidRPr="00CC1A5F">
        <w:rPr>
          <w:sz w:val="20"/>
          <w:szCs w:val="20"/>
          <w:lang w:val="fr-CA"/>
        </w:rPr>
        <w:t xml:space="preserve"> UNEP/OzL.Pro/ExCom/64/27, annexe IX au document UNEP/OzL.Pro/ExCom/64/53</w:t>
      </w:r>
    </w:p>
  </w:footnote>
  <w:footnote w:id="5">
    <w:p w14:paraId="3B865285" w14:textId="09140387" w:rsidR="00007D87" w:rsidRPr="00CC1A5F" w:rsidRDefault="00007D87">
      <w:pPr>
        <w:pStyle w:val="FootnoteText"/>
        <w:rPr>
          <w:lang w:val="fr-CA"/>
        </w:rPr>
      </w:pPr>
      <w:r w:rsidRPr="00CC1A5F">
        <w:rPr>
          <w:rStyle w:val="FootnoteReference"/>
          <w:lang w:val="fr-CA"/>
        </w:rPr>
        <w:footnoteRef/>
      </w:r>
      <w:r w:rsidRPr="00CC1A5F">
        <w:rPr>
          <w:lang w:val="fr-CA"/>
        </w:rPr>
        <w:t xml:space="preserve"> L</w:t>
      </w:r>
      <w:r>
        <w:rPr>
          <w:lang w:val="fr-CA"/>
        </w:rPr>
        <w:t>a diffé</w:t>
      </w:r>
      <w:r w:rsidRPr="00CC1A5F">
        <w:rPr>
          <w:lang w:val="fr-CA"/>
        </w:rPr>
        <w:t xml:space="preserve">rence entre la </w:t>
      </w:r>
      <w:r>
        <w:rPr>
          <w:lang w:val="fr-CA"/>
        </w:rPr>
        <w:t>conso</w:t>
      </w:r>
      <w:r w:rsidRPr="00CC1A5F">
        <w:rPr>
          <w:lang w:val="fr-CA"/>
        </w:rPr>
        <w:t xml:space="preserve">mmation de </w:t>
      </w:r>
      <w:r>
        <w:rPr>
          <w:lang w:val="fr-CA"/>
        </w:rPr>
        <w:t>réfé</w:t>
      </w:r>
      <w:r w:rsidRPr="00CC1A5F">
        <w:rPr>
          <w:lang w:val="fr-CA"/>
        </w:rPr>
        <w:t xml:space="preserve">rence </w:t>
      </w:r>
      <w:r>
        <w:rPr>
          <w:lang w:val="fr-CA"/>
        </w:rPr>
        <w:t>et le point de départ pour les</w:t>
      </w:r>
      <w:r w:rsidRPr="00CC1A5F">
        <w:rPr>
          <w:lang w:val="fr-CA"/>
        </w:rPr>
        <w:t xml:space="preserve"> HCFC </w:t>
      </w:r>
      <w:r>
        <w:rPr>
          <w:lang w:val="fr-CA"/>
        </w:rPr>
        <w:t>a été présentée aux paragraphes 11 et 12 du document</w:t>
      </w:r>
      <w:r w:rsidRPr="00CC1A5F">
        <w:rPr>
          <w:lang w:val="fr-CA"/>
        </w:rPr>
        <w:t xml:space="preserve"> UNEP/OzL.Pro/ExCom/64/27</w:t>
      </w:r>
    </w:p>
  </w:footnote>
  <w:footnote w:id="6">
    <w:p w14:paraId="50477F0C" w14:textId="3DE4E837" w:rsidR="00007D87" w:rsidRPr="00004B0D" w:rsidRDefault="00007D87" w:rsidP="00EB31E3">
      <w:pPr>
        <w:pStyle w:val="FootnoteText"/>
        <w:rPr>
          <w:lang w:val="fr-CA"/>
        </w:rPr>
      </w:pPr>
      <w:r>
        <w:rPr>
          <w:rStyle w:val="FootnoteReference"/>
        </w:rPr>
        <w:footnoteRef/>
      </w:r>
      <w:r w:rsidRPr="00004B0D">
        <w:rPr>
          <w:lang w:val="fr-CA"/>
        </w:rPr>
        <w:t xml:space="preserve"> </w:t>
      </w:r>
      <w:r>
        <w:rPr>
          <w:lang w:val="fr-CA"/>
        </w:rPr>
        <w:t>Dans sa décision 84/92 d)</w:t>
      </w:r>
      <w:r w:rsidR="007D6880">
        <w:rPr>
          <w:lang w:val="fr-CA"/>
        </w:rPr>
        <w:t>,</w:t>
      </w:r>
      <w:r>
        <w:rPr>
          <w:lang w:val="fr-CA"/>
        </w:rPr>
        <w:t xml:space="preserve"> le Comité exécutif demande aux agences bilatérales et d’exécution d’appliquer la politique opérationnelle sur l’intégration de l’égalité des sexes tout au long du cycle des projets</w:t>
      </w:r>
      <w:r w:rsidRPr="00004B0D">
        <w:rPr>
          <w:lang w:val="fr-CA"/>
        </w:rPr>
        <w:t>.</w:t>
      </w:r>
    </w:p>
  </w:footnote>
  <w:footnote w:id="7">
    <w:p w14:paraId="40E446D7" w14:textId="3E7E83CD" w:rsidR="00007D87" w:rsidRPr="006906CA" w:rsidRDefault="00007D87" w:rsidP="00EC48B9">
      <w:pPr>
        <w:pStyle w:val="FootnoteText"/>
        <w:rPr>
          <w:lang w:val="fr-CA"/>
        </w:rPr>
      </w:pPr>
      <w:r>
        <w:rPr>
          <w:rStyle w:val="FootnoteReference"/>
        </w:rPr>
        <w:footnoteRef/>
      </w:r>
      <w:r w:rsidRPr="006906CA">
        <w:rPr>
          <w:lang w:val="fr-CA"/>
        </w:rPr>
        <w:t xml:space="preserve"> </w:t>
      </w:r>
      <w:r>
        <w:rPr>
          <w:lang w:val="fr-CA"/>
        </w:rPr>
        <w:t>La consommation de HCFC peut être supérieure à zéro pour une année donnée en autant que la somme des niveaux de consommation calculés sur la période de dix ans débutant le 1</w:t>
      </w:r>
      <w:r w:rsidRPr="006906CA">
        <w:rPr>
          <w:vertAlign w:val="superscript"/>
          <w:lang w:val="fr-CA"/>
        </w:rPr>
        <w:t>er</w:t>
      </w:r>
      <w:r>
        <w:rPr>
          <w:lang w:val="fr-CA"/>
        </w:rPr>
        <w:t xml:space="preserve"> janvier 2030 et prenant fin le 1</w:t>
      </w:r>
      <w:r w:rsidRPr="006906CA">
        <w:rPr>
          <w:vertAlign w:val="superscript"/>
          <w:lang w:val="fr-CA"/>
        </w:rPr>
        <w:t>er</w:t>
      </w:r>
      <w:r>
        <w:rPr>
          <w:lang w:val="fr-CA"/>
        </w:rPr>
        <w:t xml:space="preserve"> janvier 2040 divisée par 10 ne dépasse pas 2,5 pour cent de la valeur de référence des HCFC</w:t>
      </w:r>
      <w:r w:rsidRPr="006906CA">
        <w:rPr>
          <w:lang w:val="fr-CA"/>
        </w:rPr>
        <w:t>.</w:t>
      </w:r>
    </w:p>
  </w:footnote>
  <w:footnote w:id="8">
    <w:p w14:paraId="3E3D75EE" w14:textId="4A4B889F" w:rsidR="00007D87" w:rsidRPr="009967AF" w:rsidRDefault="00007D87" w:rsidP="00DC0644">
      <w:pPr>
        <w:pStyle w:val="FootnoteText"/>
        <w:rPr>
          <w:lang w:val="fr-CA"/>
        </w:rPr>
      </w:pPr>
      <w:r w:rsidRPr="00024801">
        <w:rPr>
          <w:rStyle w:val="FootnoteReference"/>
        </w:rPr>
        <w:footnoteRef/>
      </w:r>
      <w:r w:rsidRPr="009967AF">
        <w:rPr>
          <w:lang w:val="fr-CA"/>
        </w:rPr>
        <w:t xml:space="preserve"> </w:t>
      </w:r>
      <w:r>
        <w:rPr>
          <w:lang w:val="fr-CA"/>
        </w:rPr>
        <w:t>Le Secrétariat a précisé que la décision 74/50 est fondée sur les points de départ de la réduction globale et non sur les valeurs de référence aux fins de conformité, c’est-à-dire 0,25 tonne PAO au lieu de 1,1 tonne PAO dans le cas de Cabo Verde. Par conséquent, le financement correspondant de l’élimination complète des HCFC à Cabo Verde est inférieur à la somme demandée à l’origine</w:t>
      </w:r>
      <w:r w:rsidRPr="009967AF">
        <w:rPr>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D5D4" w14:textId="5615986F" w:rsidR="00007D87" w:rsidRPr="0033525D" w:rsidRDefault="00007D87">
    <w:r>
      <w:fldChar w:fldCharType="begin"/>
    </w:r>
    <w:r>
      <w:instrText xml:space="preserve"> DOCPROPERTY "Document number"  \* MERGEFORMAT </w:instrText>
    </w:r>
    <w:r>
      <w:fldChar w:fldCharType="separate"/>
    </w:r>
    <w:r w:rsidR="005A5DA6">
      <w:t>UNEP/</w:t>
    </w:r>
    <w:proofErr w:type="spellStart"/>
    <w:r w:rsidR="005A5DA6">
      <w:t>OzL.Pro</w:t>
    </w:r>
    <w:proofErr w:type="spellEnd"/>
    <w:r w:rsidR="005A5DA6">
      <w:t>/</w:t>
    </w:r>
    <w:proofErr w:type="spellStart"/>
    <w:r w:rsidR="005A5DA6">
      <w:t>ExCom</w:t>
    </w:r>
    <w:proofErr w:type="spellEnd"/>
    <w:r w:rsidR="005A5DA6">
      <w:t>/88/40</w:t>
    </w:r>
    <w:r>
      <w:fldChar w:fldCharType="end"/>
    </w:r>
  </w:p>
  <w:p w14:paraId="6FC0186E" w14:textId="77777777" w:rsidR="00007D87" w:rsidRPr="0033525D" w:rsidRDefault="00007D87"/>
  <w:p w14:paraId="37761BE3" w14:textId="77777777" w:rsidR="00007D87" w:rsidRPr="0033525D" w:rsidRDefault="00007D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5F25" w14:textId="0D407D44" w:rsidR="00007D87" w:rsidRPr="0033525D" w:rsidRDefault="000969C7">
    <w:pPr>
      <w:jc w:val="right"/>
    </w:pPr>
    <w:r>
      <w:fldChar w:fldCharType="begin"/>
    </w:r>
    <w:r>
      <w:instrText xml:space="preserve"> DOCPROPERTY "Document number"  \* MERGEFORMAT </w:instrText>
    </w:r>
    <w:r>
      <w:fldChar w:fldCharType="separate"/>
    </w:r>
    <w:r w:rsidR="005A5DA6">
      <w:t>UNEP/</w:t>
    </w:r>
    <w:proofErr w:type="spellStart"/>
    <w:r w:rsidR="005A5DA6">
      <w:t>OzL.Pro</w:t>
    </w:r>
    <w:proofErr w:type="spellEnd"/>
    <w:r w:rsidR="005A5DA6">
      <w:t>/</w:t>
    </w:r>
    <w:proofErr w:type="spellStart"/>
    <w:r w:rsidR="005A5DA6">
      <w:t>ExCom</w:t>
    </w:r>
    <w:proofErr w:type="spellEnd"/>
    <w:r w:rsidR="005A5DA6">
      <w:t>/88/40</w:t>
    </w:r>
    <w:r>
      <w:fldChar w:fldCharType="end"/>
    </w:r>
  </w:p>
  <w:p w14:paraId="7C8BF89D" w14:textId="172D50FA" w:rsidR="00007D87" w:rsidRPr="0033525D" w:rsidRDefault="00007D87" w:rsidP="00863CA3">
    <w:pPr>
      <w:pStyle w:val="Header"/>
    </w:pPr>
    <w:r>
      <w:tab/>
    </w:r>
    <w:r>
      <w:tab/>
    </w:r>
  </w:p>
  <w:p w14:paraId="20CD87A3" w14:textId="77777777" w:rsidR="00007D87" w:rsidRPr="0033525D" w:rsidRDefault="00007D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C3C4" w14:textId="40A9D0C7" w:rsidR="0003623E" w:rsidRPr="0033525D" w:rsidRDefault="00D134AC">
    <w:r>
      <w:fldChar w:fldCharType="begin"/>
    </w:r>
    <w:r>
      <w:instrText xml:space="preserve"> DOCPROPERTY "Document number"  \* MERGEFORMAT </w:instrText>
    </w:r>
    <w:r>
      <w:fldChar w:fldCharType="separate"/>
    </w:r>
    <w:r w:rsidR="005A5DA6">
      <w:t>UNEP/</w:t>
    </w:r>
    <w:proofErr w:type="spellStart"/>
    <w:r w:rsidR="005A5DA6">
      <w:t>OzL.Pro</w:t>
    </w:r>
    <w:proofErr w:type="spellEnd"/>
    <w:r w:rsidR="005A5DA6">
      <w:t>/</w:t>
    </w:r>
    <w:proofErr w:type="spellStart"/>
    <w:r w:rsidR="005A5DA6">
      <w:t>ExCom</w:t>
    </w:r>
    <w:proofErr w:type="spellEnd"/>
    <w:r w:rsidR="005A5DA6">
      <w:t>/88/40</w:t>
    </w:r>
    <w:r>
      <w:fldChar w:fldCharType="end"/>
    </w:r>
  </w:p>
  <w:p w14:paraId="7B1A1236" w14:textId="6916E21B" w:rsidR="0003623E" w:rsidRDefault="0003623E" w:rsidP="00863CA3">
    <w:pPr>
      <w:pStyle w:val="Header"/>
    </w:pPr>
    <w:r>
      <w:t>Annex</w:t>
    </w:r>
    <w:r w:rsidR="001067DD">
      <w:t>e</w:t>
    </w:r>
    <w:r>
      <w:t xml:space="preserve"> I</w:t>
    </w:r>
  </w:p>
  <w:p w14:paraId="3239A3EB" w14:textId="77777777" w:rsidR="0003623E" w:rsidRPr="0033525D" w:rsidRDefault="0003623E" w:rsidP="002A3228">
    <w:pPr>
      <w:tabs>
        <w:tab w:val="left" w:pos="1040"/>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A445" w14:textId="77777777" w:rsidR="0003623E" w:rsidRPr="0033525D" w:rsidRDefault="00D134AC">
    <w:pPr>
      <w:jc w:val="right"/>
    </w:pPr>
    <w:r>
      <w:fldChar w:fldCharType="begin"/>
    </w:r>
    <w:r>
      <w:instrText xml:space="preserve"> DOCPROPERTY "Document number"  \* MERGEFORMAT </w:instrText>
    </w:r>
    <w:r>
      <w:fldChar w:fldCharType="separate"/>
    </w:r>
    <w:r w:rsidR="0003623E">
      <w:t>UNEP/</w:t>
    </w:r>
    <w:proofErr w:type="spellStart"/>
    <w:r w:rsidR="0003623E">
      <w:t>OzL.Pro</w:t>
    </w:r>
    <w:proofErr w:type="spellEnd"/>
    <w:r w:rsidR="0003623E">
      <w:t>/</w:t>
    </w:r>
    <w:proofErr w:type="spellStart"/>
    <w:r w:rsidR="0003623E">
      <w:t>ExCom</w:t>
    </w:r>
    <w:proofErr w:type="spellEnd"/>
    <w:r w:rsidR="0003623E">
      <w:t>/88/40</w:t>
    </w:r>
    <w:r>
      <w:fldChar w:fldCharType="end"/>
    </w:r>
  </w:p>
  <w:p w14:paraId="61A0C7AD" w14:textId="2381FA3F" w:rsidR="0003623E" w:rsidRDefault="0003623E" w:rsidP="0049322F">
    <w:pPr>
      <w:pStyle w:val="Header"/>
      <w:jc w:val="right"/>
    </w:pPr>
    <w:r>
      <w:tab/>
    </w:r>
    <w:r>
      <w:tab/>
      <w:t>Annex</w:t>
    </w:r>
    <w:r w:rsidR="001067DD">
      <w:t>e</w:t>
    </w:r>
    <w:r>
      <w:t xml:space="preserve"> I</w:t>
    </w:r>
  </w:p>
  <w:p w14:paraId="0FB3BCFD" w14:textId="77777777" w:rsidR="0003623E" w:rsidRPr="0033525D" w:rsidRDefault="0003623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487F" w14:textId="531BBF20" w:rsidR="0003623E" w:rsidRPr="0033525D" w:rsidRDefault="00D134AC" w:rsidP="00863CA3">
    <w:pPr>
      <w:ind w:left="5760" w:firstLine="903"/>
    </w:pPr>
    <w:r>
      <w:fldChar w:fldCharType="begin"/>
    </w:r>
    <w:r>
      <w:instrText xml:space="preserve"> DOCPROPERTY "Document number"  \* MERGEFORMAT </w:instrText>
    </w:r>
    <w:r>
      <w:fldChar w:fldCharType="separate"/>
    </w:r>
    <w:r w:rsidR="005A5DA6">
      <w:t>UNEP/</w:t>
    </w:r>
    <w:proofErr w:type="spellStart"/>
    <w:r w:rsidR="005A5DA6">
      <w:t>OzL.Pro</w:t>
    </w:r>
    <w:proofErr w:type="spellEnd"/>
    <w:r w:rsidR="005A5DA6">
      <w:t>/</w:t>
    </w:r>
    <w:proofErr w:type="spellStart"/>
    <w:r w:rsidR="005A5DA6">
      <w:t>ExCom</w:t>
    </w:r>
    <w:proofErr w:type="spellEnd"/>
    <w:r w:rsidR="005A5DA6">
      <w:t>/88/40</w:t>
    </w:r>
    <w:r>
      <w:fldChar w:fldCharType="end"/>
    </w:r>
  </w:p>
  <w:p w14:paraId="60D11F41" w14:textId="77777777" w:rsidR="0003623E" w:rsidRPr="0033525D" w:rsidRDefault="0003623E" w:rsidP="00863CA3">
    <w:pPr>
      <w:ind w:left="7920" w:firstLine="720"/>
    </w:pPr>
    <w:r>
      <w:t>Annex I</w:t>
    </w:r>
  </w:p>
  <w:p w14:paraId="51A8E8C3" w14:textId="77777777" w:rsidR="0003623E" w:rsidRDefault="0003623E">
    <w:pPr>
      <w:pStyle w:val="Header"/>
    </w:pPr>
  </w:p>
  <w:p w14:paraId="57F66D1C" w14:textId="77777777" w:rsidR="0003623E" w:rsidRDefault="000362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B6643E4"/>
    <w:lvl w:ilvl="0">
      <w:start w:val="1"/>
      <w:numFmt w:val="decimal"/>
      <w:lvlText w:val="%1."/>
      <w:lvlJc w:val="left"/>
      <w:pPr>
        <w:tabs>
          <w:tab w:val="num" w:pos="0"/>
        </w:tabs>
        <w:ind w:left="0" w:firstLine="0"/>
      </w:pPr>
      <w:rPr>
        <w:rFonts w:ascii="Times New Roman" w:hAnsi="Times New Roman" w:hint="default"/>
        <w:b w:val="0"/>
        <w:i w:val="0"/>
        <w:sz w:val="22"/>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rPr>
    </w:lvl>
    <w:lvl w:ilvl="2">
      <w:start w:val="1"/>
      <w:numFmt w:val="lowerRoman"/>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0A12566"/>
    <w:multiLevelType w:val="hybridMultilevel"/>
    <w:tmpl w:val="32AE8504"/>
    <w:lvl w:ilvl="0" w:tplc="35BE40A6">
      <w:start w:val="6"/>
      <w:numFmt w:val="decimal"/>
      <w:lvlText w:val="%1."/>
      <w:lvlJc w:val="left"/>
      <w:pPr>
        <w:ind w:left="720" w:hanging="360"/>
      </w:pPr>
      <w:rPr>
        <w:rFonts w:ascii="Times New Roman" w:hAnsi="Times New Roman" w:hint="default"/>
        <w:b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3FC51E57"/>
    <w:multiLevelType w:val="multilevel"/>
    <w:tmpl w:val="4426B104"/>
    <w:lvl w:ilvl="0">
      <w:start w:val="2021"/>
      <w:numFmt w:val="decimal"/>
      <w:lvlText w:val="%1"/>
      <w:lvlJc w:val="left"/>
      <w:pPr>
        <w:ind w:left="975" w:hanging="975"/>
      </w:pPr>
      <w:rPr>
        <w:rFonts w:hint="default"/>
      </w:rPr>
    </w:lvl>
    <w:lvl w:ilvl="1">
      <w:start w:val="2023"/>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5C17E5"/>
    <w:multiLevelType w:val="hybridMultilevel"/>
    <w:tmpl w:val="B85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07541F"/>
    <w:multiLevelType w:val="hybridMultilevel"/>
    <w:tmpl w:val="DD0A71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6C6253"/>
    <w:multiLevelType w:val="multilevel"/>
    <w:tmpl w:val="B1E66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21"/>
  </w:num>
  <w:num w:numId="20">
    <w:abstractNumId w:val="13"/>
  </w:num>
  <w:num w:numId="21">
    <w:abstractNumId w:val="18"/>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4" w:dllVersion="6" w:nlCheck="1" w:checkStyle="0"/>
  <w:activeWritingStyle w:appName="MSWord" w:lang="en-GB" w:vendorID="64" w:dllVersion="6" w:nlCheck="1" w:checkStyle="0"/>
  <w:activeWritingStyle w:appName="MSWord" w:lang="en-US"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131078" w:nlCheck="1" w:checkStyle="0"/>
  <w:activeWritingStyle w:appName="MSWord" w:lang="en-CA" w:vendorID="64" w:dllVersion="131078" w:nlCheck="1" w:checkStyle="0"/>
  <w:activeWritingStyle w:appName="MSWord" w:lang="fr-FR" w:vendorID="64" w:dllVersion="131078" w:nlCheck="1" w:checkStyle="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NK4FANLcE7ItAAAA"/>
  </w:docVars>
  <w:rsids>
    <w:rsidRoot w:val="00A20349"/>
    <w:rsid w:val="0000012F"/>
    <w:rsid w:val="00000FED"/>
    <w:rsid w:val="0000434E"/>
    <w:rsid w:val="00004B0D"/>
    <w:rsid w:val="000075AE"/>
    <w:rsid w:val="00007D87"/>
    <w:rsid w:val="00012F0F"/>
    <w:rsid w:val="00014227"/>
    <w:rsid w:val="00014929"/>
    <w:rsid w:val="00016AE6"/>
    <w:rsid w:val="000211A9"/>
    <w:rsid w:val="00024801"/>
    <w:rsid w:val="00027872"/>
    <w:rsid w:val="00031260"/>
    <w:rsid w:val="0003623E"/>
    <w:rsid w:val="0003681A"/>
    <w:rsid w:val="000372B7"/>
    <w:rsid w:val="00037EB3"/>
    <w:rsid w:val="000504FB"/>
    <w:rsid w:val="00050F6E"/>
    <w:rsid w:val="00051A04"/>
    <w:rsid w:val="00060542"/>
    <w:rsid w:val="00061EC2"/>
    <w:rsid w:val="0006362B"/>
    <w:rsid w:val="000660E5"/>
    <w:rsid w:val="00066CE8"/>
    <w:rsid w:val="000679BC"/>
    <w:rsid w:val="00075E40"/>
    <w:rsid w:val="000772AC"/>
    <w:rsid w:val="000772CE"/>
    <w:rsid w:val="00080ED0"/>
    <w:rsid w:val="00082652"/>
    <w:rsid w:val="0008499E"/>
    <w:rsid w:val="00085B8F"/>
    <w:rsid w:val="00090481"/>
    <w:rsid w:val="00091320"/>
    <w:rsid w:val="00094429"/>
    <w:rsid w:val="000969C7"/>
    <w:rsid w:val="000A2B72"/>
    <w:rsid w:val="000A3826"/>
    <w:rsid w:val="000A6C26"/>
    <w:rsid w:val="000D09DA"/>
    <w:rsid w:val="000D2EB5"/>
    <w:rsid w:val="000D498D"/>
    <w:rsid w:val="000D52A4"/>
    <w:rsid w:val="000E07BC"/>
    <w:rsid w:val="000E6C2A"/>
    <w:rsid w:val="000E6FAF"/>
    <w:rsid w:val="000F046A"/>
    <w:rsid w:val="000F1CD4"/>
    <w:rsid w:val="000F4103"/>
    <w:rsid w:val="000F63BA"/>
    <w:rsid w:val="000F70A7"/>
    <w:rsid w:val="00104564"/>
    <w:rsid w:val="00104B69"/>
    <w:rsid w:val="001067DD"/>
    <w:rsid w:val="001113CE"/>
    <w:rsid w:val="0011395E"/>
    <w:rsid w:val="00113CCA"/>
    <w:rsid w:val="0011477A"/>
    <w:rsid w:val="001216D3"/>
    <w:rsid w:val="001218C0"/>
    <w:rsid w:val="00122F25"/>
    <w:rsid w:val="00124159"/>
    <w:rsid w:val="001243FB"/>
    <w:rsid w:val="00126172"/>
    <w:rsid w:val="00126359"/>
    <w:rsid w:val="00135980"/>
    <w:rsid w:val="0013663A"/>
    <w:rsid w:val="00144E28"/>
    <w:rsid w:val="00157C57"/>
    <w:rsid w:val="00163087"/>
    <w:rsid w:val="00164719"/>
    <w:rsid w:val="001660D6"/>
    <w:rsid w:val="00166144"/>
    <w:rsid w:val="00166A59"/>
    <w:rsid w:val="00166B46"/>
    <w:rsid w:val="00166FC4"/>
    <w:rsid w:val="001677AC"/>
    <w:rsid w:val="001713CB"/>
    <w:rsid w:val="00176F75"/>
    <w:rsid w:val="001804EA"/>
    <w:rsid w:val="0018306E"/>
    <w:rsid w:val="00190675"/>
    <w:rsid w:val="00190A61"/>
    <w:rsid w:val="00191DF3"/>
    <w:rsid w:val="001943E0"/>
    <w:rsid w:val="0019530E"/>
    <w:rsid w:val="00197D03"/>
    <w:rsid w:val="001A2215"/>
    <w:rsid w:val="001A3342"/>
    <w:rsid w:val="001A3E3D"/>
    <w:rsid w:val="001A4A9F"/>
    <w:rsid w:val="001A555A"/>
    <w:rsid w:val="001A7049"/>
    <w:rsid w:val="001B1E40"/>
    <w:rsid w:val="001B6D29"/>
    <w:rsid w:val="001C2F7F"/>
    <w:rsid w:val="001C3F99"/>
    <w:rsid w:val="001C4F69"/>
    <w:rsid w:val="001C6D94"/>
    <w:rsid w:val="001C764E"/>
    <w:rsid w:val="001D07A0"/>
    <w:rsid w:val="001E0735"/>
    <w:rsid w:val="001E1052"/>
    <w:rsid w:val="001E21B1"/>
    <w:rsid w:val="001E2BC2"/>
    <w:rsid w:val="001E2F93"/>
    <w:rsid w:val="001E37F2"/>
    <w:rsid w:val="001E41D4"/>
    <w:rsid w:val="001E4554"/>
    <w:rsid w:val="001E5D5C"/>
    <w:rsid w:val="001E5F6D"/>
    <w:rsid w:val="001E61E5"/>
    <w:rsid w:val="001F2159"/>
    <w:rsid w:val="001F2EE7"/>
    <w:rsid w:val="001F69F2"/>
    <w:rsid w:val="00204FD1"/>
    <w:rsid w:val="00207A2C"/>
    <w:rsid w:val="00210A9C"/>
    <w:rsid w:val="00210B8B"/>
    <w:rsid w:val="002136AB"/>
    <w:rsid w:val="00214863"/>
    <w:rsid w:val="002156B4"/>
    <w:rsid w:val="00215AC3"/>
    <w:rsid w:val="0021645F"/>
    <w:rsid w:val="00224FCD"/>
    <w:rsid w:val="00225D64"/>
    <w:rsid w:val="00227919"/>
    <w:rsid w:val="002309FB"/>
    <w:rsid w:val="002311A5"/>
    <w:rsid w:val="00233386"/>
    <w:rsid w:val="00234194"/>
    <w:rsid w:val="00234374"/>
    <w:rsid w:val="00234C58"/>
    <w:rsid w:val="00235077"/>
    <w:rsid w:val="00252A55"/>
    <w:rsid w:val="00253178"/>
    <w:rsid w:val="00253222"/>
    <w:rsid w:val="00262847"/>
    <w:rsid w:val="00262C12"/>
    <w:rsid w:val="00263313"/>
    <w:rsid w:val="0026416B"/>
    <w:rsid w:val="00264DCF"/>
    <w:rsid w:val="00273F91"/>
    <w:rsid w:val="0027591B"/>
    <w:rsid w:val="00275961"/>
    <w:rsid w:val="002807A0"/>
    <w:rsid w:val="00281BB2"/>
    <w:rsid w:val="00283FE6"/>
    <w:rsid w:val="0029346D"/>
    <w:rsid w:val="00294549"/>
    <w:rsid w:val="00294798"/>
    <w:rsid w:val="002952B8"/>
    <w:rsid w:val="002961C8"/>
    <w:rsid w:val="00296384"/>
    <w:rsid w:val="00297F4D"/>
    <w:rsid w:val="002A050F"/>
    <w:rsid w:val="002A3228"/>
    <w:rsid w:val="002B0F30"/>
    <w:rsid w:val="002B254E"/>
    <w:rsid w:val="002B28C4"/>
    <w:rsid w:val="002B4F38"/>
    <w:rsid w:val="002B72E9"/>
    <w:rsid w:val="002C7998"/>
    <w:rsid w:val="002C7DAE"/>
    <w:rsid w:val="002D1867"/>
    <w:rsid w:val="002D58BD"/>
    <w:rsid w:val="002D62D3"/>
    <w:rsid w:val="002D77BE"/>
    <w:rsid w:val="002E087B"/>
    <w:rsid w:val="002E0C9F"/>
    <w:rsid w:val="002E2959"/>
    <w:rsid w:val="002F0AE2"/>
    <w:rsid w:val="002F0D5B"/>
    <w:rsid w:val="002F1E53"/>
    <w:rsid w:val="002F2CAA"/>
    <w:rsid w:val="002F4423"/>
    <w:rsid w:val="002F58DA"/>
    <w:rsid w:val="002F67B5"/>
    <w:rsid w:val="002F780E"/>
    <w:rsid w:val="0030052C"/>
    <w:rsid w:val="00312268"/>
    <w:rsid w:val="0031274C"/>
    <w:rsid w:val="0031538B"/>
    <w:rsid w:val="00316BDD"/>
    <w:rsid w:val="0032381A"/>
    <w:rsid w:val="00326996"/>
    <w:rsid w:val="003306E1"/>
    <w:rsid w:val="0033189F"/>
    <w:rsid w:val="003320E4"/>
    <w:rsid w:val="00332F58"/>
    <w:rsid w:val="003330F5"/>
    <w:rsid w:val="0033525D"/>
    <w:rsid w:val="003354FD"/>
    <w:rsid w:val="00340B3D"/>
    <w:rsid w:val="003414F3"/>
    <w:rsid w:val="00347146"/>
    <w:rsid w:val="0035141B"/>
    <w:rsid w:val="00351D3F"/>
    <w:rsid w:val="0035613E"/>
    <w:rsid w:val="003579D0"/>
    <w:rsid w:val="0036242D"/>
    <w:rsid w:val="00363EE9"/>
    <w:rsid w:val="00366801"/>
    <w:rsid w:val="0037231B"/>
    <w:rsid w:val="0037339A"/>
    <w:rsid w:val="00376128"/>
    <w:rsid w:val="0037742E"/>
    <w:rsid w:val="00377D56"/>
    <w:rsid w:val="00381063"/>
    <w:rsid w:val="0038245A"/>
    <w:rsid w:val="003840E6"/>
    <w:rsid w:val="00385CFC"/>
    <w:rsid w:val="00385FEE"/>
    <w:rsid w:val="00387574"/>
    <w:rsid w:val="00390410"/>
    <w:rsid w:val="0039337A"/>
    <w:rsid w:val="0039451D"/>
    <w:rsid w:val="003966B5"/>
    <w:rsid w:val="003A10FB"/>
    <w:rsid w:val="003A2A96"/>
    <w:rsid w:val="003A3189"/>
    <w:rsid w:val="003A3CA7"/>
    <w:rsid w:val="003B2F9E"/>
    <w:rsid w:val="003B33BD"/>
    <w:rsid w:val="003B569D"/>
    <w:rsid w:val="003C0A09"/>
    <w:rsid w:val="003C35FF"/>
    <w:rsid w:val="003C3C0E"/>
    <w:rsid w:val="003C6060"/>
    <w:rsid w:val="003D1E5D"/>
    <w:rsid w:val="003D42A6"/>
    <w:rsid w:val="003D4A1B"/>
    <w:rsid w:val="003D4F21"/>
    <w:rsid w:val="003D4FAC"/>
    <w:rsid w:val="003D762B"/>
    <w:rsid w:val="003D7C37"/>
    <w:rsid w:val="003E1C04"/>
    <w:rsid w:val="003E1C22"/>
    <w:rsid w:val="003E3238"/>
    <w:rsid w:val="003E32DF"/>
    <w:rsid w:val="003E4B88"/>
    <w:rsid w:val="003E741A"/>
    <w:rsid w:val="003E7906"/>
    <w:rsid w:val="003F0EF1"/>
    <w:rsid w:val="003F11FB"/>
    <w:rsid w:val="003F176D"/>
    <w:rsid w:val="003F3C50"/>
    <w:rsid w:val="003F616D"/>
    <w:rsid w:val="00400C14"/>
    <w:rsid w:val="00401F78"/>
    <w:rsid w:val="00402977"/>
    <w:rsid w:val="00402D64"/>
    <w:rsid w:val="0040496D"/>
    <w:rsid w:val="004069CD"/>
    <w:rsid w:val="00406A6A"/>
    <w:rsid w:val="00406B22"/>
    <w:rsid w:val="004108A3"/>
    <w:rsid w:val="00412178"/>
    <w:rsid w:val="004128D3"/>
    <w:rsid w:val="00415585"/>
    <w:rsid w:val="00416E26"/>
    <w:rsid w:val="00422BA8"/>
    <w:rsid w:val="00424927"/>
    <w:rsid w:val="0042496E"/>
    <w:rsid w:val="0042646E"/>
    <w:rsid w:val="00430B0A"/>
    <w:rsid w:val="004328A7"/>
    <w:rsid w:val="00432E35"/>
    <w:rsid w:val="004332FC"/>
    <w:rsid w:val="0043359D"/>
    <w:rsid w:val="00434C74"/>
    <w:rsid w:val="00450495"/>
    <w:rsid w:val="00455603"/>
    <w:rsid w:val="00456C15"/>
    <w:rsid w:val="00456EB4"/>
    <w:rsid w:val="00461C45"/>
    <w:rsid w:val="004665D2"/>
    <w:rsid w:val="00470284"/>
    <w:rsid w:val="004718F3"/>
    <w:rsid w:val="00472CE8"/>
    <w:rsid w:val="00475040"/>
    <w:rsid w:val="00476730"/>
    <w:rsid w:val="0047678A"/>
    <w:rsid w:val="004829AF"/>
    <w:rsid w:val="0049322F"/>
    <w:rsid w:val="00493D40"/>
    <w:rsid w:val="004967B6"/>
    <w:rsid w:val="00497C39"/>
    <w:rsid w:val="004A504B"/>
    <w:rsid w:val="004A5648"/>
    <w:rsid w:val="004A56C7"/>
    <w:rsid w:val="004A5C89"/>
    <w:rsid w:val="004A5D7A"/>
    <w:rsid w:val="004A629C"/>
    <w:rsid w:val="004A6911"/>
    <w:rsid w:val="004B1C71"/>
    <w:rsid w:val="004B3713"/>
    <w:rsid w:val="004B54E0"/>
    <w:rsid w:val="004B7384"/>
    <w:rsid w:val="004C3516"/>
    <w:rsid w:val="004C4269"/>
    <w:rsid w:val="004D4A73"/>
    <w:rsid w:val="004D6236"/>
    <w:rsid w:val="004D7BB3"/>
    <w:rsid w:val="004D7F90"/>
    <w:rsid w:val="004E1297"/>
    <w:rsid w:val="004E4DBB"/>
    <w:rsid w:val="004E4E41"/>
    <w:rsid w:val="004E6E6C"/>
    <w:rsid w:val="004E7F9C"/>
    <w:rsid w:val="004F1624"/>
    <w:rsid w:val="004F3493"/>
    <w:rsid w:val="004F38D7"/>
    <w:rsid w:val="004F3B44"/>
    <w:rsid w:val="004F5143"/>
    <w:rsid w:val="004F6E72"/>
    <w:rsid w:val="0050007B"/>
    <w:rsid w:val="005013AA"/>
    <w:rsid w:val="00503B56"/>
    <w:rsid w:val="005105C0"/>
    <w:rsid w:val="00512B09"/>
    <w:rsid w:val="00517A01"/>
    <w:rsid w:val="00517DA3"/>
    <w:rsid w:val="005220ED"/>
    <w:rsid w:val="00523754"/>
    <w:rsid w:val="00527C5D"/>
    <w:rsid w:val="00527D6E"/>
    <w:rsid w:val="00527F10"/>
    <w:rsid w:val="0053118F"/>
    <w:rsid w:val="005326B8"/>
    <w:rsid w:val="00533796"/>
    <w:rsid w:val="00537343"/>
    <w:rsid w:val="00540717"/>
    <w:rsid w:val="0054219C"/>
    <w:rsid w:val="00542E8E"/>
    <w:rsid w:val="005453A3"/>
    <w:rsid w:val="0054757B"/>
    <w:rsid w:val="00550A21"/>
    <w:rsid w:val="0055422E"/>
    <w:rsid w:val="00555D75"/>
    <w:rsid w:val="00556D6D"/>
    <w:rsid w:val="00560DF0"/>
    <w:rsid w:val="00561D9D"/>
    <w:rsid w:val="0056759C"/>
    <w:rsid w:val="00571E3D"/>
    <w:rsid w:val="00572B36"/>
    <w:rsid w:val="00573D0F"/>
    <w:rsid w:val="00583B54"/>
    <w:rsid w:val="00584CD1"/>
    <w:rsid w:val="00586102"/>
    <w:rsid w:val="00587625"/>
    <w:rsid w:val="00590384"/>
    <w:rsid w:val="00590F86"/>
    <w:rsid w:val="0059513E"/>
    <w:rsid w:val="00596398"/>
    <w:rsid w:val="005A009E"/>
    <w:rsid w:val="005A078B"/>
    <w:rsid w:val="005A1D60"/>
    <w:rsid w:val="005A266C"/>
    <w:rsid w:val="005A2D51"/>
    <w:rsid w:val="005A2D76"/>
    <w:rsid w:val="005A5DA6"/>
    <w:rsid w:val="005A6AA4"/>
    <w:rsid w:val="005A6D9F"/>
    <w:rsid w:val="005B0C3B"/>
    <w:rsid w:val="005B159C"/>
    <w:rsid w:val="005B4485"/>
    <w:rsid w:val="005B48FF"/>
    <w:rsid w:val="005C2E4D"/>
    <w:rsid w:val="005C4137"/>
    <w:rsid w:val="005D011D"/>
    <w:rsid w:val="005D01F2"/>
    <w:rsid w:val="005D363F"/>
    <w:rsid w:val="005D7023"/>
    <w:rsid w:val="005E3D9B"/>
    <w:rsid w:val="005E5467"/>
    <w:rsid w:val="005F2112"/>
    <w:rsid w:val="005F4AE4"/>
    <w:rsid w:val="005F64E9"/>
    <w:rsid w:val="00604328"/>
    <w:rsid w:val="00604C15"/>
    <w:rsid w:val="00611C83"/>
    <w:rsid w:val="0061202B"/>
    <w:rsid w:val="006158D5"/>
    <w:rsid w:val="0062245B"/>
    <w:rsid w:val="00623350"/>
    <w:rsid w:val="006244A6"/>
    <w:rsid w:val="00625D83"/>
    <w:rsid w:val="00626252"/>
    <w:rsid w:val="00626498"/>
    <w:rsid w:val="006308F9"/>
    <w:rsid w:val="00640A1B"/>
    <w:rsid w:val="00640F3E"/>
    <w:rsid w:val="0064249C"/>
    <w:rsid w:val="0064774F"/>
    <w:rsid w:val="00651E3B"/>
    <w:rsid w:val="0065249E"/>
    <w:rsid w:val="0065307B"/>
    <w:rsid w:val="00661E5E"/>
    <w:rsid w:val="006623E7"/>
    <w:rsid w:val="00662B80"/>
    <w:rsid w:val="006663D8"/>
    <w:rsid w:val="00670F6C"/>
    <w:rsid w:val="006728B8"/>
    <w:rsid w:val="00673D51"/>
    <w:rsid w:val="0067772B"/>
    <w:rsid w:val="00682ED5"/>
    <w:rsid w:val="006846FF"/>
    <w:rsid w:val="006852C7"/>
    <w:rsid w:val="006852CE"/>
    <w:rsid w:val="006906A5"/>
    <w:rsid w:val="006906CA"/>
    <w:rsid w:val="00692D14"/>
    <w:rsid w:val="00695029"/>
    <w:rsid w:val="0069602B"/>
    <w:rsid w:val="00696F00"/>
    <w:rsid w:val="006A0D6A"/>
    <w:rsid w:val="006B1AB3"/>
    <w:rsid w:val="006B371A"/>
    <w:rsid w:val="006B5935"/>
    <w:rsid w:val="006B65C7"/>
    <w:rsid w:val="006B78A5"/>
    <w:rsid w:val="006C1727"/>
    <w:rsid w:val="006C32FD"/>
    <w:rsid w:val="006C39CE"/>
    <w:rsid w:val="006C62B0"/>
    <w:rsid w:val="006C6F5D"/>
    <w:rsid w:val="006D047F"/>
    <w:rsid w:val="006D0FCC"/>
    <w:rsid w:val="006D21F5"/>
    <w:rsid w:val="006D47C2"/>
    <w:rsid w:val="006D52E6"/>
    <w:rsid w:val="006D5646"/>
    <w:rsid w:val="006D5B44"/>
    <w:rsid w:val="006D7D01"/>
    <w:rsid w:val="006E126D"/>
    <w:rsid w:val="006E1FC3"/>
    <w:rsid w:val="006E4DD2"/>
    <w:rsid w:val="006E6DF3"/>
    <w:rsid w:val="006F17D2"/>
    <w:rsid w:val="006F389A"/>
    <w:rsid w:val="006F5543"/>
    <w:rsid w:val="006F5FBE"/>
    <w:rsid w:val="00704540"/>
    <w:rsid w:val="00704CE9"/>
    <w:rsid w:val="0070616B"/>
    <w:rsid w:val="00706295"/>
    <w:rsid w:val="00706D07"/>
    <w:rsid w:val="00706FDA"/>
    <w:rsid w:val="00710B2B"/>
    <w:rsid w:val="00711F9A"/>
    <w:rsid w:val="00712091"/>
    <w:rsid w:val="00713810"/>
    <w:rsid w:val="00717E61"/>
    <w:rsid w:val="00724EBB"/>
    <w:rsid w:val="00726457"/>
    <w:rsid w:val="00726A4E"/>
    <w:rsid w:val="0073032D"/>
    <w:rsid w:val="007303A5"/>
    <w:rsid w:val="00730B06"/>
    <w:rsid w:val="00730B3E"/>
    <w:rsid w:val="00732717"/>
    <w:rsid w:val="0073420B"/>
    <w:rsid w:val="00737185"/>
    <w:rsid w:val="007375F0"/>
    <w:rsid w:val="00744A8D"/>
    <w:rsid w:val="0074760E"/>
    <w:rsid w:val="00754ABA"/>
    <w:rsid w:val="00755328"/>
    <w:rsid w:val="00757A9F"/>
    <w:rsid w:val="00766221"/>
    <w:rsid w:val="0077266C"/>
    <w:rsid w:val="00773DDF"/>
    <w:rsid w:val="00776AF6"/>
    <w:rsid w:val="00777F17"/>
    <w:rsid w:val="00781331"/>
    <w:rsid w:val="00781742"/>
    <w:rsid w:val="00782B0D"/>
    <w:rsid w:val="00782EEF"/>
    <w:rsid w:val="00785E18"/>
    <w:rsid w:val="00792B2A"/>
    <w:rsid w:val="007937FE"/>
    <w:rsid w:val="0079735D"/>
    <w:rsid w:val="007A11F9"/>
    <w:rsid w:val="007A1546"/>
    <w:rsid w:val="007A228C"/>
    <w:rsid w:val="007A368E"/>
    <w:rsid w:val="007A5868"/>
    <w:rsid w:val="007B04CE"/>
    <w:rsid w:val="007B6871"/>
    <w:rsid w:val="007B7A2F"/>
    <w:rsid w:val="007C2252"/>
    <w:rsid w:val="007C2D6A"/>
    <w:rsid w:val="007C3D33"/>
    <w:rsid w:val="007C68BE"/>
    <w:rsid w:val="007D2318"/>
    <w:rsid w:val="007D294A"/>
    <w:rsid w:val="007D47D2"/>
    <w:rsid w:val="007D6880"/>
    <w:rsid w:val="007D6EC0"/>
    <w:rsid w:val="007D7E1D"/>
    <w:rsid w:val="007E18D4"/>
    <w:rsid w:val="007E3AE0"/>
    <w:rsid w:val="007E450C"/>
    <w:rsid w:val="007F346A"/>
    <w:rsid w:val="007F569C"/>
    <w:rsid w:val="007F5B65"/>
    <w:rsid w:val="00804CB0"/>
    <w:rsid w:val="008066B7"/>
    <w:rsid w:val="00817AFF"/>
    <w:rsid w:val="00820215"/>
    <w:rsid w:val="0082285B"/>
    <w:rsid w:val="00822A8F"/>
    <w:rsid w:val="008236B2"/>
    <w:rsid w:val="00826AC8"/>
    <w:rsid w:val="0083160A"/>
    <w:rsid w:val="00831979"/>
    <w:rsid w:val="00833F38"/>
    <w:rsid w:val="00835863"/>
    <w:rsid w:val="00851352"/>
    <w:rsid w:val="00852009"/>
    <w:rsid w:val="00854CED"/>
    <w:rsid w:val="0085594D"/>
    <w:rsid w:val="00855B04"/>
    <w:rsid w:val="00857077"/>
    <w:rsid w:val="008603AD"/>
    <w:rsid w:val="00861898"/>
    <w:rsid w:val="00863230"/>
    <w:rsid w:val="00863CA3"/>
    <w:rsid w:val="00865BD0"/>
    <w:rsid w:val="008717D8"/>
    <w:rsid w:val="0087215C"/>
    <w:rsid w:val="00872679"/>
    <w:rsid w:val="008732BC"/>
    <w:rsid w:val="00875B75"/>
    <w:rsid w:val="00875BD1"/>
    <w:rsid w:val="00875D25"/>
    <w:rsid w:val="00877D12"/>
    <w:rsid w:val="00880ABA"/>
    <w:rsid w:val="00880E35"/>
    <w:rsid w:val="00884326"/>
    <w:rsid w:val="00884DB3"/>
    <w:rsid w:val="00886D67"/>
    <w:rsid w:val="008875FE"/>
    <w:rsid w:val="00887CB5"/>
    <w:rsid w:val="00887F8E"/>
    <w:rsid w:val="00893710"/>
    <w:rsid w:val="00895461"/>
    <w:rsid w:val="00896234"/>
    <w:rsid w:val="00897E43"/>
    <w:rsid w:val="008A16B9"/>
    <w:rsid w:val="008B2D49"/>
    <w:rsid w:val="008C1F32"/>
    <w:rsid w:val="008C33B5"/>
    <w:rsid w:val="008C5738"/>
    <w:rsid w:val="008C7EAD"/>
    <w:rsid w:val="008D085F"/>
    <w:rsid w:val="008D0CFE"/>
    <w:rsid w:val="008D2116"/>
    <w:rsid w:val="008D6152"/>
    <w:rsid w:val="008E25FE"/>
    <w:rsid w:val="008E27ED"/>
    <w:rsid w:val="008E7BA9"/>
    <w:rsid w:val="008F0F81"/>
    <w:rsid w:val="008F142C"/>
    <w:rsid w:val="008F27BF"/>
    <w:rsid w:val="008F7878"/>
    <w:rsid w:val="0090360E"/>
    <w:rsid w:val="009054FB"/>
    <w:rsid w:val="009065BD"/>
    <w:rsid w:val="00906ADD"/>
    <w:rsid w:val="009074C1"/>
    <w:rsid w:val="009142EC"/>
    <w:rsid w:val="00915182"/>
    <w:rsid w:val="009154C3"/>
    <w:rsid w:val="00917013"/>
    <w:rsid w:val="00920C81"/>
    <w:rsid w:val="00922B5A"/>
    <w:rsid w:val="00923540"/>
    <w:rsid w:val="00926767"/>
    <w:rsid w:val="00934557"/>
    <w:rsid w:val="00935369"/>
    <w:rsid w:val="009361D5"/>
    <w:rsid w:val="009428A4"/>
    <w:rsid w:val="00942E3F"/>
    <w:rsid w:val="00952DA7"/>
    <w:rsid w:val="0095513C"/>
    <w:rsid w:val="009659F4"/>
    <w:rsid w:val="00970D60"/>
    <w:rsid w:val="00975CB5"/>
    <w:rsid w:val="009822FC"/>
    <w:rsid w:val="00985482"/>
    <w:rsid w:val="00990122"/>
    <w:rsid w:val="0099166E"/>
    <w:rsid w:val="009931F4"/>
    <w:rsid w:val="0099390E"/>
    <w:rsid w:val="0099456B"/>
    <w:rsid w:val="009955F3"/>
    <w:rsid w:val="00995C22"/>
    <w:rsid w:val="009960E5"/>
    <w:rsid w:val="00996241"/>
    <w:rsid w:val="009967AF"/>
    <w:rsid w:val="00996C68"/>
    <w:rsid w:val="009A0AAD"/>
    <w:rsid w:val="009A7ADC"/>
    <w:rsid w:val="009B0C82"/>
    <w:rsid w:val="009B0D30"/>
    <w:rsid w:val="009B200A"/>
    <w:rsid w:val="009C19B7"/>
    <w:rsid w:val="009C3959"/>
    <w:rsid w:val="009C5ABB"/>
    <w:rsid w:val="009C7B3B"/>
    <w:rsid w:val="009D21FB"/>
    <w:rsid w:val="009D5FE0"/>
    <w:rsid w:val="009D7681"/>
    <w:rsid w:val="009D7B3C"/>
    <w:rsid w:val="009D7C51"/>
    <w:rsid w:val="009E196C"/>
    <w:rsid w:val="009E2CD9"/>
    <w:rsid w:val="009E33E6"/>
    <w:rsid w:val="009E3FB5"/>
    <w:rsid w:val="009E5EFF"/>
    <w:rsid w:val="009E7929"/>
    <w:rsid w:val="009F36BF"/>
    <w:rsid w:val="00A02A14"/>
    <w:rsid w:val="00A0418C"/>
    <w:rsid w:val="00A0613B"/>
    <w:rsid w:val="00A06F48"/>
    <w:rsid w:val="00A104F4"/>
    <w:rsid w:val="00A111B6"/>
    <w:rsid w:val="00A119DC"/>
    <w:rsid w:val="00A11F34"/>
    <w:rsid w:val="00A1727E"/>
    <w:rsid w:val="00A17603"/>
    <w:rsid w:val="00A20349"/>
    <w:rsid w:val="00A22709"/>
    <w:rsid w:val="00A26D27"/>
    <w:rsid w:val="00A335D1"/>
    <w:rsid w:val="00A36125"/>
    <w:rsid w:val="00A37209"/>
    <w:rsid w:val="00A376EE"/>
    <w:rsid w:val="00A423AA"/>
    <w:rsid w:val="00A42A99"/>
    <w:rsid w:val="00A458CD"/>
    <w:rsid w:val="00A45EE3"/>
    <w:rsid w:val="00A469A7"/>
    <w:rsid w:val="00A5151A"/>
    <w:rsid w:val="00A51F1A"/>
    <w:rsid w:val="00A52670"/>
    <w:rsid w:val="00A54224"/>
    <w:rsid w:val="00A57E0A"/>
    <w:rsid w:val="00A62D4A"/>
    <w:rsid w:val="00A71282"/>
    <w:rsid w:val="00A7673E"/>
    <w:rsid w:val="00A816BF"/>
    <w:rsid w:val="00A823F6"/>
    <w:rsid w:val="00A83D88"/>
    <w:rsid w:val="00A8719E"/>
    <w:rsid w:val="00A90340"/>
    <w:rsid w:val="00AA0421"/>
    <w:rsid w:val="00AA0A89"/>
    <w:rsid w:val="00AA2859"/>
    <w:rsid w:val="00AA6429"/>
    <w:rsid w:val="00AB0E37"/>
    <w:rsid w:val="00AB1260"/>
    <w:rsid w:val="00AB22A5"/>
    <w:rsid w:val="00AB46A8"/>
    <w:rsid w:val="00AC01AA"/>
    <w:rsid w:val="00AC3C04"/>
    <w:rsid w:val="00AC4F72"/>
    <w:rsid w:val="00AD0166"/>
    <w:rsid w:val="00AD223F"/>
    <w:rsid w:val="00AD702B"/>
    <w:rsid w:val="00AE10A7"/>
    <w:rsid w:val="00AE222E"/>
    <w:rsid w:val="00AE2365"/>
    <w:rsid w:val="00AE2C4B"/>
    <w:rsid w:val="00AE3E22"/>
    <w:rsid w:val="00AE5D84"/>
    <w:rsid w:val="00AE61CE"/>
    <w:rsid w:val="00AE79FB"/>
    <w:rsid w:val="00AF22FD"/>
    <w:rsid w:val="00AF5C99"/>
    <w:rsid w:val="00AF741A"/>
    <w:rsid w:val="00B00493"/>
    <w:rsid w:val="00B00A0F"/>
    <w:rsid w:val="00B017F9"/>
    <w:rsid w:val="00B01ADB"/>
    <w:rsid w:val="00B04161"/>
    <w:rsid w:val="00B056F9"/>
    <w:rsid w:val="00B0643A"/>
    <w:rsid w:val="00B06605"/>
    <w:rsid w:val="00B11E3D"/>
    <w:rsid w:val="00B178D4"/>
    <w:rsid w:val="00B17E82"/>
    <w:rsid w:val="00B257BB"/>
    <w:rsid w:val="00B25E65"/>
    <w:rsid w:val="00B36CFA"/>
    <w:rsid w:val="00B37BBD"/>
    <w:rsid w:val="00B41D66"/>
    <w:rsid w:val="00B4575A"/>
    <w:rsid w:val="00B50F22"/>
    <w:rsid w:val="00B52939"/>
    <w:rsid w:val="00B54960"/>
    <w:rsid w:val="00B575BA"/>
    <w:rsid w:val="00B57F49"/>
    <w:rsid w:val="00B64B00"/>
    <w:rsid w:val="00B65269"/>
    <w:rsid w:val="00B71608"/>
    <w:rsid w:val="00B76429"/>
    <w:rsid w:val="00B85BED"/>
    <w:rsid w:val="00B86471"/>
    <w:rsid w:val="00B9187E"/>
    <w:rsid w:val="00B93720"/>
    <w:rsid w:val="00B956D4"/>
    <w:rsid w:val="00B97446"/>
    <w:rsid w:val="00B97B26"/>
    <w:rsid w:val="00BA718C"/>
    <w:rsid w:val="00BA7432"/>
    <w:rsid w:val="00BB1E2D"/>
    <w:rsid w:val="00BB2764"/>
    <w:rsid w:val="00BC0E33"/>
    <w:rsid w:val="00BC1AA0"/>
    <w:rsid w:val="00BC2495"/>
    <w:rsid w:val="00BC48B5"/>
    <w:rsid w:val="00BC7EB9"/>
    <w:rsid w:val="00BD0B12"/>
    <w:rsid w:val="00BD1673"/>
    <w:rsid w:val="00BD2560"/>
    <w:rsid w:val="00BD2643"/>
    <w:rsid w:val="00BD340F"/>
    <w:rsid w:val="00BD56B1"/>
    <w:rsid w:val="00BD6558"/>
    <w:rsid w:val="00BE0DB0"/>
    <w:rsid w:val="00BE2657"/>
    <w:rsid w:val="00BE70F3"/>
    <w:rsid w:val="00BE7865"/>
    <w:rsid w:val="00BF0CD5"/>
    <w:rsid w:val="00BF1141"/>
    <w:rsid w:val="00BF2F76"/>
    <w:rsid w:val="00BF3022"/>
    <w:rsid w:val="00BF3214"/>
    <w:rsid w:val="00BF5573"/>
    <w:rsid w:val="00C01B49"/>
    <w:rsid w:val="00C10F74"/>
    <w:rsid w:val="00C11B50"/>
    <w:rsid w:val="00C121AF"/>
    <w:rsid w:val="00C15867"/>
    <w:rsid w:val="00C17F2F"/>
    <w:rsid w:val="00C2296D"/>
    <w:rsid w:val="00C23155"/>
    <w:rsid w:val="00C31B0B"/>
    <w:rsid w:val="00C33D1C"/>
    <w:rsid w:val="00C33EFB"/>
    <w:rsid w:val="00C34918"/>
    <w:rsid w:val="00C36BAB"/>
    <w:rsid w:val="00C375DC"/>
    <w:rsid w:val="00C40C41"/>
    <w:rsid w:val="00C45885"/>
    <w:rsid w:val="00C50F22"/>
    <w:rsid w:val="00C519CC"/>
    <w:rsid w:val="00C54484"/>
    <w:rsid w:val="00C56B47"/>
    <w:rsid w:val="00C57971"/>
    <w:rsid w:val="00C61A36"/>
    <w:rsid w:val="00C65BD7"/>
    <w:rsid w:val="00C67668"/>
    <w:rsid w:val="00C67702"/>
    <w:rsid w:val="00C679D6"/>
    <w:rsid w:val="00C702DB"/>
    <w:rsid w:val="00C76BA4"/>
    <w:rsid w:val="00C7777B"/>
    <w:rsid w:val="00C77F35"/>
    <w:rsid w:val="00C83A48"/>
    <w:rsid w:val="00C85865"/>
    <w:rsid w:val="00C85E85"/>
    <w:rsid w:val="00C90552"/>
    <w:rsid w:val="00C93907"/>
    <w:rsid w:val="00C9434B"/>
    <w:rsid w:val="00C94709"/>
    <w:rsid w:val="00C96F4C"/>
    <w:rsid w:val="00C9763C"/>
    <w:rsid w:val="00C97FDB"/>
    <w:rsid w:val="00CA2EAE"/>
    <w:rsid w:val="00CA4AC1"/>
    <w:rsid w:val="00CB0316"/>
    <w:rsid w:val="00CB0B11"/>
    <w:rsid w:val="00CB2CE7"/>
    <w:rsid w:val="00CB34C9"/>
    <w:rsid w:val="00CB426A"/>
    <w:rsid w:val="00CB4C57"/>
    <w:rsid w:val="00CB5354"/>
    <w:rsid w:val="00CB600D"/>
    <w:rsid w:val="00CB7A5D"/>
    <w:rsid w:val="00CC063C"/>
    <w:rsid w:val="00CC1A5F"/>
    <w:rsid w:val="00CC3C9E"/>
    <w:rsid w:val="00CC4864"/>
    <w:rsid w:val="00CC4AED"/>
    <w:rsid w:val="00CC4CBD"/>
    <w:rsid w:val="00CC6A14"/>
    <w:rsid w:val="00CC70A3"/>
    <w:rsid w:val="00CD3A87"/>
    <w:rsid w:val="00CD4442"/>
    <w:rsid w:val="00CD4C85"/>
    <w:rsid w:val="00CD53C3"/>
    <w:rsid w:val="00CD574E"/>
    <w:rsid w:val="00CE1F34"/>
    <w:rsid w:val="00CE4C22"/>
    <w:rsid w:val="00CE76E5"/>
    <w:rsid w:val="00CF220B"/>
    <w:rsid w:val="00CF41EC"/>
    <w:rsid w:val="00CF5D04"/>
    <w:rsid w:val="00CF7A22"/>
    <w:rsid w:val="00D01E7A"/>
    <w:rsid w:val="00D04DE4"/>
    <w:rsid w:val="00D05A62"/>
    <w:rsid w:val="00D062F8"/>
    <w:rsid w:val="00D063F1"/>
    <w:rsid w:val="00D13264"/>
    <w:rsid w:val="00D134AC"/>
    <w:rsid w:val="00D14F22"/>
    <w:rsid w:val="00D154E6"/>
    <w:rsid w:val="00D22B48"/>
    <w:rsid w:val="00D23C28"/>
    <w:rsid w:val="00D23D4B"/>
    <w:rsid w:val="00D3332E"/>
    <w:rsid w:val="00D340AF"/>
    <w:rsid w:val="00D37CE1"/>
    <w:rsid w:val="00D41826"/>
    <w:rsid w:val="00D42447"/>
    <w:rsid w:val="00D42A14"/>
    <w:rsid w:val="00D44B55"/>
    <w:rsid w:val="00D46FAB"/>
    <w:rsid w:val="00D4741C"/>
    <w:rsid w:val="00D476E3"/>
    <w:rsid w:val="00D529BA"/>
    <w:rsid w:val="00D540D3"/>
    <w:rsid w:val="00D578D4"/>
    <w:rsid w:val="00D57918"/>
    <w:rsid w:val="00D60924"/>
    <w:rsid w:val="00D6348B"/>
    <w:rsid w:val="00D66A82"/>
    <w:rsid w:val="00D71077"/>
    <w:rsid w:val="00D72417"/>
    <w:rsid w:val="00D730CF"/>
    <w:rsid w:val="00D7362D"/>
    <w:rsid w:val="00D73DC6"/>
    <w:rsid w:val="00D74648"/>
    <w:rsid w:val="00D74C1A"/>
    <w:rsid w:val="00D75142"/>
    <w:rsid w:val="00D754C1"/>
    <w:rsid w:val="00D77393"/>
    <w:rsid w:val="00D77A35"/>
    <w:rsid w:val="00D77DC2"/>
    <w:rsid w:val="00D81B3E"/>
    <w:rsid w:val="00D83636"/>
    <w:rsid w:val="00D90C70"/>
    <w:rsid w:val="00D90E49"/>
    <w:rsid w:val="00D9337A"/>
    <w:rsid w:val="00D96ADE"/>
    <w:rsid w:val="00D97A19"/>
    <w:rsid w:val="00DA06FA"/>
    <w:rsid w:val="00DA0CE2"/>
    <w:rsid w:val="00DA33AE"/>
    <w:rsid w:val="00DA52C8"/>
    <w:rsid w:val="00DB1648"/>
    <w:rsid w:val="00DB2110"/>
    <w:rsid w:val="00DB2331"/>
    <w:rsid w:val="00DB26B3"/>
    <w:rsid w:val="00DB647B"/>
    <w:rsid w:val="00DB6950"/>
    <w:rsid w:val="00DC0644"/>
    <w:rsid w:val="00DC36C2"/>
    <w:rsid w:val="00DC6A10"/>
    <w:rsid w:val="00DC7832"/>
    <w:rsid w:val="00DD46A3"/>
    <w:rsid w:val="00DD644F"/>
    <w:rsid w:val="00DE657E"/>
    <w:rsid w:val="00DF4704"/>
    <w:rsid w:val="00DF5EEC"/>
    <w:rsid w:val="00E024AA"/>
    <w:rsid w:val="00E02938"/>
    <w:rsid w:val="00E02DF4"/>
    <w:rsid w:val="00E04D33"/>
    <w:rsid w:val="00E10A23"/>
    <w:rsid w:val="00E12E65"/>
    <w:rsid w:val="00E13FCC"/>
    <w:rsid w:val="00E15C77"/>
    <w:rsid w:val="00E250F1"/>
    <w:rsid w:val="00E3550D"/>
    <w:rsid w:val="00E376E7"/>
    <w:rsid w:val="00E416D5"/>
    <w:rsid w:val="00E42FA0"/>
    <w:rsid w:val="00E43B2F"/>
    <w:rsid w:val="00E52838"/>
    <w:rsid w:val="00E573C9"/>
    <w:rsid w:val="00E614E0"/>
    <w:rsid w:val="00E61AEC"/>
    <w:rsid w:val="00E6503F"/>
    <w:rsid w:val="00E67117"/>
    <w:rsid w:val="00E71BD0"/>
    <w:rsid w:val="00E73F7F"/>
    <w:rsid w:val="00E758FB"/>
    <w:rsid w:val="00E85409"/>
    <w:rsid w:val="00E90BE9"/>
    <w:rsid w:val="00E9162A"/>
    <w:rsid w:val="00E927F3"/>
    <w:rsid w:val="00E95B8C"/>
    <w:rsid w:val="00EA0B8F"/>
    <w:rsid w:val="00EA0FCF"/>
    <w:rsid w:val="00EA4197"/>
    <w:rsid w:val="00EA429F"/>
    <w:rsid w:val="00EA4F9E"/>
    <w:rsid w:val="00EA63CA"/>
    <w:rsid w:val="00EA6D3B"/>
    <w:rsid w:val="00EB00AD"/>
    <w:rsid w:val="00EB00E9"/>
    <w:rsid w:val="00EB136C"/>
    <w:rsid w:val="00EB310B"/>
    <w:rsid w:val="00EB31E3"/>
    <w:rsid w:val="00EB480E"/>
    <w:rsid w:val="00EB5EC6"/>
    <w:rsid w:val="00EB7FC9"/>
    <w:rsid w:val="00EC20C7"/>
    <w:rsid w:val="00EC2FB5"/>
    <w:rsid w:val="00EC48B9"/>
    <w:rsid w:val="00EC5372"/>
    <w:rsid w:val="00EC576C"/>
    <w:rsid w:val="00EC611A"/>
    <w:rsid w:val="00ED1519"/>
    <w:rsid w:val="00ED2707"/>
    <w:rsid w:val="00ED27E8"/>
    <w:rsid w:val="00ED650B"/>
    <w:rsid w:val="00ED6CD4"/>
    <w:rsid w:val="00ED7137"/>
    <w:rsid w:val="00EE2178"/>
    <w:rsid w:val="00EE59FE"/>
    <w:rsid w:val="00EE5B08"/>
    <w:rsid w:val="00EE5F73"/>
    <w:rsid w:val="00EE6915"/>
    <w:rsid w:val="00EF06EA"/>
    <w:rsid w:val="00EF54E8"/>
    <w:rsid w:val="00EF552A"/>
    <w:rsid w:val="00F00D4E"/>
    <w:rsid w:val="00F045ED"/>
    <w:rsid w:val="00F1168F"/>
    <w:rsid w:val="00F12B9F"/>
    <w:rsid w:val="00F21088"/>
    <w:rsid w:val="00F21DEB"/>
    <w:rsid w:val="00F22BF3"/>
    <w:rsid w:val="00F2593A"/>
    <w:rsid w:val="00F312EE"/>
    <w:rsid w:val="00F327E7"/>
    <w:rsid w:val="00F34308"/>
    <w:rsid w:val="00F35746"/>
    <w:rsid w:val="00F40D5B"/>
    <w:rsid w:val="00F41F55"/>
    <w:rsid w:val="00F437FC"/>
    <w:rsid w:val="00F438C7"/>
    <w:rsid w:val="00F447C7"/>
    <w:rsid w:val="00F454BB"/>
    <w:rsid w:val="00F459B4"/>
    <w:rsid w:val="00F5211B"/>
    <w:rsid w:val="00F533C5"/>
    <w:rsid w:val="00F552AC"/>
    <w:rsid w:val="00F554A9"/>
    <w:rsid w:val="00F5576B"/>
    <w:rsid w:val="00F56899"/>
    <w:rsid w:val="00F56B8A"/>
    <w:rsid w:val="00F576E7"/>
    <w:rsid w:val="00F63843"/>
    <w:rsid w:val="00F65F2F"/>
    <w:rsid w:val="00F678F6"/>
    <w:rsid w:val="00F716FD"/>
    <w:rsid w:val="00F71EA3"/>
    <w:rsid w:val="00F72166"/>
    <w:rsid w:val="00F73BF0"/>
    <w:rsid w:val="00F80355"/>
    <w:rsid w:val="00F82B07"/>
    <w:rsid w:val="00F856D8"/>
    <w:rsid w:val="00F87C43"/>
    <w:rsid w:val="00F9218B"/>
    <w:rsid w:val="00F94E43"/>
    <w:rsid w:val="00F95DFD"/>
    <w:rsid w:val="00F96FAE"/>
    <w:rsid w:val="00FA5722"/>
    <w:rsid w:val="00FA6721"/>
    <w:rsid w:val="00FA6CD8"/>
    <w:rsid w:val="00FB0C81"/>
    <w:rsid w:val="00FB640A"/>
    <w:rsid w:val="00FB643B"/>
    <w:rsid w:val="00FB6637"/>
    <w:rsid w:val="00FB6767"/>
    <w:rsid w:val="00FB739A"/>
    <w:rsid w:val="00FC0A72"/>
    <w:rsid w:val="00FC2200"/>
    <w:rsid w:val="00FC2540"/>
    <w:rsid w:val="00FC6D98"/>
    <w:rsid w:val="00FD00C5"/>
    <w:rsid w:val="00FD0D84"/>
    <w:rsid w:val="00FD62EB"/>
    <w:rsid w:val="00FD6C5A"/>
    <w:rsid w:val="00FE1FBE"/>
    <w:rsid w:val="00FE2571"/>
    <w:rsid w:val="00FE7B31"/>
    <w:rsid w:val="00FF0204"/>
    <w:rsid w:val="00FF1228"/>
    <w:rsid w:val="00FF225F"/>
    <w:rsid w:val="00FF2CF4"/>
    <w:rsid w:val="00FF3AED"/>
    <w:rsid w:val="00FF5DEE"/>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93BFF"/>
  <w15:docId w15:val="{7F04EB2B-7EEA-4A9B-A501-89D9B9D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FB"/>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9931F4"/>
    <w:p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1"/>
      </w:numPr>
      <w:spacing w:after="240"/>
      <w:outlineLvl w:val="1"/>
    </w:pPr>
  </w:style>
  <w:style w:type="paragraph" w:styleId="Heading3">
    <w:name w:val="heading 3"/>
    <w:aliases w:val="Char,Char Char,Heading 3 Char,Heading 3 Char1,Heading 3 Char Char,Char Char Char,Char Char1,Heading 3 Char1 Char,Heading 3 Char Char Char,Char Char Char Char,Char Char1 Char,Heading 3 Char2,Char Char2,Char Char Char1,Heading 3 Char Char1 Char"/>
    <w:basedOn w:val="Normal"/>
    <w:next w:val="Normal"/>
    <w:link w:val="Heading3Char3"/>
    <w:qFormat/>
    <w:rsid w:val="0033525D"/>
    <w:pPr>
      <w:widowControl w:val="0"/>
      <w:numPr>
        <w:ilvl w:val="2"/>
        <w:numId w:val="1"/>
      </w:numPr>
      <w:spacing w:after="240"/>
      <w:outlineLvl w:val="2"/>
    </w:pPr>
  </w:style>
  <w:style w:type="paragraph" w:styleId="Heading4">
    <w:name w:val="heading 4"/>
    <w:aliases w:val="Heading 11,para 4,Título 41,heading 4,Heading 41,标题 41,He=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CA"/>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Char1,Char1 Char Char,Footnote,single space,FOOTNOTES,fn,Footnote Text Char1,Footnote Text Char2 Char,Footnote Text Char1 Char Char,Footnote Text Char2 Char Char Char,Footnote Text Char1 Char Char Char Char,ft,ft2,f,Fußnotentextf"/>
    <w:basedOn w:val="Normal"/>
    <w:link w:val="FootnoteTextChar"/>
    <w:uiPriority w:val="99"/>
    <w:unhideWhenUsed/>
    <w:qFormat/>
    <w:rsid w:val="006E126D"/>
    <w:rPr>
      <w:sz w:val="20"/>
      <w:szCs w:val="20"/>
    </w:rPr>
  </w:style>
  <w:style w:type="character" w:customStyle="1" w:styleId="FootnoteTextChar">
    <w:name w:val="Footnote Text Char"/>
    <w:aliases w:val="Char1 Char,Char1 Char Char Char,Footnote Char,single space Char,FOOTNOTES Char,fn Char,Footnote Text Char1 Char,Footnote Text Char2 Char Char,Footnote Text Char1 Char Char Char,Footnote Text Char2 Char Char Char Char,ft Char,ft2 Char"/>
    <w:basedOn w:val="DefaultParagraphFont"/>
    <w:link w:val="FootnoteText"/>
    <w:uiPriority w:val="99"/>
    <w:rsid w:val="006E126D"/>
    <w:rPr>
      <w:lang w:val="en-GB"/>
    </w:rPr>
  </w:style>
  <w:style w:type="character" w:styleId="FootnoteReference">
    <w:name w:val="footnote reference"/>
    <w:aliases w:val="4_G,number,SUPERS,BVI fnr,ftref,16 Point,Superscript 6 Point,Superscript 6 Point + 11 pt,BVI fnr Car Car,BVI fnr Car,BVI fnr Car Car Car Car,Footnote text,Footnotes refss,Footnote Reference1,Footnote Reference Number,fr"/>
    <w:basedOn w:val="DefaultParagraphFont"/>
    <w:link w:val="BVIfnrChar"/>
    <w:uiPriority w:val="99"/>
    <w:unhideWhenUsed/>
    <w:qFormat/>
    <w:rsid w:val="006E126D"/>
    <w:rPr>
      <w:vertAlign w:val="superscript"/>
    </w:rPr>
  </w:style>
  <w:style w:type="paragraph" w:styleId="ListParagraph">
    <w:name w:val="List Paragraph"/>
    <w:basedOn w:val="Normal"/>
    <w:link w:val="ListParagraphChar"/>
    <w:uiPriority w:val="99"/>
    <w:qFormat/>
    <w:rsid w:val="00EB31E3"/>
    <w:pPr>
      <w:ind w:left="720"/>
      <w:contextualSpacing/>
    </w:pPr>
    <w:rPr>
      <w:lang w:val="en-GB"/>
    </w:rPr>
  </w:style>
  <w:style w:type="character" w:customStyle="1" w:styleId="ListParagraphChar">
    <w:name w:val="List Paragraph Char"/>
    <w:basedOn w:val="DefaultParagraphFont"/>
    <w:link w:val="ListParagraph"/>
    <w:uiPriority w:val="34"/>
    <w:locked/>
    <w:rsid w:val="00EB31E3"/>
    <w:rPr>
      <w:sz w:val="22"/>
      <w:szCs w:val="22"/>
      <w:lang w:val="en-GB"/>
    </w:rPr>
  </w:style>
  <w:style w:type="paragraph" w:customStyle="1" w:styleId="Default">
    <w:name w:val="Default"/>
    <w:rsid w:val="00EB31E3"/>
    <w:pPr>
      <w:widowControl w:val="0"/>
      <w:autoSpaceDE w:val="0"/>
      <w:autoSpaceDN w:val="0"/>
      <w:adjustRightInd w:val="0"/>
    </w:pPr>
    <w:rPr>
      <w:color w:val="000000"/>
      <w:sz w:val="24"/>
      <w:szCs w:val="24"/>
    </w:rPr>
  </w:style>
  <w:style w:type="table" w:customStyle="1" w:styleId="TableGrid10">
    <w:name w:val="Table Grid1"/>
    <w:basedOn w:val="TableNormal"/>
    <w:next w:val="TableGrid"/>
    <w:uiPriority w:val="59"/>
    <w:rsid w:val="00EB31E3"/>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1E3"/>
    <w:rPr>
      <w:sz w:val="22"/>
      <w:szCs w:val="22"/>
      <w:lang w:val="en-GB"/>
    </w:rPr>
  </w:style>
  <w:style w:type="paragraph" w:styleId="NormalWeb">
    <w:name w:val="Normal (Web)"/>
    <w:basedOn w:val="Normal"/>
    <w:link w:val="NormalWebChar"/>
    <w:uiPriority w:val="99"/>
    <w:unhideWhenUsed/>
    <w:rsid w:val="00EB31E3"/>
    <w:pPr>
      <w:jc w:val="left"/>
    </w:pPr>
    <w:rPr>
      <w:rFonts w:eastAsiaTheme="minorHAnsi"/>
      <w:sz w:val="24"/>
      <w:szCs w:val="24"/>
      <w:lang w:val="en-US"/>
    </w:rPr>
  </w:style>
  <w:style w:type="paragraph" w:styleId="EndnoteText">
    <w:name w:val="endnote text"/>
    <w:basedOn w:val="Normal"/>
    <w:link w:val="EndnoteTextChar"/>
    <w:uiPriority w:val="99"/>
    <w:semiHidden/>
    <w:unhideWhenUsed/>
    <w:rsid w:val="00EB31E3"/>
    <w:rPr>
      <w:sz w:val="20"/>
      <w:szCs w:val="20"/>
      <w:lang w:val="en-GB"/>
    </w:rPr>
  </w:style>
  <w:style w:type="character" w:customStyle="1" w:styleId="EndnoteTextChar">
    <w:name w:val="Endnote Text Char"/>
    <w:basedOn w:val="DefaultParagraphFont"/>
    <w:link w:val="EndnoteText"/>
    <w:uiPriority w:val="99"/>
    <w:semiHidden/>
    <w:rsid w:val="00EB31E3"/>
    <w:rPr>
      <w:lang w:val="en-GB"/>
    </w:rPr>
  </w:style>
  <w:style w:type="character" w:styleId="EndnoteReference">
    <w:name w:val="endnote reference"/>
    <w:basedOn w:val="DefaultParagraphFont"/>
    <w:uiPriority w:val="99"/>
    <w:semiHidden/>
    <w:unhideWhenUsed/>
    <w:rsid w:val="00EB31E3"/>
    <w:rPr>
      <w:vertAlign w:val="superscript"/>
    </w:rPr>
  </w:style>
  <w:style w:type="character" w:customStyle="1" w:styleId="NormalWebChar">
    <w:name w:val="Normal (Web) Char"/>
    <w:link w:val="NormalWeb"/>
    <w:uiPriority w:val="99"/>
    <w:rsid w:val="009E3FB5"/>
    <w:rPr>
      <w:rFonts w:eastAsiaTheme="minorHAnsi"/>
      <w:sz w:val="24"/>
      <w:szCs w:val="24"/>
    </w:rPr>
  </w:style>
  <w:style w:type="paragraph" w:customStyle="1" w:styleId="BVIfnrChar">
    <w:name w:val="BVI fnr Char"/>
    <w:aliases w:val="BVI fnr Car Car Char,BVI fnr Car Char,BVI fnr Car Car Car Car Char,4_G Char Char"/>
    <w:basedOn w:val="Normal"/>
    <w:link w:val="FootnoteReference"/>
    <w:uiPriority w:val="99"/>
    <w:rsid w:val="00CB4C57"/>
    <w:pPr>
      <w:spacing w:after="160" w:line="240" w:lineRule="exact"/>
      <w:jc w:val="left"/>
    </w:pPr>
    <w:rPr>
      <w:sz w:val="20"/>
      <w:szCs w:val="20"/>
      <w:vertAlign w:val="superscript"/>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EC48B9"/>
    <w:pPr>
      <w:spacing w:after="160" w:line="240" w:lineRule="exact"/>
    </w:pPr>
    <w:rPr>
      <w:sz w:val="20"/>
      <w:szCs w:val="20"/>
      <w:vertAlign w:val="superscript"/>
      <w:lang w:val="en-US"/>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9"/>
    <w:rsid w:val="00470284"/>
    <w:rPr>
      <w:sz w:val="22"/>
      <w:szCs w:val="22"/>
      <w:lang w:val="en-CA"/>
    </w:rPr>
  </w:style>
  <w:style w:type="character" w:customStyle="1" w:styleId="FooterChar">
    <w:name w:val="Footer Char"/>
    <w:basedOn w:val="DefaultParagraphFont"/>
    <w:link w:val="Footer"/>
    <w:uiPriority w:val="99"/>
    <w:rsid w:val="00863CA3"/>
    <w:rPr>
      <w:sz w:val="22"/>
      <w:szCs w:val="22"/>
      <w:lang w:val="en-CA"/>
    </w:rPr>
  </w:style>
  <w:style w:type="character" w:customStyle="1" w:styleId="Heading3Char3">
    <w:name w:val="Heading 3 Char3"/>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rsid w:val="001067DD"/>
    <w:rPr>
      <w:sz w:val="22"/>
      <w:szCs w:val="22"/>
      <w:lang w:val="en-CA"/>
    </w:rPr>
  </w:style>
  <w:style w:type="paragraph" w:customStyle="1" w:styleId="StyleHeading1Para1Heading1CharHeading1Char3CharHeadin">
    <w:name w:val="Style Heading 1Para (1)Heading 1 CharHeading 1 Char3 CharHeadin..."/>
    <w:basedOn w:val="Heading1"/>
    <w:uiPriority w:val="99"/>
    <w:rsid w:val="001067DD"/>
    <w:pPr>
      <w:tabs>
        <w:tab w:val="left" w:pos="720"/>
      </w:tabs>
    </w:pPr>
    <w:rPr>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42">
      <w:bodyDiv w:val="1"/>
      <w:marLeft w:val="0"/>
      <w:marRight w:val="0"/>
      <w:marTop w:val="0"/>
      <w:marBottom w:val="0"/>
      <w:divBdr>
        <w:top w:val="none" w:sz="0" w:space="0" w:color="auto"/>
        <w:left w:val="none" w:sz="0" w:space="0" w:color="auto"/>
        <w:bottom w:val="none" w:sz="0" w:space="0" w:color="auto"/>
        <w:right w:val="none" w:sz="0" w:space="0" w:color="auto"/>
      </w:divBdr>
    </w:div>
    <w:div w:id="44529177">
      <w:bodyDiv w:val="1"/>
      <w:marLeft w:val="0"/>
      <w:marRight w:val="0"/>
      <w:marTop w:val="0"/>
      <w:marBottom w:val="0"/>
      <w:divBdr>
        <w:top w:val="none" w:sz="0" w:space="0" w:color="auto"/>
        <w:left w:val="none" w:sz="0" w:space="0" w:color="auto"/>
        <w:bottom w:val="none" w:sz="0" w:space="0" w:color="auto"/>
        <w:right w:val="none" w:sz="0" w:space="0" w:color="auto"/>
      </w:divBdr>
    </w:div>
    <w:div w:id="74330071">
      <w:bodyDiv w:val="1"/>
      <w:marLeft w:val="0"/>
      <w:marRight w:val="0"/>
      <w:marTop w:val="0"/>
      <w:marBottom w:val="0"/>
      <w:divBdr>
        <w:top w:val="none" w:sz="0" w:space="0" w:color="auto"/>
        <w:left w:val="none" w:sz="0" w:space="0" w:color="auto"/>
        <w:bottom w:val="none" w:sz="0" w:space="0" w:color="auto"/>
        <w:right w:val="none" w:sz="0" w:space="0" w:color="auto"/>
      </w:divBdr>
    </w:div>
    <w:div w:id="80953520">
      <w:bodyDiv w:val="1"/>
      <w:marLeft w:val="0"/>
      <w:marRight w:val="0"/>
      <w:marTop w:val="0"/>
      <w:marBottom w:val="0"/>
      <w:divBdr>
        <w:top w:val="none" w:sz="0" w:space="0" w:color="auto"/>
        <w:left w:val="none" w:sz="0" w:space="0" w:color="auto"/>
        <w:bottom w:val="none" w:sz="0" w:space="0" w:color="auto"/>
        <w:right w:val="none" w:sz="0" w:space="0" w:color="auto"/>
      </w:divBdr>
    </w:div>
    <w:div w:id="316154416">
      <w:bodyDiv w:val="1"/>
      <w:marLeft w:val="0"/>
      <w:marRight w:val="0"/>
      <w:marTop w:val="0"/>
      <w:marBottom w:val="0"/>
      <w:divBdr>
        <w:top w:val="none" w:sz="0" w:space="0" w:color="auto"/>
        <w:left w:val="none" w:sz="0" w:space="0" w:color="auto"/>
        <w:bottom w:val="none" w:sz="0" w:space="0" w:color="auto"/>
        <w:right w:val="none" w:sz="0" w:space="0" w:color="auto"/>
      </w:divBdr>
    </w:div>
    <w:div w:id="590167654">
      <w:bodyDiv w:val="1"/>
      <w:marLeft w:val="0"/>
      <w:marRight w:val="0"/>
      <w:marTop w:val="0"/>
      <w:marBottom w:val="0"/>
      <w:divBdr>
        <w:top w:val="none" w:sz="0" w:space="0" w:color="auto"/>
        <w:left w:val="none" w:sz="0" w:space="0" w:color="auto"/>
        <w:bottom w:val="none" w:sz="0" w:space="0" w:color="auto"/>
        <w:right w:val="none" w:sz="0" w:space="0" w:color="auto"/>
      </w:divBdr>
    </w:div>
    <w:div w:id="672874785">
      <w:bodyDiv w:val="1"/>
      <w:marLeft w:val="0"/>
      <w:marRight w:val="0"/>
      <w:marTop w:val="0"/>
      <w:marBottom w:val="0"/>
      <w:divBdr>
        <w:top w:val="none" w:sz="0" w:space="0" w:color="auto"/>
        <w:left w:val="none" w:sz="0" w:space="0" w:color="auto"/>
        <w:bottom w:val="none" w:sz="0" w:space="0" w:color="auto"/>
        <w:right w:val="none" w:sz="0" w:space="0" w:color="auto"/>
      </w:divBdr>
    </w:div>
    <w:div w:id="718239131">
      <w:bodyDiv w:val="1"/>
      <w:marLeft w:val="0"/>
      <w:marRight w:val="0"/>
      <w:marTop w:val="0"/>
      <w:marBottom w:val="0"/>
      <w:divBdr>
        <w:top w:val="none" w:sz="0" w:space="0" w:color="auto"/>
        <w:left w:val="none" w:sz="0" w:space="0" w:color="auto"/>
        <w:bottom w:val="none" w:sz="0" w:space="0" w:color="auto"/>
        <w:right w:val="none" w:sz="0" w:space="0" w:color="auto"/>
      </w:divBdr>
    </w:div>
    <w:div w:id="721178463">
      <w:bodyDiv w:val="1"/>
      <w:marLeft w:val="0"/>
      <w:marRight w:val="0"/>
      <w:marTop w:val="0"/>
      <w:marBottom w:val="0"/>
      <w:divBdr>
        <w:top w:val="none" w:sz="0" w:space="0" w:color="auto"/>
        <w:left w:val="none" w:sz="0" w:space="0" w:color="auto"/>
        <w:bottom w:val="none" w:sz="0" w:space="0" w:color="auto"/>
        <w:right w:val="none" w:sz="0" w:space="0" w:color="auto"/>
      </w:divBdr>
    </w:div>
    <w:div w:id="729235718">
      <w:bodyDiv w:val="1"/>
      <w:marLeft w:val="0"/>
      <w:marRight w:val="0"/>
      <w:marTop w:val="0"/>
      <w:marBottom w:val="0"/>
      <w:divBdr>
        <w:top w:val="none" w:sz="0" w:space="0" w:color="auto"/>
        <w:left w:val="none" w:sz="0" w:space="0" w:color="auto"/>
        <w:bottom w:val="none" w:sz="0" w:space="0" w:color="auto"/>
        <w:right w:val="none" w:sz="0" w:space="0" w:color="auto"/>
      </w:divBdr>
    </w:div>
    <w:div w:id="811214797">
      <w:bodyDiv w:val="1"/>
      <w:marLeft w:val="0"/>
      <w:marRight w:val="0"/>
      <w:marTop w:val="0"/>
      <w:marBottom w:val="0"/>
      <w:divBdr>
        <w:top w:val="none" w:sz="0" w:space="0" w:color="auto"/>
        <w:left w:val="none" w:sz="0" w:space="0" w:color="auto"/>
        <w:bottom w:val="none" w:sz="0" w:space="0" w:color="auto"/>
        <w:right w:val="none" w:sz="0" w:space="0" w:color="auto"/>
      </w:divBdr>
    </w:div>
    <w:div w:id="904533556">
      <w:bodyDiv w:val="1"/>
      <w:marLeft w:val="0"/>
      <w:marRight w:val="0"/>
      <w:marTop w:val="0"/>
      <w:marBottom w:val="0"/>
      <w:divBdr>
        <w:top w:val="none" w:sz="0" w:space="0" w:color="auto"/>
        <w:left w:val="none" w:sz="0" w:space="0" w:color="auto"/>
        <w:bottom w:val="none" w:sz="0" w:space="0" w:color="auto"/>
        <w:right w:val="none" w:sz="0" w:space="0" w:color="auto"/>
      </w:divBdr>
    </w:div>
    <w:div w:id="1078290921">
      <w:bodyDiv w:val="1"/>
      <w:marLeft w:val="0"/>
      <w:marRight w:val="0"/>
      <w:marTop w:val="0"/>
      <w:marBottom w:val="0"/>
      <w:divBdr>
        <w:top w:val="none" w:sz="0" w:space="0" w:color="auto"/>
        <w:left w:val="none" w:sz="0" w:space="0" w:color="auto"/>
        <w:bottom w:val="none" w:sz="0" w:space="0" w:color="auto"/>
        <w:right w:val="none" w:sz="0" w:space="0" w:color="auto"/>
      </w:divBdr>
    </w:div>
    <w:div w:id="1154103292">
      <w:bodyDiv w:val="1"/>
      <w:marLeft w:val="0"/>
      <w:marRight w:val="0"/>
      <w:marTop w:val="0"/>
      <w:marBottom w:val="0"/>
      <w:divBdr>
        <w:top w:val="none" w:sz="0" w:space="0" w:color="auto"/>
        <w:left w:val="none" w:sz="0" w:space="0" w:color="auto"/>
        <w:bottom w:val="none" w:sz="0" w:space="0" w:color="auto"/>
        <w:right w:val="none" w:sz="0" w:space="0" w:color="auto"/>
      </w:divBdr>
    </w:div>
    <w:div w:id="1206791427">
      <w:bodyDiv w:val="1"/>
      <w:marLeft w:val="0"/>
      <w:marRight w:val="0"/>
      <w:marTop w:val="0"/>
      <w:marBottom w:val="0"/>
      <w:divBdr>
        <w:top w:val="none" w:sz="0" w:space="0" w:color="auto"/>
        <w:left w:val="none" w:sz="0" w:space="0" w:color="auto"/>
        <w:bottom w:val="none" w:sz="0" w:space="0" w:color="auto"/>
        <w:right w:val="none" w:sz="0" w:space="0" w:color="auto"/>
      </w:divBdr>
    </w:div>
    <w:div w:id="1223524256">
      <w:bodyDiv w:val="1"/>
      <w:marLeft w:val="0"/>
      <w:marRight w:val="0"/>
      <w:marTop w:val="0"/>
      <w:marBottom w:val="0"/>
      <w:divBdr>
        <w:top w:val="none" w:sz="0" w:space="0" w:color="auto"/>
        <w:left w:val="none" w:sz="0" w:space="0" w:color="auto"/>
        <w:bottom w:val="none" w:sz="0" w:space="0" w:color="auto"/>
        <w:right w:val="none" w:sz="0" w:space="0" w:color="auto"/>
      </w:divBdr>
    </w:div>
    <w:div w:id="1230731773">
      <w:bodyDiv w:val="1"/>
      <w:marLeft w:val="0"/>
      <w:marRight w:val="0"/>
      <w:marTop w:val="0"/>
      <w:marBottom w:val="0"/>
      <w:divBdr>
        <w:top w:val="none" w:sz="0" w:space="0" w:color="auto"/>
        <w:left w:val="none" w:sz="0" w:space="0" w:color="auto"/>
        <w:bottom w:val="none" w:sz="0" w:space="0" w:color="auto"/>
        <w:right w:val="none" w:sz="0" w:space="0" w:color="auto"/>
      </w:divBdr>
    </w:div>
    <w:div w:id="1291982092">
      <w:bodyDiv w:val="1"/>
      <w:marLeft w:val="0"/>
      <w:marRight w:val="0"/>
      <w:marTop w:val="0"/>
      <w:marBottom w:val="0"/>
      <w:divBdr>
        <w:top w:val="none" w:sz="0" w:space="0" w:color="auto"/>
        <w:left w:val="none" w:sz="0" w:space="0" w:color="auto"/>
        <w:bottom w:val="none" w:sz="0" w:space="0" w:color="auto"/>
        <w:right w:val="none" w:sz="0" w:space="0" w:color="auto"/>
      </w:divBdr>
    </w:div>
    <w:div w:id="1353142257">
      <w:bodyDiv w:val="1"/>
      <w:marLeft w:val="0"/>
      <w:marRight w:val="0"/>
      <w:marTop w:val="0"/>
      <w:marBottom w:val="0"/>
      <w:divBdr>
        <w:top w:val="none" w:sz="0" w:space="0" w:color="auto"/>
        <w:left w:val="none" w:sz="0" w:space="0" w:color="auto"/>
        <w:bottom w:val="none" w:sz="0" w:space="0" w:color="auto"/>
        <w:right w:val="none" w:sz="0" w:space="0" w:color="auto"/>
      </w:divBdr>
    </w:div>
    <w:div w:id="1412459943">
      <w:bodyDiv w:val="1"/>
      <w:marLeft w:val="0"/>
      <w:marRight w:val="0"/>
      <w:marTop w:val="0"/>
      <w:marBottom w:val="0"/>
      <w:divBdr>
        <w:top w:val="none" w:sz="0" w:space="0" w:color="auto"/>
        <w:left w:val="none" w:sz="0" w:space="0" w:color="auto"/>
        <w:bottom w:val="none" w:sz="0" w:space="0" w:color="auto"/>
        <w:right w:val="none" w:sz="0" w:space="0" w:color="auto"/>
      </w:divBdr>
    </w:div>
    <w:div w:id="1431656496">
      <w:bodyDiv w:val="1"/>
      <w:marLeft w:val="0"/>
      <w:marRight w:val="0"/>
      <w:marTop w:val="0"/>
      <w:marBottom w:val="0"/>
      <w:divBdr>
        <w:top w:val="none" w:sz="0" w:space="0" w:color="auto"/>
        <w:left w:val="none" w:sz="0" w:space="0" w:color="auto"/>
        <w:bottom w:val="none" w:sz="0" w:space="0" w:color="auto"/>
        <w:right w:val="none" w:sz="0" w:space="0" w:color="auto"/>
      </w:divBdr>
    </w:div>
    <w:div w:id="1443719340">
      <w:bodyDiv w:val="1"/>
      <w:marLeft w:val="0"/>
      <w:marRight w:val="0"/>
      <w:marTop w:val="0"/>
      <w:marBottom w:val="0"/>
      <w:divBdr>
        <w:top w:val="none" w:sz="0" w:space="0" w:color="auto"/>
        <w:left w:val="none" w:sz="0" w:space="0" w:color="auto"/>
        <w:bottom w:val="none" w:sz="0" w:space="0" w:color="auto"/>
        <w:right w:val="none" w:sz="0" w:space="0" w:color="auto"/>
      </w:divBdr>
    </w:div>
    <w:div w:id="1769502470">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1912691098">
      <w:bodyDiv w:val="1"/>
      <w:marLeft w:val="0"/>
      <w:marRight w:val="0"/>
      <w:marTop w:val="0"/>
      <w:marBottom w:val="0"/>
      <w:divBdr>
        <w:top w:val="none" w:sz="0" w:space="0" w:color="auto"/>
        <w:left w:val="none" w:sz="0" w:space="0" w:color="auto"/>
        <w:bottom w:val="none" w:sz="0" w:space="0" w:color="auto"/>
        <w:right w:val="none" w:sz="0" w:space="0" w:color="auto"/>
      </w:divBdr>
    </w:div>
    <w:div w:id="19766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UNEP/OzL.Pro/ExCom/88/40</Document_x0020_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42A44C-609B-4C30-BE2F-E350018C74D6}"/>
</file>

<file path=customXml/itemProps2.xml><?xml version="1.0" encoding="utf-8"?>
<ds:datastoreItem xmlns:ds="http://schemas.openxmlformats.org/officeDocument/2006/customXml" ds:itemID="{91B6DEF9-0C67-4281-86AE-130336F0B894}"/>
</file>

<file path=customXml/itemProps3.xml><?xml version="1.0" encoding="utf-8"?>
<ds:datastoreItem xmlns:ds="http://schemas.openxmlformats.org/officeDocument/2006/customXml" ds:itemID="{65A3A800-E171-4C3F-BDD6-AB9891BDA0B6}"/>
</file>

<file path=customXml/itemProps4.xml><?xml version="1.0" encoding="utf-8"?>
<ds:datastoreItem xmlns:ds="http://schemas.openxmlformats.org/officeDocument/2006/customXml" ds:itemID="{04DEC226-11A6-40E5-82E5-046945D1B125}"/>
</file>

<file path=docProps/app.xml><?xml version="1.0" encoding="utf-8"?>
<Properties xmlns="http://schemas.openxmlformats.org/officeDocument/2006/extended-properties" xmlns:vt="http://schemas.openxmlformats.org/officeDocument/2006/docPropsVTypes">
  <Template>Normal</Template>
  <TotalTime>2</TotalTime>
  <Pages>20</Pages>
  <Words>7552</Words>
  <Characters>43051</Characters>
  <Application>Microsoft Office Word</Application>
  <DocSecurity>0</DocSecurity>
  <Lines>358</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Proposition de projet: Cabo Verde</vt:lpstr>
      <vt:lpstr>Project proposal: Cabo Verde</vt:lpstr>
    </vt:vector>
  </TitlesOfParts>
  <Company>UNMFS</Company>
  <LinksUpToDate>false</LinksUpToDate>
  <CharactersWithSpaces>50502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Cabo Verde</dc:title>
  <dc:creator>Mirian Vega</dc:creator>
  <cp:lastModifiedBy>HBE</cp:lastModifiedBy>
  <cp:revision>4</cp:revision>
  <cp:lastPrinted>2021-10-22T13:52:00Z</cp:lastPrinted>
  <dcterms:created xsi:type="dcterms:W3CDTF">2021-10-25T01:04:00Z</dcterms:created>
  <dcterms:modified xsi:type="dcterms:W3CDTF">2021-11-24T19:17:00Z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UNEP/OzL.Pro/ExCom/88/40</vt:lpwstr>
  </property>
  <property fmtid="{D5CDD505-2E9C-101B-9397-08002B2CF9AE}" pid="3" name="Revision date">
    <vt:lpwstr>10/20/2021</vt:lpwstr>
  </property>
  <property fmtid="{D5CDD505-2E9C-101B-9397-08002B2CF9AE}" pid="4" name="ContentTypeId">
    <vt:lpwstr>0x01010009F56DB39A5B9F46AA87ED0A960035E8</vt:lpwstr>
  </property>
</Properties>
</file>