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32" w:type="dxa"/>
        <w:tblLayout w:type="fixed"/>
        <w:tblLook w:val="0000" w:firstRow="0" w:lastRow="0" w:firstColumn="0" w:lastColumn="0" w:noHBand="0" w:noVBand="0"/>
      </w:tblPr>
      <w:tblGrid>
        <w:gridCol w:w="2070"/>
        <w:gridCol w:w="3420"/>
        <w:gridCol w:w="4590"/>
      </w:tblGrid>
      <w:tr w:rsidR="00C15867" w:rsidRPr="0042463B" w14:paraId="5E93EF27" w14:textId="77777777" w:rsidTr="004252EC">
        <w:trPr>
          <w:trHeight w:val="720"/>
        </w:trPr>
        <w:tc>
          <w:tcPr>
            <w:tcW w:w="5490" w:type="dxa"/>
            <w:gridSpan w:val="2"/>
            <w:tcBorders>
              <w:bottom w:val="single" w:sz="18" w:space="0" w:color="auto"/>
            </w:tcBorders>
          </w:tcPr>
          <w:p w14:paraId="5727E54F" w14:textId="77777777" w:rsidR="00C15867" w:rsidRPr="0042463B" w:rsidRDefault="00C15867" w:rsidP="00316BDD">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42463B">
              <w:rPr>
                <w:rFonts w:ascii="Univers" w:hAnsi="Univers"/>
                <w:b/>
                <w:sz w:val="28"/>
                <w:szCs w:val="28"/>
              </w:rPr>
              <w:t xml:space="preserve">NATIONS </w:t>
            </w:r>
            <w:r w:rsidRPr="0042463B">
              <w:rPr>
                <w:rFonts w:ascii="Univers" w:hAnsi="Univers"/>
                <w:b/>
                <w:sz w:val="28"/>
                <w:szCs w:val="28"/>
              </w:rPr>
              <w:br/>
              <w:t>UNIES</w:t>
            </w:r>
          </w:p>
        </w:tc>
        <w:tc>
          <w:tcPr>
            <w:tcW w:w="4590" w:type="dxa"/>
            <w:tcBorders>
              <w:bottom w:val="single" w:sz="18" w:space="0" w:color="auto"/>
            </w:tcBorders>
          </w:tcPr>
          <w:p w14:paraId="3094FBFD" w14:textId="77777777" w:rsidR="00C15867" w:rsidRPr="0042463B" w:rsidRDefault="00C15867" w:rsidP="00316BDD">
            <w:pPr>
              <w:jc w:val="right"/>
              <w:rPr>
                <w:sz w:val="52"/>
                <w:szCs w:val="52"/>
              </w:rPr>
            </w:pPr>
            <w:r w:rsidRPr="0042463B">
              <w:rPr>
                <w:rFonts w:ascii="Univers Bold" w:hAnsi="Univers Bold"/>
                <w:b/>
                <w:sz w:val="72"/>
              </w:rPr>
              <w:t>EP</w:t>
            </w:r>
          </w:p>
        </w:tc>
      </w:tr>
      <w:tr w:rsidR="00C15867" w:rsidRPr="0042463B" w14:paraId="1FC1D01F" w14:textId="77777777" w:rsidTr="004252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6C4A87A1" w14:textId="77777777" w:rsidR="00C15867" w:rsidRPr="0042463B" w:rsidRDefault="00E52838" w:rsidP="00316BDD">
            <w:pPr>
              <w:spacing w:before="120"/>
            </w:pPr>
            <w:r w:rsidRPr="0042463B">
              <w:rPr>
                <w:noProof/>
                <w:lang w:val="en-CA" w:eastAsia="en-CA"/>
              </w:rPr>
              <mc:AlternateContent>
                <mc:Choice Requires="wpg">
                  <w:drawing>
                    <wp:anchor distT="0" distB="0" distL="114300" distR="114300" simplePos="0" relativeHeight="251660288" behindDoc="0" locked="0" layoutInCell="1" allowOverlap="1" wp14:anchorId="1C43725A" wp14:editId="6286A3E9">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2CB3D29" id="Group 1" o:spid="_x0000_s1026" style="position:absolute;margin-left:.2pt;margin-top:2.85pt;width:66.5pt;height:127.25pt;z-index:251660288"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10" o:title="UNEP"/>
                        <v:path arrowok="t"/>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11" o:title=""/>
                        <v:path arrowok="t"/>
                      </v:shape>
                    </v:group>
                  </w:pict>
                </mc:Fallback>
              </mc:AlternateContent>
            </w:r>
          </w:p>
        </w:tc>
        <w:tc>
          <w:tcPr>
            <w:tcW w:w="3420" w:type="dxa"/>
            <w:tcBorders>
              <w:top w:val="nil"/>
              <w:left w:val="nil"/>
              <w:bottom w:val="single" w:sz="36" w:space="0" w:color="auto"/>
              <w:right w:val="nil"/>
            </w:tcBorders>
          </w:tcPr>
          <w:p w14:paraId="02420AE0" w14:textId="1B0378E6" w:rsidR="00C15867" w:rsidRPr="0042463B" w:rsidRDefault="00C15867" w:rsidP="00316BDD">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sidRPr="0042463B">
              <w:rPr>
                <w:rFonts w:ascii="Univers" w:hAnsi="Univers"/>
                <w:b/>
                <w:sz w:val="32"/>
              </w:rPr>
              <w:t>Programme</w:t>
            </w:r>
            <w:r w:rsidR="004252EC" w:rsidRPr="0042463B">
              <w:rPr>
                <w:rFonts w:ascii="Univers" w:hAnsi="Univers"/>
                <w:b/>
                <w:sz w:val="32"/>
              </w:rPr>
              <w:t xml:space="preserve"> des</w:t>
            </w:r>
          </w:p>
          <w:p w14:paraId="3AA7EFB1" w14:textId="4D81466D" w:rsidR="00C15867" w:rsidRPr="0042463B" w:rsidRDefault="00C15867" w:rsidP="00316BDD">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sidRPr="0042463B">
              <w:rPr>
                <w:rFonts w:ascii="Univers" w:hAnsi="Univers"/>
                <w:b/>
                <w:sz w:val="32"/>
              </w:rPr>
              <w:t>Nations Unies</w:t>
            </w:r>
            <w:r w:rsidR="004252EC" w:rsidRPr="0042463B">
              <w:rPr>
                <w:rFonts w:ascii="Univers" w:hAnsi="Univers"/>
                <w:b/>
                <w:sz w:val="32"/>
              </w:rPr>
              <w:t xml:space="preserve"> pour</w:t>
            </w:r>
          </w:p>
          <w:p w14:paraId="57A33B9C" w14:textId="7377974A" w:rsidR="00C15867" w:rsidRPr="0042463B" w:rsidRDefault="00C15867" w:rsidP="00316BDD">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sidRPr="0042463B">
              <w:rPr>
                <w:rFonts w:ascii="Univers" w:hAnsi="Univers"/>
                <w:b/>
                <w:sz w:val="32"/>
              </w:rPr>
              <w:t>l’environnement</w:t>
            </w:r>
          </w:p>
          <w:p w14:paraId="2C32A624" w14:textId="77777777" w:rsidR="00C15867" w:rsidRPr="0042463B" w:rsidRDefault="00C15867" w:rsidP="00316BDD">
            <w:pPr>
              <w:spacing w:before="720"/>
              <w:ind w:left="158"/>
            </w:pPr>
          </w:p>
        </w:tc>
        <w:tc>
          <w:tcPr>
            <w:tcW w:w="4590" w:type="dxa"/>
            <w:tcBorders>
              <w:top w:val="nil"/>
              <w:left w:val="nil"/>
              <w:bottom w:val="single" w:sz="36" w:space="0" w:color="auto"/>
              <w:right w:val="nil"/>
            </w:tcBorders>
          </w:tcPr>
          <w:p w14:paraId="40F9BB63" w14:textId="77777777" w:rsidR="004252EC" w:rsidRPr="0042463B" w:rsidRDefault="004252EC" w:rsidP="004252EC">
            <w:pPr>
              <w:rPr>
                <w:lang w:val="fr-FR"/>
              </w:rPr>
            </w:pPr>
            <w:proofErr w:type="spellStart"/>
            <w:r w:rsidRPr="0042463B">
              <w:rPr>
                <w:lang w:val="fr-FR"/>
              </w:rPr>
              <w:t>Distr</w:t>
            </w:r>
            <w:proofErr w:type="spellEnd"/>
            <w:r w:rsidRPr="0042463B">
              <w:rPr>
                <w:lang w:val="fr-FR"/>
              </w:rPr>
              <w:t>.</w:t>
            </w:r>
          </w:p>
          <w:p w14:paraId="4796ADCA" w14:textId="77777777" w:rsidR="004252EC" w:rsidRPr="0042463B" w:rsidRDefault="004252EC" w:rsidP="004252EC">
            <w:pPr>
              <w:rPr>
                <w:lang w:val="fr-FR"/>
              </w:rPr>
            </w:pPr>
            <w:r w:rsidRPr="0042463B">
              <w:rPr>
                <w:lang w:val="fr-FR"/>
              </w:rPr>
              <w:t>GÉNÉRALE</w:t>
            </w:r>
          </w:p>
          <w:p w14:paraId="277E8C0B" w14:textId="77777777" w:rsidR="00C15867" w:rsidRPr="0042463B" w:rsidRDefault="00C15867" w:rsidP="00316BDD"/>
          <w:p w14:paraId="3CCF547E" w14:textId="7ABB3F73" w:rsidR="00C15867" w:rsidRPr="0042463B" w:rsidRDefault="008569C2" w:rsidP="00316BDD">
            <w:pPr>
              <w:rPr>
                <w:lang w:val="fr-FR"/>
              </w:rPr>
            </w:pPr>
            <w:r w:rsidRPr="0042463B">
              <w:fldChar w:fldCharType="begin"/>
            </w:r>
            <w:r w:rsidRPr="0042463B">
              <w:rPr>
                <w:lang w:val="fr-FR"/>
              </w:rPr>
              <w:instrText xml:space="preserve"> DOCPROPERTY "Document number"  \* MERGEFORMAT </w:instrText>
            </w:r>
            <w:r w:rsidRPr="0042463B">
              <w:fldChar w:fldCharType="separate"/>
            </w:r>
            <w:r w:rsidR="00FD303E" w:rsidRPr="0042463B">
              <w:rPr>
                <w:lang w:val="fr-FR"/>
              </w:rPr>
              <w:t>UNEP/</w:t>
            </w:r>
            <w:proofErr w:type="spellStart"/>
            <w:r w:rsidR="00FD303E" w:rsidRPr="0042463B">
              <w:rPr>
                <w:lang w:val="fr-FR"/>
              </w:rPr>
              <w:t>OzL.Pro</w:t>
            </w:r>
            <w:proofErr w:type="spellEnd"/>
            <w:r w:rsidR="00FD303E" w:rsidRPr="0042463B">
              <w:rPr>
                <w:lang w:val="fr-FR"/>
              </w:rPr>
              <w:t>/</w:t>
            </w:r>
            <w:proofErr w:type="spellStart"/>
            <w:r w:rsidR="00FD303E" w:rsidRPr="0042463B">
              <w:rPr>
                <w:lang w:val="fr-FR"/>
              </w:rPr>
              <w:t>ExCom</w:t>
            </w:r>
            <w:proofErr w:type="spellEnd"/>
            <w:r w:rsidR="00FD303E" w:rsidRPr="0042463B">
              <w:rPr>
                <w:lang w:val="fr-FR"/>
              </w:rPr>
              <w:t>/88/38</w:t>
            </w:r>
            <w:r w:rsidRPr="0042463B">
              <w:fldChar w:fldCharType="end"/>
            </w:r>
          </w:p>
          <w:p w14:paraId="78E93F16" w14:textId="5D5901B8" w:rsidR="00C15867" w:rsidRPr="0042463B" w:rsidRDefault="00BC2495" w:rsidP="00316BDD">
            <w:pPr>
              <w:rPr>
                <w:lang w:val="fr-FR"/>
              </w:rPr>
            </w:pPr>
            <w:r w:rsidRPr="0042463B">
              <w:fldChar w:fldCharType="begin"/>
            </w:r>
            <w:r w:rsidR="00851352" w:rsidRPr="0042463B">
              <w:rPr>
                <w:lang w:val="fr-FR"/>
              </w:rPr>
              <w:instrText xml:space="preserve"> DOCPROPERTY "Revision date" \@ "d MMMM YYYY"  \* MERGEFORMAT </w:instrText>
            </w:r>
            <w:r w:rsidRPr="0042463B">
              <w:fldChar w:fldCharType="separate"/>
            </w:r>
            <w:r w:rsidR="00767209" w:rsidRPr="0042463B">
              <w:rPr>
                <w:lang w:val="fr-FR"/>
              </w:rPr>
              <w:t xml:space="preserve">6 </w:t>
            </w:r>
            <w:r w:rsidR="00BF494C" w:rsidRPr="0042463B">
              <w:rPr>
                <w:lang w:val="fr-FR"/>
              </w:rPr>
              <w:t>n</w:t>
            </w:r>
            <w:r w:rsidR="00767209" w:rsidRPr="0042463B">
              <w:rPr>
                <w:lang w:val="fr-FR"/>
              </w:rPr>
              <w:t>ovemb</w:t>
            </w:r>
            <w:r w:rsidR="00BF494C" w:rsidRPr="0042463B">
              <w:rPr>
                <w:lang w:val="fr-FR"/>
              </w:rPr>
              <w:t>re</w:t>
            </w:r>
            <w:r w:rsidR="00767209" w:rsidRPr="0042463B">
              <w:rPr>
                <w:lang w:val="fr-FR"/>
              </w:rPr>
              <w:t xml:space="preserve"> 2021</w:t>
            </w:r>
            <w:r w:rsidRPr="0042463B">
              <w:fldChar w:fldCharType="end"/>
            </w:r>
          </w:p>
          <w:p w14:paraId="27261C9D" w14:textId="77777777" w:rsidR="00C15867" w:rsidRPr="0042463B" w:rsidRDefault="00C15867" w:rsidP="00316BDD">
            <w:pPr>
              <w:rPr>
                <w:caps/>
                <w:lang w:val="fr-FR"/>
              </w:rPr>
            </w:pPr>
          </w:p>
          <w:p w14:paraId="5F185975" w14:textId="77777777" w:rsidR="004252EC" w:rsidRPr="0042463B" w:rsidRDefault="004252EC" w:rsidP="004252EC">
            <w:pPr>
              <w:rPr>
                <w:caps/>
                <w:lang w:val="fr-FR"/>
              </w:rPr>
            </w:pPr>
            <w:r w:rsidRPr="0042463B">
              <w:rPr>
                <w:caps/>
                <w:lang w:val="fr-FR"/>
              </w:rPr>
              <w:t>FRANÇAIS</w:t>
            </w:r>
          </w:p>
          <w:p w14:paraId="7C2482FB" w14:textId="442CB672" w:rsidR="00C15867" w:rsidRPr="0042463B" w:rsidRDefault="004252EC" w:rsidP="004252EC">
            <w:r w:rsidRPr="0042463B">
              <w:t>ORIGINAL: ANGLAIS</w:t>
            </w:r>
          </w:p>
        </w:tc>
      </w:tr>
    </w:tbl>
    <w:p w14:paraId="5F0E29B6" w14:textId="77777777" w:rsidR="004252EC" w:rsidRPr="0042463B" w:rsidRDefault="004252EC" w:rsidP="004252EC">
      <w:pPr>
        <w:jc w:val="left"/>
      </w:pPr>
      <w:r w:rsidRPr="0042463B">
        <w:t xml:space="preserve">COMITÉ EXÉCUTIF </w:t>
      </w:r>
    </w:p>
    <w:p w14:paraId="3D6324A7" w14:textId="77777777" w:rsidR="004252EC" w:rsidRPr="0042463B" w:rsidRDefault="004252EC" w:rsidP="004252EC">
      <w:pPr>
        <w:jc w:val="left"/>
      </w:pPr>
      <w:r w:rsidRPr="0042463B">
        <w:t xml:space="preserve">  DU FONDS MULTILATÉRAL AUX FINS </w:t>
      </w:r>
    </w:p>
    <w:p w14:paraId="1F81E5F9" w14:textId="77777777" w:rsidR="004252EC" w:rsidRPr="0042463B" w:rsidRDefault="004252EC" w:rsidP="004252EC">
      <w:pPr>
        <w:jc w:val="left"/>
      </w:pPr>
      <w:r w:rsidRPr="0042463B">
        <w:t xml:space="preserve">  D’APPLICATION DU PROTOCOLE DE MONTRÉAL</w:t>
      </w:r>
    </w:p>
    <w:p w14:paraId="556049FD" w14:textId="77777777" w:rsidR="004252EC" w:rsidRPr="0042463B" w:rsidRDefault="004252EC" w:rsidP="004252EC">
      <w:pPr>
        <w:jc w:val="left"/>
      </w:pPr>
      <w:r w:rsidRPr="0042463B">
        <w:t>Quatre-vingt-huitième réunion</w:t>
      </w:r>
    </w:p>
    <w:p w14:paraId="3A3F60F4" w14:textId="3E20FA93" w:rsidR="00066CE8" w:rsidRPr="0042463B" w:rsidRDefault="004252EC" w:rsidP="004252EC">
      <w:pPr>
        <w:jc w:val="left"/>
      </w:pPr>
      <w:r w:rsidRPr="0042463B">
        <w:t>Montréal, 15 – 19 novembre 2021</w:t>
      </w:r>
      <w:r w:rsidR="00B86471" w:rsidRPr="0042463B">
        <w:rPr>
          <w:rStyle w:val="FootnoteReference"/>
        </w:rPr>
        <w:footnoteReference w:id="1"/>
      </w:r>
    </w:p>
    <w:p w14:paraId="2C7738A6" w14:textId="77777777" w:rsidR="00C15867" w:rsidRPr="0042463B" w:rsidRDefault="00C15867" w:rsidP="00857077">
      <w:pPr>
        <w:jc w:val="left"/>
      </w:pPr>
    </w:p>
    <w:p w14:paraId="74C50122" w14:textId="598604D6" w:rsidR="00066CE8" w:rsidRPr="0042463B" w:rsidRDefault="00066CE8" w:rsidP="00857077">
      <w:pPr>
        <w:jc w:val="left"/>
      </w:pPr>
    </w:p>
    <w:p w14:paraId="05747863" w14:textId="77777777" w:rsidR="0042463B" w:rsidRPr="0042463B" w:rsidRDefault="0042463B" w:rsidP="00857077">
      <w:pPr>
        <w:jc w:val="left"/>
      </w:pPr>
    </w:p>
    <w:p w14:paraId="44C96478" w14:textId="0AA015BA" w:rsidR="00EB31E3" w:rsidRPr="0042463B" w:rsidRDefault="00FD303E" w:rsidP="00EB31E3">
      <w:pPr>
        <w:jc w:val="center"/>
        <w:rPr>
          <w:b/>
        </w:rPr>
      </w:pPr>
      <w:r w:rsidRPr="0042463B">
        <w:rPr>
          <w:b/>
        </w:rPr>
        <w:t>PROPOSITION DE PROJET : BAHREÏN</w:t>
      </w:r>
    </w:p>
    <w:p w14:paraId="7D2037D1" w14:textId="77777777" w:rsidR="00EB31E3" w:rsidRPr="0042463B" w:rsidRDefault="00EB31E3" w:rsidP="00EB31E3"/>
    <w:p w14:paraId="580A402A" w14:textId="5EFB1475" w:rsidR="00EB31E3" w:rsidRPr="0042463B" w:rsidRDefault="00EB31E3" w:rsidP="00EB31E3"/>
    <w:p w14:paraId="614CC73C" w14:textId="77777777" w:rsidR="0042463B" w:rsidRPr="0042463B" w:rsidRDefault="0042463B" w:rsidP="00EB31E3"/>
    <w:p w14:paraId="1C4C7330" w14:textId="77777777" w:rsidR="00EB31E3" w:rsidRPr="0042463B" w:rsidRDefault="00EB31E3" w:rsidP="00EB31E3">
      <w:pPr>
        <w:ind w:firstLine="720"/>
      </w:pPr>
      <w:r w:rsidRPr="0042463B">
        <w:t xml:space="preserve">Le présent document contient les observations et la recommandation du Secrétariat du Fonds sur la proposition de projet suivante : </w:t>
      </w:r>
    </w:p>
    <w:p w14:paraId="3BEBA971" w14:textId="77777777" w:rsidR="00EB31E3" w:rsidRPr="0042463B" w:rsidRDefault="00EB31E3" w:rsidP="00EB31E3"/>
    <w:p w14:paraId="5AD025F2" w14:textId="77777777" w:rsidR="00EB31E3" w:rsidRPr="0042463B" w:rsidRDefault="00EB31E3" w:rsidP="00EB31E3">
      <w:pPr>
        <w:rPr>
          <w:u w:val="single"/>
        </w:rPr>
      </w:pPr>
      <w:r w:rsidRPr="0042463B">
        <w:rPr>
          <w:u w:val="single"/>
        </w:rPr>
        <w:t>Élimination</w:t>
      </w:r>
    </w:p>
    <w:p w14:paraId="7E4CA334" w14:textId="77777777" w:rsidR="00EB31E3" w:rsidRPr="0042463B" w:rsidRDefault="00EB31E3" w:rsidP="00EB31E3"/>
    <w:p w14:paraId="5D1E107A" w14:textId="77777777" w:rsidR="00C60B94" w:rsidRPr="0042463B" w:rsidRDefault="00C60B94" w:rsidP="00EB31E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EB31E3" w:rsidRPr="0042463B" w14:paraId="5AB096E4" w14:textId="77777777" w:rsidTr="00316BDD">
        <w:tc>
          <w:tcPr>
            <w:tcW w:w="6941" w:type="dxa"/>
          </w:tcPr>
          <w:p w14:paraId="656B0BA2" w14:textId="77777777" w:rsidR="00EB31E3" w:rsidRPr="0042463B" w:rsidRDefault="00EB31E3" w:rsidP="00316BDD">
            <w:pPr>
              <w:pStyle w:val="ListParagraph"/>
              <w:numPr>
                <w:ilvl w:val="0"/>
                <w:numId w:val="21"/>
              </w:numPr>
              <w:ind w:hanging="830"/>
            </w:pPr>
            <w:r w:rsidRPr="0042463B">
              <w:t>Plan de gestion de l’élimination des HCFC (phase II, première tranche)</w:t>
            </w:r>
          </w:p>
        </w:tc>
        <w:tc>
          <w:tcPr>
            <w:tcW w:w="2409" w:type="dxa"/>
          </w:tcPr>
          <w:p w14:paraId="56AA3498" w14:textId="77777777" w:rsidR="00EB31E3" w:rsidRPr="0042463B" w:rsidRDefault="00C60B94" w:rsidP="00C60B94">
            <w:pPr>
              <w:jc w:val="right"/>
            </w:pPr>
            <w:r w:rsidRPr="0042463B">
              <w:t>PNUE et ONUDI</w:t>
            </w:r>
          </w:p>
        </w:tc>
      </w:tr>
    </w:tbl>
    <w:p w14:paraId="43998357" w14:textId="77777777" w:rsidR="00EB31E3" w:rsidRPr="0042463B" w:rsidRDefault="00EB31E3" w:rsidP="00EB31E3"/>
    <w:p w14:paraId="73508AA0" w14:textId="77777777" w:rsidR="00EB31E3" w:rsidRPr="0042463B" w:rsidRDefault="00EB31E3" w:rsidP="00EB31E3"/>
    <w:p w14:paraId="73E31D26" w14:textId="77777777" w:rsidR="00EB31E3" w:rsidRPr="0042463B" w:rsidRDefault="00EB31E3">
      <w:pPr>
        <w:jc w:val="left"/>
      </w:pPr>
    </w:p>
    <w:p w14:paraId="6AE232EA" w14:textId="77777777" w:rsidR="00EB31E3" w:rsidRPr="0042463B" w:rsidRDefault="00EB31E3">
      <w:pPr>
        <w:jc w:val="left"/>
      </w:pPr>
      <w:r w:rsidRPr="0042463B">
        <w:br w:type="page"/>
      </w:r>
    </w:p>
    <w:p w14:paraId="02C81B72" w14:textId="77777777" w:rsidR="00EB31E3" w:rsidRPr="0042463B" w:rsidRDefault="00EB31E3" w:rsidP="00167411">
      <w:pPr>
        <w:spacing w:after="120"/>
        <w:jc w:val="center"/>
        <w:rPr>
          <w:b/>
        </w:rPr>
      </w:pPr>
      <w:r w:rsidRPr="0042463B">
        <w:rPr>
          <w:b/>
        </w:rPr>
        <w:lastRenderedPageBreak/>
        <w:t>FICHE D’ÉVALUATION DU PROJET – PROJETS PLURIANNUELS</w:t>
      </w:r>
    </w:p>
    <w:p w14:paraId="6F6F6680" w14:textId="77777777" w:rsidR="00EB31E3" w:rsidRPr="0042463B" w:rsidRDefault="00C60B94" w:rsidP="00EB31E3">
      <w:pPr>
        <w:jc w:val="center"/>
        <w:rPr>
          <w:b/>
        </w:rPr>
      </w:pPr>
      <w:r w:rsidRPr="0042463B">
        <w:rPr>
          <w:b/>
        </w:rPr>
        <w:t>BAHREÏN</w:t>
      </w:r>
    </w:p>
    <w:p w14:paraId="1FBC3E94" w14:textId="77777777" w:rsidR="00EB31E3" w:rsidRPr="0042463B" w:rsidRDefault="00EB31E3" w:rsidP="00EB31E3">
      <w:pPr>
        <w:jc w:val="center"/>
        <w:rPr>
          <w:sz w:val="18"/>
        </w:rPr>
      </w:pPr>
    </w:p>
    <w:tbl>
      <w:tblPr>
        <w:tblStyle w:val="TableGrid"/>
        <w:tblW w:w="5479" w:type="pct"/>
        <w:tblInd w:w="-431" w:type="dxa"/>
        <w:tblLook w:val="04A0" w:firstRow="1" w:lastRow="0" w:firstColumn="1" w:lastColumn="0" w:noHBand="0" w:noVBand="1"/>
      </w:tblPr>
      <w:tblGrid>
        <w:gridCol w:w="4996"/>
        <w:gridCol w:w="5250"/>
      </w:tblGrid>
      <w:tr w:rsidR="00EB31E3" w:rsidRPr="0042463B" w14:paraId="4F16E02F" w14:textId="77777777" w:rsidTr="00FD303E">
        <w:trPr>
          <w:trHeight w:val="240"/>
        </w:trPr>
        <w:tc>
          <w:tcPr>
            <w:tcW w:w="2438" w:type="pct"/>
            <w:shd w:val="clear" w:color="auto" w:fill="auto"/>
          </w:tcPr>
          <w:p w14:paraId="13B973D5" w14:textId="77777777" w:rsidR="00EB31E3" w:rsidRPr="0042463B" w:rsidRDefault="00EB31E3" w:rsidP="00EB31E3">
            <w:pPr>
              <w:rPr>
                <w:b/>
                <w:bCs/>
                <w:sz w:val="20"/>
                <w:szCs w:val="20"/>
              </w:rPr>
            </w:pPr>
            <w:r w:rsidRPr="0042463B">
              <w:rPr>
                <w:b/>
                <w:bCs/>
                <w:sz w:val="20"/>
                <w:szCs w:val="20"/>
              </w:rPr>
              <w:t>(I) TITRE DU PROJET</w:t>
            </w:r>
          </w:p>
        </w:tc>
        <w:tc>
          <w:tcPr>
            <w:tcW w:w="2562" w:type="pct"/>
            <w:shd w:val="clear" w:color="auto" w:fill="auto"/>
          </w:tcPr>
          <w:p w14:paraId="4C9D7178" w14:textId="77777777" w:rsidR="00EB31E3" w:rsidRPr="0042463B" w:rsidRDefault="00EB31E3" w:rsidP="00EB31E3">
            <w:pPr>
              <w:jc w:val="center"/>
              <w:rPr>
                <w:b/>
                <w:bCs/>
                <w:sz w:val="20"/>
                <w:szCs w:val="20"/>
              </w:rPr>
            </w:pPr>
            <w:r w:rsidRPr="0042463B">
              <w:rPr>
                <w:b/>
                <w:bCs/>
                <w:sz w:val="20"/>
                <w:szCs w:val="20"/>
              </w:rPr>
              <w:t>AGENCE</w:t>
            </w:r>
          </w:p>
        </w:tc>
      </w:tr>
      <w:tr w:rsidR="00EB31E3" w:rsidRPr="0042463B" w14:paraId="3511F9B0" w14:textId="77777777" w:rsidTr="00FD303E">
        <w:trPr>
          <w:trHeight w:val="103"/>
        </w:trPr>
        <w:tc>
          <w:tcPr>
            <w:tcW w:w="2438" w:type="pct"/>
            <w:shd w:val="clear" w:color="auto" w:fill="auto"/>
          </w:tcPr>
          <w:p w14:paraId="3BA351E0" w14:textId="77777777" w:rsidR="00EB31E3" w:rsidRPr="0042463B" w:rsidRDefault="00EB31E3" w:rsidP="00EB31E3">
            <w:pPr>
              <w:spacing w:after="80"/>
              <w:jc w:val="center"/>
              <w:rPr>
                <w:color w:val="000000" w:themeColor="text1"/>
                <w:sz w:val="20"/>
                <w:szCs w:val="20"/>
              </w:rPr>
            </w:pPr>
            <w:r w:rsidRPr="0042463B">
              <w:rPr>
                <w:color w:val="000000" w:themeColor="text1"/>
                <w:sz w:val="20"/>
                <w:szCs w:val="20"/>
              </w:rPr>
              <w:t>Plan de l’élimination des HCFC (phase II)</w:t>
            </w:r>
          </w:p>
        </w:tc>
        <w:tc>
          <w:tcPr>
            <w:tcW w:w="2562" w:type="pct"/>
            <w:shd w:val="clear" w:color="auto" w:fill="auto"/>
          </w:tcPr>
          <w:p w14:paraId="0388E04F" w14:textId="77777777" w:rsidR="00EB31E3" w:rsidRPr="0042463B" w:rsidRDefault="00117E3E" w:rsidP="00117E3E">
            <w:pPr>
              <w:spacing w:after="80"/>
              <w:jc w:val="center"/>
              <w:rPr>
                <w:color w:val="000000" w:themeColor="text1"/>
                <w:sz w:val="20"/>
                <w:szCs w:val="20"/>
              </w:rPr>
            </w:pPr>
            <w:r w:rsidRPr="0042463B">
              <w:rPr>
                <w:color w:val="000000" w:themeColor="text1"/>
                <w:sz w:val="20"/>
                <w:szCs w:val="20"/>
              </w:rPr>
              <w:t>PNUE (principale), ONUDI</w:t>
            </w:r>
          </w:p>
        </w:tc>
      </w:tr>
    </w:tbl>
    <w:p w14:paraId="0DA49741" w14:textId="77777777" w:rsidR="00EB31E3" w:rsidRPr="0042463B" w:rsidRDefault="00EB31E3" w:rsidP="00EB31E3">
      <w:pPr>
        <w:jc w:val="center"/>
        <w:rPr>
          <w:sz w:val="20"/>
          <w:szCs w:val="20"/>
        </w:rPr>
      </w:pPr>
    </w:p>
    <w:tbl>
      <w:tblPr>
        <w:tblStyle w:val="TableGrid"/>
        <w:tblW w:w="5479" w:type="pct"/>
        <w:tblInd w:w="-431" w:type="dxa"/>
        <w:tblLook w:val="04A0" w:firstRow="1" w:lastRow="0" w:firstColumn="1" w:lastColumn="0" w:noHBand="0" w:noVBand="1"/>
      </w:tblPr>
      <w:tblGrid>
        <w:gridCol w:w="5705"/>
        <w:gridCol w:w="2578"/>
        <w:gridCol w:w="1963"/>
      </w:tblGrid>
      <w:tr w:rsidR="00EB31E3" w:rsidRPr="0042463B" w14:paraId="4933C62B" w14:textId="77777777" w:rsidTr="00FD303E">
        <w:trPr>
          <w:trHeight w:val="195"/>
        </w:trPr>
        <w:tc>
          <w:tcPr>
            <w:tcW w:w="2784" w:type="pct"/>
            <w:shd w:val="clear" w:color="auto" w:fill="auto"/>
          </w:tcPr>
          <w:p w14:paraId="7E4B4292" w14:textId="77777777" w:rsidR="00EB31E3" w:rsidRPr="0042463B" w:rsidRDefault="00EB31E3" w:rsidP="00EB31E3">
            <w:pPr>
              <w:spacing w:after="60"/>
              <w:jc w:val="left"/>
              <w:rPr>
                <w:b/>
                <w:sz w:val="20"/>
                <w:szCs w:val="20"/>
              </w:rPr>
            </w:pPr>
            <w:r w:rsidRPr="0042463B">
              <w:rPr>
                <w:b/>
                <w:sz w:val="20"/>
                <w:szCs w:val="20"/>
              </w:rPr>
              <w:t>(II) DERNIÈRES DONNÉES DE L’ARTICLE 7 (Annexe C groupe l)</w:t>
            </w:r>
          </w:p>
        </w:tc>
        <w:tc>
          <w:tcPr>
            <w:tcW w:w="1258" w:type="pct"/>
            <w:shd w:val="clear" w:color="auto" w:fill="auto"/>
          </w:tcPr>
          <w:p w14:paraId="2845D074" w14:textId="77777777" w:rsidR="00EB31E3" w:rsidRPr="0042463B" w:rsidRDefault="00EB31E3" w:rsidP="00EB31E3">
            <w:pPr>
              <w:spacing w:after="60"/>
              <w:jc w:val="center"/>
              <w:rPr>
                <w:sz w:val="20"/>
                <w:szCs w:val="20"/>
              </w:rPr>
            </w:pPr>
            <w:r w:rsidRPr="0042463B">
              <w:rPr>
                <w:sz w:val="20"/>
                <w:szCs w:val="20"/>
              </w:rPr>
              <w:t xml:space="preserve">Année : </w:t>
            </w:r>
            <w:r w:rsidRPr="0042463B">
              <w:rPr>
                <w:color w:val="000000" w:themeColor="text1"/>
                <w:sz w:val="20"/>
                <w:szCs w:val="20"/>
              </w:rPr>
              <w:t>2020</w:t>
            </w:r>
          </w:p>
        </w:tc>
        <w:tc>
          <w:tcPr>
            <w:tcW w:w="958" w:type="pct"/>
            <w:shd w:val="clear" w:color="auto" w:fill="auto"/>
          </w:tcPr>
          <w:p w14:paraId="195ABDE5" w14:textId="77777777" w:rsidR="00EB31E3" w:rsidRPr="0042463B" w:rsidRDefault="00117E3E" w:rsidP="00EB31E3">
            <w:pPr>
              <w:spacing w:after="60"/>
              <w:jc w:val="right"/>
              <w:rPr>
                <w:sz w:val="20"/>
                <w:szCs w:val="20"/>
              </w:rPr>
            </w:pPr>
            <w:r w:rsidRPr="0042463B">
              <w:rPr>
                <w:sz w:val="20"/>
                <w:szCs w:val="20"/>
              </w:rPr>
              <w:t>32,76 (tonnes PAO)</w:t>
            </w:r>
          </w:p>
        </w:tc>
      </w:tr>
    </w:tbl>
    <w:p w14:paraId="62464080" w14:textId="77777777" w:rsidR="00117E3E" w:rsidRPr="0042463B" w:rsidRDefault="00117E3E" w:rsidP="00117E3E">
      <w:pPr>
        <w:spacing w:after="60"/>
        <w:jc w:val="center"/>
        <w:rPr>
          <w:sz w:val="12"/>
          <w:szCs w:val="12"/>
        </w:rPr>
      </w:pPr>
    </w:p>
    <w:tbl>
      <w:tblPr>
        <w:tblStyle w:val="TableGrid"/>
        <w:tblW w:w="10236" w:type="dxa"/>
        <w:tblInd w:w="-431"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4A0" w:firstRow="1" w:lastRow="0" w:firstColumn="1" w:lastColumn="0" w:noHBand="0" w:noVBand="1"/>
      </w:tblPr>
      <w:tblGrid>
        <w:gridCol w:w="2269"/>
        <w:gridCol w:w="851"/>
        <w:gridCol w:w="671"/>
        <w:gridCol w:w="917"/>
        <w:gridCol w:w="1286"/>
        <w:gridCol w:w="953"/>
        <w:gridCol w:w="850"/>
        <w:gridCol w:w="851"/>
        <w:gridCol w:w="709"/>
        <w:gridCol w:w="879"/>
      </w:tblGrid>
      <w:tr w:rsidR="00117E3E" w:rsidRPr="0042463B" w14:paraId="38B7FDF7" w14:textId="77777777" w:rsidTr="00FD303E">
        <w:trPr>
          <w:trHeight w:val="240"/>
        </w:trPr>
        <w:tc>
          <w:tcPr>
            <w:tcW w:w="8648" w:type="dxa"/>
            <w:gridSpan w:val="8"/>
            <w:shd w:val="clear" w:color="auto" w:fill="auto"/>
          </w:tcPr>
          <w:p w14:paraId="3C256962" w14:textId="77777777" w:rsidR="00117E3E" w:rsidRPr="0042463B" w:rsidRDefault="00117E3E" w:rsidP="00617CFC">
            <w:pPr>
              <w:spacing w:after="60"/>
              <w:jc w:val="left"/>
              <w:rPr>
                <w:b/>
                <w:sz w:val="18"/>
              </w:rPr>
            </w:pPr>
            <w:r w:rsidRPr="0042463B">
              <w:rPr>
                <w:b/>
                <w:sz w:val="18"/>
              </w:rPr>
              <w:t>(III) DERNIÈRES DONNÉES SECTORIELLES DU PROGRAMME DU PAYS (tonnes PAO)</w:t>
            </w:r>
          </w:p>
        </w:tc>
        <w:tc>
          <w:tcPr>
            <w:tcW w:w="1588" w:type="dxa"/>
            <w:gridSpan w:val="2"/>
            <w:shd w:val="clear" w:color="auto" w:fill="auto"/>
          </w:tcPr>
          <w:p w14:paraId="0248AA40" w14:textId="77777777" w:rsidR="00117E3E" w:rsidRPr="0042463B" w:rsidRDefault="00117E3E" w:rsidP="00617CFC">
            <w:pPr>
              <w:spacing w:after="60"/>
              <w:jc w:val="right"/>
              <w:rPr>
                <w:b/>
                <w:sz w:val="18"/>
              </w:rPr>
            </w:pPr>
            <w:r w:rsidRPr="0042463B">
              <w:rPr>
                <w:b/>
                <w:sz w:val="18"/>
              </w:rPr>
              <w:t>Année : 2020</w:t>
            </w:r>
          </w:p>
        </w:tc>
      </w:tr>
      <w:tr w:rsidR="00117E3E" w:rsidRPr="0042463B" w14:paraId="658926D9" w14:textId="77777777" w:rsidTr="00FD303E">
        <w:trPr>
          <w:trHeight w:val="240"/>
        </w:trPr>
        <w:tc>
          <w:tcPr>
            <w:tcW w:w="2269" w:type="dxa"/>
            <w:shd w:val="clear" w:color="auto" w:fill="auto"/>
          </w:tcPr>
          <w:p w14:paraId="0596C6BA" w14:textId="77777777" w:rsidR="00117E3E" w:rsidRPr="0042463B" w:rsidRDefault="00117E3E" w:rsidP="00617CFC">
            <w:pPr>
              <w:spacing w:after="60"/>
              <w:jc w:val="center"/>
              <w:rPr>
                <w:sz w:val="18"/>
              </w:rPr>
            </w:pPr>
            <w:r w:rsidRPr="0042463B">
              <w:rPr>
                <w:sz w:val="18"/>
              </w:rPr>
              <w:t>Substance chimique</w:t>
            </w:r>
          </w:p>
        </w:tc>
        <w:tc>
          <w:tcPr>
            <w:tcW w:w="851" w:type="dxa"/>
            <w:shd w:val="clear" w:color="auto" w:fill="auto"/>
          </w:tcPr>
          <w:p w14:paraId="04527776" w14:textId="77777777" w:rsidR="00117E3E" w:rsidRPr="0042463B" w:rsidRDefault="00117E3E" w:rsidP="00617CFC">
            <w:pPr>
              <w:spacing w:after="60"/>
              <w:jc w:val="center"/>
              <w:rPr>
                <w:sz w:val="18"/>
              </w:rPr>
            </w:pPr>
            <w:r w:rsidRPr="0042463B">
              <w:rPr>
                <w:sz w:val="18"/>
              </w:rPr>
              <w:t>Aérosol</w:t>
            </w:r>
          </w:p>
        </w:tc>
        <w:tc>
          <w:tcPr>
            <w:tcW w:w="671" w:type="dxa"/>
            <w:shd w:val="clear" w:color="auto" w:fill="auto"/>
          </w:tcPr>
          <w:p w14:paraId="6ABD8B95" w14:textId="77777777" w:rsidR="00117E3E" w:rsidRPr="0042463B" w:rsidRDefault="00117E3E" w:rsidP="00617CFC">
            <w:pPr>
              <w:spacing w:after="60"/>
              <w:jc w:val="center"/>
              <w:rPr>
                <w:sz w:val="18"/>
              </w:rPr>
            </w:pPr>
            <w:r w:rsidRPr="0042463B">
              <w:rPr>
                <w:sz w:val="18"/>
              </w:rPr>
              <w:t>Mousse</w:t>
            </w:r>
          </w:p>
        </w:tc>
        <w:tc>
          <w:tcPr>
            <w:tcW w:w="917" w:type="dxa"/>
            <w:shd w:val="clear" w:color="auto" w:fill="auto"/>
          </w:tcPr>
          <w:p w14:paraId="04A0C94B" w14:textId="77777777" w:rsidR="00117E3E" w:rsidRPr="0042463B" w:rsidRDefault="00117E3E" w:rsidP="00617CFC">
            <w:pPr>
              <w:spacing w:after="60"/>
              <w:jc w:val="center"/>
              <w:rPr>
                <w:sz w:val="18"/>
              </w:rPr>
            </w:pPr>
            <w:r w:rsidRPr="0042463B">
              <w:rPr>
                <w:sz w:val="18"/>
              </w:rPr>
              <w:t>Lutte contre l’incendie</w:t>
            </w:r>
          </w:p>
        </w:tc>
        <w:tc>
          <w:tcPr>
            <w:tcW w:w="2239" w:type="dxa"/>
            <w:gridSpan w:val="2"/>
            <w:shd w:val="clear" w:color="auto" w:fill="auto"/>
          </w:tcPr>
          <w:p w14:paraId="275706E2" w14:textId="77777777" w:rsidR="00117E3E" w:rsidRPr="0042463B" w:rsidRDefault="00117E3E" w:rsidP="00617CFC">
            <w:pPr>
              <w:spacing w:after="60"/>
              <w:jc w:val="center"/>
              <w:rPr>
                <w:sz w:val="18"/>
              </w:rPr>
            </w:pPr>
            <w:r w:rsidRPr="0042463B">
              <w:rPr>
                <w:sz w:val="18"/>
              </w:rPr>
              <w:t>Réfrigération</w:t>
            </w:r>
          </w:p>
        </w:tc>
        <w:tc>
          <w:tcPr>
            <w:tcW w:w="850" w:type="dxa"/>
            <w:shd w:val="clear" w:color="auto" w:fill="auto"/>
          </w:tcPr>
          <w:p w14:paraId="50AFCE43" w14:textId="77777777" w:rsidR="00117E3E" w:rsidRPr="0042463B" w:rsidRDefault="00117E3E" w:rsidP="00617CFC">
            <w:pPr>
              <w:spacing w:after="60"/>
              <w:jc w:val="center"/>
              <w:rPr>
                <w:sz w:val="18"/>
              </w:rPr>
            </w:pPr>
            <w:r w:rsidRPr="0042463B">
              <w:rPr>
                <w:sz w:val="18"/>
              </w:rPr>
              <w:t>Solvants</w:t>
            </w:r>
          </w:p>
        </w:tc>
        <w:tc>
          <w:tcPr>
            <w:tcW w:w="851" w:type="dxa"/>
            <w:shd w:val="clear" w:color="auto" w:fill="auto"/>
          </w:tcPr>
          <w:p w14:paraId="0388C918" w14:textId="77777777" w:rsidR="00117E3E" w:rsidRPr="0042463B" w:rsidRDefault="00117E3E" w:rsidP="00617CFC">
            <w:pPr>
              <w:spacing w:after="60"/>
              <w:jc w:val="center"/>
              <w:rPr>
                <w:sz w:val="18"/>
              </w:rPr>
            </w:pPr>
            <w:r w:rsidRPr="0042463B">
              <w:rPr>
                <w:sz w:val="18"/>
              </w:rPr>
              <w:t>Agent de transformation</w:t>
            </w:r>
          </w:p>
        </w:tc>
        <w:tc>
          <w:tcPr>
            <w:tcW w:w="709" w:type="dxa"/>
            <w:shd w:val="clear" w:color="auto" w:fill="auto"/>
          </w:tcPr>
          <w:p w14:paraId="31974EA6" w14:textId="77777777" w:rsidR="00117E3E" w:rsidRPr="0042463B" w:rsidRDefault="00117E3E" w:rsidP="00617CFC">
            <w:pPr>
              <w:spacing w:after="60"/>
              <w:jc w:val="center"/>
              <w:rPr>
                <w:sz w:val="18"/>
              </w:rPr>
            </w:pPr>
            <w:r w:rsidRPr="0042463B">
              <w:rPr>
                <w:sz w:val="18"/>
              </w:rPr>
              <w:t>Utilisation en laboratoire</w:t>
            </w:r>
          </w:p>
        </w:tc>
        <w:tc>
          <w:tcPr>
            <w:tcW w:w="879" w:type="dxa"/>
            <w:shd w:val="clear" w:color="auto" w:fill="auto"/>
          </w:tcPr>
          <w:p w14:paraId="14B1013C" w14:textId="77777777" w:rsidR="00117E3E" w:rsidRPr="0042463B" w:rsidRDefault="00117E3E" w:rsidP="00617CFC">
            <w:pPr>
              <w:spacing w:after="60"/>
              <w:jc w:val="center"/>
              <w:rPr>
                <w:sz w:val="18"/>
              </w:rPr>
            </w:pPr>
            <w:r w:rsidRPr="0042463B">
              <w:rPr>
                <w:sz w:val="18"/>
              </w:rPr>
              <w:t>Consommation totale pour le secteur</w:t>
            </w:r>
          </w:p>
        </w:tc>
      </w:tr>
      <w:tr w:rsidR="00117E3E" w:rsidRPr="0042463B" w14:paraId="40534D1F" w14:textId="77777777" w:rsidTr="00FD303E">
        <w:trPr>
          <w:trHeight w:val="240"/>
        </w:trPr>
        <w:tc>
          <w:tcPr>
            <w:tcW w:w="4708" w:type="dxa"/>
            <w:gridSpan w:val="4"/>
            <w:shd w:val="clear" w:color="auto" w:fill="auto"/>
          </w:tcPr>
          <w:p w14:paraId="59A43AAE" w14:textId="77777777" w:rsidR="00117E3E" w:rsidRPr="0042463B" w:rsidRDefault="00117E3E" w:rsidP="00617CFC">
            <w:pPr>
              <w:spacing w:after="60"/>
              <w:jc w:val="center"/>
              <w:rPr>
                <w:sz w:val="18"/>
              </w:rPr>
            </w:pPr>
            <w:r w:rsidRPr="0042463B">
              <w:rPr>
                <w:sz w:val="18"/>
              </w:rPr>
              <w:t xml:space="preserve"> </w:t>
            </w:r>
          </w:p>
        </w:tc>
        <w:tc>
          <w:tcPr>
            <w:tcW w:w="1286" w:type="dxa"/>
            <w:shd w:val="clear" w:color="auto" w:fill="auto"/>
          </w:tcPr>
          <w:p w14:paraId="0C6C1BFA" w14:textId="77777777" w:rsidR="00117E3E" w:rsidRPr="0042463B" w:rsidRDefault="00117E3E" w:rsidP="00617CFC">
            <w:pPr>
              <w:spacing w:after="60"/>
              <w:jc w:val="center"/>
              <w:rPr>
                <w:sz w:val="18"/>
              </w:rPr>
            </w:pPr>
            <w:r w:rsidRPr="0042463B">
              <w:rPr>
                <w:sz w:val="18"/>
              </w:rPr>
              <w:t>Fabrication</w:t>
            </w:r>
          </w:p>
        </w:tc>
        <w:tc>
          <w:tcPr>
            <w:tcW w:w="953" w:type="dxa"/>
            <w:shd w:val="clear" w:color="auto" w:fill="auto"/>
          </w:tcPr>
          <w:p w14:paraId="2A79F57A" w14:textId="77777777" w:rsidR="00117E3E" w:rsidRPr="0042463B" w:rsidRDefault="00117E3E" w:rsidP="00617CFC">
            <w:pPr>
              <w:spacing w:after="60"/>
              <w:jc w:val="center"/>
              <w:rPr>
                <w:sz w:val="18"/>
              </w:rPr>
            </w:pPr>
            <w:r w:rsidRPr="0042463B">
              <w:rPr>
                <w:sz w:val="18"/>
              </w:rPr>
              <w:t>Entretien</w:t>
            </w:r>
          </w:p>
        </w:tc>
        <w:tc>
          <w:tcPr>
            <w:tcW w:w="3289" w:type="dxa"/>
            <w:gridSpan w:val="4"/>
            <w:shd w:val="clear" w:color="auto" w:fill="auto"/>
          </w:tcPr>
          <w:p w14:paraId="23CB10E1" w14:textId="77777777" w:rsidR="00117E3E" w:rsidRPr="0042463B" w:rsidRDefault="00117E3E" w:rsidP="00617CFC">
            <w:pPr>
              <w:spacing w:after="60"/>
              <w:jc w:val="center"/>
              <w:rPr>
                <w:sz w:val="18"/>
              </w:rPr>
            </w:pPr>
          </w:p>
        </w:tc>
      </w:tr>
      <w:tr w:rsidR="00117E3E" w:rsidRPr="0042463B" w14:paraId="289CC13E" w14:textId="77777777" w:rsidTr="00FD303E">
        <w:trPr>
          <w:trHeight w:val="240"/>
        </w:trPr>
        <w:tc>
          <w:tcPr>
            <w:tcW w:w="2269" w:type="dxa"/>
            <w:shd w:val="clear" w:color="auto" w:fill="auto"/>
          </w:tcPr>
          <w:p w14:paraId="56C27FBE" w14:textId="77777777" w:rsidR="00117E3E" w:rsidRPr="0042463B" w:rsidRDefault="00117E3E" w:rsidP="00617CFC">
            <w:pPr>
              <w:spacing w:after="60"/>
              <w:jc w:val="left"/>
              <w:rPr>
                <w:sz w:val="18"/>
              </w:rPr>
            </w:pPr>
            <w:r w:rsidRPr="0042463B">
              <w:rPr>
                <w:sz w:val="18"/>
              </w:rPr>
              <w:t>HCFC-22</w:t>
            </w:r>
          </w:p>
        </w:tc>
        <w:tc>
          <w:tcPr>
            <w:tcW w:w="851" w:type="dxa"/>
            <w:shd w:val="clear" w:color="auto" w:fill="auto"/>
          </w:tcPr>
          <w:p w14:paraId="7EAB81EC" w14:textId="77777777" w:rsidR="00117E3E" w:rsidRPr="0042463B" w:rsidRDefault="00117E3E" w:rsidP="00617CFC">
            <w:pPr>
              <w:spacing w:after="60"/>
              <w:jc w:val="right"/>
              <w:rPr>
                <w:sz w:val="18"/>
              </w:rPr>
            </w:pPr>
          </w:p>
        </w:tc>
        <w:tc>
          <w:tcPr>
            <w:tcW w:w="671" w:type="dxa"/>
            <w:shd w:val="clear" w:color="auto" w:fill="auto"/>
          </w:tcPr>
          <w:p w14:paraId="14A43C23" w14:textId="77777777" w:rsidR="00117E3E" w:rsidRPr="0042463B" w:rsidRDefault="00117E3E" w:rsidP="00617CFC">
            <w:pPr>
              <w:spacing w:after="60"/>
              <w:jc w:val="right"/>
              <w:rPr>
                <w:sz w:val="18"/>
              </w:rPr>
            </w:pPr>
          </w:p>
        </w:tc>
        <w:tc>
          <w:tcPr>
            <w:tcW w:w="917" w:type="dxa"/>
            <w:shd w:val="clear" w:color="auto" w:fill="auto"/>
          </w:tcPr>
          <w:p w14:paraId="7BA3D8DD" w14:textId="77777777" w:rsidR="00117E3E" w:rsidRPr="0042463B" w:rsidRDefault="00117E3E" w:rsidP="00617CFC">
            <w:pPr>
              <w:spacing w:after="60"/>
              <w:jc w:val="right"/>
              <w:rPr>
                <w:sz w:val="18"/>
              </w:rPr>
            </w:pPr>
          </w:p>
        </w:tc>
        <w:tc>
          <w:tcPr>
            <w:tcW w:w="1286" w:type="dxa"/>
            <w:shd w:val="clear" w:color="auto" w:fill="auto"/>
          </w:tcPr>
          <w:p w14:paraId="57C3816E" w14:textId="77777777" w:rsidR="00117E3E" w:rsidRPr="0042463B" w:rsidRDefault="00964F7E" w:rsidP="00617CFC">
            <w:pPr>
              <w:spacing w:after="60"/>
              <w:jc w:val="right"/>
              <w:rPr>
                <w:sz w:val="18"/>
              </w:rPr>
            </w:pPr>
            <w:r w:rsidRPr="0042463B">
              <w:rPr>
                <w:sz w:val="18"/>
              </w:rPr>
              <w:t>16,50</w:t>
            </w:r>
          </w:p>
        </w:tc>
        <w:tc>
          <w:tcPr>
            <w:tcW w:w="953" w:type="dxa"/>
            <w:shd w:val="clear" w:color="auto" w:fill="auto"/>
          </w:tcPr>
          <w:p w14:paraId="02494F94" w14:textId="77777777" w:rsidR="00117E3E" w:rsidRPr="0042463B" w:rsidRDefault="00117E3E" w:rsidP="00617CFC">
            <w:pPr>
              <w:spacing w:after="60"/>
              <w:jc w:val="right"/>
              <w:rPr>
                <w:sz w:val="18"/>
              </w:rPr>
            </w:pPr>
            <w:r w:rsidRPr="0042463B">
              <w:rPr>
                <w:sz w:val="18"/>
              </w:rPr>
              <w:t>15,95</w:t>
            </w:r>
          </w:p>
        </w:tc>
        <w:tc>
          <w:tcPr>
            <w:tcW w:w="850" w:type="dxa"/>
            <w:shd w:val="clear" w:color="auto" w:fill="auto"/>
          </w:tcPr>
          <w:p w14:paraId="517E827C" w14:textId="77777777" w:rsidR="00117E3E" w:rsidRPr="0042463B" w:rsidRDefault="00117E3E" w:rsidP="00617CFC">
            <w:pPr>
              <w:spacing w:after="60"/>
              <w:jc w:val="right"/>
              <w:rPr>
                <w:sz w:val="18"/>
              </w:rPr>
            </w:pPr>
          </w:p>
        </w:tc>
        <w:tc>
          <w:tcPr>
            <w:tcW w:w="851" w:type="dxa"/>
            <w:shd w:val="clear" w:color="auto" w:fill="auto"/>
          </w:tcPr>
          <w:p w14:paraId="7D609ED8" w14:textId="77777777" w:rsidR="00117E3E" w:rsidRPr="0042463B" w:rsidRDefault="00117E3E" w:rsidP="00617CFC">
            <w:pPr>
              <w:spacing w:after="60"/>
              <w:jc w:val="right"/>
              <w:rPr>
                <w:sz w:val="18"/>
              </w:rPr>
            </w:pPr>
          </w:p>
        </w:tc>
        <w:tc>
          <w:tcPr>
            <w:tcW w:w="709" w:type="dxa"/>
            <w:shd w:val="clear" w:color="auto" w:fill="auto"/>
          </w:tcPr>
          <w:p w14:paraId="7EBAC677" w14:textId="77777777" w:rsidR="00117E3E" w:rsidRPr="0042463B" w:rsidRDefault="00117E3E" w:rsidP="00617CFC">
            <w:pPr>
              <w:spacing w:after="60"/>
              <w:jc w:val="right"/>
              <w:rPr>
                <w:sz w:val="18"/>
              </w:rPr>
            </w:pPr>
          </w:p>
        </w:tc>
        <w:tc>
          <w:tcPr>
            <w:tcW w:w="879" w:type="dxa"/>
            <w:shd w:val="clear" w:color="auto" w:fill="auto"/>
          </w:tcPr>
          <w:p w14:paraId="5E5CC920" w14:textId="77777777" w:rsidR="00117E3E" w:rsidRPr="0042463B" w:rsidRDefault="00117E3E" w:rsidP="00964F7E">
            <w:pPr>
              <w:spacing w:after="60"/>
              <w:jc w:val="right"/>
              <w:rPr>
                <w:sz w:val="18"/>
              </w:rPr>
            </w:pPr>
            <w:r w:rsidRPr="0042463B">
              <w:rPr>
                <w:sz w:val="18"/>
              </w:rPr>
              <w:t>32,45</w:t>
            </w:r>
          </w:p>
        </w:tc>
      </w:tr>
      <w:tr w:rsidR="00117E3E" w:rsidRPr="0042463B" w14:paraId="5A3FD5E4" w14:textId="77777777" w:rsidTr="00FD303E">
        <w:trPr>
          <w:trHeight w:val="240"/>
        </w:trPr>
        <w:tc>
          <w:tcPr>
            <w:tcW w:w="2269" w:type="dxa"/>
            <w:shd w:val="clear" w:color="auto" w:fill="auto"/>
          </w:tcPr>
          <w:p w14:paraId="20AE4197" w14:textId="77777777" w:rsidR="00117E3E" w:rsidRPr="0042463B" w:rsidRDefault="00117E3E" w:rsidP="00617CFC">
            <w:pPr>
              <w:spacing w:after="60"/>
              <w:jc w:val="left"/>
              <w:rPr>
                <w:sz w:val="18"/>
              </w:rPr>
            </w:pPr>
            <w:r w:rsidRPr="0042463B">
              <w:rPr>
                <w:sz w:val="18"/>
              </w:rPr>
              <w:t xml:space="preserve">HCFC-141b dans les polyols </w:t>
            </w:r>
            <w:proofErr w:type="spellStart"/>
            <w:r w:rsidRPr="0042463B">
              <w:rPr>
                <w:sz w:val="18"/>
              </w:rPr>
              <w:t>prémélangés</w:t>
            </w:r>
            <w:proofErr w:type="spellEnd"/>
            <w:r w:rsidRPr="0042463B">
              <w:rPr>
                <w:sz w:val="18"/>
              </w:rPr>
              <w:t xml:space="preserve"> importés</w:t>
            </w:r>
          </w:p>
        </w:tc>
        <w:tc>
          <w:tcPr>
            <w:tcW w:w="851" w:type="dxa"/>
            <w:shd w:val="clear" w:color="auto" w:fill="auto"/>
          </w:tcPr>
          <w:p w14:paraId="5816FE11" w14:textId="77777777" w:rsidR="00117E3E" w:rsidRPr="0042463B" w:rsidRDefault="00117E3E" w:rsidP="00617CFC">
            <w:pPr>
              <w:spacing w:after="60"/>
              <w:jc w:val="right"/>
              <w:rPr>
                <w:sz w:val="18"/>
              </w:rPr>
            </w:pPr>
          </w:p>
        </w:tc>
        <w:tc>
          <w:tcPr>
            <w:tcW w:w="671" w:type="dxa"/>
            <w:shd w:val="clear" w:color="auto" w:fill="auto"/>
          </w:tcPr>
          <w:p w14:paraId="051DC592" w14:textId="77777777" w:rsidR="00117E3E" w:rsidRPr="0042463B" w:rsidRDefault="00117E3E" w:rsidP="00617CFC">
            <w:pPr>
              <w:spacing w:after="60"/>
              <w:jc w:val="right"/>
              <w:rPr>
                <w:sz w:val="18"/>
              </w:rPr>
            </w:pPr>
            <w:r w:rsidRPr="0042463B">
              <w:rPr>
                <w:sz w:val="18"/>
              </w:rPr>
              <w:t>9,88</w:t>
            </w:r>
          </w:p>
        </w:tc>
        <w:tc>
          <w:tcPr>
            <w:tcW w:w="917" w:type="dxa"/>
            <w:shd w:val="clear" w:color="auto" w:fill="auto"/>
          </w:tcPr>
          <w:p w14:paraId="62311B06" w14:textId="77777777" w:rsidR="00117E3E" w:rsidRPr="0042463B" w:rsidRDefault="00117E3E" w:rsidP="00617CFC">
            <w:pPr>
              <w:spacing w:after="60"/>
              <w:jc w:val="right"/>
              <w:rPr>
                <w:sz w:val="18"/>
              </w:rPr>
            </w:pPr>
          </w:p>
        </w:tc>
        <w:tc>
          <w:tcPr>
            <w:tcW w:w="1286" w:type="dxa"/>
            <w:shd w:val="clear" w:color="auto" w:fill="auto"/>
          </w:tcPr>
          <w:p w14:paraId="10E69CBC" w14:textId="77777777" w:rsidR="00117E3E" w:rsidRPr="0042463B" w:rsidRDefault="00117E3E" w:rsidP="00617CFC">
            <w:pPr>
              <w:spacing w:after="60"/>
              <w:jc w:val="right"/>
              <w:rPr>
                <w:sz w:val="18"/>
              </w:rPr>
            </w:pPr>
          </w:p>
        </w:tc>
        <w:tc>
          <w:tcPr>
            <w:tcW w:w="953" w:type="dxa"/>
            <w:shd w:val="clear" w:color="auto" w:fill="auto"/>
          </w:tcPr>
          <w:p w14:paraId="7A178CD2" w14:textId="77777777" w:rsidR="00117E3E" w:rsidRPr="0042463B" w:rsidRDefault="00117E3E" w:rsidP="00617CFC">
            <w:pPr>
              <w:spacing w:after="60"/>
              <w:jc w:val="right"/>
              <w:rPr>
                <w:sz w:val="18"/>
              </w:rPr>
            </w:pPr>
          </w:p>
        </w:tc>
        <w:tc>
          <w:tcPr>
            <w:tcW w:w="850" w:type="dxa"/>
            <w:shd w:val="clear" w:color="auto" w:fill="auto"/>
          </w:tcPr>
          <w:p w14:paraId="74823ACA" w14:textId="77777777" w:rsidR="00117E3E" w:rsidRPr="0042463B" w:rsidRDefault="00117E3E" w:rsidP="00617CFC">
            <w:pPr>
              <w:spacing w:after="60"/>
              <w:jc w:val="right"/>
              <w:rPr>
                <w:sz w:val="18"/>
              </w:rPr>
            </w:pPr>
          </w:p>
        </w:tc>
        <w:tc>
          <w:tcPr>
            <w:tcW w:w="851" w:type="dxa"/>
            <w:shd w:val="clear" w:color="auto" w:fill="auto"/>
          </w:tcPr>
          <w:p w14:paraId="431643CE" w14:textId="77777777" w:rsidR="00117E3E" w:rsidRPr="0042463B" w:rsidRDefault="00117E3E" w:rsidP="00617CFC">
            <w:pPr>
              <w:spacing w:after="60"/>
              <w:jc w:val="right"/>
              <w:rPr>
                <w:sz w:val="18"/>
              </w:rPr>
            </w:pPr>
          </w:p>
        </w:tc>
        <w:tc>
          <w:tcPr>
            <w:tcW w:w="709" w:type="dxa"/>
            <w:shd w:val="clear" w:color="auto" w:fill="auto"/>
          </w:tcPr>
          <w:p w14:paraId="48340961" w14:textId="77777777" w:rsidR="00117E3E" w:rsidRPr="0042463B" w:rsidRDefault="00117E3E" w:rsidP="00617CFC">
            <w:pPr>
              <w:spacing w:after="60"/>
              <w:jc w:val="right"/>
              <w:rPr>
                <w:sz w:val="18"/>
              </w:rPr>
            </w:pPr>
          </w:p>
        </w:tc>
        <w:tc>
          <w:tcPr>
            <w:tcW w:w="879" w:type="dxa"/>
            <w:shd w:val="clear" w:color="auto" w:fill="auto"/>
          </w:tcPr>
          <w:p w14:paraId="0F58BC63" w14:textId="77777777" w:rsidR="00117E3E" w:rsidRPr="0042463B" w:rsidRDefault="00117E3E" w:rsidP="00617CFC">
            <w:pPr>
              <w:spacing w:after="60"/>
              <w:jc w:val="right"/>
              <w:rPr>
                <w:sz w:val="18"/>
              </w:rPr>
            </w:pPr>
            <w:r w:rsidRPr="0042463B">
              <w:rPr>
                <w:sz w:val="18"/>
              </w:rPr>
              <w:t>9,88</w:t>
            </w:r>
          </w:p>
        </w:tc>
      </w:tr>
    </w:tbl>
    <w:p w14:paraId="5DFD60F2" w14:textId="77777777" w:rsidR="00117E3E" w:rsidRPr="0042463B" w:rsidRDefault="00117E3E" w:rsidP="00117E3E">
      <w:pPr>
        <w:spacing w:after="60"/>
        <w:jc w:val="center"/>
        <w:rPr>
          <w:sz w:val="12"/>
          <w:szCs w:val="12"/>
        </w:rPr>
      </w:pPr>
    </w:p>
    <w:tbl>
      <w:tblPr>
        <w:tblStyle w:val="TableGrid"/>
        <w:tblW w:w="10236" w:type="dxa"/>
        <w:tblInd w:w="-431"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4985"/>
        <w:gridCol w:w="623"/>
        <w:gridCol w:w="3795"/>
        <w:gridCol w:w="833"/>
      </w:tblGrid>
      <w:tr w:rsidR="00117E3E" w:rsidRPr="0042463B" w14:paraId="44199006" w14:textId="77777777" w:rsidTr="00FD303E">
        <w:trPr>
          <w:trHeight w:val="240"/>
        </w:trPr>
        <w:tc>
          <w:tcPr>
            <w:tcW w:w="10236" w:type="dxa"/>
            <w:gridSpan w:val="4"/>
            <w:shd w:val="clear" w:color="auto" w:fill="auto"/>
          </w:tcPr>
          <w:p w14:paraId="5C7D0AF0" w14:textId="77777777" w:rsidR="00117E3E" w:rsidRPr="0042463B" w:rsidRDefault="00117E3E" w:rsidP="00617CFC">
            <w:pPr>
              <w:spacing w:after="60"/>
              <w:jc w:val="left"/>
              <w:rPr>
                <w:b/>
                <w:sz w:val="18"/>
              </w:rPr>
            </w:pPr>
            <w:r w:rsidRPr="0042463B">
              <w:rPr>
                <w:b/>
                <w:sz w:val="18"/>
              </w:rPr>
              <w:t>(IV) DONNÉES SUR LA CONSOMMATION (tonnes PAO)</w:t>
            </w:r>
          </w:p>
        </w:tc>
      </w:tr>
      <w:tr w:rsidR="00117E3E" w:rsidRPr="0042463B" w14:paraId="01BDBB48" w14:textId="77777777" w:rsidTr="00FD303E">
        <w:trPr>
          <w:trHeight w:val="240"/>
        </w:trPr>
        <w:tc>
          <w:tcPr>
            <w:tcW w:w="4967" w:type="dxa"/>
            <w:shd w:val="clear" w:color="auto" w:fill="auto"/>
          </w:tcPr>
          <w:p w14:paraId="23B7132B" w14:textId="77777777" w:rsidR="00117E3E" w:rsidRPr="0042463B" w:rsidRDefault="00117E3E" w:rsidP="00617CFC">
            <w:pPr>
              <w:spacing w:after="60"/>
              <w:jc w:val="center"/>
              <w:rPr>
                <w:sz w:val="18"/>
              </w:rPr>
            </w:pPr>
            <w:r w:rsidRPr="0042463B">
              <w:rPr>
                <w:sz w:val="18"/>
              </w:rPr>
              <w:t>Référence 2009 – 2010 :</w:t>
            </w:r>
          </w:p>
        </w:tc>
        <w:tc>
          <w:tcPr>
            <w:tcW w:w="0" w:type="auto"/>
            <w:shd w:val="clear" w:color="auto" w:fill="auto"/>
          </w:tcPr>
          <w:p w14:paraId="41671C0F" w14:textId="1964CBDA" w:rsidR="00117E3E" w:rsidRPr="0042463B" w:rsidRDefault="00117E3E" w:rsidP="00617CFC">
            <w:pPr>
              <w:spacing w:after="60"/>
              <w:jc w:val="right"/>
              <w:rPr>
                <w:sz w:val="18"/>
              </w:rPr>
            </w:pPr>
            <w:r w:rsidRPr="0042463B">
              <w:rPr>
                <w:sz w:val="18"/>
              </w:rPr>
              <w:t>51,9</w:t>
            </w:r>
          </w:p>
        </w:tc>
        <w:tc>
          <w:tcPr>
            <w:tcW w:w="0" w:type="auto"/>
            <w:shd w:val="clear" w:color="auto" w:fill="auto"/>
          </w:tcPr>
          <w:p w14:paraId="2BAC3136" w14:textId="77777777" w:rsidR="00117E3E" w:rsidRPr="0042463B" w:rsidRDefault="00117E3E" w:rsidP="00617CFC">
            <w:pPr>
              <w:spacing w:after="60"/>
              <w:jc w:val="center"/>
              <w:rPr>
                <w:sz w:val="18"/>
              </w:rPr>
            </w:pPr>
            <w:r w:rsidRPr="0042463B">
              <w:rPr>
                <w:sz w:val="18"/>
              </w:rPr>
              <w:t>Point de départ des réductions globales durables :</w:t>
            </w:r>
          </w:p>
        </w:tc>
        <w:tc>
          <w:tcPr>
            <w:tcW w:w="830" w:type="dxa"/>
            <w:shd w:val="clear" w:color="auto" w:fill="auto"/>
          </w:tcPr>
          <w:p w14:paraId="07E89C38" w14:textId="77777777" w:rsidR="00117E3E" w:rsidRPr="0042463B" w:rsidRDefault="00117E3E" w:rsidP="00617CFC">
            <w:pPr>
              <w:spacing w:after="60"/>
              <w:jc w:val="right"/>
              <w:rPr>
                <w:sz w:val="18"/>
              </w:rPr>
            </w:pPr>
            <w:r w:rsidRPr="0042463B">
              <w:rPr>
                <w:sz w:val="18"/>
              </w:rPr>
              <w:t>61,39</w:t>
            </w:r>
          </w:p>
        </w:tc>
      </w:tr>
      <w:tr w:rsidR="00117E3E" w:rsidRPr="0042463B" w14:paraId="65B82F39" w14:textId="77777777" w:rsidTr="00FD303E">
        <w:trPr>
          <w:trHeight w:val="240"/>
        </w:trPr>
        <w:tc>
          <w:tcPr>
            <w:tcW w:w="10236" w:type="dxa"/>
            <w:gridSpan w:val="4"/>
            <w:shd w:val="clear" w:color="auto" w:fill="auto"/>
          </w:tcPr>
          <w:p w14:paraId="66C66FB4" w14:textId="77777777" w:rsidR="00117E3E" w:rsidRPr="0042463B" w:rsidRDefault="00117E3E" w:rsidP="00617CFC">
            <w:pPr>
              <w:spacing w:after="60"/>
              <w:jc w:val="center"/>
              <w:rPr>
                <w:b/>
                <w:sz w:val="18"/>
              </w:rPr>
            </w:pPr>
            <w:r w:rsidRPr="0042463B">
              <w:rPr>
                <w:b/>
                <w:sz w:val="18"/>
              </w:rPr>
              <w:t>CONSOMMATION ADMISSIBLE AU FINANCEMENT (tonnes PAO)</w:t>
            </w:r>
          </w:p>
        </w:tc>
      </w:tr>
      <w:tr w:rsidR="00117E3E" w:rsidRPr="0042463B" w14:paraId="1ED650AF" w14:textId="77777777" w:rsidTr="00FD303E">
        <w:trPr>
          <w:trHeight w:val="240"/>
        </w:trPr>
        <w:tc>
          <w:tcPr>
            <w:tcW w:w="4967" w:type="dxa"/>
            <w:shd w:val="clear" w:color="auto" w:fill="auto"/>
          </w:tcPr>
          <w:p w14:paraId="65F87E96" w14:textId="77777777" w:rsidR="00117E3E" w:rsidRPr="0042463B" w:rsidRDefault="00117E3E" w:rsidP="00617CFC">
            <w:pPr>
              <w:spacing w:after="60"/>
              <w:jc w:val="center"/>
              <w:rPr>
                <w:sz w:val="18"/>
              </w:rPr>
            </w:pPr>
            <w:r w:rsidRPr="0042463B">
              <w:rPr>
                <w:sz w:val="18"/>
              </w:rPr>
              <w:t>Déjà approuvée :</w:t>
            </w:r>
          </w:p>
        </w:tc>
        <w:tc>
          <w:tcPr>
            <w:tcW w:w="0" w:type="auto"/>
            <w:shd w:val="clear" w:color="auto" w:fill="auto"/>
          </w:tcPr>
          <w:p w14:paraId="091D3B61" w14:textId="77777777" w:rsidR="00117E3E" w:rsidRPr="0042463B" w:rsidRDefault="005F481A" w:rsidP="00617CFC">
            <w:pPr>
              <w:spacing w:after="60"/>
              <w:jc w:val="right"/>
              <w:rPr>
                <w:sz w:val="18"/>
              </w:rPr>
            </w:pPr>
            <w:r w:rsidRPr="0042463B">
              <w:rPr>
                <w:sz w:val="18"/>
              </w:rPr>
              <w:t>18,03</w:t>
            </w:r>
          </w:p>
        </w:tc>
        <w:tc>
          <w:tcPr>
            <w:tcW w:w="0" w:type="auto"/>
            <w:shd w:val="clear" w:color="auto" w:fill="auto"/>
          </w:tcPr>
          <w:p w14:paraId="417BA785" w14:textId="77777777" w:rsidR="00117E3E" w:rsidRPr="0042463B" w:rsidRDefault="00117E3E" w:rsidP="00617CFC">
            <w:pPr>
              <w:spacing w:after="60"/>
              <w:jc w:val="center"/>
              <w:rPr>
                <w:sz w:val="18"/>
              </w:rPr>
            </w:pPr>
            <w:r w:rsidRPr="0042463B">
              <w:rPr>
                <w:sz w:val="18"/>
              </w:rPr>
              <w:t>Restante :</w:t>
            </w:r>
          </w:p>
        </w:tc>
        <w:tc>
          <w:tcPr>
            <w:tcW w:w="830" w:type="dxa"/>
            <w:shd w:val="clear" w:color="auto" w:fill="auto"/>
          </w:tcPr>
          <w:p w14:paraId="3FD66465" w14:textId="77777777" w:rsidR="00117E3E" w:rsidRPr="0042463B" w:rsidRDefault="005F481A" w:rsidP="00617CFC">
            <w:pPr>
              <w:spacing w:after="60"/>
              <w:jc w:val="right"/>
              <w:rPr>
                <w:sz w:val="18"/>
              </w:rPr>
            </w:pPr>
            <w:r w:rsidRPr="0042463B">
              <w:rPr>
                <w:sz w:val="18"/>
              </w:rPr>
              <w:t>43,36</w:t>
            </w:r>
          </w:p>
        </w:tc>
      </w:tr>
    </w:tbl>
    <w:p w14:paraId="1EE202D2" w14:textId="77777777" w:rsidR="00117E3E" w:rsidRPr="0042463B" w:rsidRDefault="00117E3E" w:rsidP="00117E3E">
      <w:pPr>
        <w:spacing w:after="60"/>
        <w:jc w:val="center"/>
        <w:rPr>
          <w:sz w:val="20"/>
          <w:szCs w:val="20"/>
        </w:rPr>
      </w:pPr>
    </w:p>
    <w:tbl>
      <w:tblPr>
        <w:tblStyle w:val="TableGrid"/>
        <w:tblW w:w="10236" w:type="dxa"/>
        <w:tblInd w:w="-431"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277"/>
        <w:gridCol w:w="3670"/>
        <w:gridCol w:w="1380"/>
        <w:gridCol w:w="1381"/>
        <w:gridCol w:w="1381"/>
        <w:gridCol w:w="1147"/>
      </w:tblGrid>
      <w:tr w:rsidR="00117E3E" w:rsidRPr="0042463B" w14:paraId="267E1A69" w14:textId="77777777" w:rsidTr="00FD303E">
        <w:trPr>
          <w:trHeight w:val="219"/>
        </w:trPr>
        <w:tc>
          <w:tcPr>
            <w:tcW w:w="4947" w:type="dxa"/>
            <w:gridSpan w:val="2"/>
            <w:shd w:val="clear" w:color="auto" w:fill="auto"/>
          </w:tcPr>
          <w:p w14:paraId="5F93036F" w14:textId="77777777" w:rsidR="00117E3E" w:rsidRPr="0042463B" w:rsidRDefault="00117E3E" w:rsidP="00617CFC">
            <w:pPr>
              <w:spacing w:after="60"/>
              <w:jc w:val="left"/>
              <w:rPr>
                <w:b/>
                <w:sz w:val="18"/>
              </w:rPr>
            </w:pPr>
            <w:r w:rsidRPr="0042463B">
              <w:rPr>
                <w:b/>
                <w:sz w:val="18"/>
              </w:rPr>
              <w:t>(V) PLAN D’ACTIVITÉS</w:t>
            </w:r>
          </w:p>
        </w:tc>
        <w:tc>
          <w:tcPr>
            <w:tcW w:w="1380" w:type="dxa"/>
            <w:shd w:val="clear" w:color="auto" w:fill="auto"/>
          </w:tcPr>
          <w:p w14:paraId="25F7AEAA" w14:textId="77777777" w:rsidR="00117E3E" w:rsidRPr="0042463B" w:rsidRDefault="00117E3E" w:rsidP="00617CFC">
            <w:pPr>
              <w:spacing w:after="60"/>
              <w:jc w:val="center"/>
              <w:rPr>
                <w:b/>
                <w:sz w:val="18"/>
              </w:rPr>
            </w:pPr>
            <w:r w:rsidRPr="0042463B">
              <w:rPr>
                <w:b/>
                <w:sz w:val="18"/>
              </w:rPr>
              <w:t>2021</w:t>
            </w:r>
          </w:p>
        </w:tc>
        <w:tc>
          <w:tcPr>
            <w:tcW w:w="1381" w:type="dxa"/>
            <w:shd w:val="clear" w:color="auto" w:fill="auto"/>
          </w:tcPr>
          <w:p w14:paraId="29F47478" w14:textId="77777777" w:rsidR="00117E3E" w:rsidRPr="0042463B" w:rsidRDefault="00117E3E" w:rsidP="00617CFC">
            <w:pPr>
              <w:spacing w:after="60"/>
              <w:jc w:val="center"/>
              <w:rPr>
                <w:b/>
                <w:sz w:val="18"/>
              </w:rPr>
            </w:pPr>
            <w:r w:rsidRPr="0042463B">
              <w:rPr>
                <w:b/>
                <w:sz w:val="18"/>
              </w:rPr>
              <w:t>2022</w:t>
            </w:r>
          </w:p>
        </w:tc>
        <w:tc>
          <w:tcPr>
            <w:tcW w:w="1381" w:type="dxa"/>
          </w:tcPr>
          <w:p w14:paraId="2224E8BA" w14:textId="77777777" w:rsidR="00117E3E" w:rsidRPr="0042463B" w:rsidRDefault="00117E3E" w:rsidP="00617CFC">
            <w:pPr>
              <w:spacing w:after="60"/>
              <w:jc w:val="center"/>
              <w:rPr>
                <w:b/>
                <w:sz w:val="18"/>
              </w:rPr>
            </w:pPr>
            <w:r w:rsidRPr="0042463B">
              <w:rPr>
                <w:b/>
                <w:sz w:val="18"/>
              </w:rPr>
              <w:t>2023</w:t>
            </w:r>
          </w:p>
        </w:tc>
        <w:tc>
          <w:tcPr>
            <w:tcW w:w="1147" w:type="dxa"/>
            <w:shd w:val="clear" w:color="auto" w:fill="auto"/>
          </w:tcPr>
          <w:p w14:paraId="7D00E5D5" w14:textId="77777777" w:rsidR="00117E3E" w:rsidRPr="0042463B" w:rsidRDefault="00117E3E" w:rsidP="00617CFC">
            <w:pPr>
              <w:spacing w:after="60"/>
              <w:jc w:val="center"/>
              <w:rPr>
                <w:b/>
                <w:sz w:val="18"/>
              </w:rPr>
            </w:pPr>
            <w:r w:rsidRPr="0042463B">
              <w:rPr>
                <w:b/>
                <w:sz w:val="18"/>
              </w:rPr>
              <w:t>Total</w:t>
            </w:r>
          </w:p>
        </w:tc>
      </w:tr>
      <w:tr w:rsidR="00117E3E" w:rsidRPr="0042463B" w14:paraId="09FD6A2C" w14:textId="77777777" w:rsidTr="00FD303E">
        <w:trPr>
          <w:trHeight w:val="219"/>
        </w:trPr>
        <w:tc>
          <w:tcPr>
            <w:tcW w:w="1277" w:type="dxa"/>
            <w:vMerge w:val="restart"/>
            <w:shd w:val="clear" w:color="auto" w:fill="auto"/>
          </w:tcPr>
          <w:p w14:paraId="4EC7F5B3" w14:textId="77777777" w:rsidR="00117E3E" w:rsidRPr="0042463B" w:rsidRDefault="00117E3E" w:rsidP="00617CFC">
            <w:pPr>
              <w:spacing w:after="60"/>
              <w:jc w:val="center"/>
              <w:rPr>
                <w:sz w:val="18"/>
              </w:rPr>
            </w:pPr>
            <w:r w:rsidRPr="0042463B">
              <w:rPr>
                <w:sz w:val="18"/>
              </w:rPr>
              <w:t>PNUE</w:t>
            </w:r>
          </w:p>
        </w:tc>
        <w:tc>
          <w:tcPr>
            <w:tcW w:w="3670" w:type="dxa"/>
            <w:shd w:val="clear" w:color="auto" w:fill="auto"/>
          </w:tcPr>
          <w:p w14:paraId="6829BFC6" w14:textId="77777777" w:rsidR="00117E3E" w:rsidRPr="0042463B" w:rsidRDefault="00117E3E" w:rsidP="00617CFC">
            <w:pPr>
              <w:spacing w:after="60"/>
              <w:jc w:val="left"/>
              <w:rPr>
                <w:sz w:val="18"/>
              </w:rPr>
            </w:pPr>
            <w:r w:rsidRPr="0042463B">
              <w:rPr>
                <w:sz w:val="18"/>
              </w:rPr>
              <w:t>Élimination des SAO (tonnes PAO)</w:t>
            </w:r>
          </w:p>
        </w:tc>
        <w:tc>
          <w:tcPr>
            <w:tcW w:w="1380" w:type="dxa"/>
            <w:shd w:val="clear" w:color="auto" w:fill="auto"/>
          </w:tcPr>
          <w:p w14:paraId="24AEF06A" w14:textId="77777777" w:rsidR="00117E3E" w:rsidRPr="0042463B" w:rsidRDefault="00117E3E" w:rsidP="00617CFC">
            <w:pPr>
              <w:spacing w:after="60"/>
              <w:jc w:val="right"/>
              <w:rPr>
                <w:sz w:val="18"/>
              </w:rPr>
            </w:pPr>
            <w:r w:rsidRPr="0042463B">
              <w:rPr>
                <w:sz w:val="18"/>
              </w:rPr>
              <w:t>2,50</w:t>
            </w:r>
          </w:p>
        </w:tc>
        <w:tc>
          <w:tcPr>
            <w:tcW w:w="1381" w:type="dxa"/>
            <w:shd w:val="clear" w:color="auto" w:fill="auto"/>
          </w:tcPr>
          <w:p w14:paraId="6649D20C" w14:textId="77777777" w:rsidR="00117E3E" w:rsidRPr="0042463B" w:rsidRDefault="00117E3E" w:rsidP="00617CFC">
            <w:pPr>
              <w:spacing w:after="60"/>
              <w:jc w:val="right"/>
              <w:rPr>
                <w:sz w:val="18"/>
              </w:rPr>
            </w:pPr>
            <w:r w:rsidRPr="0042463B">
              <w:rPr>
                <w:sz w:val="18"/>
              </w:rPr>
              <w:t>0</w:t>
            </w:r>
          </w:p>
        </w:tc>
        <w:tc>
          <w:tcPr>
            <w:tcW w:w="1381" w:type="dxa"/>
          </w:tcPr>
          <w:p w14:paraId="390BF166" w14:textId="77777777" w:rsidR="00117E3E" w:rsidRPr="0042463B" w:rsidRDefault="00117E3E" w:rsidP="00617CFC">
            <w:pPr>
              <w:spacing w:after="60"/>
              <w:jc w:val="right"/>
              <w:rPr>
                <w:sz w:val="18"/>
              </w:rPr>
            </w:pPr>
            <w:r w:rsidRPr="0042463B">
              <w:rPr>
                <w:sz w:val="18"/>
              </w:rPr>
              <w:t>2,50</w:t>
            </w:r>
          </w:p>
        </w:tc>
        <w:tc>
          <w:tcPr>
            <w:tcW w:w="1147" w:type="dxa"/>
            <w:shd w:val="clear" w:color="auto" w:fill="auto"/>
            <w:vAlign w:val="bottom"/>
          </w:tcPr>
          <w:p w14:paraId="1A38A422" w14:textId="77777777" w:rsidR="00117E3E" w:rsidRPr="0042463B" w:rsidRDefault="00AE07F2" w:rsidP="00617CFC">
            <w:pPr>
              <w:spacing w:after="60"/>
              <w:jc w:val="right"/>
              <w:rPr>
                <w:sz w:val="18"/>
              </w:rPr>
            </w:pPr>
            <w:r w:rsidRPr="0042463B">
              <w:rPr>
                <w:sz w:val="18"/>
              </w:rPr>
              <w:t>5,00</w:t>
            </w:r>
          </w:p>
        </w:tc>
      </w:tr>
      <w:tr w:rsidR="00117E3E" w:rsidRPr="0042463B" w14:paraId="30BEAD30" w14:textId="77777777" w:rsidTr="00FD303E">
        <w:trPr>
          <w:trHeight w:val="219"/>
        </w:trPr>
        <w:tc>
          <w:tcPr>
            <w:tcW w:w="1277" w:type="dxa"/>
            <w:vMerge/>
            <w:shd w:val="clear" w:color="auto" w:fill="auto"/>
          </w:tcPr>
          <w:p w14:paraId="59DEC7D7" w14:textId="77777777" w:rsidR="00117E3E" w:rsidRPr="0042463B" w:rsidRDefault="00117E3E" w:rsidP="00617CFC">
            <w:pPr>
              <w:spacing w:after="60"/>
              <w:jc w:val="center"/>
              <w:rPr>
                <w:sz w:val="18"/>
              </w:rPr>
            </w:pPr>
          </w:p>
        </w:tc>
        <w:tc>
          <w:tcPr>
            <w:tcW w:w="3670" w:type="dxa"/>
            <w:shd w:val="clear" w:color="auto" w:fill="auto"/>
          </w:tcPr>
          <w:p w14:paraId="52A5633D" w14:textId="77777777" w:rsidR="00117E3E" w:rsidRPr="0042463B" w:rsidRDefault="00117E3E" w:rsidP="00617CFC">
            <w:pPr>
              <w:spacing w:after="60"/>
              <w:jc w:val="left"/>
              <w:rPr>
                <w:sz w:val="18"/>
              </w:rPr>
            </w:pPr>
            <w:r w:rsidRPr="0042463B">
              <w:rPr>
                <w:sz w:val="18"/>
              </w:rPr>
              <w:t>Financement ($ US)</w:t>
            </w:r>
          </w:p>
        </w:tc>
        <w:tc>
          <w:tcPr>
            <w:tcW w:w="1380" w:type="dxa"/>
            <w:shd w:val="clear" w:color="auto" w:fill="auto"/>
          </w:tcPr>
          <w:p w14:paraId="2DDCF6B9" w14:textId="77777777" w:rsidR="00117E3E" w:rsidRPr="0042463B" w:rsidRDefault="00117E3E" w:rsidP="00617CFC">
            <w:pPr>
              <w:spacing w:after="60"/>
              <w:jc w:val="right"/>
              <w:rPr>
                <w:sz w:val="18"/>
              </w:rPr>
            </w:pPr>
            <w:r w:rsidRPr="0042463B">
              <w:rPr>
                <w:sz w:val="18"/>
              </w:rPr>
              <w:t>246 550</w:t>
            </w:r>
          </w:p>
        </w:tc>
        <w:tc>
          <w:tcPr>
            <w:tcW w:w="1381" w:type="dxa"/>
            <w:shd w:val="clear" w:color="auto" w:fill="auto"/>
          </w:tcPr>
          <w:p w14:paraId="10F1EFB3" w14:textId="77777777" w:rsidR="00117E3E" w:rsidRPr="0042463B" w:rsidRDefault="00117E3E" w:rsidP="00617CFC">
            <w:pPr>
              <w:spacing w:after="60"/>
              <w:jc w:val="right"/>
              <w:rPr>
                <w:sz w:val="18"/>
              </w:rPr>
            </w:pPr>
            <w:r w:rsidRPr="0042463B">
              <w:rPr>
                <w:sz w:val="18"/>
              </w:rPr>
              <w:t>0</w:t>
            </w:r>
          </w:p>
        </w:tc>
        <w:tc>
          <w:tcPr>
            <w:tcW w:w="1381" w:type="dxa"/>
          </w:tcPr>
          <w:p w14:paraId="2C856D5C" w14:textId="77777777" w:rsidR="00117E3E" w:rsidRPr="0042463B" w:rsidRDefault="00117E3E" w:rsidP="00617CFC">
            <w:pPr>
              <w:spacing w:after="60"/>
              <w:jc w:val="right"/>
              <w:rPr>
                <w:sz w:val="18"/>
              </w:rPr>
            </w:pPr>
            <w:r w:rsidRPr="0042463B">
              <w:rPr>
                <w:sz w:val="18"/>
              </w:rPr>
              <w:t>246 550</w:t>
            </w:r>
          </w:p>
        </w:tc>
        <w:tc>
          <w:tcPr>
            <w:tcW w:w="1147" w:type="dxa"/>
            <w:shd w:val="clear" w:color="auto" w:fill="auto"/>
            <w:vAlign w:val="bottom"/>
          </w:tcPr>
          <w:p w14:paraId="15C13944" w14:textId="244558CD" w:rsidR="00117E3E" w:rsidRPr="0042463B" w:rsidRDefault="00AE07F2" w:rsidP="00617CFC">
            <w:pPr>
              <w:spacing w:after="60"/>
              <w:jc w:val="right"/>
              <w:rPr>
                <w:sz w:val="18"/>
              </w:rPr>
            </w:pPr>
            <w:r w:rsidRPr="0042463B">
              <w:rPr>
                <w:sz w:val="18"/>
              </w:rPr>
              <w:fldChar w:fldCharType="begin"/>
            </w:r>
            <w:r w:rsidRPr="0042463B">
              <w:rPr>
                <w:sz w:val="18"/>
              </w:rPr>
              <w:instrText xml:space="preserve"> =SUM(left) </w:instrText>
            </w:r>
            <w:r w:rsidRPr="0042463B">
              <w:rPr>
                <w:sz w:val="18"/>
              </w:rPr>
              <w:fldChar w:fldCharType="separate"/>
            </w:r>
            <w:r w:rsidRPr="0042463B">
              <w:rPr>
                <w:sz w:val="18"/>
              </w:rPr>
              <w:t>493</w:t>
            </w:r>
            <w:r w:rsidR="00BF494C" w:rsidRPr="0042463B">
              <w:rPr>
                <w:sz w:val="18"/>
              </w:rPr>
              <w:t> </w:t>
            </w:r>
            <w:r w:rsidRPr="0042463B">
              <w:rPr>
                <w:sz w:val="18"/>
              </w:rPr>
              <w:t>100</w:t>
            </w:r>
            <w:r w:rsidRPr="0042463B">
              <w:rPr>
                <w:sz w:val="18"/>
              </w:rPr>
              <w:fldChar w:fldCharType="end"/>
            </w:r>
          </w:p>
        </w:tc>
      </w:tr>
      <w:tr w:rsidR="00117E3E" w:rsidRPr="0042463B" w14:paraId="69314AA5" w14:textId="77777777" w:rsidTr="00FD303E">
        <w:trPr>
          <w:trHeight w:val="219"/>
        </w:trPr>
        <w:tc>
          <w:tcPr>
            <w:tcW w:w="1277" w:type="dxa"/>
            <w:vMerge w:val="restart"/>
            <w:shd w:val="clear" w:color="auto" w:fill="auto"/>
          </w:tcPr>
          <w:p w14:paraId="1E06C8DB" w14:textId="77777777" w:rsidR="00117E3E" w:rsidRPr="0042463B" w:rsidRDefault="00117E3E" w:rsidP="00617CFC">
            <w:pPr>
              <w:spacing w:after="60"/>
              <w:jc w:val="center"/>
              <w:rPr>
                <w:sz w:val="18"/>
              </w:rPr>
            </w:pPr>
            <w:r w:rsidRPr="0042463B">
              <w:rPr>
                <w:sz w:val="18"/>
              </w:rPr>
              <w:t xml:space="preserve">ONUDI </w:t>
            </w:r>
          </w:p>
        </w:tc>
        <w:tc>
          <w:tcPr>
            <w:tcW w:w="3670" w:type="dxa"/>
            <w:shd w:val="clear" w:color="auto" w:fill="auto"/>
          </w:tcPr>
          <w:p w14:paraId="055438CD" w14:textId="77777777" w:rsidR="00117E3E" w:rsidRPr="0042463B" w:rsidRDefault="00117E3E" w:rsidP="00617CFC">
            <w:pPr>
              <w:spacing w:after="60"/>
              <w:jc w:val="left"/>
              <w:rPr>
                <w:sz w:val="18"/>
              </w:rPr>
            </w:pPr>
            <w:r w:rsidRPr="0042463B">
              <w:rPr>
                <w:sz w:val="18"/>
              </w:rPr>
              <w:t>Élimination des SAO (tonnes PAO)</w:t>
            </w:r>
          </w:p>
        </w:tc>
        <w:tc>
          <w:tcPr>
            <w:tcW w:w="1380" w:type="dxa"/>
            <w:shd w:val="clear" w:color="auto" w:fill="auto"/>
          </w:tcPr>
          <w:p w14:paraId="0B13CFA4" w14:textId="77777777" w:rsidR="00117E3E" w:rsidRPr="0042463B" w:rsidRDefault="00AE07F2" w:rsidP="00617CFC">
            <w:pPr>
              <w:spacing w:after="60"/>
              <w:jc w:val="right"/>
              <w:rPr>
                <w:sz w:val="18"/>
              </w:rPr>
            </w:pPr>
            <w:r w:rsidRPr="0042463B">
              <w:rPr>
                <w:sz w:val="18"/>
              </w:rPr>
              <w:t>5,38</w:t>
            </w:r>
          </w:p>
        </w:tc>
        <w:tc>
          <w:tcPr>
            <w:tcW w:w="1381" w:type="dxa"/>
            <w:shd w:val="clear" w:color="auto" w:fill="auto"/>
          </w:tcPr>
          <w:p w14:paraId="12117EC7" w14:textId="77777777" w:rsidR="00117E3E" w:rsidRPr="0042463B" w:rsidRDefault="00AE07F2" w:rsidP="00617CFC">
            <w:pPr>
              <w:spacing w:after="60"/>
              <w:jc w:val="right"/>
              <w:rPr>
                <w:sz w:val="18"/>
              </w:rPr>
            </w:pPr>
            <w:r w:rsidRPr="0042463B">
              <w:rPr>
                <w:sz w:val="18"/>
              </w:rPr>
              <w:t>0</w:t>
            </w:r>
          </w:p>
        </w:tc>
        <w:tc>
          <w:tcPr>
            <w:tcW w:w="1381" w:type="dxa"/>
          </w:tcPr>
          <w:p w14:paraId="4439549C" w14:textId="77777777" w:rsidR="00117E3E" w:rsidRPr="0042463B" w:rsidRDefault="00AE07F2" w:rsidP="00617CFC">
            <w:pPr>
              <w:spacing w:after="60"/>
              <w:jc w:val="right"/>
              <w:rPr>
                <w:sz w:val="18"/>
              </w:rPr>
            </w:pPr>
            <w:r w:rsidRPr="0042463B">
              <w:rPr>
                <w:sz w:val="18"/>
              </w:rPr>
              <w:t>2,89</w:t>
            </w:r>
          </w:p>
        </w:tc>
        <w:tc>
          <w:tcPr>
            <w:tcW w:w="1147" w:type="dxa"/>
            <w:shd w:val="clear" w:color="auto" w:fill="auto"/>
            <w:vAlign w:val="bottom"/>
          </w:tcPr>
          <w:p w14:paraId="666FC6FA" w14:textId="17637101" w:rsidR="00117E3E" w:rsidRPr="0042463B" w:rsidRDefault="00AE07F2" w:rsidP="00617CFC">
            <w:pPr>
              <w:spacing w:after="60"/>
              <w:jc w:val="right"/>
              <w:rPr>
                <w:sz w:val="18"/>
              </w:rPr>
            </w:pPr>
            <w:r w:rsidRPr="0042463B">
              <w:rPr>
                <w:sz w:val="18"/>
              </w:rPr>
              <w:fldChar w:fldCharType="begin"/>
            </w:r>
            <w:r w:rsidRPr="0042463B">
              <w:rPr>
                <w:sz w:val="18"/>
              </w:rPr>
              <w:instrText xml:space="preserve"> =SUM(left) </w:instrText>
            </w:r>
            <w:r w:rsidRPr="0042463B">
              <w:rPr>
                <w:sz w:val="18"/>
              </w:rPr>
              <w:fldChar w:fldCharType="separate"/>
            </w:r>
            <w:r w:rsidRPr="0042463B">
              <w:rPr>
                <w:sz w:val="18"/>
              </w:rPr>
              <w:t>8</w:t>
            </w:r>
            <w:r w:rsidR="00BF494C" w:rsidRPr="0042463B">
              <w:rPr>
                <w:sz w:val="18"/>
              </w:rPr>
              <w:t>,</w:t>
            </w:r>
            <w:r w:rsidRPr="0042463B">
              <w:rPr>
                <w:sz w:val="18"/>
              </w:rPr>
              <w:t>27</w:t>
            </w:r>
            <w:r w:rsidRPr="0042463B">
              <w:rPr>
                <w:sz w:val="18"/>
              </w:rPr>
              <w:fldChar w:fldCharType="end"/>
            </w:r>
          </w:p>
        </w:tc>
      </w:tr>
      <w:tr w:rsidR="00117E3E" w:rsidRPr="0042463B" w14:paraId="6AE5D5BA" w14:textId="77777777" w:rsidTr="00FD303E">
        <w:trPr>
          <w:trHeight w:val="219"/>
        </w:trPr>
        <w:tc>
          <w:tcPr>
            <w:tcW w:w="1277" w:type="dxa"/>
            <w:vMerge/>
            <w:shd w:val="clear" w:color="auto" w:fill="auto"/>
          </w:tcPr>
          <w:p w14:paraId="23099660" w14:textId="77777777" w:rsidR="00117E3E" w:rsidRPr="0042463B" w:rsidRDefault="00117E3E" w:rsidP="00617CFC">
            <w:pPr>
              <w:spacing w:after="60"/>
              <w:jc w:val="center"/>
              <w:rPr>
                <w:sz w:val="18"/>
              </w:rPr>
            </w:pPr>
          </w:p>
        </w:tc>
        <w:tc>
          <w:tcPr>
            <w:tcW w:w="3670" w:type="dxa"/>
            <w:shd w:val="clear" w:color="auto" w:fill="auto"/>
          </w:tcPr>
          <w:p w14:paraId="41DAB312" w14:textId="77777777" w:rsidR="00117E3E" w:rsidRPr="0042463B" w:rsidRDefault="00117E3E" w:rsidP="00617CFC">
            <w:pPr>
              <w:spacing w:after="60"/>
              <w:jc w:val="left"/>
              <w:rPr>
                <w:sz w:val="18"/>
              </w:rPr>
            </w:pPr>
            <w:r w:rsidRPr="0042463B">
              <w:rPr>
                <w:sz w:val="18"/>
              </w:rPr>
              <w:t>Financement ($ US)</w:t>
            </w:r>
          </w:p>
        </w:tc>
        <w:tc>
          <w:tcPr>
            <w:tcW w:w="1380" w:type="dxa"/>
            <w:shd w:val="clear" w:color="auto" w:fill="auto"/>
          </w:tcPr>
          <w:p w14:paraId="7E149D57" w14:textId="77777777" w:rsidR="00117E3E" w:rsidRPr="0042463B" w:rsidRDefault="00AE07F2" w:rsidP="00617CFC">
            <w:pPr>
              <w:spacing w:after="60"/>
              <w:jc w:val="right"/>
              <w:rPr>
                <w:sz w:val="18"/>
              </w:rPr>
            </w:pPr>
            <w:r w:rsidRPr="0042463B">
              <w:rPr>
                <w:sz w:val="18"/>
              </w:rPr>
              <w:t>634 992</w:t>
            </w:r>
          </w:p>
        </w:tc>
        <w:tc>
          <w:tcPr>
            <w:tcW w:w="1381" w:type="dxa"/>
            <w:shd w:val="clear" w:color="auto" w:fill="auto"/>
          </w:tcPr>
          <w:p w14:paraId="77E510B5" w14:textId="77777777" w:rsidR="00117E3E" w:rsidRPr="0042463B" w:rsidRDefault="00AE07F2" w:rsidP="00617CFC">
            <w:pPr>
              <w:spacing w:after="60"/>
              <w:jc w:val="right"/>
              <w:rPr>
                <w:sz w:val="18"/>
              </w:rPr>
            </w:pPr>
            <w:r w:rsidRPr="0042463B">
              <w:rPr>
                <w:sz w:val="18"/>
              </w:rPr>
              <w:t>0</w:t>
            </w:r>
          </w:p>
        </w:tc>
        <w:tc>
          <w:tcPr>
            <w:tcW w:w="1381" w:type="dxa"/>
          </w:tcPr>
          <w:p w14:paraId="29BEE492" w14:textId="77777777" w:rsidR="00117E3E" w:rsidRPr="0042463B" w:rsidRDefault="00AE07F2" w:rsidP="00617CFC">
            <w:pPr>
              <w:spacing w:after="60"/>
              <w:jc w:val="right"/>
              <w:rPr>
                <w:sz w:val="18"/>
              </w:rPr>
            </w:pPr>
            <w:r w:rsidRPr="0042463B">
              <w:rPr>
                <w:sz w:val="18"/>
              </w:rPr>
              <w:t>444 963</w:t>
            </w:r>
          </w:p>
        </w:tc>
        <w:tc>
          <w:tcPr>
            <w:tcW w:w="1147" w:type="dxa"/>
            <w:shd w:val="clear" w:color="auto" w:fill="auto"/>
            <w:vAlign w:val="bottom"/>
          </w:tcPr>
          <w:p w14:paraId="1B536F69" w14:textId="6FDBDD43" w:rsidR="00117E3E" w:rsidRPr="0042463B" w:rsidRDefault="00AE07F2" w:rsidP="00617CFC">
            <w:pPr>
              <w:spacing w:after="60"/>
              <w:jc w:val="right"/>
              <w:rPr>
                <w:sz w:val="18"/>
              </w:rPr>
            </w:pPr>
            <w:r w:rsidRPr="0042463B">
              <w:rPr>
                <w:sz w:val="18"/>
              </w:rPr>
              <w:fldChar w:fldCharType="begin"/>
            </w:r>
            <w:r w:rsidRPr="0042463B">
              <w:rPr>
                <w:sz w:val="18"/>
              </w:rPr>
              <w:instrText xml:space="preserve"> =SUM(left) </w:instrText>
            </w:r>
            <w:r w:rsidRPr="0042463B">
              <w:rPr>
                <w:sz w:val="18"/>
              </w:rPr>
              <w:fldChar w:fldCharType="separate"/>
            </w:r>
            <w:r w:rsidRPr="0042463B">
              <w:rPr>
                <w:sz w:val="18"/>
              </w:rPr>
              <w:t>1</w:t>
            </w:r>
            <w:r w:rsidR="00BF494C" w:rsidRPr="0042463B">
              <w:rPr>
                <w:sz w:val="18"/>
              </w:rPr>
              <w:t> </w:t>
            </w:r>
            <w:r w:rsidRPr="0042463B">
              <w:rPr>
                <w:sz w:val="18"/>
              </w:rPr>
              <w:t>079</w:t>
            </w:r>
            <w:r w:rsidR="00BF494C" w:rsidRPr="0042463B">
              <w:rPr>
                <w:sz w:val="18"/>
              </w:rPr>
              <w:t> </w:t>
            </w:r>
            <w:r w:rsidRPr="0042463B">
              <w:rPr>
                <w:sz w:val="18"/>
              </w:rPr>
              <w:t>955</w:t>
            </w:r>
            <w:r w:rsidRPr="0042463B">
              <w:rPr>
                <w:sz w:val="18"/>
              </w:rPr>
              <w:fldChar w:fldCharType="end"/>
            </w:r>
          </w:p>
        </w:tc>
      </w:tr>
    </w:tbl>
    <w:p w14:paraId="0E451E75" w14:textId="77777777" w:rsidR="00117E3E" w:rsidRPr="0042463B" w:rsidRDefault="00117E3E" w:rsidP="00117E3E">
      <w:pPr>
        <w:spacing w:after="60"/>
        <w:jc w:val="center"/>
        <w:rPr>
          <w:sz w:val="12"/>
          <w:szCs w:val="12"/>
        </w:rPr>
      </w:pPr>
    </w:p>
    <w:tbl>
      <w:tblPr>
        <w:tblStyle w:val="TableGrid"/>
        <w:tblW w:w="5468" w:type="pct"/>
        <w:tblInd w:w="-431" w:type="dxa"/>
        <w:tblLook w:val="04A0" w:firstRow="1" w:lastRow="0" w:firstColumn="1" w:lastColumn="0" w:noHBand="0" w:noVBand="1"/>
      </w:tblPr>
      <w:tblGrid>
        <w:gridCol w:w="1470"/>
        <w:gridCol w:w="1464"/>
        <w:gridCol w:w="1483"/>
        <w:gridCol w:w="945"/>
        <w:gridCol w:w="945"/>
        <w:gridCol w:w="1027"/>
        <w:gridCol w:w="947"/>
        <w:gridCol w:w="1016"/>
        <w:gridCol w:w="928"/>
      </w:tblGrid>
      <w:tr w:rsidR="00EB31E3" w:rsidRPr="0042463B" w14:paraId="108ABEE0" w14:textId="77777777" w:rsidTr="00FD303E">
        <w:trPr>
          <w:trHeight w:val="216"/>
        </w:trPr>
        <w:tc>
          <w:tcPr>
            <w:tcW w:w="2160" w:type="pct"/>
            <w:gridSpan w:val="3"/>
            <w:shd w:val="clear" w:color="auto" w:fill="auto"/>
          </w:tcPr>
          <w:p w14:paraId="0CAE38E9" w14:textId="77777777" w:rsidR="00EB31E3" w:rsidRPr="0042463B" w:rsidRDefault="00EB31E3" w:rsidP="006E0D11">
            <w:pPr>
              <w:jc w:val="left"/>
              <w:rPr>
                <w:b/>
                <w:sz w:val="20"/>
                <w:szCs w:val="20"/>
              </w:rPr>
            </w:pPr>
            <w:r w:rsidRPr="0042463B">
              <w:rPr>
                <w:b/>
                <w:sz w:val="20"/>
                <w:szCs w:val="20"/>
              </w:rPr>
              <w:t xml:space="preserve">(VI) DONNÉES DU PROJET </w:t>
            </w:r>
          </w:p>
        </w:tc>
        <w:tc>
          <w:tcPr>
            <w:tcW w:w="462" w:type="pct"/>
            <w:shd w:val="clear" w:color="auto" w:fill="auto"/>
          </w:tcPr>
          <w:p w14:paraId="12CA0449" w14:textId="77777777" w:rsidR="00EB31E3" w:rsidRPr="0042463B" w:rsidRDefault="00EB31E3" w:rsidP="00EB31E3">
            <w:pPr>
              <w:jc w:val="center"/>
              <w:rPr>
                <w:b/>
                <w:sz w:val="20"/>
                <w:szCs w:val="20"/>
              </w:rPr>
            </w:pPr>
            <w:r w:rsidRPr="0042463B">
              <w:rPr>
                <w:b/>
                <w:sz w:val="20"/>
                <w:szCs w:val="20"/>
              </w:rPr>
              <w:t>2021</w:t>
            </w:r>
          </w:p>
        </w:tc>
        <w:tc>
          <w:tcPr>
            <w:tcW w:w="462" w:type="pct"/>
            <w:shd w:val="clear" w:color="auto" w:fill="auto"/>
          </w:tcPr>
          <w:p w14:paraId="6B131C7D" w14:textId="77777777" w:rsidR="00EB31E3" w:rsidRPr="0042463B" w:rsidRDefault="00EB31E3" w:rsidP="00EB31E3">
            <w:pPr>
              <w:jc w:val="center"/>
              <w:rPr>
                <w:b/>
                <w:sz w:val="20"/>
                <w:szCs w:val="20"/>
              </w:rPr>
            </w:pPr>
            <w:r w:rsidRPr="0042463B">
              <w:rPr>
                <w:b/>
                <w:sz w:val="20"/>
                <w:szCs w:val="20"/>
              </w:rPr>
              <w:t>2022</w:t>
            </w:r>
          </w:p>
        </w:tc>
        <w:tc>
          <w:tcPr>
            <w:tcW w:w="502" w:type="pct"/>
            <w:shd w:val="clear" w:color="auto" w:fill="auto"/>
          </w:tcPr>
          <w:p w14:paraId="5738DB8C" w14:textId="77777777" w:rsidR="00EB31E3" w:rsidRPr="0042463B" w:rsidRDefault="00EB31E3" w:rsidP="00EB31E3">
            <w:pPr>
              <w:jc w:val="center"/>
              <w:rPr>
                <w:b/>
                <w:sz w:val="20"/>
                <w:szCs w:val="20"/>
              </w:rPr>
            </w:pPr>
            <w:r w:rsidRPr="0042463B">
              <w:rPr>
                <w:b/>
                <w:sz w:val="20"/>
                <w:szCs w:val="20"/>
              </w:rPr>
              <w:t>2023</w:t>
            </w:r>
          </w:p>
        </w:tc>
        <w:tc>
          <w:tcPr>
            <w:tcW w:w="463" w:type="pct"/>
          </w:tcPr>
          <w:p w14:paraId="3B4B78AE" w14:textId="77777777" w:rsidR="00EB31E3" w:rsidRPr="0042463B" w:rsidRDefault="00EB31E3" w:rsidP="00EB31E3">
            <w:pPr>
              <w:jc w:val="center"/>
              <w:rPr>
                <w:b/>
                <w:sz w:val="20"/>
                <w:szCs w:val="20"/>
              </w:rPr>
            </w:pPr>
            <w:r w:rsidRPr="0042463B">
              <w:rPr>
                <w:b/>
                <w:sz w:val="20"/>
                <w:szCs w:val="20"/>
              </w:rPr>
              <w:t>2024</w:t>
            </w:r>
          </w:p>
        </w:tc>
        <w:tc>
          <w:tcPr>
            <w:tcW w:w="497" w:type="pct"/>
          </w:tcPr>
          <w:p w14:paraId="5961777D" w14:textId="77777777" w:rsidR="00EB31E3" w:rsidRPr="0042463B" w:rsidRDefault="00EB31E3" w:rsidP="00EB31E3">
            <w:pPr>
              <w:jc w:val="center"/>
              <w:rPr>
                <w:b/>
                <w:sz w:val="20"/>
                <w:szCs w:val="20"/>
              </w:rPr>
            </w:pPr>
            <w:r w:rsidRPr="0042463B">
              <w:rPr>
                <w:b/>
                <w:sz w:val="20"/>
                <w:szCs w:val="20"/>
              </w:rPr>
              <w:t>2025</w:t>
            </w:r>
          </w:p>
        </w:tc>
        <w:tc>
          <w:tcPr>
            <w:tcW w:w="454" w:type="pct"/>
            <w:shd w:val="clear" w:color="auto" w:fill="auto"/>
          </w:tcPr>
          <w:p w14:paraId="0B31CCCE" w14:textId="77777777" w:rsidR="00EB31E3" w:rsidRPr="0042463B" w:rsidRDefault="00EB31E3" w:rsidP="00EB31E3">
            <w:pPr>
              <w:jc w:val="center"/>
              <w:rPr>
                <w:b/>
                <w:sz w:val="20"/>
                <w:szCs w:val="20"/>
              </w:rPr>
            </w:pPr>
            <w:r w:rsidRPr="0042463B">
              <w:rPr>
                <w:b/>
                <w:sz w:val="20"/>
                <w:szCs w:val="20"/>
              </w:rPr>
              <w:t>Total</w:t>
            </w:r>
          </w:p>
        </w:tc>
      </w:tr>
      <w:tr w:rsidR="00233B1E" w:rsidRPr="0042463B" w14:paraId="2A58460F" w14:textId="77777777" w:rsidTr="00FD303E">
        <w:trPr>
          <w:trHeight w:val="69"/>
        </w:trPr>
        <w:tc>
          <w:tcPr>
            <w:tcW w:w="2160" w:type="pct"/>
            <w:gridSpan w:val="3"/>
            <w:shd w:val="clear" w:color="auto" w:fill="auto"/>
          </w:tcPr>
          <w:p w14:paraId="35C94827" w14:textId="77777777" w:rsidR="00233B1E" w:rsidRPr="0042463B" w:rsidRDefault="00233B1E" w:rsidP="00233B1E">
            <w:pPr>
              <w:tabs>
                <w:tab w:val="left" w:pos="8280"/>
              </w:tabs>
              <w:spacing w:after="60"/>
              <w:jc w:val="left"/>
              <w:rPr>
                <w:sz w:val="20"/>
                <w:szCs w:val="20"/>
              </w:rPr>
            </w:pPr>
            <w:r w:rsidRPr="0042463B">
              <w:rPr>
                <w:sz w:val="20"/>
                <w:szCs w:val="20"/>
              </w:rPr>
              <w:t>Limites de consommation du Protocole de Montréal</w:t>
            </w:r>
          </w:p>
        </w:tc>
        <w:tc>
          <w:tcPr>
            <w:tcW w:w="462" w:type="pct"/>
            <w:shd w:val="clear" w:color="auto" w:fill="auto"/>
          </w:tcPr>
          <w:p w14:paraId="05E1E387" w14:textId="77777777" w:rsidR="00233B1E" w:rsidRPr="0042463B" w:rsidRDefault="00233B1E" w:rsidP="00265897">
            <w:pPr>
              <w:jc w:val="right"/>
              <w:rPr>
                <w:sz w:val="20"/>
                <w:szCs w:val="20"/>
              </w:rPr>
            </w:pPr>
            <w:r w:rsidRPr="0042463B">
              <w:rPr>
                <w:sz w:val="20"/>
                <w:szCs w:val="20"/>
              </w:rPr>
              <w:t>33,74</w:t>
            </w:r>
          </w:p>
        </w:tc>
        <w:tc>
          <w:tcPr>
            <w:tcW w:w="462" w:type="pct"/>
          </w:tcPr>
          <w:p w14:paraId="45E25FF9" w14:textId="77777777" w:rsidR="00233B1E" w:rsidRPr="0042463B" w:rsidRDefault="00233B1E" w:rsidP="00265897">
            <w:pPr>
              <w:jc w:val="right"/>
              <w:rPr>
                <w:sz w:val="20"/>
                <w:szCs w:val="20"/>
              </w:rPr>
            </w:pPr>
            <w:r w:rsidRPr="0042463B">
              <w:rPr>
                <w:sz w:val="20"/>
                <w:szCs w:val="20"/>
              </w:rPr>
              <w:t>33,74</w:t>
            </w:r>
          </w:p>
        </w:tc>
        <w:tc>
          <w:tcPr>
            <w:tcW w:w="502" w:type="pct"/>
          </w:tcPr>
          <w:p w14:paraId="1888BA90" w14:textId="77777777" w:rsidR="00233B1E" w:rsidRPr="0042463B" w:rsidRDefault="00233B1E" w:rsidP="00265897">
            <w:pPr>
              <w:jc w:val="right"/>
              <w:rPr>
                <w:sz w:val="20"/>
                <w:szCs w:val="20"/>
              </w:rPr>
            </w:pPr>
            <w:r w:rsidRPr="0042463B">
              <w:rPr>
                <w:sz w:val="20"/>
                <w:szCs w:val="20"/>
              </w:rPr>
              <w:t>33,74</w:t>
            </w:r>
          </w:p>
        </w:tc>
        <w:tc>
          <w:tcPr>
            <w:tcW w:w="463" w:type="pct"/>
          </w:tcPr>
          <w:p w14:paraId="5069D764" w14:textId="77777777" w:rsidR="00233B1E" w:rsidRPr="0042463B" w:rsidRDefault="00233B1E" w:rsidP="00265897">
            <w:pPr>
              <w:jc w:val="right"/>
              <w:rPr>
                <w:sz w:val="20"/>
                <w:szCs w:val="20"/>
              </w:rPr>
            </w:pPr>
            <w:r w:rsidRPr="0042463B">
              <w:rPr>
                <w:sz w:val="20"/>
                <w:szCs w:val="20"/>
              </w:rPr>
              <w:t>33,74</w:t>
            </w:r>
          </w:p>
        </w:tc>
        <w:tc>
          <w:tcPr>
            <w:tcW w:w="497" w:type="pct"/>
          </w:tcPr>
          <w:p w14:paraId="0778F032" w14:textId="77777777" w:rsidR="00233B1E" w:rsidRPr="0042463B" w:rsidRDefault="00233B1E" w:rsidP="00265897">
            <w:pPr>
              <w:jc w:val="right"/>
              <w:rPr>
                <w:sz w:val="20"/>
                <w:szCs w:val="20"/>
              </w:rPr>
            </w:pPr>
            <w:r w:rsidRPr="0042463B">
              <w:rPr>
                <w:sz w:val="20"/>
                <w:szCs w:val="20"/>
              </w:rPr>
              <w:t>16,87</w:t>
            </w:r>
          </w:p>
        </w:tc>
        <w:tc>
          <w:tcPr>
            <w:tcW w:w="454" w:type="pct"/>
          </w:tcPr>
          <w:p w14:paraId="45A371F9" w14:textId="77777777" w:rsidR="00233B1E" w:rsidRPr="0042463B" w:rsidRDefault="00233B1E" w:rsidP="00265897">
            <w:pPr>
              <w:jc w:val="right"/>
              <w:rPr>
                <w:sz w:val="20"/>
                <w:szCs w:val="20"/>
              </w:rPr>
            </w:pPr>
            <w:r w:rsidRPr="0042463B">
              <w:rPr>
                <w:sz w:val="20"/>
                <w:szCs w:val="20"/>
              </w:rPr>
              <w:t>s. o.</w:t>
            </w:r>
          </w:p>
        </w:tc>
      </w:tr>
      <w:tr w:rsidR="00233B1E" w:rsidRPr="0042463B" w14:paraId="195FCB3B" w14:textId="77777777" w:rsidTr="00FD303E">
        <w:trPr>
          <w:trHeight w:val="69"/>
        </w:trPr>
        <w:tc>
          <w:tcPr>
            <w:tcW w:w="2160" w:type="pct"/>
            <w:gridSpan w:val="3"/>
            <w:shd w:val="clear" w:color="auto" w:fill="auto"/>
          </w:tcPr>
          <w:p w14:paraId="178476CF" w14:textId="77777777" w:rsidR="00233B1E" w:rsidRPr="0042463B" w:rsidRDefault="00233B1E" w:rsidP="00233B1E">
            <w:pPr>
              <w:tabs>
                <w:tab w:val="left" w:pos="8280"/>
              </w:tabs>
              <w:spacing w:after="60"/>
              <w:jc w:val="left"/>
              <w:rPr>
                <w:sz w:val="20"/>
                <w:szCs w:val="20"/>
              </w:rPr>
            </w:pPr>
            <w:r w:rsidRPr="0042463B">
              <w:rPr>
                <w:sz w:val="20"/>
                <w:szCs w:val="20"/>
              </w:rPr>
              <w:t>Consommation maximale autorisée (tonnes PAO)</w:t>
            </w:r>
          </w:p>
        </w:tc>
        <w:tc>
          <w:tcPr>
            <w:tcW w:w="462" w:type="pct"/>
            <w:shd w:val="clear" w:color="auto" w:fill="auto"/>
          </w:tcPr>
          <w:p w14:paraId="4FCE9001" w14:textId="77777777" w:rsidR="00233B1E" w:rsidRPr="0042463B" w:rsidRDefault="00233B1E" w:rsidP="00265897">
            <w:pPr>
              <w:jc w:val="right"/>
              <w:rPr>
                <w:sz w:val="20"/>
                <w:szCs w:val="20"/>
              </w:rPr>
            </w:pPr>
            <w:r w:rsidRPr="0042463B">
              <w:rPr>
                <w:sz w:val="20"/>
                <w:szCs w:val="20"/>
              </w:rPr>
              <w:t>33,74</w:t>
            </w:r>
          </w:p>
        </w:tc>
        <w:tc>
          <w:tcPr>
            <w:tcW w:w="462" w:type="pct"/>
          </w:tcPr>
          <w:p w14:paraId="42776808" w14:textId="77777777" w:rsidR="00233B1E" w:rsidRPr="0042463B" w:rsidRDefault="00233B1E" w:rsidP="00265897">
            <w:pPr>
              <w:jc w:val="right"/>
              <w:rPr>
                <w:sz w:val="20"/>
                <w:szCs w:val="20"/>
              </w:rPr>
            </w:pPr>
            <w:r w:rsidRPr="0042463B">
              <w:rPr>
                <w:sz w:val="20"/>
                <w:szCs w:val="20"/>
              </w:rPr>
              <w:t>33,74</w:t>
            </w:r>
          </w:p>
        </w:tc>
        <w:tc>
          <w:tcPr>
            <w:tcW w:w="502" w:type="pct"/>
          </w:tcPr>
          <w:p w14:paraId="79DEC36F" w14:textId="77777777" w:rsidR="00233B1E" w:rsidRPr="0042463B" w:rsidRDefault="00233B1E" w:rsidP="00265897">
            <w:pPr>
              <w:jc w:val="right"/>
              <w:rPr>
                <w:sz w:val="20"/>
                <w:szCs w:val="20"/>
              </w:rPr>
            </w:pPr>
            <w:r w:rsidRPr="0042463B">
              <w:rPr>
                <w:sz w:val="20"/>
                <w:szCs w:val="20"/>
              </w:rPr>
              <w:t>33,74</w:t>
            </w:r>
          </w:p>
        </w:tc>
        <w:tc>
          <w:tcPr>
            <w:tcW w:w="463" w:type="pct"/>
          </w:tcPr>
          <w:p w14:paraId="71FC72EE" w14:textId="77777777" w:rsidR="00233B1E" w:rsidRPr="0042463B" w:rsidRDefault="00233B1E" w:rsidP="00265897">
            <w:pPr>
              <w:jc w:val="right"/>
              <w:rPr>
                <w:sz w:val="20"/>
                <w:szCs w:val="20"/>
              </w:rPr>
            </w:pPr>
            <w:r w:rsidRPr="0042463B">
              <w:rPr>
                <w:sz w:val="20"/>
                <w:szCs w:val="20"/>
              </w:rPr>
              <w:t>33,74</w:t>
            </w:r>
          </w:p>
        </w:tc>
        <w:tc>
          <w:tcPr>
            <w:tcW w:w="497" w:type="pct"/>
          </w:tcPr>
          <w:p w14:paraId="7CD20D2B" w14:textId="77777777" w:rsidR="00233B1E" w:rsidRPr="0042463B" w:rsidRDefault="00A80791" w:rsidP="00A80791">
            <w:pPr>
              <w:jc w:val="right"/>
              <w:rPr>
                <w:sz w:val="20"/>
                <w:szCs w:val="20"/>
              </w:rPr>
            </w:pPr>
            <w:r w:rsidRPr="0042463B">
              <w:rPr>
                <w:sz w:val="20"/>
                <w:szCs w:val="20"/>
              </w:rPr>
              <w:t>13,75</w:t>
            </w:r>
          </w:p>
        </w:tc>
        <w:tc>
          <w:tcPr>
            <w:tcW w:w="454" w:type="pct"/>
          </w:tcPr>
          <w:p w14:paraId="21501C70" w14:textId="77777777" w:rsidR="00233B1E" w:rsidRPr="0042463B" w:rsidRDefault="00233B1E" w:rsidP="00265897">
            <w:pPr>
              <w:jc w:val="right"/>
              <w:rPr>
                <w:sz w:val="20"/>
                <w:szCs w:val="20"/>
              </w:rPr>
            </w:pPr>
            <w:r w:rsidRPr="0042463B">
              <w:rPr>
                <w:sz w:val="20"/>
                <w:szCs w:val="20"/>
              </w:rPr>
              <w:t>s. o.</w:t>
            </w:r>
          </w:p>
        </w:tc>
      </w:tr>
      <w:tr w:rsidR="00DF5DAC" w:rsidRPr="0042463B" w14:paraId="2AE1979F" w14:textId="77777777" w:rsidTr="00FD303E">
        <w:trPr>
          <w:trHeight w:val="212"/>
        </w:trPr>
        <w:tc>
          <w:tcPr>
            <w:tcW w:w="719" w:type="pct"/>
            <w:vMerge w:val="restart"/>
            <w:shd w:val="clear" w:color="auto" w:fill="auto"/>
          </w:tcPr>
          <w:p w14:paraId="0B046869" w14:textId="77777777" w:rsidR="00DF5DAC" w:rsidRPr="0042463B" w:rsidRDefault="00DF5DAC" w:rsidP="00DF5DAC">
            <w:pPr>
              <w:tabs>
                <w:tab w:val="left" w:pos="8280"/>
              </w:tabs>
              <w:spacing w:after="60"/>
              <w:jc w:val="left"/>
              <w:rPr>
                <w:sz w:val="20"/>
                <w:szCs w:val="20"/>
              </w:rPr>
            </w:pPr>
            <w:r w:rsidRPr="0042463B">
              <w:rPr>
                <w:sz w:val="20"/>
                <w:szCs w:val="20"/>
              </w:rPr>
              <w:t>Coûts du projet demandés en principe ($ US)</w:t>
            </w:r>
          </w:p>
        </w:tc>
        <w:tc>
          <w:tcPr>
            <w:tcW w:w="716" w:type="pct"/>
            <w:vMerge w:val="restart"/>
            <w:shd w:val="clear" w:color="auto" w:fill="auto"/>
          </w:tcPr>
          <w:p w14:paraId="43262CAE" w14:textId="77777777" w:rsidR="00DF5DAC" w:rsidRPr="0042463B" w:rsidRDefault="00DF5DAC" w:rsidP="00DF5DAC">
            <w:pPr>
              <w:tabs>
                <w:tab w:val="left" w:pos="8280"/>
              </w:tabs>
              <w:spacing w:after="60"/>
              <w:jc w:val="center"/>
              <w:rPr>
                <w:sz w:val="20"/>
                <w:szCs w:val="20"/>
              </w:rPr>
            </w:pPr>
            <w:r w:rsidRPr="0042463B">
              <w:rPr>
                <w:color w:val="000000" w:themeColor="text1"/>
                <w:sz w:val="20"/>
                <w:szCs w:val="20"/>
              </w:rPr>
              <w:t>PNUE</w:t>
            </w:r>
          </w:p>
        </w:tc>
        <w:tc>
          <w:tcPr>
            <w:tcW w:w="725" w:type="pct"/>
            <w:shd w:val="clear" w:color="auto" w:fill="auto"/>
          </w:tcPr>
          <w:p w14:paraId="2A8CF351" w14:textId="77777777" w:rsidR="00DF5DAC" w:rsidRPr="0042463B" w:rsidRDefault="00DF5DAC" w:rsidP="00DF5DAC">
            <w:pPr>
              <w:tabs>
                <w:tab w:val="left" w:pos="8280"/>
              </w:tabs>
              <w:spacing w:after="60"/>
              <w:jc w:val="left"/>
              <w:rPr>
                <w:sz w:val="20"/>
                <w:szCs w:val="20"/>
              </w:rPr>
            </w:pPr>
            <w:r w:rsidRPr="0042463B">
              <w:rPr>
                <w:sz w:val="20"/>
                <w:szCs w:val="20"/>
              </w:rPr>
              <w:t>Coûts du projet</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7C5F37AC" w14:textId="7B0C08AF" w:rsidR="00DF5DAC" w:rsidRPr="0042463B" w:rsidRDefault="00DF5DAC" w:rsidP="00DF5DAC">
            <w:pPr>
              <w:jc w:val="right"/>
              <w:rPr>
                <w:color w:val="000000"/>
                <w:sz w:val="20"/>
                <w:szCs w:val="20"/>
              </w:rPr>
            </w:pPr>
            <w:r w:rsidRPr="0042463B">
              <w:rPr>
                <w:color w:val="000000"/>
                <w:sz w:val="20"/>
                <w:szCs w:val="20"/>
              </w:rPr>
              <w:t>249 500</w:t>
            </w:r>
          </w:p>
        </w:tc>
        <w:tc>
          <w:tcPr>
            <w:tcW w:w="462" w:type="pct"/>
          </w:tcPr>
          <w:p w14:paraId="6BE7CC19" w14:textId="77777777" w:rsidR="00DF5DAC" w:rsidRPr="0042463B" w:rsidRDefault="00DF5DAC" w:rsidP="00DF5DAC">
            <w:pPr>
              <w:jc w:val="right"/>
              <w:rPr>
                <w:color w:val="000000"/>
                <w:sz w:val="20"/>
                <w:szCs w:val="20"/>
              </w:rPr>
            </w:pPr>
            <w:r w:rsidRPr="0042463B">
              <w:rPr>
                <w:color w:val="000000"/>
                <w:sz w:val="20"/>
                <w:szCs w:val="20"/>
              </w:rPr>
              <w:t>0</w:t>
            </w:r>
          </w:p>
        </w:tc>
        <w:tc>
          <w:tcPr>
            <w:tcW w:w="502" w:type="pct"/>
            <w:tcBorders>
              <w:top w:val="single" w:sz="4" w:space="0" w:color="auto"/>
              <w:left w:val="single" w:sz="4" w:space="0" w:color="auto"/>
              <w:bottom w:val="single" w:sz="4" w:space="0" w:color="auto"/>
              <w:right w:val="single" w:sz="4" w:space="0" w:color="auto"/>
            </w:tcBorders>
            <w:shd w:val="clear" w:color="auto" w:fill="auto"/>
          </w:tcPr>
          <w:p w14:paraId="368DDCC9" w14:textId="253032F9" w:rsidR="00DF5DAC" w:rsidRPr="0042463B" w:rsidRDefault="00DF5DAC" w:rsidP="00DF5DAC">
            <w:pPr>
              <w:jc w:val="right"/>
              <w:rPr>
                <w:color w:val="000000"/>
                <w:sz w:val="20"/>
                <w:szCs w:val="20"/>
              </w:rPr>
            </w:pPr>
            <w:r w:rsidRPr="0042463B">
              <w:rPr>
                <w:color w:val="000000"/>
                <w:sz w:val="20"/>
                <w:szCs w:val="20"/>
              </w:rPr>
              <w:t>79 500</w:t>
            </w:r>
          </w:p>
        </w:tc>
        <w:tc>
          <w:tcPr>
            <w:tcW w:w="463" w:type="pct"/>
          </w:tcPr>
          <w:p w14:paraId="7B5BCEAD" w14:textId="77777777" w:rsidR="00DF5DAC" w:rsidRPr="0042463B" w:rsidRDefault="00DF5DAC" w:rsidP="00DF5DAC">
            <w:pPr>
              <w:jc w:val="right"/>
              <w:rPr>
                <w:color w:val="000000"/>
                <w:sz w:val="20"/>
                <w:szCs w:val="20"/>
              </w:rPr>
            </w:pPr>
            <w:r w:rsidRPr="0042463B">
              <w:rPr>
                <w:color w:val="000000"/>
                <w:sz w:val="20"/>
                <w:szCs w:val="20"/>
              </w:rPr>
              <w:t>0</w:t>
            </w:r>
          </w:p>
        </w:tc>
        <w:tc>
          <w:tcPr>
            <w:tcW w:w="497" w:type="pct"/>
            <w:tcBorders>
              <w:top w:val="single" w:sz="4" w:space="0" w:color="auto"/>
              <w:left w:val="single" w:sz="4" w:space="0" w:color="auto"/>
              <w:bottom w:val="single" w:sz="4" w:space="0" w:color="auto"/>
              <w:right w:val="single" w:sz="4" w:space="0" w:color="auto"/>
            </w:tcBorders>
            <w:shd w:val="clear" w:color="auto" w:fill="auto"/>
          </w:tcPr>
          <w:p w14:paraId="0C14C3E1" w14:textId="291F5825" w:rsidR="00DF5DAC" w:rsidRPr="0042463B" w:rsidRDefault="00DF5DAC" w:rsidP="00DF5DAC">
            <w:pPr>
              <w:jc w:val="right"/>
              <w:rPr>
                <w:color w:val="000000"/>
                <w:sz w:val="20"/>
                <w:szCs w:val="20"/>
              </w:rPr>
            </w:pPr>
            <w:r w:rsidRPr="0042463B">
              <w:rPr>
                <w:color w:val="000000"/>
                <w:sz w:val="20"/>
                <w:szCs w:val="20"/>
              </w:rPr>
              <w:t>55 000</w:t>
            </w:r>
          </w:p>
        </w:tc>
        <w:tc>
          <w:tcPr>
            <w:tcW w:w="454" w:type="pct"/>
          </w:tcPr>
          <w:p w14:paraId="13AB3A20" w14:textId="77777777" w:rsidR="00DF5DAC" w:rsidRPr="0042463B" w:rsidRDefault="00DF5DAC" w:rsidP="00DF5DAC">
            <w:pPr>
              <w:jc w:val="right"/>
              <w:rPr>
                <w:color w:val="000000"/>
                <w:sz w:val="20"/>
                <w:szCs w:val="20"/>
              </w:rPr>
            </w:pPr>
            <w:r w:rsidRPr="0042463B">
              <w:rPr>
                <w:color w:val="000000"/>
                <w:sz w:val="20"/>
                <w:szCs w:val="20"/>
              </w:rPr>
              <w:t>384 000</w:t>
            </w:r>
          </w:p>
        </w:tc>
      </w:tr>
      <w:tr w:rsidR="00DF5DAC" w:rsidRPr="0042463B" w14:paraId="1FC6BC0A" w14:textId="77777777" w:rsidTr="00FD303E">
        <w:trPr>
          <w:trHeight w:val="275"/>
        </w:trPr>
        <w:tc>
          <w:tcPr>
            <w:tcW w:w="719" w:type="pct"/>
            <w:vMerge/>
            <w:shd w:val="clear" w:color="auto" w:fill="auto"/>
          </w:tcPr>
          <w:p w14:paraId="2B8278DE" w14:textId="77777777" w:rsidR="00DF5DAC" w:rsidRPr="0042463B" w:rsidRDefault="00DF5DAC" w:rsidP="00DF5DAC">
            <w:pPr>
              <w:tabs>
                <w:tab w:val="left" w:pos="8280"/>
              </w:tabs>
              <w:spacing w:after="60"/>
              <w:jc w:val="left"/>
              <w:rPr>
                <w:sz w:val="20"/>
                <w:szCs w:val="20"/>
              </w:rPr>
            </w:pPr>
          </w:p>
        </w:tc>
        <w:tc>
          <w:tcPr>
            <w:tcW w:w="716" w:type="pct"/>
            <w:vMerge/>
            <w:shd w:val="clear" w:color="auto" w:fill="auto"/>
          </w:tcPr>
          <w:p w14:paraId="4763A8C7" w14:textId="77777777" w:rsidR="00DF5DAC" w:rsidRPr="0042463B" w:rsidRDefault="00DF5DAC" w:rsidP="00DF5DAC">
            <w:pPr>
              <w:tabs>
                <w:tab w:val="left" w:pos="8280"/>
              </w:tabs>
              <w:spacing w:after="60"/>
              <w:jc w:val="center"/>
              <w:rPr>
                <w:sz w:val="20"/>
                <w:szCs w:val="20"/>
              </w:rPr>
            </w:pPr>
          </w:p>
        </w:tc>
        <w:tc>
          <w:tcPr>
            <w:tcW w:w="725" w:type="pct"/>
            <w:shd w:val="clear" w:color="auto" w:fill="auto"/>
          </w:tcPr>
          <w:p w14:paraId="554EA2BF" w14:textId="77777777" w:rsidR="00DF5DAC" w:rsidRPr="0042463B" w:rsidRDefault="00DF5DAC" w:rsidP="00DF5DAC">
            <w:pPr>
              <w:tabs>
                <w:tab w:val="left" w:pos="8280"/>
              </w:tabs>
              <w:spacing w:after="60"/>
              <w:jc w:val="left"/>
              <w:rPr>
                <w:sz w:val="20"/>
                <w:szCs w:val="20"/>
              </w:rPr>
            </w:pPr>
            <w:r w:rsidRPr="0042463B">
              <w:rPr>
                <w:sz w:val="20"/>
                <w:szCs w:val="20"/>
              </w:rPr>
              <w:t>Coûts d’appui</w:t>
            </w:r>
          </w:p>
        </w:tc>
        <w:tc>
          <w:tcPr>
            <w:tcW w:w="462" w:type="pct"/>
            <w:tcBorders>
              <w:top w:val="nil"/>
              <w:left w:val="single" w:sz="4" w:space="0" w:color="auto"/>
              <w:bottom w:val="single" w:sz="4" w:space="0" w:color="auto"/>
              <w:right w:val="single" w:sz="4" w:space="0" w:color="auto"/>
            </w:tcBorders>
            <w:shd w:val="clear" w:color="auto" w:fill="auto"/>
          </w:tcPr>
          <w:p w14:paraId="44C66C07" w14:textId="7D04B39E" w:rsidR="00DF5DAC" w:rsidRPr="0042463B" w:rsidRDefault="00DF5DAC" w:rsidP="00DF5DAC">
            <w:pPr>
              <w:jc w:val="right"/>
              <w:rPr>
                <w:color w:val="000000"/>
                <w:sz w:val="20"/>
                <w:szCs w:val="20"/>
              </w:rPr>
            </w:pPr>
            <w:r w:rsidRPr="0042463B">
              <w:rPr>
                <w:color w:val="000000"/>
                <w:sz w:val="20"/>
                <w:szCs w:val="20"/>
              </w:rPr>
              <w:t>32 435</w:t>
            </w:r>
          </w:p>
        </w:tc>
        <w:tc>
          <w:tcPr>
            <w:tcW w:w="462" w:type="pct"/>
          </w:tcPr>
          <w:p w14:paraId="0B2B1EF0" w14:textId="77777777" w:rsidR="00DF5DAC" w:rsidRPr="0042463B" w:rsidRDefault="00DF5DAC" w:rsidP="00DF5DAC">
            <w:pPr>
              <w:jc w:val="right"/>
              <w:rPr>
                <w:color w:val="000000"/>
                <w:sz w:val="20"/>
                <w:szCs w:val="20"/>
              </w:rPr>
            </w:pPr>
            <w:r w:rsidRPr="0042463B">
              <w:rPr>
                <w:color w:val="000000"/>
                <w:sz w:val="20"/>
                <w:szCs w:val="20"/>
              </w:rPr>
              <w:t>0</w:t>
            </w:r>
          </w:p>
        </w:tc>
        <w:tc>
          <w:tcPr>
            <w:tcW w:w="502" w:type="pct"/>
            <w:tcBorders>
              <w:top w:val="nil"/>
              <w:left w:val="single" w:sz="4" w:space="0" w:color="auto"/>
              <w:bottom w:val="single" w:sz="4" w:space="0" w:color="auto"/>
              <w:right w:val="single" w:sz="4" w:space="0" w:color="auto"/>
            </w:tcBorders>
            <w:shd w:val="clear" w:color="auto" w:fill="auto"/>
          </w:tcPr>
          <w:p w14:paraId="104EA13A" w14:textId="7EA03AB7" w:rsidR="00DF5DAC" w:rsidRPr="0042463B" w:rsidRDefault="00DF5DAC" w:rsidP="00DF5DAC">
            <w:pPr>
              <w:jc w:val="right"/>
              <w:rPr>
                <w:color w:val="000000"/>
                <w:sz w:val="20"/>
                <w:szCs w:val="20"/>
              </w:rPr>
            </w:pPr>
            <w:r w:rsidRPr="0042463B">
              <w:rPr>
                <w:color w:val="000000"/>
                <w:sz w:val="20"/>
                <w:szCs w:val="20"/>
              </w:rPr>
              <w:t>10 335</w:t>
            </w:r>
          </w:p>
        </w:tc>
        <w:tc>
          <w:tcPr>
            <w:tcW w:w="463" w:type="pct"/>
          </w:tcPr>
          <w:p w14:paraId="338BDEDA" w14:textId="77777777" w:rsidR="00DF5DAC" w:rsidRPr="0042463B" w:rsidRDefault="00DF5DAC" w:rsidP="00DF5DAC">
            <w:pPr>
              <w:jc w:val="right"/>
              <w:rPr>
                <w:color w:val="000000"/>
                <w:sz w:val="20"/>
                <w:szCs w:val="20"/>
              </w:rPr>
            </w:pPr>
            <w:r w:rsidRPr="0042463B">
              <w:rPr>
                <w:color w:val="000000"/>
                <w:sz w:val="20"/>
                <w:szCs w:val="20"/>
              </w:rPr>
              <w:t>0</w:t>
            </w:r>
          </w:p>
        </w:tc>
        <w:tc>
          <w:tcPr>
            <w:tcW w:w="497" w:type="pct"/>
            <w:tcBorders>
              <w:top w:val="nil"/>
              <w:left w:val="single" w:sz="4" w:space="0" w:color="auto"/>
              <w:bottom w:val="single" w:sz="4" w:space="0" w:color="auto"/>
              <w:right w:val="single" w:sz="4" w:space="0" w:color="auto"/>
            </w:tcBorders>
            <w:shd w:val="clear" w:color="auto" w:fill="auto"/>
          </w:tcPr>
          <w:p w14:paraId="17F10E31" w14:textId="3D8FB069" w:rsidR="00DF5DAC" w:rsidRPr="0042463B" w:rsidRDefault="00DF5DAC" w:rsidP="00DF5DAC">
            <w:pPr>
              <w:jc w:val="right"/>
              <w:rPr>
                <w:color w:val="000000"/>
                <w:sz w:val="20"/>
                <w:szCs w:val="20"/>
              </w:rPr>
            </w:pPr>
            <w:r w:rsidRPr="0042463B">
              <w:rPr>
                <w:color w:val="000000"/>
                <w:sz w:val="20"/>
                <w:szCs w:val="20"/>
              </w:rPr>
              <w:t>7 150</w:t>
            </w:r>
          </w:p>
        </w:tc>
        <w:tc>
          <w:tcPr>
            <w:tcW w:w="454" w:type="pct"/>
          </w:tcPr>
          <w:p w14:paraId="15BA1BBC" w14:textId="77777777" w:rsidR="00DF5DAC" w:rsidRPr="0042463B" w:rsidRDefault="00DF5DAC" w:rsidP="00DF5DAC">
            <w:pPr>
              <w:jc w:val="right"/>
              <w:rPr>
                <w:color w:val="000000"/>
                <w:sz w:val="20"/>
                <w:szCs w:val="20"/>
              </w:rPr>
            </w:pPr>
            <w:r w:rsidRPr="0042463B">
              <w:rPr>
                <w:color w:val="000000"/>
                <w:sz w:val="20"/>
                <w:szCs w:val="20"/>
              </w:rPr>
              <w:t>49 920</w:t>
            </w:r>
          </w:p>
        </w:tc>
      </w:tr>
      <w:tr w:rsidR="00DF5DAC" w:rsidRPr="0042463B" w14:paraId="622C364A" w14:textId="77777777" w:rsidTr="00FD303E">
        <w:trPr>
          <w:trHeight w:val="69"/>
        </w:trPr>
        <w:tc>
          <w:tcPr>
            <w:tcW w:w="719" w:type="pct"/>
            <w:vMerge/>
            <w:shd w:val="clear" w:color="auto" w:fill="auto"/>
          </w:tcPr>
          <w:p w14:paraId="26287CB6" w14:textId="77777777" w:rsidR="00DF5DAC" w:rsidRPr="0042463B" w:rsidRDefault="00DF5DAC" w:rsidP="00DF5DAC">
            <w:pPr>
              <w:tabs>
                <w:tab w:val="left" w:pos="8280"/>
              </w:tabs>
              <w:spacing w:after="60"/>
              <w:jc w:val="left"/>
              <w:rPr>
                <w:sz w:val="20"/>
                <w:szCs w:val="20"/>
              </w:rPr>
            </w:pPr>
          </w:p>
        </w:tc>
        <w:tc>
          <w:tcPr>
            <w:tcW w:w="716" w:type="pct"/>
            <w:vMerge w:val="restart"/>
            <w:shd w:val="clear" w:color="auto" w:fill="auto"/>
          </w:tcPr>
          <w:p w14:paraId="7A452AFB" w14:textId="77777777" w:rsidR="00DF5DAC" w:rsidRPr="0042463B" w:rsidRDefault="00DF5DAC" w:rsidP="00DF5DAC">
            <w:pPr>
              <w:tabs>
                <w:tab w:val="left" w:pos="8280"/>
              </w:tabs>
              <w:spacing w:after="60"/>
              <w:jc w:val="center"/>
              <w:rPr>
                <w:sz w:val="20"/>
                <w:szCs w:val="20"/>
              </w:rPr>
            </w:pPr>
            <w:r w:rsidRPr="0042463B">
              <w:rPr>
                <w:color w:val="000000" w:themeColor="text1"/>
                <w:sz w:val="20"/>
                <w:szCs w:val="20"/>
              </w:rPr>
              <w:t>ONUDI</w:t>
            </w:r>
          </w:p>
        </w:tc>
        <w:tc>
          <w:tcPr>
            <w:tcW w:w="725" w:type="pct"/>
            <w:shd w:val="clear" w:color="auto" w:fill="auto"/>
          </w:tcPr>
          <w:p w14:paraId="4A8EC95B" w14:textId="77777777" w:rsidR="00DF5DAC" w:rsidRPr="0042463B" w:rsidRDefault="00DF5DAC" w:rsidP="00DF5DAC">
            <w:pPr>
              <w:tabs>
                <w:tab w:val="left" w:pos="8280"/>
              </w:tabs>
              <w:spacing w:after="60"/>
              <w:jc w:val="left"/>
              <w:rPr>
                <w:sz w:val="20"/>
                <w:szCs w:val="20"/>
              </w:rPr>
            </w:pPr>
            <w:r w:rsidRPr="0042463B">
              <w:rPr>
                <w:sz w:val="20"/>
                <w:szCs w:val="20"/>
              </w:rPr>
              <w:t>Coûts du projet</w:t>
            </w:r>
          </w:p>
        </w:tc>
        <w:tc>
          <w:tcPr>
            <w:tcW w:w="462" w:type="pct"/>
            <w:tcBorders>
              <w:top w:val="nil"/>
              <w:left w:val="single" w:sz="4" w:space="0" w:color="auto"/>
              <w:bottom w:val="single" w:sz="4" w:space="0" w:color="auto"/>
              <w:right w:val="single" w:sz="4" w:space="0" w:color="auto"/>
            </w:tcBorders>
            <w:shd w:val="clear" w:color="auto" w:fill="auto"/>
          </w:tcPr>
          <w:p w14:paraId="62CF90BB" w14:textId="3F1E395A" w:rsidR="00DF5DAC" w:rsidRPr="0042463B" w:rsidRDefault="00DF5DAC" w:rsidP="00DF5DAC">
            <w:pPr>
              <w:jc w:val="right"/>
              <w:rPr>
                <w:color w:val="000000"/>
                <w:sz w:val="20"/>
                <w:szCs w:val="20"/>
              </w:rPr>
            </w:pPr>
            <w:r w:rsidRPr="0042463B">
              <w:rPr>
                <w:color w:val="000000"/>
                <w:sz w:val="20"/>
                <w:szCs w:val="20"/>
              </w:rPr>
              <w:t>203 999</w:t>
            </w:r>
          </w:p>
        </w:tc>
        <w:tc>
          <w:tcPr>
            <w:tcW w:w="462" w:type="pct"/>
          </w:tcPr>
          <w:p w14:paraId="4FF04C9F" w14:textId="77777777" w:rsidR="00DF5DAC" w:rsidRPr="0042463B" w:rsidRDefault="00DF5DAC" w:rsidP="00DF5DAC">
            <w:pPr>
              <w:jc w:val="right"/>
              <w:rPr>
                <w:color w:val="000000"/>
                <w:sz w:val="20"/>
                <w:szCs w:val="20"/>
              </w:rPr>
            </w:pPr>
            <w:r w:rsidRPr="0042463B">
              <w:rPr>
                <w:color w:val="000000"/>
                <w:sz w:val="20"/>
                <w:szCs w:val="20"/>
              </w:rPr>
              <w:t>0</w:t>
            </w:r>
          </w:p>
        </w:tc>
        <w:tc>
          <w:tcPr>
            <w:tcW w:w="502" w:type="pct"/>
            <w:tcBorders>
              <w:top w:val="nil"/>
              <w:left w:val="single" w:sz="4" w:space="0" w:color="auto"/>
              <w:bottom w:val="single" w:sz="4" w:space="0" w:color="auto"/>
              <w:right w:val="single" w:sz="4" w:space="0" w:color="auto"/>
            </w:tcBorders>
            <w:shd w:val="clear" w:color="auto" w:fill="auto"/>
          </w:tcPr>
          <w:p w14:paraId="50B83ECF" w14:textId="7777BA8E" w:rsidR="00DF5DAC" w:rsidRPr="0042463B" w:rsidRDefault="00DF5DAC" w:rsidP="00DF5DAC">
            <w:pPr>
              <w:jc w:val="right"/>
              <w:rPr>
                <w:color w:val="000000"/>
                <w:sz w:val="20"/>
                <w:szCs w:val="20"/>
              </w:rPr>
            </w:pPr>
            <w:r w:rsidRPr="0042463B">
              <w:rPr>
                <w:color w:val="000000"/>
                <w:sz w:val="20"/>
                <w:szCs w:val="20"/>
              </w:rPr>
              <w:t>54 000</w:t>
            </w:r>
          </w:p>
        </w:tc>
        <w:tc>
          <w:tcPr>
            <w:tcW w:w="463" w:type="pct"/>
          </w:tcPr>
          <w:p w14:paraId="474E7D3D" w14:textId="77777777" w:rsidR="00DF5DAC" w:rsidRPr="0042463B" w:rsidRDefault="00DF5DAC" w:rsidP="00DF5DAC">
            <w:pPr>
              <w:jc w:val="right"/>
              <w:rPr>
                <w:color w:val="000000"/>
                <w:sz w:val="20"/>
                <w:szCs w:val="20"/>
              </w:rPr>
            </w:pPr>
            <w:r w:rsidRPr="0042463B">
              <w:rPr>
                <w:color w:val="000000"/>
                <w:sz w:val="20"/>
                <w:szCs w:val="20"/>
              </w:rPr>
              <w:t>0</w:t>
            </w:r>
          </w:p>
        </w:tc>
        <w:tc>
          <w:tcPr>
            <w:tcW w:w="497" w:type="pct"/>
            <w:tcBorders>
              <w:top w:val="nil"/>
              <w:left w:val="single" w:sz="4" w:space="0" w:color="auto"/>
              <w:bottom w:val="single" w:sz="4" w:space="0" w:color="auto"/>
              <w:right w:val="single" w:sz="4" w:space="0" w:color="auto"/>
            </w:tcBorders>
            <w:shd w:val="clear" w:color="auto" w:fill="auto"/>
          </w:tcPr>
          <w:p w14:paraId="29277889" w14:textId="6E8AB9AC" w:rsidR="00DF5DAC" w:rsidRPr="0042463B" w:rsidRDefault="00DF5DAC" w:rsidP="00DF5DAC">
            <w:pPr>
              <w:jc w:val="right"/>
              <w:rPr>
                <w:color w:val="000000"/>
                <w:sz w:val="20"/>
                <w:szCs w:val="20"/>
              </w:rPr>
            </w:pPr>
            <w:r w:rsidRPr="0042463B">
              <w:rPr>
                <w:color w:val="000000"/>
                <w:sz w:val="20"/>
                <w:szCs w:val="20"/>
              </w:rPr>
              <w:t>21 000</w:t>
            </w:r>
          </w:p>
        </w:tc>
        <w:tc>
          <w:tcPr>
            <w:tcW w:w="454" w:type="pct"/>
          </w:tcPr>
          <w:p w14:paraId="6A47DE68" w14:textId="77777777" w:rsidR="00DF5DAC" w:rsidRPr="0042463B" w:rsidRDefault="00DF5DAC" w:rsidP="00DF5DAC">
            <w:pPr>
              <w:jc w:val="right"/>
              <w:rPr>
                <w:color w:val="000000"/>
                <w:sz w:val="20"/>
                <w:szCs w:val="20"/>
              </w:rPr>
            </w:pPr>
            <w:r w:rsidRPr="0042463B">
              <w:rPr>
                <w:color w:val="000000"/>
                <w:sz w:val="20"/>
                <w:szCs w:val="20"/>
              </w:rPr>
              <w:t>278 999</w:t>
            </w:r>
          </w:p>
        </w:tc>
      </w:tr>
      <w:tr w:rsidR="00DF5DAC" w:rsidRPr="0042463B" w14:paraId="0EBBE903" w14:textId="77777777" w:rsidTr="00FD303E">
        <w:trPr>
          <w:trHeight w:val="80"/>
        </w:trPr>
        <w:tc>
          <w:tcPr>
            <w:tcW w:w="719" w:type="pct"/>
            <w:vMerge/>
            <w:shd w:val="clear" w:color="auto" w:fill="auto"/>
          </w:tcPr>
          <w:p w14:paraId="552B8E0C" w14:textId="77777777" w:rsidR="00DF5DAC" w:rsidRPr="0042463B" w:rsidRDefault="00DF5DAC" w:rsidP="00DF5DAC">
            <w:pPr>
              <w:tabs>
                <w:tab w:val="left" w:pos="8280"/>
              </w:tabs>
              <w:spacing w:after="60"/>
              <w:jc w:val="center"/>
              <w:rPr>
                <w:sz w:val="20"/>
                <w:szCs w:val="20"/>
              </w:rPr>
            </w:pPr>
          </w:p>
        </w:tc>
        <w:tc>
          <w:tcPr>
            <w:tcW w:w="716" w:type="pct"/>
            <w:vMerge/>
            <w:shd w:val="clear" w:color="auto" w:fill="auto"/>
          </w:tcPr>
          <w:p w14:paraId="02F5420C" w14:textId="77777777" w:rsidR="00DF5DAC" w:rsidRPr="0042463B" w:rsidRDefault="00DF5DAC" w:rsidP="00DF5DAC">
            <w:pPr>
              <w:tabs>
                <w:tab w:val="left" w:pos="8280"/>
              </w:tabs>
              <w:spacing w:after="60"/>
              <w:jc w:val="center"/>
              <w:rPr>
                <w:sz w:val="20"/>
                <w:szCs w:val="20"/>
              </w:rPr>
            </w:pPr>
          </w:p>
        </w:tc>
        <w:tc>
          <w:tcPr>
            <w:tcW w:w="725" w:type="pct"/>
            <w:shd w:val="clear" w:color="auto" w:fill="auto"/>
          </w:tcPr>
          <w:p w14:paraId="15F3781D" w14:textId="77777777" w:rsidR="00DF5DAC" w:rsidRPr="0042463B" w:rsidRDefault="00DF5DAC" w:rsidP="00DF5DAC">
            <w:pPr>
              <w:tabs>
                <w:tab w:val="left" w:pos="8280"/>
              </w:tabs>
              <w:spacing w:after="60"/>
              <w:jc w:val="left"/>
              <w:rPr>
                <w:sz w:val="20"/>
                <w:szCs w:val="20"/>
              </w:rPr>
            </w:pPr>
            <w:r w:rsidRPr="0042463B">
              <w:rPr>
                <w:sz w:val="20"/>
                <w:szCs w:val="20"/>
              </w:rPr>
              <w:t>Coûts d’appui</w:t>
            </w:r>
          </w:p>
        </w:tc>
        <w:tc>
          <w:tcPr>
            <w:tcW w:w="462" w:type="pct"/>
            <w:tcBorders>
              <w:top w:val="nil"/>
              <w:left w:val="single" w:sz="4" w:space="0" w:color="auto"/>
              <w:bottom w:val="single" w:sz="4" w:space="0" w:color="auto"/>
              <w:right w:val="single" w:sz="4" w:space="0" w:color="auto"/>
            </w:tcBorders>
            <w:shd w:val="clear" w:color="auto" w:fill="auto"/>
          </w:tcPr>
          <w:p w14:paraId="3853BB64" w14:textId="338D7F9A" w:rsidR="00DF5DAC" w:rsidRPr="0042463B" w:rsidRDefault="00DF5DAC" w:rsidP="00DF5DAC">
            <w:pPr>
              <w:jc w:val="right"/>
              <w:rPr>
                <w:color w:val="000000"/>
                <w:sz w:val="20"/>
                <w:szCs w:val="20"/>
              </w:rPr>
            </w:pPr>
            <w:r w:rsidRPr="0042463B">
              <w:rPr>
                <w:color w:val="000000"/>
                <w:sz w:val="20"/>
                <w:szCs w:val="20"/>
              </w:rPr>
              <w:t>14 280</w:t>
            </w:r>
          </w:p>
        </w:tc>
        <w:tc>
          <w:tcPr>
            <w:tcW w:w="462" w:type="pct"/>
          </w:tcPr>
          <w:p w14:paraId="7F48C769" w14:textId="77777777" w:rsidR="00DF5DAC" w:rsidRPr="0042463B" w:rsidRDefault="00DF5DAC" w:rsidP="00DF5DAC">
            <w:pPr>
              <w:jc w:val="right"/>
              <w:rPr>
                <w:color w:val="000000"/>
                <w:sz w:val="20"/>
                <w:szCs w:val="20"/>
              </w:rPr>
            </w:pPr>
            <w:r w:rsidRPr="0042463B">
              <w:rPr>
                <w:color w:val="000000"/>
                <w:sz w:val="20"/>
                <w:szCs w:val="20"/>
              </w:rPr>
              <w:t>0</w:t>
            </w:r>
          </w:p>
        </w:tc>
        <w:tc>
          <w:tcPr>
            <w:tcW w:w="502" w:type="pct"/>
            <w:tcBorders>
              <w:top w:val="nil"/>
              <w:left w:val="single" w:sz="4" w:space="0" w:color="auto"/>
              <w:bottom w:val="single" w:sz="4" w:space="0" w:color="auto"/>
              <w:right w:val="single" w:sz="4" w:space="0" w:color="auto"/>
            </w:tcBorders>
            <w:shd w:val="clear" w:color="auto" w:fill="auto"/>
          </w:tcPr>
          <w:p w14:paraId="2617106A" w14:textId="05FFFAC0" w:rsidR="00DF5DAC" w:rsidRPr="0042463B" w:rsidRDefault="00DF5DAC" w:rsidP="00DF5DAC">
            <w:pPr>
              <w:jc w:val="right"/>
              <w:rPr>
                <w:color w:val="000000"/>
                <w:sz w:val="20"/>
                <w:szCs w:val="20"/>
              </w:rPr>
            </w:pPr>
            <w:r w:rsidRPr="0042463B">
              <w:rPr>
                <w:color w:val="000000"/>
                <w:sz w:val="20"/>
                <w:szCs w:val="20"/>
              </w:rPr>
              <w:t>3 780</w:t>
            </w:r>
          </w:p>
        </w:tc>
        <w:tc>
          <w:tcPr>
            <w:tcW w:w="463" w:type="pct"/>
          </w:tcPr>
          <w:p w14:paraId="5DDD835B" w14:textId="77777777" w:rsidR="00DF5DAC" w:rsidRPr="0042463B" w:rsidRDefault="00DF5DAC" w:rsidP="00DF5DAC">
            <w:pPr>
              <w:jc w:val="right"/>
              <w:rPr>
                <w:color w:val="000000"/>
                <w:sz w:val="20"/>
                <w:szCs w:val="20"/>
              </w:rPr>
            </w:pPr>
            <w:r w:rsidRPr="0042463B">
              <w:rPr>
                <w:color w:val="000000"/>
                <w:sz w:val="20"/>
                <w:szCs w:val="20"/>
              </w:rPr>
              <w:t>0</w:t>
            </w:r>
          </w:p>
        </w:tc>
        <w:tc>
          <w:tcPr>
            <w:tcW w:w="497" w:type="pct"/>
            <w:tcBorders>
              <w:top w:val="nil"/>
              <w:left w:val="single" w:sz="4" w:space="0" w:color="auto"/>
              <w:bottom w:val="single" w:sz="4" w:space="0" w:color="auto"/>
              <w:right w:val="single" w:sz="4" w:space="0" w:color="auto"/>
            </w:tcBorders>
            <w:shd w:val="clear" w:color="auto" w:fill="auto"/>
          </w:tcPr>
          <w:p w14:paraId="16051387" w14:textId="73A61D56" w:rsidR="00DF5DAC" w:rsidRPr="0042463B" w:rsidRDefault="00DF5DAC" w:rsidP="00DF5DAC">
            <w:pPr>
              <w:jc w:val="right"/>
              <w:rPr>
                <w:color w:val="000000"/>
                <w:sz w:val="20"/>
                <w:szCs w:val="20"/>
              </w:rPr>
            </w:pPr>
            <w:r w:rsidRPr="0042463B">
              <w:rPr>
                <w:color w:val="000000"/>
                <w:sz w:val="20"/>
                <w:szCs w:val="20"/>
              </w:rPr>
              <w:t>1 470</w:t>
            </w:r>
          </w:p>
        </w:tc>
        <w:tc>
          <w:tcPr>
            <w:tcW w:w="454" w:type="pct"/>
          </w:tcPr>
          <w:p w14:paraId="5BCAD0DF" w14:textId="77777777" w:rsidR="00DF5DAC" w:rsidRPr="0042463B" w:rsidRDefault="00DF5DAC" w:rsidP="00DF5DAC">
            <w:pPr>
              <w:jc w:val="right"/>
              <w:rPr>
                <w:color w:val="000000"/>
                <w:sz w:val="20"/>
                <w:szCs w:val="20"/>
              </w:rPr>
            </w:pPr>
            <w:r w:rsidRPr="0042463B">
              <w:rPr>
                <w:color w:val="000000"/>
                <w:sz w:val="20"/>
                <w:szCs w:val="20"/>
              </w:rPr>
              <w:t>19 530</w:t>
            </w:r>
          </w:p>
        </w:tc>
      </w:tr>
      <w:tr w:rsidR="00DF5DAC" w:rsidRPr="0042463B" w14:paraId="2D2B0925" w14:textId="77777777" w:rsidTr="00FD303E">
        <w:trPr>
          <w:trHeight w:val="158"/>
        </w:trPr>
        <w:tc>
          <w:tcPr>
            <w:tcW w:w="2160" w:type="pct"/>
            <w:gridSpan w:val="3"/>
            <w:shd w:val="clear" w:color="auto" w:fill="auto"/>
          </w:tcPr>
          <w:p w14:paraId="59E6BE14" w14:textId="77777777" w:rsidR="00DF5DAC" w:rsidRPr="0042463B" w:rsidRDefault="00DF5DAC" w:rsidP="00DF5DAC">
            <w:pPr>
              <w:tabs>
                <w:tab w:val="left" w:pos="8280"/>
              </w:tabs>
              <w:spacing w:after="60"/>
              <w:jc w:val="left"/>
              <w:rPr>
                <w:sz w:val="20"/>
                <w:szCs w:val="20"/>
              </w:rPr>
            </w:pPr>
            <w:r w:rsidRPr="0042463B">
              <w:rPr>
                <w:sz w:val="20"/>
                <w:szCs w:val="20"/>
              </w:rPr>
              <w:t>Total des coûts de projet demandés en principe ($ US)</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0416E2A1" w14:textId="1B7D4C4A" w:rsidR="00DF5DAC" w:rsidRPr="0042463B" w:rsidRDefault="00DF5DAC" w:rsidP="00DF5DAC">
            <w:pPr>
              <w:jc w:val="right"/>
              <w:rPr>
                <w:color w:val="000000"/>
                <w:sz w:val="20"/>
                <w:szCs w:val="20"/>
              </w:rPr>
            </w:pPr>
            <w:r w:rsidRPr="0042463B">
              <w:rPr>
                <w:color w:val="000000"/>
                <w:sz w:val="20"/>
                <w:szCs w:val="20"/>
              </w:rPr>
              <w:t>453 499</w:t>
            </w:r>
          </w:p>
        </w:tc>
        <w:tc>
          <w:tcPr>
            <w:tcW w:w="462" w:type="pct"/>
          </w:tcPr>
          <w:p w14:paraId="7D00FA66" w14:textId="77777777" w:rsidR="00DF5DAC" w:rsidRPr="0042463B" w:rsidRDefault="00DF5DAC" w:rsidP="00DF5DAC">
            <w:pPr>
              <w:jc w:val="right"/>
              <w:rPr>
                <w:color w:val="000000"/>
                <w:sz w:val="20"/>
                <w:szCs w:val="20"/>
              </w:rPr>
            </w:pPr>
            <w:r w:rsidRPr="0042463B">
              <w:rPr>
                <w:color w:val="000000"/>
                <w:sz w:val="20"/>
                <w:szCs w:val="20"/>
              </w:rPr>
              <w:t>0</w:t>
            </w:r>
          </w:p>
        </w:tc>
        <w:tc>
          <w:tcPr>
            <w:tcW w:w="502" w:type="pct"/>
            <w:tcBorders>
              <w:top w:val="single" w:sz="4" w:space="0" w:color="auto"/>
              <w:left w:val="single" w:sz="4" w:space="0" w:color="auto"/>
              <w:bottom w:val="single" w:sz="4" w:space="0" w:color="auto"/>
              <w:right w:val="single" w:sz="4" w:space="0" w:color="auto"/>
            </w:tcBorders>
            <w:shd w:val="clear" w:color="auto" w:fill="auto"/>
          </w:tcPr>
          <w:p w14:paraId="299318F0" w14:textId="57CC6BB3" w:rsidR="00DF5DAC" w:rsidRPr="0042463B" w:rsidRDefault="00DF5DAC" w:rsidP="00DF5DAC">
            <w:pPr>
              <w:jc w:val="right"/>
              <w:rPr>
                <w:color w:val="000000"/>
                <w:sz w:val="20"/>
                <w:szCs w:val="20"/>
              </w:rPr>
            </w:pPr>
            <w:r w:rsidRPr="0042463B">
              <w:rPr>
                <w:color w:val="000000"/>
                <w:sz w:val="20"/>
                <w:szCs w:val="20"/>
              </w:rPr>
              <w:t>133 500</w:t>
            </w:r>
          </w:p>
        </w:tc>
        <w:tc>
          <w:tcPr>
            <w:tcW w:w="463" w:type="pct"/>
          </w:tcPr>
          <w:p w14:paraId="0B3068A9" w14:textId="77777777" w:rsidR="00DF5DAC" w:rsidRPr="0042463B" w:rsidRDefault="00DF5DAC" w:rsidP="00DF5DAC">
            <w:pPr>
              <w:jc w:val="right"/>
              <w:rPr>
                <w:color w:val="000000"/>
                <w:sz w:val="20"/>
                <w:szCs w:val="20"/>
              </w:rPr>
            </w:pPr>
            <w:r w:rsidRPr="0042463B">
              <w:rPr>
                <w:color w:val="000000"/>
                <w:sz w:val="20"/>
                <w:szCs w:val="20"/>
              </w:rPr>
              <w:t>0</w:t>
            </w:r>
          </w:p>
        </w:tc>
        <w:tc>
          <w:tcPr>
            <w:tcW w:w="497" w:type="pct"/>
            <w:tcBorders>
              <w:top w:val="single" w:sz="4" w:space="0" w:color="auto"/>
              <w:left w:val="single" w:sz="4" w:space="0" w:color="auto"/>
              <w:bottom w:val="single" w:sz="4" w:space="0" w:color="auto"/>
              <w:right w:val="single" w:sz="4" w:space="0" w:color="auto"/>
            </w:tcBorders>
            <w:shd w:val="clear" w:color="auto" w:fill="auto"/>
          </w:tcPr>
          <w:p w14:paraId="5B2BDB15" w14:textId="5F943D28" w:rsidR="00DF5DAC" w:rsidRPr="0042463B" w:rsidRDefault="00DF5DAC" w:rsidP="00DF5DAC">
            <w:pPr>
              <w:jc w:val="right"/>
              <w:rPr>
                <w:color w:val="000000"/>
                <w:sz w:val="20"/>
                <w:szCs w:val="20"/>
              </w:rPr>
            </w:pPr>
            <w:r w:rsidRPr="0042463B">
              <w:rPr>
                <w:color w:val="000000"/>
                <w:sz w:val="20"/>
                <w:szCs w:val="20"/>
              </w:rPr>
              <w:t>76 000</w:t>
            </w:r>
          </w:p>
        </w:tc>
        <w:tc>
          <w:tcPr>
            <w:tcW w:w="454" w:type="pct"/>
            <w:tcBorders>
              <w:top w:val="single" w:sz="4" w:space="0" w:color="auto"/>
              <w:left w:val="nil"/>
              <w:bottom w:val="single" w:sz="4" w:space="0" w:color="auto"/>
              <w:right w:val="single" w:sz="4" w:space="0" w:color="auto"/>
            </w:tcBorders>
            <w:shd w:val="clear" w:color="auto" w:fill="auto"/>
          </w:tcPr>
          <w:p w14:paraId="3C809D9B" w14:textId="3E2DF723" w:rsidR="00DF5DAC" w:rsidRPr="0042463B" w:rsidRDefault="00DF5DAC" w:rsidP="00DF5DAC">
            <w:pPr>
              <w:jc w:val="right"/>
              <w:rPr>
                <w:color w:val="000000"/>
                <w:sz w:val="20"/>
                <w:szCs w:val="20"/>
              </w:rPr>
            </w:pPr>
            <w:r w:rsidRPr="0042463B">
              <w:rPr>
                <w:color w:val="000000"/>
                <w:sz w:val="20"/>
                <w:szCs w:val="20"/>
              </w:rPr>
              <w:t>662 999</w:t>
            </w:r>
          </w:p>
        </w:tc>
      </w:tr>
      <w:tr w:rsidR="00DF5DAC" w:rsidRPr="0042463B" w14:paraId="0A127D4E" w14:textId="77777777" w:rsidTr="00FD303E">
        <w:trPr>
          <w:trHeight w:val="200"/>
        </w:trPr>
        <w:tc>
          <w:tcPr>
            <w:tcW w:w="2160" w:type="pct"/>
            <w:gridSpan w:val="3"/>
            <w:shd w:val="clear" w:color="auto" w:fill="auto"/>
          </w:tcPr>
          <w:p w14:paraId="670A8F01" w14:textId="77777777" w:rsidR="00DF5DAC" w:rsidRPr="0042463B" w:rsidRDefault="00DF5DAC" w:rsidP="00DF5DAC">
            <w:pPr>
              <w:tabs>
                <w:tab w:val="left" w:pos="8280"/>
              </w:tabs>
              <w:spacing w:after="60"/>
              <w:jc w:val="left"/>
              <w:rPr>
                <w:sz w:val="20"/>
                <w:szCs w:val="20"/>
              </w:rPr>
            </w:pPr>
            <w:r w:rsidRPr="0042463B">
              <w:rPr>
                <w:sz w:val="20"/>
                <w:szCs w:val="20"/>
              </w:rPr>
              <w:t>Total des coûts d’appui demandés en principe ($ US)</w:t>
            </w:r>
          </w:p>
        </w:tc>
        <w:tc>
          <w:tcPr>
            <w:tcW w:w="462" w:type="pct"/>
            <w:tcBorders>
              <w:top w:val="nil"/>
              <w:left w:val="single" w:sz="4" w:space="0" w:color="auto"/>
              <w:bottom w:val="single" w:sz="4" w:space="0" w:color="auto"/>
              <w:right w:val="single" w:sz="4" w:space="0" w:color="auto"/>
            </w:tcBorders>
            <w:shd w:val="clear" w:color="auto" w:fill="auto"/>
          </w:tcPr>
          <w:p w14:paraId="1B1D0CE8" w14:textId="4784EE95" w:rsidR="00DF5DAC" w:rsidRPr="0042463B" w:rsidRDefault="00DF5DAC" w:rsidP="00DF5DAC">
            <w:pPr>
              <w:jc w:val="right"/>
              <w:rPr>
                <w:color w:val="000000"/>
                <w:sz w:val="20"/>
                <w:szCs w:val="20"/>
              </w:rPr>
            </w:pPr>
            <w:r w:rsidRPr="0042463B">
              <w:rPr>
                <w:color w:val="000000"/>
                <w:sz w:val="20"/>
                <w:szCs w:val="20"/>
              </w:rPr>
              <w:t>46 715</w:t>
            </w:r>
          </w:p>
        </w:tc>
        <w:tc>
          <w:tcPr>
            <w:tcW w:w="462" w:type="pct"/>
          </w:tcPr>
          <w:p w14:paraId="4484D734" w14:textId="77777777" w:rsidR="00DF5DAC" w:rsidRPr="0042463B" w:rsidRDefault="00DF5DAC" w:rsidP="00DF5DAC">
            <w:pPr>
              <w:jc w:val="right"/>
              <w:rPr>
                <w:color w:val="000000"/>
                <w:sz w:val="20"/>
                <w:szCs w:val="20"/>
              </w:rPr>
            </w:pPr>
            <w:r w:rsidRPr="0042463B">
              <w:rPr>
                <w:color w:val="000000"/>
                <w:sz w:val="20"/>
                <w:szCs w:val="20"/>
              </w:rPr>
              <w:t>0</w:t>
            </w:r>
          </w:p>
        </w:tc>
        <w:tc>
          <w:tcPr>
            <w:tcW w:w="502" w:type="pct"/>
            <w:tcBorders>
              <w:top w:val="nil"/>
              <w:left w:val="single" w:sz="4" w:space="0" w:color="auto"/>
              <w:bottom w:val="single" w:sz="4" w:space="0" w:color="auto"/>
              <w:right w:val="single" w:sz="4" w:space="0" w:color="auto"/>
            </w:tcBorders>
            <w:shd w:val="clear" w:color="auto" w:fill="auto"/>
          </w:tcPr>
          <w:p w14:paraId="3740C533" w14:textId="0D1CE420" w:rsidR="00DF5DAC" w:rsidRPr="0042463B" w:rsidRDefault="00DF5DAC" w:rsidP="00DF5DAC">
            <w:pPr>
              <w:jc w:val="right"/>
              <w:rPr>
                <w:color w:val="000000"/>
                <w:sz w:val="20"/>
                <w:szCs w:val="20"/>
              </w:rPr>
            </w:pPr>
            <w:r w:rsidRPr="0042463B">
              <w:rPr>
                <w:color w:val="000000"/>
                <w:sz w:val="20"/>
                <w:szCs w:val="20"/>
              </w:rPr>
              <w:t>14 115</w:t>
            </w:r>
          </w:p>
        </w:tc>
        <w:tc>
          <w:tcPr>
            <w:tcW w:w="463" w:type="pct"/>
          </w:tcPr>
          <w:p w14:paraId="4ADA112A" w14:textId="77777777" w:rsidR="00DF5DAC" w:rsidRPr="0042463B" w:rsidRDefault="00DF5DAC" w:rsidP="00DF5DAC">
            <w:pPr>
              <w:jc w:val="right"/>
              <w:rPr>
                <w:color w:val="000000"/>
                <w:sz w:val="20"/>
                <w:szCs w:val="20"/>
              </w:rPr>
            </w:pPr>
            <w:r w:rsidRPr="0042463B">
              <w:rPr>
                <w:color w:val="000000"/>
                <w:sz w:val="20"/>
                <w:szCs w:val="20"/>
              </w:rPr>
              <w:t>0</w:t>
            </w:r>
          </w:p>
        </w:tc>
        <w:tc>
          <w:tcPr>
            <w:tcW w:w="497" w:type="pct"/>
            <w:tcBorders>
              <w:top w:val="nil"/>
              <w:left w:val="single" w:sz="4" w:space="0" w:color="auto"/>
              <w:bottom w:val="single" w:sz="4" w:space="0" w:color="auto"/>
              <w:right w:val="single" w:sz="4" w:space="0" w:color="auto"/>
            </w:tcBorders>
            <w:shd w:val="clear" w:color="auto" w:fill="auto"/>
          </w:tcPr>
          <w:p w14:paraId="2AD157B8" w14:textId="2CA809E3" w:rsidR="00DF5DAC" w:rsidRPr="0042463B" w:rsidRDefault="00DF5DAC" w:rsidP="00DF5DAC">
            <w:pPr>
              <w:jc w:val="right"/>
              <w:rPr>
                <w:color w:val="000000"/>
                <w:sz w:val="20"/>
                <w:szCs w:val="20"/>
              </w:rPr>
            </w:pPr>
            <w:r w:rsidRPr="0042463B">
              <w:rPr>
                <w:color w:val="000000"/>
                <w:sz w:val="20"/>
                <w:szCs w:val="20"/>
              </w:rPr>
              <w:t>8 620</w:t>
            </w:r>
          </w:p>
        </w:tc>
        <w:tc>
          <w:tcPr>
            <w:tcW w:w="454" w:type="pct"/>
            <w:tcBorders>
              <w:top w:val="nil"/>
              <w:left w:val="nil"/>
              <w:bottom w:val="single" w:sz="4" w:space="0" w:color="auto"/>
              <w:right w:val="single" w:sz="4" w:space="0" w:color="auto"/>
            </w:tcBorders>
            <w:shd w:val="clear" w:color="auto" w:fill="auto"/>
          </w:tcPr>
          <w:p w14:paraId="3C1EF10E" w14:textId="423A8074" w:rsidR="00DF5DAC" w:rsidRPr="0042463B" w:rsidRDefault="00DF5DAC" w:rsidP="00DF5DAC">
            <w:pPr>
              <w:jc w:val="right"/>
              <w:rPr>
                <w:color w:val="000000"/>
                <w:sz w:val="20"/>
                <w:szCs w:val="20"/>
              </w:rPr>
            </w:pPr>
            <w:r w:rsidRPr="0042463B">
              <w:rPr>
                <w:color w:val="000000"/>
                <w:sz w:val="20"/>
                <w:szCs w:val="20"/>
              </w:rPr>
              <w:t>69 450</w:t>
            </w:r>
          </w:p>
        </w:tc>
      </w:tr>
      <w:tr w:rsidR="00DF5DAC" w:rsidRPr="0042463B" w14:paraId="2A310BD6" w14:textId="77777777" w:rsidTr="00FD303E">
        <w:trPr>
          <w:trHeight w:val="95"/>
        </w:trPr>
        <w:tc>
          <w:tcPr>
            <w:tcW w:w="2160" w:type="pct"/>
            <w:gridSpan w:val="3"/>
            <w:shd w:val="clear" w:color="auto" w:fill="auto"/>
          </w:tcPr>
          <w:p w14:paraId="025DDD4D" w14:textId="77777777" w:rsidR="00DF5DAC" w:rsidRPr="0042463B" w:rsidRDefault="00DF5DAC" w:rsidP="00DF5DAC">
            <w:pPr>
              <w:tabs>
                <w:tab w:val="left" w:pos="8280"/>
              </w:tabs>
              <w:spacing w:after="60"/>
              <w:jc w:val="left"/>
              <w:rPr>
                <w:sz w:val="20"/>
                <w:szCs w:val="20"/>
              </w:rPr>
            </w:pPr>
            <w:r w:rsidRPr="0042463B">
              <w:rPr>
                <w:sz w:val="20"/>
                <w:szCs w:val="20"/>
              </w:rPr>
              <w:t>Total des fonds demandés en principe ($ US)</w:t>
            </w:r>
          </w:p>
        </w:tc>
        <w:tc>
          <w:tcPr>
            <w:tcW w:w="462" w:type="pct"/>
            <w:tcBorders>
              <w:top w:val="nil"/>
              <w:left w:val="single" w:sz="4" w:space="0" w:color="auto"/>
              <w:bottom w:val="single" w:sz="4" w:space="0" w:color="auto"/>
              <w:right w:val="single" w:sz="4" w:space="0" w:color="auto"/>
            </w:tcBorders>
            <w:shd w:val="clear" w:color="auto" w:fill="auto"/>
          </w:tcPr>
          <w:p w14:paraId="65FF7CC8" w14:textId="0C8B54F8" w:rsidR="00DF5DAC" w:rsidRPr="0042463B" w:rsidRDefault="00DF5DAC" w:rsidP="00DF5DAC">
            <w:pPr>
              <w:jc w:val="right"/>
              <w:rPr>
                <w:color w:val="000000"/>
                <w:sz w:val="20"/>
                <w:szCs w:val="20"/>
              </w:rPr>
            </w:pPr>
            <w:r w:rsidRPr="0042463B">
              <w:rPr>
                <w:color w:val="000000"/>
                <w:sz w:val="20"/>
                <w:szCs w:val="20"/>
              </w:rPr>
              <w:t>500 214</w:t>
            </w:r>
          </w:p>
        </w:tc>
        <w:tc>
          <w:tcPr>
            <w:tcW w:w="462" w:type="pct"/>
          </w:tcPr>
          <w:p w14:paraId="1562EC23" w14:textId="77777777" w:rsidR="00DF5DAC" w:rsidRPr="0042463B" w:rsidRDefault="00DF5DAC" w:rsidP="00DF5DAC">
            <w:pPr>
              <w:jc w:val="right"/>
              <w:rPr>
                <w:color w:val="000000"/>
                <w:sz w:val="20"/>
                <w:szCs w:val="20"/>
              </w:rPr>
            </w:pPr>
            <w:r w:rsidRPr="0042463B">
              <w:rPr>
                <w:color w:val="000000"/>
                <w:sz w:val="20"/>
                <w:szCs w:val="20"/>
              </w:rPr>
              <w:t>0</w:t>
            </w:r>
          </w:p>
        </w:tc>
        <w:tc>
          <w:tcPr>
            <w:tcW w:w="502" w:type="pct"/>
            <w:tcBorders>
              <w:top w:val="nil"/>
              <w:left w:val="single" w:sz="4" w:space="0" w:color="auto"/>
              <w:bottom w:val="single" w:sz="4" w:space="0" w:color="auto"/>
              <w:right w:val="single" w:sz="4" w:space="0" w:color="auto"/>
            </w:tcBorders>
            <w:shd w:val="clear" w:color="auto" w:fill="auto"/>
          </w:tcPr>
          <w:p w14:paraId="0F09BF47" w14:textId="439111E7" w:rsidR="00DF5DAC" w:rsidRPr="0042463B" w:rsidRDefault="00DF5DAC" w:rsidP="00DF5DAC">
            <w:pPr>
              <w:jc w:val="right"/>
              <w:rPr>
                <w:color w:val="000000"/>
                <w:sz w:val="20"/>
                <w:szCs w:val="20"/>
              </w:rPr>
            </w:pPr>
            <w:r w:rsidRPr="0042463B">
              <w:rPr>
                <w:color w:val="000000"/>
                <w:sz w:val="20"/>
                <w:szCs w:val="20"/>
              </w:rPr>
              <w:t>147 615</w:t>
            </w:r>
          </w:p>
        </w:tc>
        <w:tc>
          <w:tcPr>
            <w:tcW w:w="463" w:type="pct"/>
          </w:tcPr>
          <w:p w14:paraId="03FBC1FE" w14:textId="77777777" w:rsidR="00DF5DAC" w:rsidRPr="0042463B" w:rsidRDefault="00DF5DAC" w:rsidP="00DF5DAC">
            <w:pPr>
              <w:jc w:val="right"/>
              <w:rPr>
                <w:color w:val="000000"/>
                <w:sz w:val="20"/>
                <w:szCs w:val="20"/>
              </w:rPr>
            </w:pPr>
            <w:r w:rsidRPr="0042463B">
              <w:rPr>
                <w:color w:val="000000"/>
                <w:sz w:val="20"/>
                <w:szCs w:val="20"/>
              </w:rPr>
              <w:t>0</w:t>
            </w:r>
          </w:p>
        </w:tc>
        <w:tc>
          <w:tcPr>
            <w:tcW w:w="497" w:type="pct"/>
            <w:tcBorders>
              <w:top w:val="nil"/>
              <w:left w:val="single" w:sz="4" w:space="0" w:color="auto"/>
              <w:bottom w:val="single" w:sz="4" w:space="0" w:color="auto"/>
              <w:right w:val="single" w:sz="4" w:space="0" w:color="auto"/>
            </w:tcBorders>
            <w:shd w:val="clear" w:color="auto" w:fill="auto"/>
          </w:tcPr>
          <w:p w14:paraId="6C4DCD6A" w14:textId="20F14E48" w:rsidR="00DF5DAC" w:rsidRPr="0042463B" w:rsidRDefault="00DF5DAC" w:rsidP="00DF5DAC">
            <w:pPr>
              <w:jc w:val="right"/>
              <w:rPr>
                <w:color w:val="000000"/>
                <w:sz w:val="20"/>
                <w:szCs w:val="20"/>
              </w:rPr>
            </w:pPr>
            <w:r w:rsidRPr="0042463B">
              <w:rPr>
                <w:color w:val="000000"/>
                <w:sz w:val="20"/>
                <w:szCs w:val="20"/>
              </w:rPr>
              <w:t>84 620</w:t>
            </w:r>
          </w:p>
        </w:tc>
        <w:tc>
          <w:tcPr>
            <w:tcW w:w="454" w:type="pct"/>
            <w:tcBorders>
              <w:top w:val="nil"/>
              <w:left w:val="nil"/>
              <w:bottom w:val="single" w:sz="4" w:space="0" w:color="auto"/>
              <w:right w:val="single" w:sz="4" w:space="0" w:color="auto"/>
            </w:tcBorders>
            <w:shd w:val="clear" w:color="auto" w:fill="auto"/>
          </w:tcPr>
          <w:p w14:paraId="7FCE58C9" w14:textId="28E835C1" w:rsidR="00DF5DAC" w:rsidRPr="0042463B" w:rsidRDefault="00DF5DAC" w:rsidP="00DF5DAC">
            <w:pPr>
              <w:jc w:val="right"/>
              <w:rPr>
                <w:color w:val="000000"/>
                <w:sz w:val="20"/>
                <w:szCs w:val="20"/>
              </w:rPr>
            </w:pPr>
            <w:r w:rsidRPr="0042463B">
              <w:rPr>
                <w:color w:val="000000"/>
                <w:sz w:val="20"/>
                <w:szCs w:val="20"/>
              </w:rPr>
              <w:t>732 449</w:t>
            </w:r>
          </w:p>
        </w:tc>
      </w:tr>
    </w:tbl>
    <w:p w14:paraId="369FCB1D" w14:textId="77777777" w:rsidR="00EB31E3" w:rsidRPr="0042463B" w:rsidRDefault="00EB31E3" w:rsidP="00EB31E3">
      <w:pPr>
        <w:rPr>
          <w:sz w:val="12"/>
          <w:szCs w:val="12"/>
        </w:rPr>
      </w:pPr>
    </w:p>
    <w:tbl>
      <w:tblPr>
        <w:tblStyle w:val="TableGrid10"/>
        <w:tblW w:w="5479" w:type="pct"/>
        <w:tblInd w:w="-431" w:type="dxa"/>
        <w:tblLook w:val="04A0" w:firstRow="1" w:lastRow="0" w:firstColumn="1" w:lastColumn="0" w:noHBand="0" w:noVBand="1"/>
      </w:tblPr>
      <w:tblGrid>
        <w:gridCol w:w="3428"/>
        <w:gridCol w:w="3332"/>
        <w:gridCol w:w="3486"/>
      </w:tblGrid>
      <w:tr w:rsidR="00EB31E3" w:rsidRPr="0042463B" w14:paraId="4C3902C8" w14:textId="77777777" w:rsidTr="00FD303E">
        <w:trPr>
          <w:trHeight w:hRule="exact" w:val="227"/>
        </w:trPr>
        <w:tc>
          <w:tcPr>
            <w:tcW w:w="5000" w:type="pct"/>
            <w:gridSpan w:val="3"/>
            <w:shd w:val="clear" w:color="auto" w:fill="auto"/>
          </w:tcPr>
          <w:p w14:paraId="2B3FDE1F" w14:textId="77777777" w:rsidR="00EB31E3" w:rsidRPr="0042463B" w:rsidRDefault="00EB31E3" w:rsidP="00EB31E3">
            <w:pPr>
              <w:rPr>
                <w:b/>
                <w:color w:val="000000" w:themeColor="text1"/>
                <w:sz w:val="20"/>
                <w:szCs w:val="20"/>
              </w:rPr>
            </w:pPr>
            <w:r w:rsidRPr="0042463B">
              <w:rPr>
                <w:b/>
                <w:color w:val="000000" w:themeColor="text1"/>
                <w:sz w:val="20"/>
                <w:szCs w:val="20"/>
              </w:rPr>
              <w:t>(VII) Demande d’approbation du financement pour la première tranche (2021)</w:t>
            </w:r>
          </w:p>
        </w:tc>
      </w:tr>
      <w:tr w:rsidR="00EB31E3" w:rsidRPr="0042463B" w14:paraId="1D67BFED" w14:textId="77777777" w:rsidTr="00FD303E">
        <w:trPr>
          <w:trHeight w:hRule="exact" w:val="227"/>
        </w:trPr>
        <w:tc>
          <w:tcPr>
            <w:tcW w:w="1673" w:type="pct"/>
            <w:shd w:val="clear" w:color="auto" w:fill="auto"/>
          </w:tcPr>
          <w:p w14:paraId="422CA359" w14:textId="77777777" w:rsidR="00EB31E3" w:rsidRPr="0042463B" w:rsidRDefault="00EB31E3" w:rsidP="00EB31E3">
            <w:pPr>
              <w:jc w:val="center"/>
              <w:rPr>
                <w:b/>
                <w:color w:val="000000" w:themeColor="text1"/>
                <w:sz w:val="20"/>
                <w:szCs w:val="20"/>
              </w:rPr>
            </w:pPr>
            <w:r w:rsidRPr="0042463B">
              <w:rPr>
                <w:b/>
                <w:color w:val="000000" w:themeColor="text1"/>
                <w:sz w:val="20"/>
                <w:szCs w:val="20"/>
              </w:rPr>
              <w:t>Agence</w:t>
            </w:r>
          </w:p>
        </w:tc>
        <w:tc>
          <w:tcPr>
            <w:tcW w:w="1626" w:type="pct"/>
            <w:shd w:val="clear" w:color="auto" w:fill="auto"/>
          </w:tcPr>
          <w:p w14:paraId="45836E5D" w14:textId="77777777" w:rsidR="00EB31E3" w:rsidRPr="0042463B" w:rsidRDefault="00EB31E3" w:rsidP="00EB31E3">
            <w:pPr>
              <w:jc w:val="center"/>
              <w:rPr>
                <w:b/>
                <w:color w:val="000000" w:themeColor="text1"/>
                <w:sz w:val="20"/>
                <w:szCs w:val="20"/>
              </w:rPr>
            </w:pPr>
            <w:r w:rsidRPr="0042463B">
              <w:rPr>
                <w:b/>
                <w:color w:val="000000" w:themeColor="text1"/>
                <w:sz w:val="20"/>
                <w:szCs w:val="20"/>
              </w:rPr>
              <w:t>Somme demandée ($ US)</w:t>
            </w:r>
          </w:p>
        </w:tc>
        <w:tc>
          <w:tcPr>
            <w:tcW w:w="1701" w:type="pct"/>
            <w:shd w:val="clear" w:color="auto" w:fill="auto"/>
          </w:tcPr>
          <w:p w14:paraId="5E2DC83D" w14:textId="77777777" w:rsidR="00EB31E3" w:rsidRPr="0042463B" w:rsidRDefault="00EB31E3" w:rsidP="00EB31E3">
            <w:pPr>
              <w:jc w:val="center"/>
              <w:rPr>
                <w:b/>
                <w:color w:val="000000" w:themeColor="text1"/>
                <w:sz w:val="20"/>
                <w:szCs w:val="20"/>
              </w:rPr>
            </w:pPr>
            <w:r w:rsidRPr="0042463B">
              <w:rPr>
                <w:b/>
                <w:color w:val="000000" w:themeColor="text1"/>
                <w:sz w:val="20"/>
                <w:szCs w:val="20"/>
              </w:rPr>
              <w:t>Coûts d’appui ($ US)</w:t>
            </w:r>
          </w:p>
        </w:tc>
      </w:tr>
      <w:tr w:rsidR="00EB31E3" w:rsidRPr="0042463B" w14:paraId="0B1FEA60" w14:textId="77777777" w:rsidTr="00FD303E">
        <w:trPr>
          <w:trHeight w:hRule="exact" w:val="227"/>
        </w:trPr>
        <w:tc>
          <w:tcPr>
            <w:tcW w:w="1673" w:type="pct"/>
            <w:shd w:val="clear" w:color="auto" w:fill="auto"/>
          </w:tcPr>
          <w:p w14:paraId="303AB2ED" w14:textId="77777777" w:rsidR="00EB31E3" w:rsidRPr="0042463B" w:rsidRDefault="006E0D11" w:rsidP="00EB31E3">
            <w:pPr>
              <w:rPr>
                <w:color w:val="000000" w:themeColor="text1"/>
                <w:sz w:val="20"/>
                <w:szCs w:val="20"/>
              </w:rPr>
            </w:pPr>
            <w:r w:rsidRPr="0042463B">
              <w:rPr>
                <w:color w:val="000000" w:themeColor="text1"/>
                <w:sz w:val="20"/>
                <w:szCs w:val="20"/>
              </w:rPr>
              <w:t>PNUE</w:t>
            </w:r>
          </w:p>
        </w:tc>
        <w:tc>
          <w:tcPr>
            <w:tcW w:w="1626" w:type="pct"/>
            <w:shd w:val="clear" w:color="auto" w:fill="auto"/>
          </w:tcPr>
          <w:p w14:paraId="56EF010B" w14:textId="26295A7A" w:rsidR="00EB31E3" w:rsidRPr="0042463B" w:rsidRDefault="002B1E67" w:rsidP="00EB31E3">
            <w:pPr>
              <w:jc w:val="right"/>
              <w:rPr>
                <w:color w:val="000000" w:themeColor="text1"/>
                <w:sz w:val="20"/>
                <w:szCs w:val="20"/>
              </w:rPr>
            </w:pPr>
            <w:r w:rsidRPr="0042463B">
              <w:rPr>
                <w:color w:val="000000" w:themeColor="text1"/>
                <w:sz w:val="20"/>
                <w:szCs w:val="20"/>
              </w:rPr>
              <w:t>249 500</w:t>
            </w:r>
          </w:p>
        </w:tc>
        <w:tc>
          <w:tcPr>
            <w:tcW w:w="1701" w:type="pct"/>
            <w:shd w:val="clear" w:color="auto" w:fill="auto"/>
          </w:tcPr>
          <w:p w14:paraId="2A07DFC2" w14:textId="59B4386E" w:rsidR="00EB31E3" w:rsidRPr="0042463B" w:rsidRDefault="002B1E67" w:rsidP="00EB31E3">
            <w:pPr>
              <w:jc w:val="right"/>
              <w:rPr>
                <w:color w:val="000000" w:themeColor="text1"/>
                <w:sz w:val="20"/>
                <w:szCs w:val="20"/>
              </w:rPr>
            </w:pPr>
            <w:r w:rsidRPr="0042463B">
              <w:rPr>
                <w:color w:val="000000" w:themeColor="text1"/>
                <w:sz w:val="20"/>
                <w:szCs w:val="20"/>
              </w:rPr>
              <w:t>32 435</w:t>
            </w:r>
          </w:p>
        </w:tc>
      </w:tr>
      <w:tr w:rsidR="00EB31E3" w:rsidRPr="0042463B" w14:paraId="03D8C07A" w14:textId="77777777" w:rsidTr="00FD303E">
        <w:trPr>
          <w:trHeight w:hRule="exact" w:val="227"/>
        </w:trPr>
        <w:tc>
          <w:tcPr>
            <w:tcW w:w="1673" w:type="pct"/>
            <w:shd w:val="clear" w:color="auto" w:fill="auto"/>
          </w:tcPr>
          <w:p w14:paraId="626F10A2" w14:textId="77777777" w:rsidR="00EB31E3" w:rsidRPr="0042463B" w:rsidRDefault="006E0D11" w:rsidP="00EB31E3">
            <w:pPr>
              <w:rPr>
                <w:color w:val="000000" w:themeColor="text1"/>
                <w:sz w:val="20"/>
                <w:szCs w:val="20"/>
              </w:rPr>
            </w:pPr>
            <w:r w:rsidRPr="0042463B">
              <w:rPr>
                <w:color w:val="000000" w:themeColor="text1"/>
                <w:sz w:val="20"/>
                <w:szCs w:val="20"/>
              </w:rPr>
              <w:t>ONUDI</w:t>
            </w:r>
          </w:p>
        </w:tc>
        <w:tc>
          <w:tcPr>
            <w:tcW w:w="1626" w:type="pct"/>
            <w:shd w:val="clear" w:color="auto" w:fill="auto"/>
          </w:tcPr>
          <w:p w14:paraId="59DDF3B0" w14:textId="2D3BA6B0" w:rsidR="00EB31E3" w:rsidRPr="0042463B" w:rsidRDefault="002B1E67" w:rsidP="00EB31E3">
            <w:pPr>
              <w:jc w:val="right"/>
              <w:rPr>
                <w:color w:val="000000" w:themeColor="text1"/>
                <w:sz w:val="20"/>
                <w:szCs w:val="20"/>
              </w:rPr>
            </w:pPr>
            <w:r w:rsidRPr="0042463B">
              <w:rPr>
                <w:color w:val="000000" w:themeColor="text1"/>
                <w:sz w:val="20"/>
                <w:szCs w:val="20"/>
              </w:rPr>
              <w:t>203 999</w:t>
            </w:r>
          </w:p>
        </w:tc>
        <w:tc>
          <w:tcPr>
            <w:tcW w:w="1701" w:type="pct"/>
            <w:shd w:val="clear" w:color="auto" w:fill="auto"/>
          </w:tcPr>
          <w:p w14:paraId="32DA82CD" w14:textId="4B0F15D5" w:rsidR="00EB31E3" w:rsidRPr="0042463B" w:rsidRDefault="002B1E67" w:rsidP="00EB31E3">
            <w:pPr>
              <w:jc w:val="right"/>
              <w:rPr>
                <w:color w:val="000000" w:themeColor="text1"/>
                <w:sz w:val="20"/>
                <w:szCs w:val="20"/>
              </w:rPr>
            </w:pPr>
            <w:r w:rsidRPr="0042463B">
              <w:rPr>
                <w:color w:val="000000" w:themeColor="text1"/>
                <w:sz w:val="20"/>
                <w:szCs w:val="20"/>
              </w:rPr>
              <w:t>14 280</w:t>
            </w:r>
          </w:p>
        </w:tc>
      </w:tr>
      <w:tr w:rsidR="00EB31E3" w:rsidRPr="0042463B" w14:paraId="19425FB6" w14:textId="77777777" w:rsidTr="00FD303E">
        <w:trPr>
          <w:trHeight w:hRule="exact" w:val="227"/>
        </w:trPr>
        <w:tc>
          <w:tcPr>
            <w:tcW w:w="1673" w:type="pct"/>
            <w:shd w:val="clear" w:color="auto" w:fill="auto"/>
          </w:tcPr>
          <w:p w14:paraId="2D5CBF2B" w14:textId="77777777" w:rsidR="00EB31E3" w:rsidRPr="0042463B" w:rsidRDefault="006E0D11" w:rsidP="00EB31E3">
            <w:pPr>
              <w:rPr>
                <w:color w:val="000000" w:themeColor="text1"/>
                <w:sz w:val="20"/>
                <w:szCs w:val="20"/>
              </w:rPr>
            </w:pPr>
            <w:r w:rsidRPr="0042463B">
              <w:rPr>
                <w:color w:val="000000" w:themeColor="text1"/>
                <w:sz w:val="20"/>
                <w:szCs w:val="20"/>
              </w:rPr>
              <w:t>Total</w:t>
            </w:r>
          </w:p>
        </w:tc>
        <w:tc>
          <w:tcPr>
            <w:tcW w:w="1626" w:type="pct"/>
            <w:shd w:val="clear" w:color="auto" w:fill="auto"/>
          </w:tcPr>
          <w:p w14:paraId="5A1EACF6" w14:textId="6FB7D4F2" w:rsidR="00EB31E3" w:rsidRPr="0042463B" w:rsidRDefault="002B1E67" w:rsidP="00EB31E3">
            <w:pPr>
              <w:jc w:val="right"/>
              <w:rPr>
                <w:color w:val="000000" w:themeColor="text1"/>
                <w:sz w:val="20"/>
                <w:szCs w:val="20"/>
              </w:rPr>
            </w:pPr>
            <w:r w:rsidRPr="0042463B">
              <w:rPr>
                <w:color w:val="000000" w:themeColor="text1"/>
                <w:sz w:val="20"/>
                <w:szCs w:val="20"/>
              </w:rPr>
              <w:t>453 499</w:t>
            </w:r>
          </w:p>
        </w:tc>
        <w:tc>
          <w:tcPr>
            <w:tcW w:w="1701" w:type="pct"/>
            <w:shd w:val="clear" w:color="auto" w:fill="auto"/>
          </w:tcPr>
          <w:p w14:paraId="65DE3920" w14:textId="6A260B36" w:rsidR="00EB31E3" w:rsidRPr="0042463B" w:rsidRDefault="002B1E67" w:rsidP="00EB31E3">
            <w:pPr>
              <w:jc w:val="right"/>
              <w:rPr>
                <w:color w:val="000000" w:themeColor="text1"/>
                <w:sz w:val="20"/>
                <w:szCs w:val="20"/>
              </w:rPr>
            </w:pPr>
            <w:r w:rsidRPr="0042463B">
              <w:rPr>
                <w:color w:val="000000" w:themeColor="text1"/>
                <w:sz w:val="20"/>
                <w:szCs w:val="20"/>
              </w:rPr>
              <w:t>46 715</w:t>
            </w:r>
          </w:p>
        </w:tc>
      </w:tr>
    </w:tbl>
    <w:p w14:paraId="225E8FDA" w14:textId="77777777" w:rsidR="00EB31E3" w:rsidRPr="0042463B" w:rsidRDefault="00EB31E3" w:rsidP="00EB31E3">
      <w:pPr>
        <w:ind w:left="-567"/>
        <w:rPr>
          <w:sz w:val="20"/>
          <w:szCs w:val="20"/>
        </w:rPr>
      </w:pPr>
    </w:p>
    <w:tbl>
      <w:tblPr>
        <w:tblStyle w:val="TableGrid"/>
        <w:tblW w:w="5479" w:type="pct"/>
        <w:tblInd w:w="-431" w:type="dxa"/>
        <w:tblLook w:val="04A0" w:firstRow="1" w:lastRow="0" w:firstColumn="1" w:lastColumn="0" w:noHBand="0" w:noVBand="1"/>
      </w:tblPr>
      <w:tblGrid>
        <w:gridCol w:w="3439"/>
        <w:gridCol w:w="6807"/>
      </w:tblGrid>
      <w:tr w:rsidR="00EB31E3" w:rsidRPr="0042463B" w14:paraId="7440EEAD" w14:textId="77777777" w:rsidTr="00FD303E">
        <w:trPr>
          <w:trHeight w:hRule="exact" w:val="281"/>
        </w:trPr>
        <w:tc>
          <w:tcPr>
            <w:tcW w:w="1678" w:type="pct"/>
            <w:shd w:val="clear" w:color="auto" w:fill="auto"/>
          </w:tcPr>
          <w:p w14:paraId="20C163A8" w14:textId="77777777" w:rsidR="00EB31E3" w:rsidRPr="0042463B" w:rsidRDefault="00EB31E3" w:rsidP="00EB31E3">
            <w:pPr>
              <w:jc w:val="left"/>
              <w:rPr>
                <w:b/>
                <w:color w:val="000000" w:themeColor="text1"/>
                <w:sz w:val="20"/>
                <w:szCs w:val="20"/>
              </w:rPr>
            </w:pPr>
            <w:r w:rsidRPr="0042463B">
              <w:rPr>
                <w:b/>
                <w:color w:val="000000" w:themeColor="text1"/>
                <w:sz w:val="20"/>
                <w:szCs w:val="20"/>
              </w:rPr>
              <w:t>Recommandation du Secrétariat :</w:t>
            </w:r>
          </w:p>
        </w:tc>
        <w:tc>
          <w:tcPr>
            <w:tcW w:w="3322" w:type="pct"/>
            <w:shd w:val="clear" w:color="auto" w:fill="auto"/>
          </w:tcPr>
          <w:p w14:paraId="3618E61E" w14:textId="77777777" w:rsidR="00EB31E3" w:rsidRPr="0042463B" w:rsidRDefault="00EB31E3" w:rsidP="00EB31E3">
            <w:pPr>
              <w:jc w:val="center"/>
              <w:rPr>
                <w:color w:val="000000" w:themeColor="text1"/>
                <w:sz w:val="20"/>
                <w:szCs w:val="20"/>
              </w:rPr>
            </w:pPr>
            <w:r w:rsidRPr="0042463B">
              <w:rPr>
                <w:color w:val="000000" w:themeColor="text1"/>
                <w:sz w:val="20"/>
                <w:szCs w:val="20"/>
              </w:rPr>
              <w:t>Examen individuel</w:t>
            </w:r>
          </w:p>
        </w:tc>
      </w:tr>
    </w:tbl>
    <w:p w14:paraId="084E18AF" w14:textId="0F3D1AB3" w:rsidR="00EB31E3" w:rsidRPr="0042463B" w:rsidRDefault="00EB31E3" w:rsidP="00FD303E">
      <w:pPr>
        <w:widowControl w:val="0"/>
        <w:tabs>
          <w:tab w:val="left" w:pos="2880"/>
          <w:tab w:val="left" w:pos="5760"/>
        </w:tabs>
        <w:spacing w:after="360"/>
        <w:jc w:val="center"/>
        <w:rPr>
          <w:b/>
        </w:rPr>
      </w:pPr>
      <w:r w:rsidRPr="0042463B">
        <w:rPr>
          <w:b/>
        </w:rPr>
        <w:lastRenderedPageBreak/>
        <w:t>DESCRIPTION DU PROJET</w:t>
      </w:r>
    </w:p>
    <w:p w14:paraId="37159ADC" w14:textId="77777777" w:rsidR="00EB31E3" w:rsidRPr="0042463B" w:rsidRDefault="00EB31E3" w:rsidP="00EB31E3">
      <w:pPr>
        <w:rPr>
          <w:b/>
        </w:rPr>
      </w:pPr>
      <w:r w:rsidRPr="0042463B">
        <w:rPr>
          <w:b/>
        </w:rPr>
        <w:t>Contexte</w:t>
      </w:r>
    </w:p>
    <w:p w14:paraId="52E2C6FB" w14:textId="77777777" w:rsidR="00EB31E3" w:rsidRPr="0042463B" w:rsidRDefault="00EB31E3" w:rsidP="00EB31E3"/>
    <w:p w14:paraId="60F87BF3" w14:textId="6A70701E" w:rsidR="00EB31E3" w:rsidRPr="0042463B" w:rsidRDefault="00EB31E3" w:rsidP="00617CFC">
      <w:pPr>
        <w:pStyle w:val="Heading1"/>
      </w:pPr>
      <w:r w:rsidRPr="0042463B">
        <w:t>Au nom du gouvernement de Bahreïn, le PNUE, en tant que principale agence d’exécution, a présenté une demande pour la phase II du plan de gestion de l’élimination des HCFC (PGEH) d’un montant total de 732 449 $ US, soit 384 000 $ US, plus les coûts d’appui d’agence de 49 920 $ US pour le PNUE, et de 278 999 $ US, plus les coûts d’appui d’agence de 19 530 $ US pour l’ONUDI, conformément à la proposition initiale.</w:t>
      </w:r>
      <w:r w:rsidRPr="0042463B">
        <w:rPr>
          <w:vertAlign w:val="superscript"/>
        </w:rPr>
        <w:footnoteReference w:id="2"/>
      </w:r>
      <w:r w:rsidRPr="0042463B">
        <w:t xml:space="preserve"> La mise en œuvre de la phase II du PGEH permettra d’éliminer 40,61 tonnes PAO de HCFC et aidera Bahreïn à atteindre les objectifs de conformité du Protocole de Montréal, soit une réduction de 67,5 pour cent de la valeur de référence d’ici 2025.</w:t>
      </w:r>
    </w:p>
    <w:p w14:paraId="37B80147" w14:textId="77777777" w:rsidR="00EB31E3" w:rsidRPr="0042463B" w:rsidRDefault="00EB31E3" w:rsidP="00EB31E3">
      <w:pPr>
        <w:numPr>
          <w:ilvl w:val="0"/>
          <w:numId w:val="1"/>
        </w:numPr>
        <w:spacing w:after="240"/>
        <w:outlineLvl w:val="0"/>
      </w:pPr>
      <w:r w:rsidRPr="0042463B">
        <w:t>La première tranche de la phase II du PGEH qui est demandée à la présente réunion s’élève à 561 309 $ US, soit 278 000 $ US, plus les coûts d’appui d’agence de 36 140 $ US pour le PNUE, et de 230 999 $ US, plus les coûts d’appui d'agence de 16 170 $ US pour l’ONUDI, conformément à la proposition initiale.</w:t>
      </w:r>
    </w:p>
    <w:p w14:paraId="2915DF21" w14:textId="77777777" w:rsidR="00EB31E3" w:rsidRPr="0042463B" w:rsidRDefault="00EB31E3" w:rsidP="00EB31E3">
      <w:pPr>
        <w:spacing w:after="240"/>
        <w:outlineLvl w:val="0"/>
        <w:rPr>
          <w:b/>
        </w:rPr>
      </w:pPr>
      <w:r w:rsidRPr="0042463B">
        <w:rPr>
          <w:b/>
        </w:rPr>
        <w:t>État de la mise en œuvre de la phase I du PGEH</w:t>
      </w:r>
    </w:p>
    <w:p w14:paraId="471DC2C4" w14:textId="76078D47" w:rsidR="00EB31E3" w:rsidRPr="0042463B" w:rsidRDefault="00EB31E3" w:rsidP="00EB31E3">
      <w:pPr>
        <w:numPr>
          <w:ilvl w:val="0"/>
          <w:numId w:val="1"/>
        </w:numPr>
        <w:spacing w:after="240"/>
        <w:outlineLvl w:val="0"/>
      </w:pPr>
      <w:r w:rsidRPr="0042463B">
        <w:t>La phase I du PGEH pour Bahreïn a été approuvée à la 68</w:t>
      </w:r>
      <w:r w:rsidRPr="0042463B">
        <w:rPr>
          <w:vertAlign w:val="superscript"/>
        </w:rPr>
        <w:t>e</w:t>
      </w:r>
      <w:r w:rsidRPr="0042463B">
        <w:t> réunion</w:t>
      </w:r>
      <w:r w:rsidRPr="0042463B">
        <w:rPr>
          <w:vertAlign w:val="superscript"/>
        </w:rPr>
        <w:footnoteReference w:id="3"/>
      </w:r>
      <w:r w:rsidRPr="0042463B">
        <w:t>, mise à jour à la 80</w:t>
      </w:r>
      <w:r w:rsidRPr="0042463B">
        <w:rPr>
          <w:vertAlign w:val="superscript"/>
        </w:rPr>
        <w:t>e</w:t>
      </w:r>
      <w:r w:rsidRPr="0042463B">
        <w:t xml:space="preserve"> réunion</w:t>
      </w:r>
      <w:r w:rsidR="00181E7B" w:rsidRPr="0042463B">
        <w:rPr>
          <w:rStyle w:val="FootnoteReference"/>
        </w:rPr>
        <w:footnoteReference w:id="4"/>
      </w:r>
      <w:r w:rsidRPr="0042463B">
        <w:t>, puis révisée à la 84</w:t>
      </w:r>
      <w:r w:rsidRPr="0042463B">
        <w:rPr>
          <w:vertAlign w:val="superscript"/>
        </w:rPr>
        <w:t>e</w:t>
      </w:r>
      <w:r w:rsidRPr="0042463B">
        <w:t xml:space="preserve"> réunion</w:t>
      </w:r>
      <w:r w:rsidR="004252EC" w:rsidRPr="0042463B">
        <w:rPr>
          <w:rStyle w:val="FootnoteReference"/>
        </w:rPr>
        <w:footnoteReference w:id="5"/>
      </w:r>
      <w:r w:rsidRPr="0042463B">
        <w:t xml:space="preserve"> pour respecter la réduction de 35 pour cent de la valeur de référence avant 2020, pour un coût total de 1 019 455 $ US, plus les coûts d’appui d’agence, pour éliminer 18,03 tonnes PAO de HCFC utilisées dans le secteur de l’entretien des appareils de réfrigération et de climatisation et celui de la fabrication. </w:t>
      </w:r>
    </w:p>
    <w:p w14:paraId="5BC5A182" w14:textId="4014B46B" w:rsidR="004627AC" w:rsidRPr="0042463B" w:rsidRDefault="004627AC" w:rsidP="004627AC">
      <w:pPr>
        <w:rPr>
          <w:u w:val="single"/>
        </w:rPr>
      </w:pPr>
      <w:r w:rsidRPr="0042463B">
        <w:rPr>
          <w:u w:val="single"/>
        </w:rPr>
        <w:t>Consommation de HCFC</w:t>
      </w:r>
    </w:p>
    <w:p w14:paraId="47D1DCEE" w14:textId="77777777" w:rsidR="004627AC" w:rsidRPr="0042463B" w:rsidRDefault="004627AC" w:rsidP="004627AC"/>
    <w:p w14:paraId="59157518" w14:textId="77777777" w:rsidR="004627AC" w:rsidRPr="0042463B" w:rsidRDefault="004627AC" w:rsidP="004627AC">
      <w:pPr>
        <w:pStyle w:val="Heading1"/>
      </w:pPr>
      <w:r w:rsidRPr="0042463B">
        <w:t xml:space="preserve">Le gouvernement de Bahreïn a rapporté une consommation de 32,76 tonnes PAO de HCFC en 2020, ce qui est 37 pour cent inférieur à la valeur de référence pour la conformité. La consommation de HCFC pour 2016 à 2020 est indiquée au Tableau 1. </w:t>
      </w:r>
    </w:p>
    <w:p w14:paraId="273A035F" w14:textId="77777777" w:rsidR="004627AC" w:rsidRPr="0042463B" w:rsidRDefault="004627AC" w:rsidP="004627AC">
      <w:pPr>
        <w:rPr>
          <w:b/>
        </w:rPr>
      </w:pPr>
      <w:r w:rsidRPr="0042463B">
        <w:rPr>
          <w:b/>
        </w:rPr>
        <w:t>Tableau 1. Consommation de HCFC à Bahreïn (2016-2020, données de l’Article 7)</w:t>
      </w:r>
    </w:p>
    <w:tbl>
      <w:tblPr>
        <w:tblW w:w="4997" w:type="pct"/>
        <w:tblLayout w:type="fixed"/>
        <w:tblLook w:val="04A0" w:firstRow="1" w:lastRow="0" w:firstColumn="1" w:lastColumn="0" w:noHBand="0" w:noVBand="1"/>
      </w:tblPr>
      <w:tblGrid>
        <w:gridCol w:w="3866"/>
        <w:gridCol w:w="914"/>
        <w:gridCol w:w="914"/>
        <w:gridCol w:w="914"/>
        <w:gridCol w:w="912"/>
        <w:gridCol w:w="912"/>
        <w:gridCol w:w="912"/>
      </w:tblGrid>
      <w:tr w:rsidR="004627AC" w:rsidRPr="0042463B" w14:paraId="114600B4" w14:textId="77777777" w:rsidTr="00FD303E">
        <w:trPr>
          <w:tblHeader/>
        </w:trPr>
        <w:tc>
          <w:tcPr>
            <w:tcW w:w="2069" w:type="pct"/>
            <w:tcBorders>
              <w:top w:val="single" w:sz="4" w:space="0" w:color="auto"/>
              <w:left w:val="single" w:sz="4" w:space="0" w:color="auto"/>
              <w:bottom w:val="single" w:sz="4" w:space="0" w:color="auto"/>
              <w:right w:val="single" w:sz="4" w:space="0" w:color="auto"/>
            </w:tcBorders>
            <w:shd w:val="clear" w:color="auto" w:fill="auto"/>
            <w:noWrap/>
            <w:tcMar>
              <w:left w:w="29" w:type="dxa"/>
              <w:right w:w="0" w:type="dxa"/>
            </w:tcMar>
            <w:hideMark/>
          </w:tcPr>
          <w:p w14:paraId="77A00B55" w14:textId="77777777" w:rsidR="004627AC" w:rsidRPr="0042463B" w:rsidRDefault="004627AC" w:rsidP="000E478B">
            <w:pPr>
              <w:jc w:val="left"/>
              <w:rPr>
                <w:b/>
                <w:bCs/>
                <w:color w:val="000000"/>
                <w:sz w:val="20"/>
                <w:szCs w:val="20"/>
              </w:rPr>
            </w:pPr>
            <w:r w:rsidRPr="0042463B">
              <w:rPr>
                <w:b/>
                <w:bCs/>
                <w:color w:val="000000"/>
                <w:sz w:val="20"/>
                <w:szCs w:val="20"/>
              </w:rPr>
              <w:t>HCFC</w:t>
            </w:r>
          </w:p>
        </w:tc>
        <w:tc>
          <w:tcPr>
            <w:tcW w:w="489" w:type="pct"/>
            <w:tcBorders>
              <w:top w:val="single" w:sz="4" w:space="0" w:color="auto"/>
              <w:left w:val="nil"/>
              <w:bottom w:val="single" w:sz="4" w:space="0" w:color="auto"/>
              <w:right w:val="single" w:sz="4" w:space="0" w:color="auto"/>
            </w:tcBorders>
            <w:shd w:val="clear" w:color="auto" w:fill="auto"/>
            <w:tcMar>
              <w:left w:w="29" w:type="dxa"/>
              <w:right w:w="29" w:type="dxa"/>
            </w:tcMar>
            <w:vAlign w:val="center"/>
            <w:hideMark/>
          </w:tcPr>
          <w:p w14:paraId="51DFA215" w14:textId="77777777" w:rsidR="004627AC" w:rsidRPr="0042463B" w:rsidRDefault="004627AC" w:rsidP="000E478B">
            <w:pPr>
              <w:jc w:val="center"/>
              <w:rPr>
                <w:b/>
                <w:bCs/>
                <w:color w:val="000000"/>
                <w:sz w:val="20"/>
                <w:szCs w:val="20"/>
              </w:rPr>
            </w:pPr>
            <w:r w:rsidRPr="0042463B">
              <w:rPr>
                <w:b/>
                <w:bCs/>
                <w:color w:val="000000"/>
                <w:sz w:val="20"/>
                <w:szCs w:val="20"/>
              </w:rPr>
              <w:t>2016</w:t>
            </w:r>
          </w:p>
        </w:tc>
        <w:tc>
          <w:tcPr>
            <w:tcW w:w="489" w:type="pct"/>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hideMark/>
          </w:tcPr>
          <w:p w14:paraId="0B59D02E" w14:textId="77777777" w:rsidR="004627AC" w:rsidRPr="0042463B" w:rsidRDefault="004627AC" w:rsidP="000E478B">
            <w:pPr>
              <w:jc w:val="center"/>
              <w:rPr>
                <w:b/>
                <w:bCs/>
                <w:color w:val="000000"/>
                <w:sz w:val="20"/>
                <w:szCs w:val="20"/>
              </w:rPr>
            </w:pPr>
            <w:r w:rsidRPr="0042463B">
              <w:rPr>
                <w:b/>
                <w:bCs/>
                <w:color w:val="000000"/>
                <w:sz w:val="20"/>
                <w:szCs w:val="20"/>
              </w:rPr>
              <w:t>2017</w:t>
            </w:r>
          </w:p>
        </w:tc>
        <w:tc>
          <w:tcPr>
            <w:tcW w:w="489" w:type="pct"/>
            <w:tcBorders>
              <w:top w:val="single" w:sz="4" w:space="0" w:color="auto"/>
              <w:left w:val="nil"/>
              <w:bottom w:val="single" w:sz="4" w:space="0" w:color="auto"/>
              <w:right w:val="single" w:sz="4" w:space="0" w:color="auto"/>
            </w:tcBorders>
            <w:shd w:val="clear" w:color="auto" w:fill="auto"/>
            <w:tcMar>
              <w:left w:w="29" w:type="dxa"/>
              <w:right w:w="29" w:type="dxa"/>
            </w:tcMar>
            <w:vAlign w:val="center"/>
            <w:hideMark/>
          </w:tcPr>
          <w:p w14:paraId="0F94324E" w14:textId="77777777" w:rsidR="004627AC" w:rsidRPr="0042463B" w:rsidRDefault="004627AC" w:rsidP="000E478B">
            <w:pPr>
              <w:jc w:val="center"/>
              <w:rPr>
                <w:b/>
                <w:bCs/>
                <w:color w:val="000000"/>
                <w:sz w:val="20"/>
                <w:szCs w:val="20"/>
              </w:rPr>
            </w:pPr>
            <w:r w:rsidRPr="0042463B">
              <w:rPr>
                <w:b/>
                <w:bCs/>
                <w:color w:val="000000"/>
                <w:sz w:val="20"/>
                <w:szCs w:val="20"/>
              </w:rPr>
              <w:t>2018</w:t>
            </w:r>
          </w:p>
        </w:tc>
        <w:tc>
          <w:tcPr>
            <w:tcW w:w="488" w:type="pct"/>
            <w:tcBorders>
              <w:top w:val="single" w:sz="4" w:space="0" w:color="auto"/>
              <w:left w:val="nil"/>
              <w:bottom w:val="single" w:sz="4" w:space="0" w:color="auto"/>
              <w:right w:val="single" w:sz="4" w:space="0" w:color="auto"/>
            </w:tcBorders>
            <w:vAlign w:val="center"/>
          </w:tcPr>
          <w:p w14:paraId="435A99A7" w14:textId="77777777" w:rsidR="004627AC" w:rsidRPr="0042463B" w:rsidRDefault="004627AC" w:rsidP="000E478B">
            <w:pPr>
              <w:jc w:val="center"/>
              <w:rPr>
                <w:b/>
                <w:bCs/>
                <w:color w:val="000000"/>
                <w:sz w:val="20"/>
                <w:szCs w:val="20"/>
              </w:rPr>
            </w:pPr>
            <w:r w:rsidRPr="0042463B">
              <w:rPr>
                <w:b/>
                <w:bCs/>
                <w:color w:val="000000"/>
                <w:sz w:val="20"/>
                <w:szCs w:val="20"/>
              </w:rPr>
              <w:t>2019</w:t>
            </w:r>
          </w:p>
        </w:tc>
        <w:tc>
          <w:tcPr>
            <w:tcW w:w="488" w:type="pct"/>
            <w:tcBorders>
              <w:top w:val="single" w:sz="4" w:space="0" w:color="auto"/>
              <w:left w:val="single" w:sz="4" w:space="0" w:color="auto"/>
              <w:bottom w:val="single" w:sz="4" w:space="0" w:color="auto"/>
              <w:right w:val="single" w:sz="4" w:space="0" w:color="auto"/>
            </w:tcBorders>
            <w:vAlign w:val="center"/>
          </w:tcPr>
          <w:p w14:paraId="05C561CE" w14:textId="77777777" w:rsidR="004627AC" w:rsidRPr="0042463B" w:rsidRDefault="004627AC" w:rsidP="000E478B">
            <w:pPr>
              <w:jc w:val="center"/>
              <w:rPr>
                <w:b/>
                <w:bCs/>
                <w:color w:val="000000"/>
                <w:sz w:val="20"/>
                <w:szCs w:val="20"/>
              </w:rPr>
            </w:pPr>
            <w:r w:rsidRPr="0042463B">
              <w:rPr>
                <w:b/>
                <w:bCs/>
                <w:color w:val="000000"/>
                <w:sz w:val="20"/>
                <w:szCs w:val="20"/>
              </w:rPr>
              <w:t>2020</w:t>
            </w:r>
          </w:p>
        </w:tc>
        <w:tc>
          <w:tcPr>
            <w:tcW w:w="488" w:type="pct"/>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hideMark/>
          </w:tcPr>
          <w:p w14:paraId="0045CFEA" w14:textId="77777777" w:rsidR="004627AC" w:rsidRPr="0042463B" w:rsidRDefault="004627AC" w:rsidP="000E478B">
            <w:pPr>
              <w:jc w:val="center"/>
              <w:rPr>
                <w:b/>
                <w:bCs/>
                <w:color w:val="000000"/>
                <w:sz w:val="20"/>
                <w:szCs w:val="20"/>
              </w:rPr>
            </w:pPr>
            <w:r w:rsidRPr="0042463B">
              <w:rPr>
                <w:b/>
                <w:bCs/>
                <w:color w:val="000000"/>
                <w:sz w:val="20"/>
                <w:szCs w:val="20"/>
              </w:rPr>
              <w:t>Valeur de référence</w:t>
            </w:r>
          </w:p>
        </w:tc>
      </w:tr>
      <w:tr w:rsidR="004627AC" w:rsidRPr="0042463B" w14:paraId="760BC4AA" w14:textId="77777777" w:rsidTr="00DF5DAC">
        <w:tc>
          <w:tcPr>
            <w:tcW w:w="2069" w:type="pct"/>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595B1D0" w14:textId="77777777" w:rsidR="004627AC" w:rsidRPr="0042463B" w:rsidRDefault="004627AC" w:rsidP="000E478B">
            <w:pPr>
              <w:jc w:val="left"/>
              <w:rPr>
                <w:b/>
                <w:bCs/>
                <w:color w:val="000000"/>
                <w:sz w:val="20"/>
                <w:szCs w:val="20"/>
              </w:rPr>
            </w:pPr>
            <w:r w:rsidRPr="0042463B">
              <w:rPr>
                <w:b/>
                <w:bCs/>
                <w:color w:val="000000"/>
                <w:sz w:val="20"/>
                <w:szCs w:val="20"/>
              </w:rPr>
              <w:t>Tonnes métriques (</w:t>
            </w:r>
            <w:proofErr w:type="spellStart"/>
            <w:r w:rsidRPr="0042463B">
              <w:rPr>
                <w:b/>
                <w:bCs/>
                <w:color w:val="000000"/>
                <w:sz w:val="20"/>
                <w:szCs w:val="20"/>
              </w:rPr>
              <w:t>tm</w:t>
            </w:r>
            <w:proofErr w:type="spellEnd"/>
            <w:r w:rsidRPr="0042463B">
              <w:rPr>
                <w:b/>
                <w:bCs/>
                <w:color w:val="000000"/>
                <w:sz w:val="20"/>
                <w:szCs w:val="20"/>
              </w:rPr>
              <w:t>)</w:t>
            </w:r>
          </w:p>
        </w:tc>
        <w:tc>
          <w:tcPr>
            <w:tcW w:w="489" w:type="pct"/>
            <w:tcBorders>
              <w:top w:val="nil"/>
              <w:left w:val="nil"/>
              <w:bottom w:val="single" w:sz="4" w:space="0" w:color="auto"/>
              <w:right w:val="single" w:sz="4" w:space="0" w:color="auto"/>
            </w:tcBorders>
            <w:shd w:val="clear" w:color="auto" w:fill="auto"/>
            <w:noWrap/>
            <w:tcMar>
              <w:left w:w="29" w:type="dxa"/>
              <w:right w:w="29" w:type="dxa"/>
            </w:tcMar>
            <w:hideMark/>
          </w:tcPr>
          <w:p w14:paraId="1AD35828" w14:textId="77777777" w:rsidR="004627AC" w:rsidRPr="0042463B" w:rsidRDefault="004627AC" w:rsidP="000E478B">
            <w:pPr>
              <w:jc w:val="right"/>
              <w:rPr>
                <w:color w:val="000000"/>
                <w:sz w:val="20"/>
                <w:szCs w:val="20"/>
                <w:lang w:eastAsia="zh-CN"/>
              </w:rPr>
            </w:pPr>
          </w:p>
        </w:tc>
        <w:tc>
          <w:tcPr>
            <w:tcW w:w="489" w:type="pct"/>
            <w:tcBorders>
              <w:top w:val="nil"/>
              <w:left w:val="nil"/>
              <w:bottom w:val="single" w:sz="4" w:space="0" w:color="auto"/>
              <w:right w:val="single" w:sz="4" w:space="0" w:color="auto"/>
            </w:tcBorders>
            <w:shd w:val="clear" w:color="auto" w:fill="auto"/>
            <w:tcMar>
              <w:left w:w="29" w:type="dxa"/>
              <w:right w:w="29" w:type="dxa"/>
            </w:tcMar>
            <w:hideMark/>
          </w:tcPr>
          <w:p w14:paraId="38E9A92F" w14:textId="77777777" w:rsidR="004627AC" w:rsidRPr="0042463B" w:rsidRDefault="004627AC" w:rsidP="000E478B">
            <w:pPr>
              <w:jc w:val="right"/>
              <w:rPr>
                <w:b/>
                <w:bCs/>
                <w:color w:val="000000"/>
                <w:sz w:val="20"/>
                <w:szCs w:val="20"/>
                <w:lang w:eastAsia="zh-CN"/>
              </w:rPr>
            </w:pPr>
          </w:p>
        </w:tc>
        <w:tc>
          <w:tcPr>
            <w:tcW w:w="489" w:type="pct"/>
            <w:tcBorders>
              <w:top w:val="nil"/>
              <w:left w:val="nil"/>
              <w:bottom w:val="single" w:sz="4" w:space="0" w:color="auto"/>
              <w:right w:val="single" w:sz="4" w:space="0" w:color="auto"/>
            </w:tcBorders>
            <w:shd w:val="clear" w:color="auto" w:fill="auto"/>
            <w:tcMar>
              <w:left w:w="29" w:type="dxa"/>
              <w:right w:w="29" w:type="dxa"/>
            </w:tcMar>
            <w:hideMark/>
          </w:tcPr>
          <w:p w14:paraId="770C41D1" w14:textId="77777777" w:rsidR="004627AC" w:rsidRPr="0042463B" w:rsidRDefault="004627AC" w:rsidP="000E478B">
            <w:pPr>
              <w:jc w:val="right"/>
              <w:rPr>
                <w:b/>
                <w:bCs/>
                <w:color w:val="000000"/>
                <w:sz w:val="20"/>
                <w:szCs w:val="20"/>
                <w:lang w:eastAsia="zh-CN"/>
              </w:rPr>
            </w:pPr>
          </w:p>
        </w:tc>
        <w:tc>
          <w:tcPr>
            <w:tcW w:w="488" w:type="pct"/>
            <w:tcBorders>
              <w:top w:val="single" w:sz="4" w:space="0" w:color="auto"/>
              <w:left w:val="nil"/>
              <w:bottom w:val="single" w:sz="4" w:space="0" w:color="auto"/>
              <w:right w:val="single" w:sz="4" w:space="0" w:color="auto"/>
            </w:tcBorders>
          </w:tcPr>
          <w:p w14:paraId="2C45F5A6" w14:textId="77777777" w:rsidR="004627AC" w:rsidRPr="0042463B" w:rsidRDefault="004627AC" w:rsidP="000E478B">
            <w:pPr>
              <w:jc w:val="right"/>
              <w:rPr>
                <w:b/>
                <w:bCs/>
                <w:color w:val="000000"/>
                <w:sz w:val="20"/>
                <w:szCs w:val="20"/>
                <w:lang w:eastAsia="zh-CN"/>
              </w:rPr>
            </w:pPr>
          </w:p>
        </w:tc>
        <w:tc>
          <w:tcPr>
            <w:tcW w:w="488" w:type="pct"/>
            <w:tcBorders>
              <w:top w:val="single" w:sz="4" w:space="0" w:color="auto"/>
              <w:left w:val="single" w:sz="4" w:space="0" w:color="auto"/>
              <w:bottom w:val="single" w:sz="4" w:space="0" w:color="auto"/>
              <w:right w:val="single" w:sz="4" w:space="0" w:color="auto"/>
            </w:tcBorders>
          </w:tcPr>
          <w:p w14:paraId="12EDAB90" w14:textId="77777777" w:rsidR="004627AC" w:rsidRPr="0042463B" w:rsidRDefault="004627AC" w:rsidP="000E478B">
            <w:pPr>
              <w:jc w:val="right"/>
              <w:rPr>
                <w:color w:val="000000"/>
                <w:sz w:val="20"/>
                <w:szCs w:val="20"/>
                <w:lang w:eastAsia="zh-CN"/>
              </w:rPr>
            </w:pPr>
          </w:p>
        </w:tc>
        <w:tc>
          <w:tcPr>
            <w:tcW w:w="488" w:type="pct"/>
            <w:tcBorders>
              <w:top w:val="nil"/>
              <w:left w:val="nil"/>
              <w:bottom w:val="single" w:sz="4" w:space="0" w:color="auto"/>
              <w:right w:val="single" w:sz="4" w:space="0" w:color="auto"/>
            </w:tcBorders>
            <w:shd w:val="clear" w:color="auto" w:fill="auto"/>
            <w:noWrap/>
            <w:tcMar>
              <w:left w:w="29" w:type="dxa"/>
              <w:right w:w="29" w:type="dxa"/>
            </w:tcMar>
            <w:hideMark/>
          </w:tcPr>
          <w:p w14:paraId="42DB6703" w14:textId="77777777" w:rsidR="004627AC" w:rsidRPr="0042463B" w:rsidRDefault="004627AC" w:rsidP="000E478B">
            <w:pPr>
              <w:jc w:val="right"/>
              <w:rPr>
                <w:color w:val="000000"/>
                <w:sz w:val="20"/>
                <w:szCs w:val="20"/>
                <w:lang w:eastAsia="zh-CN"/>
              </w:rPr>
            </w:pPr>
          </w:p>
        </w:tc>
      </w:tr>
      <w:tr w:rsidR="004627AC" w:rsidRPr="0042463B" w14:paraId="0008DABD" w14:textId="77777777" w:rsidTr="00DF5DAC">
        <w:tc>
          <w:tcPr>
            <w:tcW w:w="2069" w:type="pct"/>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C84A126" w14:textId="77777777" w:rsidR="004627AC" w:rsidRPr="0042463B" w:rsidRDefault="004627AC" w:rsidP="000E478B">
            <w:pPr>
              <w:jc w:val="left"/>
              <w:rPr>
                <w:color w:val="000000"/>
                <w:sz w:val="20"/>
                <w:szCs w:val="20"/>
              </w:rPr>
            </w:pPr>
            <w:r w:rsidRPr="0042463B">
              <w:rPr>
                <w:color w:val="000000"/>
                <w:sz w:val="20"/>
                <w:szCs w:val="20"/>
              </w:rPr>
              <w:t>HCFC-22</w:t>
            </w:r>
          </w:p>
        </w:tc>
        <w:tc>
          <w:tcPr>
            <w:tcW w:w="489" w:type="pct"/>
            <w:tcBorders>
              <w:top w:val="nil"/>
              <w:left w:val="nil"/>
              <w:bottom w:val="single" w:sz="4" w:space="0" w:color="auto"/>
              <w:right w:val="single" w:sz="4" w:space="0" w:color="auto"/>
            </w:tcBorders>
            <w:shd w:val="clear" w:color="auto" w:fill="auto"/>
            <w:noWrap/>
            <w:tcMar>
              <w:left w:w="29" w:type="dxa"/>
              <w:right w:w="29" w:type="dxa"/>
            </w:tcMar>
            <w:hideMark/>
          </w:tcPr>
          <w:p w14:paraId="4726FE27" w14:textId="77777777" w:rsidR="004627AC" w:rsidRPr="0042463B" w:rsidRDefault="004627AC" w:rsidP="000E478B">
            <w:pPr>
              <w:jc w:val="right"/>
              <w:rPr>
                <w:color w:val="000000"/>
                <w:sz w:val="20"/>
                <w:szCs w:val="20"/>
              </w:rPr>
            </w:pPr>
            <w:r w:rsidRPr="0042463B">
              <w:rPr>
                <w:color w:val="000000"/>
                <w:sz w:val="20"/>
                <w:szCs w:val="20"/>
              </w:rPr>
              <w:t>824,23</w:t>
            </w:r>
          </w:p>
        </w:tc>
        <w:tc>
          <w:tcPr>
            <w:tcW w:w="489" w:type="pct"/>
            <w:tcBorders>
              <w:top w:val="nil"/>
              <w:left w:val="nil"/>
              <w:bottom w:val="single" w:sz="4" w:space="0" w:color="auto"/>
              <w:right w:val="single" w:sz="4" w:space="0" w:color="auto"/>
            </w:tcBorders>
            <w:shd w:val="clear" w:color="auto" w:fill="auto"/>
            <w:noWrap/>
            <w:tcMar>
              <w:left w:w="29" w:type="dxa"/>
              <w:right w:w="29" w:type="dxa"/>
            </w:tcMar>
            <w:hideMark/>
          </w:tcPr>
          <w:p w14:paraId="3DF105B8" w14:textId="77777777" w:rsidR="004627AC" w:rsidRPr="0042463B" w:rsidRDefault="004627AC" w:rsidP="000E478B">
            <w:pPr>
              <w:jc w:val="right"/>
              <w:rPr>
                <w:color w:val="000000"/>
                <w:sz w:val="20"/>
                <w:szCs w:val="20"/>
              </w:rPr>
            </w:pPr>
            <w:r w:rsidRPr="0042463B">
              <w:rPr>
                <w:color w:val="000000"/>
                <w:sz w:val="20"/>
                <w:szCs w:val="20"/>
              </w:rPr>
              <w:t>798,85</w:t>
            </w:r>
          </w:p>
        </w:tc>
        <w:tc>
          <w:tcPr>
            <w:tcW w:w="489" w:type="pct"/>
            <w:tcBorders>
              <w:top w:val="nil"/>
              <w:left w:val="nil"/>
              <w:bottom w:val="single" w:sz="4" w:space="0" w:color="auto"/>
              <w:right w:val="single" w:sz="4" w:space="0" w:color="auto"/>
            </w:tcBorders>
            <w:shd w:val="clear" w:color="auto" w:fill="auto"/>
            <w:noWrap/>
            <w:tcMar>
              <w:left w:w="29" w:type="dxa"/>
              <w:right w:w="29" w:type="dxa"/>
            </w:tcMar>
            <w:hideMark/>
          </w:tcPr>
          <w:p w14:paraId="62753EBB" w14:textId="77777777" w:rsidR="004627AC" w:rsidRPr="0042463B" w:rsidRDefault="004627AC" w:rsidP="000E478B">
            <w:pPr>
              <w:jc w:val="right"/>
              <w:rPr>
                <w:color w:val="000000"/>
                <w:sz w:val="20"/>
                <w:szCs w:val="20"/>
              </w:rPr>
            </w:pPr>
            <w:r w:rsidRPr="0042463B">
              <w:rPr>
                <w:color w:val="000000"/>
                <w:sz w:val="20"/>
                <w:szCs w:val="20"/>
              </w:rPr>
              <w:t>735,15</w:t>
            </w:r>
          </w:p>
        </w:tc>
        <w:tc>
          <w:tcPr>
            <w:tcW w:w="488" w:type="pct"/>
            <w:tcBorders>
              <w:top w:val="single" w:sz="4" w:space="0" w:color="auto"/>
              <w:left w:val="nil"/>
              <w:bottom w:val="single" w:sz="4" w:space="0" w:color="auto"/>
              <w:right w:val="single" w:sz="4" w:space="0" w:color="auto"/>
            </w:tcBorders>
          </w:tcPr>
          <w:p w14:paraId="46F4726F" w14:textId="77777777" w:rsidR="004627AC" w:rsidRPr="0042463B" w:rsidRDefault="004627AC" w:rsidP="000E478B">
            <w:pPr>
              <w:jc w:val="right"/>
              <w:rPr>
                <w:color w:val="000000"/>
                <w:sz w:val="20"/>
                <w:szCs w:val="20"/>
              </w:rPr>
            </w:pPr>
            <w:r w:rsidRPr="0042463B">
              <w:rPr>
                <w:color w:val="000000"/>
                <w:sz w:val="20"/>
                <w:szCs w:val="20"/>
              </w:rPr>
              <w:t>669,44</w:t>
            </w:r>
          </w:p>
        </w:tc>
        <w:tc>
          <w:tcPr>
            <w:tcW w:w="488" w:type="pct"/>
            <w:tcBorders>
              <w:top w:val="single" w:sz="4" w:space="0" w:color="auto"/>
              <w:left w:val="single" w:sz="4" w:space="0" w:color="auto"/>
              <w:bottom w:val="single" w:sz="4" w:space="0" w:color="auto"/>
              <w:right w:val="single" w:sz="4" w:space="0" w:color="auto"/>
            </w:tcBorders>
          </w:tcPr>
          <w:p w14:paraId="2AD6F8BF" w14:textId="77777777" w:rsidR="004627AC" w:rsidRPr="0042463B" w:rsidRDefault="0007532D" w:rsidP="0007532D">
            <w:pPr>
              <w:jc w:val="right"/>
              <w:rPr>
                <w:color w:val="000000"/>
                <w:sz w:val="20"/>
                <w:szCs w:val="20"/>
              </w:rPr>
            </w:pPr>
            <w:r w:rsidRPr="0042463B">
              <w:rPr>
                <w:color w:val="000000"/>
                <w:sz w:val="20"/>
                <w:szCs w:val="20"/>
              </w:rPr>
              <w:t>595,55</w:t>
            </w:r>
          </w:p>
        </w:tc>
        <w:tc>
          <w:tcPr>
            <w:tcW w:w="488" w:type="pct"/>
            <w:tcBorders>
              <w:top w:val="nil"/>
              <w:left w:val="nil"/>
              <w:bottom w:val="single" w:sz="4" w:space="0" w:color="auto"/>
              <w:right w:val="single" w:sz="4" w:space="0" w:color="auto"/>
            </w:tcBorders>
            <w:shd w:val="clear" w:color="auto" w:fill="auto"/>
            <w:noWrap/>
            <w:tcMar>
              <w:left w:w="29" w:type="dxa"/>
              <w:right w:w="29" w:type="dxa"/>
            </w:tcMar>
            <w:hideMark/>
          </w:tcPr>
          <w:p w14:paraId="14118ADC" w14:textId="77777777" w:rsidR="004627AC" w:rsidRPr="0042463B" w:rsidRDefault="004627AC" w:rsidP="000E478B">
            <w:pPr>
              <w:jc w:val="right"/>
              <w:rPr>
                <w:color w:val="000000"/>
                <w:sz w:val="20"/>
                <w:szCs w:val="20"/>
              </w:rPr>
            </w:pPr>
            <w:r w:rsidRPr="0042463B">
              <w:rPr>
                <w:color w:val="000000"/>
                <w:sz w:val="20"/>
                <w:szCs w:val="20"/>
              </w:rPr>
              <w:t>935,80</w:t>
            </w:r>
          </w:p>
        </w:tc>
      </w:tr>
      <w:tr w:rsidR="004627AC" w:rsidRPr="0042463B" w14:paraId="55099D77" w14:textId="77777777" w:rsidTr="00DF5DAC">
        <w:tc>
          <w:tcPr>
            <w:tcW w:w="2069" w:type="pct"/>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EBC3CB4" w14:textId="77777777" w:rsidR="004627AC" w:rsidRPr="0042463B" w:rsidRDefault="004627AC" w:rsidP="000E478B">
            <w:pPr>
              <w:jc w:val="left"/>
              <w:rPr>
                <w:color w:val="000000"/>
                <w:sz w:val="20"/>
                <w:szCs w:val="20"/>
              </w:rPr>
            </w:pPr>
            <w:r w:rsidRPr="0042463B">
              <w:rPr>
                <w:color w:val="000000"/>
                <w:sz w:val="20"/>
                <w:szCs w:val="20"/>
              </w:rPr>
              <w:t>HCFC-123</w:t>
            </w:r>
          </w:p>
        </w:tc>
        <w:tc>
          <w:tcPr>
            <w:tcW w:w="489" w:type="pct"/>
            <w:tcBorders>
              <w:top w:val="nil"/>
              <w:left w:val="nil"/>
              <w:bottom w:val="single" w:sz="4" w:space="0" w:color="auto"/>
              <w:right w:val="single" w:sz="4" w:space="0" w:color="auto"/>
            </w:tcBorders>
            <w:shd w:val="clear" w:color="auto" w:fill="auto"/>
            <w:noWrap/>
            <w:tcMar>
              <w:left w:w="29" w:type="dxa"/>
              <w:right w:w="29" w:type="dxa"/>
            </w:tcMar>
            <w:hideMark/>
          </w:tcPr>
          <w:p w14:paraId="4671C080" w14:textId="77777777" w:rsidR="004627AC" w:rsidRPr="0042463B" w:rsidRDefault="004627AC" w:rsidP="000E478B">
            <w:pPr>
              <w:jc w:val="right"/>
              <w:rPr>
                <w:color w:val="000000"/>
                <w:sz w:val="20"/>
                <w:szCs w:val="20"/>
              </w:rPr>
            </w:pPr>
            <w:r w:rsidRPr="0042463B">
              <w:rPr>
                <w:color w:val="000000"/>
                <w:sz w:val="20"/>
                <w:szCs w:val="20"/>
              </w:rPr>
              <w:t>2,54</w:t>
            </w:r>
          </w:p>
        </w:tc>
        <w:tc>
          <w:tcPr>
            <w:tcW w:w="489" w:type="pct"/>
            <w:tcBorders>
              <w:top w:val="nil"/>
              <w:left w:val="nil"/>
              <w:bottom w:val="single" w:sz="4" w:space="0" w:color="auto"/>
              <w:right w:val="single" w:sz="4" w:space="0" w:color="auto"/>
            </w:tcBorders>
            <w:shd w:val="clear" w:color="auto" w:fill="auto"/>
            <w:noWrap/>
            <w:tcMar>
              <w:left w:w="29" w:type="dxa"/>
              <w:right w:w="29" w:type="dxa"/>
            </w:tcMar>
            <w:hideMark/>
          </w:tcPr>
          <w:p w14:paraId="14F2C066" w14:textId="77777777" w:rsidR="004627AC" w:rsidRPr="0042463B" w:rsidRDefault="004627AC" w:rsidP="000E478B">
            <w:pPr>
              <w:jc w:val="right"/>
              <w:rPr>
                <w:color w:val="000000"/>
                <w:sz w:val="20"/>
                <w:szCs w:val="20"/>
              </w:rPr>
            </w:pPr>
            <w:r w:rsidRPr="0042463B">
              <w:rPr>
                <w:color w:val="000000"/>
                <w:sz w:val="20"/>
                <w:szCs w:val="20"/>
              </w:rPr>
              <w:t>2,91</w:t>
            </w:r>
          </w:p>
        </w:tc>
        <w:tc>
          <w:tcPr>
            <w:tcW w:w="489" w:type="pct"/>
            <w:tcBorders>
              <w:top w:val="nil"/>
              <w:left w:val="nil"/>
              <w:bottom w:val="single" w:sz="4" w:space="0" w:color="auto"/>
              <w:right w:val="single" w:sz="4" w:space="0" w:color="auto"/>
            </w:tcBorders>
            <w:shd w:val="clear" w:color="auto" w:fill="auto"/>
            <w:noWrap/>
            <w:tcMar>
              <w:left w:w="29" w:type="dxa"/>
              <w:right w:w="29" w:type="dxa"/>
            </w:tcMar>
            <w:hideMark/>
          </w:tcPr>
          <w:p w14:paraId="3FCBD0FC" w14:textId="1FE7C6D2" w:rsidR="004627AC" w:rsidRPr="0042463B" w:rsidRDefault="008E0D00" w:rsidP="000E478B">
            <w:pPr>
              <w:jc w:val="right"/>
              <w:rPr>
                <w:color w:val="000000"/>
                <w:sz w:val="20"/>
                <w:szCs w:val="20"/>
              </w:rPr>
            </w:pPr>
            <w:r w:rsidRPr="0042463B">
              <w:rPr>
                <w:color w:val="000000"/>
                <w:sz w:val="20"/>
                <w:szCs w:val="20"/>
              </w:rPr>
              <w:t>0,00</w:t>
            </w:r>
          </w:p>
        </w:tc>
        <w:tc>
          <w:tcPr>
            <w:tcW w:w="488" w:type="pct"/>
            <w:tcBorders>
              <w:top w:val="single" w:sz="4" w:space="0" w:color="auto"/>
              <w:left w:val="nil"/>
              <w:bottom w:val="single" w:sz="4" w:space="0" w:color="auto"/>
              <w:right w:val="single" w:sz="4" w:space="0" w:color="auto"/>
            </w:tcBorders>
          </w:tcPr>
          <w:p w14:paraId="091D3BC7" w14:textId="19C3344B" w:rsidR="004627AC" w:rsidRPr="0042463B" w:rsidRDefault="008E0D00" w:rsidP="000E478B">
            <w:pPr>
              <w:jc w:val="right"/>
              <w:rPr>
                <w:color w:val="000000"/>
                <w:sz w:val="20"/>
                <w:szCs w:val="20"/>
              </w:rPr>
            </w:pPr>
            <w:r w:rsidRPr="0042463B">
              <w:rPr>
                <w:color w:val="000000"/>
                <w:sz w:val="20"/>
                <w:szCs w:val="20"/>
              </w:rPr>
              <w:t>0,00</w:t>
            </w:r>
          </w:p>
        </w:tc>
        <w:tc>
          <w:tcPr>
            <w:tcW w:w="488" w:type="pct"/>
            <w:tcBorders>
              <w:top w:val="single" w:sz="4" w:space="0" w:color="auto"/>
              <w:left w:val="single" w:sz="4" w:space="0" w:color="auto"/>
              <w:bottom w:val="single" w:sz="4" w:space="0" w:color="auto"/>
              <w:right w:val="single" w:sz="4" w:space="0" w:color="auto"/>
            </w:tcBorders>
          </w:tcPr>
          <w:p w14:paraId="418AE7CE" w14:textId="70B9D817" w:rsidR="004627AC" w:rsidRPr="0042463B" w:rsidRDefault="008E0D00" w:rsidP="000E478B">
            <w:pPr>
              <w:jc w:val="right"/>
              <w:rPr>
                <w:color w:val="000000"/>
                <w:sz w:val="20"/>
                <w:szCs w:val="20"/>
              </w:rPr>
            </w:pPr>
            <w:r w:rsidRPr="0042463B">
              <w:rPr>
                <w:color w:val="000000"/>
                <w:sz w:val="20"/>
                <w:szCs w:val="20"/>
              </w:rPr>
              <w:t>0,00</w:t>
            </w:r>
          </w:p>
        </w:tc>
        <w:tc>
          <w:tcPr>
            <w:tcW w:w="488" w:type="pct"/>
            <w:tcBorders>
              <w:top w:val="nil"/>
              <w:left w:val="nil"/>
              <w:bottom w:val="single" w:sz="4" w:space="0" w:color="auto"/>
              <w:right w:val="single" w:sz="4" w:space="0" w:color="auto"/>
            </w:tcBorders>
            <w:shd w:val="clear" w:color="auto" w:fill="auto"/>
            <w:noWrap/>
            <w:tcMar>
              <w:left w:w="29" w:type="dxa"/>
              <w:right w:w="29" w:type="dxa"/>
            </w:tcMar>
            <w:hideMark/>
          </w:tcPr>
          <w:p w14:paraId="08EBB19E" w14:textId="24A3E910" w:rsidR="004627AC" w:rsidRPr="0042463B" w:rsidRDefault="008E0D00" w:rsidP="00F350E8">
            <w:pPr>
              <w:jc w:val="right"/>
              <w:rPr>
                <w:color w:val="000000"/>
                <w:sz w:val="20"/>
                <w:szCs w:val="20"/>
              </w:rPr>
            </w:pPr>
            <w:r w:rsidRPr="0042463B">
              <w:rPr>
                <w:color w:val="000000"/>
                <w:sz w:val="20"/>
                <w:szCs w:val="20"/>
              </w:rPr>
              <w:t>0,00</w:t>
            </w:r>
          </w:p>
        </w:tc>
      </w:tr>
      <w:tr w:rsidR="004627AC" w:rsidRPr="0042463B" w14:paraId="5EA87EB2" w14:textId="77777777" w:rsidTr="00DF5DAC">
        <w:tc>
          <w:tcPr>
            <w:tcW w:w="2069" w:type="pct"/>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0231F87" w14:textId="77777777" w:rsidR="004627AC" w:rsidRPr="0042463B" w:rsidRDefault="004627AC" w:rsidP="000E478B">
            <w:pPr>
              <w:jc w:val="left"/>
              <w:rPr>
                <w:color w:val="000000"/>
                <w:sz w:val="20"/>
                <w:szCs w:val="20"/>
              </w:rPr>
            </w:pPr>
            <w:r w:rsidRPr="0042463B">
              <w:rPr>
                <w:color w:val="000000"/>
                <w:sz w:val="20"/>
                <w:szCs w:val="20"/>
              </w:rPr>
              <w:t>HCFC-141b</w:t>
            </w:r>
          </w:p>
        </w:tc>
        <w:tc>
          <w:tcPr>
            <w:tcW w:w="489" w:type="pct"/>
            <w:tcBorders>
              <w:top w:val="nil"/>
              <w:left w:val="nil"/>
              <w:bottom w:val="single" w:sz="4" w:space="0" w:color="auto"/>
              <w:right w:val="single" w:sz="4" w:space="0" w:color="auto"/>
            </w:tcBorders>
            <w:shd w:val="clear" w:color="auto" w:fill="auto"/>
            <w:noWrap/>
            <w:tcMar>
              <w:left w:w="29" w:type="dxa"/>
              <w:right w:w="29" w:type="dxa"/>
            </w:tcMar>
            <w:hideMark/>
          </w:tcPr>
          <w:p w14:paraId="5E7D2873" w14:textId="77777777" w:rsidR="004627AC" w:rsidRPr="0042463B" w:rsidRDefault="004627AC" w:rsidP="000E478B">
            <w:pPr>
              <w:jc w:val="right"/>
              <w:rPr>
                <w:color w:val="000000"/>
                <w:sz w:val="20"/>
                <w:szCs w:val="20"/>
              </w:rPr>
            </w:pPr>
            <w:r w:rsidRPr="0042463B">
              <w:rPr>
                <w:color w:val="000000"/>
                <w:sz w:val="20"/>
                <w:szCs w:val="20"/>
              </w:rPr>
              <w:t>3,55</w:t>
            </w:r>
          </w:p>
        </w:tc>
        <w:tc>
          <w:tcPr>
            <w:tcW w:w="489" w:type="pct"/>
            <w:tcBorders>
              <w:top w:val="nil"/>
              <w:left w:val="nil"/>
              <w:bottom w:val="single" w:sz="4" w:space="0" w:color="auto"/>
              <w:right w:val="single" w:sz="4" w:space="0" w:color="auto"/>
            </w:tcBorders>
            <w:shd w:val="clear" w:color="auto" w:fill="auto"/>
            <w:noWrap/>
            <w:tcMar>
              <w:left w:w="29" w:type="dxa"/>
              <w:right w:w="29" w:type="dxa"/>
            </w:tcMar>
            <w:hideMark/>
          </w:tcPr>
          <w:p w14:paraId="0285BCA4" w14:textId="77777777" w:rsidR="004627AC" w:rsidRPr="0042463B" w:rsidRDefault="004627AC" w:rsidP="000E478B">
            <w:pPr>
              <w:jc w:val="right"/>
              <w:rPr>
                <w:color w:val="000000"/>
                <w:sz w:val="20"/>
                <w:szCs w:val="20"/>
              </w:rPr>
            </w:pPr>
            <w:r w:rsidRPr="0042463B">
              <w:rPr>
                <w:color w:val="000000"/>
                <w:sz w:val="20"/>
                <w:szCs w:val="20"/>
              </w:rPr>
              <w:t>2,00</w:t>
            </w:r>
          </w:p>
        </w:tc>
        <w:tc>
          <w:tcPr>
            <w:tcW w:w="489" w:type="pct"/>
            <w:tcBorders>
              <w:top w:val="nil"/>
              <w:left w:val="nil"/>
              <w:bottom w:val="single" w:sz="4" w:space="0" w:color="auto"/>
              <w:right w:val="single" w:sz="4" w:space="0" w:color="auto"/>
            </w:tcBorders>
            <w:shd w:val="clear" w:color="auto" w:fill="auto"/>
            <w:noWrap/>
            <w:tcMar>
              <w:left w:w="29" w:type="dxa"/>
              <w:right w:w="29" w:type="dxa"/>
            </w:tcMar>
            <w:hideMark/>
          </w:tcPr>
          <w:p w14:paraId="5FA2A0EA" w14:textId="77777777" w:rsidR="004627AC" w:rsidRPr="0042463B" w:rsidRDefault="004627AC" w:rsidP="000E478B">
            <w:pPr>
              <w:jc w:val="right"/>
              <w:rPr>
                <w:color w:val="000000"/>
                <w:sz w:val="20"/>
                <w:szCs w:val="20"/>
              </w:rPr>
            </w:pPr>
            <w:r w:rsidRPr="0042463B">
              <w:rPr>
                <w:color w:val="000000"/>
                <w:sz w:val="20"/>
                <w:szCs w:val="20"/>
              </w:rPr>
              <w:t>1,94</w:t>
            </w:r>
          </w:p>
        </w:tc>
        <w:tc>
          <w:tcPr>
            <w:tcW w:w="488" w:type="pct"/>
            <w:tcBorders>
              <w:top w:val="single" w:sz="4" w:space="0" w:color="auto"/>
              <w:left w:val="nil"/>
              <w:bottom w:val="single" w:sz="4" w:space="0" w:color="auto"/>
              <w:right w:val="single" w:sz="4" w:space="0" w:color="auto"/>
            </w:tcBorders>
          </w:tcPr>
          <w:p w14:paraId="7D0419D5" w14:textId="77777777" w:rsidR="004627AC" w:rsidRPr="0042463B" w:rsidRDefault="004627AC" w:rsidP="000E478B">
            <w:pPr>
              <w:jc w:val="right"/>
              <w:rPr>
                <w:color w:val="000000"/>
                <w:sz w:val="20"/>
                <w:szCs w:val="20"/>
              </w:rPr>
            </w:pPr>
            <w:r w:rsidRPr="0042463B">
              <w:rPr>
                <w:color w:val="000000"/>
                <w:sz w:val="20"/>
                <w:szCs w:val="20"/>
              </w:rPr>
              <w:t>2,01</w:t>
            </w:r>
          </w:p>
        </w:tc>
        <w:tc>
          <w:tcPr>
            <w:tcW w:w="488" w:type="pct"/>
            <w:tcBorders>
              <w:top w:val="single" w:sz="4" w:space="0" w:color="auto"/>
              <w:left w:val="single" w:sz="4" w:space="0" w:color="auto"/>
              <w:bottom w:val="single" w:sz="4" w:space="0" w:color="auto"/>
              <w:right w:val="single" w:sz="4" w:space="0" w:color="auto"/>
            </w:tcBorders>
          </w:tcPr>
          <w:p w14:paraId="215FF5A5" w14:textId="3F30C448" w:rsidR="004627AC" w:rsidRPr="0042463B" w:rsidRDefault="008E0D00" w:rsidP="000E478B">
            <w:pPr>
              <w:jc w:val="right"/>
              <w:rPr>
                <w:color w:val="000000"/>
                <w:sz w:val="20"/>
                <w:szCs w:val="20"/>
              </w:rPr>
            </w:pPr>
            <w:r w:rsidRPr="0042463B">
              <w:rPr>
                <w:color w:val="000000"/>
                <w:sz w:val="20"/>
                <w:szCs w:val="20"/>
              </w:rPr>
              <w:t>0,00</w:t>
            </w:r>
          </w:p>
        </w:tc>
        <w:tc>
          <w:tcPr>
            <w:tcW w:w="488" w:type="pct"/>
            <w:tcBorders>
              <w:top w:val="nil"/>
              <w:left w:val="nil"/>
              <w:bottom w:val="single" w:sz="4" w:space="0" w:color="auto"/>
              <w:right w:val="single" w:sz="4" w:space="0" w:color="auto"/>
            </w:tcBorders>
            <w:shd w:val="clear" w:color="auto" w:fill="auto"/>
            <w:noWrap/>
            <w:tcMar>
              <w:left w:w="29" w:type="dxa"/>
              <w:right w:w="29" w:type="dxa"/>
            </w:tcMar>
            <w:hideMark/>
          </w:tcPr>
          <w:p w14:paraId="795F78C1" w14:textId="77777777" w:rsidR="004627AC" w:rsidRPr="0042463B" w:rsidRDefault="004627AC" w:rsidP="000E478B">
            <w:pPr>
              <w:jc w:val="right"/>
              <w:rPr>
                <w:color w:val="000000"/>
                <w:sz w:val="20"/>
                <w:szCs w:val="20"/>
              </w:rPr>
            </w:pPr>
            <w:r w:rsidRPr="0042463B">
              <w:rPr>
                <w:color w:val="000000"/>
                <w:sz w:val="20"/>
                <w:szCs w:val="20"/>
              </w:rPr>
              <w:t>4,00</w:t>
            </w:r>
          </w:p>
        </w:tc>
      </w:tr>
      <w:tr w:rsidR="004627AC" w:rsidRPr="0042463B" w14:paraId="0966FB92" w14:textId="77777777" w:rsidTr="00DF5DAC">
        <w:tc>
          <w:tcPr>
            <w:tcW w:w="2069" w:type="pct"/>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11152CD" w14:textId="77777777" w:rsidR="004627AC" w:rsidRPr="0042463B" w:rsidRDefault="004627AC" w:rsidP="000E478B">
            <w:pPr>
              <w:jc w:val="left"/>
              <w:rPr>
                <w:b/>
                <w:bCs/>
                <w:color w:val="000000"/>
                <w:sz w:val="20"/>
                <w:szCs w:val="20"/>
              </w:rPr>
            </w:pPr>
            <w:r w:rsidRPr="0042463B">
              <w:rPr>
                <w:b/>
                <w:bCs/>
                <w:color w:val="000000"/>
                <w:sz w:val="20"/>
                <w:szCs w:val="20"/>
              </w:rPr>
              <w:t>Sous-total (</w:t>
            </w:r>
            <w:proofErr w:type="spellStart"/>
            <w:r w:rsidRPr="0042463B">
              <w:rPr>
                <w:b/>
                <w:bCs/>
                <w:color w:val="000000"/>
                <w:sz w:val="20"/>
                <w:szCs w:val="20"/>
              </w:rPr>
              <w:t>tm</w:t>
            </w:r>
            <w:proofErr w:type="spellEnd"/>
            <w:r w:rsidRPr="0042463B">
              <w:rPr>
                <w:b/>
                <w:bCs/>
                <w:color w:val="000000"/>
                <w:sz w:val="20"/>
                <w:szCs w:val="20"/>
              </w:rPr>
              <w:t>)</w:t>
            </w:r>
          </w:p>
        </w:tc>
        <w:tc>
          <w:tcPr>
            <w:tcW w:w="489" w:type="pct"/>
            <w:tcBorders>
              <w:top w:val="nil"/>
              <w:left w:val="nil"/>
              <w:bottom w:val="single" w:sz="4" w:space="0" w:color="auto"/>
              <w:right w:val="single" w:sz="4" w:space="0" w:color="auto"/>
            </w:tcBorders>
            <w:shd w:val="clear" w:color="auto" w:fill="auto"/>
            <w:tcMar>
              <w:left w:w="29" w:type="dxa"/>
              <w:right w:w="29" w:type="dxa"/>
            </w:tcMar>
            <w:hideMark/>
          </w:tcPr>
          <w:p w14:paraId="10A237AD" w14:textId="77777777" w:rsidR="004627AC" w:rsidRPr="0042463B" w:rsidRDefault="004627AC" w:rsidP="000E478B">
            <w:pPr>
              <w:jc w:val="right"/>
              <w:rPr>
                <w:b/>
                <w:bCs/>
                <w:color w:val="000000"/>
                <w:sz w:val="20"/>
                <w:szCs w:val="20"/>
              </w:rPr>
            </w:pPr>
            <w:r w:rsidRPr="0042463B">
              <w:rPr>
                <w:b/>
                <w:bCs/>
                <w:color w:val="000000"/>
                <w:sz w:val="20"/>
                <w:szCs w:val="20"/>
              </w:rPr>
              <w:t>830,32</w:t>
            </w:r>
          </w:p>
        </w:tc>
        <w:tc>
          <w:tcPr>
            <w:tcW w:w="489" w:type="pct"/>
            <w:tcBorders>
              <w:top w:val="nil"/>
              <w:left w:val="nil"/>
              <w:bottom w:val="single" w:sz="4" w:space="0" w:color="auto"/>
              <w:right w:val="single" w:sz="4" w:space="0" w:color="auto"/>
            </w:tcBorders>
            <w:shd w:val="clear" w:color="auto" w:fill="auto"/>
            <w:tcMar>
              <w:left w:w="29" w:type="dxa"/>
              <w:right w:w="29" w:type="dxa"/>
            </w:tcMar>
            <w:hideMark/>
          </w:tcPr>
          <w:p w14:paraId="3A3E99FA" w14:textId="77777777" w:rsidR="004627AC" w:rsidRPr="0042463B" w:rsidRDefault="004627AC" w:rsidP="000E478B">
            <w:pPr>
              <w:jc w:val="right"/>
              <w:rPr>
                <w:b/>
                <w:bCs/>
                <w:color w:val="000000"/>
                <w:sz w:val="20"/>
                <w:szCs w:val="20"/>
              </w:rPr>
            </w:pPr>
            <w:r w:rsidRPr="0042463B">
              <w:rPr>
                <w:b/>
                <w:bCs/>
                <w:color w:val="000000"/>
                <w:sz w:val="20"/>
                <w:szCs w:val="20"/>
              </w:rPr>
              <w:t>803,76</w:t>
            </w:r>
          </w:p>
        </w:tc>
        <w:tc>
          <w:tcPr>
            <w:tcW w:w="489" w:type="pct"/>
            <w:tcBorders>
              <w:top w:val="nil"/>
              <w:left w:val="nil"/>
              <w:bottom w:val="single" w:sz="4" w:space="0" w:color="auto"/>
              <w:right w:val="single" w:sz="4" w:space="0" w:color="auto"/>
            </w:tcBorders>
            <w:shd w:val="clear" w:color="auto" w:fill="auto"/>
            <w:tcMar>
              <w:left w:w="29" w:type="dxa"/>
              <w:right w:w="29" w:type="dxa"/>
            </w:tcMar>
            <w:hideMark/>
          </w:tcPr>
          <w:p w14:paraId="0EA5DEA8" w14:textId="77777777" w:rsidR="004627AC" w:rsidRPr="0042463B" w:rsidRDefault="004627AC" w:rsidP="000E478B">
            <w:pPr>
              <w:jc w:val="right"/>
              <w:rPr>
                <w:b/>
                <w:bCs/>
                <w:color w:val="000000"/>
                <w:sz w:val="20"/>
                <w:szCs w:val="20"/>
              </w:rPr>
            </w:pPr>
            <w:r w:rsidRPr="0042463B">
              <w:rPr>
                <w:b/>
                <w:bCs/>
                <w:color w:val="000000"/>
                <w:sz w:val="20"/>
                <w:szCs w:val="20"/>
              </w:rPr>
              <w:t>737,09</w:t>
            </w:r>
          </w:p>
        </w:tc>
        <w:tc>
          <w:tcPr>
            <w:tcW w:w="488" w:type="pct"/>
            <w:tcBorders>
              <w:top w:val="single" w:sz="4" w:space="0" w:color="auto"/>
              <w:left w:val="nil"/>
              <w:bottom w:val="single" w:sz="4" w:space="0" w:color="auto"/>
              <w:right w:val="single" w:sz="4" w:space="0" w:color="auto"/>
            </w:tcBorders>
          </w:tcPr>
          <w:p w14:paraId="0C5B9220" w14:textId="77777777" w:rsidR="004627AC" w:rsidRPr="0042463B" w:rsidRDefault="004627AC" w:rsidP="000E478B">
            <w:pPr>
              <w:jc w:val="right"/>
              <w:rPr>
                <w:b/>
                <w:bCs/>
                <w:color w:val="000000"/>
                <w:sz w:val="20"/>
                <w:szCs w:val="20"/>
              </w:rPr>
            </w:pPr>
            <w:r w:rsidRPr="0042463B">
              <w:rPr>
                <w:b/>
                <w:bCs/>
                <w:color w:val="000000"/>
                <w:sz w:val="20"/>
                <w:szCs w:val="20"/>
              </w:rPr>
              <w:t>671,45</w:t>
            </w:r>
          </w:p>
        </w:tc>
        <w:tc>
          <w:tcPr>
            <w:tcW w:w="488" w:type="pct"/>
            <w:tcBorders>
              <w:top w:val="single" w:sz="4" w:space="0" w:color="auto"/>
              <w:left w:val="single" w:sz="4" w:space="0" w:color="auto"/>
              <w:bottom w:val="single" w:sz="4" w:space="0" w:color="auto"/>
              <w:right w:val="single" w:sz="4" w:space="0" w:color="auto"/>
            </w:tcBorders>
          </w:tcPr>
          <w:p w14:paraId="300186DB" w14:textId="77777777" w:rsidR="004627AC" w:rsidRPr="0042463B" w:rsidRDefault="004627AC" w:rsidP="0007532D">
            <w:pPr>
              <w:jc w:val="right"/>
              <w:rPr>
                <w:b/>
                <w:bCs/>
                <w:color w:val="000000"/>
                <w:sz w:val="20"/>
                <w:szCs w:val="20"/>
              </w:rPr>
            </w:pPr>
            <w:r w:rsidRPr="0042463B">
              <w:rPr>
                <w:b/>
                <w:bCs/>
                <w:color w:val="000000"/>
                <w:sz w:val="20"/>
                <w:szCs w:val="20"/>
              </w:rPr>
              <w:t>595,55</w:t>
            </w:r>
          </w:p>
        </w:tc>
        <w:tc>
          <w:tcPr>
            <w:tcW w:w="488" w:type="pct"/>
            <w:tcBorders>
              <w:top w:val="nil"/>
              <w:left w:val="nil"/>
              <w:bottom w:val="single" w:sz="4" w:space="0" w:color="auto"/>
              <w:right w:val="single" w:sz="4" w:space="0" w:color="auto"/>
            </w:tcBorders>
            <w:shd w:val="clear" w:color="auto" w:fill="auto"/>
            <w:noWrap/>
            <w:tcMar>
              <w:left w:w="29" w:type="dxa"/>
              <w:right w:w="29" w:type="dxa"/>
            </w:tcMar>
            <w:hideMark/>
          </w:tcPr>
          <w:p w14:paraId="459F3FFF" w14:textId="77777777" w:rsidR="004627AC" w:rsidRPr="0042463B" w:rsidRDefault="004627AC" w:rsidP="000E478B">
            <w:pPr>
              <w:jc w:val="right"/>
              <w:rPr>
                <w:b/>
                <w:bCs/>
                <w:color w:val="000000"/>
                <w:sz w:val="20"/>
                <w:szCs w:val="20"/>
              </w:rPr>
            </w:pPr>
            <w:r w:rsidRPr="0042463B">
              <w:rPr>
                <w:b/>
                <w:bCs/>
                <w:color w:val="000000"/>
                <w:sz w:val="20"/>
                <w:szCs w:val="20"/>
              </w:rPr>
              <w:t>939,70</w:t>
            </w:r>
          </w:p>
        </w:tc>
      </w:tr>
      <w:tr w:rsidR="004627AC" w:rsidRPr="0042463B" w14:paraId="67D3C650" w14:textId="77777777" w:rsidTr="00DF5DAC">
        <w:tc>
          <w:tcPr>
            <w:tcW w:w="2069" w:type="pct"/>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ECDD306" w14:textId="77777777" w:rsidR="004627AC" w:rsidRPr="0042463B" w:rsidRDefault="004627AC" w:rsidP="000E478B">
            <w:pPr>
              <w:jc w:val="left"/>
              <w:rPr>
                <w:color w:val="000000"/>
                <w:sz w:val="20"/>
                <w:szCs w:val="20"/>
              </w:rPr>
            </w:pPr>
            <w:r w:rsidRPr="0042463B">
              <w:rPr>
                <w:color w:val="000000"/>
                <w:sz w:val="20"/>
                <w:szCs w:val="20"/>
              </w:rPr>
              <w:t xml:space="preserve">HCFC-141b dans les polyols </w:t>
            </w:r>
            <w:proofErr w:type="spellStart"/>
            <w:r w:rsidRPr="0042463B">
              <w:rPr>
                <w:color w:val="000000"/>
                <w:sz w:val="20"/>
                <w:szCs w:val="20"/>
              </w:rPr>
              <w:t>prémélangés</w:t>
            </w:r>
            <w:proofErr w:type="spellEnd"/>
            <w:r w:rsidRPr="0042463B">
              <w:rPr>
                <w:color w:val="000000"/>
                <w:sz w:val="20"/>
                <w:szCs w:val="20"/>
              </w:rPr>
              <w:t xml:space="preserve"> importés**</w:t>
            </w:r>
          </w:p>
        </w:tc>
        <w:tc>
          <w:tcPr>
            <w:tcW w:w="489" w:type="pct"/>
            <w:tcBorders>
              <w:top w:val="nil"/>
              <w:left w:val="nil"/>
              <w:bottom w:val="single" w:sz="4" w:space="0" w:color="auto"/>
              <w:right w:val="single" w:sz="4" w:space="0" w:color="auto"/>
            </w:tcBorders>
            <w:shd w:val="clear" w:color="auto" w:fill="auto"/>
            <w:noWrap/>
            <w:tcMar>
              <w:left w:w="29" w:type="dxa"/>
              <w:right w:w="29" w:type="dxa"/>
            </w:tcMar>
            <w:hideMark/>
          </w:tcPr>
          <w:p w14:paraId="492575DB" w14:textId="77777777" w:rsidR="004627AC" w:rsidRPr="0042463B" w:rsidRDefault="004627AC" w:rsidP="000E478B">
            <w:pPr>
              <w:jc w:val="right"/>
              <w:rPr>
                <w:color w:val="000000"/>
                <w:sz w:val="20"/>
                <w:szCs w:val="20"/>
              </w:rPr>
            </w:pPr>
            <w:r w:rsidRPr="0042463B">
              <w:rPr>
                <w:color w:val="000000"/>
                <w:sz w:val="20"/>
                <w:szCs w:val="20"/>
              </w:rPr>
              <w:t>172,98</w:t>
            </w:r>
          </w:p>
        </w:tc>
        <w:tc>
          <w:tcPr>
            <w:tcW w:w="489" w:type="pct"/>
            <w:tcBorders>
              <w:top w:val="nil"/>
              <w:left w:val="nil"/>
              <w:bottom w:val="single" w:sz="4" w:space="0" w:color="auto"/>
              <w:right w:val="single" w:sz="4" w:space="0" w:color="auto"/>
            </w:tcBorders>
            <w:shd w:val="clear" w:color="auto" w:fill="auto"/>
            <w:noWrap/>
            <w:tcMar>
              <w:left w:w="29" w:type="dxa"/>
              <w:right w:w="29" w:type="dxa"/>
            </w:tcMar>
            <w:hideMark/>
          </w:tcPr>
          <w:p w14:paraId="3D2722E2" w14:textId="77777777" w:rsidR="004627AC" w:rsidRPr="0042463B" w:rsidRDefault="004627AC" w:rsidP="000E478B">
            <w:pPr>
              <w:jc w:val="right"/>
              <w:rPr>
                <w:color w:val="000000"/>
                <w:sz w:val="20"/>
                <w:szCs w:val="20"/>
              </w:rPr>
            </w:pPr>
            <w:r w:rsidRPr="0042463B">
              <w:rPr>
                <w:color w:val="000000"/>
                <w:sz w:val="20"/>
                <w:szCs w:val="20"/>
              </w:rPr>
              <w:t>170,46</w:t>
            </w:r>
          </w:p>
        </w:tc>
        <w:tc>
          <w:tcPr>
            <w:tcW w:w="489" w:type="pct"/>
            <w:tcBorders>
              <w:top w:val="nil"/>
              <w:left w:val="nil"/>
              <w:bottom w:val="single" w:sz="4" w:space="0" w:color="auto"/>
              <w:right w:val="single" w:sz="4" w:space="0" w:color="auto"/>
            </w:tcBorders>
            <w:shd w:val="clear" w:color="auto" w:fill="auto"/>
            <w:noWrap/>
            <w:tcMar>
              <w:left w:w="29" w:type="dxa"/>
              <w:right w:w="29" w:type="dxa"/>
            </w:tcMar>
            <w:hideMark/>
          </w:tcPr>
          <w:p w14:paraId="21720727" w14:textId="77777777" w:rsidR="004627AC" w:rsidRPr="0042463B" w:rsidRDefault="004627AC" w:rsidP="000E478B">
            <w:pPr>
              <w:jc w:val="right"/>
              <w:rPr>
                <w:color w:val="000000"/>
                <w:sz w:val="20"/>
                <w:szCs w:val="20"/>
              </w:rPr>
            </w:pPr>
            <w:r w:rsidRPr="0042463B">
              <w:rPr>
                <w:color w:val="000000"/>
                <w:sz w:val="20"/>
                <w:szCs w:val="20"/>
              </w:rPr>
              <w:t>192,44</w:t>
            </w:r>
          </w:p>
        </w:tc>
        <w:tc>
          <w:tcPr>
            <w:tcW w:w="488" w:type="pct"/>
            <w:tcBorders>
              <w:top w:val="single" w:sz="4" w:space="0" w:color="auto"/>
              <w:left w:val="nil"/>
              <w:bottom w:val="single" w:sz="4" w:space="0" w:color="auto"/>
              <w:right w:val="single" w:sz="4" w:space="0" w:color="auto"/>
            </w:tcBorders>
          </w:tcPr>
          <w:p w14:paraId="2E892ED9" w14:textId="77777777" w:rsidR="004627AC" w:rsidRPr="0042463B" w:rsidRDefault="004627AC" w:rsidP="000E478B">
            <w:pPr>
              <w:jc w:val="right"/>
              <w:rPr>
                <w:color w:val="000000"/>
                <w:sz w:val="20"/>
                <w:szCs w:val="20"/>
              </w:rPr>
            </w:pPr>
            <w:r w:rsidRPr="0042463B">
              <w:rPr>
                <w:color w:val="000000"/>
                <w:sz w:val="20"/>
                <w:szCs w:val="20"/>
              </w:rPr>
              <w:t>125,54</w:t>
            </w:r>
          </w:p>
        </w:tc>
        <w:tc>
          <w:tcPr>
            <w:tcW w:w="488" w:type="pct"/>
            <w:tcBorders>
              <w:top w:val="single" w:sz="4" w:space="0" w:color="auto"/>
              <w:left w:val="single" w:sz="4" w:space="0" w:color="auto"/>
              <w:bottom w:val="single" w:sz="4" w:space="0" w:color="auto"/>
              <w:right w:val="single" w:sz="4" w:space="0" w:color="auto"/>
            </w:tcBorders>
          </w:tcPr>
          <w:p w14:paraId="5FD6FFD7" w14:textId="77777777" w:rsidR="004627AC" w:rsidRPr="0042463B" w:rsidRDefault="004627AC" w:rsidP="000E478B">
            <w:pPr>
              <w:jc w:val="right"/>
              <w:rPr>
                <w:color w:val="000000"/>
                <w:sz w:val="20"/>
                <w:szCs w:val="20"/>
              </w:rPr>
            </w:pPr>
            <w:r w:rsidRPr="0042463B">
              <w:rPr>
                <w:color w:val="000000"/>
                <w:sz w:val="20"/>
                <w:szCs w:val="20"/>
              </w:rPr>
              <w:t>89,82</w:t>
            </w:r>
          </w:p>
        </w:tc>
        <w:tc>
          <w:tcPr>
            <w:tcW w:w="488" w:type="pct"/>
            <w:tcBorders>
              <w:top w:val="nil"/>
              <w:left w:val="nil"/>
              <w:bottom w:val="single" w:sz="4" w:space="0" w:color="auto"/>
              <w:right w:val="single" w:sz="4" w:space="0" w:color="auto"/>
            </w:tcBorders>
            <w:shd w:val="clear" w:color="auto" w:fill="auto"/>
            <w:noWrap/>
            <w:tcMar>
              <w:left w:w="29" w:type="dxa"/>
              <w:right w:w="29" w:type="dxa"/>
            </w:tcMar>
            <w:hideMark/>
          </w:tcPr>
          <w:p w14:paraId="5621C01C" w14:textId="77777777" w:rsidR="004627AC" w:rsidRPr="0042463B" w:rsidRDefault="004627AC" w:rsidP="000E478B">
            <w:pPr>
              <w:jc w:val="right"/>
              <w:rPr>
                <w:color w:val="000000"/>
                <w:sz w:val="20"/>
                <w:szCs w:val="20"/>
              </w:rPr>
            </w:pPr>
            <w:r w:rsidRPr="0042463B">
              <w:rPr>
                <w:color w:val="000000"/>
                <w:sz w:val="20"/>
                <w:szCs w:val="20"/>
              </w:rPr>
              <w:t>91,87*</w:t>
            </w:r>
          </w:p>
        </w:tc>
      </w:tr>
      <w:tr w:rsidR="004627AC" w:rsidRPr="0042463B" w14:paraId="59671554" w14:textId="77777777" w:rsidTr="00DF5DAC">
        <w:tc>
          <w:tcPr>
            <w:tcW w:w="2069" w:type="pct"/>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26BEA97" w14:textId="77777777" w:rsidR="004627AC" w:rsidRPr="0042463B" w:rsidRDefault="001912E2" w:rsidP="000E478B">
            <w:pPr>
              <w:jc w:val="left"/>
              <w:rPr>
                <w:b/>
                <w:bCs/>
                <w:color w:val="000000"/>
                <w:sz w:val="20"/>
                <w:szCs w:val="20"/>
              </w:rPr>
            </w:pPr>
            <w:r w:rsidRPr="0042463B">
              <w:rPr>
                <w:b/>
                <w:bCs/>
                <w:color w:val="000000"/>
                <w:sz w:val="20"/>
                <w:szCs w:val="20"/>
              </w:rPr>
              <w:t>Total (</w:t>
            </w:r>
            <w:proofErr w:type="spellStart"/>
            <w:r w:rsidRPr="0042463B">
              <w:rPr>
                <w:b/>
                <w:bCs/>
                <w:color w:val="000000"/>
                <w:sz w:val="20"/>
                <w:szCs w:val="20"/>
              </w:rPr>
              <w:t>tm</w:t>
            </w:r>
            <w:proofErr w:type="spellEnd"/>
            <w:r w:rsidRPr="0042463B">
              <w:rPr>
                <w:b/>
                <w:bCs/>
                <w:color w:val="000000"/>
                <w:sz w:val="20"/>
                <w:szCs w:val="20"/>
              </w:rPr>
              <w:t>)</w:t>
            </w:r>
          </w:p>
        </w:tc>
        <w:tc>
          <w:tcPr>
            <w:tcW w:w="489" w:type="pct"/>
            <w:tcBorders>
              <w:top w:val="nil"/>
              <w:left w:val="nil"/>
              <w:bottom w:val="single" w:sz="4" w:space="0" w:color="auto"/>
              <w:right w:val="single" w:sz="4" w:space="0" w:color="auto"/>
            </w:tcBorders>
            <w:shd w:val="clear" w:color="auto" w:fill="auto"/>
            <w:noWrap/>
            <w:tcMar>
              <w:left w:w="29" w:type="dxa"/>
              <w:right w:w="29" w:type="dxa"/>
            </w:tcMar>
            <w:hideMark/>
          </w:tcPr>
          <w:p w14:paraId="4113828A" w14:textId="77777777" w:rsidR="004627AC" w:rsidRPr="0042463B" w:rsidRDefault="004627AC" w:rsidP="000E478B">
            <w:pPr>
              <w:jc w:val="right"/>
              <w:rPr>
                <w:b/>
                <w:bCs/>
                <w:color w:val="000000"/>
                <w:sz w:val="20"/>
                <w:szCs w:val="20"/>
              </w:rPr>
            </w:pPr>
            <w:r w:rsidRPr="0042463B">
              <w:rPr>
                <w:b/>
                <w:bCs/>
                <w:color w:val="000000"/>
                <w:sz w:val="20"/>
                <w:szCs w:val="20"/>
              </w:rPr>
              <w:t>1 003,30</w:t>
            </w:r>
          </w:p>
        </w:tc>
        <w:tc>
          <w:tcPr>
            <w:tcW w:w="489" w:type="pct"/>
            <w:tcBorders>
              <w:top w:val="nil"/>
              <w:left w:val="nil"/>
              <w:bottom w:val="single" w:sz="4" w:space="0" w:color="auto"/>
              <w:right w:val="single" w:sz="4" w:space="0" w:color="auto"/>
            </w:tcBorders>
            <w:shd w:val="clear" w:color="auto" w:fill="auto"/>
            <w:noWrap/>
            <w:tcMar>
              <w:left w:w="29" w:type="dxa"/>
              <w:right w:w="29" w:type="dxa"/>
            </w:tcMar>
            <w:hideMark/>
          </w:tcPr>
          <w:p w14:paraId="2483C040" w14:textId="77777777" w:rsidR="004627AC" w:rsidRPr="0042463B" w:rsidRDefault="004627AC" w:rsidP="000E478B">
            <w:pPr>
              <w:jc w:val="right"/>
              <w:rPr>
                <w:b/>
                <w:bCs/>
                <w:color w:val="000000"/>
                <w:sz w:val="20"/>
                <w:szCs w:val="20"/>
              </w:rPr>
            </w:pPr>
            <w:r w:rsidRPr="0042463B">
              <w:rPr>
                <w:b/>
                <w:bCs/>
                <w:color w:val="000000"/>
                <w:sz w:val="20"/>
                <w:szCs w:val="20"/>
              </w:rPr>
              <w:t>974,22</w:t>
            </w:r>
          </w:p>
        </w:tc>
        <w:tc>
          <w:tcPr>
            <w:tcW w:w="489" w:type="pct"/>
            <w:tcBorders>
              <w:top w:val="nil"/>
              <w:left w:val="nil"/>
              <w:bottom w:val="single" w:sz="4" w:space="0" w:color="auto"/>
              <w:right w:val="single" w:sz="4" w:space="0" w:color="auto"/>
            </w:tcBorders>
            <w:shd w:val="clear" w:color="auto" w:fill="auto"/>
            <w:noWrap/>
            <w:tcMar>
              <w:left w:w="29" w:type="dxa"/>
              <w:right w:w="29" w:type="dxa"/>
            </w:tcMar>
            <w:hideMark/>
          </w:tcPr>
          <w:p w14:paraId="6D73221A" w14:textId="77777777" w:rsidR="004627AC" w:rsidRPr="0042463B" w:rsidRDefault="004627AC" w:rsidP="000E478B">
            <w:pPr>
              <w:jc w:val="right"/>
              <w:rPr>
                <w:b/>
                <w:bCs/>
                <w:color w:val="000000"/>
                <w:sz w:val="20"/>
                <w:szCs w:val="20"/>
              </w:rPr>
            </w:pPr>
            <w:r w:rsidRPr="0042463B">
              <w:rPr>
                <w:b/>
                <w:bCs/>
                <w:color w:val="000000"/>
                <w:sz w:val="20"/>
                <w:szCs w:val="20"/>
              </w:rPr>
              <w:t>929,53</w:t>
            </w:r>
          </w:p>
        </w:tc>
        <w:tc>
          <w:tcPr>
            <w:tcW w:w="488" w:type="pct"/>
            <w:tcBorders>
              <w:top w:val="single" w:sz="4" w:space="0" w:color="auto"/>
              <w:left w:val="nil"/>
              <w:bottom w:val="single" w:sz="4" w:space="0" w:color="auto"/>
              <w:right w:val="single" w:sz="4" w:space="0" w:color="auto"/>
            </w:tcBorders>
          </w:tcPr>
          <w:p w14:paraId="74F02AE4" w14:textId="77777777" w:rsidR="004627AC" w:rsidRPr="0042463B" w:rsidRDefault="004627AC" w:rsidP="000E478B">
            <w:pPr>
              <w:jc w:val="right"/>
              <w:rPr>
                <w:b/>
                <w:bCs/>
                <w:color w:val="000000"/>
                <w:sz w:val="20"/>
                <w:szCs w:val="20"/>
              </w:rPr>
            </w:pPr>
            <w:r w:rsidRPr="0042463B">
              <w:rPr>
                <w:b/>
                <w:bCs/>
                <w:color w:val="000000"/>
                <w:sz w:val="20"/>
                <w:szCs w:val="20"/>
              </w:rPr>
              <w:t>797,00</w:t>
            </w:r>
          </w:p>
        </w:tc>
        <w:tc>
          <w:tcPr>
            <w:tcW w:w="488" w:type="pct"/>
            <w:tcBorders>
              <w:top w:val="single" w:sz="4" w:space="0" w:color="auto"/>
              <w:left w:val="single" w:sz="4" w:space="0" w:color="auto"/>
              <w:bottom w:val="single" w:sz="4" w:space="0" w:color="auto"/>
              <w:right w:val="single" w:sz="4" w:space="0" w:color="auto"/>
            </w:tcBorders>
          </w:tcPr>
          <w:p w14:paraId="3CAA58F3" w14:textId="77777777" w:rsidR="004627AC" w:rsidRPr="0042463B" w:rsidRDefault="004627AC" w:rsidP="00DD157F">
            <w:pPr>
              <w:jc w:val="right"/>
              <w:rPr>
                <w:b/>
                <w:bCs/>
                <w:color w:val="000000"/>
                <w:sz w:val="20"/>
                <w:szCs w:val="20"/>
              </w:rPr>
            </w:pPr>
            <w:r w:rsidRPr="0042463B">
              <w:rPr>
                <w:b/>
                <w:bCs/>
                <w:color w:val="000000"/>
                <w:sz w:val="20"/>
                <w:szCs w:val="20"/>
              </w:rPr>
              <w:t>685,37</w:t>
            </w:r>
          </w:p>
        </w:tc>
        <w:tc>
          <w:tcPr>
            <w:tcW w:w="488" w:type="pct"/>
            <w:tcBorders>
              <w:top w:val="nil"/>
              <w:left w:val="nil"/>
              <w:bottom w:val="single" w:sz="4" w:space="0" w:color="auto"/>
              <w:right w:val="single" w:sz="4" w:space="0" w:color="auto"/>
            </w:tcBorders>
            <w:shd w:val="clear" w:color="auto" w:fill="auto"/>
            <w:noWrap/>
            <w:tcMar>
              <w:left w:w="29" w:type="dxa"/>
              <w:right w:w="29" w:type="dxa"/>
            </w:tcMar>
            <w:hideMark/>
          </w:tcPr>
          <w:p w14:paraId="6E23404F" w14:textId="77777777" w:rsidR="004627AC" w:rsidRPr="0042463B" w:rsidRDefault="004627AC" w:rsidP="000E478B">
            <w:pPr>
              <w:jc w:val="right"/>
              <w:rPr>
                <w:b/>
                <w:bCs/>
                <w:color w:val="000000"/>
                <w:sz w:val="20"/>
                <w:szCs w:val="20"/>
                <w:lang w:eastAsia="zh-CN"/>
              </w:rPr>
            </w:pPr>
          </w:p>
        </w:tc>
      </w:tr>
      <w:tr w:rsidR="004627AC" w:rsidRPr="0042463B" w14:paraId="290293CC" w14:textId="77777777" w:rsidTr="00DF5DAC">
        <w:tc>
          <w:tcPr>
            <w:tcW w:w="2069" w:type="pct"/>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2AA1074" w14:textId="77777777" w:rsidR="004627AC" w:rsidRPr="0042463B" w:rsidRDefault="004627AC" w:rsidP="000E478B">
            <w:pPr>
              <w:jc w:val="left"/>
              <w:rPr>
                <w:b/>
                <w:bCs/>
                <w:color w:val="000000"/>
                <w:sz w:val="20"/>
                <w:szCs w:val="20"/>
              </w:rPr>
            </w:pPr>
            <w:r w:rsidRPr="0042463B">
              <w:rPr>
                <w:b/>
                <w:bCs/>
                <w:color w:val="000000"/>
                <w:sz w:val="20"/>
                <w:szCs w:val="20"/>
              </w:rPr>
              <w:t>Tonnes PAO</w:t>
            </w:r>
          </w:p>
        </w:tc>
        <w:tc>
          <w:tcPr>
            <w:tcW w:w="489" w:type="pct"/>
            <w:tcBorders>
              <w:top w:val="nil"/>
              <w:left w:val="nil"/>
              <w:bottom w:val="single" w:sz="4" w:space="0" w:color="auto"/>
              <w:right w:val="single" w:sz="4" w:space="0" w:color="auto"/>
            </w:tcBorders>
            <w:shd w:val="clear" w:color="auto" w:fill="auto"/>
            <w:noWrap/>
            <w:tcMar>
              <w:left w:w="29" w:type="dxa"/>
              <w:right w:w="29" w:type="dxa"/>
            </w:tcMar>
            <w:hideMark/>
          </w:tcPr>
          <w:p w14:paraId="31462349" w14:textId="77777777" w:rsidR="004627AC" w:rsidRPr="0042463B" w:rsidRDefault="004627AC" w:rsidP="000E478B">
            <w:pPr>
              <w:jc w:val="right"/>
              <w:rPr>
                <w:color w:val="000000"/>
                <w:sz w:val="20"/>
                <w:szCs w:val="20"/>
                <w:lang w:eastAsia="zh-CN"/>
              </w:rPr>
            </w:pPr>
          </w:p>
        </w:tc>
        <w:tc>
          <w:tcPr>
            <w:tcW w:w="489" w:type="pct"/>
            <w:tcBorders>
              <w:top w:val="nil"/>
              <w:left w:val="nil"/>
              <w:bottom w:val="single" w:sz="4" w:space="0" w:color="auto"/>
              <w:right w:val="single" w:sz="4" w:space="0" w:color="auto"/>
            </w:tcBorders>
            <w:shd w:val="clear" w:color="auto" w:fill="auto"/>
            <w:tcMar>
              <w:left w:w="29" w:type="dxa"/>
              <w:right w:w="29" w:type="dxa"/>
            </w:tcMar>
            <w:hideMark/>
          </w:tcPr>
          <w:p w14:paraId="6AC465A2" w14:textId="77777777" w:rsidR="004627AC" w:rsidRPr="0042463B" w:rsidRDefault="004627AC" w:rsidP="000E478B">
            <w:pPr>
              <w:jc w:val="right"/>
              <w:rPr>
                <w:color w:val="000000"/>
                <w:sz w:val="20"/>
                <w:szCs w:val="20"/>
                <w:lang w:eastAsia="zh-CN"/>
              </w:rPr>
            </w:pPr>
          </w:p>
        </w:tc>
        <w:tc>
          <w:tcPr>
            <w:tcW w:w="489" w:type="pct"/>
            <w:tcBorders>
              <w:top w:val="nil"/>
              <w:left w:val="nil"/>
              <w:bottom w:val="single" w:sz="4" w:space="0" w:color="auto"/>
              <w:right w:val="single" w:sz="4" w:space="0" w:color="auto"/>
            </w:tcBorders>
            <w:shd w:val="clear" w:color="auto" w:fill="auto"/>
            <w:tcMar>
              <w:left w:w="29" w:type="dxa"/>
              <w:right w:w="29" w:type="dxa"/>
            </w:tcMar>
            <w:hideMark/>
          </w:tcPr>
          <w:p w14:paraId="0B7BE7F3" w14:textId="77777777" w:rsidR="004627AC" w:rsidRPr="0042463B" w:rsidRDefault="004627AC" w:rsidP="000E478B">
            <w:pPr>
              <w:jc w:val="right"/>
              <w:rPr>
                <w:color w:val="000000"/>
                <w:sz w:val="20"/>
                <w:szCs w:val="20"/>
                <w:lang w:eastAsia="zh-CN"/>
              </w:rPr>
            </w:pPr>
          </w:p>
        </w:tc>
        <w:tc>
          <w:tcPr>
            <w:tcW w:w="488" w:type="pct"/>
            <w:tcBorders>
              <w:top w:val="single" w:sz="4" w:space="0" w:color="auto"/>
              <w:left w:val="nil"/>
              <w:bottom w:val="single" w:sz="4" w:space="0" w:color="auto"/>
              <w:right w:val="single" w:sz="4" w:space="0" w:color="auto"/>
            </w:tcBorders>
          </w:tcPr>
          <w:p w14:paraId="2B7DFE90" w14:textId="77777777" w:rsidR="004627AC" w:rsidRPr="0042463B" w:rsidRDefault="004627AC" w:rsidP="000E478B">
            <w:pPr>
              <w:jc w:val="right"/>
              <w:rPr>
                <w:color w:val="000000"/>
                <w:sz w:val="20"/>
                <w:szCs w:val="20"/>
                <w:lang w:eastAsia="zh-CN"/>
              </w:rPr>
            </w:pPr>
          </w:p>
        </w:tc>
        <w:tc>
          <w:tcPr>
            <w:tcW w:w="488" w:type="pct"/>
            <w:tcBorders>
              <w:top w:val="single" w:sz="4" w:space="0" w:color="auto"/>
              <w:left w:val="single" w:sz="4" w:space="0" w:color="auto"/>
              <w:bottom w:val="single" w:sz="4" w:space="0" w:color="auto"/>
              <w:right w:val="single" w:sz="4" w:space="0" w:color="auto"/>
            </w:tcBorders>
          </w:tcPr>
          <w:p w14:paraId="1B9BB760" w14:textId="77777777" w:rsidR="004627AC" w:rsidRPr="0042463B" w:rsidRDefault="004627AC" w:rsidP="000E478B">
            <w:pPr>
              <w:jc w:val="right"/>
              <w:rPr>
                <w:color w:val="000000"/>
                <w:sz w:val="20"/>
                <w:szCs w:val="20"/>
                <w:lang w:eastAsia="zh-CN"/>
              </w:rPr>
            </w:pPr>
          </w:p>
        </w:tc>
        <w:tc>
          <w:tcPr>
            <w:tcW w:w="488" w:type="pct"/>
            <w:tcBorders>
              <w:top w:val="nil"/>
              <w:left w:val="nil"/>
              <w:bottom w:val="single" w:sz="4" w:space="0" w:color="auto"/>
              <w:right w:val="single" w:sz="4" w:space="0" w:color="auto"/>
            </w:tcBorders>
            <w:shd w:val="clear" w:color="auto" w:fill="auto"/>
            <w:noWrap/>
            <w:tcMar>
              <w:left w:w="29" w:type="dxa"/>
              <w:right w:w="29" w:type="dxa"/>
            </w:tcMar>
            <w:hideMark/>
          </w:tcPr>
          <w:p w14:paraId="3FD6A847" w14:textId="77777777" w:rsidR="004627AC" w:rsidRPr="0042463B" w:rsidRDefault="004627AC" w:rsidP="000E478B">
            <w:pPr>
              <w:jc w:val="right"/>
              <w:rPr>
                <w:color w:val="000000"/>
                <w:sz w:val="20"/>
                <w:szCs w:val="20"/>
                <w:lang w:eastAsia="zh-CN"/>
              </w:rPr>
            </w:pPr>
          </w:p>
        </w:tc>
      </w:tr>
      <w:tr w:rsidR="004627AC" w:rsidRPr="0042463B" w14:paraId="69492718" w14:textId="77777777" w:rsidTr="00DF5DAC">
        <w:tc>
          <w:tcPr>
            <w:tcW w:w="2069" w:type="pct"/>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2ECB114" w14:textId="77777777" w:rsidR="004627AC" w:rsidRPr="0042463B" w:rsidRDefault="004627AC" w:rsidP="000E478B">
            <w:pPr>
              <w:jc w:val="left"/>
              <w:rPr>
                <w:color w:val="000000"/>
                <w:sz w:val="20"/>
                <w:szCs w:val="20"/>
              </w:rPr>
            </w:pPr>
            <w:r w:rsidRPr="0042463B">
              <w:rPr>
                <w:color w:val="000000"/>
                <w:sz w:val="20"/>
                <w:szCs w:val="20"/>
              </w:rPr>
              <w:t>HCFC-22</w:t>
            </w:r>
          </w:p>
        </w:tc>
        <w:tc>
          <w:tcPr>
            <w:tcW w:w="489" w:type="pct"/>
            <w:tcBorders>
              <w:top w:val="nil"/>
              <w:left w:val="nil"/>
              <w:bottom w:val="single" w:sz="4" w:space="0" w:color="auto"/>
              <w:right w:val="single" w:sz="4" w:space="0" w:color="auto"/>
            </w:tcBorders>
            <w:shd w:val="clear" w:color="auto" w:fill="auto"/>
            <w:noWrap/>
            <w:tcMar>
              <w:left w:w="29" w:type="dxa"/>
              <w:right w:w="29" w:type="dxa"/>
            </w:tcMar>
            <w:hideMark/>
          </w:tcPr>
          <w:p w14:paraId="2D524068" w14:textId="77777777" w:rsidR="004627AC" w:rsidRPr="0042463B" w:rsidRDefault="004627AC" w:rsidP="000E478B">
            <w:pPr>
              <w:jc w:val="right"/>
              <w:rPr>
                <w:color w:val="000000"/>
                <w:sz w:val="20"/>
                <w:szCs w:val="20"/>
              </w:rPr>
            </w:pPr>
            <w:r w:rsidRPr="0042463B">
              <w:rPr>
                <w:color w:val="000000"/>
                <w:sz w:val="20"/>
                <w:szCs w:val="20"/>
              </w:rPr>
              <w:t>45,33</w:t>
            </w:r>
          </w:p>
        </w:tc>
        <w:tc>
          <w:tcPr>
            <w:tcW w:w="489" w:type="pct"/>
            <w:tcBorders>
              <w:top w:val="nil"/>
              <w:left w:val="nil"/>
              <w:bottom w:val="single" w:sz="4" w:space="0" w:color="auto"/>
              <w:right w:val="single" w:sz="4" w:space="0" w:color="auto"/>
            </w:tcBorders>
            <w:shd w:val="clear" w:color="auto" w:fill="auto"/>
            <w:noWrap/>
            <w:tcMar>
              <w:left w:w="29" w:type="dxa"/>
              <w:right w:w="29" w:type="dxa"/>
            </w:tcMar>
            <w:hideMark/>
          </w:tcPr>
          <w:p w14:paraId="477D9E16" w14:textId="77777777" w:rsidR="004627AC" w:rsidRPr="0042463B" w:rsidRDefault="004627AC" w:rsidP="000E478B">
            <w:pPr>
              <w:jc w:val="right"/>
              <w:rPr>
                <w:color w:val="000000"/>
                <w:sz w:val="20"/>
                <w:szCs w:val="20"/>
              </w:rPr>
            </w:pPr>
            <w:r w:rsidRPr="0042463B">
              <w:rPr>
                <w:color w:val="000000"/>
                <w:sz w:val="20"/>
                <w:szCs w:val="20"/>
              </w:rPr>
              <w:t>43,94</w:t>
            </w:r>
          </w:p>
        </w:tc>
        <w:tc>
          <w:tcPr>
            <w:tcW w:w="489" w:type="pct"/>
            <w:tcBorders>
              <w:top w:val="nil"/>
              <w:left w:val="nil"/>
              <w:bottom w:val="single" w:sz="4" w:space="0" w:color="auto"/>
              <w:right w:val="single" w:sz="4" w:space="0" w:color="auto"/>
            </w:tcBorders>
            <w:shd w:val="clear" w:color="auto" w:fill="auto"/>
            <w:noWrap/>
            <w:tcMar>
              <w:left w:w="29" w:type="dxa"/>
              <w:right w:w="29" w:type="dxa"/>
            </w:tcMar>
            <w:hideMark/>
          </w:tcPr>
          <w:p w14:paraId="392696B2" w14:textId="77777777" w:rsidR="004627AC" w:rsidRPr="0042463B" w:rsidRDefault="004627AC" w:rsidP="000E478B">
            <w:pPr>
              <w:jc w:val="right"/>
              <w:rPr>
                <w:color w:val="000000"/>
                <w:sz w:val="20"/>
                <w:szCs w:val="20"/>
              </w:rPr>
            </w:pPr>
            <w:r w:rsidRPr="0042463B">
              <w:rPr>
                <w:color w:val="000000"/>
                <w:sz w:val="20"/>
                <w:szCs w:val="20"/>
              </w:rPr>
              <w:t>40,43</w:t>
            </w:r>
          </w:p>
        </w:tc>
        <w:tc>
          <w:tcPr>
            <w:tcW w:w="488" w:type="pct"/>
            <w:tcBorders>
              <w:top w:val="single" w:sz="4" w:space="0" w:color="auto"/>
              <w:left w:val="nil"/>
              <w:bottom w:val="single" w:sz="4" w:space="0" w:color="auto"/>
              <w:right w:val="single" w:sz="4" w:space="0" w:color="auto"/>
            </w:tcBorders>
          </w:tcPr>
          <w:p w14:paraId="1870094D" w14:textId="77777777" w:rsidR="004627AC" w:rsidRPr="0042463B" w:rsidRDefault="004627AC" w:rsidP="000E478B">
            <w:pPr>
              <w:jc w:val="right"/>
              <w:rPr>
                <w:color w:val="000000"/>
                <w:sz w:val="20"/>
                <w:szCs w:val="20"/>
              </w:rPr>
            </w:pPr>
            <w:r w:rsidRPr="0042463B">
              <w:rPr>
                <w:color w:val="000000"/>
                <w:sz w:val="20"/>
                <w:szCs w:val="20"/>
              </w:rPr>
              <w:t>36,82</w:t>
            </w:r>
          </w:p>
        </w:tc>
        <w:tc>
          <w:tcPr>
            <w:tcW w:w="488" w:type="pct"/>
            <w:tcBorders>
              <w:top w:val="single" w:sz="4" w:space="0" w:color="auto"/>
              <w:left w:val="single" w:sz="4" w:space="0" w:color="auto"/>
              <w:bottom w:val="single" w:sz="4" w:space="0" w:color="auto"/>
              <w:right w:val="single" w:sz="4" w:space="0" w:color="auto"/>
            </w:tcBorders>
          </w:tcPr>
          <w:p w14:paraId="1D219243" w14:textId="77777777" w:rsidR="004627AC" w:rsidRPr="0042463B" w:rsidRDefault="004627AC" w:rsidP="000E478B">
            <w:pPr>
              <w:jc w:val="right"/>
              <w:rPr>
                <w:color w:val="000000"/>
                <w:sz w:val="20"/>
                <w:szCs w:val="20"/>
              </w:rPr>
            </w:pPr>
            <w:r w:rsidRPr="0042463B">
              <w:rPr>
                <w:color w:val="000000"/>
                <w:sz w:val="20"/>
                <w:szCs w:val="20"/>
              </w:rPr>
              <w:t>32,76</w:t>
            </w:r>
          </w:p>
        </w:tc>
        <w:tc>
          <w:tcPr>
            <w:tcW w:w="488" w:type="pct"/>
            <w:tcBorders>
              <w:top w:val="nil"/>
              <w:left w:val="nil"/>
              <w:bottom w:val="single" w:sz="4" w:space="0" w:color="auto"/>
              <w:right w:val="single" w:sz="4" w:space="0" w:color="auto"/>
            </w:tcBorders>
            <w:shd w:val="clear" w:color="auto" w:fill="auto"/>
            <w:noWrap/>
            <w:tcMar>
              <w:left w:w="29" w:type="dxa"/>
              <w:right w:w="29" w:type="dxa"/>
            </w:tcMar>
            <w:hideMark/>
          </w:tcPr>
          <w:p w14:paraId="2BF4CC2A" w14:textId="77777777" w:rsidR="004627AC" w:rsidRPr="0042463B" w:rsidRDefault="004627AC" w:rsidP="000E478B">
            <w:pPr>
              <w:jc w:val="right"/>
              <w:rPr>
                <w:color w:val="000000"/>
                <w:sz w:val="20"/>
                <w:szCs w:val="20"/>
              </w:rPr>
            </w:pPr>
            <w:r w:rsidRPr="0042463B">
              <w:rPr>
                <w:color w:val="000000"/>
                <w:sz w:val="20"/>
                <w:szCs w:val="20"/>
              </w:rPr>
              <w:t>51,50</w:t>
            </w:r>
          </w:p>
        </w:tc>
      </w:tr>
      <w:tr w:rsidR="004627AC" w:rsidRPr="0042463B" w14:paraId="16CF514E" w14:textId="77777777" w:rsidTr="00DF5DAC">
        <w:tc>
          <w:tcPr>
            <w:tcW w:w="2069" w:type="pct"/>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66DBAA1" w14:textId="77777777" w:rsidR="004627AC" w:rsidRPr="0042463B" w:rsidRDefault="004627AC" w:rsidP="000E478B">
            <w:pPr>
              <w:jc w:val="left"/>
              <w:rPr>
                <w:color w:val="000000"/>
                <w:sz w:val="20"/>
                <w:szCs w:val="20"/>
              </w:rPr>
            </w:pPr>
            <w:r w:rsidRPr="0042463B">
              <w:rPr>
                <w:color w:val="000000"/>
                <w:sz w:val="20"/>
                <w:szCs w:val="20"/>
              </w:rPr>
              <w:t>HCFC-123</w:t>
            </w:r>
          </w:p>
        </w:tc>
        <w:tc>
          <w:tcPr>
            <w:tcW w:w="489" w:type="pct"/>
            <w:tcBorders>
              <w:top w:val="nil"/>
              <w:left w:val="nil"/>
              <w:bottom w:val="single" w:sz="4" w:space="0" w:color="auto"/>
              <w:right w:val="single" w:sz="4" w:space="0" w:color="auto"/>
            </w:tcBorders>
            <w:shd w:val="clear" w:color="auto" w:fill="auto"/>
            <w:noWrap/>
            <w:tcMar>
              <w:left w:w="29" w:type="dxa"/>
              <w:right w:w="29" w:type="dxa"/>
            </w:tcMar>
            <w:hideMark/>
          </w:tcPr>
          <w:p w14:paraId="2A9D9672" w14:textId="77777777" w:rsidR="004627AC" w:rsidRPr="0042463B" w:rsidRDefault="004627AC" w:rsidP="000E478B">
            <w:pPr>
              <w:jc w:val="right"/>
              <w:rPr>
                <w:color w:val="000000"/>
                <w:sz w:val="20"/>
                <w:szCs w:val="20"/>
              </w:rPr>
            </w:pPr>
            <w:r w:rsidRPr="0042463B">
              <w:rPr>
                <w:color w:val="000000"/>
                <w:sz w:val="20"/>
                <w:szCs w:val="20"/>
              </w:rPr>
              <w:t>0,051</w:t>
            </w:r>
          </w:p>
        </w:tc>
        <w:tc>
          <w:tcPr>
            <w:tcW w:w="489" w:type="pct"/>
            <w:tcBorders>
              <w:top w:val="nil"/>
              <w:left w:val="nil"/>
              <w:bottom w:val="single" w:sz="4" w:space="0" w:color="auto"/>
              <w:right w:val="single" w:sz="4" w:space="0" w:color="auto"/>
            </w:tcBorders>
            <w:shd w:val="clear" w:color="auto" w:fill="auto"/>
            <w:noWrap/>
            <w:tcMar>
              <w:left w:w="29" w:type="dxa"/>
              <w:right w:w="29" w:type="dxa"/>
            </w:tcMar>
            <w:hideMark/>
          </w:tcPr>
          <w:p w14:paraId="7AA152BA" w14:textId="77777777" w:rsidR="004627AC" w:rsidRPr="0042463B" w:rsidRDefault="004627AC" w:rsidP="000E478B">
            <w:pPr>
              <w:jc w:val="right"/>
              <w:rPr>
                <w:color w:val="000000"/>
                <w:sz w:val="20"/>
                <w:szCs w:val="20"/>
              </w:rPr>
            </w:pPr>
            <w:r w:rsidRPr="0042463B">
              <w:rPr>
                <w:color w:val="000000"/>
                <w:sz w:val="20"/>
                <w:szCs w:val="20"/>
              </w:rPr>
              <w:t>0,058</w:t>
            </w:r>
          </w:p>
        </w:tc>
        <w:tc>
          <w:tcPr>
            <w:tcW w:w="489" w:type="pct"/>
            <w:tcBorders>
              <w:top w:val="nil"/>
              <w:left w:val="nil"/>
              <w:bottom w:val="single" w:sz="4" w:space="0" w:color="auto"/>
              <w:right w:val="single" w:sz="4" w:space="0" w:color="auto"/>
            </w:tcBorders>
            <w:shd w:val="clear" w:color="auto" w:fill="auto"/>
            <w:noWrap/>
            <w:tcMar>
              <w:left w:w="29" w:type="dxa"/>
              <w:right w:w="29" w:type="dxa"/>
            </w:tcMar>
            <w:hideMark/>
          </w:tcPr>
          <w:p w14:paraId="19EF9612" w14:textId="4CE6E435" w:rsidR="004627AC" w:rsidRPr="0042463B" w:rsidRDefault="008E0D00" w:rsidP="000E478B">
            <w:pPr>
              <w:jc w:val="right"/>
              <w:rPr>
                <w:color w:val="000000"/>
                <w:sz w:val="20"/>
                <w:szCs w:val="20"/>
              </w:rPr>
            </w:pPr>
            <w:r w:rsidRPr="0042463B">
              <w:rPr>
                <w:color w:val="000000"/>
                <w:sz w:val="20"/>
                <w:szCs w:val="20"/>
              </w:rPr>
              <w:t>0,00</w:t>
            </w:r>
          </w:p>
        </w:tc>
        <w:tc>
          <w:tcPr>
            <w:tcW w:w="488" w:type="pct"/>
            <w:tcBorders>
              <w:top w:val="single" w:sz="4" w:space="0" w:color="auto"/>
              <w:left w:val="nil"/>
              <w:bottom w:val="single" w:sz="4" w:space="0" w:color="auto"/>
              <w:right w:val="single" w:sz="4" w:space="0" w:color="auto"/>
            </w:tcBorders>
          </w:tcPr>
          <w:p w14:paraId="175CE49E" w14:textId="50CDAE3A" w:rsidR="004627AC" w:rsidRPr="0042463B" w:rsidRDefault="008E0D00" w:rsidP="000E478B">
            <w:pPr>
              <w:jc w:val="right"/>
              <w:rPr>
                <w:color w:val="000000"/>
                <w:sz w:val="20"/>
                <w:szCs w:val="20"/>
              </w:rPr>
            </w:pPr>
            <w:r w:rsidRPr="0042463B">
              <w:rPr>
                <w:color w:val="000000"/>
                <w:sz w:val="20"/>
                <w:szCs w:val="20"/>
              </w:rPr>
              <w:t>0,00</w:t>
            </w:r>
          </w:p>
        </w:tc>
        <w:tc>
          <w:tcPr>
            <w:tcW w:w="488" w:type="pct"/>
            <w:tcBorders>
              <w:top w:val="single" w:sz="4" w:space="0" w:color="auto"/>
              <w:left w:val="single" w:sz="4" w:space="0" w:color="auto"/>
              <w:bottom w:val="single" w:sz="4" w:space="0" w:color="auto"/>
              <w:right w:val="single" w:sz="4" w:space="0" w:color="auto"/>
            </w:tcBorders>
          </w:tcPr>
          <w:p w14:paraId="61BB3E17" w14:textId="7DA1D343" w:rsidR="004627AC" w:rsidRPr="0042463B" w:rsidRDefault="008E0D00" w:rsidP="000E478B">
            <w:pPr>
              <w:jc w:val="right"/>
              <w:rPr>
                <w:color w:val="000000"/>
                <w:sz w:val="20"/>
                <w:szCs w:val="20"/>
              </w:rPr>
            </w:pPr>
            <w:r w:rsidRPr="0042463B">
              <w:rPr>
                <w:color w:val="000000"/>
                <w:sz w:val="20"/>
                <w:szCs w:val="20"/>
              </w:rPr>
              <w:t>0,00</w:t>
            </w:r>
          </w:p>
        </w:tc>
        <w:tc>
          <w:tcPr>
            <w:tcW w:w="488" w:type="pct"/>
            <w:tcBorders>
              <w:top w:val="nil"/>
              <w:left w:val="nil"/>
              <w:bottom w:val="single" w:sz="4" w:space="0" w:color="auto"/>
              <w:right w:val="single" w:sz="4" w:space="0" w:color="auto"/>
            </w:tcBorders>
            <w:shd w:val="clear" w:color="auto" w:fill="auto"/>
            <w:noWrap/>
            <w:tcMar>
              <w:left w:w="29" w:type="dxa"/>
              <w:right w:w="29" w:type="dxa"/>
            </w:tcMar>
            <w:hideMark/>
          </w:tcPr>
          <w:p w14:paraId="6749D723" w14:textId="4432BCA2" w:rsidR="004627AC" w:rsidRPr="0042463B" w:rsidRDefault="008E0D00" w:rsidP="00F350E8">
            <w:pPr>
              <w:jc w:val="right"/>
              <w:rPr>
                <w:color w:val="000000"/>
                <w:sz w:val="20"/>
                <w:szCs w:val="20"/>
              </w:rPr>
            </w:pPr>
            <w:r w:rsidRPr="0042463B">
              <w:rPr>
                <w:color w:val="000000"/>
                <w:sz w:val="20"/>
                <w:szCs w:val="20"/>
              </w:rPr>
              <w:t>0,00</w:t>
            </w:r>
          </w:p>
        </w:tc>
      </w:tr>
      <w:tr w:rsidR="004627AC" w:rsidRPr="0042463B" w14:paraId="687EE82F" w14:textId="77777777" w:rsidTr="00DF5DAC">
        <w:tc>
          <w:tcPr>
            <w:tcW w:w="2069" w:type="pct"/>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5B0543A" w14:textId="77777777" w:rsidR="004627AC" w:rsidRPr="0042463B" w:rsidRDefault="004627AC" w:rsidP="000E478B">
            <w:pPr>
              <w:jc w:val="left"/>
              <w:rPr>
                <w:color w:val="000000"/>
                <w:sz w:val="20"/>
                <w:szCs w:val="20"/>
              </w:rPr>
            </w:pPr>
            <w:r w:rsidRPr="0042463B">
              <w:rPr>
                <w:color w:val="000000"/>
                <w:sz w:val="20"/>
                <w:szCs w:val="20"/>
              </w:rPr>
              <w:t>HCFC-141b</w:t>
            </w:r>
          </w:p>
        </w:tc>
        <w:tc>
          <w:tcPr>
            <w:tcW w:w="489" w:type="pct"/>
            <w:tcBorders>
              <w:top w:val="nil"/>
              <w:left w:val="nil"/>
              <w:bottom w:val="single" w:sz="4" w:space="0" w:color="auto"/>
              <w:right w:val="single" w:sz="4" w:space="0" w:color="auto"/>
            </w:tcBorders>
            <w:shd w:val="clear" w:color="auto" w:fill="auto"/>
            <w:noWrap/>
            <w:tcMar>
              <w:left w:w="29" w:type="dxa"/>
              <w:right w:w="29" w:type="dxa"/>
            </w:tcMar>
            <w:hideMark/>
          </w:tcPr>
          <w:p w14:paraId="189C1C19" w14:textId="77777777" w:rsidR="004627AC" w:rsidRPr="0042463B" w:rsidRDefault="004627AC" w:rsidP="000E478B">
            <w:pPr>
              <w:jc w:val="right"/>
              <w:rPr>
                <w:color w:val="000000"/>
                <w:sz w:val="20"/>
                <w:szCs w:val="20"/>
              </w:rPr>
            </w:pPr>
            <w:r w:rsidRPr="0042463B">
              <w:rPr>
                <w:color w:val="000000"/>
                <w:sz w:val="20"/>
                <w:szCs w:val="20"/>
              </w:rPr>
              <w:t>0,39</w:t>
            </w:r>
          </w:p>
        </w:tc>
        <w:tc>
          <w:tcPr>
            <w:tcW w:w="489" w:type="pct"/>
            <w:tcBorders>
              <w:top w:val="nil"/>
              <w:left w:val="nil"/>
              <w:bottom w:val="single" w:sz="4" w:space="0" w:color="auto"/>
              <w:right w:val="single" w:sz="4" w:space="0" w:color="auto"/>
            </w:tcBorders>
            <w:shd w:val="clear" w:color="auto" w:fill="auto"/>
            <w:noWrap/>
            <w:tcMar>
              <w:left w:w="29" w:type="dxa"/>
              <w:right w:w="29" w:type="dxa"/>
            </w:tcMar>
            <w:hideMark/>
          </w:tcPr>
          <w:p w14:paraId="37EEBB8E" w14:textId="77777777" w:rsidR="004627AC" w:rsidRPr="0042463B" w:rsidRDefault="004627AC" w:rsidP="000E478B">
            <w:pPr>
              <w:jc w:val="right"/>
              <w:rPr>
                <w:color w:val="000000"/>
                <w:sz w:val="20"/>
                <w:szCs w:val="20"/>
              </w:rPr>
            </w:pPr>
            <w:r w:rsidRPr="0042463B">
              <w:rPr>
                <w:color w:val="000000"/>
                <w:sz w:val="20"/>
                <w:szCs w:val="20"/>
              </w:rPr>
              <w:t>0,22</w:t>
            </w:r>
          </w:p>
        </w:tc>
        <w:tc>
          <w:tcPr>
            <w:tcW w:w="489" w:type="pct"/>
            <w:tcBorders>
              <w:top w:val="nil"/>
              <w:left w:val="nil"/>
              <w:bottom w:val="single" w:sz="4" w:space="0" w:color="auto"/>
              <w:right w:val="single" w:sz="4" w:space="0" w:color="auto"/>
            </w:tcBorders>
            <w:shd w:val="clear" w:color="auto" w:fill="auto"/>
            <w:noWrap/>
            <w:tcMar>
              <w:left w:w="29" w:type="dxa"/>
              <w:right w:w="29" w:type="dxa"/>
            </w:tcMar>
            <w:hideMark/>
          </w:tcPr>
          <w:p w14:paraId="5C9E1392" w14:textId="77777777" w:rsidR="004627AC" w:rsidRPr="0042463B" w:rsidRDefault="004627AC" w:rsidP="000E478B">
            <w:pPr>
              <w:jc w:val="right"/>
              <w:rPr>
                <w:color w:val="000000"/>
                <w:sz w:val="20"/>
                <w:szCs w:val="20"/>
              </w:rPr>
            </w:pPr>
            <w:r w:rsidRPr="0042463B">
              <w:rPr>
                <w:color w:val="000000"/>
                <w:sz w:val="20"/>
                <w:szCs w:val="20"/>
              </w:rPr>
              <w:t>0,21</w:t>
            </w:r>
          </w:p>
        </w:tc>
        <w:tc>
          <w:tcPr>
            <w:tcW w:w="488" w:type="pct"/>
            <w:tcBorders>
              <w:top w:val="single" w:sz="4" w:space="0" w:color="auto"/>
              <w:left w:val="nil"/>
              <w:bottom w:val="single" w:sz="4" w:space="0" w:color="auto"/>
              <w:right w:val="single" w:sz="4" w:space="0" w:color="auto"/>
            </w:tcBorders>
          </w:tcPr>
          <w:p w14:paraId="3761B1D7" w14:textId="77777777" w:rsidR="004627AC" w:rsidRPr="0042463B" w:rsidRDefault="004627AC" w:rsidP="000E478B">
            <w:pPr>
              <w:jc w:val="right"/>
              <w:rPr>
                <w:color w:val="000000"/>
                <w:sz w:val="20"/>
                <w:szCs w:val="20"/>
              </w:rPr>
            </w:pPr>
            <w:r w:rsidRPr="0042463B">
              <w:rPr>
                <w:color w:val="000000"/>
                <w:sz w:val="20"/>
                <w:szCs w:val="20"/>
              </w:rPr>
              <w:t>0,22</w:t>
            </w:r>
          </w:p>
        </w:tc>
        <w:tc>
          <w:tcPr>
            <w:tcW w:w="488" w:type="pct"/>
            <w:tcBorders>
              <w:top w:val="single" w:sz="4" w:space="0" w:color="auto"/>
              <w:left w:val="single" w:sz="4" w:space="0" w:color="auto"/>
              <w:bottom w:val="single" w:sz="4" w:space="0" w:color="auto"/>
              <w:right w:val="single" w:sz="4" w:space="0" w:color="auto"/>
            </w:tcBorders>
          </w:tcPr>
          <w:p w14:paraId="39F04ADD" w14:textId="697B601A" w:rsidR="004627AC" w:rsidRPr="0042463B" w:rsidRDefault="008E0D00" w:rsidP="000E478B">
            <w:pPr>
              <w:jc w:val="right"/>
              <w:rPr>
                <w:color w:val="000000"/>
                <w:sz w:val="20"/>
                <w:szCs w:val="20"/>
              </w:rPr>
            </w:pPr>
            <w:r w:rsidRPr="0042463B">
              <w:rPr>
                <w:color w:val="000000"/>
                <w:sz w:val="20"/>
                <w:szCs w:val="20"/>
              </w:rPr>
              <w:t>0,00</w:t>
            </w:r>
          </w:p>
        </w:tc>
        <w:tc>
          <w:tcPr>
            <w:tcW w:w="488" w:type="pct"/>
            <w:tcBorders>
              <w:top w:val="nil"/>
              <w:left w:val="nil"/>
              <w:bottom w:val="single" w:sz="4" w:space="0" w:color="auto"/>
              <w:right w:val="single" w:sz="4" w:space="0" w:color="auto"/>
            </w:tcBorders>
            <w:shd w:val="clear" w:color="auto" w:fill="auto"/>
            <w:noWrap/>
            <w:tcMar>
              <w:left w:w="29" w:type="dxa"/>
              <w:right w:w="29" w:type="dxa"/>
            </w:tcMar>
            <w:hideMark/>
          </w:tcPr>
          <w:p w14:paraId="5274DE3F" w14:textId="77777777" w:rsidR="004627AC" w:rsidRPr="0042463B" w:rsidRDefault="004627AC" w:rsidP="000E478B">
            <w:pPr>
              <w:jc w:val="right"/>
              <w:rPr>
                <w:color w:val="000000"/>
                <w:sz w:val="20"/>
                <w:szCs w:val="20"/>
              </w:rPr>
            </w:pPr>
            <w:r w:rsidRPr="0042463B">
              <w:rPr>
                <w:color w:val="000000"/>
                <w:sz w:val="20"/>
                <w:szCs w:val="20"/>
              </w:rPr>
              <w:t>0,40</w:t>
            </w:r>
          </w:p>
        </w:tc>
      </w:tr>
      <w:tr w:rsidR="004627AC" w:rsidRPr="0042463B" w14:paraId="1E4BA465" w14:textId="77777777" w:rsidTr="00DF5DAC">
        <w:tc>
          <w:tcPr>
            <w:tcW w:w="2069" w:type="pct"/>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79E2FFC" w14:textId="77777777" w:rsidR="004627AC" w:rsidRPr="0042463B" w:rsidRDefault="004627AC" w:rsidP="000E478B">
            <w:pPr>
              <w:jc w:val="left"/>
              <w:rPr>
                <w:b/>
                <w:bCs/>
                <w:color w:val="000000"/>
                <w:sz w:val="20"/>
                <w:szCs w:val="20"/>
              </w:rPr>
            </w:pPr>
            <w:r w:rsidRPr="0042463B">
              <w:rPr>
                <w:b/>
                <w:bCs/>
                <w:color w:val="000000"/>
                <w:sz w:val="20"/>
                <w:szCs w:val="20"/>
              </w:rPr>
              <w:t>Sous-total (tonnes PAO)</w:t>
            </w:r>
          </w:p>
        </w:tc>
        <w:tc>
          <w:tcPr>
            <w:tcW w:w="489" w:type="pct"/>
            <w:tcBorders>
              <w:top w:val="nil"/>
              <w:left w:val="nil"/>
              <w:bottom w:val="single" w:sz="4" w:space="0" w:color="auto"/>
              <w:right w:val="single" w:sz="4" w:space="0" w:color="auto"/>
            </w:tcBorders>
            <w:shd w:val="clear" w:color="auto" w:fill="auto"/>
            <w:noWrap/>
            <w:tcMar>
              <w:left w:w="29" w:type="dxa"/>
              <w:right w:w="29" w:type="dxa"/>
            </w:tcMar>
            <w:hideMark/>
          </w:tcPr>
          <w:p w14:paraId="3AA3B961" w14:textId="77777777" w:rsidR="004627AC" w:rsidRPr="0042463B" w:rsidRDefault="004627AC" w:rsidP="000E478B">
            <w:pPr>
              <w:jc w:val="right"/>
              <w:rPr>
                <w:b/>
                <w:bCs/>
                <w:color w:val="000000"/>
                <w:sz w:val="20"/>
                <w:szCs w:val="20"/>
              </w:rPr>
            </w:pPr>
            <w:r w:rsidRPr="0042463B">
              <w:rPr>
                <w:b/>
                <w:bCs/>
                <w:color w:val="000000"/>
                <w:sz w:val="20"/>
                <w:szCs w:val="20"/>
              </w:rPr>
              <w:t>45,77</w:t>
            </w:r>
          </w:p>
        </w:tc>
        <w:tc>
          <w:tcPr>
            <w:tcW w:w="489" w:type="pct"/>
            <w:tcBorders>
              <w:top w:val="nil"/>
              <w:left w:val="nil"/>
              <w:bottom w:val="single" w:sz="4" w:space="0" w:color="auto"/>
              <w:right w:val="single" w:sz="4" w:space="0" w:color="auto"/>
            </w:tcBorders>
            <w:shd w:val="clear" w:color="auto" w:fill="auto"/>
            <w:noWrap/>
            <w:tcMar>
              <w:left w:w="29" w:type="dxa"/>
              <w:right w:w="29" w:type="dxa"/>
            </w:tcMar>
            <w:hideMark/>
          </w:tcPr>
          <w:p w14:paraId="360B881E" w14:textId="77777777" w:rsidR="004627AC" w:rsidRPr="0042463B" w:rsidRDefault="004627AC" w:rsidP="000E478B">
            <w:pPr>
              <w:jc w:val="right"/>
              <w:rPr>
                <w:b/>
                <w:bCs/>
                <w:color w:val="000000"/>
                <w:sz w:val="20"/>
                <w:szCs w:val="20"/>
              </w:rPr>
            </w:pPr>
            <w:r w:rsidRPr="0042463B">
              <w:rPr>
                <w:b/>
                <w:bCs/>
                <w:color w:val="000000"/>
                <w:sz w:val="20"/>
                <w:szCs w:val="20"/>
              </w:rPr>
              <w:t>44,21</w:t>
            </w:r>
          </w:p>
        </w:tc>
        <w:tc>
          <w:tcPr>
            <w:tcW w:w="489" w:type="pct"/>
            <w:tcBorders>
              <w:top w:val="nil"/>
              <w:left w:val="nil"/>
              <w:bottom w:val="single" w:sz="4" w:space="0" w:color="auto"/>
              <w:right w:val="single" w:sz="4" w:space="0" w:color="auto"/>
            </w:tcBorders>
            <w:shd w:val="clear" w:color="auto" w:fill="auto"/>
            <w:noWrap/>
            <w:tcMar>
              <w:left w:w="29" w:type="dxa"/>
              <w:right w:w="29" w:type="dxa"/>
            </w:tcMar>
            <w:hideMark/>
          </w:tcPr>
          <w:p w14:paraId="7371C47B" w14:textId="77777777" w:rsidR="004627AC" w:rsidRPr="0042463B" w:rsidRDefault="004627AC" w:rsidP="000E478B">
            <w:pPr>
              <w:jc w:val="right"/>
              <w:rPr>
                <w:b/>
                <w:bCs/>
                <w:color w:val="000000"/>
                <w:sz w:val="20"/>
                <w:szCs w:val="20"/>
              </w:rPr>
            </w:pPr>
            <w:r w:rsidRPr="0042463B">
              <w:rPr>
                <w:b/>
                <w:bCs/>
                <w:color w:val="000000"/>
                <w:sz w:val="20"/>
                <w:szCs w:val="20"/>
              </w:rPr>
              <w:t>40,65</w:t>
            </w:r>
          </w:p>
        </w:tc>
        <w:tc>
          <w:tcPr>
            <w:tcW w:w="488" w:type="pct"/>
            <w:tcBorders>
              <w:top w:val="single" w:sz="4" w:space="0" w:color="auto"/>
              <w:left w:val="nil"/>
              <w:bottom w:val="single" w:sz="4" w:space="0" w:color="auto"/>
              <w:right w:val="single" w:sz="4" w:space="0" w:color="auto"/>
            </w:tcBorders>
          </w:tcPr>
          <w:p w14:paraId="6E8B9DDD" w14:textId="77777777" w:rsidR="004627AC" w:rsidRPr="0042463B" w:rsidRDefault="004627AC" w:rsidP="000E478B">
            <w:pPr>
              <w:jc w:val="right"/>
              <w:rPr>
                <w:b/>
                <w:bCs/>
                <w:color w:val="000000"/>
                <w:sz w:val="20"/>
                <w:szCs w:val="20"/>
              </w:rPr>
            </w:pPr>
            <w:r w:rsidRPr="0042463B">
              <w:rPr>
                <w:b/>
                <w:bCs/>
                <w:color w:val="000000"/>
                <w:sz w:val="20"/>
                <w:szCs w:val="20"/>
              </w:rPr>
              <w:t>37,04</w:t>
            </w:r>
          </w:p>
        </w:tc>
        <w:tc>
          <w:tcPr>
            <w:tcW w:w="488" w:type="pct"/>
            <w:tcBorders>
              <w:top w:val="single" w:sz="4" w:space="0" w:color="auto"/>
              <w:left w:val="single" w:sz="4" w:space="0" w:color="auto"/>
              <w:bottom w:val="single" w:sz="4" w:space="0" w:color="auto"/>
              <w:right w:val="single" w:sz="4" w:space="0" w:color="auto"/>
            </w:tcBorders>
          </w:tcPr>
          <w:p w14:paraId="7D3418CC" w14:textId="77777777" w:rsidR="004627AC" w:rsidRPr="0042463B" w:rsidRDefault="004627AC" w:rsidP="000E478B">
            <w:pPr>
              <w:jc w:val="right"/>
              <w:rPr>
                <w:b/>
                <w:bCs/>
                <w:color w:val="000000"/>
                <w:sz w:val="20"/>
                <w:szCs w:val="20"/>
              </w:rPr>
            </w:pPr>
            <w:r w:rsidRPr="0042463B">
              <w:rPr>
                <w:b/>
                <w:bCs/>
                <w:color w:val="000000"/>
                <w:sz w:val="20"/>
                <w:szCs w:val="20"/>
              </w:rPr>
              <w:t>32,76</w:t>
            </w:r>
          </w:p>
        </w:tc>
        <w:tc>
          <w:tcPr>
            <w:tcW w:w="488" w:type="pct"/>
            <w:tcBorders>
              <w:top w:val="nil"/>
              <w:left w:val="nil"/>
              <w:bottom w:val="single" w:sz="4" w:space="0" w:color="auto"/>
              <w:right w:val="single" w:sz="4" w:space="0" w:color="auto"/>
            </w:tcBorders>
            <w:shd w:val="clear" w:color="auto" w:fill="auto"/>
            <w:noWrap/>
            <w:tcMar>
              <w:left w:w="29" w:type="dxa"/>
              <w:right w:w="29" w:type="dxa"/>
            </w:tcMar>
            <w:hideMark/>
          </w:tcPr>
          <w:p w14:paraId="52A85181" w14:textId="77777777" w:rsidR="004627AC" w:rsidRPr="0042463B" w:rsidRDefault="004627AC" w:rsidP="000E478B">
            <w:pPr>
              <w:jc w:val="right"/>
              <w:rPr>
                <w:b/>
                <w:bCs/>
                <w:color w:val="000000"/>
                <w:sz w:val="20"/>
                <w:szCs w:val="20"/>
              </w:rPr>
            </w:pPr>
            <w:r w:rsidRPr="0042463B">
              <w:rPr>
                <w:b/>
                <w:bCs/>
                <w:color w:val="000000"/>
                <w:sz w:val="20"/>
                <w:szCs w:val="20"/>
              </w:rPr>
              <w:t>51,90</w:t>
            </w:r>
          </w:p>
        </w:tc>
      </w:tr>
      <w:tr w:rsidR="004627AC" w:rsidRPr="0042463B" w14:paraId="1B3084F6" w14:textId="77777777" w:rsidTr="00DF5DAC">
        <w:tc>
          <w:tcPr>
            <w:tcW w:w="2069" w:type="pct"/>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6EE8B0F" w14:textId="77777777" w:rsidR="004627AC" w:rsidRPr="0042463B" w:rsidRDefault="004627AC" w:rsidP="000E478B">
            <w:pPr>
              <w:jc w:val="left"/>
              <w:rPr>
                <w:color w:val="000000"/>
                <w:sz w:val="20"/>
                <w:szCs w:val="20"/>
              </w:rPr>
            </w:pPr>
            <w:r w:rsidRPr="0042463B">
              <w:rPr>
                <w:color w:val="000000"/>
                <w:sz w:val="20"/>
                <w:szCs w:val="20"/>
              </w:rPr>
              <w:lastRenderedPageBreak/>
              <w:t xml:space="preserve">HCFC-141b dans les polyols </w:t>
            </w:r>
            <w:proofErr w:type="spellStart"/>
            <w:r w:rsidRPr="0042463B">
              <w:rPr>
                <w:color w:val="000000"/>
                <w:sz w:val="20"/>
                <w:szCs w:val="20"/>
              </w:rPr>
              <w:t>prémélangés</w:t>
            </w:r>
            <w:proofErr w:type="spellEnd"/>
            <w:r w:rsidRPr="0042463B">
              <w:rPr>
                <w:color w:val="000000"/>
                <w:sz w:val="20"/>
                <w:szCs w:val="20"/>
              </w:rPr>
              <w:t xml:space="preserve"> importés**</w:t>
            </w:r>
          </w:p>
        </w:tc>
        <w:tc>
          <w:tcPr>
            <w:tcW w:w="489" w:type="pct"/>
            <w:tcBorders>
              <w:top w:val="nil"/>
              <w:left w:val="nil"/>
              <w:bottom w:val="single" w:sz="4" w:space="0" w:color="auto"/>
              <w:right w:val="single" w:sz="4" w:space="0" w:color="auto"/>
            </w:tcBorders>
            <w:shd w:val="clear" w:color="auto" w:fill="auto"/>
            <w:noWrap/>
            <w:tcMar>
              <w:left w:w="29" w:type="dxa"/>
              <w:right w:w="29" w:type="dxa"/>
            </w:tcMar>
            <w:hideMark/>
          </w:tcPr>
          <w:p w14:paraId="1859AC86" w14:textId="77777777" w:rsidR="004627AC" w:rsidRPr="0042463B" w:rsidRDefault="004627AC" w:rsidP="000E478B">
            <w:pPr>
              <w:jc w:val="right"/>
              <w:rPr>
                <w:color w:val="000000"/>
                <w:sz w:val="20"/>
                <w:szCs w:val="20"/>
              </w:rPr>
            </w:pPr>
            <w:r w:rsidRPr="0042463B">
              <w:rPr>
                <w:color w:val="000000"/>
                <w:sz w:val="20"/>
                <w:szCs w:val="20"/>
              </w:rPr>
              <w:t>19,03</w:t>
            </w:r>
          </w:p>
        </w:tc>
        <w:tc>
          <w:tcPr>
            <w:tcW w:w="489" w:type="pct"/>
            <w:tcBorders>
              <w:top w:val="nil"/>
              <w:left w:val="nil"/>
              <w:bottom w:val="single" w:sz="4" w:space="0" w:color="auto"/>
              <w:right w:val="single" w:sz="4" w:space="0" w:color="auto"/>
            </w:tcBorders>
            <w:shd w:val="clear" w:color="auto" w:fill="auto"/>
            <w:noWrap/>
            <w:tcMar>
              <w:left w:w="29" w:type="dxa"/>
              <w:right w:w="29" w:type="dxa"/>
            </w:tcMar>
            <w:hideMark/>
          </w:tcPr>
          <w:p w14:paraId="433C3DA3" w14:textId="77777777" w:rsidR="004627AC" w:rsidRPr="0042463B" w:rsidRDefault="004627AC" w:rsidP="000E478B">
            <w:pPr>
              <w:jc w:val="right"/>
              <w:rPr>
                <w:color w:val="000000"/>
                <w:sz w:val="20"/>
                <w:szCs w:val="20"/>
              </w:rPr>
            </w:pPr>
            <w:r w:rsidRPr="0042463B">
              <w:rPr>
                <w:color w:val="000000"/>
                <w:sz w:val="20"/>
                <w:szCs w:val="20"/>
              </w:rPr>
              <w:t>18,75</w:t>
            </w:r>
          </w:p>
        </w:tc>
        <w:tc>
          <w:tcPr>
            <w:tcW w:w="489" w:type="pct"/>
            <w:tcBorders>
              <w:top w:val="nil"/>
              <w:left w:val="nil"/>
              <w:bottom w:val="single" w:sz="4" w:space="0" w:color="auto"/>
              <w:right w:val="single" w:sz="4" w:space="0" w:color="auto"/>
            </w:tcBorders>
            <w:shd w:val="clear" w:color="auto" w:fill="auto"/>
            <w:noWrap/>
            <w:tcMar>
              <w:left w:w="29" w:type="dxa"/>
              <w:right w:w="29" w:type="dxa"/>
            </w:tcMar>
            <w:hideMark/>
          </w:tcPr>
          <w:p w14:paraId="79156F74" w14:textId="77777777" w:rsidR="004627AC" w:rsidRPr="0042463B" w:rsidRDefault="004627AC" w:rsidP="000E478B">
            <w:pPr>
              <w:jc w:val="right"/>
              <w:rPr>
                <w:color w:val="000000"/>
                <w:sz w:val="20"/>
                <w:szCs w:val="20"/>
              </w:rPr>
            </w:pPr>
            <w:r w:rsidRPr="0042463B">
              <w:rPr>
                <w:color w:val="000000"/>
                <w:sz w:val="20"/>
                <w:szCs w:val="20"/>
              </w:rPr>
              <w:t>21,17</w:t>
            </w:r>
          </w:p>
        </w:tc>
        <w:tc>
          <w:tcPr>
            <w:tcW w:w="488" w:type="pct"/>
            <w:tcBorders>
              <w:top w:val="single" w:sz="4" w:space="0" w:color="auto"/>
              <w:left w:val="nil"/>
              <w:bottom w:val="single" w:sz="4" w:space="0" w:color="auto"/>
              <w:right w:val="single" w:sz="4" w:space="0" w:color="auto"/>
            </w:tcBorders>
          </w:tcPr>
          <w:p w14:paraId="46619BCB" w14:textId="77777777" w:rsidR="004627AC" w:rsidRPr="0042463B" w:rsidRDefault="004627AC" w:rsidP="000E478B">
            <w:pPr>
              <w:jc w:val="right"/>
              <w:rPr>
                <w:color w:val="000000"/>
                <w:sz w:val="20"/>
                <w:szCs w:val="20"/>
              </w:rPr>
            </w:pPr>
            <w:r w:rsidRPr="0042463B">
              <w:rPr>
                <w:color w:val="000000"/>
                <w:sz w:val="20"/>
                <w:szCs w:val="20"/>
              </w:rPr>
              <w:t>13,81</w:t>
            </w:r>
          </w:p>
        </w:tc>
        <w:tc>
          <w:tcPr>
            <w:tcW w:w="488" w:type="pct"/>
            <w:tcBorders>
              <w:top w:val="single" w:sz="4" w:space="0" w:color="auto"/>
              <w:left w:val="single" w:sz="4" w:space="0" w:color="auto"/>
              <w:bottom w:val="single" w:sz="4" w:space="0" w:color="auto"/>
              <w:right w:val="single" w:sz="4" w:space="0" w:color="auto"/>
            </w:tcBorders>
          </w:tcPr>
          <w:p w14:paraId="29A28EE4" w14:textId="77777777" w:rsidR="004627AC" w:rsidRPr="0042463B" w:rsidRDefault="004627AC" w:rsidP="000E478B">
            <w:pPr>
              <w:jc w:val="right"/>
              <w:rPr>
                <w:color w:val="000000"/>
                <w:sz w:val="20"/>
                <w:szCs w:val="20"/>
              </w:rPr>
            </w:pPr>
            <w:r w:rsidRPr="0042463B">
              <w:rPr>
                <w:color w:val="000000"/>
                <w:sz w:val="20"/>
                <w:szCs w:val="20"/>
              </w:rPr>
              <w:t>9,88</w:t>
            </w:r>
          </w:p>
        </w:tc>
        <w:tc>
          <w:tcPr>
            <w:tcW w:w="488" w:type="pct"/>
            <w:tcBorders>
              <w:top w:val="nil"/>
              <w:left w:val="nil"/>
              <w:bottom w:val="single" w:sz="4" w:space="0" w:color="auto"/>
              <w:right w:val="single" w:sz="4" w:space="0" w:color="auto"/>
            </w:tcBorders>
            <w:shd w:val="clear" w:color="auto" w:fill="auto"/>
            <w:noWrap/>
            <w:tcMar>
              <w:left w:w="29" w:type="dxa"/>
              <w:right w:w="29" w:type="dxa"/>
            </w:tcMar>
            <w:hideMark/>
          </w:tcPr>
          <w:p w14:paraId="5C5099FE" w14:textId="77777777" w:rsidR="004627AC" w:rsidRPr="0042463B" w:rsidRDefault="004627AC" w:rsidP="000E478B">
            <w:pPr>
              <w:jc w:val="right"/>
              <w:rPr>
                <w:color w:val="000000"/>
                <w:sz w:val="20"/>
                <w:szCs w:val="20"/>
              </w:rPr>
            </w:pPr>
            <w:r w:rsidRPr="0042463B">
              <w:rPr>
                <w:color w:val="000000"/>
                <w:sz w:val="20"/>
                <w:szCs w:val="20"/>
              </w:rPr>
              <w:t>10,11*</w:t>
            </w:r>
          </w:p>
        </w:tc>
      </w:tr>
      <w:tr w:rsidR="004627AC" w:rsidRPr="0042463B" w14:paraId="2072C081" w14:textId="77777777" w:rsidTr="00DF5DAC">
        <w:tc>
          <w:tcPr>
            <w:tcW w:w="2069" w:type="pct"/>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F69831F" w14:textId="77777777" w:rsidR="004627AC" w:rsidRPr="0042463B" w:rsidRDefault="004627AC" w:rsidP="000E478B">
            <w:pPr>
              <w:jc w:val="left"/>
              <w:rPr>
                <w:b/>
                <w:bCs/>
                <w:color w:val="000000"/>
                <w:sz w:val="20"/>
                <w:szCs w:val="20"/>
              </w:rPr>
            </w:pPr>
            <w:r w:rsidRPr="0042463B">
              <w:rPr>
                <w:b/>
                <w:bCs/>
                <w:color w:val="000000"/>
                <w:sz w:val="20"/>
                <w:szCs w:val="20"/>
              </w:rPr>
              <w:t>Total (tonnes PAO)</w:t>
            </w:r>
          </w:p>
        </w:tc>
        <w:tc>
          <w:tcPr>
            <w:tcW w:w="489" w:type="pct"/>
            <w:tcBorders>
              <w:top w:val="nil"/>
              <w:left w:val="nil"/>
              <w:bottom w:val="single" w:sz="4" w:space="0" w:color="auto"/>
              <w:right w:val="single" w:sz="4" w:space="0" w:color="auto"/>
            </w:tcBorders>
            <w:shd w:val="clear" w:color="auto" w:fill="auto"/>
            <w:noWrap/>
            <w:tcMar>
              <w:left w:w="29" w:type="dxa"/>
              <w:right w:w="29" w:type="dxa"/>
            </w:tcMar>
            <w:hideMark/>
          </w:tcPr>
          <w:p w14:paraId="7DD8071D" w14:textId="77777777" w:rsidR="004627AC" w:rsidRPr="0042463B" w:rsidRDefault="004627AC" w:rsidP="000E478B">
            <w:pPr>
              <w:jc w:val="right"/>
              <w:rPr>
                <w:b/>
                <w:bCs/>
                <w:color w:val="000000"/>
                <w:sz w:val="20"/>
                <w:szCs w:val="20"/>
              </w:rPr>
            </w:pPr>
            <w:r w:rsidRPr="0042463B">
              <w:rPr>
                <w:b/>
                <w:bCs/>
                <w:color w:val="000000"/>
                <w:sz w:val="20"/>
                <w:szCs w:val="20"/>
              </w:rPr>
              <w:t>64,80</w:t>
            </w:r>
          </w:p>
        </w:tc>
        <w:tc>
          <w:tcPr>
            <w:tcW w:w="489" w:type="pct"/>
            <w:tcBorders>
              <w:top w:val="nil"/>
              <w:left w:val="nil"/>
              <w:bottom w:val="single" w:sz="4" w:space="0" w:color="auto"/>
              <w:right w:val="single" w:sz="4" w:space="0" w:color="auto"/>
            </w:tcBorders>
            <w:shd w:val="clear" w:color="auto" w:fill="auto"/>
            <w:noWrap/>
            <w:tcMar>
              <w:left w:w="29" w:type="dxa"/>
              <w:right w:w="29" w:type="dxa"/>
            </w:tcMar>
            <w:hideMark/>
          </w:tcPr>
          <w:p w14:paraId="6395CEFB" w14:textId="77777777" w:rsidR="004627AC" w:rsidRPr="0042463B" w:rsidRDefault="004627AC" w:rsidP="000E478B">
            <w:pPr>
              <w:jc w:val="right"/>
              <w:rPr>
                <w:b/>
                <w:bCs/>
                <w:color w:val="000000"/>
                <w:sz w:val="20"/>
                <w:szCs w:val="20"/>
              </w:rPr>
            </w:pPr>
            <w:r w:rsidRPr="0042463B">
              <w:rPr>
                <w:b/>
                <w:bCs/>
                <w:color w:val="000000"/>
                <w:sz w:val="20"/>
                <w:szCs w:val="20"/>
              </w:rPr>
              <w:t>62,97</w:t>
            </w:r>
          </w:p>
        </w:tc>
        <w:tc>
          <w:tcPr>
            <w:tcW w:w="489" w:type="pct"/>
            <w:tcBorders>
              <w:top w:val="nil"/>
              <w:left w:val="nil"/>
              <w:bottom w:val="single" w:sz="4" w:space="0" w:color="auto"/>
              <w:right w:val="single" w:sz="4" w:space="0" w:color="auto"/>
            </w:tcBorders>
            <w:shd w:val="clear" w:color="auto" w:fill="auto"/>
            <w:noWrap/>
            <w:tcMar>
              <w:left w:w="29" w:type="dxa"/>
              <w:right w:w="29" w:type="dxa"/>
            </w:tcMar>
            <w:hideMark/>
          </w:tcPr>
          <w:p w14:paraId="05325F4F" w14:textId="77777777" w:rsidR="004627AC" w:rsidRPr="0042463B" w:rsidRDefault="004627AC" w:rsidP="000E478B">
            <w:pPr>
              <w:jc w:val="right"/>
              <w:rPr>
                <w:b/>
                <w:bCs/>
                <w:color w:val="000000"/>
                <w:sz w:val="20"/>
                <w:szCs w:val="20"/>
              </w:rPr>
            </w:pPr>
            <w:r w:rsidRPr="0042463B">
              <w:rPr>
                <w:b/>
                <w:bCs/>
                <w:color w:val="000000"/>
                <w:sz w:val="20"/>
                <w:szCs w:val="20"/>
              </w:rPr>
              <w:t>61,82</w:t>
            </w:r>
          </w:p>
        </w:tc>
        <w:tc>
          <w:tcPr>
            <w:tcW w:w="488" w:type="pct"/>
            <w:tcBorders>
              <w:top w:val="single" w:sz="4" w:space="0" w:color="auto"/>
              <w:left w:val="nil"/>
              <w:bottom w:val="single" w:sz="4" w:space="0" w:color="auto"/>
              <w:right w:val="single" w:sz="4" w:space="0" w:color="auto"/>
            </w:tcBorders>
          </w:tcPr>
          <w:p w14:paraId="787F114B" w14:textId="77777777" w:rsidR="004627AC" w:rsidRPr="0042463B" w:rsidRDefault="004627AC" w:rsidP="000E478B">
            <w:pPr>
              <w:jc w:val="right"/>
              <w:rPr>
                <w:b/>
                <w:bCs/>
                <w:color w:val="000000"/>
                <w:sz w:val="20"/>
                <w:szCs w:val="20"/>
              </w:rPr>
            </w:pPr>
            <w:r w:rsidRPr="0042463B">
              <w:rPr>
                <w:b/>
                <w:bCs/>
                <w:color w:val="000000"/>
                <w:sz w:val="20"/>
                <w:szCs w:val="20"/>
              </w:rPr>
              <w:t>50,85</w:t>
            </w:r>
          </w:p>
        </w:tc>
        <w:tc>
          <w:tcPr>
            <w:tcW w:w="488" w:type="pct"/>
            <w:tcBorders>
              <w:top w:val="single" w:sz="4" w:space="0" w:color="auto"/>
              <w:left w:val="single" w:sz="4" w:space="0" w:color="auto"/>
              <w:bottom w:val="single" w:sz="4" w:space="0" w:color="auto"/>
              <w:right w:val="single" w:sz="4" w:space="0" w:color="auto"/>
            </w:tcBorders>
          </w:tcPr>
          <w:p w14:paraId="3DC761E8" w14:textId="77777777" w:rsidR="004627AC" w:rsidRPr="0042463B" w:rsidRDefault="004627AC" w:rsidP="000E478B">
            <w:pPr>
              <w:jc w:val="right"/>
              <w:rPr>
                <w:b/>
                <w:bCs/>
                <w:color w:val="000000"/>
                <w:sz w:val="20"/>
                <w:szCs w:val="20"/>
              </w:rPr>
            </w:pPr>
            <w:r w:rsidRPr="0042463B">
              <w:rPr>
                <w:b/>
                <w:bCs/>
                <w:color w:val="000000"/>
                <w:sz w:val="20"/>
                <w:szCs w:val="20"/>
              </w:rPr>
              <w:t>42,64</w:t>
            </w:r>
          </w:p>
        </w:tc>
        <w:tc>
          <w:tcPr>
            <w:tcW w:w="488" w:type="pct"/>
            <w:tcBorders>
              <w:top w:val="nil"/>
              <w:left w:val="nil"/>
              <w:bottom w:val="single" w:sz="4" w:space="0" w:color="auto"/>
              <w:right w:val="single" w:sz="4" w:space="0" w:color="auto"/>
            </w:tcBorders>
            <w:shd w:val="clear" w:color="auto" w:fill="auto"/>
            <w:noWrap/>
            <w:tcMar>
              <w:left w:w="29" w:type="dxa"/>
              <w:right w:w="29" w:type="dxa"/>
            </w:tcMar>
            <w:hideMark/>
          </w:tcPr>
          <w:p w14:paraId="2503DE45" w14:textId="77777777" w:rsidR="004627AC" w:rsidRPr="0042463B" w:rsidRDefault="004627AC" w:rsidP="000E478B">
            <w:pPr>
              <w:jc w:val="right"/>
              <w:rPr>
                <w:b/>
                <w:bCs/>
                <w:color w:val="000000"/>
                <w:sz w:val="20"/>
                <w:szCs w:val="20"/>
                <w:lang w:eastAsia="zh-CN"/>
              </w:rPr>
            </w:pPr>
          </w:p>
        </w:tc>
      </w:tr>
    </w:tbl>
    <w:p w14:paraId="68AF6735" w14:textId="77777777" w:rsidR="0039179B" w:rsidRPr="0042463B" w:rsidRDefault="004627AC" w:rsidP="004627AC">
      <w:pPr>
        <w:rPr>
          <w:sz w:val="18"/>
          <w:szCs w:val="18"/>
        </w:rPr>
      </w:pPr>
      <w:r w:rsidRPr="0042463B">
        <w:rPr>
          <w:sz w:val="18"/>
          <w:szCs w:val="18"/>
        </w:rPr>
        <w:t xml:space="preserve">*Consommation moyenne entre 2007 et 2009. </w:t>
      </w:r>
    </w:p>
    <w:p w14:paraId="6D4FDA9E" w14:textId="0145AAA0" w:rsidR="004627AC" w:rsidRPr="0042463B" w:rsidRDefault="006A2740" w:rsidP="004627AC">
      <w:pPr>
        <w:rPr>
          <w:sz w:val="18"/>
          <w:szCs w:val="18"/>
        </w:rPr>
      </w:pPr>
      <w:r w:rsidRPr="0042463B">
        <w:rPr>
          <w:sz w:val="18"/>
          <w:szCs w:val="18"/>
        </w:rPr>
        <w:t>**Données du programme du pays</w:t>
      </w:r>
    </w:p>
    <w:p w14:paraId="2B82E3B9" w14:textId="77777777" w:rsidR="004627AC" w:rsidRPr="0042463B" w:rsidRDefault="004627AC" w:rsidP="004627AC"/>
    <w:p w14:paraId="576701A7" w14:textId="5E84D25E" w:rsidR="00270A7D" w:rsidRPr="0042463B" w:rsidRDefault="004627AC" w:rsidP="00082D6C">
      <w:pPr>
        <w:pStyle w:val="Heading1"/>
        <w:widowControl w:val="0"/>
        <w:tabs>
          <w:tab w:val="clear" w:pos="0"/>
          <w:tab w:val="num" w:pos="568"/>
        </w:tabs>
      </w:pPr>
      <w:r w:rsidRPr="0042463B">
        <w:t>La consommation de HCFC à Bahreïn a diminué en raison de l’application du système d’octroi de permis et de quotas, de la conversion du secteur de la fabrication des appareils de climatisation fonctionnant au HCFC-22 vers des substituts sans HCFC, de l’introduction d’appareils de réfrigération et de climatisation fonctionnant avec des frigorigènes de remplacement, et de la mise en œuvre des activités d’élimination relatives au secteur de l’entretien en réfrigération en vertu de la phase I du PGEH. L’importation de HCFC</w:t>
      </w:r>
      <w:r w:rsidR="00FD303E" w:rsidRPr="0042463B">
        <w:noBreakHyphen/>
      </w:r>
      <w:r w:rsidRPr="0042463B">
        <w:t xml:space="preserve">141b contenu dans les polyols </w:t>
      </w:r>
      <w:proofErr w:type="spellStart"/>
      <w:r w:rsidRPr="0042463B">
        <w:t>prémélangés</w:t>
      </w:r>
      <w:proofErr w:type="spellEnd"/>
      <w:r w:rsidRPr="0042463B">
        <w:t xml:space="preserve"> a augmenté en 2018 en raison de la construction d’immeubles ainsi que de la fabrication accrue de produits de réfrigération; la diminution en 2019 et 2020 a été engendrée par des raisons économiques, ainsi que par l’incidence de la pandémie de COVID-19 qui a affecté la demande du marché. </w:t>
      </w:r>
    </w:p>
    <w:p w14:paraId="25B74E85" w14:textId="77777777" w:rsidR="004627AC" w:rsidRPr="0042463B" w:rsidRDefault="004627AC" w:rsidP="00270A7D">
      <w:pPr>
        <w:pStyle w:val="Heading1"/>
        <w:numPr>
          <w:ilvl w:val="0"/>
          <w:numId w:val="0"/>
        </w:numPr>
        <w:rPr>
          <w:i/>
        </w:rPr>
      </w:pPr>
      <w:r w:rsidRPr="0042463B">
        <w:rPr>
          <w:i/>
        </w:rPr>
        <w:t xml:space="preserve">Rapport de mise en œuvre du programme du pays </w:t>
      </w:r>
    </w:p>
    <w:p w14:paraId="044BF88C" w14:textId="7D9F4CC6" w:rsidR="004627AC" w:rsidRPr="0042463B" w:rsidRDefault="004627AC" w:rsidP="004627AC">
      <w:pPr>
        <w:pStyle w:val="Heading1"/>
      </w:pPr>
      <w:r w:rsidRPr="0042463B">
        <w:t>Le gouvernement de Bahreïn a communiqué des données du secteur de la consommation des HCFC dans le cadre du rapport de mise en œuvre du programme du pays de 2020, et ces données sont inférieures de 0,31 tonne PAO à celles déclarées en vertu de l’Article 7 du Protocole de Montréal. Cela s’explique par 0,31 tonne PAO supplémentaire de HCFC-22 importé pour le stockage, en vue d’une consommation dans les années à venir.</w:t>
      </w:r>
    </w:p>
    <w:p w14:paraId="718AB71F" w14:textId="77777777" w:rsidR="004627AC" w:rsidRPr="0042463B" w:rsidRDefault="004627AC" w:rsidP="004627AC">
      <w:pPr>
        <w:rPr>
          <w:i/>
        </w:rPr>
      </w:pPr>
      <w:r w:rsidRPr="0042463B">
        <w:rPr>
          <w:i/>
        </w:rPr>
        <w:t>Rapport de vérification</w:t>
      </w:r>
    </w:p>
    <w:p w14:paraId="71A01D2A" w14:textId="77777777" w:rsidR="004627AC" w:rsidRPr="0042463B" w:rsidRDefault="004627AC" w:rsidP="004627AC"/>
    <w:p w14:paraId="268BCCAB" w14:textId="0CEF5E2A" w:rsidR="004627AC" w:rsidRPr="0042463B" w:rsidRDefault="004627AC" w:rsidP="000E478B">
      <w:pPr>
        <w:pStyle w:val="Heading1"/>
      </w:pPr>
      <w:r w:rsidRPr="0042463B">
        <w:t>Le rapport de vérification a confirmé que le gouvernement met actuellement en place un système d’octroi de permis et de quotas d’importation et d’exportation des HCFC, et que la consommation totale de HCFC en vertu de l’Article 7 du Protocole de Montréal pour 2019-2020 était correcte (comme indiqué dans le Tableau 1 ci-dessus). Une vérification indépendante a montré que Bahreïn a atteint la cible de réduction de 35 pour cent pour 2020.</w:t>
      </w:r>
    </w:p>
    <w:p w14:paraId="116C66B6" w14:textId="77777777" w:rsidR="004627AC" w:rsidRPr="0042463B" w:rsidRDefault="004627AC" w:rsidP="004627AC">
      <w:pPr>
        <w:rPr>
          <w:u w:val="single"/>
        </w:rPr>
      </w:pPr>
      <w:r w:rsidRPr="0042463B">
        <w:rPr>
          <w:u w:val="single"/>
        </w:rPr>
        <w:t>Cadre juridique</w:t>
      </w:r>
    </w:p>
    <w:p w14:paraId="06AD0EDD" w14:textId="77777777" w:rsidR="004627AC" w:rsidRPr="0042463B" w:rsidRDefault="004627AC" w:rsidP="004627AC">
      <w:pPr>
        <w:rPr>
          <w:i/>
        </w:rPr>
      </w:pPr>
    </w:p>
    <w:p w14:paraId="381FF759" w14:textId="491BD162" w:rsidR="008E3F76" w:rsidRPr="0042463B" w:rsidRDefault="00BC3EFF" w:rsidP="008602B4">
      <w:pPr>
        <w:pStyle w:val="Heading1"/>
        <w:tabs>
          <w:tab w:val="left" w:pos="720"/>
        </w:tabs>
      </w:pPr>
      <w:r w:rsidRPr="0042463B">
        <w:t>Le gouvernement a édicté la Loi 54/2014 pour exécuter la règlementation homogène du Conseil de coopération des États arabes du Golfe (CCG). Cette règlementation avait été mise sur pied pour contrôler l’importation, l’exportation, le commerce, le transfert, l’entreposage et l’élimination des substances appauvrissant la couche d’ozone (SAO) et des appareils fonctionnant avec des SAO au sein des pays</w:t>
      </w:r>
      <w:r w:rsidR="00E83A63" w:rsidRPr="0042463B">
        <w:rPr>
          <w:rStyle w:val="FootnoteReference"/>
        </w:rPr>
        <w:footnoteReference w:id="6"/>
      </w:r>
      <w:r w:rsidRPr="0042463B">
        <w:t xml:space="preserve"> du CCG et pour les remplacer par des substituts sûrs. La Loi 54/2014 donne au Conseil suprême de l’environnement de Bahreïn la mission d’édicter les règlements respectifs. </w:t>
      </w:r>
    </w:p>
    <w:p w14:paraId="3D60DA9D" w14:textId="2F3332C9" w:rsidR="008E3F76" w:rsidRPr="0042463B" w:rsidRDefault="00567612" w:rsidP="007D4AFD">
      <w:pPr>
        <w:pStyle w:val="Heading1"/>
        <w:tabs>
          <w:tab w:val="left" w:pos="720"/>
        </w:tabs>
      </w:pPr>
      <w:r w:rsidRPr="0042463B">
        <w:t>Pendant la phase I du PGEH, le gouvernement a mis sur pied un système d’octroi de permis et de quotas opérationnel; a élaboré un système de permis électroniques; a prohibé les importations d’unités de réfrigération à refroidissement central fonctionnant avec des HCFC et des unités de réfrigération et de climatisation usagées, ainsi que les bouteilles</w:t>
      </w:r>
      <w:r w:rsidR="003F6611" w:rsidRPr="0042463B">
        <w:t xml:space="preserve"> portatives non rechargeables de frigorigènes </w:t>
      </w:r>
      <w:r w:rsidRPr="0042463B">
        <w:t>à partir du 1</w:t>
      </w:r>
      <w:r w:rsidRPr="0042463B">
        <w:rPr>
          <w:vertAlign w:val="superscript"/>
        </w:rPr>
        <w:t>er</w:t>
      </w:r>
      <w:r w:rsidRPr="0042463B">
        <w:t xml:space="preserve"> janvier 2020; a introduit les normes et les codes de sécurité internationaux pour les frigorigènes inflammables et toxiques; a élaboré trois normes pour les bouteilles rechargeables, ainsi que les exigences en matière d’étiquetage pour le remplissage et la régénération des frigorigènes; a élaboré un formulaire d’inscription et un journal de tenue de registre pour suivre la consommation des HCFC; a établi des codes pour la manipulation et l’élimination de bouteilles de frigorigènes; et a mis sur pied des procédures </w:t>
      </w:r>
      <w:r w:rsidRPr="0042463B">
        <w:lastRenderedPageBreak/>
        <w:t xml:space="preserve">d’accréditation obligatoire pour les techniciens en réfrigération et les entreprises d’entretien. Le cadre juridique actuel comprend une interdiction sur l’importation, l’exportation et le transfert de CFC et d’appareils contenant du CFC. Le système d’octroi de permis comprend les HFC sur une base volontaire, afin de donner la possibilité à l’Unité nationale de l’ozone (UNO) de recueillir les données sur leur importation; toutefois, il n’y a pas encore </w:t>
      </w:r>
      <w:r w:rsidR="009834E7" w:rsidRPr="0042463B">
        <w:t xml:space="preserve">de </w:t>
      </w:r>
      <w:r w:rsidRPr="0042463B">
        <w:t>quota en vigueur pour les HFC.</w:t>
      </w:r>
    </w:p>
    <w:p w14:paraId="33974496" w14:textId="106E5D06" w:rsidR="00BC3EFF" w:rsidRPr="0042463B" w:rsidRDefault="00BC3EFF" w:rsidP="00335C7E">
      <w:pPr>
        <w:pStyle w:val="Heading1"/>
        <w:widowControl w:val="0"/>
      </w:pPr>
      <w:r w:rsidRPr="0042463B">
        <w:t xml:space="preserve">La mise en œuvre des activités de facilitation pour l’élimination des HFC se trouve à une étape avancée. Le gouvernement, de concert avec les autres pays du CCG, évalue le moment où il va ratifier l’Amendement de Kigali en tenant compte des implications associées aux conditions de températures environnantes élevées. </w:t>
      </w:r>
    </w:p>
    <w:p w14:paraId="4D2EF6A6" w14:textId="77777777" w:rsidR="004627AC" w:rsidRPr="0042463B" w:rsidRDefault="004627AC" w:rsidP="00032309">
      <w:pPr>
        <w:widowControl w:val="0"/>
        <w:rPr>
          <w:u w:val="single"/>
        </w:rPr>
      </w:pPr>
      <w:r w:rsidRPr="0042463B">
        <w:rPr>
          <w:u w:val="single"/>
        </w:rPr>
        <w:t>Secteur de la fabrication</w:t>
      </w:r>
    </w:p>
    <w:p w14:paraId="1DB91513" w14:textId="77777777" w:rsidR="004627AC" w:rsidRPr="0042463B" w:rsidRDefault="004627AC" w:rsidP="00032309">
      <w:pPr>
        <w:widowControl w:val="0"/>
      </w:pPr>
    </w:p>
    <w:p w14:paraId="606A3A6A" w14:textId="3EC170C2" w:rsidR="004627AC" w:rsidRPr="0042463B" w:rsidRDefault="000327C3" w:rsidP="00032309">
      <w:pPr>
        <w:pStyle w:val="Heading1"/>
        <w:widowControl w:val="0"/>
      </w:pPr>
      <w:r w:rsidRPr="0042463B">
        <w:t>À la 68</w:t>
      </w:r>
      <w:r w:rsidRPr="0042463B">
        <w:rPr>
          <w:vertAlign w:val="superscript"/>
        </w:rPr>
        <w:t>e</w:t>
      </w:r>
      <w:r w:rsidRPr="0042463B">
        <w:t xml:space="preserve"> réunion, le Comité exécutif a approuvé le projet de convertir une chaîne chez </w:t>
      </w:r>
      <w:proofErr w:type="spellStart"/>
      <w:r w:rsidRPr="0042463B">
        <w:t>Awal</w:t>
      </w:r>
      <w:proofErr w:type="spellEnd"/>
      <w:r w:rsidRPr="0042463B">
        <w:t xml:space="preserve"> Gulf </w:t>
      </w:r>
      <w:proofErr w:type="spellStart"/>
      <w:r w:rsidRPr="0042463B">
        <w:t>Manufacturing</w:t>
      </w:r>
      <w:proofErr w:type="spellEnd"/>
      <w:r w:rsidRPr="0042463B">
        <w:t xml:space="preserve"> </w:t>
      </w:r>
      <w:proofErr w:type="spellStart"/>
      <w:r w:rsidRPr="0042463B">
        <w:t>Company</w:t>
      </w:r>
      <w:proofErr w:type="spellEnd"/>
      <w:r w:rsidRPr="0042463B">
        <w:t xml:space="preserve"> (AGM) qui fabrique des climatiseurs </w:t>
      </w:r>
      <w:proofErr w:type="spellStart"/>
      <w:r w:rsidRPr="0042463B">
        <w:t>biblocs</w:t>
      </w:r>
      <w:proofErr w:type="spellEnd"/>
      <w:r w:rsidRPr="0042463B">
        <w:t xml:space="preserve"> fonctionnant au HCFC-22 vers le HFC-32 ou le R-290; le projet aur</w:t>
      </w:r>
      <w:r w:rsidR="003F6611" w:rsidRPr="0042463B">
        <w:t>a</w:t>
      </w:r>
      <w:r w:rsidRPr="0042463B">
        <w:t>it entraîné l’élimination de 14,02 tonnes PAO de HCFC-22. En 2019, le gouvernement de Bahreïn et AGM ont demandé l’annulation du projet. Lors de sa 84</w:t>
      </w:r>
      <w:r w:rsidRPr="0042463B">
        <w:rPr>
          <w:vertAlign w:val="superscript"/>
        </w:rPr>
        <w:t>e</w:t>
      </w:r>
      <w:r w:rsidRPr="0042463B">
        <w:t xml:space="preserve"> réunion, le Comité exécutif a pris note de l’annulation du projet et que le financement approuvé, </w:t>
      </w:r>
      <w:r w:rsidR="003F6611" w:rsidRPr="0042463B">
        <w:t>pour un</w:t>
      </w:r>
      <w:r w:rsidRPr="0042463B">
        <w:t xml:space="preserve"> montant de 1 789 530 $ US, avait été renvoyé au Fonds. L’entreprise s’est engagée à éliminer les 254,90 </w:t>
      </w:r>
      <w:proofErr w:type="spellStart"/>
      <w:r w:rsidRPr="0042463B">
        <w:t>tm</w:t>
      </w:r>
      <w:proofErr w:type="spellEnd"/>
      <w:r w:rsidRPr="0042463B">
        <w:t xml:space="preserve"> (14,02 tonnes PAO) de HCFC-22 qui représentent la consommation totale associée à la conversion approuvée à l’aide de ses propres fonds. </w:t>
      </w:r>
    </w:p>
    <w:p w14:paraId="664FDD68" w14:textId="77777777" w:rsidR="004627AC" w:rsidRPr="0042463B" w:rsidRDefault="004627AC" w:rsidP="004627AC">
      <w:pPr>
        <w:rPr>
          <w:u w:val="single"/>
        </w:rPr>
      </w:pPr>
      <w:r w:rsidRPr="0042463B">
        <w:rPr>
          <w:u w:val="single"/>
        </w:rPr>
        <w:t>Secteur de l’entretien en réfrigération</w:t>
      </w:r>
    </w:p>
    <w:p w14:paraId="20EDC403" w14:textId="77777777" w:rsidR="004627AC" w:rsidRPr="0042463B" w:rsidRDefault="004627AC" w:rsidP="004627AC"/>
    <w:p w14:paraId="5C8569C6" w14:textId="69971040" w:rsidR="004627AC" w:rsidRPr="0042463B" w:rsidRDefault="00BD5D36" w:rsidP="0063411D">
      <w:pPr>
        <w:pStyle w:val="Heading1"/>
      </w:pPr>
      <w:r w:rsidRPr="0042463B">
        <w:t>Les résultats de la mise en œuvre des activités pour l’entretien en réfrigération sont résumés ci</w:t>
      </w:r>
      <w:r w:rsidR="00FD303E" w:rsidRPr="0042463B">
        <w:noBreakHyphen/>
      </w:r>
      <w:r w:rsidRPr="0042463B">
        <w:t>dessous :</w:t>
      </w:r>
    </w:p>
    <w:p w14:paraId="0537C419" w14:textId="76250CB9" w:rsidR="004627AC" w:rsidRPr="0042463B" w:rsidRDefault="00A76018" w:rsidP="00C73C24">
      <w:pPr>
        <w:pStyle w:val="Heading2"/>
      </w:pPr>
      <w:r w:rsidRPr="0042463B">
        <w:t xml:space="preserve">La formation de 200 agents des douanes, importateurs, distributeurs, commerçants et fonctionnaires du gouvernement sur l’application du système d’octroi de permis et de quotas ainsi que le règlement en matière de SAO; le suivi et la prévention du commerce illicite; l’utilisation d’identificateurs de frigorigènes; et le fonctionnement du système de permis électroniques en vertu de la phase I. Le budget pour l’achat de sept identificateurs de frigorigènes a été réaffecté aux activités de formation, puisqu’il a été convenu que le service des douanes obtiendrait les identificateurs si le besoin se présentait; </w:t>
      </w:r>
    </w:p>
    <w:p w14:paraId="476AAD87" w14:textId="66862AF8" w:rsidR="004627AC" w:rsidRPr="0042463B" w:rsidRDefault="00276D3C" w:rsidP="0063411D">
      <w:pPr>
        <w:pStyle w:val="Heading2"/>
      </w:pPr>
      <w:r w:rsidRPr="0042463B">
        <w:t>La formation de 22 formateurs et de 320 techniciens sur les bonnes pratiques d’entretien, l’utilisation et la manipulation des frigorigènes de remplacement inflammables et toxiques; la distribution d’équipement et d’outils (p. ex., identificateurs de frigorigènes, machines de récupération, pompes à vide, tubes et outils de brasage, indicateur de pression d’admission, bouteilles rechargeables) à un établissement de formation; et la mise sur pied d’une procédure d’accréditation obligatoire pour les techniciens;</w:t>
      </w:r>
    </w:p>
    <w:p w14:paraId="628FE198" w14:textId="1FFF3B0A" w:rsidR="000F08FC" w:rsidRPr="0042463B" w:rsidRDefault="00276D3C" w:rsidP="00C21248">
      <w:pPr>
        <w:pStyle w:val="Heading2"/>
      </w:pPr>
      <w:r w:rsidRPr="0042463B">
        <w:t xml:space="preserve">La mise sur pied d’un centre de régénération des HCFC et la formation des techniciens; depuis sa fondation, 3 000 kg de frigorigènes ont été récupérés et 1 700 kg ont été régénérés; </w:t>
      </w:r>
    </w:p>
    <w:p w14:paraId="44CE5DFC" w14:textId="3897A6CD" w:rsidR="008733FA" w:rsidRPr="0042463B" w:rsidRDefault="00276D3C" w:rsidP="0063411D">
      <w:pPr>
        <w:pStyle w:val="Heading2"/>
      </w:pPr>
      <w:r w:rsidRPr="0042463B">
        <w:t>L’organisation d’ateliers de sensibilisation et d’activités pour promouvoir l’élimination des HCFC ainsi que l’adoption des substituts à long terme.</w:t>
      </w:r>
      <w:r w:rsidR="00B4200B" w:rsidRPr="0042463B">
        <w:rPr>
          <w:rStyle w:val="FootnoteReference"/>
        </w:rPr>
        <w:footnoteReference w:id="7"/>
      </w:r>
      <w:r w:rsidRPr="0042463B">
        <w:t xml:space="preserve"> </w:t>
      </w:r>
    </w:p>
    <w:p w14:paraId="3BF85740" w14:textId="77777777" w:rsidR="004627AC" w:rsidRPr="0042463B" w:rsidRDefault="004627AC" w:rsidP="004627AC">
      <w:pPr>
        <w:rPr>
          <w:u w:val="single"/>
        </w:rPr>
      </w:pPr>
      <w:r w:rsidRPr="0042463B">
        <w:rPr>
          <w:u w:val="single"/>
        </w:rPr>
        <w:lastRenderedPageBreak/>
        <w:t xml:space="preserve">Unité de mise en œuvre et de suivi du projet (PMU) </w:t>
      </w:r>
    </w:p>
    <w:p w14:paraId="41380FC3" w14:textId="77777777" w:rsidR="004627AC" w:rsidRPr="0042463B" w:rsidRDefault="004627AC" w:rsidP="004627AC"/>
    <w:p w14:paraId="1EC179B1" w14:textId="18B38520" w:rsidR="00350014" w:rsidRPr="0042463B" w:rsidRDefault="00350014" w:rsidP="00276D3C">
      <w:pPr>
        <w:pStyle w:val="Heading1"/>
      </w:pPr>
      <w:r w:rsidRPr="0042463B">
        <w:t>Le PGEH a été mis en œuvre par la PMU, pour un coût total de 141 882 $ US, selon la répartition suivante : personnel et consultants, 70 000 $ US; réunions et ateliers, 68 000 $ US; et éléments divers, 3 882 $ US.</w:t>
      </w:r>
    </w:p>
    <w:p w14:paraId="7F664A92" w14:textId="77777777" w:rsidR="00350014" w:rsidRPr="0042463B" w:rsidRDefault="00350014" w:rsidP="00276D3C">
      <w:pPr>
        <w:rPr>
          <w:u w:val="single"/>
        </w:rPr>
      </w:pPr>
      <w:r w:rsidRPr="0042463B">
        <w:rPr>
          <w:u w:val="single"/>
        </w:rPr>
        <w:t>Rapport financier</w:t>
      </w:r>
    </w:p>
    <w:p w14:paraId="1247C9FD" w14:textId="77777777" w:rsidR="00350014" w:rsidRPr="0042463B" w:rsidRDefault="00350014" w:rsidP="00276D3C"/>
    <w:p w14:paraId="671CA7A1" w14:textId="77777777" w:rsidR="00350014" w:rsidRPr="0042463B" w:rsidRDefault="00350014" w:rsidP="004E70EC">
      <w:pPr>
        <w:pStyle w:val="Heading1"/>
        <w:widowControl w:val="0"/>
      </w:pPr>
      <w:r w:rsidRPr="0042463B">
        <w:t>En août 2021, sur le montant approuvé de 994 455 $ US, 874 543 $ US (88 pour cent) ont été décaissés (325 787 $ US pour le PNUE et 548 756 $ US pour l’ONUDI). Le décaissement pour la troisième tranche a atteint 70 000 $ US (38 pour cent). Le solde de 119 912 $ US sera décaissé en 2021-2022.</w:t>
      </w:r>
    </w:p>
    <w:p w14:paraId="5157B895" w14:textId="77777777" w:rsidR="00350014" w:rsidRPr="0042463B" w:rsidRDefault="00350014" w:rsidP="004E70EC">
      <w:pPr>
        <w:widowControl w:val="0"/>
        <w:rPr>
          <w:u w:val="single"/>
        </w:rPr>
      </w:pPr>
      <w:r w:rsidRPr="0042463B">
        <w:rPr>
          <w:u w:val="single"/>
        </w:rPr>
        <w:t xml:space="preserve">Achèvement de la phase I </w:t>
      </w:r>
    </w:p>
    <w:p w14:paraId="2D5117F4" w14:textId="77777777" w:rsidR="00350014" w:rsidRPr="0042463B" w:rsidRDefault="00350014" w:rsidP="004E70EC">
      <w:pPr>
        <w:widowControl w:val="0"/>
      </w:pPr>
    </w:p>
    <w:p w14:paraId="1B10ADBB" w14:textId="40F70185" w:rsidR="00350014" w:rsidRPr="0042463B" w:rsidRDefault="00B22CED" w:rsidP="004E70EC">
      <w:pPr>
        <w:pStyle w:val="Heading1"/>
        <w:widowControl w:val="0"/>
      </w:pPr>
      <w:r w:rsidRPr="0042463B">
        <w:t>La quatrième et dernière tranche de la phase I était prévue pour 2020. En raison des retards provoqués par la COVID-19, la mise en œuvre de la troisième tranche a été reportée. En présentant la phase II, le gouvernement demande l’annulation de</w:t>
      </w:r>
      <w:r w:rsidR="00DB69AF" w:rsidRPr="0042463B">
        <w:t xml:space="preserve"> la</w:t>
      </w:r>
      <w:r w:rsidRPr="0042463B">
        <w:t xml:space="preserve"> quatrième (dernière) tranche de la phase I (s’élevant à 25 000 $ US, plus les coût</w:t>
      </w:r>
      <w:r w:rsidR="000F59B2" w:rsidRPr="0042463B">
        <w:t>s</w:t>
      </w:r>
      <w:r w:rsidRPr="0042463B">
        <w:t xml:space="preserve"> d’appui d’agence pour le PNUE). La phase I sera achevée d’ici la fin de 2021.</w:t>
      </w:r>
    </w:p>
    <w:p w14:paraId="69E59A59" w14:textId="77777777" w:rsidR="00EB31E3" w:rsidRPr="0042463B" w:rsidRDefault="00EB31E3" w:rsidP="004E70EC">
      <w:pPr>
        <w:keepNext/>
        <w:autoSpaceDE w:val="0"/>
        <w:autoSpaceDN w:val="0"/>
        <w:adjustRightInd w:val="0"/>
        <w:rPr>
          <w:b/>
          <w:bCs/>
        </w:rPr>
      </w:pPr>
      <w:r w:rsidRPr="0042463B">
        <w:rPr>
          <w:b/>
          <w:bCs/>
        </w:rPr>
        <w:t>Phase II du PGEH</w:t>
      </w:r>
    </w:p>
    <w:p w14:paraId="285F4A1C" w14:textId="7771CB6F" w:rsidR="00EB31E3" w:rsidRPr="0042463B" w:rsidRDefault="00EB31E3" w:rsidP="004E70EC">
      <w:pPr>
        <w:keepNext/>
      </w:pPr>
    </w:p>
    <w:p w14:paraId="1C561C23" w14:textId="77777777" w:rsidR="00FC53DC" w:rsidRPr="0042463B" w:rsidRDefault="00FC53DC" w:rsidP="004E70EC">
      <w:pPr>
        <w:keepNext/>
        <w:spacing w:after="240"/>
        <w:outlineLvl w:val="0"/>
        <w:rPr>
          <w:u w:val="single"/>
        </w:rPr>
      </w:pPr>
      <w:r w:rsidRPr="0042463B">
        <w:rPr>
          <w:u w:val="single"/>
        </w:rPr>
        <w:t>Consommation restante admissible au financement</w:t>
      </w:r>
    </w:p>
    <w:p w14:paraId="6B08D031" w14:textId="5A3011D9" w:rsidR="003879BE" w:rsidRPr="0042463B" w:rsidRDefault="00FC53DC" w:rsidP="0039179B">
      <w:pPr>
        <w:pStyle w:val="Heading1"/>
      </w:pPr>
      <w:r w:rsidRPr="0042463B">
        <w:t xml:space="preserve">Après la déduction de 18,03 tonnes PAO de HCFC associées à la phase I du PGEH, la consommation restante admissible au financement s’élève à 43,36 tonnes PAO de HCFC, comprenant 25,36 tonnes PAO de HCFC-22 dans la fabrication des climatiseurs, 7,89 tonnes PAO de HCFC-22 dans le secteur de l’entretien des appareils de réfrigération et de climatisation, et 10,11 tonnes PAO de HCFC-141b contenu dans les polyols </w:t>
      </w:r>
      <w:proofErr w:type="spellStart"/>
      <w:r w:rsidRPr="0042463B">
        <w:t>prémélangés</w:t>
      </w:r>
      <w:proofErr w:type="spellEnd"/>
      <w:r w:rsidRPr="0042463B">
        <w:t xml:space="preserve"> importés dans le secteur des mousses. La phase II éliminera 40,61 tonnes PAO de HCFC, soit 25,36 tonnes PAO de HCFC-22 dans la fabrication des climatiseurs, 5,13 tonnes PAO de HCFC-22 dans le secteur de l’entretien des appareils de réfrigération et de climatisation, et 10,11 tonnes PAO de HCFC-141b contenu dans les polyols </w:t>
      </w:r>
      <w:proofErr w:type="spellStart"/>
      <w:r w:rsidRPr="0042463B">
        <w:t>prémélangés</w:t>
      </w:r>
      <w:proofErr w:type="spellEnd"/>
      <w:r w:rsidRPr="0042463B">
        <w:t xml:space="preserve"> importés; les 2,75 tonnes PAO restantes de HCFC-22 seront traitées dans les futures phases. </w:t>
      </w:r>
    </w:p>
    <w:p w14:paraId="6AAADEB9" w14:textId="2A968213" w:rsidR="007102DF" w:rsidRPr="0042463B" w:rsidRDefault="00EB31E3" w:rsidP="007102DF">
      <w:pPr>
        <w:keepNext/>
        <w:keepLines/>
        <w:spacing w:after="240"/>
        <w:outlineLvl w:val="0"/>
        <w:rPr>
          <w:u w:val="single"/>
        </w:rPr>
      </w:pPr>
      <w:r w:rsidRPr="0042463B">
        <w:rPr>
          <w:u w:val="single"/>
        </w:rPr>
        <w:t>Distribution sectorielle des HCFC</w:t>
      </w:r>
    </w:p>
    <w:p w14:paraId="382F5525" w14:textId="699E9091" w:rsidR="008A0B6D" w:rsidRPr="0042463B" w:rsidRDefault="009D286F" w:rsidP="009D286F">
      <w:pPr>
        <w:pStyle w:val="Heading1"/>
      </w:pPr>
      <w:r w:rsidRPr="0042463B">
        <w:t xml:space="preserve">Bahreïn consomme le HCFC-22 comme frigorigène pour la fabrication de climatiseurs à usage domestique (51 pour cent de la consommation totale en 2020) et pour l’entretien des appareils de réfrigération et de climatisation, ainsi que le HCFC-141b contenu dans les polyols </w:t>
      </w:r>
      <w:proofErr w:type="spellStart"/>
      <w:r w:rsidRPr="0042463B">
        <w:t>prémélangés</w:t>
      </w:r>
      <w:proofErr w:type="spellEnd"/>
      <w:r w:rsidRPr="0042463B">
        <w:t xml:space="preserve"> importés pour la fabrication de mousse isolante en polyuréthanne (PU) pour les appareils de réfrigération. Au cours des années précédentes, une petite quantité de HCFC-141b a été utilisée comme agent de nettoyage et une petite quantité de HCFC-123 a été utilisée pour l’entretien des refroidisseurs (Tableau 2). </w:t>
      </w:r>
    </w:p>
    <w:p w14:paraId="0AE2428A" w14:textId="77777777" w:rsidR="003F449D" w:rsidRPr="0042463B" w:rsidRDefault="00820D62" w:rsidP="008A0B6D">
      <w:pPr>
        <w:pStyle w:val="Heading1"/>
        <w:numPr>
          <w:ilvl w:val="0"/>
          <w:numId w:val="0"/>
        </w:numPr>
        <w:spacing w:after="0"/>
        <w:rPr>
          <w:b/>
        </w:rPr>
      </w:pPr>
      <w:r w:rsidRPr="0042463B">
        <w:rPr>
          <w:b/>
        </w:rPr>
        <w:t>Tableau 2. Distribution sectorielle de la consommation de HCFC à Bahreïn (tonnes PAO)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6"/>
        <w:gridCol w:w="750"/>
        <w:gridCol w:w="669"/>
        <w:gridCol w:w="707"/>
        <w:gridCol w:w="709"/>
        <w:gridCol w:w="709"/>
      </w:tblGrid>
      <w:tr w:rsidR="00A6144B" w:rsidRPr="0042463B" w14:paraId="0369ACEC" w14:textId="77777777" w:rsidTr="00E0143A">
        <w:trPr>
          <w:trHeight w:val="160"/>
          <w:tblHeader/>
        </w:trPr>
        <w:tc>
          <w:tcPr>
            <w:tcW w:w="3105" w:type="pct"/>
            <w:shd w:val="clear" w:color="auto" w:fill="auto"/>
            <w:tcMar>
              <w:left w:w="58" w:type="dxa"/>
              <w:right w:w="0" w:type="dxa"/>
            </w:tcMar>
            <w:vAlign w:val="center"/>
            <w:hideMark/>
          </w:tcPr>
          <w:p w14:paraId="251F504C" w14:textId="77777777" w:rsidR="00337A12" w:rsidRPr="0042463B" w:rsidRDefault="00337A12" w:rsidP="00337A12">
            <w:pPr>
              <w:rPr>
                <w:b/>
                <w:bCs/>
                <w:color w:val="000000"/>
                <w:sz w:val="20"/>
                <w:szCs w:val="20"/>
              </w:rPr>
            </w:pPr>
            <w:r w:rsidRPr="0042463B">
              <w:rPr>
                <w:b/>
                <w:bCs/>
                <w:color w:val="000000" w:themeColor="text1"/>
                <w:sz w:val="20"/>
                <w:szCs w:val="20"/>
              </w:rPr>
              <w:t>Secteurs/sous-secteurs</w:t>
            </w:r>
          </w:p>
        </w:tc>
        <w:tc>
          <w:tcPr>
            <w:tcW w:w="401" w:type="pct"/>
            <w:shd w:val="clear" w:color="auto" w:fill="auto"/>
            <w:noWrap/>
            <w:vAlign w:val="center"/>
            <w:hideMark/>
          </w:tcPr>
          <w:p w14:paraId="3D5834DF" w14:textId="77777777" w:rsidR="00337A12" w:rsidRPr="0042463B" w:rsidRDefault="00337A12" w:rsidP="00337A12">
            <w:pPr>
              <w:jc w:val="center"/>
              <w:rPr>
                <w:b/>
                <w:bCs/>
                <w:color w:val="000000"/>
                <w:sz w:val="20"/>
                <w:szCs w:val="20"/>
              </w:rPr>
            </w:pPr>
            <w:r w:rsidRPr="0042463B">
              <w:rPr>
                <w:b/>
                <w:bCs/>
                <w:color w:val="000000" w:themeColor="text1"/>
                <w:sz w:val="20"/>
                <w:szCs w:val="20"/>
              </w:rPr>
              <w:t>2016</w:t>
            </w:r>
          </w:p>
        </w:tc>
        <w:tc>
          <w:tcPr>
            <w:tcW w:w="358" w:type="pct"/>
            <w:shd w:val="clear" w:color="auto" w:fill="auto"/>
            <w:vAlign w:val="center"/>
            <w:hideMark/>
          </w:tcPr>
          <w:p w14:paraId="7BF130DD" w14:textId="77777777" w:rsidR="00337A12" w:rsidRPr="0042463B" w:rsidRDefault="00337A12" w:rsidP="00337A12">
            <w:pPr>
              <w:jc w:val="center"/>
              <w:rPr>
                <w:b/>
                <w:bCs/>
                <w:color w:val="000000"/>
                <w:sz w:val="20"/>
                <w:szCs w:val="20"/>
              </w:rPr>
            </w:pPr>
            <w:r w:rsidRPr="0042463B">
              <w:rPr>
                <w:b/>
                <w:bCs/>
                <w:color w:val="000000" w:themeColor="text1"/>
                <w:sz w:val="20"/>
                <w:szCs w:val="20"/>
              </w:rPr>
              <w:t>2017</w:t>
            </w:r>
          </w:p>
        </w:tc>
        <w:tc>
          <w:tcPr>
            <w:tcW w:w="378" w:type="pct"/>
            <w:shd w:val="clear" w:color="auto" w:fill="auto"/>
            <w:vAlign w:val="center"/>
            <w:hideMark/>
          </w:tcPr>
          <w:p w14:paraId="6EEC9707" w14:textId="77777777" w:rsidR="00337A12" w:rsidRPr="0042463B" w:rsidRDefault="00337A12" w:rsidP="00337A12">
            <w:pPr>
              <w:jc w:val="center"/>
              <w:rPr>
                <w:b/>
                <w:bCs/>
                <w:color w:val="000000"/>
                <w:sz w:val="20"/>
                <w:szCs w:val="20"/>
              </w:rPr>
            </w:pPr>
            <w:r w:rsidRPr="0042463B">
              <w:rPr>
                <w:b/>
                <w:bCs/>
                <w:color w:val="000000" w:themeColor="text1"/>
                <w:sz w:val="20"/>
                <w:szCs w:val="20"/>
              </w:rPr>
              <w:t>2018</w:t>
            </w:r>
          </w:p>
        </w:tc>
        <w:tc>
          <w:tcPr>
            <w:tcW w:w="379" w:type="pct"/>
            <w:shd w:val="clear" w:color="auto" w:fill="auto"/>
            <w:vAlign w:val="center"/>
            <w:hideMark/>
          </w:tcPr>
          <w:p w14:paraId="056AD46B" w14:textId="77777777" w:rsidR="00337A12" w:rsidRPr="0042463B" w:rsidRDefault="00337A12" w:rsidP="00337A12">
            <w:pPr>
              <w:jc w:val="center"/>
              <w:rPr>
                <w:b/>
                <w:bCs/>
                <w:color w:val="000000"/>
                <w:sz w:val="20"/>
                <w:szCs w:val="20"/>
              </w:rPr>
            </w:pPr>
            <w:r w:rsidRPr="0042463B">
              <w:rPr>
                <w:b/>
                <w:bCs/>
                <w:color w:val="000000" w:themeColor="text1"/>
                <w:sz w:val="20"/>
                <w:szCs w:val="20"/>
              </w:rPr>
              <w:t>2019</w:t>
            </w:r>
          </w:p>
        </w:tc>
        <w:tc>
          <w:tcPr>
            <w:tcW w:w="379" w:type="pct"/>
            <w:shd w:val="clear" w:color="auto" w:fill="auto"/>
            <w:vAlign w:val="center"/>
            <w:hideMark/>
          </w:tcPr>
          <w:p w14:paraId="6E63BD7F" w14:textId="77777777" w:rsidR="00337A12" w:rsidRPr="0042463B" w:rsidRDefault="00337A12" w:rsidP="00337A12">
            <w:pPr>
              <w:jc w:val="center"/>
              <w:rPr>
                <w:b/>
                <w:bCs/>
                <w:color w:val="000000"/>
                <w:sz w:val="20"/>
                <w:szCs w:val="20"/>
              </w:rPr>
            </w:pPr>
            <w:r w:rsidRPr="0042463B">
              <w:rPr>
                <w:b/>
                <w:bCs/>
                <w:color w:val="000000" w:themeColor="text1"/>
                <w:sz w:val="20"/>
                <w:szCs w:val="20"/>
              </w:rPr>
              <w:t>2020</w:t>
            </w:r>
          </w:p>
        </w:tc>
      </w:tr>
      <w:tr w:rsidR="00337A12" w:rsidRPr="0042463B" w14:paraId="246C9DA3" w14:textId="77777777" w:rsidTr="00E0143A">
        <w:trPr>
          <w:trHeight w:val="35"/>
        </w:trPr>
        <w:tc>
          <w:tcPr>
            <w:tcW w:w="5000" w:type="pct"/>
            <w:gridSpan w:val="6"/>
            <w:shd w:val="clear" w:color="auto" w:fill="auto"/>
            <w:noWrap/>
            <w:tcMar>
              <w:left w:w="58" w:type="dxa"/>
              <w:right w:w="0" w:type="dxa"/>
            </w:tcMar>
            <w:vAlign w:val="center"/>
            <w:hideMark/>
          </w:tcPr>
          <w:p w14:paraId="081B8FE9" w14:textId="77777777" w:rsidR="00337A12" w:rsidRPr="0042463B" w:rsidRDefault="00337A12" w:rsidP="00337A12">
            <w:pPr>
              <w:jc w:val="left"/>
              <w:rPr>
                <w:i/>
                <w:color w:val="000000"/>
                <w:sz w:val="20"/>
                <w:szCs w:val="20"/>
              </w:rPr>
            </w:pPr>
            <w:r w:rsidRPr="0042463B">
              <w:rPr>
                <w:i/>
                <w:color w:val="000000" w:themeColor="text1"/>
                <w:sz w:val="20"/>
                <w:szCs w:val="20"/>
              </w:rPr>
              <w:t>Fabrication</w:t>
            </w:r>
          </w:p>
        </w:tc>
      </w:tr>
      <w:tr w:rsidR="00A6144B" w:rsidRPr="0042463B" w14:paraId="555D53FA" w14:textId="77777777" w:rsidTr="00E0143A">
        <w:trPr>
          <w:trHeight w:val="160"/>
        </w:trPr>
        <w:tc>
          <w:tcPr>
            <w:tcW w:w="3105" w:type="pct"/>
            <w:shd w:val="clear" w:color="auto" w:fill="auto"/>
            <w:noWrap/>
            <w:tcMar>
              <w:left w:w="58" w:type="dxa"/>
              <w:right w:w="0" w:type="dxa"/>
            </w:tcMar>
            <w:vAlign w:val="center"/>
            <w:hideMark/>
          </w:tcPr>
          <w:p w14:paraId="75E82E55" w14:textId="28BF8B8F" w:rsidR="00337A12" w:rsidRPr="0042463B" w:rsidRDefault="00337A12" w:rsidP="00A5641C">
            <w:pPr>
              <w:rPr>
                <w:color w:val="000000"/>
                <w:sz w:val="20"/>
                <w:szCs w:val="20"/>
              </w:rPr>
            </w:pPr>
            <w:r w:rsidRPr="0042463B">
              <w:rPr>
                <w:color w:val="000000" w:themeColor="text1"/>
                <w:sz w:val="20"/>
                <w:szCs w:val="20"/>
              </w:rPr>
              <w:t>HCFC-22 dans la fabrication des climatiseurs à usage domestique</w:t>
            </w:r>
          </w:p>
        </w:tc>
        <w:tc>
          <w:tcPr>
            <w:tcW w:w="401" w:type="pct"/>
            <w:shd w:val="clear" w:color="auto" w:fill="auto"/>
            <w:noWrap/>
            <w:vAlign w:val="center"/>
            <w:hideMark/>
          </w:tcPr>
          <w:p w14:paraId="674674F4" w14:textId="77777777" w:rsidR="00337A12" w:rsidRPr="0042463B" w:rsidRDefault="00337A12" w:rsidP="00337A12">
            <w:pPr>
              <w:jc w:val="center"/>
              <w:rPr>
                <w:color w:val="000000"/>
                <w:sz w:val="20"/>
                <w:szCs w:val="20"/>
              </w:rPr>
            </w:pPr>
            <w:r w:rsidRPr="0042463B">
              <w:rPr>
                <w:color w:val="000000" w:themeColor="text1"/>
                <w:sz w:val="20"/>
                <w:szCs w:val="20"/>
              </w:rPr>
              <w:t>27,23</w:t>
            </w:r>
          </w:p>
        </w:tc>
        <w:tc>
          <w:tcPr>
            <w:tcW w:w="358" w:type="pct"/>
            <w:shd w:val="clear" w:color="auto" w:fill="auto"/>
            <w:vAlign w:val="center"/>
            <w:hideMark/>
          </w:tcPr>
          <w:p w14:paraId="15019B12" w14:textId="77777777" w:rsidR="00337A12" w:rsidRPr="0042463B" w:rsidRDefault="00337A12" w:rsidP="00337A12">
            <w:pPr>
              <w:jc w:val="center"/>
              <w:rPr>
                <w:color w:val="000000"/>
                <w:sz w:val="20"/>
                <w:szCs w:val="20"/>
              </w:rPr>
            </w:pPr>
            <w:r w:rsidRPr="0042463B">
              <w:rPr>
                <w:color w:val="000000" w:themeColor="text1"/>
                <w:sz w:val="20"/>
                <w:szCs w:val="20"/>
              </w:rPr>
              <w:t>22,83</w:t>
            </w:r>
          </w:p>
        </w:tc>
        <w:tc>
          <w:tcPr>
            <w:tcW w:w="378" w:type="pct"/>
            <w:shd w:val="clear" w:color="auto" w:fill="auto"/>
            <w:vAlign w:val="center"/>
            <w:hideMark/>
          </w:tcPr>
          <w:p w14:paraId="79A6C0A0" w14:textId="77777777" w:rsidR="00337A12" w:rsidRPr="0042463B" w:rsidRDefault="00337A12" w:rsidP="00337A12">
            <w:pPr>
              <w:jc w:val="center"/>
              <w:rPr>
                <w:color w:val="000000"/>
                <w:sz w:val="20"/>
                <w:szCs w:val="20"/>
              </w:rPr>
            </w:pPr>
            <w:r w:rsidRPr="0042463B">
              <w:rPr>
                <w:color w:val="000000" w:themeColor="text1"/>
                <w:sz w:val="20"/>
                <w:szCs w:val="20"/>
              </w:rPr>
              <w:t>21,45</w:t>
            </w:r>
          </w:p>
        </w:tc>
        <w:tc>
          <w:tcPr>
            <w:tcW w:w="379" w:type="pct"/>
            <w:shd w:val="clear" w:color="auto" w:fill="auto"/>
            <w:vAlign w:val="center"/>
            <w:hideMark/>
          </w:tcPr>
          <w:p w14:paraId="0D38B815" w14:textId="77777777" w:rsidR="00337A12" w:rsidRPr="0042463B" w:rsidRDefault="00337A12" w:rsidP="00337A12">
            <w:pPr>
              <w:jc w:val="center"/>
              <w:rPr>
                <w:color w:val="000000"/>
                <w:sz w:val="20"/>
                <w:szCs w:val="20"/>
              </w:rPr>
            </w:pPr>
            <w:r w:rsidRPr="0042463B">
              <w:rPr>
                <w:color w:val="000000" w:themeColor="text1"/>
                <w:sz w:val="20"/>
                <w:szCs w:val="20"/>
              </w:rPr>
              <w:t>19,25</w:t>
            </w:r>
          </w:p>
        </w:tc>
        <w:tc>
          <w:tcPr>
            <w:tcW w:w="379" w:type="pct"/>
            <w:shd w:val="clear" w:color="auto" w:fill="auto"/>
            <w:vAlign w:val="center"/>
            <w:hideMark/>
          </w:tcPr>
          <w:p w14:paraId="53FABE24" w14:textId="77777777" w:rsidR="00337A12" w:rsidRPr="0042463B" w:rsidRDefault="00337A12" w:rsidP="00337A12">
            <w:pPr>
              <w:jc w:val="center"/>
              <w:rPr>
                <w:color w:val="000000"/>
                <w:sz w:val="20"/>
                <w:szCs w:val="20"/>
              </w:rPr>
            </w:pPr>
            <w:r w:rsidRPr="0042463B">
              <w:rPr>
                <w:color w:val="000000" w:themeColor="text1"/>
                <w:sz w:val="20"/>
                <w:szCs w:val="20"/>
              </w:rPr>
              <w:t>16,5</w:t>
            </w:r>
          </w:p>
        </w:tc>
      </w:tr>
      <w:tr w:rsidR="00A6144B" w:rsidRPr="0042463B" w14:paraId="37EBCDF7" w14:textId="77777777" w:rsidTr="00E0143A">
        <w:trPr>
          <w:trHeight w:val="160"/>
        </w:trPr>
        <w:tc>
          <w:tcPr>
            <w:tcW w:w="3105" w:type="pct"/>
            <w:shd w:val="clear" w:color="auto" w:fill="auto"/>
            <w:noWrap/>
            <w:tcMar>
              <w:left w:w="58" w:type="dxa"/>
              <w:right w:w="0" w:type="dxa"/>
            </w:tcMar>
            <w:vAlign w:val="center"/>
            <w:hideMark/>
          </w:tcPr>
          <w:p w14:paraId="786B830C" w14:textId="77777777" w:rsidR="00337A12" w:rsidRPr="0042463B" w:rsidRDefault="00D9565D" w:rsidP="00E0143A">
            <w:pPr>
              <w:ind w:right="558"/>
              <w:rPr>
                <w:color w:val="000000"/>
                <w:sz w:val="20"/>
                <w:szCs w:val="20"/>
              </w:rPr>
            </w:pPr>
            <w:r w:rsidRPr="0042463B">
              <w:rPr>
                <w:bCs/>
                <w:color w:val="000000" w:themeColor="text1"/>
                <w:sz w:val="20"/>
                <w:szCs w:val="20"/>
              </w:rPr>
              <w:t xml:space="preserve">HCFC-141b contenu dans le polyol </w:t>
            </w:r>
            <w:proofErr w:type="spellStart"/>
            <w:r w:rsidRPr="0042463B">
              <w:rPr>
                <w:bCs/>
                <w:color w:val="000000" w:themeColor="text1"/>
                <w:sz w:val="20"/>
                <w:szCs w:val="20"/>
              </w:rPr>
              <w:t>prémélangé</w:t>
            </w:r>
            <w:proofErr w:type="spellEnd"/>
            <w:r w:rsidRPr="0042463B">
              <w:rPr>
                <w:bCs/>
                <w:color w:val="000000" w:themeColor="text1"/>
                <w:sz w:val="20"/>
                <w:szCs w:val="20"/>
              </w:rPr>
              <w:t xml:space="preserve"> importé dans le secteur des mousses*</w:t>
            </w:r>
          </w:p>
        </w:tc>
        <w:tc>
          <w:tcPr>
            <w:tcW w:w="401" w:type="pct"/>
            <w:shd w:val="clear" w:color="auto" w:fill="auto"/>
            <w:noWrap/>
            <w:vAlign w:val="center"/>
            <w:hideMark/>
          </w:tcPr>
          <w:p w14:paraId="4F8F4C69" w14:textId="77777777" w:rsidR="00337A12" w:rsidRPr="0042463B" w:rsidRDefault="00337A12" w:rsidP="00337A12">
            <w:pPr>
              <w:jc w:val="center"/>
              <w:rPr>
                <w:color w:val="000000"/>
                <w:sz w:val="20"/>
                <w:szCs w:val="20"/>
              </w:rPr>
            </w:pPr>
            <w:r w:rsidRPr="0042463B">
              <w:rPr>
                <w:color w:val="000000" w:themeColor="text1"/>
                <w:sz w:val="20"/>
                <w:szCs w:val="20"/>
              </w:rPr>
              <w:t>19,03</w:t>
            </w:r>
          </w:p>
        </w:tc>
        <w:tc>
          <w:tcPr>
            <w:tcW w:w="358" w:type="pct"/>
            <w:shd w:val="clear" w:color="auto" w:fill="auto"/>
            <w:vAlign w:val="center"/>
            <w:hideMark/>
          </w:tcPr>
          <w:p w14:paraId="47732519" w14:textId="77777777" w:rsidR="00337A12" w:rsidRPr="0042463B" w:rsidRDefault="00337A12" w:rsidP="00337A12">
            <w:pPr>
              <w:jc w:val="center"/>
              <w:rPr>
                <w:color w:val="000000"/>
                <w:sz w:val="20"/>
                <w:szCs w:val="20"/>
              </w:rPr>
            </w:pPr>
            <w:r w:rsidRPr="0042463B">
              <w:rPr>
                <w:color w:val="000000" w:themeColor="text1"/>
                <w:sz w:val="20"/>
                <w:szCs w:val="20"/>
              </w:rPr>
              <w:t>18,75</w:t>
            </w:r>
          </w:p>
        </w:tc>
        <w:tc>
          <w:tcPr>
            <w:tcW w:w="378" w:type="pct"/>
            <w:shd w:val="clear" w:color="auto" w:fill="auto"/>
            <w:vAlign w:val="center"/>
            <w:hideMark/>
          </w:tcPr>
          <w:p w14:paraId="2762F877" w14:textId="77777777" w:rsidR="00337A12" w:rsidRPr="0042463B" w:rsidRDefault="00337A12" w:rsidP="00337A12">
            <w:pPr>
              <w:jc w:val="center"/>
              <w:rPr>
                <w:color w:val="000000"/>
                <w:sz w:val="20"/>
                <w:szCs w:val="20"/>
              </w:rPr>
            </w:pPr>
            <w:r w:rsidRPr="0042463B">
              <w:rPr>
                <w:color w:val="000000" w:themeColor="text1"/>
                <w:sz w:val="20"/>
                <w:szCs w:val="20"/>
              </w:rPr>
              <w:t>21,17</w:t>
            </w:r>
          </w:p>
        </w:tc>
        <w:tc>
          <w:tcPr>
            <w:tcW w:w="379" w:type="pct"/>
            <w:shd w:val="clear" w:color="auto" w:fill="auto"/>
            <w:vAlign w:val="center"/>
            <w:hideMark/>
          </w:tcPr>
          <w:p w14:paraId="1AE2B28B" w14:textId="77777777" w:rsidR="00337A12" w:rsidRPr="0042463B" w:rsidRDefault="00337A12" w:rsidP="00337A12">
            <w:pPr>
              <w:jc w:val="center"/>
              <w:rPr>
                <w:color w:val="000000"/>
                <w:sz w:val="20"/>
                <w:szCs w:val="20"/>
              </w:rPr>
            </w:pPr>
            <w:r w:rsidRPr="0042463B">
              <w:rPr>
                <w:color w:val="000000" w:themeColor="text1"/>
                <w:sz w:val="20"/>
                <w:szCs w:val="20"/>
              </w:rPr>
              <w:t>13,81</w:t>
            </w:r>
          </w:p>
        </w:tc>
        <w:tc>
          <w:tcPr>
            <w:tcW w:w="379" w:type="pct"/>
            <w:shd w:val="clear" w:color="auto" w:fill="auto"/>
            <w:vAlign w:val="center"/>
            <w:hideMark/>
          </w:tcPr>
          <w:p w14:paraId="05E832A6" w14:textId="77777777" w:rsidR="00337A12" w:rsidRPr="0042463B" w:rsidRDefault="00337A12" w:rsidP="00337A12">
            <w:pPr>
              <w:jc w:val="center"/>
              <w:rPr>
                <w:color w:val="000000"/>
                <w:sz w:val="20"/>
                <w:szCs w:val="20"/>
              </w:rPr>
            </w:pPr>
            <w:r w:rsidRPr="0042463B">
              <w:rPr>
                <w:color w:val="000000" w:themeColor="text1"/>
                <w:sz w:val="20"/>
                <w:szCs w:val="20"/>
              </w:rPr>
              <w:t>9,88</w:t>
            </w:r>
          </w:p>
        </w:tc>
      </w:tr>
      <w:tr w:rsidR="00A6144B" w:rsidRPr="0042463B" w14:paraId="77B23591" w14:textId="77777777" w:rsidTr="00E0143A">
        <w:trPr>
          <w:trHeight w:val="160"/>
        </w:trPr>
        <w:tc>
          <w:tcPr>
            <w:tcW w:w="3105" w:type="pct"/>
            <w:shd w:val="clear" w:color="auto" w:fill="auto"/>
            <w:noWrap/>
            <w:tcMar>
              <w:left w:w="58" w:type="dxa"/>
              <w:right w:w="0" w:type="dxa"/>
            </w:tcMar>
            <w:vAlign w:val="center"/>
            <w:hideMark/>
          </w:tcPr>
          <w:p w14:paraId="6C495764" w14:textId="77777777" w:rsidR="00337A12" w:rsidRPr="0042463B" w:rsidRDefault="00337A12" w:rsidP="00355167">
            <w:pPr>
              <w:jc w:val="right"/>
              <w:rPr>
                <w:color w:val="000000"/>
                <w:sz w:val="20"/>
                <w:szCs w:val="20"/>
              </w:rPr>
            </w:pPr>
            <w:r w:rsidRPr="0042463B">
              <w:rPr>
                <w:bCs/>
                <w:color w:val="000000" w:themeColor="text1"/>
                <w:sz w:val="20"/>
                <w:szCs w:val="20"/>
              </w:rPr>
              <w:t>Sous-total</w:t>
            </w:r>
          </w:p>
        </w:tc>
        <w:tc>
          <w:tcPr>
            <w:tcW w:w="401" w:type="pct"/>
            <w:shd w:val="clear" w:color="auto" w:fill="auto"/>
            <w:noWrap/>
            <w:vAlign w:val="center"/>
            <w:hideMark/>
          </w:tcPr>
          <w:p w14:paraId="54AA8F4A" w14:textId="77777777" w:rsidR="00337A12" w:rsidRPr="0042463B" w:rsidRDefault="00337A12" w:rsidP="00337A12">
            <w:pPr>
              <w:jc w:val="center"/>
              <w:rPr>
                <w:color w:val="000000"/>
                <w:sz w:val="20"/>
                <w:szCs w:val="20"/>
              </w:rPr>
            </w:pPr>
            <w:r w:rsidRPr="0042463B">
              <w:rPr>
                <w:color w:val="000000" w:themeColor="text1"/>
                <w:sz w:val="20"/>
                <w:szCs w:val="20"/>
              </w:rPr>
              <w:t>46,25</w:t>
            </w:r>
          </w:p>
        </w:tc>
        <w:tc>
          <w:tcPr>
            <w:tcW w:w="358" w:type="pct"/>
            <w:shd w:val="clear" w:color="auto" w:fill="auto"/>
            <w:vAlign w:val="center"/>
            <w:hideMark/>
          </w:tcPr>
          <w:p w14:paraId="2E47DC61" w14:textId="77777777" w:rsidR="00337A12" w:rsidRPr="0042463B" w:rsidRDefault="00337A12" w:rsidP="00337A12">
            <w:pPr>
              <w:jc w:val="center"/>
              <w:rPr>
                <w:color w:val="000000"/>
                <w:sz w:val="20"/>
                <w:szCs w:val="20"/>
              </w:rPr>
            </w:pPr>
            <w:r w:rsidRPr="0042463B">
              <w:rPr>
                <w:color w:val="000000" w:themeColor="text1"/>
                <w:sz w:val="20"/>
                <w:szCs w:val="20"/>
              </w:rPr>
              <w:t>41,58</w:t>
            </w:r>
          </w:p>
        </w:tc>
        <w:tc>
          <w:tcPr>
            <w:tcW w:w="378" w:type="pct"/>
            <w:shd w:val="clear" w:color="auto" w:fill="auto"/>
            <w:vAlign w:val="center"/>
            <w:hideMark/>
          </w:tcPr>
          <w:p w14:paraId="15DE4E8E" w14:textId="77777777" w:rsidR="00337A12" w:rsidRPr="0042463B" w:rsidRDefault="00337A12" w:rsidP="00337A12">
            <w:pPr>
              <w:jc w:val="center"/>
              <w:rPr>
                <w:color w:val="000000"/>
                <w:sz w:val="20"/>
                <w:szCs w:val="20"/>
              </w:rPr>
            </w:pPr>
            <w:r w:rsidRPr="0042463B">
              <w:rPr>
                <w:color w:val="000000" w:themeColor="text1"/>
                <w:sz w:val="20"/>
                <w:szCs w:val="20"/>
              </w:rPr>
              <w:t>42,62</w:t>
            </w:r>
          </w:p>
        </w:tc>
        <w:tc>
          <w:tcPr>
            <w:tcW w:w="379" w:type="pct"/>
            <w:shd w:val="clear" w:color="auto" w:fill="auto"/>
            <w:vAlign w:val="center"/>
            <w:hideMark/>
          </w:tcPr>
          <w:p w14:paraId="0C7864D9" w14:textId="77777777" w:rsidR="00337A12" w:rsidRPr="0042463B" w:rsidRDefault="00337A12" w:rsidP="00337A12">
            <w:pPr>
              <w:jc w:val="center"/>
              <w:rPr>
                <w:color w:val="000000"/>
                <w:sz w:val="20"/>
                <w:szCs w:val="20"/>
              </w:rPr>
            </w:pPr>
            <w:r w:rsidRPr="0042463B">
              <w:rPr>
                <w:color w:val="000000" w:themeColor="text1"/>
                <w:sz w:val="20"/>
                <w:szCs w:val="20"/>
              </w:rPr>
              <w:t>33,06</w:t>
            </w:r>
          </w:p>
        </w:tc>
        <w:tc>
          <w:tcPr>
            <w:tcW w:w="379" w:type="pct"/>
            <w:shd w:val="clear" w:color="auto" w:fill="auto"/>
            <w:vAlign w:val="center"/>
            <w:hideMark/>
          </w:tcPr>
          <w:p w14:paraId="01C18259" w14:textId="77777777" w:rsidR="00337A12" w:rsidRPr="0042463B" w:rsidRDefault="00337A12" w:rsidP="00337A12">
            <w:pPr>
              <w:jc w:val="center"/>
              <w:rPr>
                <w:color w:val="000000"/>
                <w:sz w:val="20"/>
                <w:szCs w:val="20"/>
              </w:rPr>
            </w:pPr>
            <w:r w:rsidRPr="0042463B">
              <w:rPr>
                <w:color w:val="000000" w:themeColor="text1"/>
                <w:sz w:val="20"/>
                <w:szCs w:val="20"/>
              </w:rPr>
              <w:t>26,38</w:t>
            </w:r>
          </w:p>
        </w:tc>
      </w:tr>
      <w:tr w:rsidR="00337A12" w:rsidRPr="0042463B" w14:paraId="370A1D41" w14:textId="77777777" w:rsidTr="00E0143A">
        <w:trPr>
          <w:trHeight w:val="160"/>
        </w:trPr>
        <w:tc>
          <w:tcPr>
            <w:tcW w:w="5000" w:type="pct"/>
            <w:gridSpan w:val="6"/>
            <w:shd w:val="clear" w:color="auto" w:fill="auto"/>
            <w:tcMar>
              <w:left w:w="58" w:type="dxa"/>
              <w:right w:w="0" w:type="dxa"/>
            </w:tcMar>
            <w:vAlign w:val="center"/>
            <w:hideMark/>
          </w:tcPr>
          <w:p w14:paraId="0ABE0673" w14:textId="77777777" w:rsidR="00337A12" w:rsidRPr="0042463B" w:rsidRDefault="00337A12" w:rsidP="00FD303E">
            <w:pPr>
              <w:keepNext/>
              <w:keepLines/>
              <w:widowControl w:val="0"/>
              <w:jc w:val="left"/>
              <w:rPr>
                <w:i/>
                <w:color w:val="000000"/>
                <w:sz w:val="20"/>
                <w:szCs w:val="20"/>
              </w:rPr>
            </w:pPr>
            <w:r w:rsidRPr="0042463B">
              <w:rPr>
                <w:i/>
                <w:color w:val="000000" w:themeColor="text1"/>
                <w:sz w:val="20"/>
                <w:szCs w:val="20"/>
              </w:rPr>
              <w:lastRenderedPageBreak/>
              <w:t>Secteur de l’entretien</w:t>
            </w:r>
          </w:p>
        </w:tc>
      </w:tr>
      <w:tr w:rsidR="00A6144B" w:rsidRPr="0042463B" w14:paraId="749223A1" w14:textId="77777777" w:rsidTr="00E0143A">
        <w:trPr>
          <w:trHeight w:val="160"/>
        </w:trPr>
        <w:tc>
          <w:tcPr>
            <w:tcW w:w="3105" w:type="pct"/>
            <w:shd w:val="clear" w:color="auto" w:fill="auto"/>
            <w:noWrap/>
            <w:tcMar>
              <w:left w:w="58" w:type="dxa"/>
              <w:right w:w="0" w:type="dxa"/>
            </w:tcMar>
            <w:vAlign w:val="center"/>
            <w:hideMark/>
          </w:tcPr>
          <w:p w14:paraId="1A11184A" w14:textId="1EA00E8D" w:rsidR="00337A12" w:rsidRPr="0042463B" w:rsidRDefault="00337A12" w:rsidP="00FD303E">
            <w:pPr>
              <w:keepNext/>
              <w:keepLines/>
              <w:widowControl w:val="0"/>
              <w:rPr>
                <w:color w:val="000000"/>
                <w:sz w:val="20"/>
                <w:szCs w:val="20"/>
              </w:rPr>
            </w:pPr>
            <w:r w:rsidRPr="0042463B">
              <w:rPr>
                <w:color w:val="000000" w:themeColor="text1"/>
                <w:sz w:val="20"/>
                <w:szCs w:val="20"/>
              </w:rPr>
              <w:t>HCFC-22 utilisé pour l’entretien des appareils de réfrigération et de climatisation</w:t>
            </w:r>
          </w:p>
        </w:tc>
        <w:tc>
          <w:tcPr>
            <w:tcW w:w="401" w:type="pct"/>
            <w:shd w:val="clear" w:color="auto" w:fill="auto"/>
            <w:noWrap/>
            <w:vAlign w:val="center"/>
            <w:hideMark/>
          </w:tcPr>
          <w:p w14:paraId="1CDD81E9" w14:textId="77777777" w:rsidR="00337A12" w:rsidRPr="0042463B" w:rsidRDefault="00337A12" w:rsidP="00337A12">
            <w:pPr>
              <w:jc w:val="center"/>
              <w:rPr>
                <w:color w:val="000000"/>
                <w:sz w:val="20"/>
                <w:szCs w:val="20"/>
              </w:rPr>
            </w:pPr>
            <w:r w:rsidRPr="0042463B">
              <w:rPr>
                <w:color w:val="000000" w:themeColor="text1"/>
                <w:sz w:val="20"/>
                <w:szCs w:val="20"/>
              </w:rPr>
              <w:t>12,79</w:t>
            </w:r>
          </w:p>
        </w:tc>
        <w:tc>
          <w:tcPr>
            <w:tcW w:w="358" w:type="pct"/>
            <w:shd w:val="clear" w:color="auto" w:fill="auto"/>
            <w:vAlign w:val="center"/>
            <w:hideMark/>
          </w:tcPr>
          <w:p w14:paraId="78CD95DE" w14:textId="77777777" w:rsidR="00337A12" w:rsidRPr="0042463B" w:rsidRDefault="00337A12" w:rsidP="00337A12">
            <w:pPr>
              <w:jc w:val="center"/>
              <w:rPr>
                <w:color w:val="000000"/>
                <w:sz w:val="20"/>
                <w:szCs w:val="20"/>
              </w:rPr>
            </w:pPr>
            <w:r w:rsidRPr="0042463B">
              <w:rPr>
                <w:color w:val="000000" w:themeColor="text1"/>
                <w:sz w:val="20"/>
                <w:szCs w:val="20"/>
              </w:rPr>
              <w:t>18,48</w:t>
            </w:r>
          </w:p>
        </w:tc>
        <w:tc>
          <w:tcPr>
            <w:tcW w:w="378" w:type="pct"/>
            <w:shd w:val="clear" w:color="auto" w:fill="auto"/>
            <w:vAlign w:val="center"/>
            <w:hideMark/>
          </w:tcPr>
          <w:p w14:paraId="01FB57C5" w14:textId="77777777" w:rsidR="00337A12" w:rsidRPr="0042463B" w:rsidRDefault="00337A12" w:rsidP="00337A12">
            <w:pPr>
              <w:jc w:val="center"/>
              <w:rPr>
                <w:color w:val="000000"/>
                <w:sz w:val="20"/>
                <w:szCs w:val="20"/>
              </w:rPr>
            </w:pPr>
            <w:r w:rsidRPr="0042463B">
              <w:rPr>
                <w:color w:val="000000" w:themeColor="text1"/>
                <w:sz w:val="20"/>
                <w:szCs w:val="20"/>
              </w:rPr>
              <w:t>17,88</w:t>
            </w:r>
          </w:p>
        </w:tc>
        <w:tc>
          <w:tcPr>
            <w:tcW w:w="379" w:type="pct"/>
            <w:shd w:val="clear" w:color="auto" w:fill="auto"/>
            <w:vAlign w:val="center"/>
            <w:hideMark/>
          </w:tcPr>
          <w:p w14:paraId="2262C642" w14:textId="77777777" w:rsidR="00337A12" w:rsidRPr="0042463B" w:rsidRDefault="00337A12" w:rsidP="00337A12">
            <w:pPr>
              <w:jc w:val="center"/>
              <w:rPr>
                <w:color w:val="000000"/>
                <w:sz w:val="20"/>
                <w:szCs w:val="20"/>
              </w:rPr>
            </w:pPr>
            <w:r w:rsidRPr="0042463B">
              <w:rPr>
                <w:color w:val="000000" w:themeColor="text1"/>
                <w:sz w:val="20"/>
                <w:szCs w:val="20"/>
              </w:rPr>
              <w:t>17,57</w:t>
            </w:r>
          </w:p>
        </w:tc>
        <w:tc>
          <w:tcPr>
            <w:tcW w:w="379" w:type="pct"/>
            <w:shd w:val="clear" w:color="auto" w:fill="auto"/>
            <w:vAlign w:val="center"/>
            <w:hideMark/>
          </w:tcPr>
          <w:p w14:paraId="425C9377" w14:textId="77777777" w:rsidR="00337A12" w:rsidRPr="0042463B" w:rsidRDefault="00337A12" w:rsidP="00337A12">
            <w:pPr>
              <w:jc w:val="center"/>
              <w:rPr>
                <w:color w:val="000000"/>
                <w:sz w:val="20"/>
                <w:szCs w:val="20"/>
              </w:rPr>
            </w:pPr>
            <w:r w:rsidRPr="0042463B">
              <w:rPr>
                <w:color w:val="000000" w:themeColor="text1"/>
                <w:sz w:val="20"/>
                <w:szCs w:val="20"/>
              </w:rPr>
              <w:t>15,95</w:t>
            </w:r>
          </w:p>
        </w:tc>
      </w:tr>
      <w:tr w:rsidR="00A6144B" w:rsidRPr="0042463B" w14:paraId="2A4658F9" w14:textId="77777777" w:rsidTr="00E0143A">
        <w:trPr>
          <w:trHeight w:val="160"/>
        </w:trPr>
        <w:tc>
          <w:tcPr>
            <w:tcW w:w="3105" w:type="pct"/>
            <w:shd w:val="clear" w:color="auto" w:fill="auto"/>
            <w:noWrap/>
            <w:tcMar>
              <w:left w:w="58" w:type="dxa"/>
              <w:right w:w="0" w:type="dxa"/>
            </w:tcMar>
            <w:vAlign w:val="center"/>
            <w:hideMark/>
          </w:tcPr>
          <w:p w14:paraId="256DCACE" w14:textId="222C908B" w:rsidR="00337A12" w:rsidRPr="0042463B" w:rsidRDefault="00337A12" w:rsidP="004F648B">
            <w:pPr>
              <w:rPr>
                <w:color w:val="000000"/>
                <w:sz w:val="20"/>
                <w:szCs w:val="20"/>
              </w:rPr>
            </w:pPr>
            <w:r w:rsidRPr="0042463B">
              <w:rPr>
                <w:color w:val="000000" w:themeColor="text1"/>
                <w:sz w:val="20"/>
                <w:szCs w:val="20"/>
              </w:rPr>
              <w:t>HCFC-123 utilisé pour l’entretien des refroidisseurs</w:t>
            </w:r>
          </w:p>
        </w:tc>
        <w:tc>
          <w:tcPr>
            <w:tcW w:w="401" w:type="pct"/>
            <w:shd w:val="clear" w:color="auto" w:fill="auto"/>
            <w:noWrap/>
            <w:vAlign w:val="center"/>
            <w:hideMark/>
          </w:tcPr>
          <w:p w14:paraId="000A094C" w14:textId="77777777" w:rsidR="00337A12" w:rsidRPr="0042463B" w:rsidRDefault="00337A12" w:rsidP="00337A12">
            <w:pPr>
              <w:jc w:val="center"/>
              <w:rPr>
                <w:color w:val="000000"/>
                <w:sz w:val="20"/>
                <w:szCs w:val="20"/>
              </w:rPr>
            </w:pPr>
            <w:r w:rsidRPr="0042463B">
              <w:rPr>
                <w:color w:val="000000" w:themeColor="text1"/>
                <w:sz w:val="20"/>
                <w:szCs w:val="20"/>
              </w:rPr>
              <w:t>0,05</w:t>
            </w:r>
          </w:p>
        </w:tc>
        <w:tc>
          <w:tcPr>
            <w:tcW w:w="358" w:type="pct"/>
            <w:shd w:val="clear" w:color="auto" w:fill="auto"/>
            <w:vAlign w:val="center"/>
            <w:hideMark/>
          </w:tcPr>
          <w:p w14:paraId="1C134E87" w14:textId="77777777" w:rsidR="00337A12" w:rsidRPr="0042463B" w:rsidRDefault="00337A12" w:rsidP="00337A12">
            <w:pPr>
              <w:jc w:val="center"/>
              <w:rPr>
                <w:color w:val="000000"/>
                <w:sz w:val="20"/>
                <w:szCs w:val="20"/>
              </w:rPr>
            </w:pPr>
            <w:r w:rsidRPr="0042463B">
              <w:rPr>
                <w:color w:val="000000" w:themeColor="text1"/>
                <w:sz w:val="20"/>
                <w:szCs w:val="20"/>
              </w:rPr>
              <w:t>0,06</w:t>
            </w:r>
          </w:p>
        </w:tc>
        <w:tc>
          <w:tcPr>
            <w:tcW w:w="378" w:type="pct"/>
            <w:shd w:val="clear" w:color="auto" w:fill="auto"/>
            <w:vAlign w:val="center"/>
            <w:hideMark/>
          </w:tcPr>
          <w:p w14:paraId="2BB84113" w14:textId="77777777" w:rsidR="00337A12" w:rsidRPr="0042463B" w:rsidRDefault="00337A12" w:rsidP="00337A12">
            <w:pPr>
              <w:jc w:val="center"/>
              <w:rPr>
                <w:color w:val="000000"/>
                <w:sz w:val="20"/>
                <w:szCs w:val="20"/>
              </w:rPr>
            </w:pPr>
            <w:r w:rsidRPr="0042463B">
              <w:rPr>
                <w:color w:val="000000" w:themeColor="text1"/>
                <w:sz w:val="20"/>
                <w:szCs w:val="20"/>
              </w:rPr>
              <w:t>0,00</w:t>
            </w:r>
          </w:p>
        </w:tc>
        <w:tc>
          <w:tcPr>
            <w:tcW w:w="379" w:type="pct"/>
            <w:shd w:val="clear" w:color="auto" w:fill="auto"/>
            <w:vAlign w:val="center"/>
            <w:hideMark/>
          </w:tcPr>
          <w:p w14:paraId="56A54793" w14:textId="77777777" w:rsidR="00337A12" w:rsidRPr="0042463B" w:rsidRDefault="00337A12" w:rsidP="00337A12">
            <w:pPr>
              <w:jc w:val="center"/>
              <w:rPr>
                <w:color w:val="000000"/>
                <w:sz w:val="20"/>
                <w:szCs w:val="20"/>
              </w:rPr>
            </w:pPr>
            <w:r w:rsidRPr="0042463B">
              <w:rPr>
                <w:color w:val="000000" w:themeColor="text1"/>
                <w:sz w:val="20"/>
                <w:szCs w:val="20"/>
              </w:rPr>
              <w:t>0,00</w:t>
            </w:r>
          </w:p>
        </w:tc>
        <w:tc>
          <w:tcPr>
            <w:tcW w:w="379" w:type="pct"/>
            <w:shd w:val="clear" w:color="auto" w:fill="auto"/>
            <w:vAlign w:val="center"/>
            <w:hideMark/>
          </w:tcPr>
          <w:p w14:paraId="1DB7ABCB" w14:textId="77777777" w:rsidR="00337A12" w:rsidRPr="0042463B" w:rsidRDefault="00337A12" w:rsidP="00337A12">
            <w:pPr>
              <w:jc w:val="center"/>
              <w:rPr>
                <w:color w:val="000000"/>
                <w:sz w:val="20"/>
                <w:szCs w:val="20"/>
              </w:rPr>
            </w:pPr>
            <w:r w:rsidRPr="0042463B">
              <w:rPr>
                <w:color w:val="000000" w:themeColor="text1"/>
                <w:sz w:val="20"/>
                <w:szCs w:val="20"/>
              </w:rPr>
              <w:t>0,00</w:t>
            </w:r>
          </w:p>
        </w:tc>
      </w:tr>
      <w:tr w:rsidR="00A6144B" w:rsidRPr="0042463B" w14:paraId="694304A1" w14:textId="77777777" w:rsidTr="00E0143A">
        <w:trPr>
          <w:trHeight w:val="160"/>
        </w:trPr>
        <w:tc>
          <w:tcPr>
            <w:tcW w:w="3105" w:type="pct"/>
            <w:shd w:val="clear" w:color="auto" w:fill="auto"/>
            <w:noWrap/>
            <w:tcMar>
              <w:left w:w="58" w:type="dxa"/>
              <w:right w:w="0" w:type="dxa"/>
            </w:tcMar>
            <w:vAlign w:val="center"/>
            <w:hideMark/>
          </w:tcPr>
          <w:p w14:paraId="67D01435" w14:textId="77777777" w:rsidR="00337A12" w:rsidRPr="0042463B" w:rsidRDefault="00337A12" w:rsidP="00F13CF8">
            <w:pPr>
              <w:rPr>
                <w:color w:val="000000"/>
                <w:sz w:val="20"/>
                <w:szCs w:val="20"/>
              </w:rPr>
            </w:pPr>
            <w:r w:rsidRPr="0042463B">
              <w:rPr>
                <w:color w:val="000000" w:themeColor="text1"/>
                <w:sz w:val="20"/>
                <w:szCs w:val="20"/>
              </w:rPr>
              <w:t xml:space="preserve">HCFC-141b utilisé pour nettoyer les circuits de réfrigération </w:t>
            </w:r>
          </w:p>
        </w:tc>
        <w:tc>
          <w:tcPr>
            <w:tcW w:w="401" w:type="pct"/>
            <w:shd w:val="clear" w:color="auto" w:fill="auto"/>
            <w:noWrap/>
            <w:vAlign w:val="center"/>
            <w:hideMark/>
          </w:tcPr>
          <w:p w14:paraId="34A42798" w14:textId="77777777" w:rsidR="00337A12" w:rsidRPr="0042463B" w:rsidRDefault="00337A12" w:rsidP="00337A12">
            <w:pPr>
              <w:jc w:val="center"/>
              <w:rPr>
                <w:color w:val="000000"/>
                <w:sz w:val="20"/>
                <w:szCs w:val="20"/>
              </w:rPr>
            </w:pPr>
            <w:r w:rsidRPr="0042463B">
              <w:rPr>
                <w:color w:val="000000" w:themeColor="text1"/>
                <w:sz w:val="20"/>
                <w:szCs w:val="20"/>
              </w:rPr>
              <w:t>0,35</w:t>
            </w:r>
          </w:p>
        </w:tc>
        <w:tc>
          <w:tcPr>
            <w:tcW w:w="358" w:type="pct"/>
            <w:shd w:val="clear" w:color="auto" w:fill="auto"/>
            <w:vAlign w:val="center"/>
            <w:hideMark/>
          </w:tcPr>
          <w:p w14:paraId="188FD31B" w14:textId="77777777" w:rsidR="00337A12" w:rsidRPr="0042463B" w:rsidRDefault="00337A12" w:rsidP="00337A12">
            <w:pPr>
              <w:jc w:val="center"/>
              <w:rPr>
                <w:color w:val="000000"/>
                <w:sz w:val="20"/>
                <w:szCs w:val="20"/>
              </w:rPr>
            </w:pPr>
            <w:r w:rsidRPr="0042463B">
              <w:rPr>
                <w:color w:val="000000" w:themeColor="text1"/>
                <w:sz w:val="20"/>
                <w:szCs w:val="20"/>
              </w:rPr>
              <w:t>0,22</w:t>
            </w:r>
          </w:p>
        </w:tc>
        <w:tc>
          <w:tcPr>
            <w:tcW w:w="378" w:type="pct"/>
            <w:shd w:val="clear" w:color="auto" w:fill="auto"/>
            <w:vAlign w:val="center"/>
            <w:hideMark/>
          </w:tcPr>
          <w:p w14:paraId="60A260F6" w14:textId="77777777" w:rsidR="00337A12" w:rsidRPr="0042463B" w:rsidRDefault="00337A12" w:rsidP="00337A12">
            <w:pPr>
              <w:jc w:val="center"/>
              <w:rPr>
                <w:color w:val="000000"/>
                <w:sz w:val="20"/>
                <w:szCs w:val="20"/>
              </w:rPr>
            </w:pPr>
            <w:r w:rsidRPr="0042463B">
              <w:rPr>
                <w:color w:val="000000" w:themeColor="text1"/>
                <w:sz w:val="20"/>
                <w:szCs w:val="20"/>
              </w:rPr>
              <w:t>0,21</w:t>
            </w:r>
          </w:p>
        </w:tc>
        <w:tc>
          <w:tcPr>
            <w:tcW w:w="379" w:type="pct"/>
            <w:shd w:val="clear" w:color="auto" w:fill="auto"/>
            <w:vAlign w:val="center"/>
            <w:hideMark/>
          </w:tcPr>
          <w:p w14:paraId="506EB95F" w14:textId="77777777" w:rsidR="00337A12" w:rsidRPr="0042463B" w:rsidRDefault="00337A12" w:rsidP="00337A12">
            <w:pPr>
              <w:jc w:val="center"/>
              <w:rPr>
                <w:color w:val="000000"/>
                <w:sz w:val="20"/>
                <w:szCs w:val="20"/>
              </w:rPr>
            </w:pPr>
            <w:r w:rsidRPr="0042463B">
              <w:rPr>
                <w:color w:val="000000" w:themeColor="text1"/>
                <w:sz w:val="20"/>
                <w:szCs w:val="20"/>
              </w:rPr>
              <w:t>0,22</w:t>
            </w:r>
          </w:p>
        </w:tc>
        <w:tc>
          <w:tcPr>
            <w:tcW w:w="379" w:type="pct"/>
            <w:shd w:val="clear" w:color="auto" w:fill="auto"/>
            <w:vAlign w:val="center"/>
            <w:hideMark/>
          </w:tcPr>
          <w:p w14:paraId="42CA62F4" w14:textId="77777777" w:rsidR="00337A12" w:rsidRPr="0042463B" w:rsidRDefault="00337A12" w:rsidP="00337A12">
            <w:pPr>
              <w:jc w:val="center"/>
              <w:rPr>
                <w:color w:val="000000"/>
                <w:sz w:val="20"/>
                <w:szCs w:val="20"/>
              </w:rPr>
            </w:pPr>
            <w:r w:rsidRPr="0042463B">
              <w:rPr>
                <w:color w:val="000000" w:themeColor="text1"/>
                <w:sz w:val="20"/>
                <w:szCs w:val="20"/>
              </w:rPr>
              <w:t>0,00</w:t>
            </w:r>
          </w:p>
        </w:tc>
      </w:tr>
      <w:tr w:rsidR="00A6144B" w:rsidRPr="0042463B" w14:paraId="3170DA58" w14:textId="77777777" w:rsidTr="00E0143A">
        <w:trPr>
          <w:trHeight w:val="160"/>
        </w:trPr>
        <w:tc>
          <w:tcPr>
            <w:tcW w:w="3105" w:type="pct"/>
            <w:shd w:val="clear" w:color="auto" w:fill="auto"/>
            <w:noWrap/>
            <w:tcMar>
              <w:left w:w="58" w:type="dxa"/>
              <w:right w:w="0" w:type="dxa"/>
            </w:tcMar>
            <w:vAlign w:val="center"/>
            <w:hideMark/>
          </w:tcPr>
          <w:p w14:paraId="4B157419" w14:textId="77777777" w:rsidR="00337A12" w:rsidRPr="0042463B" w:rsidRDefault="00337A12" w:rsidP="00355167">
            <w:pPr>
              <w:jc w:val="right"/>
              <w:rPr>
                <w:color w:val="000000"/>
                <w:sz w:val="20"/>
                <w:szCs w:val="20"/>
              </w:rPr>
            </w:pPr>
            <w:r w:rsidRPr="0042463B">
              <w:rPr>
                <w:color w:val="000000" w:themeColor="text1"/>
                <w:sz w:val="20"/>
                <w:szCs w:val="20"/>
              </w:rPr>
              <w:t>Sous-total</w:t>
            </w:r>
          </w:p>
        </w:tc>
        <w:tc>
          <w:tcPr>
            <w:tcW w:w="401" w:type="pct"/>
            <w:shd w:val="clear" w:color="auto" w:fill="auto"/>
            <w:noWrap/>
            <w:vAlign w:val="center"/>
            <w:hideMark/>
          </w:tcPr>
          <w:p w14:paraId="1113B43C" w14:textId="77777777" w:rsidR="00337A12" w:rsidRPr="0042463B" w:rsidRDefault="00337A12" w:rsidP="00337A12">
            <w:pPr>
              <w:jc w:val="center"/>
              <w:rPr>
                <w:color w:val="000000"/>
                <w:sz w:val="20"/>
                <w:szCs w:val="20"/>
              </w:rPr>
            </w:pPr>
            <w:r w:rsidRPr="0042463B">
              <w:rPr>
                <w:color w:val="000000" w:themeColor="text1"/>
                <w:sz w:val="20"/>
                <w:szCs w:val="20"/>
              </w:rPr>
              <w:t>13,19</w:t>
            </w:r>
          </w:p>
        </w:tc>
        <w:tc>
          <w:tcPr>
            <w:tcW w:w="358" w:type="pct"/>
            <w:shd w:val="clear" w:color="auto" w:fill="auto"/>
            <w:vAlign w:val="center"/>
            <w:hideMark/>
          </w:tcPr>
          <w:p w14:paraId="3BF60A69" w14:textId="77777777" w:rsidR="00337A12" w:rsidRPr="0042463B" w:rsidRDefault="00337A12" w:rsidP="00337A12">
            <w:pPr>
              <w:jc w:val="center"/>
              <w:rPr>
                <w:color w:val="000000"/>
                <w:sz w:val="20"/>
                <w:szCs w:val="20"/>
              </w:rPr>
            </w:pPr>
            <w:r w:rsidRPr="0042463B">
              <w:rPr>
                <w:color w:val="000000" w:themeColor="text1"/>
                <w:sz w:val="20"/>
                <w:szCs w:val="20"/>
              </w:rPr>
              <w:t>18,76</w:t>
            </w:r>
          </w:p>
        </w:tc>
        <w:tc>
          <w:tcPr>
            <w:tcW w:w="378" w:type="pct"/>
            <w:shd w:val="clear" w:color="auto" w:fill="auto"/>
            <w:vAlign w:val="center"/>
            <w:hideMark/>
          </w:tcPr>
          <w:p w14:paraId="68FA22DA" w14:textId="77777777" w:rsidR="00337A12" w:rsidRPr="0042463B" w:rsidRDefault="00337A12" w:rsidP="00337A12">
            <w:pPr>
              <w:jc w:val="center"/>
              <w:rPr>
                <w:color w:val="000000"/>
                <w:sz w:val="20"/>
                <w:szCs w:val="20"/>
              </w:rPr>
            </w:pPr>
            <w:r w:rsidRPr="0042463B">
              <w:rPr>
                <w:color w:val="000000" w:themeColor="text1"/>
                <w:sz w:val="20"/>
                <w:szCs w:val="20"/>
              </w:rPr>
              <w:t>18,09</w:t>
            </w:r>
          </w:p>
        </w:tc>
        <w:tc>
          <w:tcPr>
            <w:tcW w:w="379" w:type="pct"/>
            <w:shd w:val="clear" w:color="auto" w:fill="auto"/>
            <w:vAlign w:val="center"/>
            <w:hideMark/>
          </w:tcPr>
          <w:p w14:paraId="5F17F4B0" w14:textId="77777777" w:rsidR="00337A12" w:rsidRPr="0042463B" w:rsidRDefault="00337A12" w:rsidP="00337A12">
            <w:pPr>
              <w:jc w:val="center"/>
              <w:rPr>
                <w:color w:val="000000"/>
                <w:sz w:val="20"/>
                <w:szCs w:val="20"/>
              </w:rPr>
            </w:pPr>
            <w:r w:rsidRPr="0042463B">
              <w:rPr>
                <w:color w:val="000000" w:themeColor="text1"/>
                <w:sz w:val="20"/>
                <w:szCs w:val="20"/>
              </w:rPr>
              <w:t>17,79</w:t>
            </w:r>
          </w:p>
        </w:tc>
        <w:tc>
          <w:tcPr>
            <w:tcW w:w="379" w:type="pct"/>
            <w:shd w:val="clear" w:color="auto" w:fill="auto"/>
            <w:vAlign w:val="center"/>
            <w:hideMark/>
          </w:tcPr>
          <w:p w14:paraId="3512E891" w14:textId="77777777" w:rsidR="00337A12" w:rsidRPr="0042463B" w:rsidRDefault="00337A12" w:rsidP="00337A12">
            <w:pPr>
              <w:jc w:val="center"/>
              <w:rPr>
                <w:color w:val="000000"/>
                <w:sz w:val="20"/>
                <w:szCs w:val="20"/>
              </w:rPr>
            </w:pPr>
            <w:r w:rsidRPr="0042463B">
              <w:rPr>
                <w:color w:val="000000" w:themeColor="text1"/>
                <w:sz w:val="20"/>
                <w:szCs w:val="20"/>
              </w:rPr>
              <w:t>15,95</w:t>
            </w:r>
          </w:p>
        </w:tc>
      </w:tr>
      <w:tr w:rsidR="00A6144B" w:rsidRPr="0042463B" w14:paraId="21786977" w14:textId="77777777" w:rsidTr="00E0143A">
        <w:trPr>
          <w:trHeight w:val="160"/>
        </w:trPr>
        <w:tc>
          <w:tcPr>
            <w:tcW w:w="3105" w:type="pct"/>
            <w:shd w:val="clear" w:color="auto" w:fill="auto"/>
            <w:noWrap/>
            <w:tcMar>
              <w:left w:w="58" w:type="dxa"/>
              <w:right w:w="0" w:type="dxa"/>
            </w:tcMar>
            <w:vAlign w:val="center"/>
            <w:hideMark/>
          </w:tcPr>
          <w:p w14:paraId="51752960" w14:textId="77777777" w:rsidR="00337A12" w:rsidRPr="0042463B" w:rsidRDefault="00337A12" w:rsidP="00355167">
            <w:pPr>
              <w:jc w:val="right"/>
              <w:rPr>
                <w:b/>
                <w:bCs/>
                <w:color w:val="000000"/>
                <w:sz w:val="20"/>
                <w:szCs w:val="20"/>
              </w:rPr>
            </w:pPr>
            <w:r w:rsidRPr="0042463B">
              <w:rPr>
                <w:b/>
                <w:bCs/>
                <w:color w:val="000000"/>
                <w:sz w:val="20"/>
                <w:szCs w:val="20"/>
              </w:rPr>
              <w:t>Total</w:t>
            </w:r>
          </w:p>
        </w:tc>
        <w:tc>
          <w:tcPr>
            <w:tcW w:w="401" w:type="pct"/>
            <w:shd w:val="clear" w:color="auto" w:fill="auto"/>
            <w:noWrap/>
            <w:vAlign w:val="center"/>
            <w:hideMark/>
          </w:tcPr>
          <w:p w14:paraId="16C125B0" w14:textId="77777777" w:rsidR="00337A12" w:rsidRPr="0042463B" w:rsidRDefault="00337A12" w:rsidP="00337A12">
            <w:pPr>
              <w:jc w:val="center"/>
              <w:rPr>
                <w:b/>
                <w:bCs/>
                <w:color w:val="000000"/>
                <w:sz w:val="20"/>
                <w:szCs w:val="20"/>
              </w:rPr>
            </w:pPr>
            <w:r w:rsidRPr="0042463B">
              <w:rPr>
                <w:b/>
                <w:bCs/>
                <w:color w:val="000000"/>
                <w:sz w:val="20"/>
                <w:szCs w:val="20"/>
              </w:rPr>
              <w:t>59,44</w:t>
            </w:r>
          </w:p>
        </w:tc>
        <w:tc>
          <w:tcPr>
            <w:tcW w:w="358" w:type="pct"/>
            <w:shd w:val="clear" w:color="auto" w:fill="auto"/>
            <w:noWrap/>
            <w:vAlign w:val="center"/>
            <w:hideMark/>
          </w:tcPr>
          <w:p w14:paraId="0ACF944D" w14:textId="77777777" w:rsidR="00337A12" w:rsidRPr="0042463B" w:rsidRDefault="00337A12" w:rsidP="00337A12">
            <w:pPr>
              <w:jc w:val="center"/>
              <w:rPr>
                <w:b/>
                <w:bCs/>
                <w:color w:val="000000"/>
                <w:sz w:val="20"/>
                <w:szCs w:val="20"/>
              </w:rPr>
            </w:pPr>
            <w:r w:rsidRPr="0042463B">
              <w:rPr>
                <w:b/>
                <w:bCs/>
                <w:color w:val="000000"/>
                <w:sz w:val="20"/>
                <w:szCs w:val="20"/>
              </w:rPr>
              <w:t>60,34</w:t>
            </w:r>
          </w:p>
        </w:tc>
        <w:tc>
          <w:tcPr>
            <w:tcW w:w="378" w:type="pct"/>
            <w:shd w:val="clear" w:color="auto" w:fill="auto"/>
            <w:noWrap/>
            <w:vAlign w:val="center"/>
            <w:hideMark/>
          </w:tcPr>
          <w:p w14:paraId="58790CC3" w14:textId="77777777" w:rsidR="00337A12" w:rsidRPr="0042463B" w:rsidRDefault="00337A12" w:rsidP="00337A12">
            <w:pPr>
              <w:jc w:val="center"/>
              <w:rPr>
                <w:b/>
                <w:bCs/>
                <w:color w:val="000000"/>
                <w:sz w:val="20"/>
                <w:szCs w:val="20"/>
              </w:rPr>
            </w:pPr>
            <w:r w:rsidRPr="0042463B">
              <w:rPr>
                <w:b/>
                <w:bCs/>
                <w:color w:val="000000"/>
                <w:sz w:val="20"/>
                <w:szCs w:val="20"/>
              </w:rPr>
              <w:t>60,71</w:t>
            </w:r>
          </w:p>
        </w:tc>
        <w:tc>
          <w:tcPr>
            <w:tcW w:w="379" w:type="pct"/>
            <w:shd w:val="clear" w:color="auto" w:fill="auto"/>
            <w:noWrap/>
            <w:vAlign w:val="center"/>
            <w:hideMark/>
          </w:tcPr>
          <w:p w14:paraId="36EB76EC" w14:textId="77777777" w:rsidR="00337A12" w:rsidRPr="0042463B" w:rsidRDefault="00337A12" w:rsidP="00337A12">
            <w:pPr>
              <w:jc w:val="center"/>
              <w:rPr>
                <w:b/>
                <w:bCs/>
                <w:color w:val="000000"/>
                <w:sz w:val="20"/>
                <w:szCs w:val="20"/>
              </w:rPr>
            </w:pPr>
            <w:r w:rsidRPr="0042463B">
              <w:rPr>
                <w:b/>
                <w:bCs/>
                <w:color w:val="000000"/>
                <w:sz w:val="20"/>
                <w:szCs w:val="20"/>
              </w:rPr>
              <w:t>50,85</w:t>
            </w:r>
          </w:p>
        </w:tc>
        <w:tc>
          <w:tcPr>
            <w:tcW w:w="379" w:type="pct"/>
            <w:shd w:val="clear" w:color="auto" w:fill="auto"/>
            <w:noWrap/>
            <w:vAlign w:val="center"/>
            <w:hideMark/>
          </w:tcPr>
          <w:p w14:paraId="023E0CA9" w14:textId="77777777" w:rsidR="00337A12" w:rsidRPr="0042463B" w:rsidRDefault="00337A12" w:rsidP="00337A12">
            <w:pPr>
              <w:jc w:val="center"/>
              <w:rPr>
                <w:b/>
                <w:bCs/>
                <w:color w:val="000000"/>
                <w:sz w:val="20"/>
                <w:szCs w:val="20"/>
              </w:rPr>
            </w:pPr>
            <w:r w:rsidRPr="0042463B">
              <w:rPr>
                <w:b/>
                <w:bCs/>
                <w:color w:val="000000"/>
                <w:sz w:val="20"/>
                <w:szCs w:val="20"/>
              </w:rPr>
              <w:t>42,33</w:t>
            </w:r>
          </w:p>
        </w:tc>
      </w:tr>
    </w:tbl>
    <w:p w14:paraId="2372CB4F" w14:textId="26E695A7" w:rsidR="00337A12" w:rsidRPr="0042463B" w:rsidRDefault="00F13CF8" w:rsidP="00337A12">
      <w:pPr>
        <w:rPr>
          <w:sz w:val="19"/>
          <w:szCs w:val="19"/>
        </w:rPr>
      </w:pPr>
      <w:r w:rsidRPr="0042463B">
        <w:rPr>
          <w:sz w:val="19"/>
          <w:szCs w:val="19"/>
        </w:rPr>
        <w:t>*Données du programme du pays.</w:t>
      </w:r>
    </w:p>
    <w:p w14:paraId="6D3930EB" w14:textId="220EBC27" w:rsidR="00B54E1C" w:rsidRPr="0042463B" w:rsidRDefault="00B54E1C" w:rsidP="00337A12"/>
    <w:p w14:paraId="4737A2BC" w14:textId="77777777" w:rsidR="00D44DD7" w:rsidRPr="0042463B" w:rsidRDefault="00D44DD7" w:rsidP="00D44DD7">
      <w:pPr>
        <w:keepNext/>
        <w:keepLines/>
        <w:rPr>
          <w:u w:val="single"/>
        </w:rPr>
      </w:pPr>
      <w:r w:rsidRPr="0042463B">
        <w:rPr>
          <w:u w:val="single"/>
        </w:rPr>
        <w:t>Secteur de la fabrication</w:t>
      </w:r>
    </w:p>
    <w:p w14:paraId="3C6AD6FF" w14:textId="77777777" w:rsidR="00D44DD7" w:rsidRPr="0042463B" w:rsidRDefault="00D44DD7" w:rsidP="00D44DD7">
      <w:pPr>
        <w:keepNext/>
        <w:keepLines/>
      </w:pPr>
    </w:p>
    <w:p w14:paraId="6E0176F2" w14:textId="77777777" w:rsidR="00B27B9C" w:rsidRPr="0042463B" w:rsidRDefault="00D44DD7" w:rsidP="00D44DD7">
      <w:pPr>
        <w:pStyle w:val="Heading1"/>
      </w:pPr>
      <w:r w:rsidRPr="0042463B">
        <w:t>Le secteur de la fabrication comprend les entreprises suivantes :</w:t>
      </w:r>
    </w:p>
    <w:p w14:paraId="3E693D0B" w14:textId="06D6B6AF" w:rsidR="00B27B9C" w:rsidRPr="0042463B" w:rsidRDefault="00B27B9C" w:rsidP="00B27B9C">
      <w:pPr>
        <w:pStyle w:val="Heading2"/>
      </w:pPr>
      <w:r w:rsidRPr="0042463B">
        <w:t xml:space="preserve">Une grande entreprise, AGM, qui utilise le HCFC-22 comme frigorigène et le HCFC-141b contenu dans les polyols </w:t>
      </w:r>
      <w:proofErr w:type="spellStart"/>
      <w:r w:rsidRPr="0042463B">
        <w:t>prémélangés</w:t>
      </w:r>
      <w:proofErr w:type="spellEnd"/>
      <w:r w:rsidRPr="0042463B">
        <w:t xml:space="preserve"> comme agent moussant pour la mousse isolante servant à la fabrication d’un large éventail d’unités de climatisation et de réfrigération commerciale. AGM a été fondée en 1994 et est une entreprise de propriété entièrement bahreïnienne; 85 pour cent de sa production est exportée vers d’autres pays visés par l’Article 5. À la 68</w:t>
      </w:r>
      <w:r w:rsidRPr="0042463B">
        <w:rPr>
          <w:vertAlign w:val="superscript"/>
        </w:rPr>
        <w:t>e</w:t>
      </w:r>
      <w:r w:rsidRPr="0042463B">
        <w:t xml:space="preserve"> réunion, un projet de conversion pour convertir une chaîne de fabrication d’unités de climatiseurs </w:t>
      </w:r>
      <w:proofErr w:type="spellStart"/>
      <w:r w:rsidRPr="0042463B">
        <w:t>biblocs</w:t>
      </w:r>
      <w:proofErr w:type="spellEnd"/>
      <w:r w:rsidRPr="0042463B">
        <w:t xml:space="preserve"> au R-290 ou au HFC-32 a été approuvé; en 2019, l’entreprise s’est cependant retirée du projet en indiquant que les conditions régionales et les défis quant à l’adoption de technologies à faible PRG dans une région à température environnante élevée ne permettaient pas la conversion vers la technologie de HFC-32 sélectionnée; le solde du financement restant de 1 789 530 $ US associé à la conversion de la chaîne de fabrication de climatiseurs </w:t>
      </w:r>
      <w:proofErr w:type="spellStart"/>
      <w:r w:rsidRPr="0042463B">
        <w:t>biblocs</w:t>
      </w:r>
      <w:proofErr w:type="spellEnd"/>
      <w:r w:rsidRPr="0042463B">
        <w:t xml:space="preserve"> chez AGM a été renvoyé au Fonds;</w:t>
      </w:r>
    </w:p>
    <w:p w14:paraId="04D69645" w14:textId="728974AE" w:rsidR="00B27B9C" w:rsidRPr="0042463B" w:rsidRDefault="00B27B9C" w:rsidP="00B27B9C">
      <w:pPr>
        <w:pStyle w:val="Heading2"/>
      </w:pPr>
      <w:r w:rsidRPr="0042463B">
        <w:t xml:space="preserve">Une petite entreprise de fabrication d’appareils de réfrigération commerciale, </w:t>
      </w:r>
      <w:proofErr w:type="spellStart"/>
      <w:r w:rsidRPr="0042463B">
        <w:t>Awal</w:t>
      </w:r>
      <w:proofErr w:type="spellEnd"/>
      <w:r w:rsidRPr="0042463B">
        <w:t xml:space="preserve"> </w:t>
      </w:r>
      <w:proofErr w:type="spellStart"/>
      <w:r w:rsidRPr="0042463B">
        <w:t>Refrigeration</w:t>
      </w:r>
      <w:proofErr w:type="spellEnd"/>
      <w:r w:rsidRPr="0042463B">
        <w:t xml:space="preserve"> and Air-</w:t>
      </w:r>
      <w:proofErr w:type="spellStart"/>
      <w:r w:rsidRPr="0042463B">
        <w:t>Conditioning</w:t>
      </w:r>
      <w:proofErr w:type="spellEnd"/>
      <w:r w:rsidRPr="0042463B">
        <w:t xml:space="preserve"> (ARAC), qui utilise le HCFC-141b contenu dans les polyols </w:t>
      </w:r>
      <w:proofErr w:type="spellStart"/>
      <w:r w:rsidRPr="0042463B">
        <w:t>prémélangés</w:t>
      </w:r>
      <w:proofErr w:type="spellEnd"/>
      <w:r w:rsidRPr="0042463B">
        <w:t xml:space="preserve"> pour la mousse isolante; </w:t>
      </w:r>
    </w:p>
    <w:p w14:paraId="324BD3C8" w14:textId="79F9E686" w:rsidR="00B27B9C" w:rsidRPr="0042463B" w:rsidRDefault="00B27B9C" w:rsidP="00B27B9C">
      <w:pPr>
        <w:pStyle w:val="Heading2"/>
      </w:pPr>
      <w:r w:rsidRPr="0042463B">
        <w:t xml:space="preserve">Plusieurs petites entreprises qui utilisent le HCFC-141b contenu dans les polyols </w:t>
      </w:r>
      <w:proofErr w:type="spellStart"/>
      <w:r w:rsidRPr="0042463B">
        <w:t>prémélangés</w:t>
      </w:r>
      <w:proofErr w:type="spellEnd"/>
      <w:r w:rsidRPr="0042463B">
        <w:t xml:space="preserve"> pour la mousse pulvérisée; seules deux de ces entreprises (Al </w:t>
      </w:r>
      <w:proofErr w:type="spellStart"/>
      <w:r w:rsidRPr="0042463B">
        <w:t>Khonaizi</w:t>
      </w:r>
      <w:proofErr w:type="spellEnd"/>
      <w:r w:rsidRPr="0042463B">
        <w:t xml:space="preserve"> </w:t>
      </w:r>
      <w:proofErr w:type="spellStart"/>
      <w:r w:rsidRPr="0042463B">
        <w:t>Insulation</w:t>
      </w:r>
      <w:proofErr w:type="spellEnd"/>
      <w:r w:rsidRPr="0042463B">
        <w:t xml:space="preserve"> System Co. (Al </w:t>
      </w:r>
      <w:proofErr w:type="spellStart"/>
      <w:r w:rsidRPr="0042463B">
        <w:t>Khonaizi</w:t>
      </w:r>
      <w:proofErr w:type="spellEnd"/>
      <w:r w:rsidRPr="0042463B">
        <w:t xml:space="preserve">) et Al </w:t>
      </w:r>
      <w:proofErr w:type="spellStart"/>
      <w:r w:rsidRPr="0042463B">
        <w:t>Manai</w:t>
      </w:r>
      <w:proofErr w:type="spellEnd"/>
      <w:r w:rsidRPr="0042463B">
        <w:t xml:space="preserve"> Trading &amp; Investment (Al </w:t>
      </w:r>
      <w:proofErr w:type="spellStart"/>
      <w:r w:rsidRPr="0042463B">
        <w:t>Manai</w:t>
      </w:r>
      <w:proofErr w:type="spellEnd"/>
      <w:r w:rsidRPr="0042463B">
        <w:t>)) sont admissibles au financement, puisque les entreprises restantes ont été fondées après la date butoir.</w:t>
      </w:r>
    </w:p>
    <w:p w14:paraId="69C6C02A" w14:textId="26B614E1" w:rsidR="00041DF0" w:rsidRPr="0042463B" w:rsidRDefault="00D44DD7" w:rsidP="00B27B9C">
      <w:pPr>
        <w:pStyle w:val="Heading1"/>
      </w:pPr>
      <w:r w:rsidRPr="0042463B">
        <w:t>Le tableau 3 résume la consommation de HCFC dans le secteur de la fabrication.</w:t>
      </w:r>
    </w:p>
    <w:p w14:paraId="730A0266" w14:textId="43F4EACA" w:rsidR="00041DF0" w:rsidRPr="0042463B" w:rsidRDefault="00041DF0" w:rsidP="00041DF0">
      <w:pPr>
        <w:jc w:val="left"/>
        <w:rPr>
          <w:b/>
        </w:rPr>
      </w:pPr>
      <w:r w:rsidRPr="0042463B">
        <w:rPr>
          <w:b/>
        </w:rPr>
        <w:t>Tableau 3 : Utilisation des HCFC dans le secteur de la fabrication*</w:t>
      </w:r>
    </w:p>
    <w:tbl>
      <w:tblPr>
        <w:tblW w:w="9360" w:type="dxa"/>
        <w:tblLayout w:type="fixed"/>
        <w:tblLook w:val="04A0" w:firstRow="1" w:lastRow="0" w:firstColumn="1" w:lastColumn="0" w:noHBand="0" w:noVBand="1"/>
      </w:tblPr>
      <w:tblGrid>
        <w:gridCol w:w="1300"/>
        <w:gridCol w:w="1007"/>
        <w:gridCol w:w="1008"/>
        <w:gridCol w:w="1007"/>
        <w:gridCol w:w="1008"/>
        <w:gridCol w:w="1007"/>
        <w:gridCol w:w="1008"/>
        <w:gridCol w:w="1007"/>
        <w:gridCol w:w="1008"/>
      </w:tblGrid>
      <w:tr w:rsidR="00102ED2" w:rsidRPr="0042463B" w14:paraId="2341B547" w14:textId="77777777" w:rsidTr="00FD303E">
        <w:trPr>
          <w:tblHeader/>
        </w:trPr>
        <w:tc>
          <w:tcPr>
            <w:tcW w:w="1300" w:type="dxa"/>
            <w:vMerge w:val="restart"/>
            <w:tcBorders>
              <w:top w:val="single" w:sz="4" w:space="0" w:color="auto"/>
              <w:left w:val="single" w:sz="4" w:space="0" w:color="auto"/>
              <w:right w:val="single" w:sz="4" w:space="0" w:color="auto"/>
            </w:tcBorders>
            <w:shd w:val="clear" w:color="auto" w:fill="auto"/>
            <w:noWrap/>
            <w:tcMar>
              <w:left w:w="29" w:type="dxa"/>
              <w:right w:w="0" w:type="dxa"/>
            </w:tcMar>
            <w:hideMark/>
          </w:tcPr>
          <w:p w14:paraId="65F23E5D" w14:textId="77777777" w:rsidR="00102ED2" w:rsidRPr="0042463B" w:rsidRDefault="00102ED2" w:rsidP="00102ED2">
            <w:pPr>
              <w:jc w:val="center"/>
              <w:rPr>
                <w:b/>
                <w:color w:val="000000"/>
                <w:sz w:val="20"/>
                <w:szCs w:val="20"/>
              </w:rPr>
            </w:pPr>
            <w:r w:rsidRPr="0042463B">
              <w:rPr>
                <w:b/>
                <w:color w:val="000000"/>
                <w:sz w:val="20"/>
                <w:szCs w:val="20"/>
              </w:rPr>
              <w:t>Secteur</w:t>
            </w:r>
          </w:p>
        </w:tc>
        <w:tc>
          <w:tcPr>
            <w:tcW w:w="4030" w:type="dxa"/>
            <w:gridSpan w:val="4"/>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591A1FA9" w14:textId="2508B153" w:rsidR="00102ED2" w:rsidRPr="0042463B" w:rsidRDefault="00102ED2" w:rsidP="00041DF0">
            <w:pPr>
              <w:jc w:val="center"/>
              <w:rPr>
                <w:b/>
                <w:color w:val="000000"/>
                <w:sz w:val="20"/>
                <w:szCs w:val="20"/>
              </w:rPr>
            </w:pPr>
            <w:r w:rsidRPr="0042463B">
              <w:rPr>
                <w:b/>
                <w:color w:val="000000"/>
                <w:sz w:val="20"/>
                <w:szCs w:val="20"/>
              </w:rPr>
              <w:t>HCFC-22</w:t>
            </w:r>
          </w:p>
        </w:tc>
        <w:tc>
          <w:tcPr>
            <w:tcW w:w="4030" w:type="dxa"/>
            <w:gridSpan w:val="4"/>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554DC314" w14:textId="73DA8BFD" w:rsidR="00102ED2" w:rsidRPr="0042463B" w:rsidRDefault="00102ED2" w:rsidP="00041DF0">
            <w:pPr>
              <w:jc w:val="center"/>
              <w:rPr>
                <w:b/>
                <w:color w:val="000000"/>
                <w:sz w:val="20"/>
                <w:szCs w:val="20"/>
              </w:rPr>
            </w:pPr>
            <w:r w:rsidRPr="0042463B">
              <w:rPr>
                <w:b/>
                <w:color w:val="000000"/>
                <w:sz w:val="20"/>
                <w:szCs w:val="20"/>
              </w:rPr>
              <w:t>HCFC-141b dans le polyol importé</w:t>
            </w:r>
          </w:p>
        </w:tc>
      </w:tr>
      <w:tr w:rsidR="00102ED2" w:rsidRPr="0042463B" w14:paraId="1A9D2456" w14:textId="77777777" w:rsidTr="00FD303E">
        <w:trPr>
          <w:tblHeader/>
        </w:trPr>
        <w:tc>
          <w:tcPr>
            <w:tcW w:w="1300" w:type="dxa"/>
            <w:vMerge/>
            <w:tcBorders>
              <w:left w:val="single" w:sz="4" w:space="0" w:color="auto"/>
              <w:bottom w:val="single" w:sz="4" w:space="0" w:color="auto"/>
              <w:right w:val="single" w:sz="4" w:space="0" w:color="auto"/>
            </w:tcBorders>
            <w:shd w:val="clear" w:color="auto" w:fill="auto"/>
            <w:noWrap/>
            <w:tcMar>
              <w:left w:w="29" w:type="dxa"/>
            </w:tcMar>
            <w:vAlign w:val="center"/>
            <w:hideMark/>
          </w:tcPr>
          <w:p w14:paraId="2AD4248F" w14:textId="491CEEEC" w:rsidR="00102ED2" w:rsidRPr="0042463B" w:rsidRDefault="00102ED2" w:rsidP="00041DF0">
            <w:pPr>
              <w:jc w:val="center"/>
              <w:rPr>
                <w:b/>
                <w:color w:val="000000"/>
                <w:sz w:val="20"/>
                <w:szCs w:val="20"/>
                <w:lang w:eastAsia="en-CA"/>
              </w:rPr>
            </w:pPr>
          </w:p>
        </w:tc>
        <w:tc>
          <w:tcPr>
            <w:tcW w:w="10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278B4B88" w14:textId="77777777" w:rsidR="00102ED2" w:rsidRPr="0042463B" w:rsidRDefault="00102ED2" w:rsidP="00041DF0">
            <w:pPr>
              <w:jc w:val="center"/>
              <w:rPr>
                <w:b/>
                <w:color w:val="000000"/>
                <w:sz w:val="20"/>
                <w:szCs w:val="20"/>
              </w:rPr>
            </w:pPr>
            <w:r w:rsidRPr="0042463B">
              <w:rPr>
                <w:b/>
                <w:color w:val="000000"/>
                <w:sz w:val="20"/>
                <w:szCs w:val="20"/>
              </w:rPr>
              <w:t>2018</w:t>
            </w:r>
          </w:p>
        </w:tc>
        <w:tc>
          <w:tcPr>
            <w:tcW w:w="10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25DD621F" w14:textId="77777777" w:rsidR="00102ED2" w:rsidRPr="0042463B" w:rsidRDefault="00102ED2" w:rsidP="00041DF0">
            <w:pPr>
              <w:jc w:val="center"/>
              <w:rPr>
                <w:b/>
                <w:color w:val="000000"/>
                <w:sz w:val="20"/>
                <w:szCs w:val="20"/>
              </w:rPr>
            </w:pPr>
            <w:r w:rsidRPr="0042463B">
              <w:rPr>
                <w:b/>
                <w:color w:val="000000"/>
                <w:sz w:val="20"/>
                <w:szCs w:val="20"/>
              </w:rPr>
              <w:t>2019</w:t>
            </w:r>
          </w:p>
        </w:tc>
        <w:tc>
          <w:tcPr>
            <w:tcW w:w="10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3909FE34" w14:textId="77777777" w:rsidR="00102ED2" w:rsidRPr="0042463B" w:rsidRDefault="00102ED2" w:rsidP="00041DF0">
            <w:pPr>
              <w:jc w:val="center"/>
              <w:rPr>
                <w:b/>
                <w:color w:val="000000"/>
                <w:sz w:val="20"/>
                <w:szCs w:val="20"/>
              </w:rPr>
            </w:pPr>
            <w:r w:rsidRPr="0042463B">
              <w:rPr>
                <w:b/>
                <w:color w:val="000000"/>
                <w:sz w:val="20"/>
                <w:szCs w:val="20"/>
              </w:rPr>
              <w:t>2020</w:t>
            </w:r>
          </w:p>
        </w:tc>
        <w:tc>
          <w:tcPr>
            <w:tcW w:w="10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4F69DA8B" w14:textId="77777777" w:rsidR="00102ED2" w:rsidRPr="0042463B" w:rsidRDefault="00102ED2" w:rsidP="00041DF0">
            <w:pPr>
              <w:jc w:val="center"/>
              <w:rPr>
                <w:b/>
                <w:color w:val="000000"/>
                <w:sz w:val="20"/>
                <w:szCs w:val="20"/>
              </w:rPr>
            </w:pPr>
            <w:r w:rsidRPr="0042463B">
              <w:rPr>
                <w:b/>
                <w:color w:val="000000"/>
                <w:sz w:val="20"/>
                <w:szCs w:val="20"/>
              </w:rPr>
              <w:t>Valeur de référence</w:t>
            </w:r>
          </w:p>
        </w:tc>
        <w:tc>
          <w:tcPr>
            <w:tcW w:w="10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2AF1F58B" w14:textId="77777777" w:rsidR="00102ED2" w:rsidRPr="0042463B" w:rsidRDefault="00102ED2" w:rsidP="00041DF0">
            <w:pPr>
              <w:jc w:val="center"/>
              <w:rPr>
                <w:b/>
                <w:color w:val="000000"/>
                <w:sz w:val="20"/>
                <w:szCs w:val="20"/>
              </w:rPr>
            </w:pPr>
            <w:r w:rsidRPr="0042463B">
              <w:rPr>
                <w:b/>
                <w:color w:val="000000"/>
                <w:sz w:val="20"/>
                <w:szCs w:val="20"/>
              </w:rPr>
              <w:t>2018</w:t>
            </w:r>
          </w:p>
        </w:tc>
        <w:tc>
          <w:tcPr>
            <w:tcW w:w="10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1F659051" w14:textId="77777777" w:rsidR="00102ED2" w:rsidRPr="0042463B" w:rsidRDefault="00102ED2" w:rsidP="00041DF0">
            <w:pPr>
              <w:jc w:val="center"/>
              <w:rPr>
                <w:b/>
                <w:color w:val="000000"/>
                <w:sz w:val="20"/>
                <w:szCs w:val="20"/>
              </w:rPr>
            </w:pPr>
            <w:r w:rsidRPr="0042463B">
              <w:rPr>
                <w:b/>
                <w:color w:val="000000"/>
                <w:sz w:val="20"/>
                <w:szCs w:val="20"/>
              </w:rPr>
              <w:t>2019</w:t>
            </w:r>
          </w:p>
        </w:tc>
        <w:tc>
          <w:tcPr>
            <w:tcW w:w="10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165E3D75" w14:textId="77777777" w:rsidR="00102ED2" w:rsidRPr="0042463B" w:rsidRDefault="00102ED2" w:rsidP="00041DF0">
            <w:pPr>
              <w:jc w:val="center"/>
              <w:rPr>
                <w:b/>
                <w:color w:val="000000"/>
                <w:sz w:val="20"/>
                <w:szCs w:val="20"/>
              </w:rPr>
            </w:pPr>
            <w:r w:rsidRPr="0042463B">
              <w:rPr>
                <w:b/>
                <w:color w:val="000000"/>
                <w:sz w:val="20"/>
                <w:szCs w:val="20"/>
              </w:rPr>
              <w:t>2020</w:t>
            </w:r>
          </w:p>
        </w:tc>
        <w:tc>
          <w:tcPr>
            <w:tcW w:w="10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386876AA" w14:textId="77777777" w:rsidR="00102ED2" w:rsidRPr="0042463B" w:rsidRDefault="00102ED2" w:rsidP="00041DF0">
            <w:pPr>
              <w:jc w:val="center"/>
              <w:rPr>
                <w:b/>
                <w:color w:val="000000"/>
                <w:sz w:val="20"/>
                <w:szCs w:val="20"/>
              </w:rPr>
            </w:pPr>
            <w:r w:rsidRPr="0042463B">
              <w:rPr>
                <w:b/>
                <w:color w:val="000000"/>
                <w:sz w:val="20"/>
                <w:szCs w:val="20"/>
              </w:rPr>
              <w:t>Valeur de référence</w:t>
            </w:r>
          </w:p>
        </w:tc>
      </w:tr>
      <w:tr w:rsidR="00102ED2" w:rsidRPr="0042463B" w14:paraId="4BED79B9" w14:textId="77777777" w:rsidTr="00102ED2">
        <w:tc>
          <w:tcPr>
            <w:tcW w:w="8352" w:type="dxa"/>
            <w:gridSpan w:val="8"/>
            <w:tcBorders>
              <w:top w:val="nil"/>
              <w:left w:val="single" w:sz="4" w:space="0" w:color="auto"/>
              <w:bottom w:val="single" w:sz="4" w:space="0" w:color="auto"/>
              <w:right w:val="single" w:sz="4" w:space="0" w:color="auto"/>
            </w:tcBorders>
            <w:shd w:val="clear" w:color="auto" w:fill="auto"/>
            <w:noWrap/>
            <w:tcMar>
              <w:left w:w="29" w:type="dxa"/>
            </w:tcMar>
            <w:vAlign w:val="bottom"/>
            <w:hideMark/>
          </w:tcPr>
          <w:p w14:paraId="40548B94" w14:textId="500EEA1B" w:rsidR="00102ED2" w:rsidRPr="0042463B" w:rsidRDefault="00102ED2" w:rsidP="00041DF0">
            <w:pPr>
              <w:jc w:val="left"/>
              <w:rPr>
                <w:color w:val="000000"/>
                <w:sz w:val="20"/>
                <w:szCs w:val="20"/>
              </w:rPr>
            </w:pPr>
            <w:r w:rsidRPr="0042463B">
              <w:rPr>
                <w:b/>
                <w:color w:val="000000"/>
                <w:sz w:val="20"/>
                <w:szCs w:val="20"/>
              </w:rPr>
              <w:t>Tm</w:t>
            </w:r>
          </w:p>
        </w:tc>
        <w:tc>
          <w:tcPr>
            <w:tcW w:w="1008" w:type="dxa"/>
            <w:vMerge w:val="restart"/>
            <w:tcBorders>
              <w:top w:val="nil"/>
              <w:left w:val="nil"/>
              <w:right w:val="single" w:sz="4" w:space="0" w:color="auto"/>
            </w:tcBorders>
            <w:shd w:val="clear" w:color="auto" w:fill="auto"/>
            <w:noWrap/>
            <w:vAlign w:val="center"/>
            <w:hideMark/>
          </w:tcPr>
          <w:p w14:paraId="067B86C2" w14:textId="752ACF69" w:rsidR="00102ED2" w:rsidRPr="0042463B" w:rsidRDefault="00102ED2" w:rsidP="009813A0">
            <w:pPr>
              <w:jc w:val="right"/>
              <w:rPr>
                <w:color w:val="000000"/>
                <w:sz w:val="20"/>
                <w:szCs w:val="20"/>
              </w:rPr>
            </w:pPr>
            <w:r w:rsidRPr="0042463B">
              <w:rPr>
                <w:color w:val="000000"/>
                <w:sz w:val="20"/>
                <w:szCs w:val="20"/>
              </w:rPr>
              <w:t>91,87</w:t>
            </w:r>
          </w:p>
        </w:tc>
      </w:tr>
      <w:tr w:rsidR="009813A0" w:rsidRPr="0042463B" w14:paraId="1576BCCF" w14:textId="77777777" w:rsidTr="000A1704">
        <w:tc>
          <w:tcPr>
            <w:tcW w:w="1300" w:type="dxa"/>
            <w:tcBorders>
              <w:top w:val="nil"/>
              <w:left w:val="single" w:sz="4" w:space="0" w:color="auto"/>
              <w:bottom w:val="single" w:sz="4" w:space="0" w:color="auto"/>
              <w:right w:val="single" w:sz="4" w:space="0" w:color="auto"/>
            </w:tcBorders>
            <w:shd w:val="clear" w:color="auto" w:fill="auto"/>
            <w:noWrap/>
            <w:tcMar>
              <w:left w:w="29" w:type="dxa"/>
            </w:tcMar>
            <w:vAlign w:val="bottom"/>
            <w:hideMark/>
          </w:tcPr>
          <w:p w14:paraId="70637F5A" w14:textId="77777777" w:rsidR="009813A0" w:rsidRPr="0042463B" w:rsidRDefault="009813A0" w:rsidP="009813A0">
            <w:pPr>
              <w:jc w:val="left"/>
              <w:rPr>
                <w:color w:val="000000"/>
                <w:sz w:val="20"/>
                <w:szCs w:val="20"/>
              </w:rPr>
            </w:pPr>
            <w:r w:rsidRPr="0042463B">
              <w:rPr>
                <w:color w:val="000000"/>
                <w:sz w:val="20"/>
                <w:szCs w:val="20"/>
              </w:rPr>
              <w:t>AGM</w:t>
            </w:r>
          </w:p>
        </w:tc>
        <w:tc>
          <w:tcPr>
            <w:tcW w:w="1007" w:type="dxa"/>
            <w:tcBorders>
              <w:top w:val="single" w:sz="4" w:space="0" w:color="auto"/>
              <w:left w:val="single" w:sz="4" w:space="0" w:color="auto"/>
              <w:bottom w:val="single" w:sz="4" w:space="0" w:color="auto"/>
              <w:right w:val="single" w:sz="4" w:space="0" w:color="auto"/>
            </w:tcBorders>
            <w:shd w:val="clear" w:color="auto" w:fill="auto"/>
            <w:noWrap/>
            <w:hideMark/>
          </w:tcPr>
          <w:p w14:paraId="34199509" w14:textId="7EEFAA71" w:rsidR="009813A0" w:rsidRPr="0042463B" w:rsidRDefault="009813A0" w:rsidP="009813A0">
            <w:pPr>
              <w:jc w:val="right"/>
              <w:rPr>
                <w:color w:val="000000"/>
                <w:sz w:val="20"/>
                <w:szCs w:val="20"/>
              </w:rPr>
            </w:pPr>
            <w:r w:rsidRPr="0042463B">
              <w:rPr>
                <w:color w:val="000000"/>
                <w:sz w:val="20"/>
                <w:szCs w:val="20"/>
              </w:rPr>
              <w:t>390,00</w:t>
            </w:r>
          </w:p>
        </w:tc>
        <w:tc>
          <w:tcPr>
            <w:tcW w:w="1008" w:type="dxa"/>
            <w:tcBorders>
              <w:top w:val="single" w:sz="4" w:space="0" w:color="auto"/>
              <w:left w:val="nil"/>
              <w:bottom w:val="single" w:sz="4" w:space="0" w:color="auto"/>
              <w:right w:val="single" w:sz="4" w:space="0" w:color="auto"/>
            </w:tcBorders>
            <w:shd w:val="clear" w:color="auto" w:fill="auto"/>
            <w:noWrap/>
            <w:hideMark/>
          </w:tcPr>
          <w:p w14:paraId="54773F21" w14:textId="64C33198" w:rsidR="009813A0" w:rsidRPr="0042463B" w:rsidRDefault="009813A0" w:rsidP="009813A0">
            <w:pPr>
              <w:jc w:val="right"/>
              <w:rPr>
                <w:color w:val="000000"/>
                <w:sz w:val="20"/>
                <w:szCs w:val="20"/>
              </w:rPr>
            </w:pPr>
            <w:r w:rsidRPr="0042463B">
              <w:rPr>
                <w:color w:val="000000"/>
                <w:sz w:val="20"/>
                <w:szCs w:val="20"/>
              </w:rPr>
              <w:t>350</w:t>
            </w:r>
          </w:p>
        </w:tc>
        <w:tc>
          <w:tcPr>
            <w:tcW w:w="1007" w:type="dxa"/>
            <w:tcBorders>
              <w:top w:val="single" w:sz="4" w:space="0" w:color="auto"/>
              <w:left w:val="nil"/>
              <w:bottom w:val="single" w:sz="4" w:space="0" w:color="auto"/>
              <w:right w:val="single" w:sz="4" w:space="0" w:color="auto"/>
            </w:tcBorders>
            <w:shd w:val="clear" w:color="auto" w:fill="auto"/>
            <w:noWrap/>
            <w:hideMark/>
          </w:tcPr>
          <w:p w14:paraId="7DBDAC0D" w14:textId="2F528164" w:rsidR="009813A0" w:rsidRPr="0042463B" w:rsidRDefault="009813A0" w:rsidP="009813A0">
            <w:pPr>
              <w:jc w:val="right"/>
              <w:rPr>
                <w:color w:val="000000"/>
                <w:sz w:val="20"/>
                <w:szCs w:val="20"/>
              </w:rPr>
            </w:pPr>
            <w:r w:rsidRPr="0042463B">
              <w:rPr>
                <w:color w:val="000000"/>
                <w:sz w:val="20"/>
                <w:szCs w:val="20"/>
              </w:rPr>
              <w:t>300</w:t>
            </w:r>
          </w:p>
        </w:tc>
        <w:tc>
          <w:tcPr>
            <w:tcW w:w="1008" w:type="dxa"/>
            <w:tcBorders>
              <w:top w:val="single" w:sz="4" w:space="0" w:color="auto"/>
              <w:left w:val="nil"/>
              <w:bottom w:val="single" w:sz="4" w:space="0" w:color="auto"/>
              <w:right w:val="single" w:sz="4" w:space="0" w:color="auto"/>
            </w:tcBorders>
            <w:shd w:val="clear" w:color="auto" w:fill="auto"/>
            <w:noWrap/>
            <w:hideMark/>
          </w:tcPr>
          <w:p w14:paraId="707E7178" w14:textId="0B3AA5C2" w:rsidR="009813A0" w:rsidRPr="0042463B" w:rsidRDefault="009813A0" w:rsidP="009813A0">
            <w:pPr>
              <w:jc w:val="right"/>
              <w:rPr>
                <w:color w:val="000000"/>
                <w:sz w:val="20"/>
                <w:szCs w:val="20"/>
              </w:rPr>
            </w:pPr>
            <w:r w:rsidRPr="0042463B">
              <w:rPr>
                <w:color w:val="000000"/>
                <w:sz w:val="20"/>
                <w:szCs w:val="20"/>
              </w:rPr>
              <w:t>682,5</w:t>
            </w:r>
          </w:p>
        </w:tc>
        <w:tc>
          <w:tcPr>
            <w:tcW w:w="1007" w:type="dxa"/>
            <w:tcBorders>
              <w:top w:val="single" w:sz="4" w:space="0" w:color="auto"/>
              <w:left w:val="nil"/>
              <w:bottom w:val="single" w:sz="4" w:space="0" w:color="auto"/>
              <w:right w:val="single" w:sz="4" w:space="0" w:color="auto"/>
            </w:tcBorders>
            <w:shd w:val="clear" w:color="auto" w:fill="auto"/>
            <w:noWrap/>
            <w:hideMark/>
          </w:tcPr>
          <w:p w14:paraId="3DD40773" w14:textId="4B0696A4" w:rsidR="009813A0" w:rsidRPr="0042463B" w:rsidRDefault="009813A0" w:rsidP="009813A0">
            <w:pPr>
              <w:jc w:val="right"/>
              <w:rPr>
                <w:color w:val="000000"/>
                <w:sz w:val="20"/>
                <w:szCs w:val="20"/>
              </w:rPr>
            </w:pPr>
            <w:r w:rsidRPr="0042463B">
              <w:rPr>
                <w:color w:val="000000"/>
                <w:sz w:val="20"/>
                <w:szCs w:val="20"/>
              </w:rPr>
              <w:t>5,10</w:t>
            </w:r>
          </w:p>
        </w:tc>
        <w:tc>
          <w:tcPr>
            <w:tcW w:w="1008" w:type="dxa"/>
            <w:tcBorders>
              <w:top w:val="single" w:sz="4" w:space="0" w:color="auto"/>
              <w:left w:val="nil"/>
              <w:bottom w:val="single" w:sz="4" w:space="0" w:color="auto"/>
              <w:right w:val="single" w:sz="4" w:space="0" w:color="auto"/>
            </w:tcBorders>
            <w:shd w:val="clear" w:color="auto" w:fill="auto"/>
            <w:noWrap/>
            <w:hideMark/>
          </w:tcPr>
          <w:p w14:paraId="0A2E8E30" w14:textId="327194B4" w:rsidR="009813A0" w:rsidRPr="0042463B" w:rsidRDefault="009813A0" w:rsidP="009813A0">
            <w:pPr>
              <w:jc w:val="right"/>
              <w:rPr>
                <w:color w:val="000000"/>
                <w:sz w:val="20"/>
                <w:szCs w:val="20"/>
              </w:rPr>
            </w:pPr>
            <w:r w:rsidRPr="0042463B">
              <w:rPr>
                <w:color w:val="000000"/>
                <w:sz w:val="20"/>
                <w:szCs w:val="20"/>
              </w:rPr>
              <w:t>8,25</w:t>
            </w:r>
          </w:p>
        </w:tc>
        <w:tc>
          <w:tcPr>
            <w:tcW w:w="1007" w:type="dxa"/>
            <w:tcBorders>
              <w:top w:val="single" w:sz="4" w:space="0" w:color="auto"/>
              <w:left w:val="nil"/>
              <w:bottom w:val="single" w:sz="4" w:space="0" w:color="auto"/>
              <w:right w:val="single" w:sz="4" w:space="0" w:color="auto"/>
            </w:tcBorders>
            <w:shd w:val="clear" w:color="auto" w:fill="auto"/>
            <w:noWrap/>
            <w:hideMark/>
          </w:tcPr>
          <w:p w14:paraId="37117EE3" w14:textId="40B5A21C" w:rsidR="009813A0" w:rsidRPr="0042463B" w:rsidRDefault="009813A0" w:rsidP="009813A0">
            <w:pPr>
              <w:jc w:val="right"/>
              <w:rPr>
                <w:color w:val="000000"/>
                <w:sz w:val="20"/>
                <w:szCs w:val="20"/>
              </w:rPr>
            </w:pPr>
            <w:r w:rsidRPr="0042463B">
              <w:rPr>
                <w:color w:val="000000"/>
                <w:sz w:val="20"/>
                <w:szCs w:val="20"/>
              </w:rPr>
              <w:t>10,14</w:t>
            </w:r>
          </w:p>
        </w:tc>
        <w:tc>
          <w:tcPr>
            <w:tcW w:w="1008" w:type="dxa"/>
            <w:vMerge/>
            <w:tcBorders>
              <w:left w:val="single" w:sz="4" w:space="0" w:color="auto"/>
              <w:right w:val="single" w:sz="4" w:space="0" w:color="auto"/>
            </w:tcBorders>
            <w:shd w:val="clear" w:color="auto" w:fill="auto"/>
            <w:noWrap/>
            <w:vAlign w:val="center"/>
            <w:hideMark/>
          </w:tcPr>
          <w:p w14:paraId="353D8DD4" w14:textId="37A5ED72" w:rsidR="009813A0" w:rsidRPr="0042463B" w:rsidRDefault="009813A0" w:rsidP="009813A0">
            <w:pPr>
              <w:jc w:val="right"/>
              <w:rPr>
                <w:color w:val="000000"/>
                <w:sz w:val="20"/>
                <w:szCs w:val="20"/>
                <w:lang w:eastAsia="en-CA"/>
              </w:rPr>
            </w:pPr>
          </w:p>
        </w:tc>
      </w:tr>
      <w:tr w:rsidR="009813A0" w:rsidRPr="0042463B" w14:paraId="572F7B34" w14:textId="77777777" w:rsidTr="00622851">
        <w:tc>
          <w:tcPr>
            <w:tcW w:w="1300" w:type="dxa"/>
            <w:tcBorders>
              <w:top w:val="nil"/>
              <w:left w:val="single" w:sz="4" w:space="0" w:color="auto"/>
              <w:bottom w:val="single" w:sz="4" w:space="0" w:color="auto"/>
              <w:right w:val="single" w:sz="4" w:space="0" w:color="auto"/>
            </w:tcBorders>
            <w:shd w:val="clear" w:color="auto" w:fill="auto"/>
            <w:noWrap/>
            <w:tcMar>
              <w:left w:w="29" w:type="dxa"/>
            </w:tcMar>
            <w:vAlign w:val="bottom"/>
            <w:hideMark/>
          </w:tcPr>
          <w:p w14:paraId="07360CEC" w14:textId="77777777" w:rsidR="009813A0" w:rsidRPr="0042463B" w:rsidRDefault="009813A0" w:rsidP="009813A0">
            <w:pPr>
              <w:jc w:val="left"/>
              <w:rPr>
                <w:color w:val="000000"/>
                <w:sz w:val="20"/>
                <w:szCs w:val="20"/>
              </w:rPr>
            </w:pPr>
            <w:r w:rsidRPr="0042463B">
              <w:rPr>
                <w:color w:val="000000"/>
                <w:sz w:val="20"/>
                <w:szCs w:val="20"/>
              </w:rPr>
              <w:t>ARAC</w:t>
            </w:r>
          </w:p>
        </w:tc>
        <w:tc>
          <w:tcPr>
            <w:tcW w:w="1007" w:type="dxa"/>
            <w:tcBorders>
              <w:top w:val="nil"/>
              <w:left w:val="single" w:sz="4" w:space="0" w:color="auto"/>
              <w:bottom w:val="single" w:sz="4" w:space="0" w:color="auto"/>
              <w:right w:val="single" w:sz="4" w:space="0" w:color="auto"/>
            </w:tcBorders>
            <w:shd w:val="clear" w:color="auto" w:fill="auto"/>
            <w:noWrap/>
            <w:hideMark/>
          </w:tcPr>
          <w:p w14:paraId="3F9A644B" w14:textId="6BFEE07E" w:rsidR="009813A0" w:rsidRPr="0042463B" w:rsidRDefault="007D2047" w:rsidP="009813A0">
            <w:pPr>
              <w:jc w:val="right"/>
              <w:rPr>
                <w:color w:val="000000"/>
                <w:sz w:val="20"/>
                <w:szCs w:val="20"/>
              </w:rPr>
            </w:pPr>
            <w:r w:rsidRPr="0042463B">
              <w:rPr>
                <w:color w:val="000000"/>
                <w:sz w:val="20"/>
                <w:szCs w:val="20"/>
              </w:rPr>
              <w:t>0,00</w:t>
            </w:r>
          </w:p>
        </w:tc>
        <w:tc>
          <w:tcPr>
            <w:tcW w:w="1008" w:type="dxa"/>
            <w:tcBorders>
              <w:top w:val="nil"/>
              <w:left w:val="nil"/>
              <w:bottom w:val="single" w:sz="4" w:space="0" w:color="auto"/>
              <w:right w:val="single" w:sz="4" w:space="0" w:color="auto"/>
            </w:tcBorders>
            <w:shd w:val="clear" w:color="auto" w:fill="auto"/>
            <w:noWrap/>
            <w:hideMark/>
          </w:tcPr>
          <w:p w14:paraId="210671AE" w14:textId="47298B76" w:rsidR="009813A0" w:rsidRPr="0042463B" w:rsidRDefault="007D2047" w:rsidP="009813A0">
            <w:pPr>
              <w:jc w:val="right"/>
              <w:rPr>
                <w:color w:val="000000"/>
                <w:sz w:val="20"/>
                <w:szCs w:val="20"/>
              </w:rPr>
            </w:pPr>
            <w:r w:rsidRPr="0042463B">
              <w:rPr>
                <w:color w:val="000000"/>
                <w:sz w:val="20"/>
                <w:szCs w:val="20"/>
              </w:rPr>
              <w:t>0,00</w:t>
            </w:r>
          </w:p>
        </w:tc>
        <w:tc>
          <w:tcPr>
            <w:tcW w:w="1007" w:type="dxa"/>
            <w:tcBorders>
              <w:top w:val="nil"/>
              <w:left w:val="nil"/>
              <w:bottom w:val="single" w:sz="4" w:space="0" w:color="auto"/>
              <w:right w:val="single" w:sz="4" w:space="0" w:color="auto"/>
            </w:tcBorders>
            <w:shd w:val="clear" w:color="auto" w:fill="auto"/>
            <w:noWrap/>
            <w:hideMark/>
          </w:tcPr>
          <w:p w14:paraId="0F43F149" w14:textId="3EBD9024" w:rsidR="009813A0" w:rsidRPr="0042463B" w:rsidRDefault="007D2047" w:rsidP="009813A0">
            <w:pPr>
              <w:jc w:val="right"/>
              <w:rPr>
                <w:color w:val="000000"/>
                <w:sz w:val="20"/>
                <w:szCs w:val="20"/>
              </w:rPr>
            </w:pPr>
            <w:r w:rsidRPr="0042463B">
              <w:rPr>
                <w:color w:val="000000"/>
                <w:sz w:val="20"/>
                <w:szCs w:val="20"/>
              </w:rPr>
              <w:t>0,00</w:t>
            </w:r>
          </w:p>
        </w:tc>
        <w:tc>
          <w:tcPr>
            <w:tcW w:w="1008" w:type="dxa"/>
            <w:tcBorders>
              <w:top w:val="nil"/>
              <w:left w:val="nil"/>
              <w:bottom w:val="single" w:sz="4" w:space="0" w:color="auto"/>
              <w:right w:val="single" w:sz="4" w:space="0" w:color="auto"/>
            </w:tcBorders>
            <w:shd w:val="clear" w:color="auto" w:fill="auto"/>
            <w:noWrap/>
            <w:hideMark/>
          </w:tcPr>
          <w:p w14:paraId="3C8C4587" w14:textId="4AEB8D66" w:rsidR="009813A0" w:rsidRPr="0042463B" w:rsidRDefault="007D2047" w:rsidP="009813A0">
            <w:pPr>
              <w:jc w:val="right"/>
              <w:rPr>
                <w:color w:val="000000"/>
                <w:sz w:val="20"/>
                <w:szCs w:val="20"/>
              </w:rPr>
            </w:pPr>
            <w:r w:rsidRPr="0042463B">
              <w:rPr>
                <w:color w:val="000000"/>
                <w:sz w:val="20"/>
                <w:szCs w:val="20"/>
              </w:rPr>
              <w:t>0,00</w:t>
            </w:r>
          </w:p>
        </w:tc>
        <w:tc>
          <w:tcPr>
            <w:tcW w:w="1007" w:type="dxa"/>
            <w:tcBorders>
              <w:top w:val="nil"/>
              <w:left w:val="nil"/>
              <w:bottom w:val="single" w:sz="4" w:space="0" w:color="auto"/>
              <w:right w:val="single" w:sz="4" w:space="0" w:color="auto"/>
            </w:tcBorders>
            <w:shd w:val="clear" w:color="auto" w:fill="auto"/>
            <w:noWrap/>
          </w:tcPr>
          <w:p w14:paraId="6C5414DF" w14:textId="3CB898B6" w:rsidR="009813A0" w:rsidRPr="0042463B" w:rsidRDefault="009813A0" w:rsidP="009813A0">
            <w:pPr>
              <w:jc w:val="right"/>
              <w:rPr>
                <w:color w:val="000000"/>
                <w:sz w:val="20"/>
                <w:szCs w:val="20"/>
              </w:rPr>
            </w:pPr>
            <w:r w:rsidRPr="0042463B">
              <w:rPr>
                <w:color w:val="000000"/>
                <w:sz w:val="20"/>
                <w:szCs w:val="20"/>
              </w:rPr>
              <w:t>1,60</w:t>
            </w:r>
          </w:p>
        </w:tc>
        <w:tc>
          <w:tcPr>
            <w:tcW w:w="1008" w:type="dxa"/>
            <w:tcBorders>
              <w:top w:val="nil"/>
              <w:left w:val="nil"/>
              <w:bottom w:val="single" w:sz="4" w:space="0" w:color="auto"/>
              <w:right w:val="single" w:sz="4" w:space="0" w:color="auto"/>
            </w:tcBorders>
            <w:shd w:val="clear" w:color="auto" w:fill="auto"/>
            <w:noWrap/>
          </w:tcPr>
          <w:p w14:paraId="70B19E21" w14:textId="4A1EA855" w:rsidR="009813A0" w:rsidRPr="0042463B" w:rsidRDefault="009813A0" w:rsidP="009813A0">
            <w:pPr>
              <w:jc w:val="right"/>
              <w:rPr>
                <w:color w:val="000000"/>
                <w:sz w:val="20"/>
                <w:szCs w:val="20"/>
              </w:rPr>
            </w:pPr>
            <w:r w:rsidRPr="0042463B">
              <w:rPr>
                <w:color w:val="000000"/>
                <w:sz w:val="20"/>
                <w:szCs w:val="20"/>
              </w:rPr>
              <w:t>2,00</w:t>
            </w:r>
          </w:p>
        </w:tc>
        <w:tc>
          <w:tcPr>
            <w:tcW w:w="1007" w:type="dxa"/>
            <w:tcBorders>
              <w:top w:val="nil"/>
              <w:left w:val="nil"/>
              <w:bottom w:val="single" w:sz="4" w:space="0" w:color="auto"/>
              <w:right w:val="single" w:sz="4" w:space="0" w:color="auto"/>
            </w:tcBorders>
            <w:shd w:val="clear" w:color="auto" w:fill="auto"/>
            <w:noWrap/>
          </w:tcPr>
          <w:p w14:paraId="690C4036" w14:textId="6AFD1415" w:rsidR="009813A0" w:rsidRPr="0042463B" w:rsidRDefault="009813A0" w:rsidP="009813A0">
            <w:pPr>
              <w:jc w:val="right"/>
              <w:rPr>
                <w:color w:val="000000"/>
                <w:sz w:val="20"/>
                <w:szCs w:val="20"/>
              </w:rPr>
            </w:pPr>
            <w:r w:rsidRPr="0042463B">
              <w:rPr>
                <w:color w:val="000000"/>
                <w:sz w:val="20"/>
                <w:szCs w:val="20"/>
              </w:rPr>
              <w:t>2,40</w:t>
            </w:r>
          </w:p>
        </w:tc>
        <w:tc>
          <w:tcPr>
            <w:tcW w:w="1008" w:type="dxa"/>
            <w:vMerge/>
            <w:tcBorders>
              <w:left w:val="single" w:sz="4" w:space="0" w:color="auto"/>
              <w:right w:val="single" w:sz="4" w:space="0" w:color="auto"/>
            </w:tcBorders>
            <w:noWrap/>
            <w:vAlign w:val="center"/>
          </w:tcPr>
          <w:p w14:paraId="16084AEF" w14:textId="5AF0A444" w:rsidR="009813A0" w:rsidRPr="0042463B" w:rsidRDefault="009813A0" w:rsidP="009813A0">
            <w:pPr>
              <w:jc w:val="right"/>
              <w:rPr>
                <w:color w:val="000000"/>
                <w:sz w:val="20"/>
                <w:szCs w:val="20"/>
                <w:lang w:eastAsia="en-CA"/>
              </w:rPr>
            </w:pPr>
          </w:p>
        </w:tc>
      </w:tr>
      <w:tr w:rsidR="00622851" w:rsidRPr="0042463B" w14:paraId="1EE317E0" w14:textId="77777777" w:rsidTr="00622851">
        <w:tc>
          <w:tcPr>
            <w:tcW w:w="1300" w:type="dxa"/>
            <w:tcBorders>
              <w:top w:val="nil"/>
              <w:left w:val="single" w:sz="4" w:space="0" w:color="auto"/>
              <w:bottom w:val="single" w:sz="4" w:space="0" w:color="auto"/>
              <w:right w:val="single" w:sz="4" w:space="0" w:color="auto"/>
            </w:tcBorders>
            <w:shd w:val="clear" w:color="auto" w:fill="auto"/>
            <w:noWrap/>
            <w:tcMar>
              <w:left w:w="29" w:type="dxa"/>
            </w:tcMar>
            <w:vAlign w:val="bottom"/>
            <w:hideMark/>
          </w:tcPr>
          <w:p w14:paraId="53966590" w14:textId="77777777" w:rsidR="00622851" w:rsidRPr="0042463B" w:rsidRDefault="00622851" w:rsidP="00622851">
            <w:pPr>
              <w:jc w:val="left"/>
              <w:rPr>
                <w:color w:val="000000"/>
                <w:sz w:val="20"/>
                <w:szCs w:val="20"/>
              </w:rPr>
            </w:pPr>
            <w:r w:rsidRPr="0042463B">
              <w:rPr>
                <w:color w:val="000000"/>
                <w:sz w:val="20"/>
                <w:szCs w:val="20"/>
              </w:rPr>
              <w:t>Mousse pulvérisée</w:t>
            </w:r>
          </w:p>
        </w:tc>
        <w:tc>
          <w:tcPr>
            <w:tcW w:w="1007" w:type="dxa"/>
            <w:tcBorders>
              <w:top w:val="nil"/>
              <w:left w:val="single" w:sz="4" w:space="0" w:color="auto"/>
              <w:bottom w:val="single" w:sz="4" w:space="0" w:color="auto"/>
              <w:right w:val="single" w:sz="4" w:space="0" w:color="auto"/>
            </w:tcBorders>
            <w:shd w:val="clear" w:color="auto" w:fill="auto"/>
            <w:noWrap/>
            <w:hideMark/>
          </w:tcPr>
          <w:p w14:paraId="4BC31FD3" w14:textId="0DFCD7B0" w:rsidR="00622851" w:rsidRPr="0042463B" w:rsidRDefault="00622851" w:rsidP="00622851">
            <w:pPr>
              <w:jc w:val="right"/>
              <w:rPr>
                <w:color w:val="000000"/>
                <w:sz w:val="20"/>
                <w:szCs w:val="20"/>
              </w:rPr>
            </w:pPr>
            <w:r w:rsidRPr="0042463B">
              <w:rPr>
                <w:color w:val="000000"/>
                <w:sz w:val="20"/>
                <w:szCs w:val="20"/>
              </w:rPr>
              <w:t>0,00</w:t>
            </w:r>
          </w:p>
        </w:tc>
        <w:tc>
          <w:tcPr>
            <w:tcW w:w="1008" w:type="dxa"/>
            <w:tcBorders>
              <w:top w:val="nil"/>
              <w:left w:val="nil"/>
              <w:bottom w:val="single" w:sz="4" w:space="0" w:color="auto"/>
              <w:right w:val="single" w:sz="4" w:space="0" w:color="auto"/>
            </w:tcBorders>
            <w:shd w:val="clear" w:color="auto" w:fill="auto"/>
            <w:noWrap/>
            <w:hideMark/>
          </w:tcPr>
          <w:p w14:paraId="17A8CBAE" w14:textId="535AD5F3" w:rsidR="00622851" w:rsidRPr="0042463B" w:rsidRDefault="00622851" w:rsidP="00622851">
            <w:pPr>
              <w:jc w:val="right"/>
              <w:rPr>
                <w:color w:val="000000"/>
                <w:sz w:val="20"/>
                <w:szCs w:val="20"/>
              </w:rPr>
            </w:pPr>
            <w:r w:rsidRPr="0042463B">
              <w:rPr>
                <w:color w:val="000000"/>
                <w:sz w:val="20"/>
                <w:szCs w:val="20"/>
              </w:rPr>
              <w:t>0,00</w:t>
            </w:r>
          </w:p>
        </w:tc>
        <w:tc>
          <w:tcPr>
            <w:tcW w:w="1007" w:type="dxa"/>
            <w:tcBorders>
              <w:top w:val="nil"/>
              <w:left w:val="nil"/>
              <w:bottom w:val="single" w:sz="4" w:space="0" w:color="auto"/>
              <w:right w:val="single" w:sz="4" w:space="0" w:color="auto"/>
            </w:tcBorders>
            <w:shd w:val="clear" w:color="auto" w:fill="auto"/>
            <w:noWrap/>
            <w:hideMark/>
          </w:tcPr>
          <w:p w14:paraId="419A8683" w14:textId="37457138" w:rsidR="00622851" w:rsidRPr="0042463B" w:rsidRDefault="00622851" w:rsidP="00622851">
            <w:pPr>
              <w:jc w:val="right"/>
              <w:rPr>
                <w:color w:val="000000"/>
                <w:sz w:val="20"/>
                <w:szCs w:val="20"/>
              </w:rPr>
            </w:pPr>
            <w:r w:rsidRPr="0042463B">
              <w:rPr>
                <w:color w:val="000000"/>
                <w:sz w:val="20"/>
                <w:szCs w:val="20"/>
              </w:rPr>
              <w:t>0,00</w:t>
            </w:r>
          </w:p>
        </w:tc>
        <w:tc>
          <w:tcPr>
            <w:tcW w:w="1008" w:type="dxa"/>
            <w:tcBorders>
              <w:top w:val="nil"/>
              <w:left w:val="nil"/>
              <w:bottom w:val="single" w:sz="4" w:space="0" w:color="auto"/>
              <w:right w:val="single" w:sz="4" w:space="0" w:color="auto"/>
            </w:tcBorders>
            <w:shd w:val="clear" w:color="auto" w:fill="auto"/>
            <w:noWrap/>
            <w:hideMark/>
          </w:tcPr>
          <w:p w14:paraId="6027212F" w14:textId="11DDFCA8" w:rsidR="00622851" w:rsidRPr="0042463B" w:rsidRDefault="00622851" w:rsidP="00622851">
            <w:pPr>
              <w:jc w:val="right"/>
              <w:rPr>
                <w:color w:val="000000"/>
                <w:sz w:val="20"/>
                <w:szCs w:val="20"/>
              </w:rPr>
            </w:pPr>
            <w:r w:rsidRPr="0042463B">
              <w:rPr>
                <w:color w:val="000000"/>
                <w:sz w:val="20"/>
                <w:szCs w:val="20"/>
              </w:rPr>
              <w:t>0,00</w:t>
            </w: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14:paraId="583100DC" w14:textId="6CC0A498" w:rsidR="00622851" w:rsidRPr="0042463B" w:rsidRDefault="00622851" w:rsidP="00622851">
            <w:pPr>
              <w:jc w:val="right"/>
              <w:rPr>
                <w:color w:val="000000"/>
                <w:sz w:val="20"/>
                <w:szCs w:val="20"/>
              </w:rPr>
            </w:pPr>
            <w:r w:rsidRPr="0042463B">
              <w:rPr>
                <w:color w:val="000000"/>
                <w:sz w:val="20"/>
                <w:szCs w:val="20"/>
              </w:rPr>
              <w:t>185,74</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ACA44" w14:textId="3C20F0D5" w:rsidR="00622851" w:rsidRPr="0042463B" w:rsidRDefault="00622851" w:rsidP="00622851">
            <w:pPr>
              <w:jc w:val="right"/>
              <w:rPr>
                <w:color w:val="000000"/>
                <w:sz w:val="20"/>
                <w:szCs w:val="20"/>
              </w:rPr>
            </w:pPr>
            <w:r w:rsidRPr="0042463B">
              <w:rPr>
                <w:color w:val="000000"/>
                <w:sz w:val="20"/>
                <w:szCs w:val="20"/>
              </w:rPr>
              <w:t>115,29</w:t>
            </w:r>
          </w:p>
        </w:tc>
        <w:tc>
          <w:tcPr>
            <w:tcW w:w="1007" w:type="dxa"/>
            <w:tcBorders>
              <w:top w:val="single" w:sz="4" w:space="0" w:color="auto"/>
              <w:left w:val="single" w:sz="4" w:space="0" w:color="auto"/>
              <w:bottom w:val="single" w:sz="4" w:space="0" w:color="auto"/>
              <w:right w:val="nil"/>
            </w:tcBorders>
            <w:shd w:val="clear" w:color="auto" w:fill="auto"/>
            <w:noWrap/>
            <w:vAlign w:val="center"/>
            <w:hideMark/>
          </w:tcPr>
          <w:p w14:paraId="322E8472" w14:textId="33813B19" w:rsidR="00622851" w:rsidRPr="0042463B" w:rsidRDefault="00622851" w:rsidP="00622851">
            <w:pPr>
              <w:jc w:val="right"/>
              <w:rPr>
                <w:color w:val="000000"/>
                <w:sz w:val="20"/>
                <w:szCs w:val="20"/>
              </w:rPr>
            </w:pPr>
            <w:r w:rsidRPr="0042463B">
              <w:rPr>
                <w:color w:val="000000"/>
                <w:sz w:val="20"/>
                <w:szCs w:val="20"/>
              </w:rPr>
              <w:t>77,28</w:t>
            </w:r>
          </w:p>
        </w:tc>
        <w:tc>
          <w:tcPr>
            <w:tcW w:w="1008" w:type="dxa"/>
            <w:vMerge/>
            <w:tcBorders>
              <w:left w:val="single" w:sz="4" w:space="0" w:color="auto"/>
              <w:right w:val="single" w:sz="4" w:space="0" w:color="auto"/>
            </w:tcBorders>
            <w:noWrap/>
            <w:vAlign w:val="center"/>
            <w:hideMark/>
          </w:tcPr>
          <w:p w14:paraId="3D9BD910" w14:textId="36929466" w:rsidR="00622851" w:rsidRPr="0042463B" w:rsidRDefault="00622851" w:rsidP="00622851">
            <w:pPr>
              <w:jc w:val="right"/>
              <w:rPr>
                <w:color w:val="000000"/>
                <w:sz w:val="20"/>
                <w:szCs w:val="20"/>
                <w:lang w:eastAsia="en-CA"/>
              </w:rPr>
            </w:pPr>
          </w:p>
        </w:tc>
      </w:tr>
      <w:tr w:rsidR="00622851" w:rsidRPr="0042463B" w14:paraId="493DFBE7" w14:textId="77777777" w:rsidTr="00FD303E">
        <w:tc>
          <w:tcPr>
            <w:tcW w:w="1300" w:type="dxa"/>
            <w:tcBorders>
              <w:top w:val="nil"/>
              <w:left w:val="single" w:sz="4" w:space="0" w:color="auto"/>
              <w:bottom w:val="single" w:sz="4" w:space="0" w:color="auto"/>
              <w:right w:val="single" w:sz="4" w:space="0" w:color="auto"/>
            </w:tcBorders>
            <w:shd w:val="clear" w:color="auto" w:fill="auto"/>
            <w:noWrap/>
            <w:tcMar>
              <w:left w:w="29" w:type="dxa"/>
            </w:tcMar>
            <w:vAlign w:val="bottom"/>
            <w:hideMark/>
          </w:tcPr>
          <w:p w14:paraId="0917B6C8" w14:textId="77777777" w:rsidR="00622851" w:rsidRPr="0042463B" w:rsidRDefault="00622851" w:rsidP="00622851">
            <w:pPr>
              <w:jc w:val="left"/>
              <w:rPr>
                <w:color w:val="000000"/>
                <w:sz w:val="20"/>
                <w:szCs w:val="20"/>
              </w:rPr>
            </w:pPr>
            <w:r w:rsidRPr="0042463B">
              <w:rPr>
                <w:color w:val="000000"/>
                <w:sz w:val="20"/>
                <w:szCs w:val="20"/>
              </w:rPr>
              <w:t>Total (</w:t>
            </w:r>
            <w:proofErr w:type="spellStart"/>
            <w:r w:rsidRPr="0042463B">
              <w:rPr>
                <w:color w:val="000000"/>
                <w:sz w:val="20"/>
                <w:szCs w:val="20"/>
              </w:rPr>
              <w:t>tm</w:t>
            </w:r>
            <w:proofErr w:type="spellEnd"/>
            <w:r w:rsidRPr="0042463B">
              <w:rPr>
                <w:color w:val="000000"/>
                <w:sz w:val="20"/>
                <w:szCs w:val="20"/>
              </w:rPr>
              <w:t>)</w:t>
            </w:r>
          </w:p>
        </w:tc>
        <w:tc>
          <w:tcPr>
            <w:tcW w:w="1007" w:type="dxa"/>
            <w:tcBorders>
              <w:top w:val="nil"/>
              <w:left w:val="single" w:sz="4" w:space="0" w:color="auto"/>
              <w:bottom w:val="single" w:sz="4" w:space="0" w:color="auto"/>
              <w:right w:val="single" w:sz="4" w:space="0" w:color="auto"/>
            </w:tcBorders>
            <w:shd w:val="clear" w:color="auto" w:fill="auto"/>
            <w:noWrap/>
          </w:tcPr>
          <w:p w14:paraId="6DCBD84A" w14:textId="03FE19F9" w:rsidR="00622851" w:rsidRPr="0042463B" w:rsidRDefault="00622851" w:rsidP="00622851">
            <w:pPr>
              <w:jc w:val="right"/>
              <w:rPr>
                <w:color w:val="000000"/>
                <w:sz w:val="20"/>
                <w:szCs w:val="20"/>
              </w:rPr>
            </w:pPr>
            <w:r w:rsidRPr="0042463B">
              <w:rPr>
                <w:color w:val="000000"/>
                <w:sz w:val="20"/>
                <w:szCs w:val="20"/>
              </w:rPr>
              <w:t>0,00</w:t>
            </w:r>
          </w:p>
        </w:tc>
        <w:tc>
          <w:tcPr>
            <w:tcW w:w="1008" w:type="dxa"/>
            <w:tcBorders>
              <w:top w:val="nil"/>
              <w:left w:val="nil"/>
              <w:bottom w:val="single" w:sz="4" w:space="0" w:color="auto"/>
              <w:right w:val="single" w:sz="4" w:space="0" w:color="auto"/>
            </w:tcBorders>
            <w:shd w:val="clear" w:color="auto" w:fill="auto"/>
            <w:noWrap/>
          </w:tcPr>
          <w:p w14:paraId="40359395" w14:textId="4BBB8F60" w:rsidR="00622851" w:rsidRPr="0042463B" w:rsidRDefault="00622851" w:rsidP="00622851">
            <w:pPr>
              <w:jc w:val="right"/>
              <w:rPr>
                <w:color w:val="000000"/>
                <w:sz w:val="20"/>
                <w:szCs w:val="20"/>
              </w:rPr>
            </w:pPr>
            <w:r w:rsidRPr="0042463B">
              <w:rPr>
                <w:color w:val="000000"/>
                <w:sz w:val="20"/>
                <w:szCs w:val="20"/>
              </w:rPr>
              <w:t>0,00</w:t>
            </w:r>
          </w:p>
        </w:tc>
        <w:tc>
          <w:tcPr>
            <w:tcW w:w="1007" w:type="dxa"/>
            <w:tcBorders>
              <w:top w:val="nil"/>
              <w:left w:val="nil"/>
              <w:bottom w:val="single" w:sz="4" w:space="0" w:color="auto"/>
              <w:right w:val="single" w:sz="4" w:space="0" w:color="auto"/>
            </w:tcBorders>
            <w:shd w:val="clear" w:color="auto" w:fill="auto"/>
            <w:noWrap/>
          </w:tcPr>
          <w:p w14:paraId="626B88FA" w14:textId="1D5B61B5" w:rsidR="00622851" w:rsidRPr="0042463B" w:rsidRDefault="00622851" w:rsidP="00622851">
            <w:pPr>
              <w:jc w:val="right"/>
              <w:rPr>
                <w:color w:val="000000"/>
                <w:sz w:val="20"/>
                <w:szCs w:val="20"/>
              </w:rPr>
            </w:pPr>
            <w:r w:rsidRPr="0042463B">
              <w:rPr>
                <w:color w:val="000000"/>
                <w:sz w:val="20"/>
                <w:szCs w:val="20"/>
              </w:rPr>
              <w:t>0,00</w:t>
            </w:r>
          </w:p>
        </w:tc>
        <w:tc>
          <w:tcPr>
            <w:tcW w:w="1008" w:type="dxa"/>
            <w:tcBorders>
              <w:top w:val="nil"/>
              <w:left w:val="nil"/>
              <w:bottom w:val="single" w:sz="4" w:space="0" w:color="auto"/>
              <w:right w:val="single" w:sz="4" w:space="0" w:color="auto"/>
            </w:tcBorders>
            <w:shd w:val="clear" w:color="auto" w:fill="auto"/>
            <w:noWrap/>
          </w:tcPr>
          <w:p w14:paraId="5272D475" w14:textId="487FC7F6" w:rsidR="00622851" w:rsidRPr="0042463B" w:rsidRDefault="00622851" w:rsidP="00622851">
            <w:pPr>
              <w:jc w:val="right"/>
              <w:rPr>
                <w:color w:val="000000"/>
                <w:sz w:val="20"/>
                <w:szCs w:val="20"/>
              </w:rPr>
            </w:pPr>
            <w:r w:rsidRPr="0042463B">
              <w:rPr>
                <w:color w:val="000000"/>
                <w:sz w:val="20"/>
                <w:szCs w:val="20"/>
              </w:rPr>
              <w:t>0,00</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D6D17" w14:textId="3A50FE34" w:rsidR="00622851" w:rsidRPr="0042463B" w:rsidRDefault="00622851" w:rsidP="00622851">
            <w:pPr>
              <w:jc w:val="right"/>
              <w:rPr>
                <w:color w:val="000000"/>
                <w:sz w:val="20"/>
                <w:szCs w:val="20"/>
              </w:rPr>
            </w:pPr>
            <w:r w:rsidRPr="0042463B">
              <w:rPr>
                <w:color w:val="000000"/>
                <w:sz w:val="20"/>
                <w:szCs w:val="20"/>
              </w:rPr>
              <w:t>192,44</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14:paraId="275EC401" w14:textId="1657D98D" w:rsidR="00622851" w:rsidRPr="0042463B" w:rsidRDefault="00622851" w:rsidP="00622851">
            <w:pPr>
              <w:jc w:val="right"/>
              <w:rPr>
                <w:color w:val="000000"/>
                <w:sz w:val="20"/>
                <w:szCs w:val="20"/>
              </w:rPr>
            </w:pPr>
            <w:r w:rsidRPr="0042463B">
              <w:rPr>
                <w:color w:val="000000"/>
                <w:sz w:val="20"/>
                <w:szCs w:val="20"/>
              </w:rPr>
              <w:t>125,54</w:t>
            </w: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14:paraId="79921A20" w14:textId="4C17872B" w:rsidR="00622851" w:rsidRPr="0042463B" w:rsidRDefault="00622851" w:rsidP="00622851">
            <w:pPr>
              <w:jc w:val="right"/>
              <w:rPr>
                <w:color w:val="000000"/>
                <w:sz w:val="20"/>
                <w:szCs w:val="20"/>
              </w:rPr>
            </w:pPr>
            <w:r w:rsidRPr="0042463B">
              <w:rPr>
                <w:color w:val="000000"/>
                <w:sz w:val="20"/>
                <w:szCs w:val="20"/>
              </w:rPr>
              <w:t>89,82</w:t>
            </w:r>
          </w:p>
        </w:tc>
        <w:tc>
          <w:tcPr>
            <w:tcW w:w="1008" w:type="dxa"/>
            <w:vMerge/>
            <w:tcBorders>
              <w:left w:val="single" w:sz="4" w:space="0" w:color="auto"/>
              <w:bottom w:val="single" w:sz="4" w:space="0" w:color="auto"/>
              <w:right w:val="single" w:sz="4" w:space="0" w:color="auto"/>
            </w:tcBorders>
            <w:noWrap/>
            <w:vAlign w:val="center"/>
            <w:hideMark/>
          </w:tcPr>
          <w:p w14:paraId="75012D91" w14:textId="38E5267F" w:rsidR="00622851" w:rsidRPr="0042463B" w:rsidRDefault="00622851" w:rsidP="00622851">
            <w:pPr>
              <w:jc w:val="right"/>
              <w:rPr>
                <w:color w:val="000000"/>
                <w:sz w:val="20"/>
                <w:szCs w:val="20"/>
                <w:lang w:eastAsia="en-CA"/>
              </w:rPr>
            </w:pPr>
          </w:p>
        </w:tc>
      </w:tr>
      <w:tr w:rsidR="00622851" w:rsidRPr="0042463B" w14:paraId="5753DAF3" w14:textId="77777777" w:rsidTr="00FD303E">
        <w:tc>
          <w:tcPr>
            <w:tcW w:w="8352" w:type="dxa"/>
            <w:gridSpan w:val="8"/>
            <w:tcBorders>
              <w:top w:val="nil"/>
              <w:left w:val="single" w:sz="4" w:space="0" w:color="auto"/>
              <w:bottom w:val="single" w:sz="4" w:space="0" w:color="auto"/>
              <w:right w:val="single" w:sz="4" w:space="0" w:color="auto"/>
            </w:tcBorders>
            <w:shd w:val="clear" w:color="auto" w:fill="auto"/>
            <w:noWrap/>
            <w:tcMar>
              <w:left w:w="29" w:type="dxa"/>
            </w:tcMar>
            <w:hideMark/>
          </w:tcPr>
          <w:p w14:paraId="7D3E78B2" w14:textId="2F5231A3" w:rsidR="00622851" w:rsidRPr="0042463B" w:rsidRDefault="00622851" w:rsidP="00622851">
            <w:pPr>
              <w:jc w:val="left"/>
              <w:rPr>
                <w:color w:val="000000"/>
                <w:sz w:val="20"/>
                <w:szCs w:val="20"/>
              </w:rPr>
            </w:pPr>
            <w:r w:rsidRPr="0042463B">
              <w:rPr>
                <w:b/>
                <w:color w:val="000000"/>
                <w:sz w:val="20"/>
                <w:szCs w:val="20"/>
              </w:rPr>
              <w:t>Tonnes PAO</w:t>
            </w:r>
          </w:p>
        </w:tc>
        <w:tc>
          <w:tcPr>
            <w:tcW w:w="1008" w:type="dxa"/>
            <w:vMerge w:val="restart"/>
            <w:tcBorders>
              <w:top w:val="single" w:sz="4" w:space="0" w:color="auto"/>
              <w:left w:val="single" w:sz="4" w:space="0" w:color="auto"/>
              <w:bottom w:val="single" w:sz="4" w:space="0" w:color="auto"/>
              <w:right w:val="single" w:sz="4" w:space="0" w:color="auto"/>
            </w:tcBorders>
            <w:noWrap/>
            <w:vAlign w:val="center"/>
            <w:hideMark/>
          </w:tcPr>
          <w:p w14:paraId="187C5B1E" w14:textId="7816EA93" w:rsidR="00622851" w:rsidRPr="0042463B" w:rsidRDefault="00622851" w:rsidP="00622851">
            <w:pPr>
              <w:jc w:val="right"/>
              <w:rPr>
                <w:color w:val="000000"/>
                <w:sz w:val="20"/>
                <w:szCs w:val="20"/>
                <w:lang w:eastAsia="en-CA"/>
              </w:rPr>
            </w:pPr>
          </w:p>
          <w:p w14:paraId="60A93B46" w14:textId="75C04E42" w:rsidR="00622851" w:rsidRPr="0042463B" w:rsidRDefault="00622851" w:rsidP="00622851">
            <w:pPr>
              <w:jc w:val="right"/>
              <w:rPr>
                <w:color w:val="000000"/>
                <w:sz w:val="20"/>
                <w:szCs w:val="20"/>
              </w:rPr>
            </w:pPr>
            <w:r w:rsidRPr="0042463B">
              <w:rPr>
                <w:color w:val="000000"/>
                <w:sz w:val="20"/>
                <w:szCs w:val="20"/>
              </w:rPr>
              <w:t>10,11</w:t>
            </w:r>
          </w:p>
        </w:tc>
      </w:tr>
      <w:tr w:rsidR="00622851" w:rsidRPr="0042463B" w14:paraId="0289F1B5" w14:textId="77777777" w:rsidTr="00FD303E">
        <w:tc>
          <w:tcPr>
            <w:tcW w:w="1300" w:type="dxa"/>
            <w:tcBorders>
              <w:top w:val="nil"/>
              <w:left w:val="single" w:sz="4" w:space="0" w:color="auto"/>
              <w:bottom w:val="single" w:sz="4" w:space="0" w:color="auto"/>
              <w:right w:val="single" w:sz="4" w:space="0" w:color="auto"/>
            </w:tcBorders>
            <w:shd w:val="clear" w:color="auto" w:fill="auto"/>
            <w:noWrap/>
            <w:tcMar>
              <w:left w:w="29" w:type="dxa"/>
            </w:tcMar>
            <w:vAlign w:val="bottom"/>
            <w:hideMark/>
          </w:tcPr>
          <w:p w14:paraId="4703730B" w14:textId="77777777" w:rsidR="00622851" w:rsidRPr="0042463B" w:rsidRDefault="00622851" w:rsidP="00622851">
            <w:pPr>
              <w:jc w:val="left"/>
              <w:rPr>
                <w:color w:val="000000"/>
                <w:sz w:val="20"/>
                <w:szCs w:val="20"/>
              </w:rPr>
            </w:pPr>
            <w:r w:rsidRPr="0042463B">
              <w:rPr>
                <w:color w:val="000000"/>
                <w:sz w:val="20"/>
                <w:szCs w:val="20"/>
              </w:rPr>
              <w:t>AGM</w:t>
            </w:r>
          </w:p>
        </w:tc>
        <w:tc>
          <w:tcPr>
            <w:tcW w:w="1007" w:type="dxa"/>
            <w:tcBorders>
              <w:top w:val="nil"/>
              <w:left w:val="single" w:sz="4" w:space="0" w:color="auto"/>
              <w:bottom w:val="single" w:sz="4" w:space="0" w:color="auto"/>
              <w:right w:val="single" w:sz="4" w:space="0" w:color="auto"/>
            </w:tcBorders>
            <w:shd w:val="clear" w:color="auto" w:fill="auto"/>
            <w:noWrap/>
          </w:tcPr>
          <w:p w14:paraId="6A6153DF" w14:textId="49C04AC1" w:rsidR="00622851" w:rsidRPr="0042463B" w:rsidRDefault="00622851" w:rsidP="00622851">
            <w:pPr>
              <w:jc w:val="right"/>
              <w:rPr>
                <w:color w:val="000000"/>
                <w:sz w:val="20"/>
                <w:szCs w:val="20"/>
              </w:rPr>
            </w:pPr>
            <w:r w:rsidRPr="0042463B">
              <w:rPr>
                <w:color w:val="000000"/>
                <w:sz w:val="20"/>
                <w:szCs w:val="20"/>
              </w:rPr>
              <w:t xml:space="preserve">21,45 </w:t>
            </w:r>
          </w:p>
        </w:tc>
        <w:tc>
          <w:tcPr>
            <w:tcW w:w="1008" w:type="dxa"/>
            <w:tcBorders>
              <w:top w:val="nil"/>
              <w:left w:val="nil"/>
              <w:bottom w:val="single" w:sz="4" w:space="0" w:color="auto"/>
              <w:right w:val="single" w:sz="4" w:space="0" w:color="auto"/>
            </w:tcBorders>
            <w:shd w:val="clear" w:color="auto" w:fill="auto"/>
            <w:noWrap/>
          </w:tcPr>
          <w:p w14:paraId="32DB7AEA" w14:textId="71009F8F" w:rsidR="00622851" w:rsidRPr="0042463B" w:rsidRDefault="00622851" w:rsidP="00622851">
            <w:pPr>
              <w:jc w:val="right"/>
              <w:rPr>
                <w:color w:val="000000"/>
                <w:sz w:val="20"/>
                <w:szCs w:val="20"/>
              </w:rPr>
            </w:pPr>
            <w:r w:rsidRPr="0042463B">
              <w:rPr>
                <w:color w:val="000000"/>
                <w:sz w:val="20"/>
                <w:szCs w:val="20"/>
              </w:rPr>
              <w:t xml:space="preserve">19,25 </w:t>
            </w:r>
          </w:p>
        </w:tc>
        <w:tc>
          <w:tcPr>
            <w:tcW w:w="1007" w:type="dxa"/>
            <w:tcBorders>
              <w:top w:val="nil"/>
              <w:left w:val="nil"/>
              <w:bottom w:val="single" w:sz="4" w:space="0" w:color="auto"/>
              <w:right w:val="single" w:sz="4" w:space="0" w:color="auto"/>
            </w:tcBorders>
            <w:shd w:val="clear" w:color="auto" w:fill="auto"/>
            <w:noWrap/>
          </w:tcPr>
          <w:p w14:paraId="290721E0" w14:textId="3FF61BCC" w:rsidR="00622851" w:rsidRPr="0042463B" w:rsidRDefault="00622851" w:rsidP="00622851">
            <w:pPr>
              <w:jc w:val="right"/>
              <w:rPr>
                <w:color w:val="000000"/>
                <w:sz w:val="20"/>
                <w:szCs w:val="20"/>
              </w:rPr>
            </w:pPr>
            <w:r w:rsidRPr="0042463B">
              <w:rPr>
                <w:color w:val="000000"/>
                <w:sz w:val="20"/>
                <w:szCs w:val="20"/>
              </w:rPr>
              <w:t xml:space="preserve">16,50 </w:t>
            </w:r>
          </w:p>
        </w:tc>
        <w:tc>
          <w:tcPr>
            <w:tcW w:w="1008" w:type="dxa"/>
            <w:tcBorders>
              <w:top w:val="nil"/>
              <w:left w:val="nil"/>
              <w:bottom w:val="single" w:sz="4" w:space="0" w:color="auto"/>
              <w:right w:val="single" w:sz="4" w:space="0" w:color="auto"/>
            </w:tcBorders>
            <w:shd w:val="clear" w:color="auto" w:fill="auto"/>
            <w:noWrap/>
          </w:tcPr>
          <w:p w14:paraId="11AB5110" w14:textId="5F953BD9" w:rsidR="00622851" w:rsidRPr="0042463B" w:rsidRDefault="00622851" w:rsidP="00622851">
            <w:pPr>
              <w:jc w:val="right"/>
              <w:rPr>
                <w:color w:val="000000"/>
                <w:sz w:val="20"/>
                <w:szCs w:val="20"/>
              </w:rPr>
            </w:pPr>
            <w:r w:rsidRPr="0042463B">
              <w:rPr>
                <w:color w:val="000000"/>
                <w:sz w:val="20"/>
                <w:szCs w:val="20"/>
              </w:rPr>
              <w:t xml:space="preserve">37,54 </w:t>
            </w:r>
          </w:p>
        </w:tc>
        <w:tc>
          <w:tcPr>
            <w:tcW w:w="1007" w:type="dxa"/>
            <w:tcBorders>
              <w:top w:val="nil"/>
              <w:left w:val="nil"/>
              <w:bottom w:val="single" w:sz="4" w:space="0" w:color="auto"/>
              <w:right w:val="single" w:sz="4" w:space="0" w:color="auto"/>
            </w:tcBorders>
            <w:shd w:val="clear" w:color="auto" w:fill="auto"/>
            <w:noWrap/>
            <w:hideMark/>
          </w:tcPr>
          <w:p w14:paraId="74519F9C" w14:textId="35CA536D" w:rsidR="00622851" w:rsidRPr="0042463B" w:rsidRDefault="00622851" w:rsidP="00622851">
            <w:pPr>
              <w:jc w:val="right"/>
              <w:rPr>
                <w:color w:val="000000"/>
                <w:sz w:val="20"/>
                <w:szCs w:val="20"/>
              </w:rPr>
            </w:pPr>
            <w:r w:rsidRPr="0042463B">
              <w:rPr>
                <w:color w:val="000000"/>
                <w:sz w:val="20"/>
                <w:szCs w:val="20"/>
              </w:rPr>
              <w:t>0,56</w:t>
            </w:r>
          </w:p>
        </w:tc>
        <w:tc>
          <w:tcPr>
            <w:tcW w:w="1008" w:type="dxa"/>
            <w:tcBorders>
              <w:top w:val="nil"/>
              <w:left w:val="nil"/>
              <w:bottom w:val="single" w:sz="4" w:space="0" w:color="auto"/>
              <w:right w:val="single" w:sz="4" w:space="0" w:color="auto"/>
            </w:tcBorders>
            <w:shd w:val="clear" w:color="auto" w:fill="auto"/>
            <w:noWrap/>
            <w:hideMark/>
          </w:tcPr>
          <w:p w14:paraId="7A652AD7" w14:textId="51C858E0" w:rsidR="00622851" w:rsidRPr="0042463B" w:rsidRDefault="00622851" w:rsidP="00622851">
            <w:pPr>
              <w:jc w:val="right"/>
              <w:rPr>
                <w:color w:val="000000"/>
                <w:sz w:val="20"/>
                <w:szCs w:val="20"/>
              </w:rPr>
            </w:pPr>
            <w:r w:rsidRPr="0042463B">
              <w:rPr>
                <w:color w:val="000000"/>
                <w:sz w:val="20"/>
                <w:szCs w:val="20"/>
              </w:rPr>
              <w:t>0,91</w:t>
            </w:r>
          </w:p>
        </w:tc>
        <w:tc>
          <w:tcPr>
            <w:tcW w:w="1007" w:type="dxa"/>
            <w:tcBorders>
              <w:top w:val="nil"/>
              <w:left w:val="nil"/>
              <w:bottom w:val="single" w:sz="4" w:space="0" w:color="auto"/>
              <w:right w:val="single" w:sz="4" w:space="0" w:color="auto"/>
            </w:tcBorders>
            <w:shd w:val="clear" w:color="auto" w:fill="auto"/>
            <w:noWrap/>
            <w:hideMark/>
          </w:tcPr>
          <w:p w14:paraId="16296E06" w14:textId="28802AFA" w:rsidR="00622851" w:rsidRPr="0042463B" w:rsidRDefault="00622851" w:rsidP="00622851">
            <w:pPr>
              <w:jc w:val="right"/>
              <w:rPr>
                <w:color w:val="000000"/>
                <w:sz w:val="20"/>
                <w:szCs w:val="20"/>
              </w:rPr>
            </w:pPr>
            <w:r w:rsidRPr="0042463B">
              <w:rPr>
                <w:color w:val="000000"/>
                <w:sz w:val="20"/>
                <w:szCs w:val="20"/>
              </w:rPr>
              <w:t>1,12</w:t>
            </w:r>
          </w:p>
        </w:tc>
        <w:tc>
          <w:tcPr>
            <w:tcW w:w="1008" w:type="dxa"/>
            <w:vMerge/>
            <w:tcBorders>
              <w:left w:val="single" w:sz="4" w:space="0" w:color="auto"/>
              <w:bottom w:val="single" w:sz="4" w:space="0" w:color="auto"/>
              <w:right w:val="single" w:sz="4" w:space="0" w:color="auto"/>
            </w:tcBorders>
            <w:shd w:val="clear" w:color="auto" w:fill="auto"/>
            <w:noWrap/>
            <w:vAlign w:val="center"/>
            <w:hideMark/>
          </w:tcPr>
          <w:p w14:paraId="4E6E8FA8" w14:textId="37DF9C4F" w:rsidR="00622851" w:rsidRPr="0042463B" w:rsidRDefault="00622851" w:rsidP="00622851">
            <w:pPr>
              <w:jc w:val="right"/>
              <w:rPr>
                <w:color w:val="000000"/>
                <w:sz w:val="20"/>
                <w:szCs w:val="20"/>
                <w:lang w:eastAsia="en-CA"/>
              </w:rPr>
            </w:pPr>
          </w:p>
        </w:tc>
      </w:tr>
      <w:tr w:rsidR="00622851" w:rsidRPr="0042463B" w14:paraId="752B46FB" w14:textId="77777777" w:rsidTr="00FD303E">
        <w:tc>
          <w:tcPr>
            <w:tcW w:w="1300" w:type="dxa"/>
            <w:tcBorders>
              <w:top w:val="nil"/>
              <w:left w:val="single" w:sz="4" w:space="0" w:color="auto"/>
              <w:bottom w:val="single" w:sz="4" w:space="0" w:color="auto"/>
              <w:right w:val="single" w:sz="4" w:space="0" w:color="auto"/>
            </w:tcBorders>
            <w:shd w:val="clear" w:color="auto" w:fill="auto"/>
            <w:noWrap/>
            <w:tcMar>
              <w:left w:w="29" w:type="dxa"/>
            </w:tcMar>
            <w:vAlign w:val="bottom"/>
            <w:hideMark/>
          </w:tcPr>
          <w:p w14:paraId="010A5FC9" w14:textId="77777777" w:rsidR="00622851" w:rsidRPr="0042463B" w:rsidRDefault="00622851" w:rsidP="00622851">
            <w:pPr>
              <w:jc w:val="left"/>
              <w:rPr>
                <w:color w:val="000000"/>
                <w:sz w:val="20"/>
                <w:szCs w:val="20"/>
              </w:rPr>
            </w:pPr>
            <w:r w:rsidRPr="0042463B">
              <w:rPr>
                <w:color w:val="000000"/>
                <w:sz w:val="20"/>
                <w:szCs w:val="20"/>
              </w:rPr>
              <w:t>ARAC</w:t>
            </w:r>
          </w:p>
        </w:tc>
        <w:tc>
          <w:tcPr>
            <w:tcW w:w="1007" w:type="dxa"/>
            <w:tcBorders>
              <w:top w:val="nil"/>
              <w:left w:val="single" w:sz="4" w:space="0" w:color="auto"/>
              <w:bottom w:val="single" w:sz="4" w:space="0" w:color="auto"/>
              <w:right w:val="single" w:sz="4" w:space="0" w:color="auto"/>
            </w:tcBorders>
            <w:shd w:val="clear" w:color="auto" w:fill="auto"/>
            <w:noWrap/>
          </w:tcPr>
          <w:p w14:paraId="060949E3" w14:textId="39BC689B" w:rsidR="00622851" w:rsidRPr="0042463B" w:rsidRDefault="00622851" w:rsidP="00622851">
            <w:pPr>
              <w:jc w:val="right"/>
              <w:rPr>
                <w:color w:val="000000"/>
                <w:sz w:val="20"/>
                <w:szCs w:val="20"/>
              </w:rPr>
            </w:pPr>
            <w:r w:rsidRPr="0042463B">
              <w:rPr>
                <w:color w:val="000000"/>
                <w:sz w:val="20"/>
                <w:szCs w:val="20"/>
              </w:rPr>
              <w:t>0,00</w:t>
            </w:r>
          </w:p>
        </w:tc>
        <w:tc>
          <w:tcPr>
            <w:tcW w:w="1008" w:type="dxa"/>
            <w:tcBorders>
              <w:top w:val="nil"/>
              <w:left w:val="nil"/>
              <w:bottom w:val="single" w:sz="4" w:space="0" w:color="auto"/>
              <w:right w:val="single" w:sz="4" w:space="0" w:color="auto"/>
            </w:tcBorders>
            <w:shd w:val="clear" w:color="auto" w:fill="auto"/>
            <w:noWrap/>
          </w:tcPr>
          <w:p w14:paraId="2D6445DA" w14:textId="58684923" w:rsidR="00622851" w:rsidRPr="0042463B" w:rsidRDefault="00622851" w:rsidP="00622851">
            <w:pPr>
              <w:jc w:val="right"/>
              <w:rPr>
                <w:color w:val="000000"/>
                <w:sz w:val="20"/>
                <w:szCs w:val="20"/>
              </w:rPr>
            </w:pPr>
            <w:r w:rsidRPr="0042463B">
              <w:rPr>
                <w:color w:val="000000"/>
                <w:sz w:val="20"/>
                <w:szCs w:val="20"/>
              </w:rPr>
              <w:t>0,00</w:t>
            </w:r>
          </w:p>
        </w:tc>
        <w:tc>
          <w:tcPr>
            <w:tcW w:w="1007" w:type="dxa"/>
            <w:tcBorders>
              <w:top w:val="nil"/>
              <w:left w:val="nil"/>
              <w:bottom w:val="single" w:sz="4" w:space="0" w:color="auto"/>
              <w:right w:val="single" w:sz="4" w:space="0" w:color="auto"/>
            </w:tcBorders>
            <w:shd w:val="clear" w:color="auto" w:fill="auto"/>
            <w:noWrap/>
          </w:tcPr>
          <w:p w14:paraId="7AD89257" w14:textId="03359248" w:rsidR="00622851" w:rsidRPr="0042463B" w:rsidRDefault="00622851" w:rsidP="00622851">
            <w:pPr>
              <w:jc w:val="right"/>
              <w:rPr>
                <w:color w:val="000000"/>
                <w:sz w:val="20"/>
                <w:szCs w:val="20"/>
              </w:rPr>
            </w:pPr>
            <w:r w:rsidRPr="0042463B">
              <w:rPr>
                <w:color w:val="000000"/>
                <w:sz w:val="20"/>
                <w:szCs w:val="20"/>
              </w:rPr>
              <w:t>0,00</w:t>
            </w:r>
          </w:p>
        </w:tc>
        <w:tc>
          <w:tcPr>
            <w:tcW w:w="1008" w:type="dxa"/>
            <w:tcBorders>
              <w:top w:val="nil"/>
              <w:left w:val="nil"/>
              <w:bottom w:val="single" w:sz="4" w:space="0" w:color="auto"/>
              <w:right w:val="single" w:sz="4" w:space="0" w:color="auto"/>
            </w:tcBorders>
            <w:shd w:val="clear" w:color="auto" w:fill="auto"/>
            <w:noWrap/>
          </w:tcPr>
          <w:p w14:paraId="61731754" w14:textId="6FDB7A9A" w:rsidR="00622851" w:rsidRPr="0042463B" w:rsidRDefault="00622851" w:rsidP="00622851">
            <w:pPr>
              <w:jc w:val="right"/>
              <w:rPr>
                <w:color w:val="000000"/>
                <w:sz w:val="20"/>
                <w:szCs w:val="20"/>
              </w:rPr>
            </w:pPr>
            <w:r w:rsidRPr="0042463B">
              <w:rPr>
                <w:color w:val="000000"/>
                <w:sz w:val="20"/>
                <w:szCs w:val="20"/>
              </w:rPr>
              <w:t>0,00</w:t>
            </w:r>
          </w:p>
        </w:tc>
        <w:tc>
          <w:tcPr>
            <w:tcW w:w="1007" w:type="dxa"/>
            <w:tcBorders>
              <w:top w:val="nil"/>
              <w:left w:val="nil"/>
              <w:bottom w:val="single" w:sz="4" w:space="0" w:color="auto"/>
              <w:right w:val="single" w:sz="4" w:space="0" w:color="auto"/>
            </w:tcBorders>
            <w:shd w:val="clear" w:color="auto" w:fill="auto"/>
            <w:noWrap/>
          </w:tcPr>
          <w:p w14:paraId="1752D7F2" w14:textId="35F02F11" w:rsidR="00622851" w:rsidRPr="0042463B" w:rsidRDefault="00622851" w:rsidP="00622851">
            <w:pPr>
              <w:jc w:val="right"/>
              <w:rPr>
                <w:color w:val="000000"/>
                <w:sz w:val="20"/>
                <w:szCs w:val="20"/>
              </w:rPr>
            </w:pPr>
            <w:r w:rsidRPr="0042463B">
              <w:rPr>
                <w:color w:val="000000"/>
                <w:sz w:val="20"/>
                <w:szCs w:val="20"/>
              </w:rPr>
              <w:t>0,18</w:t>
            </w:r>
          </w:p>
        </w:tc>
        <w:tc>
          <w:tcPr>
            <w:tcW w:w="1008" w:type="dxa"/>
            <w:tcBorders>
              <w:top w:val="nil"/>
              <w:left w:val="nil"/>
              <w:bottom w:val="single" w:sz="4" w:space="0" w:color="auto"/>
              <w:right w:val="single" w:sz="4" w:space="0" w:color="auto"/>
            </w:tcBorders>
            <w:shd w:val="clear" w:color="auto" w:fill="auto"/>
            <w:noWrap/>
          </w:tcPr>
          <w:p w14:paraId="60331E01" w14:textId="760020E6" w:rsidR="00622851" w:rsidRPr="0042463B" w:rsidRDefault="00622851" w:rsidP="00622851">
            <w:pPr>
              <w:jc w:val="right"/>
              <w:rPr>
                <w:color w:val="000000"/>
                <w:sz w:val="20"/>
                <w:szCs w:val="20"/>
              </w:rPr>
            </w:pPr>
            <w:r w:rsidRPr="0042463B">
              <w:rPr>
                <w:color w:val="000000"/>
                <w:sz w:val="20"/>
                <w:szCs w:val="20"/>
              </w:rPr>
              <w:t>0,22</w:t>
            </w:r>
          </w:p>
        </w:tc>
        <w:tc>
          <w:tcPr>
            <w:tcW w:w="1007" w:type="dxa"/>
            <w:tcBorders>
              <w:top w:val="nil"/>
              <w:left w:val="nil"/>
              <w:bottom w:val="single" w:sz="4" w:space="0" w:color="auto"/>
              <w:right w:val="single" w:sz="4" w:space="0" w:color="auto"/>
            </w:tcBorders>
            <w:shd w:val="clear" w:color="auto" w:fill="auto"/>
            <w:noWrap/>
          </w:tcPr>
          <w:p w14:paraId="2412E3F5" w14:textId="22AED78A" w:rsidR="00622851" w:rsidRPr="0042463B" w:rsidRDefault="00622851" w:rsidP="00622851">
            <w:pPr>
              <w:jc w:val="right"/>
              <w:rPr>
                <w:color w:val="000000"/>
                <w:sz w:val="20"/>
                <w:szCs w:val="20"/>
              </w:rPr>
            </w:pPr>
            <w:r w:rsidRPr="0042463B">
              <w:rPr>
                <w:color w:val="000000"/>
                <w:sz w:val="20"/>
                <w:szCs w:val="20"/>
              </w:rPr>
              <w:t>0,26</w:t>
            </w:r>
          </w:p>
        </w:tc>
        <w:tc>
          <w:tcPr>
            <w:tcW w:w="1008" w:type="dxa"/>
            <w:vMerge/>
            <w:tcBorders>
              <w:left w:val="single" w:sz="4" w:space="0" w:color="auto"/>
              <w:bottom w:val="single" w:sz="4" w:space="0" w:color="auto"/>
              <w:right w:val="single" w:sz="4" w:space="0" w:color="auto"/>
            </w:tcBorders>
            <w:noWrap/>
            <w:vAlign w:val="center"/>
          </w:tcPr>
          <w:p w14:paraId="03BFEE72" w14:textId="39ECACCC" w:rsidR="00622851" w:rsidRPr="0042463B" w:rsidRDefault="00622851" w:rsidP="00622851">
            <w:pPr>
              <w:jc w:val="right"/>
              <w:rPr>
                <w:color w:val="000000"/>
                <w:sz w:val="20"/>
                <w:szCs w:val="20"/>
                <w:lang w:eastAsia="en-CA"/>
              </w:rPr>
            </w:pPr>
          </w:p>
        </w:tc>
      </w:tr>
      <w:tr w:rsidR="00622851" w:rsidRPr="0042463B" w14:paraId="05D5E900" w14:textId="77777777" w:rsidTr="00FD303E">
        <w:tc>
          <w:tcPr>
            <w:tcW w:w="1300" w:type="dxa"/>
            <w:tcBorders>
              <w:top w:val="nil"/>
              <w:left w:val="single" w:sz="4" w:space="0" w:color="auto"/>
              <w:bottom w:val="single" w:sz="4" w:space="0" w:color="auto"/>
              <w:right w:val="single" w:sz="4" w:space="0" w:color="auto"/>
            </w:tcBorders>
            <w:shd w:val="clear" w:color="auto" w:fill="auto"/>
            <w:noWrap/>
            <w:tcMar>
              <w:left w:w="29" w:type="dxa"/>
            </w:tcMar>
            <w:vAlign w:val="bottom"/>
            <w:hideMark/>
          </w:tcPr>
          <w:p w14:paraId="184EF489" w14:textId="77777777" w:rsidR="00622851" w:rsidRPr="0042463B" w:rsidRDefault="00622851" w:rsidP="00622851">
            <w:pPr>
              <w:jc w:val="left"/>
              <w:rPr>
                <w:color w:val="000000"/>
                <w:sz w:val="20"/>
                <w:szCs w:val="20"/>
              </w:rPr>
            </w:pPr>
            <w:r w:rsidRPr="0042463B">
              <w:rPr>
                <w:color w:val="000000"/>
                <w:sz w:val="20"/>
                <w:szCs w:val="20"/>
              </w:rPr>
              <w:lastRenderedPageBreak/>
              <w:t>Mousse pulvérisée</w:t>
            </w:r>
          </w:p>
        </w:tc>
        <w:tc>
          <w:tcPr>
            <w:tcW w:w="1007" w:type="dxa"/>
            <w:tcBorders>
              <w:top w:val="nil"/>
              <w:left w:val="single" w:sz="4" w:space="0" w:color="auto"/>
              <w:bottom w:val="single" w:sz="4" w:space="0" w:color="auto"/>
              <w:right w:val="single" w:sz="4" w:space="0" w:color="auto"/>
            </w:tcBorders>
            <w:shd w:val="clear" w:color="auto" w:fill="auto"/>
            <w:noWrap/>
          </w:tcPr>
          <w:p w14:paraId="2807EE3C" w14:textId="2FCD8821" w:rsidR="00622851" w:rsidRPr="0042463B" w:rsidRDefault="00622851" w:rsidP="00622851">
            <w:pPr>
              <w:jc w:val="right"/>
              <w:rPr>
                <w:color w:val="000000"/>
                <w:sz w:val="20"/>
                <w:szCs w:val="20"/>
              </w:rPr>
            </w:pPr>
            <w:r w:rsidRPr="0042463B">
              <w:rPr>
                <w:color w:val="000000"/>
                <w:sz w:val="20"/>
                <w:szCs w:val="20"/>
              </w:rPr>
              <w:t>0,00</w:t>
            </w:r>
          </w:p>
        </w:tc>
        <w:tc>
          <w:tcPr>
            <w:tcW w:w="1008" w:type="dxa"/>
            <w:tcBorders>
              <w:top w:val="nil"/>
              <w:left w:val="nil"/>
              <w:bottom w:val="single" w:sz="4" w:space="0" w:color="auto"/>
              <w:right w:val="single" w:sz="4" w:space="0" w:color="auto"/>
            </w:tcBorders>
            <w:shd w:val="clear" w:color="auto" w:fill="auto"/>
            <w:noWrap/>
          </w:tcPr>
          <w:p w14:paraId="534B2BB1" w14:textId="4FB01EAA" w:rsidR="00622851" w:rsidRPr="0042463B" w:rsidRDefault="00622851" w:rsidP="00622851">
            <w:pPr>
              <w:jc w:val="right"/>
              <w:rPr>
                <w:color w:val="000000"/>
                <w:sz w:val="20"/>
                <w:szCs w:val="20"/>
              </w:rPr>
            </w:pPr>
            <w:r w:rsidRPr="0042463B">
              <w:rPr>
                <w:color w:val="000000"/>
                <w:sz w:val="20"/>
                <w:szCs w:val="20"/>
              </w:rPr>
              <w:t>0,00</w:t>
            </w:r>
          </w:p>
        </w:tc>
        <w:tc>
          <w:tcPr>
            <w:tcW w:w="1007" w:type="dxa"/>
            <w:tcBorders>
              <w:top w:val="nil"/>
              <w:left w:val="nil"/>
              <w:bottom w:val="single" w:sz="4" w:space="0" w:color="auto"/>
              <w:right w:val="single" w:sz="4" w:space="0" w:color="auto"/>
            </w:tcBorders>
            <w:shd w:val="clear" w:color="auto" w:fill="auto"/>
            <w:noWrap/>
          </w:tcPr>
          <w:p w14:paraId="05D8127A" w14:textId="2402DAE8" w:rsidR="00622851" w:rsidRPr="0042463B" w:rsidRDefault="00622851" w:rsidP="00622851">
            <w:pPr>
              <w:jc w:val="right"/>
              <w:rPr>
                <w:color w:val="000000"/>
                <w:sz w:val="20"/>
                <w:szCs w:val="20"/>
              </w:rPr>
            </w:pPr>
            <w:r w:rsidRPr="0042463B">
              <w:rPr>
                <w:color w:val="000000"/>
                <w:sz w:val="20"/>
                <w:szCs w:val="20"/>
              </w:rPr>
              <w:t>0,00</w:t>
            </w:r>
          </w:p>
        </w:tc>
        <w:tc>
          <w:tcPr>
            <w:tcW w:w="1008" w:type="dxa"/>
            <w:tcBorders>
              <w:top w:val="nil"/>
              <w:left w:val="nil"/>
              <w:bottom w:val="single" w:sz="4" w:space="0" w:color="auto"/>
              <w:right w:val="single" w:sz="4" w:space="0" w:color="auto"/>
            </w:tcBorders>
            <w:shd w:val="clear" w:color="auto" w:fill="auto"/>
            <w:noWrap/>
          </w:tcPr>
          <w:p w14:paraId="4D497862" w14:textId="139F4B55" w:rsidR="00622851" w:rsidRPr="0042463B" w:rsidRDefault="00622851" w:rsidP="00622851">
            <w:pPr>
              <w:jc w:val="right"/>
              <w:rPr>
                <w:color w:val="000000"/>
                <w:sz w:val="20"/>
                <w:szCs w:val="20"/>
              </w:rPr>
            </w:pPr>
            <w:r w:rsidRPr="0042463B">
              <w:rPr>
                <w:color w:val="000000"/>
                <w:sz w:val="20"/>
                <w:szCs w:val="20"/>
              </w:rPr>
              <w:t>0,00</w:t>
            </w:r>
          </w:p>
        </w:tc>
        <w:tc>
          <w:tcPr>
            <w:tcW w:w="1007" w:type="dxa"/>
            <w:tcBorders>
              <w:top w:val="single" w:sz="4" w:space="0" w:color="auto"/>
              <w:left w:val="single" w:sz="4" w:space="0" w:color="auto"/>
              <w:bottom w:val="single" w:sz="4" w:space="0" w:color="auto"/>
              <w:right w:val="single" w:sz="4" w:space="0" w:color="auto"/>
            </w:tcBorders>
            <w:shd w:val="clear" w:color="auto" w:fill="auto"/>
            <w:noWrap/>
            <w:hideMark/>
          </w:tcPr>
          <w:p w14:paraId="169C2BEF" w14:textId="3DCE5ECE" w:rsidR="00622851" w:rsidRPr="0042463B" w:rsidRDefault="00622851" w:rsidP="00622851">
            <w:pPr>
              <w:jc w:val="right"/>
              <w:rPr>
                <w:color w:val="000000"/>
                <w:sz w:val="20"/>
                <w:szCs w:val="20"/>
              </w:rPr>
            </w:pPr>
            <w:r w:rsidRPr="0042463B">
              <w:rPr>
                <w:color w:val="000000"/>
                <w:sz w:val="20"/>
                <w:szCs w:val="20"/>
              </w:rPr>
              <w:t>20,43</w:t>
            </w:r>
          </w:p>
        </w:tc>
        <w:tc>
          <w:tcPr>
            <w:tcW w:w="1008" w:type="dxa"/>
            <w:tcBorders>
              <w:top w:val="single" w:sz="4" w:space="0" w:color="auto"/>
              <w:left w:val="nil"/>
              <w:bottom w:val="single" w:sz="4" w:space="0" w:color="auto"/>
              <w:right w:val="single" w:sz="4" w:space="0" w:color="auto"/>
            </w:tcBorders>
            <w:shd w:val="clear" w:color="auto" w:fill="auto"/>
            <w:noWrap/>
            <w:hideMark/>
          </w:tcPr>
          <w:p w14:paraId="004E2B9F" w14:textId="7B9E2654" w:rsidR="00622851" w:rsidRPr="0042463B" w:rsidRDefault="00622851" w:rsidP="00622851">
            <w:pPr>
              <w:jc w:val="right"/>
              <w:rPr>
                <w:color w:val="000000"/>
                <w:sz w:val="20"/>
                <w:szCs w:val="20"/>
              </w:rPr>
            </w:pPr>
            <w:r w:rsidRPr="0042463B">
              <w:rPr>
                <w:color w:val="000000"/>
                <w:sz w:val="20"/>
                <w:szCs w:val="20"/>
              </w:rPr>
              <w:t>12,68</w:t>
            </w:r>
          </w:p>
        </w:tc>
        <w:tc>
          <w:tcPr>
            <w:tcW w:w="1007" w:type="dxa"/>
            <w:tcBorders>
              <w:top w:val="single" w:sz="4" w:space="0" w:color="auto"/>
              <w:left w:val="nil"/>
              <w:bottom w:val="single" w:sz="4" w:space="0" w:color="auto"/>
              <w:right w:val="single" w:sz="4" w:space="0" w:color="auto"/>
            </w:tcBorders>
            <w:shd w:val="clear" w:color="auto" w:fill="auto"/>
            <w:noWrap/>
            <w:hideMark/>
          </w:tcPr>
          <w:p w14:paraId="51EC244A" w14:textId="68065A37" w:rsidR="00622851" w:rsidRPr="0042463B" w:rsidRDefault="00622851" w:rsidP="00622851">
            <w:pPr>
              <w:jc w:val="right"/>
              <w:rPr>
                <w:color w:val="000000"/>
                <w:sz w:val="20"/>
                <w:szCs w:val="20"/>
              </w:rPr>
            </w:pPr>
            <w:r w:rsidRPr="0042463B">
              <w:rPr>
                <w:color w:val="000000"/>
                <w:sz w:val="20"/>
                <w:szCs w:val="20"/>
              </w:rPr>
              <w:t>8,50</w:t>
            </w:r>
          </w:p>
        </w:tc>
        <w:tc>
          <w:tcPr>
            <w:tcW w:w="1008" w:type="dxa"/>
            <w:vMerge/>
            <w:tcBorders>
              <w:left w:val="single" w:sz="4" w:space="0" w:color="auto"/>
              <w:bottom w:val="single" w:sz="4" w:space="0" w:color="auto"/>
              <w:right w:val="single" w:sz="4" w:space="0" w:color="auto"/>
            </w:tcBorders>
            <w:noWrap/>
            <w:vAlign w:val="center"/>
            <w:hideMark/>
          </w:tcPr>
          <w:p w14:paraId="6B390732" w14:textId="7C620438" w:rsidR="00622851" w:rsidRPr="0042463B" w:rsidRDefault="00622851" w:rsidP="00622851">
            <w:pPr>
              <w:jc w:val="right"/>
              <w:rPr>
                <w:color w:val="000000"/>
                <w:sz w:val="20"/>
                <w:szCs w:val="20"/>
                <w:lang w:eastAsia="en-CA"/>
              </w:rPr>
            </w:pPr>
          </w:p>
        </w:tc>
      </w:tr>
      <w:tr w:rsidR="00622851" w:rsidRPr="0042463B" w14:paraId="3A151EF4" w14:textId="77777777" w:rsidTr="00FD303E">
        <w:tc>
          <w:tcPr>
            <w:tcW w:w="1300" w:type="dxa"/>
            <w:tcBorders>
              <w:top w:val="nil"/>
              <w:left w:val="single" w:sz="4" w:space="0" w:color="auto"/>
              <w:bottom w:val="single" w:sz="4" w:space="0" w:color="auto"/>
              <w:right w:val="single" w:sz="4" w:space="0" w:color="auto"/>
            </w:tcBorders>
            <w:shd w:val="clear" w:color="auto" w:fill="auto"/>
            <w:noWrap/>
            <w:tcMar>
              <w:left w:w="29" w:type="dxa"/>
            </w:tcMar>
            <w:vAlign w:val="bottom"/>
            <w:hideMark/>
          </w:tcPr>
          <w:p w14:paraId="7A5864C3" w14:textId="54DC7021" w:rsidR="00622851" w:rsidRPr="0042463B" w:rsidRDefault="000F59B2" w:rsidP="00622851">
            <w:pPr>
              <w:jc w:val="left"/>
              <w:rPr>
                <w:color w:val="000000"/>
                <w:sz w:val="20"/>
                <w:szCs w:val="20"/>
              </w:rPr>
            </w:pPr>
            <w:r w:rsidRPr="0042463B">
              <w:rPr>
                <w:color w:val="000000"/>
                <w:sz w:val="20"/>
                <w:szCs w:val="20"/>
              </w:rPr>
              <w:lastRenderedPageBreak/>
              <w:t>Total (t</w:t>
            </w:r>
            <w:r w:rsidR="00622851" w:rsidRPr="0042463B">
              <w:rPr>
                <w:color w:val="000000"/>
                <w:sz w:val="20"/>
                <w:szCs w:val="20"/>
              </w:rPr>
              <w:t xml:space="preserve"> PAO)</w:t>
            </w:r>
          </w:p>
        </w:tc>
        <w:tc>
          <w:tcPr>
            <w:tcW w:w="1007" w:type="dxa"/>
            <w:tcBorders>
              <w:top w:val="nil"/>
              <w:left w:val="single" w:sz="4" w:space="0" w:color="auto"/>
              <w:bottom w:val="single" w:sz="4" w:space="0" w:color="auto"/>
              <w:right w:val="single" w:sz="4" w:space="0" w:color="auto"/>
            </w:tcBorders>
            <w:shd w:val="clear" w:color="auto" w:fill="auto"/>
            <w:noWrap/>
            <w:hideMark/>
          </w:tcPr>
          <w:p w14:paraId="2C1E7CC9" w14:textId="5EAC87BF" w:rsidR="00622851" w:rsidRPr="0042463B" w:rsidRDefault="00622851" w:rsidP="00622851">
            <w:pPr>
              <w:jc w:val="right"/>
              <w:rPr>
                <w:color w:val="000000"/>
                <w:sz w:val="20"/>
                <w:szCs w:val="20"/>
              </w:rPr>
            </w:pPr>
            <w:r w:rsidRPr="0042463B">
              <w:rPr>
                <w:color w:val="000000"/>
                <w:sz w:val="20"/>
                <w:szCs w:val="20"/>
              </w:rPr>
              <w:t>21,45</w:t>
            </w:r>
          </w:p>
        </w:tc>
        <w:tc>
          <w:tcPr>
            <w:tcW w:w="1008" w:type="dxa"/>
            <w:tcBorders>
              <w:top w:val="nil"/>
              <w:left w:val="nil"/>
              <w:bottom w:val="single" w:sz="4" w:space="0" w:color="auto"/>
              <w:right w:val="single" w:sz="4" w:space="0" w:color="auto"/>
            </w:tcBorders>
            <w:shd w:val="clear" w:color="auto" w:fill="auto"/>
            <w:noWrap/>
            <w:hideMark/>
          </w:tcPr>
          <w:p w14:paraId="28A5ECE2" w14:textId="0F48F63A" w:rsidR="00622851" w:rsidRPr="0042463B" w:rsidRDefault="00622851" w:rsidP="00622851">
            <w:pPr>
              <w:jc w:val="right"/>
              <w:rPr>
                <w:color w:val="000000"/>
                <w:sz w:val="20"/>
                <w:szCs w:val="20"/>
              </w:rPr>
            </w:pPr>
            <w:r w:rsidRPr="0042463B">
              <w:rPr>
                <w:color w:val="000000"/>
                <w:sz w:val="20"/>
                <w:szCs w:val="20"/>
              </w:rPr>
              <w:t>19,25</w:t>
            </w:r>
          </w:p>
        </w:tc>
        <w:tc>
          <w:tcPr>
            <w:tcW w:w="1007" w:type="dxa"/>
            <w:tcBorders>
              <w:top w:val="nil"/>
              <w:left w:val="nil"/>
              <w:bottom w:val="single" w:sz="4" w:space="0" w:color="auto"/>
              <w:right w:val="single" w:sz="4" w:space="0" w:color="auto"/>
            </w:tcBorders>
            <w:shd w:val="clear" w:color="auto" w:fill="auto"/>
            <w:noWrap/>
            <w:hideMark/>
          </w:tcPr>
          <w:p w14:paraId="007D66FB" w14:textId="09DC618C" w:rsidR="00622851" w:rsidRPr="0042463B" w:rsidRDefault="00622851" w:rsidP="00622851">
            <w:pPr>
              <w:jc w:val="right"/>
              <w:rPr>
                <w:color w:val="000000"/>
                <w:sz w:val="20"/>
                <w:szCs w:val="20"/>
              </w:rPr>
            </w:pPr>
            <w:r w:rsidRPr="0042463B">
              <w:rPr>
                <w:color w:val="000000"/>
                <w:sz w:val="20"/>
                <w:szCs w:val="20"/>
              </w:rPr>
              <w:t>16,50</w:t>
            </w:r>
          </w:p>
        </w:tc>
        <w:tc>
          <w:tcPr>
            <w:tcW w:w="1008" w:type="dxa"/>
            <w:tcBorders>
              <w:top w:val="nil"/>
              <w:left w:val="nil"/>
              <w:bottom w:val="single" w:sz="4" w:space="0" w:color="auto"/>
              <w:right w:val="single" w:sz="4" w:space="0" w:color="auto"/>
            </w:tcBorders>
            <w:shd w:val="clear" w:color="auto" w:fill="auto"/>
            <w:noWrap/>
            <w:hideMark/>
          </w:tcPr>
          <w:p w14:paraId="65E46C98" w14:textId="48560253" w:rsidR="00622851" w:rsidRPr="0042463B" w:rsidRDefault="00622851" w:rsidP="00622851">
            <w:pPr>
              <w:jc w:val="right"/>
              <w:rPr>
                <w:color w:val="000000"/>
                <w:sz w:val="20"/>
                <w:szCs w:val="20"/>
              </w:rPr>
            </w:pPr>
            <w:r w:rsidRPr="0042463B">
              <w:rPr>
                <w:color w:val="000000"/>
                <w:sz w:val="20"/>
                <w:szCs w:val="20"/>
              </w:rPr>
              <w:t>37,54</w:t>
            </w:r>
          </w:p>
        </w:tc>
        <w:tc>
          <w:tcPr>
            <w:tcW w:w="1007" w:type="dxa"/>
            <w:tcBorders>
              <w:top w:val="nil"/>
              <w:left w:val="single" w:sz="4" w:space="0" w:color="auto"/>
              <w:bottom w:val="single" w:sz="4" w:space="0" w:color="auto"/>
              <w:right w:val="single" w:sz="4" w:space="0" w:color="auto"/>
            </w:tcBorders>
            <w:shd w:val="clear" w:color="auto" w:fill="auto"/>
            <w:noWrap/>
            <w:hideMark/>
          </w:tcPr>
          <w:p w14:paraId="0726F304" w14:textId="1743C83D" w:rsidR="00622851" w:rsidRPr="0042463B" w:rsidRDefault="00622851" w:rsidP="00622851">
            <w:pPr>
              <w:jc w:val="right"/>
              <w:rPr>
                <w:color w:val="000000"/>
                <w:sz w:val="20"/>
                <w:szCs w:val="20"/>
              </w:rPr>
            </w:pPr>
            <w:r w:rsidRPr="0042463B">
              <w:rPr>
                <w:color w:val="000000"/>
                <w:sz w:val="20"/>
                <w:szCs w:val="20"/>
              </w:rPr>
              <w:t>21,17</w:t>
            </w:r>
          </w:p>
        </w:tc>
        <w:tc>
          <w:tcPr>
            <w:tcW w:w="1008" w:type="dxa"/>
            <w:tcBorders>
              <w:top w:val="nil"/>
              <w:left w:val="nil"/>
              <w:bottom w:val="single" w:sz="4" w:space="0" w:color="auto"/>
              <w:right w:val="single" w:sz="4" w:space="0" w:color="auto"/>
            </w:tcBorders>
            <w:shd w:val="clear" w:color="auto" w:fill="auto"/>
            <w:noWrap/>
            <w:hideMark/>
          </w:tcPr>
          <w:p w14:paraId="7C459FB0" w14:textId="392E873F" w:rsidR="00622851" w:rsidRPr="0042463B" w:rsidRDefault="00622851" w:rsidP="00622851">
            <w:pPr>
              <w:jc w:val="right"/>
              <w:rPr>
                <w:color w:val="000000"/>
                <w:sz w:val="20"/>
                <w:szCs w:val="20"/>
              </w:rPr>
            </w:pPr>
            <w:r w:rsidRPr="0042463B">
              <w:rPr>
                <w:color w:val="000000"/>
                <w:sz w:val="20"/>
                <w:szCs w:val="20"/>
              </w:rPr>
              <w:t>13,81</w:t>
            </w:r>
          </w:p>
        </w:tc>
        <w:tc>
          <w:tcPr>
            <w:tcW w:w="1007" w:type="dxa"/>
            <w:tcBorders>
              <w:top w:val="nil"/>
              <w:left w:val="nil"/>
              <w:bottom w:val="single" w:sz="4" w:space="0" w:color="auto"/>
              <w:right w:val="single" w:sz="4" w:space="0" w:color="auto"/>
            </w:tcBorders>
            <w:shd w:val="clear" w:color="auto" w:fill="auto"/>
            <w:noWrap/>
            <w:hideMark/>
          </w:tcPr>
          <w:p w14:paraId="160C2ED5" w14:textId="38A19B8E" w:rsidR="00622851" w:rsidRPr="0042463B" w:rsidRDefault="00622851" w:rsidP="00622851">
            <w:pPr>
              <w:jc w:val="right"/>
              <w:rPr>
                <w:color w:val="000000"/>
                <w:sz w:val="20"/>
                <w:szCs w:val="20"/>
              </w:rPr>
            </w:pPr>
            <w:r w:rsidRPr="0042463B">
              <w:rPr>
                <w:color w:val="000000"/>
                <w:sz w:val="20"/>
                <w:szCs w:val="20"/>
              </w:rPr>
              <w:t>9,88</w:t>
            </w:r>
          </w:p>
        </w:tc>
        <w:tc>
          <w:tcPr>
            <w:tcW w:w="1008" w:type="dxa"/>
            <w:vMerge/>
            <w:tcBorders>
              <w:left w:val="single" w:sz="4" w:space="0" w:color="auto"/>
              <w:bottom w:val="single" w:sz="4" w:space="0" w:color="auto"/>
              <w:right w:val="single" w:sz="4" w:space="0" w:color="auto"/>
            </w:tcBorders>
            <w:noWrap/>
            <w:vAlign w:val="center"/>
            <w:hideMark/>
          </w:tcPr>
          <w:p w14:paraId="6C6D59A6" w14:textId="4B9E3E51" w:rsidR="00622851" w:rsidRPr="0042463B" w:rsidRDefault="00622851" w:rsidP="00622851">
            <w:pPr>
              <w:jc w:val="right"/>
              <w:rPr>
                <w:color w:val="000000"/>
                <w:sz w:val="20"/>
                <w:szCs w:val="20"/>
                <w:lang w:eastAsia="en-CA"/>
              </w:rPr>
            </w:pPr>
          </w:p>
        </w:tc>
      </w:tr>
    </w:tbl>
    <w:p w14:paraId="2B785B96" w14:textId="77777777" w:rsidR="00041DF0" w:rsidRPr="0042463B" w:rsidRDefault="00041DF0" w:rsidP="00041DF0">
      <w:pPr>
        <w:jc w:val="left"/>
        <w:rPr>
          <w:sz w:val="18"/>
          <w:szCs w:val="18"/>
        </w:rPr>
      </w:pPr>
      <w:r w:rsidRPr="0042463B">
        <w:rPr>
          <w:sz w:val="18"/>
          <w:szCs w:val="18"/>
        </w:rPr>
        <w:t>*Données du programme du pays.</w:t>
      </w:r>
    </w:p>
    <w:p w14:paraId="5EA8C7D9" w14:textId="77777777" w:rsidR="009813A0" w:rsidRPr="0042463B" w:rsidRDefault="009813A0" w:rsidP="00D3182A">
      <w:pPr>
        <w:jc w:val="left"/>
      </w:pPr>
    </w:p>
    <w:p w14:paraId="09E95A1F" w14:textId="2D4CD6F8" w:rsidR="00564772" w:rsidRPr="0042463B" w:rsidRDefault="00564772" w:rsidP="00B16987">
      <w:pPr>
        <w:rPr>
          <w:u w:val="single"/>
        </w:rPr>
      </w:pPr>
      <w:r w:rsidRPr="0042463B">
        <w:rPr>
          <w:u w:val="single"/>
        </w:rPr>
        <w:t xml:space="preserve">Secteur de l’entretien des appareils de réfrigération et de climatisation </w:t>
      </w:r>
    </w:p>
    <w:p w14:paraId="77DFAF92" w14:textId="77777777" w:rsidR="00564772" w:rsidRPr="0042463B" w:rsidRDefault="00564772" w:rsidP="00B16987">
      <w:pPr>
        <w:rPr>
          <w:i/>
        </w:rPr>
      </w:pPr>
    </w:p>
    <w:p w14:paraId="22406C19" w14:textId="76090031" w:rsidR="00EB31E3" w:rsidRPr="0042463B" w:rsidRDefault="00EB31E3" w:rsidP="00D47FD2">
      <w:pPr>
        <w:pStyle w:val="Heading1"/>
      </w:pPr>
      <w:r w:rsidRPr="0042463B">
        <w:t xml:space="preserve">Il y a environ 2 900 ateliers et 3 500 techniciens qui travaillent sur l’entretien d’environ 1,6 million d’unités de climatisation à usage domestique et commercial, consommant 99 pour cent du HCFC-22 consommé au pays en 2020. Le pourcentage restant de HCFC-22 a été utilisé par environ 1 600 unités de réfrigération commerciale et industrielle et des conteneurs de transport frigorifiques. </w:t>
      </w:r>
    </w:p>
    <w:p w14:paraId="2CB06F8D" w14:textId="17DE4BCF" w:rsidR="00642C57" w:rsidRPr="0042463B" w:rsidRDefault="00337A12" w:rsidP="00270A7D">
      <w:pPr>
        <w:pStyle w:val="Heading1"/>
        <w:tabs>
          <w:tab w:val="clear" w:pos="0"/>
          <w:tab w:val="num" w:pos="568"/>
        </w:tabs>
      </w:pPr>
      <w:r w:rsidRPr="0042463B">
        <w:t>La consommation de HCFC-22 représente 41 pour cent de tous les frigorigènes utilisés pour l’entretien au pays, suivie par le R-410A (28 pour cent), le HFC-134a (19 pour cent), l’ammoniac (5 pour</w:t>
      </w:r>
      <w:r w:rsidR="00FD303E" w:rsidRPr="0042463B">
        <w:t> </w:t>
      </w:r>
      <w:r w:rsidRPr="0042463B">
        <w:t>cent), le R-407C (4 pour cent) et le R-404A (3 pour cent), ainsi que des quantités négligeables de HCFC</w:t>
      </w:r>
      <w:r w:rsidR="00FD303E" w:rsidRPr="0042463B">
        <w:noBreakHyphen/>
      </w:r>
      <w:r w:rsidRPr="0042463B">
        <w:t>32 et de R-290 (0,1 pour cent).</w:t>
      </w:r>
    </w:p>
    <w:p w14:paraId="6AC2B56E" w14:textId="77777777" w:rsidR="00EB31E3" w:rsidRPr="0042463B" w:rsidRDefault="00EB31E3" w:rsidP="00EB31E3">
      <w:pPr>
        <w:spacing w:after="240"/>
        <w:rPr>
          <w:b/>
        </w:rPr>
      </w:pPr>
      <w:r w:rsidRPr="0042463B">
        <w:rPr>
          <w:u w:val="single"/>
        </w:rPr>
        <w:t>Stratégies d’élimination de la phase II du PGEH</w:t>
      </w:r>
    </w:p>
    <w:p w14:paraId="35840E6B" w14:textId="4796B5A4" w:rsidR="007D53B9" w:rsidRPr="0042463B" w:rsidRDefault="0008104D" w:rsidP="003C33BF">
      <w:pPr>
        <w:pStyle w:val="Heading1"/>
      </w:pPr>
      <w:r w:rsidRPr="0042463B">
        <w:t>La phase II du PGEH prévoit atteindre une réduction de la consommation de HCFC de 67,5 pour</w:t>
      </w:r>
      <w:r w:rsidR="00FD303E" w:rsidRPr="0042463B">
        <w:t> </w:t>
      </w:r>
      <w:r w:rsidRPr="0042463B">
        <w:t xml:space="preserve">cent par rapport à la valeur de référence d’ici 2025. Le gouvernement propose d’éliminer 5,13 tonnes PAO de HCFC-22 dans le secteur de l’entretien et de mettre en œuvre un projet-cadre en vue d’éliminer toute l’utilisation du HCFC-141b contenu dans les polyols </w:t>
      </w:r>
      <w:proofErr w:type="spellStart"/>
      <w:r w:rsidRPr="0042463B">
        <w:t>prémélangés</w:t>
      </w:r>
      <w:proofErr w:type="spellEnd"/>
      <w:r w:rsidRPr="0042463B">
        <w:t xml:space="preserve"> importés (consommation admissible restante de 10,11 tonnes PAO; consommation de 9,88 tonnes PAO pour 2020) dans le cadre du PGEH. De plus, la seule entreprise de fabrication de climatiseurs, AGM, éliminera sa consommation (consommation admissible restante de 25,36 tonnes PAO; consommation de 16,50 tonnes PAO pour 2020) avec ses propres fonds.</w:t>
      </w:r>
    </w:p>
    <w:p w14:paraId="6F84CA87" w14:textId="27C67336" w:rsidR="00EB31E3" w:rsidRPr="0042463B" w:rsidRDefault="0058018F" w:rsidP="00EB31E3">
      <w:pPr>
        <w:numPr>
          <w:ilvl w:val="0"/>
          <w:numId w:val="1"/>
        </w:numPr>
        <w:spacing w:after="240"/>
        <w:outlineLvl w:val="0"/>
      </w:pPr>
      <w:r w:rsidRPr="0042463B">
        <w:t xml:space="preserve">La mise en œuvre de la phase II entraînera l’élimination complète du HCFC-141b contenu dans les polyols </w:t>
      </w:r>
      <w:proofErr w:type="spellStart"/>
      <w:r w:rsidRPr="0042463B">
        <w:t>prémélangés</w:t>
      </w:r>
      <w:proofErr w:type="spellEnd"/>
      <w:r w:rsidRPr="0042463B">
        <w:t xml:space="preserve"> importés grâce à un projet d’investissement dans la fabrication des mousses. La consommation de HCFC-22 dans la fabrication des appareils de climatisation sera volontairement éliminée par l’entreprise en dehors du PGEH. Plusieurs activités seront également mise</w:t>
      </w:r>
      <w:r w:rsidR="000F59B2" w:rsidRPr="0042463B">
        <w:t>s</w:t>
      </w:r>
      <w:r w:rsidRPr="0042463B">
        <w:t xml:space="preserve"> en œuvre dans le secteur de l’entretien des appareils de réfrigération. Elles couvrent la législation; la formation des agents des douanes; la formation et l’accréditation des techniciens; l’assistance technique (TA); les activités de sensibilisation pour promouvoir l’adoption de solutions de remplacement à faible potentiel de réchauffement de la planète (PRG); et des améliorations dans la récupération, le recyclage et la réutilisation des frigorigènes. Les leçons retenues et l’infrastructure mise en place pendant la mise en œuvre de la phase I du PGEH seront utilisées dans la phase II. </w:t>
      </w:r>
    </w:p>
    <w:p w14:paraId="545A85CB" w14:textId="77777777" w:rsidR="00EB31E3" w:rsidRPr="0042463B" w:rsidRDefault="00EB31E3" w:rsidP="00767209">
      <w:pPr>
        <w:keepNext/>
        <w:rPr>
          <w:u w:val="single"/>
        </w:rPr>
      </w:pPr>
      <w:r w:rsidRPr="0042463B">
        <w:rPr>
          <w:u w:val="single"/>
        </w:rPr>
        <w:t>Activités proposées dans la phase II du PGEH</w:t>
      </w:r>
    </w:p>
    <w:p w14:paraId="2FCB9430" w14:textId="653A3463" w:rsidR="00893FDD" w:rsidRPr="0042463B" w:rsidRDefault="00893FDD" w:rsidP="00767209">
      <w:pPr>
        <w:keepNext/>
        <w:rPr>
          <w:u w:val="single"/>
        </w:rPr>
      </w:pPr>
    </w:p>
    <w:p w14:paraId="04F89D53" w14:textId="16030DDC" w:rsidR="00325279" w:rsidRPr="0042463B" w:rsidRDefault="00325279" w:rsidP="00EB31E3">
      <w:pPr>
        <w:rPr>
          <w:i/>
        </w:rPr>
      </w:pPr>
      <w:r w:rsidRPr="0042463B">
        <w:rPr>
          <w:i/>
        </w:rPr>
        <w:t>Cadre juridique</w:t>
      </w:r>
    </w:p>
    <w:p w14:paraId="4026D860" w14:textId="77777777" w:rsidR="00325279" w:rsidRPr="0042463B" w:rsidRDefault="00325279" w:rsidP="00EB31E3">
      <w:pPr>
        <w:rPr>
          <w:u w:val="single"/>
        </w:rPr>
      </w:pPr>
    </w:p>
    <w:p w14:paraId="2DB34FE6" w14:textId="601D9180" w:rsidR="00325279" w:rsidRPr="0042463B" w:rsidRDefault="00325279" w:rsidP="00325279">
      <w:pPr>
        <w:pStyle w:val="Heading1"/>
        <w:tabs>
          <w:tab w:val="left" w:pos="720"/>
        </w:tabs>
      </w:pPr>
      <w:r w:rsidRPr="0042463B">
        <w:t xml:space="preserve">Pendant la phase II, le gouvernement rédigera et adoptera des règlements pour : la récupération et la régénération obligatoire des frigorigènes; le contrôle des récipients de frigorigènes; la surveillance des fuites pour les utilisations de grande taille; l’interdiction de dégazer les frigorigènes pendant la réparation ou la maintenance des appareils de réfrigération et de climatisation; et l’enregistrement des importateurs de HCFC et d’équipement fonctionnant au HCFC. Le gouvernement envisagera d’interdire l’importation de nouveaux appareils de climatisation et de réfrigération fonctionnant au HCFC lorsque les substituts à faible PRG deviendront disponibles. </w:t>
      </w:r>
    </w:p>
    <w:p w14:paraId="3000CE4E" w14:textId="77777777" w:rsidR="008602B4" w:rsidRPr="0042463B" w:rsidRDefault="009C7CA5" w:rsidP="009B632C">
      <w:pPr>
        <w:widowControl w:val="0"/>
        <w:spacing w:after="240"/>
        <w:outlineLvl w:val="0"/>
        <w:rPr>
          <w:i/>
        </w:rPr>
      </w:pPr>
      <w:r w:rsidRPr="0042463B">
        <w:rPr>
          <w:i/>
        </w:rPr>
        <w:lastRenderedPageBreak/>
        <w:t>Conversion du secteur de la fabrication des mousses</w:t>
      </w:r>
    </w:p>
    <w:p w14:paraId="29F74A26" w14:textId="087FA011" w:rsidR="003A1D8C" w:rsidRPr="0042463B" w:rsidRDefault="0058018F" w:rsidP="00545B7A">
      <w:pPr>
        <w:pStyle w:val="Heading1"/>
      </w:pPr>
      <w:r w:rsidRPr="0042463B">
        <w:t xml:space="preserve">La phase II comprend un projet-cadre pour éliminer le HCFC-141b contenu dans les polyols </w:t>
      </w:r>
      <w:proofErr w:type="spellStart"/>
      <w:r w:rsidRPr="0042463B">
        <w:t>prémélangés</w:t>
      </w:r>
      <w:proofErr w:type="spellEnd"/>
      <w:r w:rsidRPr="0042463B">
        <w:t xml:space="preserve"> importés dans les secteurs de la mousse pour la réfrigération et de la mousse pulvérisée. Deux entreprises locales utilisent 9,83 </w:t>
      </w:r>
      <w:proofErr w:type="spellStart"/>
      <w:r w:rsidRPr="0042463B">
        <w:t>tm</w:t>
      </w:r>
      <w:proofErr w:type="spellEnd"/>
      <w:r w:rsidRPr="0042463B">
        <w:t xml:space="preserve"> de HCFC-141b contenu dans les polyols </w:t>
      </w:r>
      <w:proofErr w:type="spellStart"/>
      <w:r w:rsidRPr="0042463B">
        <w:t>prémélangés</w:t>
      </w:r>
      <w:proofErr w:type="spellEnd"/>
      <w:r w:rsidRPr="0042463B">
        <w:t xml:space="preserve"> importés pour fabriquer de la mousse isolante pour l’équipement de réfrigération commerciale, y compris des refroidisseurs, des congélateurs et des étalages réfrigérés. Une entreprise, ARAC, a été soutenue précédemment par le Fonds multilatéral pour la conversion du CFC-11 comme agent moussant et du CFC</w:t>
      </w:r>
      <w:r w:rsidR="00FD303E" w:rsidRPr="0042463B">
        <w:noBreakHyphen/>
      </w:r>
      <w:r w:rsidRPr="0042463B">
        <w:t xml:space="preserve">12 comme frigorigène vers le HCFC-141b et le HFC-134a, respectivement. Il y a également 37 entreprises de mousse pulvérisée qui utilisent le HCFC-141b contenu dans les polyols </w:t>
      </w:r>
      <w:proofErr w:type="spellStart"/>
      <w:r w:rsidRPr="0042463B">
        <w:t>prémélangés</w:t>
      </w:r>
      <w:proofErr w:type="spellEnd"/>
      <w:r w:rsidRPr="0042463B">
        <w:t xml:space="preserve"> importés dans la fabrication de la mousse pulvérisée pour la construction de bâtiments; seules deux de ces entreprises ont été fondées avant la date butoir. Le total de la consommation de HCFC-141b contenu dans les polyols </w:t>
      </w:r>
      <w:proofErr w:type="spellStart"/>
      <w:r w:rsidRPr="0042463B">
        <w:t>prémélangés</w:t>
      </w:r>
      <w:proofErr w:type="spellEnd"/>
      <w:r w:rsidRPr="0042463B">
        <w:t xml:space="preserve"> importés est présenté au Tableau 5. </w:t>
      </w:r>
    </w:p>
    <w:p w14:paraId="0EE4560B" w14:textId="00F3B21E" w:rsidR="00844373" w:rsidRPr="0042463B" w:rsidRDefault="00820D62" w:rsidP="00844373">
      <w:pPr>
        <w:rPr>
          <w:b/>
        </w:rPr>
      </w:pPr>
      <w:r w:rsidRPr="0042463B">
        <w:rPr>
          <w:b/>
        </w:rPr>
        <w:t xml:space="preserve">Tableau 5. Consommation de HCFC-141b dans les polyols </w:t>
      </w:r>
      <w:proofErr w:type="spellStart"/>
      <w:r w:rsidRPr="0042463B">
        <w:rPr>
          <w:b/>
        </w:rPr>
        <w:t>prémélangés</w:t>
      </w:r>
      <w:proofErr w:type="spellEnd"/>
      <w:r w:rsidRPr="0042463B">
        <w:rPr>
          <w:b/>
        </w:rPr>
        <w:t xml:space="preserve"> importés admissible au financement</w:t>
      </w:r>
    </w:p>
    <w:tbl>
      <w:tblPr>
        <w:tblW w:w="5000" w:type="pct"/>
        <w:tblLayout w:type="fixed"/>
        <w:tblLook w:val="04A0" w:firstRow="1" w:lastRow="0" w:firstColumn="1" w:lastColumn="0" w:noHBand="0" w:noVBand="1"/>
      </w:tblPr>
      <w:tblGrid>
        <w:gridCol w:w="4223"/>
        <w:gridCol w:w="1265"/>
        <w:gridCol w:w="899"/>
        <w:gridCol w:w="899"/>
        <w:gridCol w:w="899"/>
        <w:gridCol w:w="1165"/>
      </w:tblGrid>
      <w:tr w:rsidR="001142D8" w:rsidRPr="0042463B" w14:paraId="3CAC663C" w14:textId="77777777" w:rsidTr="00184696">
        <w:trPr>
          <w:trHeight w:val="35"/>
          <w:tblHeader/>
        </w:trPr>
        <w:tc>
          <w:tcPr>
            <w:tcW w:w="22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C5AD59" w14:textId="77777777" w:rsidR="001142D8" w:rsidRPr="0042463B" w:rsidRDefault="00E83DA5" w:rsidP="009B632C">
            <w:pPr>
              <w:jc w:val="left"/>
              <w:rPr>
                <w:b/>
                <w:bCs/>
                <w:color w:val="000000"/>
                <w:sz w:val="20"/>
                <w:szCs w:val="20"/>
              </w:rPr>
            </w:pPr>
            <w:r w:rsidRPr="0042463B">
              <w:rPr>
                <w:b/>
                <w:bCs/>
                <w:color w:val="000000"/>
                <w:sz w:val="20"/>
                <w:szCs w:val="20"/>
              </w:rPr>
              <w:t>Entreprise</w:t>
            </w:r>
          </w:p>
        </w:tc>
        <w:tc>
          <w:tcPr>
            <w:tcW w:w="6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9828DF" w14:textId="77777777" w:rsidR="001142D8" w:rsidRPr="0042463B" w:rsidRDefault="001142D8" w:rsidP="001142D8">
            <w:pPr>
              <w:jc w:val="center"/>
              <w:rPr>
                <w:b/>
                <w:bCs/>
                <w:color w:val="000000"/>
                <w:sz w:val="20"/>
                <w:szCs w:val="20"/>
              </w:rPr>
            </w:pPr>
            <w:r w:rsidRPr="0042463B">
              <w:rPr>
                <w:b/>
                <w:bCs/>
                <w:color w:val="000000"/>
                <w:sz w:val="20"/>
                <w:szCs w:val="20"/>
              </w:rPr>
              <w:t>Sous-secteur</w:t>
            </w:r>
          </w:p>
        </w:tc>
        <w:tc>
          <w:tcPr>
            <w:tcW w:w="144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26497F4" w14:textId="24E4EC08" w:rsidR="001142D8" w:rsidRPr="0042463B" w:rsidRDefault="001142D8" w:rsidP="001142D8">
            <w:pPr>
              <w:jc w:val="center"/>
              <w:rPr>
                <w:b/>
                <w:bCs/>
                <w:color w:val="000000"/>
                <w:sz w:val="20"/>
                <w:szCs w:val="20"/>
              </w:rPr>
            </w:pPr>
            <w:r w:rsidRPr="0042463B">
              <w:rPr>
                <w:b/>
                <w:bCs/>
                <w:color w:val="000000"/>
                <w:sz w:val="20"/>
                <w:szCs w:val="20"/>
              </w:rPr>
              <w:t>HCFC-141b (</w:t>
            </w:r>
            <w:proofErr w:type="spellStart"/>
            <w:r w:rsidRPr="0042463B">
              <w:rPr>
                <w:b/>
                <w:bCs/>
                <w:color w:val="000000"/>
                <w:sz w:val="20"/>
                <w:szCs w:val="20"/>
              </w:rPr>
              <w:t>tm</w:t>
            </w:r>
            <w:proofErr w:type="spellEnd"/>
            <w:r w:rsidRPr="0042463B">
              <w:rPr>
                <w:b/>
                <w:bCs/>
                <w:color w:val="000000"/>
                <w:sz w:val="20"/>
                <w:szCs w:val="20"/>
              </w:rPr>
              <w:t>)</w:t>
            </w:r>
          </w:p>
        </w:tc>
        <w:tc>
          <w:tcPr>
            <w:tcW w:w="6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26342D" w14:textId="77777777" w:rsidR="001142D8" w:rsidRPr="0042463B" w:rsidRDefault="001142D8" w:rsidP="00A45B2A">
            <w:pPr>
              <w:jc w:val="center"/>
              <w:rPr>
                <w:b/>
                <w:bCs/>
                <w:color w:val="000000"/>
                <w:sz w:val="20"/>
                <w:szCs w:val="20"/>
              </w:rPr>
            </w:pPr>
            <w:r w:rsidRPr="0042463B">
              <w:rPr>
                <w:b/>
                <w:bCs/>
                <w:color w:val="000000"/>
                <w:sz w:val="20"/>
                <w:szCs w:val="20"/>
              </w:rPr>
              <w:t>Moyenne 2018-2020</w:t>
            </w:r>
          </w:p>
        </w:tc>
      </w:tr>
      <w:tr w:rsidR="00E83DA5" w:rsidRPr="0042463B" w14:paraId="6D7842DF" w14:textId="77777777" w:rsidTr="00184696">
        <w:trPr>
          <w:trHeight w:val="35"/>
          <w:tblHeader/>
        </w:trPr>
        <w:tc>
          <w:tcPr>
            <w:tcW w:w="2258" w:type="pct"/>
            <w:vMerge/>
            <w:tcBorders>
              <w:top w:val="single" w:sz="4" w:space="0" w:color="auto"/>
              <w:left w:val="single" w:sz="4" w:space="0" w:color="auto"/>
              <w:bottom w:val="single" w:sz="4" w:space="0" w:color="auto"/>
              <w:right w:val="single" w:sz="4" w:space="0" w:color="auto"/>
            </w:tcBorders>
            <w:vAlign w:val="center"/>
            <w:hideMark/>
          </w:tcPr>
          <w:p w14:paraId="3CDAD501" w14:textId="77777777" w:rsidR="001142D8" w:rsidRPr="0042463B" w:rsidRDefault="001142D8" w:rsidP="001142D8">
            <w:pPr>
              <w:jc w:val="left"/>
              <w:rPr>
                <w:b/>
                <w:bCs/>
                <w:color w:val="000000"/>
                <w:sz w:val="20"/>
                <w:szCs w:val="20"/>
                <w:lang w:eastAsia="zh-CN"/>
              </w:rPr>
            </w:pPr>
          </w:p>
        </w:tc>
        <w:tc>
          <w:tcPr>
            <w:tcW w:w="675" w:type="pct"/>
            <w:vMerge/>
            <w:tcBorders>
              <w:top w:val="single" w:sz="4" w:space="0" w:color="auto"/>
              <w:left w:val="single" w:sz="4" w:space="0" w:color="auto"/>
              <w:bottom w:val="single" w:sz="4" w:space="0" w:color="auto"/>
              <w:right w:val="single" w:sz="4" w:space="0" w:color="auto"/>
            </w:tcBorders>
            <w:vAlign w:val="center"/>
            <w:hideMark/>
          </w:tcPr>
          <w:p w14:paraId="322A4C99" w14:textId="77777777" w:rsidR="001142D8" w:rsidRPr="0042463B" w:rsidRDefault="001142D8" w:rsidP="001142D8">
            <w:pPr>
              <w:jc w:val="left"/>
              <w:rPr>
                <w:b/>
                <w:bCs/>
                <w:color w:val="000000"/>
                <w:sz w:val="20"/>
                <w:szCs w:val="20"/>
                <w:lang w:eastAsia="zh-CN"/>
              </w:rPr>
            </w:pPr>
          </w:p>
        </w:tc>
        <w:tc>
          <w:tcPr>
            <w:tcW w:w="481" w:type="pct"/>
            <w:tcBorders>
              <w:top w:val="single" w:sz="4" w:space="0" w:color="auto"/>
              <w:left w:val="nil"/>
              <w:bottom w:val="single" w:sz="4" w:space="0" w:color="auto"/>
              <w:right w:val="single" w:sz="4" w:space="0" w:color="auto"/>
            </w:tcBorders>
            <w:shd w:val="clear" w:color="auto" w:fill="auto"/>
            <w:hideMark/>
          </w:tcPr>
          <w:p w14:paraId="1BC95D21" w14:textId="77777777" w:rsidR="001142D8" w:rsidRPr="0042463B" w:rsidRDefault="001142D8" w:rsidP="00E704CD">
            <w:pPr>
              <w:jc w:val="center"/>
              <w:rPr>
                <w:b/>
                <w:bCs/>
                <w:color w:val="000000"/>
                <w:sz w:val="20"/>
                <w:szCs w:val="20"/>
              </w:rPr>
            </w:pPr>
            <w:r w:rsidRPr="0042463B">
              <w:rPr>
                <w:b/>
                <w:bCs/>
                <w:color w:val="000000"/>
                <w:sz w:val="20"/>
                <w:szCs w:val="20"/>
              </w:rPr>
              <w:t>2018</w:t>
            </w:r>
          </w:p>
        </w:tc>
        <w:tc>
          <w:tcPr>
            <w:tcW w:w="481" w:type="pct"/>
            <w:tcBorders>
              <w:top w:val="single" w:sz="4" w:space="0" w:color="auto"/>
              <w:left w:val="nil"/>
              <w:bottom w:val="single" w:sz="4" w:space="0" w:color="auto"/>
              <w:right w:val="single" w:sz="4" w:space="0" w:color="auto"/>
            </w:tcBorders>
            <w:shd w:val="clear" w:color="auto" w:fill="auto"/>
            <w:hideMark/>
          </w:tcPr>
          <w:p w14:paraId="170682C6" w14:textId="77777777" w:rsidR="001142D8" w:rsidRPr="0042463B" w:rsidRDefault="001142D8" w:rsidP="00E704CD">
            <w:pPr>
              <w:jc w:val="center"/>
              <w:rPr>
                <w:b/>
                <w:bCs/>
                <w:color w:val="000000"/>
                <w:sz w:val="20"/>
                <w:szCs w:val="20"/>
              </w:rPr>
            </w:pPr>
            <w:r w:rsidRPr="0042463B">
              <w:rPr>
                <w:b/>
                <w:bCs/>
                <w:color w:val="000000"/>
                <w:sz w:val="20"/>
                <w:szCs w:val="20"/>
              </w:rPr>
              <w:t>2019</w:t>
            </w:r>
          </w:p>
        </w:tc>
        <w:tc>
          <w:tcPr>
            <w:tcW w:w="481" w:type="pct"/>
            <w:tcBorders>
              <w:top w:val="single" w:sz="4" w:space="0" w:color="auto"/>
              <w:left w:val="nil"/>
              <w:bottom w:val="single" w:sz="4" w:space="0" w:color="auto"/>
              <w:right w:val="single" w:sz="4" w:space="0" w:color="auto"/>
            </w:tcBorders>
            <w:shd w:val="clear" w:color="auto" w:fill="auto"/>
            <w:hideMark/>
          </w:tcPr>
          <w:p w14:paraId="6FD399DA" w14:textId="77777777" w:rsidR="001142D8" w:rsidRPr="0042463B" w:rsidRDefault="001142D8" w:rsidP="00E704CD">
            <w:pPr>
              <w:jc w:val="center"/>
              <w:rPr>
                <w:b/>
                <w:bCs/>
                <w:color w:val="000000"/>
                <w:sz w:val="20"/>
                <w:szCs w:val="20"/>
              </w:rPr>
            </w:pPr>
            <w:r w:rsidRPr="0042463B">
              <w:rPr>
                <w:b/>
                <w:bCs/>
                <w:color w:val="000000"/>
                <w:sz w:val="20"/>
                <w:szCs w:val="20"/>
              </w:rPr>
              <w:t>2020</w:t>
            </w:r>
          </w:p>
        </w:tc>
        <w:tc>
          <w:tcPr>
            <w:tcW w:w="624" w:type="pct"/>
            <w:vMerge/>
            <w:tcBorders>
              <w:top w:val="single" w:sz="4" w:space="0" w:color="auto"/>
              <w:left w:val="single" w:sz="4" w:space="0" w:color="auto"/>
              <w:bottom w:val="single" w:sz="4" w:space="0" w:color="auto"/>
              <w:right w:val="single" w:sz="4" w:space="0" w:color="auto"/>
            </w:tcBorders>
            <w:hideMark/>
          </w:tcPr>
          <w:p w14:paraId="23C23BAE" w14:textId="77777777" w:rsidR="001142D8" w:rsidRPr="0042463B" w:rsidRDefault="001142D8" w:rsidP="001142D8">
            <w:pPr>
              <w:jc w:val="right"/>
              <w:rPr>
                <w:b/>
                <w:bCs/>
                <w:color w:val="000000"/>
                <w:sz w:val="20"/>
                <w:szCs w:val="20"/>
                <w:lang w:eastAsia="zh-CN"/>
              </w:rPr>
            </w:pPr>
          </w:p>
        </w:tc>
      </w:tr>
      <w:tr w:rsidR="00E83DA5" w:rsidRPr="0042463B" w14:paraId="20F14D33" w14:textId="77777777" w:rsidTr="00184696">
        <w:trPr>
          <w:trHeight w:val="71"/>
        </w:trPr>
        <w:tc>
          <w:tcPr>
            <w:tcW w:w="2258" w:type="pct"/>
            <w:tcBorders>
              <w:top w:val="single" w:sz="4" w:space="0" w:color="auto"/>
              <w:left w:val="single" w:sz="4" w:space="0" w:color="auto"/>
              <w:bottom w:val="single" w:sz="4" w:space="0" w:color="auto"/>
              <w:right w:val="single" w:sz="4" w:space="0" w:color="auto"/>
            </w:tcBorders>
            <w:shd w:val="clear" w:color="auto" w:fill="auto"/>
          </w:tcPr>
          <w:p w14:paraId="39AA5BD9" w14:textId="0C366F9D" w:rsidR="00E83DA5" w:rsidRPr="0042463B" w:rsidRDefault="007B1C49" w:rsidP="00E83DA5">
            <w:pPr>
              <w:jc w:val="left"/>
              <w:rPr>
                <w:color w:val="000000"/>
                <w:sz w:val="20"/>
                <w:szCs w:val="20"/>
              </w:rPr>
            </w:pPr>
            <w:r w:rsidRPr="0042463B">
              <w:rPr>
                <w:sz w:val="20"/>
                <w:szCs w:val="20"/>
              </w:rPr>
              <w:t>AGM</w:t>
            </w:r>
          </w:p>
        </w:tc>
        <w:tc>
          <w:tcPr>
            <w:tcW w:w="675" w:type="pct"/>
            <w:tcBorders>
              <w:top w:val="single" w:sz="4" w:space="0" w:color="auto"/>
              <w:left w:val="nil"/>
              <w:bottom w:val="single" w:sz="4" w:space="0" w:color="auto"/>
              <w:right w:val="single" w:sz="4" w:space="0" w:color="auto"/>
            </w:tcBorders>
            <w:shd w:val="clear" w:color="auto" w:fill="auto"/>
          </w:tcPr>
          <w:p w14:paraId="579270F7" w14:textId="77777777" w:rsidR="00E83DA5" w:rsidRPr="0042463B" w:rsidRDefault="00E83DA5" w:rsidP="00E83DA5">
            <w:pPr>
              <w:jc w:val="left"/>
              <w:rPr>
                <w:color w:val="000000"/>
                <w:sz w:val="20"/>
                <w:szCs w:val="20"/>
              </w:rPr>
            </w:pPr>
            <w:r w:rsidRPr="0042463B">
              <w:rPr>
                <w:color w:val="000000"/>
                <w:sz w:val="20"/>
                <w:szCs w:val="20"/>
              </w:rPr>
              <w:t>Mousse de PU</w:t>
            </w:r>
          </w:p>
        </w:tc>
        <w:tc>
          <w:tcPr>
            <w:tcW w:w="481" w:type="pct"/>
            <w:tcBorders>
              <w:top w:val="single" w:sz="4" w:space="0" w:color="auto"/>
              <w:left w:val="nil"/>
              <w:bottom w:val="single" w:sz="4" w:space="0" w:color="auto"/>
              <w:right w:val="single" w:sz="4" w:space="0" w:color="auto"/>
            </w:tcBorders>
            <w:shd w:val="clear" w:color="auto" w:fill="auto"/>
          </w:tcPr>
          <w:p w14:paraId="2804AB78" w14:textId="77777777" w:rsidR="00E83DA5" w:rsidRPr="0042463B" w:rsidRDefault="00E83DA5" w:rsidP="00E83DA5">
            <w:pPr>
              <w:ind w:firstLineChars="100" w:firstLine="200"/>
              <w:jc w:val="right"/>
              <w:rPr>
                <w:color w:val="000000"/>
                <w:sz w:val="20"/>
                <w:szCs w:val="20"/>
              </w:rPr>
            </w:pPr>
            <w:r w:rsidRPr="0042463B">
              <w:rPr>
                <w:color w:val="000000"/>
                <w:sz w:val="20"/>
                <w:szCs w:val="20"/>
              </w:rPr>
              <w:t>5,10</w:t>
            </w:r>
          </w:p>
        </w:tc>
        <w:tc>
          <w:tcPr>
            <w:tcW w:w="481" w:type="pct"/>
            <w:tcBorders>
              <w:top w:val="single" w:sz="4" w:space="0" w:color="auto"/>
              <w:left w:val="nil"/>
              <w:bottom w:val="single" w:sz="4" w:space="0" w:color="auto"/>
              <w:right w:val="single" w:sz="4" w:space="0" w:color="auto"/>
            </w:tcBorders>
            <w:shd w:val="clear" w:color="auto" w:fill="auto"/>
          </w:tcPr>
          <w:p w14:paraId="5632D81C" w14:textId="77777777" w:rsidR="00E83DA5" w:rsidRPr="0042463B" w:rsidRDefault="00E83DA5" w:rsidP="00E83DA5">
            <w:pPr>
              <w:ind w:firstLineChars="100" w:firstLine="200"/>
              <w:jc w:val="right"/>
              <w:rPr>
                <w:color w:val="000000"/>
                <w:sz w:val="20"/>
                <w:szCs w:val="20"/>
              </w:rPr>
            </w:pPr>
            <w:r w:rsidRPr="0042463B">
              <w:rPr>
                <w:color w:val="000000"/>
                <w:sz w:val="20"/>
                <w:szCs w:val="20"/>
              </w:rPr>
              <w:t>8,25</w:t>
            </w:r>
          </w:p>
        </w:tc>
        <w:tc>
          <w:tcPr>
            <w:tcW w:w="481" w:type="pct"/>
            <w:tcBorders>
              <w:top w:val="single" w:sz="4" w:space="0" w:color="auto"/>
              <w:left w:val="nil"/>
              <w:bottom w:val="single" w:sz="4" w:space="0" w:color="auto"/>
              <w:right w:val="single" w:sz="4" w:space="0" w:color="auto"/>
            </w:tcBorders>
            <w:shd w:val="clear" w:color="auto" w:fill="auto"/>
          </w:tcPr>
          <w:p w14:paraId="779988E1" w14:textId="77777777" w:rsidR="00E83DA5" w:rsidRPr="0042463B" w:rsidRDefault="00E83DA5" w:rsidP="00E83DA5">
            <w:pPr>
              <w:ind w:firstLineChars="100" w:firstLine="200"/>
              <w:jc w:val="right"/>
              <w:rPr>
                <w:color w:val="000000"/>
                <w:sz w:val="20"/>
                <w:szCs w:val="20"/>
              </w:rPr>
            </w:pPr>
            <w:r w:rsidRPr="0042463B">
              <w:rPr>
                <w:color w:val="000000"/>
                <w:sz w:val="20"/>
                <w:szCs w:val="20"/>
              </w:rPr>
              <w:t>10,14</w:t>
            </w:r>
          </w:p>
        </w:tc>
        <w:tc>
          <w:tcPr>
            <w:tcW w:w="624" w:type="pct"/>
            <w:tcBorders>
              <w:top w:val="single" w:sz="4" w:space="0" w:color="auto"/>
              <w:left w:val="nil"/>
              <w:bottom w:val="single" w:sz="4" w:space="0" w:color="auto"/>
              <w:right w:val="single" w:sz="4" w:space="0" w:color="auto"/>
            </w:tcBorders>
            <w:shd w:val="clear" w:color="auto" w:fill="auto"/>
            <w:noWrap/>
          </w:tcPr>
          <w:p w14:paraId="5825105B" w14:textId="77777777" w:rsidR="00E83DA5" w:rsidRPr="0042463B" w:rsidRDefault="00E83DA5" w:rsidP="00E83DA5">
            <w:pPr>
              <w:jc w:val="right"/>
              <w:rPr>
                <w:color w:val="000000"/>
                <w:sz w:val="20"/>
                <w:szCs w:val="20"/>
              </w:rPr>
            </w:pPr>
            <w:r w:rsidRPr="0042463B">
              <w:rPr>
                <w:color w:val="000000"/>
                <w:sz w:val="20"/>
                <w:szCs w:val="20"/>
              </w:rPr>
              <w:t>7,83</w:t>
            </w:r>
          </w:p>
        </w:tc>
      </w:tr>
      <w:tr w:rsidR="00E83DA5" w:rsidRPr="0042463B" w14:paraId="79B529F6" w14:textId="77777777" w:rsidTr="00184696">
        <w:trPr>
          <w:trHeight w:val="35"/>
        </w:trPr>
        <w:tc>
          <w:tcPr>
            <w:tcW w:w="2258" w:type="pct"/>
            <w:tcBorders>
              <w:top w:val="single" w:sz="4" w:space="0" w:color="auto"/>
              <w:left w:val="single" w:sz="4" w:space="0" w:color="auto"/>
              <w:bottom w:val="single" w:sz="4" w:space="0" w:color="auto"/>
              <w:right w:val="single" w:sz="4" w:space="0" w:color="auto"/>
            </w:tcBorders>
            <w:shd w:val="clear" w:color="auto" w:fill="auto"/>
            <w:hideMark/>
          </w:tcPr>
          <w:p w14:paraId="642B64B5" w14:textId="1D9F1CC1" w:rsidR="00E83DA5" w:rsidRPr="0042463B" w:rsidRDefault="007B1C49" w:rsidP="00E83DA5">
            <w:pPr>
              <w:jc w:val="left"/>
              <w:rPr>
                <w:color w:val="000000"/>
                <w:sz w:val="20"/>
                <w:szCs w:val="20"/>
              </w:rPr>
            </w:pPr>
            <w:r w:rsidRPr="0042463B">
              <w:rPr>
                <w:bCs/>
                <w:sz w:val="20"/>
                <w:szCs w:val="20"/>
              </w:rPr>
              <w:t>ARAC</w:t>
            </w:r>
          </w:p>
        </w:tc>
        <w:tc>
          <w:tcPr>
            <w:tcW w:w="675" w:type="pct"/>
            <w:tcBorders>
              <w:top w:val="single" w:sz="4" w:space="0" w:color="auto"/>
              <w:left w:val="nil"/>
              <w:bottom w:val="single" w:sz="4" w:space="0" w:color="auto"/>
              <w:right w:val="single" w:sz="4" w:space="0" w:color="auto"/>
            </w:tcBorders>
            <w:shd w:val="clear" w:color="auto" w:fill="auto"/>
            <w:hideMark/>
          </w:tcPr>
          <w:p w14:paraId="6FC36305" w14:textId="77777777" w:rsidR="00E83DA5" w:rsidRPr="0042463B" w:rsidRDefault="00E83DA5" w:rsidP="00E83DA5">
            <w:pPr>
              <w:jc w:val="left"/>
              <w:rPr>
                <w:color w:val="000000"/>
                <w:sz w:val="20"/>
                <w:szCs w:val="20"/>
              </w:rPr>
            </w:pPr>
            <w:r w:rsidRPr="0042463B">
              <w:rPr>
                <w:color w:val="000000"/>
                <w:sz w:val="20"/>
                <w:szCs w:val="20"/>
              </w:rPr>
              <w:t>Mousse de PU</w:t>
            </w:r>
          </w:p>
        </w:tc>
        <w:tc>
          <w:tcPr>
            <w:tcW w:w="481" w:type="pct"/>
            <w:tcBorders>
              <w:top w:val="single" w:sz="4" w:space="0" w:color="auto"/>
              <w:left w:val="nil"/>
              <w:bottom w:val="single" w:sz="4" w:space="0" w:color="auto"/>
              <w:right w:val="single" w:sz="4" w:space="0" w:color="auto"/>
            </w:tcBorders>
            <w:shd w:val="clear" w:color="auto" w:fill="auto"/>
            <w:hideMark/>
          </w:tcPr>
          <w:p w14:paraId="35BAACE8" w14:textId="77777777" w:rsidR="00E83DA5" w:rsidRPr="0042463B" w:rsidRDefault="00E83DA5" w:rsidP="00E83DA5">
            <w:pPr>
              <w:ind w:firstLineChars="100" w:firstLine="200"/>
              <w:jc w:val="right"/>
              <w:rPr>
                <w:color w:val="000000"/>
                <w:sz w:val="20"/>
                <w:szCs w:val="20"/>
              </w:rPr>
            </w:pPr>
            <w:r w:rsidRPr="0042463B">
              <w:rPr>
                <w:color w:val="000000"/>
                <w:sz w:val="20"/>
                <w:szCs w:val="20"/>
              </w:rPr>
              <w:t>1,60</w:t>
            </w:r>
          </w:p>
        </w:tc>
        <w:tc>
          <w:tcPr>
            <w:tcW w:w="481" w:type="pct"/>
            <w:tcBorders>
              <w:top w:val="single" w:sz="4" w:space="0" w:color="auto"/>
              <w:left w:val="nil"/>
              <w:bottom w:val="single" w:sz="4" w:space="0" w:color="auto"/>
              <w:right w:val="single" w:sz="4" w:space="0" w:color="auto"/>
            </w:tcBorders>
            <w:shd w:val="clear" w:color="auto" w:fill="auto"/>
            <w:hideMark/>
          </w:tcPr>
          <w:p w14:paraId="5587FDF2" w14:textId="77777777" w:rsidR="00E83DA5" w:rsidRPr="0042463B" w:rsidRDefault="00E83DA5" w:rsidP="00E83DA5">
            <w:pPr>
              <w:ind w:firstLineChars="100" w:firstLine="200"/>
              <w:jc w:val="right"/>
              <w:rPr>
                <w:color w:val="000000"/>
                <w:sz w:val="20"/>
                <w:szCs w:val="20"/>
              </w:rPr>
            </w:pPr>
            <w:r w:rsidRPr="0042463B">
              <w:rPr>
                <w:color w:val="000000"/>
                <w:sz w:val="20"/>
                <w:szCs w:val="20"/>
              </w:rPr>
              <w:t>2,00</w:t>
            </w:r>
          </w:p>
        </w:tc>
        <w:tc>
          <w:tcPr>
            <w:tcW w:w="481" w:type="pct"/>
            <w:tcBorders>
              <w:top w:val="single" w:sz="4" w:space="0" w:color="auto"/>
              <w:left w:val="nil"/>
              <w:bottom w:val="single" w:sz="4" w:space="0" w:color="auto"/>
              <w:right w:val="single" w:sz="4" w:space="0" w:color="auto"/>
            </w:tcBorders>
            <w:shd w:val="clear" w:color="auto" w:fill="auto"/>
            <w:hideMark/>
          </w:tcPr>
          <w:p w14:paraId="5D26198F" w14:textId="77777777" w:rsidR="00E83DA5" w:rsidRPr="0042463B" w:rsidRDefault="00E83DA5" w:rsidP="00E83DA5">
            <w:pPr>
              <w:ind w:firstLineChars="100" w:firstLine="200"/>
              <w:jc w:val="right"/>
              <w:rPr>
                <w:color w:val="000000"/>
                <w:sz w:val="20"/>
                <w:szCs w:val="20"/>
              </w:rPr>
            </w:pPr>
            <w:r w:rsidRPr="0042463B">
              <w:rPr>
                <w:color w:val="000000"/>
                <w:sz w:val="20"/>
                <w:szCs w:val="20"/>
              </w:rPr>
              <w:t>2,40</w:t>
            </w:r>
          </w:p>
        </w:tc>
        <w:tc>
          <w:tcPr>
            <w:tcW w:w="624" w:type="pct"/>
            <w:tcBorders>
              <w:top w:val="single" w:sz="4" w:space="0" w:color="auto"/>
              <w:left w:val="nil"/>
              <w:bottom w:val="single" w:sz="4" w:space="0" w:color="auto"/>
              <w:right w:val="single" w:sz="4" w:space="0" w:color="auto"/>
            </w:tcBorders>
            <w:shd w:val="clear" w:color="auto" w:fill="auto"/>
            <w:noWrap/>
            <w:hideMark/>
          </w:tcPr>
          <w:p w14:paraId="19AF6B54" w14:textId="77777777" w:rsidR="00E83DA5" w:rsidRPr="0042463B" w:rsidRDefault="00E83DA5" w:rsidP="00E83DA5">
            <w:pPr>
              <w:jc w:val="right"/>
              <w:rPr>
                <w:color w:val="000000"/>
                <w:sz w:val="20"/>
                <w:szCs w:val="20"/>
              </w:rPr>
            </w:pPr>
            <w:r w:rsidRPr="0042463B">
              <w:rPr>
                <w:color w:val="000000"/>
                <w:sz w:val="20"/>
                <w:szCs w:val="20"/>
              </w:rPr>
              <w:t>2,00</w:t>
            </w:r>
          </w:p>
        </w:tc>
      </w:tr>
      <w:tr w:rsidR="00E83DA5" w:rsidRPr="0042463B" w14:paraId="02A4F727" w14:textId="77777777" w:rsidTr="00184696">
        <w:trPr>
          <w:trHeight w:val="35"/>
        </w:trPr>
        <w:tc>
          <w:tcPr>
            <w:tcW w:w="2258" w:type="pct"/>
            <w:tcBorders>
              <w:top w:val="single" w:sz="4" w:space="0" w:color="auto"/>
              <w:left w:val="single" w:sz="4" w:space="0" w:color="auto"/>
              <w:bottom w:val="single" w:sz="4" w:space="0" w:color="auto"/>
              <w:right w:val="single" w:sz="4" w:space="0" w:color="auto"/>
            </w:tcBorders>
            <w:shd w:val="clear" w:color="auto" w:fill="auto"/>
            <w:hideMark/>
          </w:tcPr>
          <w:p w14:paraId="3617C844" w14:textId="51C0BA4D" w:rsidR="00E83DA5" w:rsidRPr="0042463B" w:rsidRDefault="003C79FE" w:rsidP="00E83DA5">
            <w:pPr>
              <w:jc w:val="left"/>
              <w:rPr>
                <w:color w:val="000000"/>
                <w:sz w:val="20"/>
                <w:szCs w:val="20"/>
              </w:rPr>
            </w:pPr>
            <w:r w:rsidRPr="0042463B">
              <w:rPr>
                <w:color w:val="000000"/>
                <w:sz w:val="20"/>
                <w:szCs w:val="20"/>
              </w:rPr>
              <w:t xml:space="preserve">Al </w:t>
            </w:r>
            <w:proofErr w:type="spellStart"/>
            <w:r w:rsidRPr="0042463B">
              <w:rPr>
                <w:color w:val="000000"/>
                <w:sz w:val="20"/>
                <w:szCs w:val="20"/>
              </w:rPr>
              <w:t>Khonaizi</w:t>
            </w:r>
            <w:proofErr w:type="spellEnd"/>
          </w:p>
        </w:tc>
        <w:tc>
          <w:tcPr>
            <w:tcW w:w="675" w:type="pct"/>
            <w:tcBorders>
              <w:top w:val="single" w:sz="4" w:space="0" w:color="auto"/>
              <w:left w:val="nil"/>
              <w:bottom w:val="single" w:sz="4" w:space="0" w:color="auto"/>
              <w:right w:val="single" w:sz="4" w:space="0" w:color="auto"/>
            </w:tcBorders>
            <w:shd w:val="clear" w:color="auto" w:fill="auto"/>
            <w:hideMark/>
          </w:tcPr>
          <w:p w14:paraId="496AA2F5" w14:textId="77777777" w:rsidR="00E83DA5" w:rsidRPr="0042463B" w:rsidRDefault="00E83DA5" w:rsidP="00E83DA5">
            <w:pPr>
              <w:jc w:val="left"/>
              <w:rPr>
                <w:color w:val="000000"/>
                <w:sz w:val="20"/>
                <w:szCs w:val="20"/>
              </w:rPr>
            </w:pPr>
            <w:r w:rsidRPr="0042463B">
              <w:rPr>
                <w:color w:val="000000"/>
                <w:sz w:val="20"/>
                <w:szCs w:val="20"/>
              </w:rPr>
              <w:t>Mousse pulvérisée</w:t>
            </w:r>
          </w:p>
        </w:tc>
        <w:tc>
          <w:tcPr>
            <w:tcW w:w="481" w:type="pct"/>
            <w:tcBorders>
              <w:top w:val="single" w:sz="4" w:space="0" w:color="auto"/>
              <w:left w:val="nil"/>
              <w:bottom w:val="single" w:sz="4" w:space="0" w:color="auto"/>
              <w:right w:val="single" w:sz="4" w:space="0" w:color="auto"/>
            </w:tcBorders>
            <w:shd w:val="clear" w:color="auto" w:fill="auto"/>
            <w:hideMark/>
          </w:tcPr>
          <w:p w14:paraId="1AFA6B12" w14:textId="77777777" w:rsidR="00E83DA5" w:rsidRPr="0042463B" w:rsidRDefault="00E83DA5" w:rsidP="00E83DA5">
            <w:pPr>
              <w:ind w:firstLineChars="100" w:firstLine="200"/>
              <w:jc w:val="right"/>
              <w:rPr>
                <w:color w:val="000000"/>
                <w:sz w:val="20"/>
                <w:szCs w:val="20"/>
              </w:rPr>
            </w:pPr>
            <w:r w:rsidRPr="0042463B">
              <w:rPr>
                <w:color w:val="000000"/>
                <w:sz w:val="20"/>
                <w:szCs w:val="20"/>
              </w:rPr>
              <w:t>4,03</w:t>
            </w:r>
          </w:p>
        </w:tc>
        <w:tc>
          <w:tcPr>
            <w:tcW w:w="481" w:type="pct"/>
            <w:tcBorders>
              <w:top w:val="single" w:sz="4" w:space="0" w:color="auto"/>
              <w:left w:val="nil"/>
              <w:bottom w:val="single" w:sz="4" w:space="0" w:color="auto"/>
              <w:right w:val="single" w:sz="4" w:space="0" w:color="auto"/>
            </w:tcBorders>
            <w:shd w:val="clear" w:color="auto" w:fill="auto"/>
            <w:hideMark/>
          </w:tcPr>
          <w:p w14:paraId="13EA51C1" w14:textId="77777777" w:rsidR="00E83DA5" w:rsidRPr="0042463B" w:rsidRDefault="00E83DA5" w:rsidP="00E83DA5">
            <w:pPr>
              <w:ind w:firstLineChars="100" w:firstLine="200"/>
              <w:jc w:val="right"/>
              <w:rPr>
                <w:color w:val="000000"/>
                <w:sz w:val="20"/>
                <w:szCs w:val="20"/>
              </w:rPr>
            </w:pPr>
            <w:r w:rsidRPr="0042463B">
              <w:rPr>
                <w:color w:val="000000"/>
                <w:sz w:val="20"/>
                <w:szCs w:val="20"/>
              </w:rPr>
              <w:t>1,65</w:t>
            </w:r>
          </w:p>
        </w:tc>
        <w:tc>
          <w:tcPr>
            <w:tcW w:w="481" w:type="pct"/>
            <w:tcBorders>
              <w:top w:val="single" w:sz="4" w:space="0" w:color="auto"/>
              <w:left w:val="nil"/>
              <w:bottom w:val="single" w:sz="4" w:space="0" w:color="auto"/>
              <w:right w:val="single" w:sz="4" w:space="0" w:color="auto"/>
            </w:tcBorders>
            <w:shd w:val="clear" w:color="auto" w:fill="auto"/>
            <w:hideMark/>
          </w:tcPr>
          <w:p w14:paraId="1F4F2624" w14:textId="77777777" w:rsidR="00E83DA5" w:rsidRPr="0042463B" w:rsidRDefault="00E83DA5" w:rsidP="00E83DA5">
            <w:pPr>
              <w:ind w:firstLineChars="100" w:firstLine="200"/>
              <w:jc w:val="right"/>
              <w:rPr>
                <w:color w:val="000000"/>
                <w:sz w:val="20"/>
                <w:szCs w:val="20"/>
              </w:rPr>
            </w:pPr>
            <w:r w:rsidRPr="0042463B">
              <w:rPr>
                <w:color w:val="000000"/>
                <w:sz w:val="20"/>
                <w:szCs w:val="20"/>
              </w:rPr>
              <w:t>1,42</w:t>
            </w:r>
          </w:p>
        </w:tc>
        <w:tc>
          <w:tcPr>
            <w:tcW w:w="624" w:type="pct"/>
            <w:tcBorders>
              <w:top w:val="single" w:sz="4" w:space="0" w:color="auto"/>
              <w:left w:val="nil"/>
              <w:bottom w:val="single" w:sz="4" w:space="0" w:color="auto"/>
              <w:right w:val="single" w:sz="4" w:space="0" w:color="auto"/>
            </w:tcBorders>
            <w:shd w:val="clear" w:color="auto" w:fill="auto"/>
            <w:noWrap/>
            <w:hideMark/>
          </w:tcPr>
          <w:p w14:paraId="3A77026E" w14:textId="77777777" w:rsidR="00E83DA5" w:rsidRPr="0042463B" w:rsidRDefault="00E83DA5" w:rsidP="00E83DA5">
            <w:pPr>
              <w:jc w:val="right"/>
              <w:rPr>
                <w:color w:val="000000"/>
                <w:sz w:val="20"/>
                <w:szCs w:val="20"/>
              </w:rPr>
            </w:pPr>
            <w:r w:rsidRPr="0042463B">
              <w:rPr>
                <w:color w:val="000000"/>
                <w:sz w:val="20"/>
                <w:szCs w:val="20"/>
              </w:rPr>
              <w:t>2,37</w:t>
            </w:r>
          </w:p>
        </w:tc>
      </w:tr>
      <w:tr w:rsidR="00E83DA5" w:rsidRPr="0042463B" w14:paraId="3897C6CE" w14:textId="77777777" w:rsidTr="00184696">
        <w:trPr>
          <w:trHeight w:val="89"/>
        </w:trPr>
        <w:tc>
          <w:tcPr>
            <w:tcW w:w="2258" w:type="pct"/>
            <w:tcBorders>
              <w:top w:val="single" w:sz="4" w:space="0" w:color="auto"/>
              <w:left w:val="single" w:sz="4" w:space="0" w:color="auto"/>
              <w:bottom w:val="single" w:sz="4" w:space="0" w:color="auto"/>
              <w:right w:val="single" w:sz="4" w:space="0" w:color="auto"/>
            </w:tcBorders>
            <w:shd w:val="clear" w:color="auto" w:fill="auto"/>
            <w:hideMark/>
          </w:tcPr>
          <w:p w14:paraId="0DAA47B2" w14:textId="3FE89A63" w:rsidR="00E83DA5" w:rsidRPr="0042463B" w:rsidRDefault="003C79FE" w:rsidP="00E83DA5">
            <w:pPr>
              <w:jc w:val="left"/>
              <w:rPr>
                <w:color w:val="000000"/>
                <w:sz w:val="20"/>
                <w:szCs w:val="20"/>
              </w:rPr>
            </w:pPr>
            <w:r w:rsidRPr="0042463B">
              <w:rPr>
                <w:color w:val="000000"/>
                <w:sz w:val="20"/>
                <w:szCs w:val="20"/>
              </w:rPr>
              <w:t xml:space="preserve">Al </w:t>
            </w:r>
            <w:proofErr w:type="spellStart"/>
            <w:r w:rsidRPr="0042463B">
              <w:rPr>
                <w:color w:val="000000"/>
                <w:sz w:val="20"/>
                <w:szCs w:val="20"/>
              </w:rPr>
              <w:t>Manai</w:t>
            </w:r>
            <w:proofErr w:type="spellEnd"/>
          </w:p>
        </w:tc>
        <w:tc>
          <w:tcPr>
            <w:tcW w:w="675" w:type="pct"/>
            <w:tcBorders>
              <w:top w:val="single" w:sz="4" w:space="0" w:color="auto"/>
              <w:left w:val="nil"/>
              <w:bottom w:val="single" w:sz="4" w:space="0" w:color="auto"/>
              <w:right w:val="single" w:sz="4" w:space="0" w:color="auto"/>
            </w:tcBorders>
            <w:shd w:val="clear" w:color="auto" w:fill="auto"/>
            <w:hideMark/>
          </w:tcPr>
          <w:p w14:paraId="588D37CE" w14:textId="77777777" w:rsidR="00E83DA5" w:rsidRPr="0042463B" w:rsidRDefault="00E83DA5" w:rsidP="00E83DA5">
            <w:pPr>
              <w:jc w:val="left"/>
              <w:rPr>
                <w:color w:val="000000"/>
                <w:sz w:val="20"/>
                <w:szCs w:val="20"/>
              </w:rPr>
            </w:pPr>
            <w:r w:rsidRPr="0042463B">
              <w:rPr>
                <w:color w:val="000000"/>
                <w:sz w:val="20"/>
                <w:szCs w:val="20"/>
              </w:rPr>
              <w:t>Mousse pulvérisée</w:t>
            </w:r>
          </w:p>
        </w:tc>
        <w:tc>
          <w:tcPr>
            <w:tcW w:w="481" w:type="pct"/>
            <w:tcBorders>
              <w:top w:val="single" w:sz="4" w:space="0" w:color="auto"/>
              <w:left w:val="nil"/>
              <w:bottom w:val="single" w:sz="4" w:space="0" w:color="auto"/>
              <w:right w:val="single" w:sz="4" w:space="0" w:color="auto"/>
            </w:tcBorders>
            <w:shd w:val="clear" w:color="auto" w:fill="auto"/>
            <w:hideMark/>
          </w:tcPr>
          <w:p w14:paraId="3CA2B6E6" w14:textId="77777777" w:rsidR="00E83DA5" w:rsidRPr="0042463B" w:rsidRDefault="00E83DA5" w:rsidP="00E83DA5">
            <w:pPr>
              <w:ind w:firstLineChars="100" w:firstLine="200"/>
              <w:jc w:val="right"/>
              <w:rPr>
                <w:color w:val="000000"/>
                <w:sz w:val="20"/>
                <w:szCs w:val="20"/>
              </w:rPr>
            </w:pPr>
            <w:r w:rsidRPr="0042463B">
              <w:rPr>
                <w:color w:val="000000"/>
                <w:sz w:val="20"/>
                <w:szCs w:val="20"/>
              </w:rPr>
              <w:t>0,79</w:t>
            </w:r>
          </w:p>
        </w:tc>
        <w:tc>
          <w:tcPr>
            <w:tcW w:w="481" w:type="pct"/>
            <w:tcBorders>
              <w:top w:val="single" w:sz="4" w:space="0" w:color="auto"/>
              <w:left w:val="nil"/>
              <w:bottom w:val="single" w:sz="4" w:space="0" w:color="auto"/>
              <w:right w:val="single" w:sz="4" w:space="0" w:color="auto"/>
            </w:tcBorders>
            <w:shd w:val="clear" w:color="auto" w:fill="auto"/>
            <w:hideMark/>
          </w:tcPr>
          <w:p w14:paraId="494F5FF5" w14:textId="77777777" w:rsidR="00E83DA5" w:rsidRPr="0042463B" w:rsidRDefault="00E83DA5" w:rsidP="00E83DA5">
            <w:pPr>
              <w:ind w:firstLineChars="100" w:firstLine="200"/>
              <w:jc w:val="right"/>
              <w:rPr>
                <w:color w:val="000000"/>
                <w:sz w:val="20"/>
                <w:szCs w:val="20"/>
              </w:rPr>
            </w:pPr>
            <w:r w:rsidRPr="0042463B">
              <w:rPr>
                <w:color w:val="000000"/>
                <w:sz w:val="20"/>
                <w:szCs w:val="20"/>
              </w:rPr>
              <w:t>-</w:t>
            </w:r>
          </w:p>
        </w:tc>
        <w:tc>
          <w:tcPr>
            <w:tcW w:w="481" w:type="pct"/>
            <w:tcBorders>
              <w:top w:val="single" w:sz="4" w:space="0" w:color="auto"/>
              <w:left w:val="nil"/>
              <w:bottom w:val="single" w:sz="4" w:space="0" w:color="auto"/>
              <w:right w:val="single" w:sz="4" w:space="0" w:color="auto"/>
            </w:tcBorders>
            <w:shd w:val="clear" w:color="auto" w:fill="auto"/>
            <w:hideMark/>
          </w:tcPr>
          <w:p w14:paraId="05212202" w14:textId="77777777" w:rsidR="00E83DA5" w:rsidRPr="0042463B" w:rsidRDefault="00E83DA5" w:rsidP="00E83DA5">
            <w:pPr>
              <w:ind w:firstLineChars="100" w:firstLine="200"/>
              <w:jc w:val="right"/>
              <w:rPr>
                <w:color w:val="000000"/>
                <w:sz w:val="20"/>
                <w:szCs w:val="20"/>
              </w:rPr>
            </w:pPr>
            <w:r w:rsidRPr="0042463B">
              <w:rPr>
                <w:color w:val="000000"/>
                <w:sz w:val="20"/>
                <w:szCs w:val="20"/>
              </w:rPr>
              <w:t>-</w:t>
            </w:r>
          </w:p>
        </w:tc>
        <w:tc>
          <w:tcPr>
            <w:tcW w:w="624" w:type="pct"/>
            <w:tcBorders>
              <w:top w:val="single" w:sz="4" w:space="0" w:color="auto"/>
              <w:left w:val="nil"/>
              <w:bottom w:val="single" w:sz="4" w:space="0" w:color="auto"/>
              <w:right w:val="single" w:sz="4" w:space="0" w:color="auto"/>
            </w:tcBorders>
            <w:shd w:val="clear" w:color="auto" w:fill="auto"/>
            <w:noWrap/>
            <w:hideMark/>
          </w:tcPr>
          <w:p w14:paraId="63225EB2" w14:textId="77777777" w:rsidR="00E83DA5" w:rsidRPr="0042463B" w:rsidRDefault="00E83DA5" w:rsidP="00E83DA5">
            <w:pPr>
              <w:jc w:val="right"/>
              <w:rPr>
                <w:color w:val="000000"/>
                <w:sz w:val="20"/>
                <w:szCs w:val="20"/>
              </w:rPr>
            </w:pPr>
            <w:r w:rsidRPr="0042463B">
              <w:rPr>
                <w:color w:val="000000"/>
                <w:sz w:val="20"/>
                <w:szCs w:val="20"/>
              </w:rPr>
              <w:t>0,26</w:t>
            </w:r>
          </w:p>
        </w:tc>
      </w:tr>
      <w:tr w:rsidR="00736048" w:rsidRPr="0042463B" w14:paraId="209B3B00" w14:textId="77777777" w:rsidTr="00184696">
        <w:trPr>
          <w:trHeight w:val="35"/>
        </w:trPr>
        <w:tc>
          <w:tcPr>
            <w:tcW w:w="2258" w:type="pct"/>
            <w:tcBorders>
              <w:top w:val="single" w:sz="4" w:space="0" w:color="auto"/>
              <w:left w:val="single" w:sz="4" w:space="0" w:color="auto"/>
              <w:bottom w:val="single" w:sz="4" w:space="0" w:color="auto"/>
              <w:right w:val="single" w:sz="4" w:space="0" w:color="auto"/>
            </w:tcBorders>
            <w:shd w:val="clear" w:color="auto" w:fill="auto"/>
            <w:noWrap/>
          </w:tcPr>
          <w:p w14:paraId="31B29525" w14:textId="77777777" w:rsidR="00736048" w:rsidRPr="0042463B" w:rsidRDefault="00736048" w:rsidP="00736048">
            <w:pPr>
              <w:jc w:val="left"/>
              <w:rPr>
                <w:b/>
                <w:color w:val="000000"/>
                <w:sz w:val="20"/>
                <w:szCs w:val="20"/>
              </w:rPr>
            </w:pPr>
            <w:r w:rsidRPr="0042463B">
              <w:rPr>
                <w:b/>
                <w:color w:val="000000"/>
                <w:sz w:val="20"/>
                <w:szCs w:val="20"/>
              </w:rPr>
              <w:t>Sous-total des entreprises admissibles</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2B106AC9" w14:textId="77777777" w:rsidR="00736048" w:rsidRPr="0042463B" w:rsidRDefault="00736048" w:rsidP="00736048">
            <w:pPr>
              <w:jc w:val="left"/>
              <w:rPr>
                <w:b/>
                <w:color w:val="000000"/>
                <w:sz w:val="20"/>
                <w:szCs w:val="20"/>
                <w:lang w:eastAsia="zh-CN"/>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DD594B" w14:textId="7428B197" w:rsidR="00736048" w:rsidRPr="0042463B" w:rsidRDefault="00736048" w:rsidP="00736048">
            <w:pPr>
              <w:jc w:val="right"/>
              <w:rPr>
                <w:b/>
                <w:color w:val="000000"/>
                <w:sz w:val="20"/>
                <w:szCs w:val="20"/>
              </w:rPr>
            </w:pPr>
            <w:r w:rsidRPr="0042463B">
              <w:rPr>
                <w:b/>
                <w:bCs/>
                <w:color w:val="000000"/>
                <w:sz w:val="20"/>
                <w:szCs w:val="20"/>
              </w:rPr>
              <w:t>11,52</w:t>
            </w: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B75588" w14:textId="5831DFE5" w:rsidR="00736048" w:rsidRPr="0042463B" w:rsidRDefault="00736048" w:rsidP="00736048">
            <w:pPr>
              <w:jc w:val="right"/>
              <w:rPr>
                <w:b/>
                <w:color w:val="000000"/>
                <w:sz w:val="20"/>
                <w:szCs w:val="20"/>
              </w:rPr>
            </w:pPr>
            <w:r w:rsidRPr="0042463B">
              <w:rPr>
                <w:b/>
                <w:bCs/>
                <w:color w:val="000000"/>
                <w:sz w:val="20"/>
                <w:szCs w:val="20"/>
              </w:rPr>
              <w:t>11,9</w:t>
            </w: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592097" w14:textId="0C673FB8" w:rsidR="00736048" w:rsidRPr="0042463B" w:rsidRDefault="00736048" w:rsidP="00736048">
            <w:pPr>
              <w:jc w:val="right"/>
              <w:rPr>
                <w:b/>
                <w:color w:val="000000"/>
                <w:sz w:val="20"/>
                <w:szCs w:val="20"/>
              </w:rPr>
            </w:pPr>
            <w:r w:rsidRPr="0042463B">
              <w:rPr>
                <w:b/>
                <w:bCs/>
                <w:color w:val="000000"/>
                <w:sz w:val="20"/>
                <w:szCs w:val="20"/>
              </w:rPr>
              <w:t>13,96</w:t>
            </w:r>
          </w:p>
        </w:tc>
        <w:tc>
          <w:tcPr>
            <w:tcW w:w="624" w:type="pct"/>
            <w:tcBorders>
              <w:top w:val="single" w:sz="4" w:space="0" w:color="auto"/>
              <w:left w:val="single" w:sz="4" w:space="0" w:color="auto"/>
              <w:bottom w:val="single" w:sz="4" w:space="0" w:color="auto"/>
              <w:right w:val="single" w:sz="4" w:space="0" w:color="auto"/>
            </w:tcBorders>
            <w:shd w:val="clear" w:color="auto" w:fill="auto"/>
            <w:noWrap/>
          </w:tcPr>
          <w:p w14:paraId="1B44270F" w14:textId="77777777" w:rsidR="00736048" w:rsidRPr="0042463B" w:rsidRDefault="00736048" w:rsidP="00736048">
            <w:pPr>
              <w:jc w:val="right"/>
              <w:rPr>
                <w:b/>
                <w:color w:val="000000"/>
                <w:sz w:val="20"/>
                <w:szCs w:val="20"/>
              </w:rPr>
            </w:pPr>
            <w:r w:rsidRPr="0042463B">
              <w:rPr>
                <w:b/>
                <w:color w:val="000000"/>
                <w:sz w:val="20"/>
                <w:szCs w:val="20"/>
              </w:rPr>
              <w:t>12,46</w:t>
            </w:r>
          </w:p>
        </w:tc>
      </w:tr>
      <w:tr w:rsidR="00736048" w:rsidRPr="0042463B" w14:paraId="1AC8B262" w14:textId="77777777" w:rsidTr="00184696">
        <w:trPr>
          <w:trHeight w:val="170"/>
        </w:trPr>
        <w:tc>
          <w:tcPr>
            <w:tcW w:w="2258" w:type="pct"/>
            <w:tcBorders>
              <w:top w:val="single" w:sz="4" w:space="0" w:color="auto"/>
              <w:left w:val="single" w:sz="4" w:space="0" w:color="auto"/>
              <w:bottom w:val="single" w:sz="4" w:space="0" w:color="auto"/>
              <w:right w:val="single" w:sz="4" w:space="0" w:color="auto"/>
            </w:tcBorders>
            <w:shd w:val="clear" w:color="auto" w:fill="auto"/>
            <w:noWrap/>
          </w:tcPr>
          <w:p w14:paraId="7E332C96" w14:textId="425C5C5B" w:rsidR="00736048" w:rsidRPr="0042463B" w:rsidRDefault="00736048" w:rsidP="00736048">
            <w:pPr>
              <w:jc w:val="left"/>
              <w:rPr>
                <w:color w:val="000000"/>
                <w:sz w:val="20"/>
                <w:szCs w:val="20"/>
              </w:rPr>
            </w:pPr>
            <w:r w:rsidRPr="0042463B">
              <w:rPr>
                <w:color w:val="000000"/>
                <w:sz w:val="20"/>
                <w:szCs w:val="20"/>
              </w:rPr>
              <w:t>Projet-cadre pour 35 entreprises de mousse pulvérisée non admissibles au financement</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0C428289" w14:textId="77777777" w:rsidR="00736048" w:rsidRPr="0042463B" w:rsidRDefault="00736048" w:rsidP="00736048">
            <w:pPr>
              <w:jc w:val="left"/>
              <w:rPr>
                <w:color w:val="000000"/>
                <w:sz w:val="20"/>
                <w:szCs w:val="20"/>
              </w:rPr>
            </w:pPr>
            <w:r w:rsidRPr="0042463B">
              <w:rPr>
                <w:color w:val="000000"/>
                <w:sz w:val="20"/>
                <w:szCs w:val="20"/>
              </w:rPr>
              <w:t>Mousse pulvérisée</w:t>
            </w:r>
          </w:p>
        </w:tc>
        <w:tc>
          <w:tcPr>
            <w:tcW w:w="481" w:type="pct"/>
            <w:tcBorders>
              <w:top w:val="single" w:sz="4" w:space="0" w:color="auto"/>
              <w:left w:val="single" w:sz="4" w:space="0" w:color="auto"/>
              <w:bottom w:val="single" w:sz="4" w:space="0" w:color="auto"/>
              <w:right w:val="single" w:sz="4" w:space="0" w:color="auto"/>
            </w:tcBorders>
            <w:shd w:val="clear" w:color="auto" w:fill="auto"/>
            <w:noWrap/>
          </w:tcPr>
          <w:p w14:paraId="6E9687FA" w14:textId="3157C2A4" w:rsidR="00736048" w:rsidRPr="0042463B" w:rsidRDefault="00736048" w:rsidP="00736048">
            <w:pPr>
              <w:jc w:val="right"/>
              <w:rPr>
                <w:color w:val="000000"/>
                <w:sz w:val="20"/>
                <w:szCs w:val="20"/>
              </w:rPr>
            </w:pPr>
            <w:r w:rsidRPr="0042463B">
              <w:rPr>
                <w:color w:val="000000"/>
                <w:sz w:val="20"/>
                <w:szCs w:val="20"/>
              </w:rPr>
              <w:t xml:space="preserve">180,92 </w:t>
            </w:r>
          </w:p>
        </w:tc>
        <w:tc>
          <w:tcPr>
            <w:tcW w:w="481" w:type="pct"/>
            <w:tcBorders>
              <w:top w:val="single" w:sz="4" w:space="0" w:color="auto"/>
              <w:left w:val="single" w:sz="4" w:space="0" w:color="auto"/>
              <w:bottom w:val="single" w:sz="4" w:space="0" w:color="auto"/>
              <w:right w:val="single" w:sz="4" w:space="0" w:color="auto"/>
            </w:tcBorders>
            <w:shd w:val="clear" w:color="auto" w:fill="auto"/>
            <w:noWrap/>
          </w:tcPr>
          <w:p w14:paraId="1FEB633B" w14:textId="38E97765" w:rsidR="00736048" w:rsidRPr="0042463B" w:rsidRDefault="00736048" w:rsidP="00736048">
            <w:pPr>
              <w:jc w:val="right"/>
              <w:rPr>
                <w:color w:val="000000"/>
                <w:sz w:val="20"/>
                <w:szCs w:val="20"/>
              </w:rPr>
            </w:pPr>
            <w:r w:rsidRPr="0042463B">
              <w:rPr>
                <w:color w:val="000000"/>
                <w:sz w:val="20"/>
                <w:szCs w:val="20"/>
              </w:rPr>
              <w:t xml:space="preserve">113,64 </w:t>
            </w:r>
          </w:p>
        </w:tc>
        <w:tc>
          <w:tcPr>
            <w:tcW w:w="481" w:type="pct"/>
            <w:tcBorders>
              <w:top w:val="single" w:sz="4" w:space="0" w:color="auto"/>
              <w:left w:val="single" w:sz="4" w:space="0" w:color="auto"/>
              <w:bottom w:val="single" w:sz="4" w:space="0" w:color="auto"/>
              <w:right w:val="single" w:sz="4" w:space="0" w:color="auto"/>
            </w:tcBorders>
            <w:shd w:val="clear" w:color="auto" w:fill="auto"/>
            <w:noWrap/>
          </w:tcPr>
          <w:p w14:paraId="244A8702" w14:textId="204C0FDA" w:rsidR="00736048" w:rsidRPr="0042463B" w:rsidRDefault="00736048" w:rsidP="00736048">
            <w:pPr>
              <w:jc w:val="right"/>
              <w:rPr>
                <w:color w:val="000000"/>
                <w:sz w:val="20"/>
                <w:szCs w:val="20"/>
              </w:rPr>
            </w:pPr>
            <w:r w:rsidRPr="0042463B">
              <w:rPr>
                <w:color w:val="000000"/>
                <w:sz w:val="20"/>
                <w:szCs w:val="20"/>
              </w:rPr>
              <w:t xml:space="preserve">75,86 </w:t>
            </w:r>
          </w:p>
        </w:tc>
        <w:tc>
          <w:tcPr>
            <w:tcW w:w="624" w:type="pct"/>
            <w:tcBorders>
              <w:top w:val="single" w:sz="4" w:space="0" w:color="auto"/>
              <w:left w:val="single" w:sz="4" w:space="0" w:color="auto"/>
              <w:bottom w:val="single" w:sz="4" w:space="0" w:color="auto"/>
              <w:right w:val="single" w:sz="4" w:space="0" w:color="auto"/>
            </w:tcBorders>
            <w:shd w:val="clear" w:color="auto" w:fill="auto"/>
            <w:noWrap/>
          </w:tcPr>
          <w:p w14:paraId="5A2A1085" w14:textId="4CF8E033" w:rsidR="00736048" w:rsidRPr="0042463B" w:rsidRDefault="00736048" w:rsidP="00736048">
            <w:pPr>
              <w:jc w:val="right"/>
              <w:rPr>
                <w:color w:val="000000"/>
                <w:sz w:val="20"/>
                <w:szCs w:val="20"/>
              </w:rPr>
            </w:pPr>
            <w:r w:rsidRPr="0042463B">
              <w:rPr>
                <w:color w:val="000000"/>
                <w:sz w:val="20"/>
                <w:szCs w:val="20"/>
              </w:rPr>
              <w:t>123,47</w:t>
            </w:r>
          </w:p>
        </w:tc>
      </w:tr>
      <w:tr w:rsidR="00184696" w:rsidRPr="0042463B" w14:paraId="78311A35" w14:textId="77777777" w:rsidTr="00184696">
        <w:trPr>
          <w:trHeight w:val="35"/>
        </w:trPr>
        <w:tc>
          <w:tcPr>
            <w:tcW w:w="29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20701AF1" w14:textId="77777777" w:rsidR="00184696" w:rsidRPr="0042463B" w:rsidRDefault="00184696" w:rsidP="00184696">
            <w:pPr>
              <w:jc w:val="left"/>
              <w:rPr>
                <w:b/>
                <w:color w:val="000000"/>
                <w:sz w:val="20"/>
                <w:szCs w:val="20"/>
              </w:rPr>
            </w:pPr>
            <w:r w:rsidRPr="0042463B">
              <w:rPr>
                <w:b/>
                <w:color w:val="000000"/>
                <w:sz w:val="20"/>
                <w:szCs w:val="20"/>
              </w:rPr>
              <w:t>Total</w:t>
            </w:r>
          </w:p>
        </w:tc>
        <w:tc>
          <w:tcPr>
            <w:tcW w:w="481" w:type="pct"/>
            <w:tcBorders>
              <w:top w:val="single" w:sz="4" w:space="0" w:color="auto"/>
              <w:left w:val="single" w:sz="4" w:space="0" w:color="auto"/>
              <w:bottom w:val="single" w:sz="4" w:space="0" w:color="auto"/>
              <w:right w:val="single" w:sz="4" w:space="0" w:color="auto"/>
            </w:tcBorders>
            <w:shd w:val="clear" w:color="auto" w:fill="auto"/>
            <w:noWrap/>
            <w:hideMark/>
          </w:tcPr>
          <w:p w14:paraId="07C65204" w14:textId="02BDE8A3" w:rsidR="00184696" w:rsidRPr="0042463B" w:rsidRDefault="00184696">
            <w:pPr>
              <w:jc w:val="right"/>
              <w:rPr>
                <w:b/>
                <w:color w:val="000000"/>
                <w:sz w:val="20"/>
                <w:szCs w:val="20"/>
              </w:rPr>
            </w:pPr>
            <w:r w:rsidRPr="0042463B">
              <w:rPr>
                <w:b/>
                <w:bCs/>
                <w:color w:val="000000"/>
                <w:sz w:val="20"/>
                <w:szCs w:val="20"/>
              </w:rPr>
              <w:t xml:space="preserve">192,44 </w:t>
            </w:r>
          </w:p>
        </w:tc>
        <w:tc>
          <w:tcPr>
            <w:tcW w:w="481" w:type="pct"/>
            <w:tcBorders>
              <w:top w:val="single" w:sz="4" w:space="0" w:color="auto"/>
              <w:left w:val="single" w:sz="4" w:space="0" w:color="auto"/>
              <w:bottom w:val="single" w:sz="4" w:space="0" w:color="auto"/>
              <w:right w:val="single" w:sz="4" w:space="0" w:color="auto"/>
            </w:tcBorders>
            <w:shd w:val="clear" w:color="auto" w:fill="auto"/>
            <w:noWrap/>
            <w:hideMark/>
          </w:tcPr>
          <w:p w14:paraId="5E451B59" w14:textId="4A925C1A" w:rsidR="00184696" w:rsidRPr="0042463B" w:rsidRDefault="00184696">
            <w:pPr>
              <w:jc w:val="right"/>
              <w:rPr>
                <w:b/>
                <w:color w:val="000000"/>
                <w:sz w:val="20"/>
                <w:szCs w:val="20"/>
              </w:rPr>
            </w:pPr>
            <w:r w:rsidRPr="0042463B">
              <w:rPr>
                <w:b/>
                <w:bCs/>
                <w:color w:val="000000"/>
                <w:sz w:val="20"/>
                <w:szCs w:val="20"/>
              </w:rPr>
              <w:t xml:space="preserve">125,54 </w:t>
            </w:r>
          </w:p>
        </w:tc>
        <w:tc>
          <w:tcPr>
            <w:tcW w:w="481" w:type="pct"/>
            <w:tcBorders>
              <w:top w:val="single" w:sz="4" w:space="0" w:color="auto"/>
              <w:left w:val="single" w:sz="4" w:space="0" w:color="auto"/>
              <w:bottom w:val="single" w:sz="4" w:space="0" w:color="auto"/>
              <w:right w:val="single" w:sz="4" w:space="0" w:color="auto"/>
            </w:tcBorders>
            <w:shd w:val="clear" w:color="auto" w:fill="auto"/>
            <w:noWrap/>
            <w:hideMark/>
          </w:tcPr>
          <w:p w14:paraId="1C371281" w14:textId="6BE435B3" w:rsidR="00184696" w:rsidRPr="0042463B" w:rsidRDefault="00184696">
            <w:pPr>
              <w:jc w:val="right"/>
              <w:rPr>
                <w:b/>
                <w:color w:val="000000"/>
                <w:sz w:val="20"/>
                <w:szCs w:val="20"/>
              </w:rPr>
            </w:pPr>
            <w:r w:rsidRPr="0042463B">
              <w:rPr>
                <w:b/>
                <w:bCs/>
                <w:color w:val="000000"/>
                <w:sz w:val="20"/>
                <w:szCs w:val="20"/>
              </w:rPr>
              <w:t xml:space="preserve">89,82 </w:t>
            </w:r>
          </w:p>
        </w:tc>
        <w:tc>
          <w:tcPr>
            <w:tcW w:w="624" w:type="pct"/>
            <w:tcBorders>
              <w:top w:val="single" w:sz="4" w:space="0" w:color="auto"/>
              <w:left w:val="single" w:sz="4" w:space="0" w:color="auto"/>
              <w:bottom w:val="single" w:sz="4" w:space="0" w:color="auto"/>
              <w:right w:val="single" w:sz="4" w:space="0" w:color="auto"/>
            </w:tcBorders>
            <w:shd w:val="clear" w:color="auto" w:fill="auto"/>
            <w:noWrap/>
            <w:hideMark/>
          </w:tcPr>
          <w:p w14:paraId="07CDAB4B" w14:textId="2CED0638" w:rsidR="00184696" w:rsidRPr="0042463B" w:rsidRDefault="00184696">
            <w:pPr>
              <w:jc w:val="right"/>
              <w:rPr>
                <w:b/>
                <w:color w:val="000000"/>
                <w:sz w:val="20"/>
                <w:szCs w:val="20"/>
              </w:rPr>
            </w:pPr>
            <w:r w:rsidRPr="0042463B">
              <w:rPr>
                <w:b/>
                <w:bCs/>
                <w:color w:val="000000"/>
                <w:sz w:val="20"/>
                <w:szCs w:val="20"/>
              </w:rPr>
              <w:t xml:space="preserve">135,93 </w:t>
            </w:r>
          </w:p>
        </w:tc>
      </w:tr>
    </w:tbl>
    <w:p w14:paraId="353965F8" w14:textId="77777777" w:rsidR="00B54E1C" w:rsidRPr="0042463B" w:rsidRDefault="00B54E1C" w:rsidP="00844373">
      <w:pPr>
        <w:rPr>
          <w:lang w:eastAsia="zh-CN"/>
        </w:rPr>
      </w:pPr>
    </w:p>
    <w:p w14:paraId="137E62F9" w14:textId="28CB0000" w:rsidR="00A24F61" w:rsidRPr="0042463B" w:rsidRDefault="007D3400" w:rsidP="00A334FF">
      <w:pPr>
        <w:pStyle w:val="Heading1"/>
      </w:pPr>
      <w:r w:rsidRPr="0042463B">
        <w:t xml:space="preserve">AGM et ARAC ont sélectionné le HFO comme technologie de remplacement pour la conversion de la mousse isolante de PU rigide en fonction de la considération qu’il s’agit d’une technologie à faible PRG bien établie. La technologie d’expansion à l’eau sera utilisée pour la conversion dans la fabrication de la mousse pulvérisée pour deux entreprises de mousse pulvérisée admissibles. Le choix de la technologie n’est pas connu pour les autres entreprises du secteur des mousses non admissibles au financement; cependant, les technologies à faible PRG seront encouragées grâce à l’assistance technique et à la sensibilisation. </w:t>
      </w:r>
    </w:p>
    <w:p w14:paraId="72A7AE57" w14:textId="0129A0F4" w:rsidR="0087013C" w:rsidRPr="0042463B" w:rsidRDefault="00144A6D" w:rsidP="00545B7A">
      <w:pPr>
        <w:pStyle w:val="Heading1"/>
      </w:pPr>
      <w:r w:rsidRPr="0042463B">
        <w:t xml:space="preserve">Les surcoûts comprennent l’approvisionnement d’une unité de formation de mousse pulvérisée chacune pour Al </w:t>
      </w:r>
      <w:proofErr w:type="spellStart"/>
      <w:r w:rsidRPr="0042463B">
        <w:t>Khonaizi</w:t>
      </w:r>
      <w:proofErr w:type="spellEnd"/>
      <w:r w:rsidRPr="0042463B">
        <w:t xml:space="preserve"> et </w:t>
      </w:r>
      <w:r w:rsidRPr="0042463B">
        <w:rPr>
          <w:color w:val="000000"/>
        </w:rPr>
        <w:t xml:space="preserve">Al </w:t>
      </w:r>
      <w:proofErr w:type="spellStart"/>
      <w:r w:rsidRPr="0042463B">
        <w:rPr>
          <w:color w:val="000000"/>
        </w:rPr>
        <w:t>Manai</w:t>
      </w:r>
      <w:proofErr w:type="spellEnd"/>
      <w:r w:rsidRPr="0042463B">
        <w:t xml:space="preserve">, le soutien technique d’un expert, des ateliers, la formation des techniciens pour faire fonctionner le nouvel équipement, et le coût des substances chimiques et du matériel consommable. Pour les plus petits utilisateurs de mousse pulvérisée qui ne sont pas admissibles au financement, la TA sera offerte grâce à des ateliers de formation et des essais pour explorer des solutions de remplacement faisables et respectueuses de l’environnement, ainsi que des mesures juridiques pour accélérer la transition du sous-secteur. Le coût total du projet a été calculé </w:t>
      </w:r>
      <w:r w:rsidR="000F59B2" w:rsidRPr="0042463B">
        <w:t>pour un</w:t>
      </w:r>
      <w:r w:rsidRPr="0042463B">
        <w:t xml:space="preserve"> montant de 116 999 $ US pour éliminer 12,46 </w:t>
      </w:r>
      <w:proofErr w:type="spellStart"/>
      <w:r w:rsidRPr="0042463B">
        <w:t>tm</w:t>
      </w:r>
      <w:proofErr w:type="spellEnd"/>
      <w:r w:rsidRPr="0042463B">
        <w:t xml:space="preserve"> de HCFC-141b contenu dans les polyols </w:t>
      </w:r>
      <w:proofErr w:type="spellStart"/>
      <w:r w:rsidRPr="0042463B">
        <w:t>prémélangés</w:t>
      </w:r>
      <w:proofErr w:type="spellEnd"/>
      <w:r w:rsidRPr="0042463B">
        <w:t xml:space="preserve"> importés dans quatre entreprises, comme l’indique le Tableau 6, avec un rapport coût-efficacité (CE) de 9,39 $ US/kg. La mise en œuvre du projet-cadre éliminera aussi la consommation dans 35 entreprises non admissibles afin d’éliminer entièrement l’utilisation du HCFC-141b contenu dans les polyols </w:t>
      </w:r>
      <w:proofErr w:type="spellStart"/>
      <w:r w:rsidRPr="0042463B">
        <w:t>prémélangés</w:t>
      </w:r>
      <w:proofErr w:type="spellEnd"/>
      <w:r w:rsidRPr="0042463B">
        <w:t xml:space="preserve"> importés à Bahreïn.</w:t>
      </w:r>
    </w:p>
    <w:p w14:paraId="25D82F2D" w14:textId="3F710A58" w:rsidR="00A24F61" w:rsidRPr="0042463B" w:rsidRDefault="00135846" w:rsidP="00767209">
      <w:pPr>
        <w:pStyle w:val="Heading1"/>
        <w:keepNext/>
        <w:numPr>
          <w:ilvl w:val="0"/>
          <w:numId w:val="0"/>
        </w:numPr>
        <w:spacing w:after="0"/>
        <w:rPr>
          <w:b/>
        </w:rPr>
      </w:pPr>
      <w:r w:rsidRPr="0042463B">
        <w:rPr>
          <w:b/>
        </w:rPr>
        <w:lastRenderedPageBreak/>
        <w:t>Tableau 6. Surcoûts du projet-cadre tel que présenté ($ US)</w:t>
      </w:r>
    </w:p>
    <w:tbl>
      <w:tblPr>
        <w:tblW w:w="5000" w:type="pct"/>
        <w:tblLayout w:type="fixed"/>
        <w:tblLook w:val="04A0" w:firstRow="1" w:lastRow="0" w:firstColumn="1" w:lastColumn="0" w:noHBand="0" w:noVBand="1"/>
      </w:tblPr>
      <w:tblGrid>
        <w:gridCol w:w="7731"/>
        <w:gridCol w:w="1619"/>
      </w:tblGrid>
      <w:tr w:rsidR="00A24F61" w:rsidRPr="0042463B" w14:paraId="62F60F85" w14:textId="77777777" w:rsidTr="009B632C">
        <w:trPr>
          <w:trHeight w:val="37"/>
        </w:trPr>
        <w:tc>
          <w:tcPr>
            <w:tcW w:w="4134" w:type="pct"/>
            <w:tcBorders>
              <w:top w:val="single" w:sz="4" w:space="0" w:color="auto"/>
              <w:left w:val="single" w:sz="4" w:space="0" w:color="auto"/>
              <w:bottom w:val="single" w:sz="4" w:space="0" w:color="auto"/>
              <w:right w:val="single" w:sz="4" w:space="0" w:color="auto"/>
            </w:tcBorders>
            <w:shd w:val="clear" w:color="auto" w:fill="auto"/>
            <w:noWrap/>
            <w:hideMark/>
          </w:tcPr>
          <w:p w14:paraId="719696A7" w14:textId="77777777" w:rsidR="00A24F61" w:rsidRPr="0042463B" w:rsidRDefault="00A24F61" w:rsidP="00767209">
            <w:pPr>
              <w:keepNext/>
              <w:jc w:val="center"/>
              <w:rPr>
                <w:b/>
                <w:bCs/>
                <w:color w:val="000000"/>
                <w:sz w:val="20"/>
                <w:szCs w:val="20"/>
              </w:rPr>
            </w:pPr>
            <w:r w:rsidRPr="0042463B">
              <w:rPr>
                <w:b/>
                <w:bCs/>
                <w:color w:val="000000"/>
                <w:sz w:val="20"/>
                <w:szCs w:val="20"/>
              </w:rPr>
              <w:t>Description des coûts</w:t>
            </w:r>
          </w:p>
        </w:tc>
        <w:tc>
          <w:tcPr>
            <w:tcW w:w="866" w:type="pct"/>
            <w:tcBorders>
              <w:top w:val="single" w:sz="4" w:space="0" w:color="auto"/>
              <w:left w:val="nil"/>
              <w:bottom w:val="single" w:sz="4" w:space="0" w:color="auto"/>
              <w:right w:val="single" w:sz="4" w:space="0" w:color="auto"/>
            </w:tcBorders>
            <w:shd w:val="clear" w:color="auto" w:fill="auto"/>
            <w:noWrap/>
            <w:hideMark/>
          </w:tcPr>
          <w:p w14:paraId="391E858C" w14:textId="77777777" w:rsidR="00A24F61" w:rsidRPr="0042463B" w:rsidRDefault="00A24F61" w:rsidP="00767209">
            <w:pPr>
              <w:keepNext/>
              <w:jc w:val="center"/>
              <w:rPr>
                <w:b/>
                <w:bCs/>
                <w:color w:val="000000"/>
                <w:sz w:val="20"/>
                <w:szCs w:val="20"/>
              </w:rPr>
            </w:pPr>
            <w:r w:rsidRPr="0042463B">
              <w:rPr>
                <w:b/>
                <w:bCs/>
                <w:color w:val="000000"/>
                <w:sz w:val="20"/>
                <w:szCs w:val="20"/>
              </w:rPr>
              <w:t>Coût total</w:t>
            </w:r>
          </w:p>
        </w:tc>
      </w:tr>
      <w:tr w:rsidR="00A24F61" w:rsidRPr="0042463B" w14:paraId="38BC1414" w14:textId="77777777" w:rsidTr="008177A4">
        <w:tc>
          <w:tcPr>
            <w:tcW w:w="4134" w:type="pct"/>
            <w:tcBorders>
              <w:top w:val="nil"/>
              <w:left w:val="single" w:sz="4" w:space="0" w:color="auto"/>
              <w:bottom w:val="single" w:sz="4" w:space="0" w:color="auto"/>
              <w:right w:val="single" w:sz="4" w:space="0" w:color="auto"/>
            </w:tcBorders>
            <w:shd w:val="clear" w:color="auto" w:fill="auto"/>
            <w:noWrap/>
            <w:hideMark/>
          </w:tcPr>
          <w:p w14:paraId="14BE3BFC" w14:textId="5302ABDF" w:rsidR="00A24F61" w:rsidRPr="0042463B" w:rsidRDefault="00A24F61" w:rsidP="00767209">
            <w:pPr>
              <w:keepNext/>
              <w:jc w:val="left"/>
              <w:rPr>
                <w:color w:val="000000"/>
                <w:sz w:val="20"/>
                <w:szCs w:val="20"/>
              </w:rPr>
            </w:pPr>
            <w:r w:rsidRPr="0042463B">
              <w:rPr>
                <w:color w:val="000000"/>
                <w:sz w:val="20"/>
                <w:szCs w:val="20"/>
              </w:rPr>
              <w:t>Entreprise de formulation/atelier de soutien technique de l’ONUDI</w:t>
            </w:r>
          </w:p>
        </w:tc>
        <w:tc>
          <w:tcPr>
            <w:tcW w:w="866" w:type="pct"/>
            <w:tcBorders>
              <w:top w:val="nil"/>
              <w:left w:val="nil"/>
              <w:bottom w:val="single" w:sz="4" w:space="0" w:color="auto"/>
              <w:right w:val="single" w:sz="4" w:space="0" w:color="auto"/>
            </w:tcBorders>
            <w:shd w:val="clear" w:color="auto" w:fill="auto"/>
            <w:noWrap/>
            <w:tcMar>
              <w:left w:w="115" w:type="dxa"/>
              <w:right w:w="202" w:type="dxa"/>
            </w:tcMar>
            <w:hideMark/>
          </w:tcPr>
          <w:p w14:paraId="610FDDC7" w14:textId="77777777" w:rsidR="00A24F61" w:rsidRPr="0042463B" w:rsidRDefault="00A24F61" w:rsidP="00767209">
            <w:pPr>
              <w:keepNext/>
              <w:jc w:val="right"/>
              <w:rPr>
                <w:color w:val="000000"/>
                <w:sz w:val="20"/>
                <w:szCs w:val="20"/>
              </w:rPr>
            </w:pPr>
            <w:r w:rsidRPr="0042463B">
              <w:rPr>
                <w:color w:val="000000"/>
                <w:sz w:val="20"/>
                <w:szCs w:val="20"/>
              </w:rPr>
              <w:t>20 000</w:t>
            </w:r>
          </w:p>
        </w:tc>
      </w:tr>
      <w:tr w:rsidR="00A24F61" w:rsidRPr="0042463B" w14:paraId="3E7EF902" w14:textId="77777777" w:rsidTr="008177A4">
        <w:tc>
          <w:tcPr>
            <w:tcW w:w="4134" w:type="pct"/>
            <w:tcBorders>
              <w:top w:val="nil"/>
              <w:left w:val="single" w:sz="4" w:space="0" w:color="auto"/>
              <w:bottom w:val="single" w:sz="4" w:space="0" w:color="auto"/>
              <w:right w:val="single" w:sz="4" w:space="0" w:color="auto"/>
            </w:tcBorders>
            <w:shd w:val="clear" w:color="auto" w:fill="auto"/>
            <w:noWrap/>
            <w:hideMark/>
          </w:tcPr>
          <w:p w14:paraId="225B159D" w14:textId="77777777" w:rsidR="00A24F61" w:rsidRPr="0042463B" w:rsidRDefault="00A24F61" w:rsidP="004B6B1A">
            <w:pPr>
              <w:jc w:val="left"/>
              <w:rPr>
                <w:color w:val="000000"/>
                <w:sz w:val="20"/>
                <w:szCs w:val="20"/>
              </w:rPr>
            </w:pPr>
            <w:r w:rsidRPr="0042463B">
              <w:rPr>
                <w:color w:val="000000"/>
                <w:sz w:val="20"/>
                <w:szCs w:val="20"/>
              </w:rPr>
              <w:t>Unités de mousse pulvérisée avec accessoires</w:t>
            </w:r>
          </w:p>
        </w:tc>
        <w:tc>
          <w:tcPr>
            <w:tcW w:w="866" w:type="pct"/>
            <w:tcBorders>
              <w:top w:val="nil"/>
              <w:left w:val="nil"/>
              <w:bottom w:val="single" w:sz="4" w:space="0" w:color="auto"/>
              <w:right w:val="single" w:sz="4" w:space="0" w:color="auto"/>
            </w:tcBorders>
            <w:shd w:val="clear" w:color="auto" w:fill="auto"/>
            <w:noWrap/>
            <w:tcMar>
              <w:left w:w="115" w:type="dxa"/>
              <w:right w:w="202" w:type="dxa"/>
            </w:tcMar>
            <w:hideMark/>
          </w:tcPr>
          <w:p w14:paraId="1B58F36A" w14:textId="77777777" w:rsidR="00A24F61" w:rsidRPr="0042463B" w:rsidRDefault="00A24F61" w:rsidP="004B6B1A">
            <w:pPr>
              <w:jc w:val="right"/>
              <w:rPr>
                <w:color w:val="000000"/>
                <w:sz w:val="20"/>
                <w:szCs w:val="20"/>
              </w:rPr>
            </w:pPr>
            <w:r w:rsidRPr="0042463B">
              <w:rPr>
                <w:color w:val="000000"/>
                <w:sz w:val="20"/>
                <w:szCs w:val="20"/>
              </w:rPr>
              <w:t>22 175</w:t>
            </w:r>
          </w:p>
        </w:tc>
      </w:tr>
      <w:tr w:rsidR="00A24F61" w:rsidRPr="0042463B" w14:paraId="707D985B" w14:textId="77777777" w:rsidTr="008177A4">
        <w:tc>
          <w:tcPr>
            <w:tcW w:w="4134" w:type="pct"/>
            <w:tcBorders>
              <w:top w:val="nil"/>
              <w:left w:val="single" w:sz="4" w:space="0" w:color="auto"/>
              <w:bottom w:val="single" w:sz="4" w:space="0" w:color="auto"/>
              <w:right w:val="single" w:sz="4" w:space="0" w:color="auto"/>
            </w:tcBorders>
            <w:shd w:val="clear" w:color="auto" w:fill="auto"/>
            <w:noWrap/>
            <w:hideMark/>
          </w:tcPr>
          <w:p w14:paraId="282390DA" w14:textId="77777777" w:rsidR="00A24F61" w:rsidRPr="0042463B" w:rsidRDefault="00A24F61" w:rsidP="004B6B1A">
            <w:pPr>
              <w:jc w:val="left"/>
              <w:rPr>
                <w:color w:val="000000"/>
                <w:sz w:val="20"/>
                <w:szCs w:val="20"/>
              </w:rPr>
            </w:pPr>
            <w:r w:rsidRPr="0042463B">
              <w:rPr>
                <w:color w:val="000000"/>
                <w:sz w:val="20"/>
                <w:szCs w:val="20"/>
              </w:rPr>
              <w:t>Substances chimiques et matériaux de test pour les essais de chaque projet de conversion</w:t>
            </w:r>
          </w:p>
        </w:tc>
        <w:tc>
          <w:tcPr>
            <w:tcW w:w="866" w:type="pct"/>
            <w:tcBorders>
              <w:top w:val="nil"/>
              <w:left w:val="nil"/>
              <w:bottom w:val="single" w:sz="4" w:space="0" w:color="auto"/>
              <w:right w:val="single" w:sz="4" w:space="0" w:color="auto"/>
            </w:tcBorders>
            <w:shd w:val="clear" w:color="auto" w:fill="auto"/>
            <w:noWrap/>
            <w:tcMar>
              <w:left w:w="115" w:type="dxa"/>
              <w:right w:w="202" w:type="dxa"/>
            </w:tcMar>
            <w:hideMark/>
          </w:tcPr>
          <w:p w14:paraId="7778CDD7" w14:textId="77777777" w:rsidR="00A24F61" w:rsidRPr="0042463B" w:rsidRDefault="00A24F61" w:rsidP="004B6B1A">
            <w:pPr>
              <w:jc w:val="right"/>
              <w:rPr>
                <w:color w:val="000000"/>
                <w:sz w:val="20"/>
                <w:szCs w:val="20"/>
              </w:rPr>
            </w:pPr>
            <w:r w:rsidRPr="0042463B">
              <w:rPr>
                <w:color w:val="000000"/>
                <w:sz w:val="20"/>
                <w:szCs w:val="20"/>
              </w:rPr>
              <w:t>25 424</w:t>
            </w:r>
          </w:p>
        </w:tc>
      </w:tr>
      <w:tr w:rsidR="00A24F61" w:rsidRPr="0042463B" w14:paraId="258FCA47" w14:textId="77777777" w:rsidTr="008177A4">
        <w:tc>
          <w:tcPr>
            <w:tcW w:w="4134" w:type="pct"/>
            <w:tcBorders>
              <w:top w:val="nil"/>
              <w:left w:val="single" w:sz="4" w:space="0" w:color="auto"/>
              <w:bottom w:val="single" w:sz="4" w:space="0" w:color="auto"/>
              <w:right w:val="single" w:sz="4" w:space="0" w:color="auto"/>
            </w:tcBorders>
            <w:shd w:val="clear" w:color="auto" w:fill="auto"/>
            <w:noWrap/>
            <w:hideMark/>
          </w:tcPr>
          <w:p w14:paraId="1D4AC097" w14:textId="34DC9E01" w:rsidR="00A24F61" w:rsidRPr="0042463B" w:rsidRDefault="00A24F61" w:rsidP="00561DA1">
            <w:pPr>
              <w:jc w:val="left"/>
              <w:rPr>
                <w:color w:val="000000"/>
                <w:sz w:val="20"/>
                <w:szCs w:val="20"/>
              </w:rPr>
            </w:pPr>
            <w:r w:rsidRPr="0042463B">
              <w:rPr>
                <w:color w:val="000000"/>
                <w:sz w:val="20"/>
                <w:szCs w:val="20"/>
              </w:rPr>
              <w:t>Formation du soutien technique aux techniciens (AGM, ARAC et utilisateurs de mousse pulvérisée)</w:t>
            </w:r>
          </w:p>
        </w:tc>
        <w:tc>
          <w:tcPr>
            <w:tcW w:w="866" w:type="pct"/>
            <w:tcBorders>
              <w:top w:val="nil"/>
              <w:left w:val="nil"/>
              <w:bottom w:val="single" w:sz="4" w:space="0" w:color="auto"/>
              <w:right w:val="single" w:sz="4" w:space="0" w:color="auto"/>
            </w:tcBorders>
            <w:shd w:val="clear" w:color="auto" w:fill="auto"/>
            <w:noWrap/>
            <w:tcMar>
              <w:left w:w="115" w:type="dxa"/>
              <w:right w:w="202" w:type="dxa"/>
            </w:tcMar>
            <w:hideMark/>
          </w:tcPr>
          <w:p w14:paraId="57CB1920" w14:textId="77777777" w:rsidR="00A24F61" w:rsidRPr="0042463B" w:rsidRDefault="00A24F61" w:rsidP="004B6B1A">
            <w:pPr>
              <w:jc w:val="right"/>
              <w:rPr>
                <w:color w:val="000000"/>
                <w:sz w:val="20"/>
                <w:szCs w:val="20"/>
              </w:rPr>
            </w:pPr>
            <w:r w:rsidRPr="0042463B">
              <w:rPr>
                <w:color w:val="000000"/>
                <w:sz w:val="20"/>
                <w:szCs w:val="20"/>
              </w:rPr>
              <w:t>40 000</w:t>
            </w:r>
          </w:p>
        </w:tc>
      </w:tr>
      <w:tr w:rsidR="00A24F61" w:rsidRPr="0042463B" w14:paraId="57A3F2B5" w14:textId="77777777" w:rsidTr="008177A4">
        <w:tc>
          <w:tcPr>
            <w:tcW w:w="4134" w:type="pct"/>
            <w:tcBorders>
              <w:top w:val="nil"/>
              <w:left w:val="single" w:sz="4" w:space="0" w:color="auto"/>
              <w:bottom w:val="single" w:sz="4" w:space="0" w:color="auto"/>
              <w:right w:val="single" w:sz="4" w:space="0" w:color="auto"/>
            </w:tcBorders>
            <w:shd w:val="clear" w:color="auto" w:fill="auto"/>
            <w:hideMark/>
          </w:tcPr>
          <w:p w14:paraId="184FBD9E" w14:textId="5E105CDB" w:rsidR="00A24F61" w:rsidRPr="0042463B" w:rsidRDefault="00A24F61" w:rsidP="009B632C">
            <w:pPr>
              <w:jc w:val="left"/>
              <w:rPr>
                <w:color w:val="000000"/>
                <w:sz w:val="20"/>
                <w:szCs w:val="20"/>
              </w:rPr>
            </w:pPr>
            <w:r w:rsidRPr="0042463B">
              <w:rPr>
                <w:color w:val="000000"/>
                <w:sz w:val="20"/>
                <w:szCs w:val="20"/>
              </w:rPr>
              <w:t>Soutien pour les participants, matériel consommable pour les ateliers de formation au centre de formation (p. ex., documents techniques imprimés, logistique locale).</w:t>
            </w:r>
          </w:p>
        </w:tc>
        <w:tc>
          <w:tcPr>
            <w:tcW w:w="866" w:type="pct"/>
            <w:tcBorders>
              <w:top w:val="nil"/>
              <w:left w:val="nil"/>
              <w:bottom w:val="single" w:sz="4" w:space="0" w:color="auto"/>
              <w:right w:val="single" w:sz="4" w:space="0" w:color="auto"/>
            </w:tcBorders>
            <w:shd w:val="clear" w:color="auto" w:fill="auto"/>
            <w:noWrap/>
            <w:tcMar>
              <w:left w:w="115" w:type="dxa"/>
              <w:right w:w="202" w:type="dxa"/>
            </w:tcMar>
            <w:hideMark/>
          </w:tcPr>
          <w:p w14:paraId="462A163D" w14:textId="77777777" w:rsidR="00A24F61" w:rsidRPr="0042463B" w:rsidRDefault="00A24F61" w:rsidP="004B6B1A">
            <w:pPr>
              <w:jc w:val="right"/>
              <w:rPr>
                <w:color w:val="000000"/>
                <w:sz w:val="20"/>
                <w:szCs w:val="20"/>
              </w:rPr>
            </w:pPr>
            <w:r w:rsidRPr="0042463B">
              <w:rPr>
                <w:color w:val="000000"/>
                <w:sz w:val="20"/>
                <w:szCs w:val="20"/>
              </w:rPr>
              <w:t>7 000</w:t>
            </w:r>
          </w:p>
        </w:tc>
      </w:tr>
      <w:tr w:rsidR="00A24F61" w:rsidRPr="0042463B" w14:paraId="444A4E75" w14:textId="77777777" w:rsidTr="008177A4">
        <w:tc>
          <w:tcPr>
            <w:tcW w:w="4134" w:type="pct"/>
            <w:tcBorders>
              <w:top w:val="nil"/>
              <w:left w:val="single" w:sz="4" w:space="0" w:color="auto"/>
              <w:bottom w:val="single" w:sz="4" w:space="0" w:color="auto"/>
              <w:right w:val="single" w:sz="4" w:space="0" w:color="auto"/>
            </w:tcBorders>
            <w:shd w:val="clear" w:color="auto" w:fill="auto"/>
            <w:noWrap/>
            <w:hideMark/>
          </w:tcPr>
          <w:p w14:paraId="47A2EDB5" w14:textId="28885B0C" w:rsidR="00A24F61" w:rsidRPr="0042463B" w:rsidRDefault="00A24F61" w:rsidP="004B6B1A">
            <w:pPr>
              <w:jc w:val="left"/>
              <w:rPr>
                <w:color w:val="000000"/>
                <w:sz w:val="20"/>
                <w:szCs w:val="20"/>
              </w:rPr>
            </w:pPr>
            <w:r w:rsidRPr="0042463B">
              <w:rPr>
                <w:color w:val="000000"/>
                <w:sz w:val="20"/>
                <w:szCs w:val="20"/>
              </w:rPr>
              <w:t>Communication et frais divers de coordination, frais de déplacement locaux</w:t>
            </w:r>
          </w:p>
        </w:tc>
        <w:tc>
          <w:tcPr>
            <w:tcW w:w="866" w:type="pct"/>
            <w:tcBorders>
              <w:top w:val="nil"/>
              <w:left w:val="nil"/>
              <w:bottom w:val="single" w:sz="4" w:space="0" w:color="auto"/>
              <w:right w:val="single" w:sz="4" w:space="0" w:color="auto"/>
            </w:tcBorders>
            <w:shd w:val="clear" w:color="auto" w:fill="auto"/>
            <w:noWrap/>
            <w:tcMar>
              <w:left w:w="115" w:type="dxa"/>
              <w:right w:w="202" w:type="dxa"/>
            </w:tcMar>
            <w:hideMark/>
          </w:tcPr>
          <w:p w14:paraId="50861E6E" w14:textId="77777777" w:rsidR="00A24F61" w:rsidRPr="0042463B" w:rsidRDefault="00A24F61" w:rsidP="004B6B1A">
            <w:pPr>
              <w:jc w:val="right"/>
              <w:rPr>
                <w:color w:val="000000"/>
                <w:sz w:val="20"/>
                <w:szCs w:val="20"/>
              </w:rPr>
            </w:pPr>
            <w:r w:rsidRPr="0042463B">
              <w:rPr>
                <w:color w:val="000000"/>
                <w:sz w:val="20"/>
                <w:szCs w:val="20"/>
              </w:rPr>
              <w:t>2 400</w:t>
            </w:r>
          </w:p>
        </w:tc>
      </w:tr>
      <w:tr w:rsidR="00A24F61" w:rsidRPr="0042463B" w14:paraId="4589913E" w14:textId="77777777" w:rsidTr="008177A4">
        <w:tc>
          <w:tcPr>
            <w:tcW w:w="4134" w:type="pct"/>
            <w:tcBorders>
              <w:top w:val="nil"/>
              <w:left w:val="single" w:sz="4" w:space="0" w:color="auto"/>
              <w:bottom w:val="single" w:sz="4" w:space="0" w:color="auto"/>
              <w:right w:val="single" w:sz="4" w:space="0" w:color="auto"/>
            </w:tcBorders>
            <w:shd w:val="clear" w:color="auto" w:fill="auto"/>
            <w:noWrap/>
            <w:hideMark/>
          </w:tcPr>
          <w:p w14:paraId="71B0B8F1" w14:textId="77777777" w:rsidR="00A24F61" w:rsidRPr="0042463B" w:rsidRDefault="00A24F61" w:rsidP="004B6B1A">
            <w:pPr>
              <w:jc w:val="left"/>
              <w:rPr>
                <w:color w:val="000000"/>
                <w:sz w:val="20"/>
                <w:szCs w:val="20"/>
              </w:rPr>
            </w:pPr>
            <w:r w:rsidRPr="0042463B">
              <w:rPr>
                <w:color w:val="000000"/>
                <w:sz w:val="20"/>
                <w:szCs w:val="20"/>
              </w:rPr>
              <w:t>Total</w:t>
            </w:r>
          </w:p>
        </w:tc>
        <w:tc>
          <w:tcPr>
            <w:tcW w:w="866" w:type="pct"/>
            <w:tcBorders>
              <w:top w:val="nil"/>
              <w:left w:val="nil"/>
              <w:bottom w:val="single" w:sz="4" w:space="0" w:color="auto"/>
              <w:right w:val="single" w:sz="4" w:space="0" w:color="auto"/>
            </w:tcBorders>
            <w:shd w:val="clear" w:color="auto" w:fill="auto"/>
            <w:noWrap/>
            <w:tcMar>
              <w:left w:w="115" w:type="dxa"/>
              <w:right w:w="202" w:type="dxa"/>
            </w:tcMar>
            <w:hideMark/>
          </w:tcPr>
          <w:p w14:paraId="23B3D89C" w14:textId="77777777" w:rsidR="00A24F61" w:rsidRPr="0042463B" w:rsidRDefault="00A24F61" w:rsidP="004B6B1A">
            <w:pPr>
              <w:jc w:val="right"/>
              <w:rPr>
                <w:color w:val="000000"/>
                <w:sz w:val="20"/>
                <w:szCs w:val="20"/>
              </w:rPr>
            </w:pPr>
            <w:r w:rsidRPr="0042463B">
              <w:rPr>
                <w:color w:val="000000"/>
                <w:sz w:val="20"/>
                <w:szCs w:val="20"/>
              </w:rPr>
              <w:t>116 999</w:t>
            </w:r>
          </w:p>
        </w:tc>
      </w:tr>
    </w:tbl>
    <w:p w14:paraId="4995D6AF" w14:textId="77777777" w:rsidR="00A24F61" w:rsidRPr="0042463B" w:rsidRDefault="00A24F61" w:rsidP="00A24F61"/>
    <w:p w14:paraId="1459C547" w14:textId="0AB47BC2" w:rsidR="00C36F48" w:rsidRPr="0042463B" w:rsidRDefault="0087013C" w:rsidP="00FD303E">
      <w:pPr>
        <w:pStyle w:val="Heading1"/>
        <w:spacing w:after="120"/>
      </w:pPr>
      <w:r w:rsidRPr="0042463B">
        <w:t xml:space="preserve">Le projet sera mis en œuvre entre 2021 et 2023. La mise en œuvre du projet éliminera toute la consommation admissible restante de HCFC-141b contenu dans les polyols </w:t>
      </w:r>
      <w:proofErr w:type="spellStart"/>
      <w:r w:rsidRPr="0042463B">
        <w:t>prémélangés</w:t>
      </w:r>
      <w:proofErr w:type="spellEnd"/>
      <w:r w:rsidRPr="0042463B">
        <w:t xml:space="preserve"> importés et 10,11 tonnes PAO (91,87 </w:t>
      </w:r>
      <w:proofErr w:type="spellStart"/>
      <w:r w:rsidRPr="0042463B">
        <w:t>tm</w:t>
      </w:r>
      <w:proofErr w:type="spellEnd"/>
      <w:r w:rsidRPr="0042463B">
        <w:t xml:space="preserve">) de HCFC‑141b seront déduites du point de départ. Le gouvernement établira une interdiction sur l’importation du HCFC-141b dans les polyols </w:t>
      </w:r>
      <w:proofErr w:type="spellStart"/>
      <w:r w:rsidRPr="0042463B">
        <w:t>prémélangés</w:t>
      </w:r>
      <w:proofErr w:type="spellEnd"/>
      <w:r w:rsidRPr="0042463B">
        <w:t xml:space="preserve"> importés après l’achèvement du projet des mousses, prévu pour le 1</w:t>
      </w:r>
      <w:r w:rsidRPr="0042463B">
        <w:rPr>
          <w:vertAlign w:val="superscript"/>
        </w:rPr>
        <w:t>er</w:t>
      </w:r>
      <w:r w:rsidRPr="0042463B">
        <w:t xml:space="preserve"> janvier 2025. </w:t>
      </w:r>
    </w:p>
    <w:p w14:paraId="45C4B8ED" w14:textId="1C8991D6" w:rsidR="000B1ECC" w:rsidRPr="0042463B" w:rsidRDefault="000B1ECC" w:rsidP="00FD303E">
      <w:pPr>
        <w:pStyle w:val="Heading1"/>
        <w:numPr>
          <w:ilvl w:val="0"/>
          <w:numId w:val="0"/>
        </w:numPr>
        <w:spacing w:after="120"/>
        <w:rPr>
          <w:i/>
          <w:iCs/>
        </w:rPr>
      </w:pPr>
      <w:r w:rsidRPr="0042463B">
        <w:rPr>
          <w:i/>
          <w:iCs/>
        </w:rPr>
        <w:t>Fabrication de climatiseurs à usage domestique</w:t>
      </w:r>
    </w:p>
    <w:p w14:paraId="52F1F621" w14:textId="6432B98F" w:rsidR="00B84B62" w:rsidRPr="0042463B" w:rsidRDefault="007B4C2C" w:rsidP="00FD303E">
      <w:pPr>
        <w:pStyle w:val="Heading1"/>
        <w:spacing w:after="120"/>
      </w:pPr>
      <w:r w:rsidRPr="0042463B">
        <w:t>AGM éliminera volontairement sa consommation de 16,50 tonnes PAO de HCFC-22 dans la fabrication des climatiseurs à usage domestique d’ici 2025. Le gouvernement établira une interdiction sur l’importation de nouveaux appareils fonctionnant au HCFC et l’utilisation du HCFC-22 dans la fabrication d’appareils de réfrigération et de climatisation après l’élimination de la consommation dans le secteur de la fabrication.</w:t>
      </w:r>
    </w:p>
    <w:p w14:paraId="639C61D2" w14:textId="13D733DC" w:rsidR="008C5AFE" w:rsidRPr="0042463B" w:rsidRDefault="008C5AFE" w:rsidP="00FD303E">
      <w:pPr>
        <w:spacing w:after="120"/>
      </w:pPr>
      <w:r w:rsidRPr="0042463B">
        <w:rPr>
          <w:i/>
        </w:rPr>
        <w:t>Secteur de l’entretien en réfrigération</w:t>
      </w:r>
    </w:p>
    <w:p w14:paraId="0161A277" w14:textId="11C4D4E1" w:rsidR="00EB31E3" w:rsidRPr="0042463B" w:rsidRDefault="000E677A" w:rsidP="00FD303E">
      <w:pPr>
        <w:pStyle w:val="Heading1"/>
        <w:spacing w:after="120"/>
      </w:pPr>
      <w:r w:rsidRPr="0042463B">
        <w:t>Les activités suivantes seront proposées dans le secteur de l’entretien en réfrigération et climatisation :</w:t>
      </w:r>
    </w:p>
    <w:p w14:paraId="19A2554C" w14:textId="77777777" w:rsidR="00356A4B" w:rsidRPr="0042463B" w:rsidRDefault="000E677A" w:rsidP="00FD303E">
      <w:pPr>
        <w:pStyle w:val="Heading2"/>
        <w:spacing w:after="120"/>
      </w:pPr>
      <w:r w:rsidRPr="0042463B">
        <w:rPr>
          <w:i/>
          <w:iCs/>
        </w:rPr>
        <w:t>Politique et application de l’accroissement de la capacité (législation)</w:t>
      </w:r>
      <w:r w:rsidRPr="0042463B">
        <w:t xml:space="preserve"> : </w:t>
      </w:r>
    </w:p>
    <w:p w14:paraId="03AF0295" w14:textId="0C140AA0" w:rsidR="00EB31E3" w:rsidRPr="0042463B" w:rsidRDefault="00C079DD" w:rsidP="00FD303E">
      <w:pPr>
        <w:pStyle w:val="Heading3"/>
        <w:spacing w:after="120"/>
      </w:pPr>
      <w:r w:rsidRPr="0042463B">
        <w:t>La poursuite de la campagne de sensibilisation ciblée visant les autorités gouvernementale</w:t>
      </w:r>
      <w:r w:rsidR="000F59B2" w:rsidRPr="0042463B">
        <w:t>s</w:t>
      </w:r>
      <w:r w:rsidRPr="0042463B">
        <w:t xml:space="preserve"> et les parties prenantes concernées au sujet de l’introduction et de l’application des nouveaux règlements du CCG; la mise à jour en cours de la législation nationale sur les SAO, y compris l’élaboration de procédures et de règlements; et l’amélioration du système de permis électroniques et de suivi récemment élaboré (PNUE) (45 000 $ US);</w:t>
      </w:r>
    </w:p>
    <w:p w14:paraId="6C02AF0F" w14:textId="77777777" w:rsidR="00EB31E3" w:rsidRPr="0042463B" w:rsidRDefault="00B85EB9" w:rsidP="00FD303E">
      <w:pPr>
        <w:pStyle w:val="Heading3"/>
        <w:spacing w:after="120"/>
      </w:pPr>
      <w:r w:rsidRPr="0042463B">
        <w:t>L’organisation de deux séances de formation pour 40 agents des douanes sur le Protocole de Montréal et les mesures de contrôle sur l’importation des HCFC, y compris la détermination des risques et le fonctionnement des permis électroniques; l’organisation d’un atelier de formation pour 20 agents d’application de la loi afin d’appuyer l’application au-delà des postes de douane et la formation de 20 courtiers des douanes et importateurs (PNUE) (24 000 $ US);</w:t>
      </w:r>
    </w:p>
    <w:p w14:paraId="3E02B8FD" w14:textId="1062C1A9" w:rsidR="000E677A" w:rsidRPr="0042463B" w:rsidRDefault="000E677A" w:rsidP="00FD303E">
      <w:pPr>
        <w:pStyle w:val="Heading2"/>
      </w:pPr>
      <w:r w:rsidRPr="0042463B">
        <w:rPr>
          <w:i/>
          <w:iCs/>
        </w:rPr>
        <w:t>Élaboration de normes pour les produits et services</w:t>
      </w:r>
      <w:r w:rsidRPr="0042463B">
        <w:t> : La poursuite de l’élaboration et de l’introduction de normes et de codes nationaux qui concernent le secteur des SAO ainsi que l’introduction et la promotion de no</w:t>
      </w:r>
      <w:r w:rsidR="00F54790" w:rsidRPr="0042463B">
        <w:t>r</w:t>
      </w:r>
      <w:r w:rsidRPr="0042463B">
        <w:t>mes applicables à l’international (p. ex., étiquetage, exigences en matière de tenue de registres et de reddition de compte, normes pour l’équipement et les installations fonctionnant avec des HC et de l’ammoniac); la mise à jour des normes nationales pour les produits de réfrigération et de climatisation conformément aux normes internationales; l’élaboration des procédures opérationnelles normalisées (PON) pour les ateliers d’entretien sur la manipulation des produits inflammables et des frigorigènes dangereux (PNUE) (23 000 $ US);</w:t>
      </w:r>
    </w:p>
    <w:p w14:paraId="097F9EC0" w14:textId="77777777" w:rsidR="00A32ED6" w:rsidRPr="0042463B" w:rsidRDefault="00A32ED6" w:rsidP="00FD303E">
      <w:pPr>
        <w:pStyle w:val="Heading2"/>
        <w:keepNext/>
        <w:keepLines/>
      </w:pPr>
      <w:r w:rsidRPr="0042463B">
        <w:rPr>
          <w:i/>
          <w:iCs/>
        </w:rPr>
        <w:lastRenderedPageBreak/>
        <w:t>Formation et accréditation des techniciens d’entretien et soutien des établissements de formation</w:t>
      </w:r>
      <w:r w:rsidRPr="0042463B">
        <w:t xml:space="preserve"> : </w:t>
      </w:r>
    </w:p>
    <w:p w14:paraId="7FF9E13F" w14:textId="77777777" w:rsidR="00A32ED6" w:rsidRPr="0042463B" w:rsidRDefault="00A32ED6" w:rsidP="00FD303E">
      <w:pPr>
        <w:pStyle w:val="Heading3"/>
        <w:keepNext/>
        <w:keepLines/>
      </w:pPr>
      <w:r w:rsidRPr="0042463B">
        <w:t>La mise à jour du plan de formation pour introduire les substituts à long terme et les exigences de sécurité; l’aide auprès de chaque gouvernorat pour mettre à jour le programme de formation; et la formation de 20 enseignants sur les bonnes pratiques d’entretien à l’aide du nouveau plan (PNUE) (36 000 $ US);</w:t>
      </w:r>
    </w:p>
    <w:p w14:paraId="30432240" w14:textId="77777777" w:rsidR="00A32ED6" w:rsidRPr="0042463B" w:rsidRDefault="00A32ED6" w:rsidP="00A32ED6">
      <w:pPr>
        <w:pStyle w:val="Heading3"/>
      </w:pPr>
      <w:r w:rsidRPr="0042463B">
        <w:t xml:space="preserve">La mise à jour des normes nationales de compétence professionnelle (NOCS), du cadre national de certification (NQF) et des critères d’évaluation pour inclure les substituts à long terme et les exigences de sécurité; et la formation de 20 évaluateurs sur l’évaluation fondée sur les compétences (PNUE) (36 000 $ US); </w:t>
      </w:r>
    </w:p>
    <w:p w14:paraId="1A85CE8A" w14:textId="749E3F63" w:rsidR="00A32ED6" w:rsidRPr="0042463B" w:rsidRDefault="00A32ED6" w:rsidP="00A32ED6">
      <w:pPr>
        <w:pStyle w:val="Heading3"/>
      </w:pPr>
      <w:r w:rsidRPr="0042463B">
        <w:t xml:space="preserve">L’organisation d’un atelier pour 20 maîtres formateurs; la formation de 40 techniciens sur les bonnes pratiques d’entretien, la récupération et le recyclage des frigorigènes, ainsi que la manipulation sûre de frigorigènes inflammables; et l’accréditation de 100 techniciens (PNUE) (49 000 $ US); </w:t>
      </w:r>
    </w:p>
    <w:p w14:paraId="1A513D15" w14:textId="685EA0AB" w:rsidR="00A32ED6" w:rsidRPr="0042463B" w:rsidRDefault="00A32ED6" w:rsidP="00A32ED6">
      <w:pPr>
        <w:pStyle w:val="Heading3"/>
      </w:pPr>
      <w:r w:rsidRPr="0042463B">
        <w:t xml:space="preserve">La fourniture d’outils de formation et d’équipement (p. ex., collecteur, jauge de pression, pompes à vide, détecteurs de fuite, unité de récupération, outils) à quatre écoles de formation et à quatre établissements qui décernent des évaluations de compétences; et des outils d’entretien et de l’équipement (p. ex., unité de récupération, </w:t>
      </w:r>
      <w:proofErr w:type="spellStart"/>
      <w:r w:rsidRPr="0042463B">
        <w:t>microvacuomètre</w:t>
      </w:r>
      <w:proofErr w:type="spellEnd"/>
      <w:r w:rsidRPr="0042463B">
        <w:t>, détecteurs de fuite, bouteilles de récupération, ensemble de jauges de collecteurs, balance) à 45 techniciens accrédités (ONUDI) (90 000 $ US);</w:t>
      </w:r>
    </w:p>
    <w:p w14:paraId="39A103E7" w14:textId="7ED6AC8D" w:rsidR="002675C8" w:rsidRPr="0042463B" w:rsidRDefault="00DA0F37" w:rsidP="001C13D1">
      <w:pPr>
        <w:pStyle w:val="Heading2"/>
      </w:pPr>
      <w:r w:rsidRPr="0042463B">
        <w:t>L’amélioration du programme national de recyclage, récupération et régénération (RRR) par la fourniture d’équipement de laboratoire (p. ex., ensemble de chromatographe en phase gazeuse, bouteilles d’échantillons) et d’outils et équipement de base (machines de récupération et bouteilles) aux centres de régénération (ONUDI) (72 000 $ US);</w:t>
      </w:r>
    </w:p>
    <w:p w14:paraId="711F9460" w14:textId="7E987F45" w:rsidR="000C1A11" w:rsidRPr="0042463B" w:rsidRDefault="00640CFC" w:rsidP="001C13D1">
      <w:pPr>
        <w:pStyle w:val="Heading2"/>
      </w:pPr>
      <w:r w:rsidRPr="0042463B">
        <w:t>La prestation de la TA aux utilisateurs finaux de grande taille pour réduire les fuites de frigorigènes et encourager la transition vers des solutions de remplacement à long terme sans SAO par la sensibilisation, la diffusion d’information et la formation; l’établissement d’un registre à l’échelle du pays des grands systèmes de réfrigération et climatisation</w:t>
      </w:r>
      <w:r w:rsidR="004252EC" w:rsidRPr="0042463B">
        <w:rPr>
          <w:rStyle w:val="FootnoteReference"/>
        </w:rPr>
        <w:footnoteReference w:id="8"/>
      </w:r>
      <w:r w:rsidRPr="0042463B">
        <w:t xml:space="preserve"> pour faciliter le suivi et la surveillance de fuites; l’amélioration de la gestion </w:t>
      </w:r>
      <w:r w:rsidR="004252EC" w:rsidRPr="0042463B">
        <w:t>du cycle de vie des frigorigènes</w:t>
      </w:r>
      <w:r w:rsidR="00A8568F" w:rsidRPr="0042463B">
        <w:t>,</w:t>
      </w:r>
      <w:r w:rsidR="004252EC" w:rsidRPr="0042463B">
        <w:rPr>
          <w:rStyle w:val="FootnoteReference"/>
        </w:rPr>
        <w:footnoteReference w:id="9"/>
      </w:r>
      <w:r w:rsidRPr="0042463B">
        <w:t xml:space="preserve"> la poursuite de la promotion de l’élimination des HCFC et de l’utilisation des substituts à faible PRG par la diffusion de l’information; et l’organisation de deux événements pour lancer le programme de reconnaissance des acquis (RPL) pour promouvoir l’accréditation des techniciens (PNUE) (73 000 $ US).</w:t>
      </w:r>
    </w:p>
    <w:p w14:paraId="638C1072" w14:textId="77777777" w:rsidR="00EB31E3" w:rsidRPr="0042463B" w:rsidRDefault="003C7B9F" w:rsidP="008177A4">
      <w:pPr>
        <w:widowControl w:val="0"/>
        <w:rPr>
          <w:i/>
        </w:rPr>
      </w:pPr>
      <w:r w:rsidRPr="0042463B">
        <w:rPr>
          <w:i/>
        </w:rPr>
        <w:t>Unité de mise en œuvre et de suivi de projet (PMU)</w:t>
      </w:r>
    </w:p>
    <w:p w14:paraId="0F5FE312" w14:textId="77777777" w:rsidR="00EB31E3" w:rsidRPr="0042463B" w:rsidRDefault="00EB31E3" w:rsidP="008177A4">
      <w:pPr>
        <w:widowControl w:val="0"/>
        <w:rPr>
          <w:i/>
        </w:rPr>
      </w:pPr>
    </w:p>
    <w:p w14:paraId="6C96F477" w14:textId="4F52ACF5" w:rsidR="00661A86" w:rsidRPr="0042463B" w:rsidRDefault="00661A86" w:rsidP="008177A4">
      <w:pPr>
        <w:pStyle w:val="Heading1"/>
        <w:widowControl w:val="0"/>
      </w:pPr>
      <w:r w:rsidRPr="0042463B">
        <w:t xml:space="preserve">La PMU est responsable de la mise en œuvre des projets d’investissement, des programmes de formation, de la TA et des activités de sensibilisation, offrant un appui à l’UNO ainsi qu’un vérificateur indépendant pour le processus de vérification; de la coordination des parties prenantes non gouvernementales ou de certains services gouvernementaux, associations industrielles, instituts de recherche, bureau des normes, établissement de formation et bureau des statistiques pour la mise en œuvre </w:t>
      </w:r>
      <w:r w:rsidRPr="0042463B">
        <w:lastRenderedPageBreak/>
        <w:t>des activités du PGEH; d’aider l’UNO à recueillir et à analyser les données sur la consommation; et de préparer les rapports périodiques pour diverses autorités. Le coût de la PMU s’élève à 98 000 $ US (96 000 $ US pour le personnel et les consultants, et 2 000 $ US pour les autres dépenses).</w:t>
      </w:r>
    </w:p>
    <w:p w14:paraId="762D6BA5" w14:textId="77777777" w:rsidR="00EB31E3" w:rsidRPr="0042463B" w:rsidRDefault="00EB31E3" w:rsidP="00767209">
      <w:pPr>
        <w:rPr>
          <w:i/>
        </w:rPr>
      </w:pPr>
      <w:r w:rsidRPr="0042463B">
        <w:rPr>
          <w:i/>
        </w:rPr>
        <w:t>Mise en œuvre de la politique sur les sexes</w:t>
      </w:r>
      <w:r w:rsidRPr="0042463B">
        <w:rPr>
          <w:i/>
          <w:vertAlign w:val="superscript"/>
        </w:rPr>
        <w:footnoteReference w:id="10"/>
      </w:r>
    </w:p>
    <w:p w14:paraId="478780DE" w14:textId="77777777" w:rsidR="00EB31E3" w:rsidRPr="0042463B" w:rsidRDefault="00EB31E3" w:rsidP="00767209">
      <w:pPr>
        <w:widowControl w:val="0"/>
        <w:autoSpaceDE w:val="0"/>
        <w:autoSpaceDN w:val="0"/>
        <w:adjustRightInd w:val="0"/>
        <w:rPr>
          <w:sz w:val="24"/>
          <w:szCs w:val="24"/>
        </w:rPr>
      </w:pPr>
    </w:p>
    <w:p w14:paraId="34679C17" w14:textId="63FC12DD" w:rsidR="003A0020" w:rsidRPr="0042463B" w:rsidRDefault="001912E2" w:rsidP="00767209">
      <w:pPr>
        <w:pStyle w:val="Heading1"/>
      </w:pPr>
      <w:r w:rsidRPr="0042463B">
        <w:t>La phase II du PGEH a été élaborée en tenant compte de la politique du Fonds multilatéral sur la question de l’égalité entre les sexes; l’égalité entre les sexes et l’émancipation des femmes seront prises en compte à toutes les étapes du cycle de projet pour garantir la participation active des femmes dans les ateliers, les réunions avec les parties prenantes et les activités d’accroissement de la capacité. L’UNO visera à solliciter l’avis des parties prenantes sur la façon d’intégrer les indicateurs propres au genre dans la planification, la mise en œuvre et le processus de préparation de rapports pour chaque composante. La formation et les séances de réunion sur les enjeux en matière d’ozone intègreront davantage de séances sur l’égalité entre les sexes afin de mieux sensibiliser les participants à l’importance de l’égalité entre les sexes et de l’intégration des femmes.</w:t>
      </w:r>
    </w:p>
    <w:p w14:paraId="05DBF739" w14:textId="77777777" w:rsidR="00EB31E3" w:rsidRPr="0042463B" w:rsidRDefault="00EB31E3" w:rsidP="00EB31E3">
      <w:pPr>
        <w:spacing w:after="240"/>
        <w:outlineLvl w:val="0"/>
        <w:rPr>
          <w:u w:val="single"/>
        </w:rPr>
      </w:pPr>
      <w:r w:rsidRPr="0042463B">
        <w:rPr>
          <w:u w:val="single"/>
        </w:rPr>
        <w:t>Coût total de la phase II du PGEH</w:t>
      </w:r>
    </w:p>
    <w:p w14:paraId="62A80984" w14:textId="7834B688" w:rsidR="003C362C" w:rsidRPr="0042463B" w:rsidRDefault="00EB31E3" w:rsidP="008177A4">
      <w:pPr>
        <w:pStyle w:val="Heading1"/>
        <w:rPr>
          <w:b/>
        </w:rPr>
      </w:pPr>
      <w:r w:rsidRPr="0042463B">
        <w:t xml:space="preserve">Le coût total de la phase II du PGEH pour Bahreïn s’élève à 662 999 $ US, plus les coûts d’appui d’agence, conformément à la proposition initiale pour atteindre une réduction de 67,5 pour cent de la valeur de référence pour la consommation de HCFC d’ici 2025. Les activités proposées et la répartition des coûts sont présentées au Tableau 7. </w:t>
      </w:r>
    </w:p>
    <w:p w14:paraId="6381F58D" w14:textId="1F07866B" w:rsidR="00EB31E3" w:rsidRPr="0042463B" w:rsidRDefault="00820D62" w:rsidP="003C362C">
      <w:pPr>
        <w:keepNext/>
        <w:outlineLvl w:val="0"/>
        <w:rPr>
          <w:b/>
        </w:rPr>
      </w:pPr>
      <w:r w:rsidRPr="0042463B">
        <w:rPr>
          <w:b/>
        </w:rPr>
        <w:t xml:space="preserve">Tableau 7. Coût total de la phase II du PGEH pour Bahreïn tel que proposé </w:t>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902"/>
        <w:gridCol w:w="1078"/>
        <w:gridCol w:w="1082"/>
        <w:gridCol w:w="1074"/>
      </w:tblGrid>
      <w:tr w:rsidR="006B5EA5" w:rsidRPr="0042463B" w14:paraId="51766080" w14:textId="77777777" w:rsidTr="008177A4">
        <w:trPr>
          <w:tblHeader/>
        </w:trPr>
        <w:tc>
          <w:tcPr>
            <w:tcW w:w="2790" w:type="pct"/>
            <w:shd w:val="clear" w:color="auto" w:fill="auto"/>
            <w:tcMar>
              <w:left w:w="43" w:type="dxa"/>
              <w:right w:w="0" w:type="dxa"/>
            </w:tcMar>
            <w:hideMark/>
          </w:tcPr>
          <w:p w14:paraId="0BB611F2" w14:textId="77777777" w:rsidR="006B5EA5" w:rsidRPr="0042463B" w:rsidRDefault="006B5EA5" w:rsidP="00EE6AB9">
            <w:pPr>
              <w:jc w:val="center"/>
              <w:rPr>
                <w:b/>
                <w:bCs/>
                <w:color w:val="000000"/>
                <w:sz w:val="20"/>
                <w:szCs w:val="20"/>
              </w:rPr>
            </w:pPr>
            <w:r w:rsidRPr="0042463B">
              <w:rPr>
                <w:b/>
                <w:bCs/>
                <w:color w:val="000000"/>
                <w:sz w:val="20"/>
                <w:szCs w:val="20"/>
              </w:rPr>
              <w:t>Activité</w:t>
            </w:r>
          </w:p>
        </w:tc>
        <w:tc>
          <w:tcPr>
            <w:tcW w:w="482" w:type="pct"/>
          </w:tcPr>
          <w:p w14:paraId="62DB1DB8" w14:textId="77777777" w:rsidR="006B5EA5" w:rsidRPr="0042463B" w:rsidRDefault="006B5EA5" w:rsidP="00EB31E3">
            <w:pPr>
              <w:jc w:val="center"/>
              <w:rPr>
                <w:b/>
                <w:bCs/>
                <w:color w:val="000000"/>
                <w:sz w:val="20"/>
                <w:szCs w:val="20"/>
              </w:rPr>
            </w:pPr>
            <w:r w:rsidRPr="0042463B">
              <w:rPr>
                <w:b/>
                <w:bCs/>
                <w:color w:val="000000"/>
                <w:sz w:val="20"/>
                <w:szCs w:val="20"/>
              </w:rPr>
              <w:t>Agence</w:t>
            </w:r>
          </w:p>
        </w:tc>
        <w:tc>
          <w:tcPr>
            <w:tcW w:w="576" w:type="pct"/>
            <w:shd w:val="clear" w:color="auto" w:fill="auto"/>
            <w:hideMark/>
          </w:tcPr>
          <w:p w14:paraId="0B100D83" w14:textId="1219B307" w:rsidR="006B5EA5" w:rsidRPr="0042463B" w:rsidRDefault="006B5EA5" w:rsidP="00EB31E3">
            <w:pPr>
              <w:jc w:val="center"/>
              <w:rPr>
                <w:b/>
                <w:bCs/>
                <w:color w:val="000000"/>
                <w:sz w:val="20"/>
                <w:szCs w:val="20"/>
              </w:rPr>
            </w:pPr>
            <w:r w:rsidRPr="0042463B">
              <w:rPr>
                <w:b/>
                <w:bCs/>
                <w:color w:val="000000"/>
                <w:sz w:val="20"/>
                <w:szCs w:val="20"/>
              </w:rPr>
              <w:t>Coûts ($</w:t>
            </w:r>
            <w:r w:rsidR="00801DA5" w:rsidRPr="0042463B">
              <w:rPr>
                <w:b/>
                <w:bCs/>
                <w:color w:val="000000"/>
                <w:sz w:val="20"/>
                <w:szCs w:val="20"/>
              </w:rPr>
              <w:t> </w:t>
            </w:r>
            <w:r w:rsidRPr="0042463B">
              <w:rPr>
                <w:b/>
                <w:bCs/>
                <w:color w:val="000000"/>
                <w:sz w:val="20"/>
                <w:szCs w:val="20"/>
              </w:rPr>
              <w:t>US)</w:t>
            </w:r>
          </w:p>
        </w:tc>
        <w:tc>
          <w:tcPr>
            <w:tcW w:w="576" w:type="pct"/>
          </w:tcPr>
          <w:p w14:paraId="01E32320" w14:textId="77777777" w:rsidR="006B5EA5" w:rsidRPr="0042463B" w:rsidRDefault="006B5EA5" w:rsidP="00EB31E3">
            <w:pPr>
              <w:jc w:val="center"/>
              <w:rPr>
                <w:b/>
                <w:bCs/>
                <w:color w:val="000000"/>
                <w:sz w:val="20"/>
                <w:szCs w:val="20"/>
              </w:rPr>
            </w:pPr>
            <w:r w:rsidRPr="0042463B">
              <w:rPr>
                <w:b/>
                <w:bCs/>
                <w:color w:val="000000"/>
                <w:sz w:val="20"/>
                <w:szCs w:val="20"/>
              </w:rPr>
              <w:t>Élimination (</w:t>
            </w:r>
            <w:proofErr w:type="spellStart"/>
            <w:r w:rsidRPr="0042463B">
              <w:rPr>
                <w:b/>
                <w:bCs/>
                <w:color w:val="000000"/>
                <w:sz w:val="20"/>
                <w:szCs w:val="20"/>
              </w:rPr>
              <w:t>tm</w:t>
            </w:r>
            <w:proofErr w:type="spellEnd"/>
            <w:r w:rsidRPr="0042463B">
              <w:rPr>
                <w:b/>
                <w:bCs/>
                <w:color w:val="000000"/>
                <w:sz w:val="20"/>
                <w:szCs w:val="20"/>
              </w:rPr>
              <w:t>)</w:t>
            </w:r>
          </w:p>
        </w:tc>
        <w:tc>
          <w:tcPr>
            <w:tcW w:w="576" w:type="pct"/>
          </w:tcPr>
          <w:p w14:paraId="01C72F83" w14:textId="77777777" w:rsidR="006B5EA5" w:rsidRPr="0042463B" w:rsidRDefault="006B5EA5" w:rsidP="00640CFC">
            <w:pPr>
              <w:jc w:val="center"/>
              <w:rPr>
                <w:b/>
                <w:bCs/>
                <w:color w:val="000000"/>
                <w:sz w:val="20"/>
                <w:szCs w:val="20"/>
              </w:rPr>
            </w:pPr>
            <w:r w:rsidRPr="0042463B">
              <w:rPr>
                <w:b/>
                <w:bCs/>
                <w:color w:val="000000"/>
                <w:sz w:val="20"/>
                <w:szCs w:val="20"/>
              </w:rPr>
              <w:t>Coût-efficacité (</w:t>
            </w:r>
            <w:r w:rsidRPr="0042463B">
              <w:rPr>
                <w:b/>
                <w:color w:val="000000"/>
                <w:sz w:val="20"/>
                <w:szCs w:val="20"/>
              </w:rPr>
              <w:t>$ US/kg)</w:t>
            </w:r>
          </w:p>
        </w:tc>
      </w:tr>
      <w:tr w:rsidR="006B5EA5" w:rsidRPr="0042463B" w14:paraId="4F76C1E4" w14:textId="77777777" w:rsidTr="008177A4">
        <w:tc>
          <w:tcPr>
            <w:tcW w:w="2790" w:type="pct"/>
            <w:shd w:val="clear" w:color="auto" w:fill="auto"/>
            <w:noWrap/>
            <w:tcMar>
              <w:left w:w="43" w:type="dxa"/>
              <w:right w:w="0" w:type="dxa"/>
            </w:tcMar>
          </w:tcPr>
          <w:p w14:paraId="4560E9E8" w14:textId="77777777" w:rsidR="006B5EA5" w:rsidRPr="0042463B" w:rsidRDefault="006B5EA5" w:rsidP="00F62093">
            <w:pPr>
              <w:jc w:val="left"/>
              <w:rPr>
                <w:color w:val="000000"/>
                <w:sz w:val="20"/>
                <w:szCs w:val="20"/>
              </w:rPr>
            </w:pPr>
            <w:r w:rsidRPr="0042463B">
              <w:rPr>
                <w:color w:val="000000"/>
                <w:sz w:val="20"/>
                <w:szCs w:val="20"/>
              </w:rPr>
              <w:t xml:space="preserve">Projet-cadre sur les mousses pour éliminer le HCFC-141b contenu dans les polyols </w:t>
            </w:r>
            <w:proofErr w:type="spellStart"/>
            <w:r w:rsidRPr="0042463B">
              <w:rPr>
                <w:color w:val="000000"/>
                <w:sz w:val="20"/>
                <w:szCs w:val="20"/>
              </w:rPr>
              <w:t>prémélangés</w:t>
            </w:r>
            <w:proofErr w:type="spellEnd"/>
            <w:r w:rsidRPr="0042463B">
              <w:rPr>
                <w:color w:val="000000"/>
                <w:sz w:val="20"/>
                <w:szCs w:val="20"/>
              </w:rPr>
              <w:t xml:space="preserve"> importés</w:t>
            </w:r>
          </w:p>
        </w:tc>
        <w:tc>
          <w:tcPr>
            <w:tcW w:w="482" w:type="pct"/>
          </w:tcPr>
          <w:p w14:paraId="31FA528F" w14:textId="77777777" w:rsidR="006B5EA5" w:rsidRPr="0042463B" w:rsidRDefault="006B5EA5" w:rsidP="00EB31E3">
            <w:pPr>
              <w:jc w:val="left"/>
              <w:rPr>
                <w:color w:val="000000"/>
                <w:sz w:val="20"/>
                <w:szCs w:val="20"/>
              </w:rPr>
            </w:pPr>
            <w:r w:rsidRPr="0042463B">
              <w:rPr>
                <w:color w:val="000000"/>
                <w:sz w:val="20"/>
                <w:szCs w:val="20"/>
              </w:rPr>
              <w:t>ONUDI</w:t>
            </w:r>
          </w:p>
        </w:tc>
        <w:tc>
          <w:tcPr>
            <w:tcW w:w="576" w:type="pct"/>
            <w:shd w:val="clear" w:color="auto" w:fill="auto"/>
          </w:tcPr>
          <w:p w14:paraId="6B3DF34A" w14:textId="77777777" w:rsidR="006B5EA5" w:rsidRPr="0042463B" w:rsidRDefault="006B5EA5" w:rsidP="009678E9">
            <w:pPr>
              <w:ind w:right="-16"/>
              <w:jc w:val="right"/>
              <w:rPr>
                <w:color w:val="000000"/>
                <w:sz w:val="20"/>
                <w:szCs w:val="20"/>
              </w:rPr>
            </w:pPr>
            <w:r w:rsidRPr="0042463B">
              <w:rPr>
                <w:color w:val="000000"/>
                <w:sz w:val="20"/>
                <w:szCs w:val="20"/>
              </w:rPr>
              <w:t>116 999</w:t>
            </w:r>
          </w:p>
        </w:tc>
        <w:tc>
          <w:tcPr>
            <w:tcW w:w="576" w:type="pct"/>
          </w:tcPr>
          <w:p w14:paraId="42AB58B1" w14:textId="0D8007B1" w:rsidR="006B5EA5" w:rsidRPr="0042463B" w:rsidRDefault="006B5EA5" w:rsidP="006B5EA5">
            <w:pPr>
              <w:ind w:right="-16"/>
              <w:jc w:val="right"/>
              <w:rPr>
                <w:color w:val="000000"/>
                <w:sz w:val="20"/>
                <w:szCs w:val="20"/>
              </w:rPr>
            </w:pPr>
            <w:r w:rsidRPr="0042463B">
              <w:rPr>
                <w:color w:val="000000"/>
                <w:sz w:val="20"/>
                <w:szCs w:val="20"/>
              </w:rPr>
              <w:t>12,46*</w:t>
            </w:r>
          </w:p>
        </w:tc>
        <w:tc>
          <w:tcPr>
            <w:tcW w:w="576" w:type="pct"/>
          </w:tcPr>
          <w:p w14:paraId="42764D0D" w14:textId="77777777" w:rsidR="006B5EA5" w:rsidRPr="0042463B" w:rsidRDefault="006B5EA5" w:rsidP="006B5EA5">
            <w:pPr>
              <w:ind w:right="-16"/>
              <w:jc w:val="right"/>
              <w:rPr>
                <w:color w:val="000000"/>
                <w:sz w:val="20"/>
                <w:szCs w:val="20"/>
              </w:rPr>
            </w:pPr>
            <w:r w:rsidRPr="0042463B">
              <w:rPr>
                <w:color w:val="000000"/>
                <w:sz w:val="20"/>
                <w:szCs w:val="20"/>
              </w:rPr>
              <w:t>9,39</w:t>
            </w:r>
          </w:p>
        </w:tc>
      </w:tr>
      <w:tr w:rsidR="008F2F5F" w:rsidRPr="0042463B" w14:paraId="04E6B64C" w14:textId="77777777" w:rsidTr="008177A4">
        <w:tc>
          <w:tcPr>
            <w:tcW w:w="5000" w:type="pct"/>
            <w:gridSpan w:val="5"/>
            <w:tcBorders>
              <w:top w:val="nil"/>
              <w:left w:val="single" w:sz="4" w:space="0" w:color="auto"/>
              <w:bottom w:val="single" w:sz="4" w:space="0" w:color="auto"/>
            </w:tcBorders>
            <w:shd w:val="clear" w:color="000000" w:fill="FFFFFF"/>
            <w:noWrap/>
            <w:tcMar>
              <w:left w:w="43" w:type="dxa"/>
              <w:right w:w="0" w:type="dxa"/>
            </w:tcMar>
          </w:tcPr>
          <w:p w14:paraId="19F91D53" w14:textId="77777777" w:rsidR="008F2F5F" w:rsidRPr="0042463B" w:rsidRDefault="008F2F5F" w:rsidP="00FE365A">
            <w:pPr>
              <w:ind w:right="-16"/>
              <w:jc w:val="left"/>
              <w:rPr>
                <w:i/>
                <w:color w:val="000000"/>
                <w:sz w:val="20"/>
                <w:szCs w:val="20"/>
              </w:rPr>
            </w:pPr>
            <w:r w:rsidRPr="0042463B">
              <w:rPr>
                <w:i/>
                <w:color w:val="000000"/>
                <w:sz w:val="20"/>
                <w:szCs w:val="20"/>
              </w:rPr>
              <w:t>Activités dans le secteur de l’entretien</w:t>
            </w:r>
          </w:p>
        </w:tc>
      </w:tr>
      <w:tr w:rsidR="006B5EA5" w:rsidRPr="0042463B" w14:paraId="01FCF1CA" w14:textId="77777777" w:rsidTr="008177A4">
        <w:tc>
          <w:tcPr>
            <w:tcW w:w="2790" w:type="pct"/>
            <w:tcBorders>
              <w:top w:val="nil"/>
              <w:left w:val="single" w:sz="4" w:space="0" w:color="auto"/>
              <w:bottom w:val="single" w:sz="4" w:space="0" w:color="auto"/>
              <w:right w:val="nil"/>
            </w:tcBorders>
            <w:shd w:val="clear" w:color="000000" w:fill="FFFFFF"/>
            <w:noWrap/>
            <w:tcMar>
              <w:left w:w="43" w:type="dxa"/>
              <w:right w:w="0" w:type="dxa"/>
            </w:tcMar>
          </w:tcPr>
          <w:p w14:paraId="21EC3D7B" w14:textId="77777777" w:rsidR="006B5EA5" w:rsidRPr="0042463B" w:rsidRDefault="006B5EA5" w:rsidP="00EE6AB9">
            <w:pPr>
              <w:jc w:val="left"/>
              <w:rPr>
                <w:color w:val="000000"/>
                <w:sz w:val="20"/>
                <w:szCs w:val="20"/>
              </w:rPr>
            </w:pPr>
            <w:r w:rsidRPr="0042463B">
              <w:rPr>
                <w:color w:val="000000"/>
                <w:sz w:val="20"/>
                <w:szCs w:val="20"/>
              </w:rPr>
              <w:t>Élaboration de politiques et de règlements</w:t>
            </w:r>
          </w:p>
        </w:tc>
        <w:tc>
          <w:tcPr>
            <w:tcW w:w="482" w:type="pct"/>
            <w:tcBorders>
              <w:top w:val="nil"/>
              <w:left w:val="single" w:sz="4" w:space="0" w:color="auto"/>
              <w:bottom w:val="single" w:sz="4" w:space="0" w:color="auto"/>
              <w:right w:val="single" w:sz="4" w:space="0" w:color="auto"/>
            </w:tcBorders>
            <w:shd w:val="clear" w:color="000000" w:fill="FFFFFF"/>
          </w:tcPr>
          <w:p w14:paraId="7EFF502D" w14:textId="77777777" w:rsidR="006B5EA5" w:rsidRPr="0042463B" w:rsidRDefault="006B5EA5" w:rsidP="00EE6AB9">
            <w:pPr>
              <w:jc w:val="left"/>
              <w:rPr>
                <w:color w:val="000000"/>
                <w:sz w:val="20"/>
                <w:szCs w:val="20"/>
              </w:rPr>
            </w:pPr>
            <w:r w:rsidRPr="0042463B">
              <w:rPr>
                <w:color w:val="000000"/>
                <w:sz w:val="20"/>
                <w:szCs w:val="20"/>
              </w:rPr>
              <w:t>PNUE</w:t>
            </w:r>
          </w:p>
        </w:tc>
        <w:tc>
          <w:tcPr>
            <w:tcW w:w="576" w:type="pct"/>
            <w:shd w:val="clear" w:color="auto" w:fill="auto"/>
          </w:tcPr>
          <w:p w14:paraId="23B3CCE7" w14:textId="77777777" w:rsidR="006B5EA5" w:rsidRPr="0042463B" w:rsidRDefault="006B5EA5" w:rsidP="009678E9">
            <w:pPr>
              <w:ind w:right="-16"/>
              <w:jc w:val="right"/>
              <w:rPr>
                <w:color w:val="000000"/>
                <w:sz w:val="20"/>
                <w:szCs w:val="20"/>
              </w:rPr>
            </w:pPr>
            <w:r w:rsidRPr="0042463B">
              <w:rPr>
                <w:color w:val="000000"/>
                <w:sz w:val="20"/>
                <w:szCs w:val="20"/>
              </w:rPr>
              <w:t>45 000</w:t>
            </w:r>
          </w:p>
        </w:tc>
        <w:tc>
          <w:tcPr>
            <w:tcW w:w="578" w:type="pct"/>
            <w:vMerge w:val="restart"/>
          </w:tcPr>
          <w:p w14:paraId="43C88BD1" w14:textId="77777777" w:rsidR="006B5EA5" w:rsidRPr="0042463B" w:rsidRDefault="006B5EA5" w:rsidP="009678E9">
            <w:pPr>
              <w:ind w:right="-16"/>
              <w:jc w:val="right"/>
              <w:rPr>
                <w:color w:val="000000"/>
                <w:sz w:val="20"/>
                <w:szCs w:val="20"/>
              </w:rPr>
            </w:pPr>
            <w:r w:rsidRPr="0042463B">
              <w:rPr>
                <w:color w:val="000000"/>
                <w:sz w:val="20"/>
                <w:szCs w:val="20"/>
              </w:rPr>
              <w:t>93,33</w:t>
            </w:r>
          </w:p>
        </w:tc>
        <w:tc>
          <w:tcPr>
            <w:tcW w:w="574" w:type="pct"/>
            <w:vMerge w:val="restart"/>
          </w:tcPr>
          <w:p w14:paraId="7FA898DA" w14:textId="77777777" w:rsidR="006B5EA5" w:rsidRPr="0042463B" w:rsidRDefault="006B5EA5" w:rsidP="009678E9">
            <w:pPr>
              <w:ind w:right="-16"/>
              <w:jc w:val="right"/>
              <w:rPr>
                <w:color w:val="000000"/>
                <w:sz w:val="20"/>
                <w:szCs w:val="20"/>
              </w:rPr>
            </w:pPr>
            <w:r w:rsidRPr="0042463B">
              <w:rPr>
                <w:color w:val="000000"/>
                <w:sz w:val="20"/>
                <w:szCs w:val="20"/>
              </w:rPr>
              <w:t>4,80</w:t>
            </w:r>
          </w:p>
        </w:tc>
      </w:tr>
      <w:tr w:rsidR="006B5EA5" w:rsidRPr="0042463B" w14:paraId="4EC0AC04" w14:textId="77777777" w:rsidTr="008177A4">
        <w:tc>
          <w:tcPr>
            <w:tcW w:w="2790" w:type="pct"/>
            <w:tcBorders>
              <w:top w:val="nil"/>
              <w:left w:val="single" w:sz="4" w:space="0" w:color="auto"/>
              <w:bottom w:val="single" w:sz="4" w:space="0" w:color="auto"/>
              <w:right w:val="nil"/>
            </w:tcBorders>
            <w:shd w:val="clear" w:color="000000" w:fill="FFFFFF"/>
            <w:noWrap/>
            <w:tcMar>
              <w:left w:w="43" w:type="dxa"/>
              <w:right w:w="0" w:type="dxa"/>
            </w:tcMar>
            <w:hideMark/>
          </w:tcPr>
          <w:p w14:paraId="5FD478F8" w14:textId="77777777" w:rsidR="006B5EA5" w:rsidRPr="0042463B" w:rsidRDefault="006B5EA5" w:rsidP="00EE6AB9">
            <w:pPr>
              <w:jc w:val="left"/>
              <w:rPr>
                <w:color w:val="000000"/>
                <w:sz w:val="20"/>
                <w:szCs w:val="20"/>
              </w:rPr>
            </w:pPr>
            <w:r w:rsidRPr="0042463B">
              <w:rPr>
                <w:color w:val="000000"/>
                <w:sz w:val="20"/>
                <w:szCs w:val="20"/>
              </w:rPr>
              <w:t>Élaboration de normes pour les produits et services</w:t>
            </w:r>
          </w:p>
        </w:tc>
        <w:tc>
          <w:tcPr>
            <w:tcW w:w="482" w:type="pct"/>
            <w:tcBorders>
              <w:top w:val="nil"/>
              <w:left w:val="single" w:sz="4" w:space="0" w:color="auto"/>
              <w:bottom w:val="single" w:sz="4" w:space="0" w:color="auto"/>
              <w:right w:val="single" w:sz="4" w:space="0" w:color="auto"/>
            </w:tcBorders>
            <w:shd w:val="clear" w:color="000000" w:fill="FFFFFF"/>
          </w:tcPr>
          <w:p w14:paraId="7531B0D6" w14:textId="77777777" w:rsidR="006B5EA5" w:rsidRPr="0042463B" w:rsidRDefault="006B5EA5" w:rsidP="00EE6AB9">
            <w:pPr>
              <w:jc w:val="left"/>
              <w:rPr>
                <w:color w:val="000000"/>
                <w:sz w:val="20"/>
                <w:szCs w:val="20"/>
              </w:rPr>
            </w:pPr>
            <w:r w:rsidRPr="0042463B">
              <w:rPr>
                <w:color w:val="000000"/>
                <w:sz w:val="20"/>
                <w:szCs w:val="20"/>
              </w:rPr>
              <w:t>PNUE</w:t>
            </w:r>
          </w:p>
        </w:tc>
        <w:tc>
          <w:tcPr>
            <w:tcW w:w="576" w:type="pct"/>
            <w:shd w:val="clear" w:color="auto" w:fill="auto"/>
            <w:tcMar>
              <w:left w:w="115" w:type="dxa"/>
              <w:right w:w="432" w:type="dxa"/>
            </w:tcMar>
            <w:hideMark/>
          </w:tcPr>
          <w:p w14:paraId="0E5A046C" w14:textId="77777777" w:rsidR="006B5EA5" w:rsidRPr="0042463B" w:rsidRDefault="006B5EA5" w:rsidP="00915491">
            <w:pPr>
              <w:ind w:right="-344"/>
              <w:jc w:val="right"/>
              <w:rPr>
                <w:color w:val="000000"/>
                <w:sz w:val="20"/>
                <w:szCs w:val="20"/>
              </w:rPr>
            </w:pPr>
            <w:r w:rsidRPr="0042463B">
              <w:rPr>
                <w:color w:val="000000"/>
                <w:sz w:val="20"/>
                <w:szCs w:val="20"/>
              </w:rPr>
              <w:t>23 000</w:t>
            </w:r>
          </w:p>
        </w:tc>
        <w:tc>
          <w:tcPr>
            <w:tcW w:w="578" w:type="pct"/>
            <w:vMerge/>
          </w:tcPr>
          <w:p w14:paraId="2E684E52" w14:textId="77777777" w:rsidR="006B5EA5" w:rsidRPr="0042463B" w:rsidRDefault="006B5EA5" w:rsidP="00915491">
            <w:pPr>
              <w:ind w:right="-344"/>
              <w:jc w:val="right"/>
              <w:rPr>
                <w:color w:val="000000"/>
                <w:sz w:val="20"/>
                <w:szCs w:val="20"/>
              </w:rPr>
            </w:pPr>
          </w:p>
        </w:tc>
        <w:tc>
          <w:tcPr>
            <w:tcW w:w="574" w:type="pct"/>
            <w:vMerge/>
          </w:tcPr>
          <w:p w14:paraId="72916445" w14:textId="77777777" w:rsidR="006B5EA5" w:rsidRPr="0042463B" w:rsidRDefault="006B5EA5" w:rsidP="00915491">
            <w:pPr>
              <w:ind w:right="-344"/>
              <w:jc w:val="right"/>
              <w:rPr>
                <w:color w:val="000000"/>
                <w:sz w:val="20"/>
                <w:szCs w:val="20"/>
              </w:rPr>
            </w:pPr>
          </w:p>
        </w:tc>
      </w:tr>
      <w:tr w:rsidR="006B5EA5" w:rsidRPr="0042463B" w14:paraId="75DA966F" w14:textId="77777777" w:rsidTr="008177A4">
        <w:tc>
          <w:tcPr>
            <w:tcW w:w="2790" w:type="pct"/>
            <w:tcBorders>
              <w:top w:val="nil"/>
              <w:left w:val="single" w:sz="4" w:space="0" w:color="auto"/>
              <w:bottom w:val="single" w:sz="4" w:space="0" w:color="auto"/>
              <w:right w:val="nil"/>
            </w:tcBorders>
            <w:shd w:val="clear" w:color="000000" w:fill="FFFFFF"/>
            <w:noWrap/>
            <w:tcMar>
              <w:left w:w="43" w:type="dxa"/>
              <w:right w:w="0" w:type="dxa"/>
            </w:tcMar>
          </w:tcPr>
          <w:p w14:paraId="50940685" w14:textId="77777777" w:rsidR="006B5EA5" w:rsidRPr="0042463B" w:rsidRDefault="006B5EA5" w:rsidP="00EE6AB9">
            <w:pPr>
              <w:jc w:val="left"/>
              <w:rPr>
                <w:color w:val="000000"/>
                <w:sz w:val="20"/>
                <w:szCs w:val="20"/>
              </w:rPr>
            </w:pPr>
            <w:r w:rsidRPr="0042463B">
              <w:rPr>
                <w:color w:val="000000"/>
                <w:sz w:val="20"/>
                <w:szCs w:val="20"/>
              </w:rPr>
              <w:t>Formation des agents des douanes, du personnel d’application de la loi et des courtiers en douanes</w:t>
            </w:r>
          </w:p>
        </w:tc>
        <w:tc>
          <w:tcPr>
            <w:tcW w:w="482" w:type="pct"/>
            <w:tcBorders>
              <w:top w:val="nil"/>
              <w:left w:val="single" w:sz="4" w:space="0" w:color="auto"/>
              <w:bottom w:val="single" w:sz="4" w:space="0" w:color="auto"/>
              <w:right w:val="single" w:sz="4" w:space="0" w:color="auto"/>
            </w:tcBorders>
            <w:shd w:val="clear" w:color="000000" w:fill="FFFFFF"/>
          </w:tcPr>
          <w:p w14:paraId="59CAF9D3" w14:textId="77777777" w:rsidR="006B5EA5" w:rsidRPr="0042463B" w:rsidRDefault="006B5EA5" w:rsidP="00EE6AB9">
            <w:pPr>
              <w:jc w:val="left"/>
              <w:rPr>
                <w:color w:val="000000"/>
                <w:sz w:val="20"/>
                <w:szCs w:val="20"/>
              </w:rPr>
            </w:pPr>
            <w:r w:rsidRPr="0042463B">
              <w:rPr>
                <w:color w:val="000000"/>
                <w:sz w:val="20"/>
                <w:szCs w:val="20"/>
              </w:rPr>
              <w:t>PNUE</w:t>
            </w:r>
          </w:p>
        </w:tc>
        <w:tc>
          <w:tcPr>
            <w:tcW w:w="576" w:type="pct"/>
            <w:shd w:val="clear" w:color="auto" w:fill="auto"/>
            <w:tcMar>
              <w:left w:w="115" w:type="dxa"/>
              <w:right w:w="432" w:type="dxa"/>
            </w:tcMar>
          </w:tcPr>
          <w:p w14:paraId="5ADF07DD" w14:textId="77777777" w:rsidR="006B5EA5" w:rsidRPr="0042463B" w:rsidRDefault="006B5EA5" w:rsidP="009678E9">
            <w:pPr>
              <w:ind w:right="-344"/>
              <w:jc w:val="right"/>
              <w:rPr>
                <w:color w:val="000000"/>
                <w:sz w:val="20"/>
                <w:szCs w:val="20"/>
              </w:rPr>
            </w:pPr>
            <w:r w:rsidRPr="0042463B">
              <w:rPr>
                <w:color w:val="000000"/>
                <w:sz w:val="20"/>
                <w:szCs w:val="20"/>
              </w:rPr>
              <w:t>24 000</w:t>
            </w:r>
          </w:p>
        </w:tc>
        <w:tc>
          <w:tcPr>
            <w:tcW w:w="578" w:type="pct"/>
            <w:vMerge/>
          </w:tcPr>
          <w:p w14:paraId="393D9EEC" w14:textId="77777777" w:rsidR="006B5EA5" w:rsidRPr="0042463B" w:rsidRDefault="006B5EA5" w:rsidP="009678E9">
            <w:pPr>
              <w:ind w:right="-344"/>
              <w:jc w:val="right"/>
              <w:rPr>
                <w:color w:val="000000"/>
                <w:sz w:val="20"/>
                <w:szCs w:val="20"/>
              </w:rPr>
            </w:pPr>
          </w:p>
        </w:tc>
        <w:tc>
          <w:tcPr>
            <w:tcW w:w="574" w:type="pct"/>
            <w:vMerge/>
          </w:tcPr>
          <w:p w14:paraId="0C06A452" w14:textId="77777777" w:rsidR="006B5EA5" w:rsidRPr="0042463B" w:rsidRDefault="006B5EA5" w:rsidP="009678E9">
            <w:pPr>
              <w:ind w:right="-344"/>
              <w:jc w:val="right"/>
              <w:rPr>
                <w:color w:val="000000"/>
                <w:sz w:val="20"/>
                <w:szCs w:val="20"/>
              </w:rPr>
            </w:pPr>
          </w:p>
        </w:tc>
      </w:tr>
      <w:tr w:rsidR="006B5EA5" w:rsidRPr="0042463B" w14:paraId="1FBF19EA" w14:textId="77777777" w:rsidTr="008177A4">
        <w:tc>
          <w:tcPr>
            <w:tcW w:w="2790" w:type="pct"/>
            <w:tcBorders>
              <w:top w:val="nil"/>
              <w:left w:val="single" w:sz="4" w:space="0" w:color="auto"/>
              <w:bottom w:val="single" w:sz="4" w:space="0" w:color="auto"/>
              <w:right w:val="nil"/>
            </w:tcBorders>
            <w:shd w:val="clear" w:color="000000" w:fill="FFFFFF"/>
            <w:noWrap/>
            <w:tcMar>
              <w:left w:w="43" w:type="dxa"/>
              <w:right w:w="0" w:type="dxa"/>
            </w:tcMar>
          </w:tcPr>
          <w:p w14:paraId="5DCA0673" w14:textId="205B51E9" w:rsidR="006B5EA5" w:rsidRPr="0042463B" w:rsidRDefault="006B5EA5" w:rsidP="004440FD">
            <w:pPr>
              <w:jc w:val="left"/>
              <w:rPr>
                <w:color w:val="000000"/>
                <w:sz w:val="20"/>
                <w:szCs w:val="20"/>
              </w:rPr>
            </w:pPr>
            <w:r w:rsidRPr="0042463B">
              <w:rPr>
                <w:color w:val="000000"/>
                <w:sz w:val="20"/>
                <w:szCs w:val="20"/>
              </w:rPr>
              <w:t xml:space="preserve">Formation et accréditation de techniciens en entretien de la réfrigération et climatisation </w:t>
            </w:r>
          </w:p>
        </w:tc>
        <w:tc>
          <w:tcPr>
            <w:tcW w:w="482" w:type="pct"/>
            <w:tcBorders>
              <w:top w:val="nil"/>
              <w:left w:val="single" w:sz="4" w:space="0" w:color="auto"/>
              <w:bottom w:val="single" w:sz="4" w:space="0" w:color="auto"/>
              <w:right w:val="single" w:sz="4" w:space="0" w:color="auto"/>
            </w:tcBorders>
            <w:shd w:val="clear" w:color="000000" w:fill="FFFFFF"/>
          </w:tcPr>
          <w:p w14:paraId="2A6659CC" w14:textId="77777777" w:rsidR="006B5EA5" w:rsidRPr="0042463B" w:rsidRDefault="006B5EA5" w:rsidP="00EE6AB9">
            <w:pPr>
              <w:jc w:val="left"/>
              <w:rPr>
                <w:color w:val="000000"/>
                <w:sz w:val="20"/>
                <w:szCs w:val="20"/>
              </w:rPr>
            </w:pPr>
            <w:r w:rsidRPr="0042463B">
              <w:rPr>
                <w:color w:val="000000"/>
                <w:sz w:val="20"/>
                <w:szCs w:val="20"/>
              </w:rPr>
              <w:t>PNUE</w:t>
            </w:r>
          </w:p>
        </w:tc>
        <w:tc>
          <w:tcPr>
            <w:tcW w:w="576" w:type="pct"/>
            <w:shd w:val="clear" w:color="auto" w:fill="auto"/>
            <w:noWrap/>
            <w:tcMar>
              <w:left w:w="115" w:type="dxa"/>
              <w:right w:w="432" w:type="dxa"/>
            </w:tcMar>
          </w:tcPr>
          <w:p w14:paraId="338FAFCA" w14:textId="77777777" w:rsidR="006B5EA5" w:rsidRPr="0042463B" w:rsidRDefault="006B5EA5" w:rsidP="009678E9">
            <w:pPr>
              <w:ind w:right="-344"/>
              <w:jc w:val="right"/>
              <w:rPr>
                <w:color w:val="000000"/>
                <w:sz w:val="20"/>
                <w:szCs w:val="20"/>
              </w:rPr>
            </w:pPr>
            <w:r w:rsidRPr="0042463B">
              <w:rPr>
                <w:color w:val="000000"/>
                <w:sz w:val="20"/>
                <w:szCs w:val="20"/>
              </w:rPr>
              <w:t>211 000</w:t>
            </w:r>
          </w:p>
        </w:tc>
        <w:tc>
          <w:tcPr>
            <w:tcW w:w="578" w:type="pct"/>
            <w:vMerge/>
          </w:tcPr>
          <w:p w14:paraId="2A57B991" w14:textId="77777777" w:rsidR="006B5EA5" w:rsidRPr="0042463B" w:rsidRDefault="006B5EA5" w:rsidP="009678E9">
            <w:pPr>
              <w:ind w:right="-344"/>
              <w:jc w:val="right"/>
              <w:rPr>
                <w:color w:val="000000"/>
                <w:sz w:val="20"/>
                <w:szCs w:val="20"/>
              </w:rPr>
            </w:pPr>
          </w:p>
        </w:tc>
        <w:tc>
          <w:tcPr>
            <w:tcW w:w="574" w:type="pct"/>
            <w:vMerge/>
          </w:tcPr>
          <w:p w14:paraId="0276B9B6" w14:textId="77777777" w:rsidR="006B5EA5" w:rsidRPr="0042463B" w:rsidRDefault="006B5EA5" w:rsidP="009678E9">
            <w:pPr>
              <w:ind w:right="-344"/>
              <w:jc w:val="right"/>
              <w:rPr>
                <w:color w:val="000000"/>
                <w:sz w:val="20"/>
                <w:szCs w:val="20"/>
              </w:rPr>
            </w:pPr>
          </w:p>
        </w:tc>
      </w:tr>
      <w:tr w:rsidR="006B5EA5" w:rsidRPr="0042463B" w14:paraId="18EA7A2A" w14:textId="77777777" w:rsidTr="008177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90" w:type="pct"/>
            <w:tcBorders>
              <w:top w:val="nil"/>
              <w:left w:val="single" w:sz="4" w:space="0" w:color="auto"/>
              <w:bottom w:val="single" w:sz="4" w:space="0" w:color="auto"/>
              <w:right w:val="nil"/>
            </w:tcBorders>
            <w:shd w:val="clear" w:color="000000" w:fill="FFFFFF"/>
            <w:noWrap/>
            <w:tcMar>
              <w:left w:w="43" w:type="dxa"/>
              <w:right w:w="0" w:type="dxa"/>
            </w:tcMar>
          </w:tcPr>
          <w:p w14:paraId="0151F297" w14:textId="77777777" w:rsidR="006B5EA5" w:rsidRPr="0042463B" w:rsidRDefault="006B5EA5" w:rsidP="00984BC0">
            <w:pPr>
              <w:jc w:val="left"/>
              <w:rPr>
                <w:color w:val="000000"/>
                <w:sz w:val="20"/>
                <w:szCs w:val="20"/>
              </w:rPr>
            </w:pPr>
            <w:r w:rsidRPr="0042463B">
              <w:rPr>
                <w:color w:val="000000"/>
                <w:sz w:val="20"/>
                <w:szCs w:val="20"/>
              </w:rPr>
              <w:t>Amélioration du programme national de RRR</w:t>
            </w:r>
          </w:p>
        </w:tc>
        <w:tc>
          <w:tcPr>
            <w:tcW w:w="482" w:type="pct"/>
            <w:tcBorders>
              <w:top w:val="nil"/>
              <w:left w:val="single" w:sz="4" w:space="0" w:color="auto"/>
              <w:bottom w:val="single" w:sz="4" w:space="0" w:color="auto"/>
              <w:right w:val="single" w:sz="4" w:space="0" w:color="auto"/>
            </w:tcBorders>
            <w:shd w:val="clear" w:color="000000" w:fill="FFFFFF"/>
            <w:noWrap/>
          </w:tcPr>
          <w:p w14:paraId="3FD44766" w14:textId="77777777" w:rsidR="006B5EA5" w:rsidRPr="0042463B" w:rsidRDefault="006B5EA5" w:rsidP="00EE6AB9">
            <w:pPr>
              <w:jc w:val="left"/>
              <w:rPr>
                <w:color w:val="000000"/>
                <w:sz w:val="20"/>
                <w:szCs w:val="20"/>
              </w:rPr>
            </w:pPr>
            <w:r w:rsidRPr="0042463B">
              <w:rPr>
                <w:color w:val="000000"/>
                <w:sz w:val="20"/>
                <w:szCs w:val="20"/>
              </w:rPr>
              <w:t>ONUDI</w:t>
            </w:r>
          </w:p>
        </w:tc>
        <w:tc>
          <w:tcPr>
            <w:tcW w:w="576" w:type="pct"/>
            <w:tcBorders>
              <w:top w:val="nil"/>
              <w:left w:val="single" w:sz="4" w:space="0" w:color="auto"/>
              <w:bottom w:val="single" w:sz="4" w:space="0" w:color="auto"/>
              <w:right w:val="single" w:sz="4" w:space="0" w:color="auto"/>
            </w:tcBorders>
            <w:shd w:val="clear" w:color="000000" w:fill="FFFFFF"/>
          </w:tcPr>
          <w:p w14:paraId="4DC3E4E7" w14:textId="77777777" w:rsidR="006B5EA5" w:rsidRPr="0042463B" w:rsidRDefault="006B5EA5" w:rsidP="00915491">
            <w:pPr>
              <w:ind w:right="-16"/>
              <w:jc w:val="right"/>
              <w:rPr>
                <w:color w:val="000000"/>
                <w:sz w:val="20"/>
                <w:szCs w:val="20"/>
              </w:rPr>
            </w:pPr>
            <w:r w:rsidRPr="0042463B">
              <w:rPr>
                <w:color w:val="000000"/>
                <w:sz w:val="20"/>
                <w:szCs w:val="20"/>
              </w:rPr>
              <w:t>72 000</w:t>
            </w:r>
          </w:p>
        </w:tc>
        <w:tc>
          <w:tcPr>
            <w:tcW w:w="578" w:type="pct"/>
            <w:vMerge/>
            <w:tcBorders>
              <w:top w:val="single" w:sz="4" w:space="0" w:color="auto"/>
              <w:left w:val="single" w:sz="4" w:space="0" w:color="auto"/>
              <w:bottom w:val="single" w:sz="4" w:space="0" w:color="auto"/>
              <w:right w:val="single" w:sz="4" w:space="0" w:color="auto"/>
            </w:tcBorders>
            <w:shd w:val="clear" w:color="000000" w:fill="FFFFFF"/>
          </w:tcPr>
          <w:p w14:paraId="6F3156D8" w14:textId="77777777" w:rsidR="006B5EA5" w:rsidRPr="0042463B" w:rsidRDefault="006B5EA5" w:rsidP="00915491">
            <w:pPr>
              <w:ind w:right="-16"/>
              <w:jc w:val="right"/>
              <w:rPr>
                <w:color w:val="000000"/>
                <w:sz w:val="20"/>
                <w:szCs w:val="20"/>
              </w:rPr>
            </w:pPr>
          </w:p>
        </w:tc>
        <w:tc>
          <w:tcPr>
            <w:tcW w:w="574" w:type="pct"/>
            <w:vMerge/>
            <w:tcBorders>
              <w:top w:val="single" w:sz="4" w:space="0" w:color="auto"/>
              <w:left w:val="single" w:sz="4" w:space="0" w:color="auto"/>
              <w:bottom w:val="single" w:sz="4" w:space="0" w:color="auto"/>
              <w:right w:val="single" w:sz="4" w:space="0" w:color="auto"/>
            </w:tcBorders>
            <w:shd w:val="clear" w:color="000000" w:fill="FFFFFF"/>
          </w:tcPr>
          <w:p w14:paraId="52DD9002" w14:textId="77777777" w:rsidR="006B5EA5" w:rsidRPr="0042463B" w:rsidRDefault="006B5EA5" w:rsidP="00915491">
            <w:pPr>
              <w:ind w:right="-16"/>
              <w:jc w:val="right"/>
              <w:rPr>
                <w:color w:val="000000"/>
                <w:sz w:val="20"/>
                <w:szCs w:val="20"/>
              </w:rPr>
            </w:pPr>
          </w:p>
        </w:tc>
      </w:tr>
      <w:tr w:rsidR="006B5EA5" w:rsidRPr="0042463B" w14:paraId="45DA2DEA" w14:textId="77777777" w:rsidTr="008177A4">
        <w:tc>
          <w:tcPr>
            <w:tcW w:w="2790" w:type="pct"/>
            <w:tcBorders>
              <w:top w:val="nil"/>
              <w:left w:val="single" w:sz="4" w:space="0" w:color="auto"/>
              <w:bottom w:val="single" w:sz="4" w:space="0" w:color="auto"/>
              <w:right w:val="nil"/>
            </w:tcBorders>
            <w:shd w:val="clear" w:color="000000" w:fill="FFFFFF"/>
            <w:noWrap/>
            <w:tcMar>
              <w:left w:w="43" w:type="dxa"/>
              <w:right w:w="0" w:type="dxa"/>
            </w:tcMar>
          </w:tcPr>
          <w:p w14:paraId="765D6423" w14:textId="77777777" w:rsidR="006B5EA5" w:rsidRPr="0042463B" w:rsidRDefault="006B5EA5" w:rsidP="00EE6AB9">
            <w:pPr>
              <w:jc w:val="left"/>
              <w:rPr>
                <w:color w:val="000000"/>
                <w:sz w:val="20"/>
                <w:szCs w:val="20"/>
              </w:rPr>
            </w:pPr>
            <w:r w:rsidRPr="0042463B">
              <w:rPr>
                <w:color w:val="000000"/>
                <w:sz w:val="20"/>
                <w:szCs w:val="20"/>
              </w:rPr>
              <w:t>Activités de sensibilisation et de diffusion pour promouvoir l’élimination des HCFC et l’adoption de substituts à faible PRG</w:t>
            </w:r>
          </w:p>
        </w:tc>
        <w:tc>
          <w:tcPr>
            <w:tcW w:w="482" w:type="pct"/>
            <w:tcBorders>
              <w:top w:val="nil"/>
              <w:left w:val="single" w:sz="4" w:space="0" w:color="auto"/>
              <w:bottom w:val="single" w:sz="4" w:space="0" w:color="auto"/>
              <w:right w:val="single" w:sz="4" w:space="0" w:color="auto"/>
            </w:tcBorders>
            <w:shd w:val="clear" w:color="000000" w:fill="FFFFFF"/>
          </w:tcPr>
          <w:p w14:paraId="77D78C78" w14:textId="77777777" w:rsidR="006B5EA5" w:rsidRPr="0042463B" w:rsidRDefault="006B5EA5" w:rsidP="00EE6AB9">
            <w:pPr>
              <w:jc w:val="left"/>
              <w:rPr>
                <w:color w:val="000000"/>
                <w:sz w:val="20"/>
                <w:szCs w:val="20"/>
              </w:rPr>
            </w:pPr>
            <w:r w:rsidRPr="0042463B">
              <w:rPr>
                <w:color w:val="000000"/>
                <w:sz w:val="20"/>
                <w:szCs w:val="20"/>
              </w:rPr>
              <w:t>PNUE</w:t>
            </w:r>
          </w:p>
        </w:tc>
        <w:tc>
          <w:tcPr>
            <w:tcW w:w="576" w:type="pct"/>
            <w:tcBorders>
              <w:bottom w:val="single" w:sz="4" w:space="0" w:color="auto"/>
            </w:tcBorders>
            <w:shd w:val="clear" w:color="auto" w:fill="auto"/>
            <w:noWrap/>
            <w:tcMar>
              <w:left w:w="115" w:type="dxa"/>
              <w:right w:w="432" w:type="dxa"/>
            </w:tcMar>
          </w:tcPr>
          <w:p w14:paraId="2334DE3E" w14:textId="77777777" w:rsidR="006B5EA5" w:rsidRPr="0042463B" w:rsidRDefault="006B5EA5" w:rsidP="009678E9">
            <w:pPr>
              <w:ind w:right="-344"/>
              <w:jc w:val="right"/>
              <w:rPr>
                <w:color w:val="000000"/>
                <w:sz w:val="20"/>
                <w:szCs w:val="20"/>
              </w:rPr>
            </w:pPr>
            <w:r w:rsidRPr="0042463B">
              <w:rPr>
                <w:color w:val="000000"/>
                <w:sz w:val="20"/>
                <w:szCs w:val="20"/>
              </w:rPr>
              <w:t>73 000</w:t>
            </w:r>
          </w:p>
        </w:tc>
        <w:tc>
          <w:tcPr>
            <w:tcW w:w="578" w:type="pct"/>
            <w:vMerge/>
          </w:tcPr>
          <w:p w14:paraId="3E3EB3BC" w14:textId="77777777" w:rsidR="006B5EA5" w:rsidRPr="0042463B" w:rsidRDefault="006B5EA5" w:rsidP="009678E9">
            <w:pPr>
              <w:ind w:right="-344"/>
              <w:jc w:val="right"/>
              <w:rPr>
                <w:color w:val="000000"/>
                <w:sz w:val="20"/>
                <w:szCs w:val="20"/>
              </w:rPr>
            </w:pPr>
          </w:p>
        </w:tc>
        <w:tc>
          <w:tcPr>
            <w:tcW w:w="574" w:type="pct"/>
            <w:vMerge/>
          </w:tcPr>
          <w:p w14:paraId="06820A84" w14:textId="77777777" w:rsidR="006B5EA5" w:rsidRPr="0042463B" w:rsidRDefault="006B5EA5" w:rsidP="009678E9">
            <w:pPr>
              <w:ind w:right="-344"/>
              <w:jc w:val="right"/>
              <w:rPr>
                <w:color w:val="000000"/>
                <w:sz w:val="20"/>
                <w:szCs w:val="20"/>
              </w:rPr>
            </w:pPr>
          </w:p>
        </w:tc>
      </w:tr>
      <w:tr w:rsidR="006B5EA5" w:rsidRPr="0042463B" w14:paraId="6E0469F7" w14:textId="77777777" w:rsidTr="008177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90" w:type="pct"/>
            <w:tcBorders>
              <w:top w:val="single" w:sz="4" w:space="0" w:color="auto"/>
              <w:left w:val="single" w:sz="4" w:space="0" w:color="auto"/>
              <w:bottom w:val="single" w:sz="4" w:space="0" w:color="auto"/>
              <w:right w:val="nil"/>
            </w:tcBorders>
            <w:shd w:val="clear" w:color="000000" w:fill="FFFFFF"/>
            <w:noWrap/>
            <w:tcMar>
              <w:left w:w="43" w:type="dxa"/>
              <w:right w:w="0" w:type="dxa"/>
            </w:tcMar>
          </w:tcPr>
          <w:p w14:paraId="5E203A2E" w14:textId="77777777" w:rsidR="006B5EA5" w:rsidRPr="0042463B" w:rsidRDefault="006B5EA5" w:rsidP="00EE6AB9">
            <w:pPr>
              <w:jc w:val="center"/>
              <w:rPr>
                <w:i/>
                <w:color w:val="000000"/>
                <w:sz w:val="20"/>
                <w:szCs w:val="20"/>
              </w:rPr>
            </w:pPr>
            <w:r w:rsidRPr="0042463B">
              <w:rPr>
                <w:i/>
                <w:color w:val="000000"/>
                <w:sz w:val="20"/>
                <w:szCs w:val="20"/>
              </w:rPr>
              <w:t>Sous-total du secteur de l’entretien</w:t>
            </w:r>
          </w:p>
        </w:tc>
        <w:tc>
          <w:tcPr>
            <w:tcW w:w="482" w:type="pct"/>
            <w:tcBorders>
              <w:top w:val="single" w:sz="4" w:space="0" w:color="auto"/>
              <w:left w:val="single" w:sz="4" w:space="0" w:color="auto"/>
              <w:bottom w:val="single" w:sz="4" w:space="0" w:color="auto"/>
              <w:right w:val="single" w:sz="4" w:space="0" w:color="auto"/>
            </w:tcBorders>
            <w:shd w:val="clear" w:color="000000" w:fill="FFFFFF"/>
            <w:noWrap/>
          </w:tcPr>
          <w:p w14:paraId="1564DE31" w14:textId="77777777" w:rsidR="006B5EA5" w:rsidRPr="0042463B" w:rsidRDefault="006B5EA5" w:rsidP="00EE6AB9">
            <w:pPr>
              <w:jc w:val="center"/>
              <w:rPr>
                <w:b/>
                <w:color w:val="000000"/>
                <w:sz w:val="20"/>
                <w:szCs w:val="20"/>
              </w:rPr>
            </w:pPr>
          </w:p>
        </w:tc>
        <w:tc>
          <w:tcPr>
            <w:tcW w:w="576" w:type="pct"/>
            <w:tcBorders>
              <w:top w:val="single" w:sz="4" w:space="0" w:color="auto"/>
              <w:left w:val="single" w:sz="4" w:space="0" w:color="auto"/>
              <w:bottom w:val="single" w:sz="4" w:space="0" w:color="auto"/>
              <w:right w:val="single" w:sz="4" w:space="0" w:color="auto"/>
            </w:tcBorders>
            <w:shd w:val="clear" w:color="000000" w:fill="FFFFFF"/>
          </w:tcPr>
          <w:p w14:paraId="59ACAB5B" w14:textId="77777777" w:rsidR="006B5EA5" w:rsidRPr="0042463B" w:rsidRDefault="006B5EA5" w:rsidP="00FE365A">
            <w:pPr>
              <w:ind w:right="-16"/>
              <w:jc w:val="right"/>
              <w:rPr>
                <w:color w:val="000000"/>
                <w:sz w:val="20"/>
                <w:szCs w:val="20"/>
              </w:rPr>
            </w:pPr>
            <w:r w:rsidRPr="0042463B">
              <w:rPr>
                <w:color w:val="000000"/>
                <w:sz w:val="20"/>
                <w:szCs w:val="20"/>
              </w:rPr>
              <w:t>448 000</w:t>
            </w:r>
          </w:p>
        </w:tc>
        <w:tc>
          <w:tcPr>
            <w:tcW w:w="578" w:type="pct"/>
            <w:vMerge/>
            <w:tcBorders>
              <w:top w:val="single" w:sz="4" w:space="0" w:color="auto"/>
              <w:left w:val="single" w:sz="4" w:space="0" w:color="auto"/>
              <w:bottom w:val="single" w:sz="4" w:space="0" w:color="auto"/>
              <w:right w:val="single" w:sz="4" w:space="0" w:color="auto"/>
            </w:tcBorders>
            <w:shd w:val="clear" w:color="000000" w:fill="FFFFFF"/>
          </w:tcPr>
          <w:p w14:paraId="5036ACAE" w14:textId="77777777" w:rsidR="006B5EA5" w:rsidRPr="0042463B" w:rsidRDefault="006B5EA5" w:rsidP="00FE365A">
            <w:pPr>
              <w:ind w:right="-16"/>
              <w:jc w:val="right"/>
              <w:rPr>
                <w:color w:val="000000"/>
                <w:sz w:val="20"/>
                <w:szCs w:val="20"/>
              </w:rPr>
            </w:pPr>
          </w:p>
        </w:tc>
        <w:tc>
          <w:tcPr>
            <w:tcW w:w="574" w:type="pct"/>
            <w:vMerge/>
            <w:tcBorders>
              <w:top w:val="single" w:sz="4" w:space="0" w:color="auto"/>
              <w:left w:val="single" w:sz="4" w:space="0" w:color="auto"/>
              <w:bottom w:val="single" w:sz="4" w:space="0" w:color="auto"/>
              <w:right w:val="single" w:sz="4" w:space="0" w:color="auto"/>
            </w:tcBorders>
            <w:shd w:val="clear" w:color="000000" w:fill="FFFFFF"/>
          </w:tcPr>
          <w:p w14:paraId="5C8B7B42" w14:textId="77777777" w:rsidR="006B5EA5" w:rsidRPr="0042463B" w:rsidRDefault="006B5EA5" w:rsidP="00FE365A">
            <w:pPr>
              <w:ind w:right="-16"/>
              <w:jc w:val="right"/>
              <w:rPr>
                <w:color w:val="000000"/>
                <w:sz w:val="20"/>
                <w:szCs w:val="20"/>
              </w:rPr>
            </w:pPr>
          </w:p>
        </w:tc>
      </w:tr>
      <w:tr w:rsidR="008F2F5F" w:rsidRPr="0042463B" w14:paraId="522ED2A8" w14:textId="77777777" w:rsidTr="008177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90" w:type="pct"/>
            <w:tcBorders>
              <w:top w:val="single" w:sz="4" w:space="0" w:color="auto"/>
              <w:left w:val="single" w:sz="4" w:space="0" w:color="auto"/>
              <w:bottom w:val="single" w:sz="4" w:space="0" w:color="auto"/>
              <w:right w:val="nil"/>
            </w:tcBorders>
            <w:shd w:val="clear" w:color="000000" w:fill="FFFFFF"/>
            <w:noWrap/>
            <w:tcMar>
              <w:left w:w="43" w:type="dxa"/>
              <w:right w:w="0" w:type="dxa"/>
            </w:tcMar>
          </w:tcPr>
          <w:p w14:paraId="3A622483" w14:textId="77777777" w:rsidR="008F2F5F" w:rsidRPr="0042463B" w:rsidRDefault="008F2F5F" w:rsidP="008F2F5F">
            <w:pPr>
              <w:jc w:val="left"/>
              <w:rPr>
                <w:color w:val="000000"/>
                <w:sz w:val="20"/>
                <w:szCs w:val="20"/>
              </w:rPr>
            </w:pPr>
            <w:r w:rsidRPr="0042463B">
              <w:rPr>
                <w:color w:val="000000"/>
                <w:sz w:val="20"/>
                <w:szCs w:val="20"/>
              </w:rPr>
              <w:t>Unité de gestion de projet</w:t>
            </w:r>
          </w:p>
        </w:tc>
        <w:tc>
          <w:tcPr>
            <w:tcW w:w="482" w:type="pct"/>
            <w:tcBorders>
              <w:top w:val="single" w:sz="4" w:space="0" w:color="auto"/>
              <w:left w:val="single" w:sz="4" w:space="0" w:color="auto"/>
              <w:bottom w:val="single" w:sz="4" w:space="0" w:color="auto"/>
              <w:right w:val="single" w:sz="4" w:space="0" w:color="auto"/>
            </w:tcBorders>
            <w:shd w:val="clear" w:color="000000" w:fill="FFFFFF"/>
            <w:noWrap/>
          </w:tcPr>
          <w:p w14:paraId="621F9220" w14:textId="77777777" w:rsidR="008F2F5F" w:rsidRPr="0042463B" w:rsidRDefault="008F2F5F" w:rsidP="00EE6AB9">
            <w:pPr>
              <w:jc w:val="center"/>
              <w:rPr>
                <w:b/>
                <w:color w:val="000000"/>
                <w:sz w:val="20"/>
                <w:szCs w:val="20"/>
              </w:rPr>
            </w:pPr>
          </w:p>
        </w:tc>
        <w:tc>
          <w:tcPr>
            <w:tcW w:w="576" w:type="pct"/>
            <w:tcBorders>
              <w:top w:val="single" w:sz="4" w:space="0" w:color="auto"/>
              <w:left w:val="single" w:sz="4" w:space="0" w:color="auto"/>
              <w:bottom w:val="single" w:sz="4" w:space="0" w:color="auto"/>
              <w:right w:val="single" w:sz="4" w:space="0" w:color="auto"/>
            </w:tcBorders>
            <w:shd w:val="clear" w:color="000000" w:fill="FFFFFF"/>
          </w:tcPr>
          <w:p w14:paraId="7035BBF9" w14:textId="77777777" w:rsidR="008F2F5F" w:rsidRPr="0042463B" w:rsidRDefault="008F2F5F" w:rsidP="00FE365A">
            <w:pPr>
              <w:ind w:right="-16"/>
              <w:jc w:val="right"/>
              <w:rPr>
                <w:color w:val="000000"/>
                <w:sz w:val="20"/>
                <w:szCs w:val="20"/>
              </w:rPr>
            </w:pPr>
            <w:r w:rsidRPr="0042463B">
              <w:rPr>
                <w:color w:val="000000"/>
                <w:sz w:val="20"/>
                <w:szCs w:val="20"/>
              </w:rPr>
              <w:t>98 000</w:t>
            </w:r>
          </w:p>
        </w:tc>
        <w:tc>
          <w:tcPr>
            <w:tcW w:w="578" w:type="pct"/>
            <w:tcBorders>
              <w:top w:val="single" w:sz="4" w:space="0" w:color="auto"/>
              <w:left w:val="single" w:sz="4" w:space="0" w:color="auto"/>
              <w:bottom w:val="single" w:sz="4" w:space="0" w:color="auto"/>
              <w:right w:val="single" w:sz="4" w:space="0" w:color="auto"/>
            </w:tcBorders>
            <w:shd w:val="clear" w:color="000000" w:fill="FFFFFF"/>
          </w:tcPr>
          <w:p w14:paraId="5879444E" w14:textId="77777777" w:rsidR="008F2F5F" w:rsidRPr="0042463B" w:rsidRDefault="008F2F5F" w:rsidP="006B5EA5">
            <w:pPr>
              <w:ind w:right="-16"/>
              <w:jc w:val="right"/>
              <w:rPr>
                <w:b/>
                <w:color w:val="000000"/>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000000" w:fill="FFFFFF"/>
          </w:tcPr>
          <w:p w14:paraId="3F3E4020" w14:textId="77777777" w:rsidR="008F2F5F" w:rsidRPr="0042463B" w:rsidRDefault="008F2F5F" w:rsidP="006B5EA5">
            <w:pPr>
              <w:ind w:right="-16"/>
              <w:jc w:val="right"/>
              <w:rPr>
                <w:b/>
                <w:color w:val="000000"/>
                <w:sz w:val="20"/>
                <w:szCs w:val="20"/>
              </w:rPr>
            </w:pPr>
          </w:p>
        </w:tc>
      </w:tr>
      <w:tr w:rsidR="006B5EA5" w:rsidRPr="0042463B" w14:paraId="2A52BA19" w14:textId="77777777" w:rsidTr="008177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90" w:type="pct"/>
            <w:tcBorders>
              <w:top w:val="single" w:sz="4" w:space="0" w:color="auto"/>
              <w:left w:val="single" w:sz="4" w:space="0" w:color="auto"/>
              <w:bottom w:val="single" w:sz="4" w:space="0" w:color="auto"/>
              <w:right w:val="nil"/>
            </w:tcBorders>
            <w:shd w:val="clear" w:color="000000" w:fill="FFFFFF"/>
            <w:noWrap/>
            <w:tcMar>
              <w:left w:w="43" w:type="dxa"/>
              <w:right w:w="0" w:type="dxa"/>
            </w:tcMar>
          </w:tcPr>
          <w:p w14:paraId="6954585C" w14:textId="77777777" w:rsidR="006B5EA5" w:rsidRPr="0042463B" w:rsidRDefault="006B5EA5" w:rsidP="00EE6AB9">
            <w:pPr>
              <w:jc w:val="center"/>
              <w:rPr>
                <w:b/>
                <w:color w:val="000000"/>
                <w:sz w:val="20"/>
                <w:szCs w:val="20"/>
              </w:rPr>
            </w:pPr>
            <w:r w:rsidRPr="0042463B">
              <w:rPr>
                <w:b/>
                <w:color w:val="000000"/>
                <w:sz w:val="20"/>
                <w:szCs w:val="20"/>
              </w:rPr>
              <w:t xml:space="preserve">Total </w:t>
            </w:r>
          </w:p>
        </w:tc>
        <w:tc>
          <w:tcPr>
            <w:tcW w:w="482" w:type="pct"/>
            <w:tcBorders>
              <w:top w:val="single" w:sz="4" w:space="0" w:color="auto"/>
              <w:left w:val="single" w:sz="4" w:space="0" w:color="auto"/>
              <w:bottom w:val="single" w:sz="4" w:space="0" w:color="auto"/>
              <w:right w:val="single" w:sz="4" w:space="0" w:color="auto"/>
            </w:tcBorders>
            <w:shd w:val="clear" w:color="000000" w:fill="FFFFFF"/>
            <w:noWrap/>
          </w:tcPr>
          <w:p w14:paraId="63CEBFC0" w14:textId="77777777" w:rsidR="006B5EA5" w:rsidRPr="0042463B" w:rsidRDefault="006B5EA5" w:rsidP="00EE6AB9">
            <w:pPr>
              <w:jc w:val="center"/>
              <w:rPr>
                <w:b/>
                <w:color w:val="000000"/>
                <w:sz w:val="20"/>
                <w:szCs w:val="20"/>
              </w:rPr>
            </w:pPr>
          </w:p>
        </w:tc>
        <w:tc>
          <w:tcPr>
            <w:tcW w:w="576" w:type="pct"/>
            <w:tcBorders>
              <w:top w:val="single" w:sz="4" w:space="0" w:color="auto"/>
              <w:left w:val="single" w:sz="4" w:space="0" w:color="auto"/>
              <w:bottom w:val="single" w:sz="4" w:space="0" w:color="auto"/>
              <w:right w:val="single" w:sz="4" w:space="0" w:color="auto"/>
            </w:tcBorders>
            <w:shd w:val="clear" w:color="000000" w:fill="FFFFFF"/>
          </w:tcPr>
          <w:p w14:paraId="0D9F0C09" w14:textId="77777777" w:rsidR="006B5EA5" w:rsidRPr="0042463B" w:rsidRDefault="006B5EA5" w:rsidP="00FE365A">
            <w:pPr>
              <w:ind w:right="-16"/>
              <w:jc w:val="right"/>
              <w:rPr>
                <w:b/>
                <w:color w:val="000000"/>
                <w:sz w:val="20"/>
                <w:szCs w:val="20"/>
              </w:rPr>
            </w:pPr>
            <w:r w:rsidRPr="0042463B">
              <w:rPr>
                <w:b/>
                <w:color w:val="000000"/>
                <w:sz w:val="20"/>
                <w:szCs w:val="20"/>
              </w:rPr>
              <w:t>662 999</w:t>
            </w:r>
          </w:p>
        </w:tc>
        <w:tc>
          <w:tcPr>
            <w:tcW w:w="578" w:type="pct"/>
            <w:tcBorders>
              <w:top w:val="single" w:sz="4" w:space="0" w:color="auto"/>
              <w:left w:val="single" w:sz="4" w:space="0" w:color="auto"/>
              <w:bottom w:val="single" w:sz="4" w:space="0" w:color="auto"/>
              <w:right w:val="single" w:sz="4" w:space="0" w:color="auto"/>
            </w:tcBorders>
            <w:shd w:val="clear" w:color="000000" w:fill="FFFFFF"/>
          </w:tcPr>
          <w:p w14:paraId="299D5C3C" w14:textId="77777777" w:rsidR="006B5EA5" w:rsidRPr="0042463B" w:rsidRDefault="006B5EA5" w:rsidP="006B5EA5">
            <w:pPr>
              <w:ind w:right="-16"/>
              <w:jc w:val="right"/>
              <w:rPr>
                <w:b/>
                <w:color w:val="000000"/>
                <w:sz w:val="20"/>
                <w:szCs w:val="20"/>
              </w:rPr>
            </w:pPr>
            <w:r w:rsidRPr="0042463B">
              <w:rPr>
                <w:b/>
                <w:color w:val="000000"/>
                <w:sz w:val="20"/>
                <w:szCs w:val="20"/>
              </w:rPr>
              <w:t>105,79</w:t>
            </w:r>
          </w:p>
        </w:tc>
        <w:tc>
          <w:tcPr>
            <w:tcW w:w="574" w:type="pct"/>
            <w:tcBorders>
              <w:top w:val="single" w:sz="4" w:space="0" w:color="auto"/>
              <w:left w:val="single" w:sz="4" w:space="0" w:color="auto"/>
              <w:bottom w:val="single" w:sz="4" w:space="0" w:color="auto"/>
              <w:right w:val="single" w:sz="4" w:space="0" w:color="auto"/>
            </w:tcBorders>
            <w:shd w:val="clear" w:color="000000" w:fill="FFFFFF"/>
          </w:tcPr>
          <w:p w14:paraId="14E82EA9" w14:textId="77777777" w:rsidR="006B5EA5" w:rsidRPr="0042463B" w:rsidRDefault="006B5EA5" w:rsidP="006B5EA5">
            <w:pPr>
              <w:ind w:right="-16"/>
              <w:jc w:val="right"/>
              <w:rPr>
                <w:b/>
                <w:color w:val="000000"/>
                <w:sz w:val="20"/>
                <w:szCs w:val="20"/>
              </w:rPr>
            </w:pPr>
            <w:r w:rsidRPr="0042463B">
              <w:rPr>
                <w:b/>
                <w:color w:val="000000"/>
                <w:sz w:val="20"/>
                <w:szCs w:val="20"/>
              </w:rPr>
              <w:t>6,27</w:t>
            </w:r>
          </w:p>
        </w:tc>
      </w:tr>
      <w:tr w:rsidR="006B5EA5" w:rsidRPr="0042463B" w14:paraId="5675C7DC" w14:textId="77777777" w:rsidTr="008177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90" w:type="pct"/>
            <w:tcBorders>
              <w:top w:val="single" w:sz="4" w:space="0" w:color="auto"/>
              <w:left w:val="single" w:sz="4" w:space="0" w:color="auto"/>
              <w:bottom w:val="single" w:sz="4" w:space="0" w:color="auto"/>
              <w:right w:val="nil"/>
            </w:tcBorders>
            <w:shd w:val="clear" w:color="000000" w:fill="FFFFFF"/>
            <w:noWrap/>
            <w:tcMar>
              <w:left w:w="43" w:type="dxa"/>
              <w:right w:w="0" w:type="dxa"/>
            </w:tcMar>
          </w:tcPr>
          <w:p w14:paraId="42BA2D78" w14:textId="77777777" w:rsidR="006B5EA5" w:rsidRPr="0042463B" w:rsidRDefault="006B5EA5" w:rsidP="00984BC0">
            <w:pPr>
              <w:jc w:val="left"/>
              <w:rPr>
                <w:color w:val="000000"/>
                <w:sz w:val="20"/>
                <w:szCs w:val="20"/>
              </w:rPr>
            </w:pPr>
            <w:r w:rsidRPr="0042463B">
              <w:rPr>
                <w:color w:val="000000"/>
                <w:sz w:val="20"/>
                <w:szCs w:val="20"/>
              </w:rPr>
              <w:t xml:space="preserve">Réduction volontaire de HCFC-22 dans la fabrication de climatiseurs chez AGM </w:t>
            </w:r>
          </w:p>
        </w:tc>
        <w:tc>
          <w:tcPr>
            <w:tcW w:w="1058" w:type="pct"/>
            <w:gridSpan w:val="2"/>
            <w:tcBorders>
              <w:top w:val="single" w:sz="4" w:space="0" w:color="auto"/>
              <w:left w:val="single" w:sz="4" w:space="0" w:color="auto"/>
              <w:bottom w:val="single" w:sz="4" w:space="0" w:color="auto"/>
              <w:right w:val="single" w:sz="4" w:space="0" w:color="auto"/>
            </w:tcBorders>
            <w:shd w:val="clear" w:color="000000" w:fill="FFFFFF"/>
            <w:noWrap/>
          </w:tcPr>
          <w:p w14:paraId="7B6F2D01" w14:textId="77777777" w:rsidR="006B5EA5" w:rsidRPr="0042463B" w:rsidRDefault="006B5EA5" w:rsidP="00EE6AB9">
            <w:pPr>
              <w:ind w:right="-16"/>
              <w:jc w:val="center"/>
              <w:rPr>
                <w:color w:val="000000"/>
                <w:sz w:val="20"/>
                <w:szCs w:val="20"/>
              </w:rPr>
            </w:pPr>
            <w:r w:rsidRPr="0042463B">
              <w:rPr>
                <w:color w:val="000000"/>
                <w:sz w:val="20"/>
                <w:szCs w:val="20"/>
              </w:rPr>
              <w:t>0</w:t>
            </w:r>
          </w:p>
        </w:tc>
        <w:tc>
          <w:tcPr>
            <w:tcW w:w="578" w:type="pct"/>
            <w:tcBorders>
              <w:top w:val="single" w:sz="4" w:space="0" w:color="auto"/>
              <w:left w:val="single" w:sz="4" w:space="0" w:color="auto"/>
              <w:bottom w:val="single" w:sz="4" w:space="0" w:color="auto"/>
              <w:right w:val="single" w:sz="4" w:space="0" w:color="auto"/>
            </w:tcBorders>
            <w:shd w:val="clear" w:color="000000" w:fill="FFFFFF"/>
          </w:tcPr>
          <w:p w14:paraId="731E8C73" w14:textId="77777777" w:rsidR="006B5EA5" w:rsidRPr="0042463B" w:rsidRDefault="00F13CF8" w:rsidP="00F62093">
            <w:pPr>
              <w:ind w:right="-16"/>
              <w:jc w:val="right"/>
              <w:rPr>
                <w:color w:val="000000"/>
                <w:sz w:val="20"/>
                <w:szCs w:val="20"/>
              </w:rPr>
            </w:pPr>
            <w:r w:rsidRPr="0042463B">
              <w:rPr>
                <w:color w:val="000000"/>
                <w:sz w:val="20"/>
                <w:szCs w:val="20"/>
              </w:rPr>
              <w:t>300,00</w:t>
            </w:r>
          </w:p>
        </w:tc>
        <w:tc>
          <w:tcPr>
            <w:tcW w:w="574" w:type="pct"/>
            <w:tcBorders>
              <w:top w:val="single" w:sz="4" w:space="0" w:color="auto"/>
              <w:left w:val="single" w:sz="4" w:space="0" w:color="auto"/>
              <w:bottom w:val="single" w:sz="4" w:space="0" w:color="auto"/>
              <w:right w:val="single" w:sz="4" w:space="0" w:color="auto"/>
            </w:tcBorders>
            <w:shd w:val="clear" w:color="000000" w:fill="FFFFFF"/>
          </w:tcPr>
          <w:p w14:paraId="75FF192D" w14:textId="77777777" w:rsidR="006B5EA5" w:rsidRPr="0042463B" w:rsidRDefault="006B5EA5" w:rsidP="00AD262D">
            <w:pPr>
              <w:ind w:right="-16"/>
              <w:jc w:val="right"/>
              <w:rPr>
                <w:color w:val="000000"/>
                <w:sz w:val="20"/>
                <w:szCs w:val="20"/>
              </w:rPr>
            </w:pPr>
            <w:r w:rsidRPr="0042463B">
              <w:rPr>
                <w:color w:val="000000"/>
                <w:sz w:val="20"/>
                <w:szCs w:val="20"/>
              </w:rPr>
              <w:t>0</w:t>
            </w:r>
          </w:p>
        </w:tc>
      </w:tr>
    </w:tbl>
    <w:p w14:paraId="7F812E24" w14:textId="13AE74F2" w:rsidR="00E704CD" w:rsidRPr="0042463B" w:rsidRDefault="00D00B90" w:rsidP="00E704CD">
      <w:pPr>
        <w:rPr>
          <w:sz w:val="18"/>
          <w:szCs w:val="18"/>
        </w:rPr>
      </w:pPr>
      <w:r w:rsidRPr="0042463B">
        <w:rPr>
          <w:sz w:val="18"/>
          <w:szCs w:val="18"/>
        </w:rPr>
        <w:t>*Le projet-cadre éliminera non seulement les 12,46 </w:t>
      </w:r>
      <w:proofErr w:type="spellStart"/>
      <w:r w:rsidRPr="0042463B">
        <w:rPr>
          <w:sz w:val="18"/>
          <w:szCs w:val="18"/>
        </w:rPr>
        <w:t>tm</w:t>
      </w:r>
      <w:proofErr w:type="spellEnd"/>
      <w:r w:rsidRPr="0042463B">
        <w:rPr>
          <w:sz w:val="18"/>
          <w:szCs w:val="18"/>
        </w:rPr>
        <w:t xml:space="preserve"> de consommation admissible dans quatre entreprises, mais il éliminera également toute la consommation restante non admissible et éliminera l’utilisation du HCFC-141b contenu dans les polyols </w:t>
      </w:r>
      <w:proofErr w:type="spellStart"/>
      <w:r w:rsidRPr="0042463B">
        <w:rPr>
          <w:sz w:val="18"/>
          <w:szCs w:val="18"/>
        </w:rPr>
        <w:t>prémélangés</w:t>
      </w:r>
      <w:proofErr w:type="spellEnd"/>
      <w:r w:rsidRPr="0042463B">
        <w:rPr>
          <w:sz w:val="18"/>
          <w:szCs w:val="18"/>
        </w:rPr>
        <w:t xml:space="preserve"> importés dans le secteur des mousses de Bahreïn.  </w:t>
      </w:r>
    </w:p>
    <w:p w14:paraId="457C5B9E" w14:textId="77777777" w:rsidR="00BB78FC" w:rsidRPr="0042463B" w:rsidRDefault="00BB78FC" w:rsidP="00E704CD"/>
    <w:p w14:paraId="19D41883" w14:textId="77777777" w:rsidR="00EB31E3" w:rsidRPr="0042463B" w:rsidRDefault="00EB31E3" w:rsidP="00EF54E8">
      <w:pPr>
        <w:widowControl w:val="0"/>
        <w:spacing w:after="240"/>
        <w:rPr>
          <w:u w:val="single"/>
        </w:rPr>
      </w:pPr>
      <w:r w:rsidRPr="0042463B">
        <w:rPr>
          <w:u w:val="single"/>
        </w:rPr>
        <w:t xml:space="preserve">Activités prévues pour la première tranche de la phase II </w:t>
      </w:r>
    </w:p>
    <w:p w14:paraId="78BD0FC3" w14:textId="382D868F" w:rsidR="008C5AFE" w:rsidRPr="0042463B" w:rsidRDefault="008C5AFE" w:rsidP="00244798">
      <w:pPr>
        <w:pStyle w:val="Heading1"/>
        <w:widowControl w:val="0"/>
      </w:pPr>
      <w:r w:rsidRPr="0042463B">
        <w:t xml:space="preserve">La première tranche de la phase II du PGEH, pour un montant total de 448 000 $ US, sera mise en </w:t>
      </w:r>
      <w:r w:rsidRPr="0042463B">
        <w:lastRenderedPageBreak/>
        <w:t>œuvre entre novembre 2021 et novembre 2023 et comprendra les activités suivantes :</w:t>
      </w:r>
    </w:p>
    <w:p w14:paraId="5B9149C9" w14:textId="50BE7A44" w:rsidR="00025AD9" w:rsidRPr="0042463B" w:rsidRDefault="00025AD9" w:rsidP="00025AD9">
      <w:pPr>
        <w:pStyle w:val="Heading2"/>
      </w:pPr>
      <w:r w:rsidRPr="0042463B">
        <w:t xml:space="preserve">Le projet-cadre pour éliminer le HCFC-141b contenu dans les polyols </w:t>
      </w:r>
      <w:proofErr w:type="spellStart"/>
      <w:r w:rsidRPr="0042463B">
        <w:t>prémélangés</w:t>
      </w:r>
      <w:proofErr w:type="spellEnd"/>
      <w:r w:rsidRPr="0042463B">
        <w:t xml:space="preserve"> importés dans les secteurs de la mousse pour la réfrigération et de la mousse pulvérisée (ONUDI) (116 999 $ US);</w:t>
      </w:r>
    </w:p>
    <w:p w14:paraId="08129232" w14:textId="0D92A3B2" w:rsidR="00356A4B" w:rsidRPr="0042463B" w:rsidRDefault="00A72CBE" w:rsidP="00A72CBE">
      <w:pPr>
        <w:pStyle w:val="Heading2"/>
      </w:pPr>
      <w:r w:rsidRPr="0042463B">
        <w:rPr>
          <w:i/>
          <w:iCs/>
        </w:rPr>
        <w:t>Politique et application de l’accroissement de la capacité (législation)</w:t>
      </w:r>
      <w:r w:rsidRPr="0042463B">
        <w:t xml:space="preserve"> : </w:t>
      </w:r>
    </w:p>
    <w:p w14:paraId="4B7F406F" w14:textId="000C32A5" w:rsidR="00A72CBE" w:rsidRPr="0042463B" w:rsidRDefault="00356A4B" w:rsidP="0063411D">
      <w:pPr>
        <w:pStyle w:val="Heading3"/>
      </w:pPr>
      <w:r w:rsidRPr="0042463B">
        <w:t>La poursuite de la campagne de sensibilisation ciblée visant les autorités gouvernementale</w:t>
      </w:r>
      <w:r w:rsidR="004B7EE9" w:rsidRPr="0042463B">
        <w:t>s</w:t>
      </w:r>
      <w:r w:rsidRPr="0042463B">
        <w:t xml:space="preserve"> et les parties prenantes concernées au sujet de l’introduction et de l’application des nouveaux règlements du CCG; la mise à jour en cours de la législation nationale sur les SAO, y compris l’élaboration de procédures et de règlements; et l’amélioration du système de permis électroniques et de suivi récemment élaboré (PNUE) (19 000$ US);</w:t>
      </w:r>
    </w:p>
    <w:p w14:paraId="6BD7CBF9" w14:textId="77777777" w:rsidR="00A72CBE" w:rsidRPr="0042463B" w:rsidRDefault="00A6266D" w:rsidP="00767209">
      <w:pPr>
        <w:pStyle w:val="Heading3"/>
      </w:pPr>
      <w:r w:rsidRPr="0042463B">
        <w:t>La formation de 20 agents des douanes sur le Protocole de Montréal et les mesures de contrôle sur l’importation des HCFC, y compris la détermination des risques et le fonctionnement des permis électroniques; l’organisation d’un atelier de formation pour 20 agents d’application de la loi afin d’appuyer l’application au-delà des postes de douane et la formation de 20 courtiers des douanes et importateurs (PNUE) (18 000$ US);</w:t>
      </w:r>
    </w:p>
    <w:p w14:paraId="50B8EDA4" w14:textId="608FEDCB" w:rsidR="00A72CBE" w:rsidRPr="0042463B" w:rsidRDefault="00A72CBE" w:rsidP="00573C17">
      <w:pPr>
        <w:pStyle w:val="Heading2"/>
      </w:pPr>
      <w:r w:rsidRPr="0042463B">
        <w:rPr>
          <w:i/>
          <w:iCs/>
        </w:rPr>
        <w:t>Élaboration de normes pour les produits et services</w:t>
      </w:r>
      <w:r w:rsidRPr="0042463B">
        <w:t> : La poursuite de l’élaboration et de l’introduction de normes et de codes nationaux qui concernent le secteur des SAO ainsi que l’introduction et la promotion de no</w:t>
      </w:r>
      <w:r w:rsidR="00D43328" w:rsidRPr="0042463B">
        <w:t>r</w:t>
      </w:r>
      <w:r w:rsidRPr="0042463B">
        <w:t>mes applicables à l’international (p. ex., étiquetage, exigences en matière de tenue de registres et de reddition de compte, normes pour l’équipement et les installations fonctionnant avec des HC et de l’ammoniac); la mise à jour des normes nationales pour les produits de réfrigération et de climatisation conformément aux normes internationales; l’élaboration des PON pour les ateliers d’entretien sur la manipulation des produits inflammables et des frigorigènes dangereux (PNUE) (23 000 $ US);</w:t>
      </w:r>
    </w:p>
    <w:p w14:paraId="618192DB" w14:textId="77777777" w:rsidR="00573C17" w:rsidRPr="0042463B" w:rsidRDefault="00573C17" w:rsidP="00573C17">
      <w:pPr>
        <w:pStyle w:val="Heading2"/>
      </w:pPr>
      <w:r w:rsidRPr="0042463B">
        <w:rPr>
          <w:i/>
          <w:iCs/>
        </w:rPr>
        <w:t>Formation et accréditation des techniciens d’entretien</w:t>
      </w:r>
      <w:r w:rsidRPr="0042463B">
        <w:t xml:space="preserve"> : </w:t>
      </w:r>
    </w:p>
    <w:p w14:paraId="42EBB313" w14:textId="77777777" w:rsidR="00573C17" w:rsidRPr="0042463B" w:rsidRDefault="00A72CBE" w:rsidP="00573C17">
      <w:pPr>
        <w:pStyle w:val="Heading3"/>
      </w:pPr>
      <w:r w:rsidRPr="0042463B">
        <w:t>La mise à jour du plan de formation pour introduire les substituts à long terme et les exigences de sécurité; l’aide auprès de chaque gouvernorat pour mettre à jour le programme de formation; et la formation de 20 enseignants sur les bonnes pratiques d’entretien à l’aide du nouveau plan (PNUE) (36 000 $ US);</w:t>
      </w:r>
    </w:p>
    <w:p w14:paraId="6741BFBC" w14:textId="7EF5DAF2" w:rsidR="00573C17" w:rsidRPr="0042463B" w:rsidRDefault="00573C17" w:rsidP="00573C17">
      <w:pPr>
        <w:pStyle w:val="Heading3"/>
      </w:pPr>
      <w:r w:rsidRPr="0042463B">
        <w:t>La mise à jour des NOCS, du NQF et des critères d’évaluation pour inclure les substituts à long terme et les exigences de sécurité; et la formation de 20 évaluateurs sur l’évaluation fondée sur les compétences (PNUE) (26</w:t>
      </w:r>
      <w:r w:rsidR="00D43328" w:rsidRPr="0042463B">
        <w:t> </w:t>
      </w:r>
      <w:r w:rsidRPr="0042463B">
        <w:t>000</w:t>
      </w:r>
      <w:r w:rsidR="00D43328" w:rsidRPr="0042463B">
        <w:t> </w:t>
      </w:r>
      <w:r w:rsidRPr="0042463B">
        <w:t xml:space="preserve">$ US); </w:t>
      </w:r>
    </w:p>
    <w:p w14:paraId="60657559" w14:textId="38DD7A17" w:rsidR="002B53A7" w:rsidRPr="0042463B" w:rsidRDefault="00A32ED6" w:rsidP="00573C17">
      <w:pPr>
        <w:pStyle w:val="Heading3"/>
      </w:pPr>
      <w:r w:rsidRPr="0042463B">
        <w:t>L’organisation d’un atelier pour 20 maîtres formateurs; la formation de 20 techniciens sur les bonnes pratiques d’entretien, la récupération et le recyclage des frigorigènes, ainsi</w:t>
      </w:r>
      <w:r w:rsidR="007A4B9F" w:rsidRPr="0042463B">
        <w:t xml:space="preserve"> que</w:t>
      </w:r>
      <w:r w:rsidRPr="0042463B">
        <w:t xml:space="preserve"> la manipulation sûre de frigorigènes inflammables; l’accréditation de 50 techniciens (PNUE) (27</w:t>
      </w:r>
      <w:r w:rsidR="007A4B9F" w:rsidRPr="0042463B">
        <w:t> </w:t>
      </w:r>
      <w:r w:rsidRPr="0042463B">
        <w:t>000</w:t>
      </w:r>
      <w:r w:rsidR="007A4B9F" w:rsidRPr="0042463B">
        <w:t> </w:t>
      </w:r>
      <w:r w:rsidRPr="0042463B">
        <w:t xml:space="preserve">$ US); </w:t>
      </w:r>
    </w:p>
    <w:p w14:paraId="2F53C04F" w14:textId="79B7C0D5" w:rsidR="00D22188" w:rsidRPr="0042463B" w:rsidRDefault="002B53A7" w:rsidP="00573C17">
      <w:pPr>
        <w:pStyle w:val="Heading3"/>
      </w:pPr>
      <w:r w:rsidRPr="0042463B">
        <w:t xml:space="preserve">La fourniture d’outils de formation et d’équipement (p. ex., collecteur, jauge de pression, pompes à vide, détecteurs de fuite, unité de récupération, outils) à quatre écoles de formation et à quatre établissements qui décernent des évaluations de compétences (ONUDI, 24 000 $ US); et des outils d’entretien et de l’équipement </w:t>
      </w:r>
      <w:r w:rsidRPr="0042463B">
        <w:lastRenderedPageBreak/>
        <w:t xml:space="preserve">(p. ex., unité de récupération, </w:t>
      </w:r>
      <w:proofErr w:type="spellStart"/>
      <w:r w:rsidRPr="0042463B">
        <w:t>microvacuomètre</w:t>
      </w:r>
      <w:proofErr w:type="spellEnd"/>
      <w:r w:rsidRPr="0042463B">
        <w:t>, détecteurs de fuite, bouteilles de récupération, ensemble de jauges de collecteurs, balance) à 45 techniciens accrédités (ONUDI) (45 000$ US);</w:t>
      </w:r>
    </w:p>
    <w:p w14:paraId="3B055C88" w14:textId="2175E9AD" w:rsidR="00A72CBE" w:rsidRPr="0042463B" w:rsidRDefault="00DA0F37" w:rsidP="009D18E7">
      <w:pPr>
        <w:pStyle w:val="Heading2"/>
      </w:pPr>
      <w:r w:rsidRPr="0042463B">
        <w:t xml:space="preserve">L’amélioration du programme national de recyclage, récupération et régénération (RRR) par la fourniture d’équipement de laboratoire (p. ex., ensemble de chromatographe en phase gazeuse, bouteilles d’échantillons) et d’outils et équipement de base (machines de récupération et bouteilles) aux centres de régénération (ONUDI) (42 000$ US); </w:t>
      </w:r>
    </w:p>
    <w:p w14:paraId="57BBB255" w14:textId="23A187B8" w:rsidR="00A72CBE" w:rsidRPr="0042463B" w:rsidRDefault="00640CFC" w:rsidP="009D18E7">
      <w:pPr>
        <w:pStyle w:val="Heading2"/>
      </w:pPr>
      <w:r w:rsidRPr="0042463B">
        <w:t>La prestation de la TA aux utilisateurs finaux de grande taille pour réduire les fuites de frigorigènes et encourager la transition vers des solutions de remplacement à long terme sans SAO par la sensibilisation, la diffusion d’information et la formation; l’établissement d’un registre à l’échelle du pays des grands systèmes de réfrigération et climatisation</w:t>
      </w:r>
      <w:r w:rsidR="00313ED8" w:rsidRPr="0042463B">
        <w:rPr>
          <w:rStyle w:val="FootnoteReference"/>
        </w:rPr>
        <w:footnoteReference w:id="11"/>
      </w:r>
      <w:r w:rsidRPr="0042463B">
        <w:t xml:space="preserve"> pour faciliter le suivi et la surveillance de fuites; l’amélioration de la gestion du cycle de vie des frigorigènes;</w:t>
      </w:r>
      <w:r w:rsidR="00313ED8" w:rsidRPr="0042463B">
        <w:rPr>
          <w:rStyle w:val="FootnoteReference"/>
        </w:rPr>
        <w:footnoteReference w:id="12"/>
      </w:r>
      <w:r w:rsidRPr="0042463B">
        <w:t xml:space="preserve"> la poursuite de la promotion de l’élimination des HCFC, l’utilisation des substituts à faible PRG par la diffusion de l’information; et l’organisation de deux événements pour lancer le RPL </w:t>
      </w:r>
      <w:r w:rsidR="00B436C7" w:rsidRPr="0042463B">
        <w:t xml:space="preserve">afin de </w:t>
      </w:r>
      <w:r w:rsidRPr="0042463B">
        <w:t>promouvoir l’accréditation des techniciens (PNUE) (51 500$ US);</w:t>
      </w:r>
    </w:p>
    <w:p w14:paraId="56B55A6B" w14:textId="5AFEB5CE" w:rsidR="00A72CBE" w:rsidRPr="0042463B" w:rsidRDefault="00A72CBE" w:rsidP="00767209">
      <w:pPr>
        <w:pStyle w:val="Heading2"/>
      </w:pPr>
      <w:r w:rsidRPr="0042463B">
        <w:t>Coordination, mise en œuvre, suivi et préparation de rapport du projet au coût de 49 000 $ US (48 000 $ US pour le personnel et les consultants</w:t>
      </w:r>
      <w:r w:rsidR="00B436C7" w:rsidRPr="0042463B">
        <w:t>)</w:t>
      </w:r>
      <w:r w:rsidRPr="0042463B">
        <w:t xml:space="preserve"> et (1 000 $ US pour les autres dépenses).</w:t>
      </w:r>
    </w:p>
    <w:p w14:paraId="32FFD70B" w14:textId="77777777" w:rsidR="0062773E" w:rsidRPr="0042463B" w:rsidRDefault="0062773E">
      <w:pPr>
        <w:jc w:val="left"/>
        <w:rPr>
          <w:b/>
        </w:rPr>
      </w:pPr>
      <w:r w:rsidRPr="0042463B">
        <w:rPr>
          <w:b/>
        </w:rPr>
        <w:br w:type="page"/>
      </w:r>
    </w:p>
    <w:p w14:paraId="5C8C15D7" w14:textId="5FC8BCCC" w:rsidR="00EB31E3" w:rsidRPr="0042463B" w:rsidRDefault="00EB31E3" w:rsidP="00767209">
      <w:pPr>
        <w:keepNext/>
        <w:spacing w:after="240"/>
        <w:jc w:val="center"/>
        <w:rPr>
          <w:b/>
        </w:rPr>
      </w:pPr>
      <w:r w:rsidRPr="0042463B">
        <w:rPr>
          <w:b/>
        </w:rPr>
        <w:lastRenderedPageBreak/>
        <w:t xml:space="preserve">OBSERVATIONS ET RECOMMANDATION DU </w:t>
      </w:r>
      <w:r w:rsidRPr="0042463B">
        <w:rPr>
          <w:b/>
          <w:bCs/>
        </w:rPr>
        <w:t>SECRÉTARIAT</w:t>
      </w:r>
    </w:p>
    <w:p w14:paraId="052EB4BF" w14:textId="77777777" w:rsidR="00EB31E3" w:rsidRPr="0042463B" w:rsidRDefault="00EB31E3" w:rsidP="00767209">
      <w:pPr>
        <w:keepNext/>
        <w:spacing w:after="240"/>
        <w:rPr>
          <w:b/>
        </w:rPr>
      </w:pPr>
      <w:r w:rsidRPr="0042463B">
        <w:rPr>
          <w:b/>
        </w:rPr>
        <w:t>OBSERVATIONS</w:t>
      </w:r>
    </w:p>
    <w:p w14:paraId="6BD8BC7B" w14:textId="77777777" w:rsidR="00EB31E3" w:rsidRPr="0042463B" w:rsidRDefault="00EB31E3" w:rsidP="00EB31E3">
      <w:pPr>
        <w:numPr>
          <w:ilvl w:val="0"/>
          <w:numId w:val="1"/>
        </w:numPr>
        <w:spacing w:after="240"/>
        <w:outlineLvl w:val="0"/>
      </w:pPr>
      <w:r w:rsidRPr="0042463B">
        <w:t xml:space="preserve">Le Secrétariat a examiné la phase II du PGEH à la lumière de la phase I, des politiques et des directives du Fonds multilatéral, incluant les critères régissant le financement de l’élimination des HCFC dans le secteur de la consommation pour la phase II du PGEH (décision 74/50), et le plan d’activités du Fonds multilatéral pour 2021 à 2023. </w:t>
      </w:r>
    </w:p>
    <w:p w14:paraId="74C3A441" w14:textId="77777777" w:rsidR="009B101B" w:rsidRPr="0042463B" w:rsidRDefault="009B101B" w:rsidP="00EB31E3">
      <w:pPr>
        <w:spacing w:after="240"/>
        <w:rPr>
          <w:u w:val="single"/>
        </w:rPr>
      </w:pPr>
      <w:r w:rsidRPr="0042463B">
        <w:rPr>
          <w:u w:val="single"/>
        </w:rPr>
        <w:t xml:space="preserve">Consommation de HCFC et conformité </w:t>
      </w:r>
    </w:p>
    <w:p w14:paraId="10814F45" w14:textId="3BA720C0" w:rsidR="00B15748" w:rsidRPr="0042463B" w:rsidRDefault="004B6B1A" w:rsidP="00EC42D5">
      <w:pPr>
        <w:pStyle w:val="Heading1"/>
        <w:rPr>
          <w:u w:val="single"/>
        </w:rPr>
      </w:pPr>
      <w:r w:rsidRPr="0042463B">
        <w:t xml:space="preserve">Le Secrétariat a noté que même si la consommation avait diminué en raison de l’élimination dans le secteur de fabrication, la consommation dans le secteur de l’entretien avait été stable de 2010 à 2020. Le PNUE a expliqué que le HCFC-22 est principalement consommé pour l’entretien des climatiseurs à usage domestique; la consommation est demeurée stable en raison du fait que les technologies de remplacement à faible PRG dans le secteur de la climatisation domestique n’étaient pas disponibles pour les pays à température environnante élevée. Le rendement des climatiseurs fonctionnant au R-410A est inférieur à ceux fonctionnant au HCFC-22; et l’adoption de la technologie R-290 fait toujours l’objet de discussions. La consommation diminuera graduellement à partir de 2021 et atteindra le zéro en 2030, avec le volet de l’entretien jusqu’en 2040. </w:t>
      </w:r>
    </w:p>
    <w:p w14:paraId="4BCAD512" w14:textId="77777777" w:rsidR="006C3E4B" w:rsidRPr="0042463B" w:rsidRDefault="00EB31E3" w:rsidP="006C3E4B">
      <w:pPr>
        <w:spacing w:after="240"/>
        <w:rPr>
          <w:u w:val="single"/>
        </w:rPr>
      </w:pPr>
      <w:r w:rsidRPr="0042463B">
        <w:rPr>
          <w:u w:val="single"/>
        </w:rPr>
        <w:t>Stratégie globale</w:t>
      </w:r>
    </w:p>
    <w:p w14:paraId="3F5CE68F" w14:textId="26D129BE" w:rsidR="006C3E4B" w:rsidRPr="0042463B" w:rsidRDefault="001912E2" w:rsidP="00972DA3">
      <w:pPr>
        <w:pStyle w:val="Heading1"/>
        <w:widowControl w:val="0"/>
        <w:rPr>
          <w:u w:val="single"/>
        </w:rPr>
      </w:pPr>
      <w:r w:rsidRPr="0042463B">
        <w:t>La phase II éliminera tous les HCFC dans le secteur de la fabrication d’ici 2025. Après une demande de clarification plus approfondie sur la conversion d’AGM, le PNUE a expliqué qu’AGM est déterminée à éliminer tout le HCFC-22 à l’aide de ses propres fonds; la technologie de re</w:t>
      </w:r>
      <w:r w:rsidR="00000ACA" w:rsidRPr="0042463B">
        <w:t>m</w:t>
      </w:r>
      <w:r w:rsidRPr="0042463B">
        <w:t xml:space="preserve">placement sera probablement des HFC, en tenant compte de la demande du marché et des options acceptables pour les pays à température environnante élevée. Les progrès concernant la conversion des chaînes de fabrication chez AGM seront suivis et feront l’objet d’un compte rendu dans les rapports de mise en œuvre de tranche présentés au Comité exécutif au fur et à mesure de la progression. Pour garantir la durabilité de l’élimination dans le secteur de la fabrication, le gouvernement prévoit mettre sur pied une interdiction sur l’importation du HCFC-141b contenu dans les polyols </w:t>
      </w:r>
      <w:proofErr w:type="spellStart"/>
      <w:r w:rsidRPr="0042463B">
        <w:t>prémélangés</w:t>
      </w:r>
      <w:proofErr w:type="spellEnd"/>
      <w:r w:rsidRPr="0042463B">
        <w:t xml:space="preserve"> une fois que les projets de conversion seront achevés dans le secteur des mousses, prévue pour le 1</w:t>
      </w:r>
      <w:r w:rsidRPr="0042463B">
        <w:rPr>
          <w:vertAlign w:val="superscript"/>
        </w:rPr>
        <w:t>er</w:t>
      </w:r>
      <w:r w:rsidRPr="0042463B">
        <w:t> janvier 2025.</w:t>
      </w:r>
    </w:p>
    <w:p w14:paraId="6A05DFAD" w14:textId="77777777" w:rsidR="004D42AA" w:rsidRPr="0042463B" w:rsidRDefault="004D42AA" w:rsidP="004D42AA">
      <w:pPr>
        <w:pStyle w:val="Heading1"/>
        <w:numPr>
          <w:ilvl w:val="0"/>
          <w:numId w:val="0"/>
        </w:numPr>
        <w:rPr>
          <w:u w:val="single"/>
        </w:rPr>
      </w:pPr>
      <w:r w:rsidRPr="0042463B">
        <w:rPr>
          <w:u w:val="single"/>
        </w:rPr>
        <w:t xml:space="preserve">Consommation admissible restante </w:t>
      </w:r>
    </w:p>
    <w:p w14:paraId="7E62E6FB" w14:textId="6EFF9B9C" w:rsidR="004D42AA" w:rsidRPr="0042463B" w:rsidRDefault="004D42AA" w:rsidP="00972DA3">
      <w:pPr>
        <w:pStyle w:val="Heading1"/>
      </w:pPr>
      <w:r w:rsidRPr="0042463B">
        <w:t xml:space="preserve">Le Secrétariat et le PNUE ont discuté de l’élimination du HCFC-22 dans les secteurs de l’entretien et de la fabrication pendant la phase I, ainsi que de la consommation restante admissible au financement pendant la phase II et les phases à venir. Puisque Bahreïn n’a pas demandé de financement pour éliminer le HCFC-22 utilisé dans le secteur de la fabrication pour la phase II, le financement admissible est uniquement destiné à l’élimination de la consommation du HCFC-22 dans le secteur de l’entretien. Par conséquent, le point de départ, l’élimination dans les phases I et II et la consommation restante admissible dans le secteur de l’entretien pour le HCFC-22 ont été calculés séparément des données pour le secteur de la fabrication. Pendant la phase II, Bahreïn éliminera une consommation de 5,13 tonnes PAO dans le secteur de l’entretien en vertu du PGEH et prévoit traiter toute la consommation restante de HCFC-22 de façon volontaire dans le secteur de la fabrication, avec la consommation restante admissible de 2,75 tonnes PAO à traiter dans les futures phases. De plus, 10,11 tonnes PAO de HCFC-141b contenu dans les polyols </w:t>
      </w:r>
      <w:proofErr w:type="spellStart"/>
      <w:r w:rsidRPr="0042463B">
        <w:t>prémélangés</w:t>
      </w:r>
      <w:proofErr w:type="spellEnd"/>
      <w:r w:rsidRPr="0042463B">
        <w:t xml:space="preserve"> importés seront éliminées uniquement grâce à un projet-cadre. Un aperçu du point de départ, la réduction des phases I et II, ainsi que la consommation restante admissible sont présentés au Tableau 8. </w:t>
      </w:r>
    </w:p>
    <w:p w14:paraId="3344240B" w14:textId="5F01AE4D" w:rsidR="00820D62" w:rsidRPr="0042463B" w:rsidRDefault="00820D62" w:rsidP="00FD303E">
      <w:pPr>
        <w:keepNext/>
        <w:keepLines/>
        <w:widowControl w:val="0"/>
        <w:rPr>
          <w:b/>
        </w:rPr>
      </w:pPr>
      <w:r w:rsidRPr="0042463B">
        <w:rPr>
          <w:b/>
        </w:rPr>
        <w:lastRenderedPageBreak/>
        <w:t>Tableau 8. Point de départ, réduction des phase</w:t>
      </w:r>
      <w:r w:rsidR="004B7EE9" w:rsidRPr="0042463B">
        <w:rPr>
          <w:b/>
        </w:rPr>
        <w:t>s</w:t>
      </w:r>
      <w:r w:rsidRPr="0042463B">
        <w:rPr>
          <w:b/>
        </w:rPr>
        <w:t xml:space="preserve"> I et II, et consommation restante admissible </w:t>
      </w:r>
    </w:p>
    <w:tbl>
      <w:tblPr>
        <w:tblStyle w:val="TableGrid"/>
        <w:tblW w:w="0" w:type="auto"/>
        <w:tblLook w:val="04A0" w:firstRow="1" w:lastRow="0" w:firstColumn="1" w:lastColumn="0" w:noHBand="0" w:noVBand="1"/>
      </w:tblPr>
      <w:tblGrid>
        <w:gridCol w:w="1383"/>
        <w:gridCol w:w="916"/>
        <w:gridCol w:w="790"/>
        <w:gridCol w:w="777"/>
        <w:gridCol w:w="790"/>
        <w:gridCol w:w="781"/>
        <w:gridCol w:w="793"/>
        <w:gridCol w:w="777"/>
        <w:gridCol w:w="790"/>
        <w:gridCol w:w="767"/>
        <w:gridCol w:w="786"/>
      </w:tblGrid>
      <w:tr w:rsidR="0013126A" w:rsidRPr="0042463B" w14:paraId="02B9C560" w14:textId="77777777" w:rsidTr="00135846">
        <w:trPr>
          <w:tblHeader/>
        </w:trPr>
        <w:tc>
          <w:tcPr>
            <w:tcW w:w="1383" w:type="dxa"/>
          </w:tcPr>
          <w:p w14:paraId="58279362" w14:textId="77777777" w:rsidR="0013126A" w:rsidRPr="0042463B" w:rsidRDefault="0013126A" w:rsidP="00FD303E">
            <w:pPr>
              <w:keepNext/>
              <w:keepLines/>
              <w:widowControl w:val="0"/>
              <w:jc w:val="left"/>
              <w:rPr>
                <w:b/>
                <w:sz w:val="20"/>
                <w:szCs w:val="20"/>
              </w:rPr>
            </w:pPr>
            <w:r w:rsidRPr="0042463B">
              <w:rPr>
                <w:b/>
                <w:sz w:val="20"/>
                <w:szCs w:val="20"/>
              </w:rPr>
              <w:t>Substance</w:t>
            </w:r>
          </w:p>
        </w:tc>
        <w:tc>
          <w:tcPr>
            <w:tcW w:w="1706" w:type="dxa"/>
            <w:gridSpan w:val="2"/>
          </w:tcPr>
          <w:p w14:paraId="014E0B32" w14:textId="77777777" w:rsidR="0013126A" w:rsidRPr="0042463B" w:rsidRDefault="0013126A" w:rsidP="00FD303E">
            <w:pPr>
              <w:keepNext/>
              <w:keepLines/>
              <w:widowControl w:val="0"/>
              <w:jc w:val="center"/>
              <w:rPr>
                <w:b/>
                <w:sz w:val="20"/>
                <w:szCs w:val="20"/>
              </w:rPr>
            </w:pPr>
            <w:r w:rsidRPr="0042463B">
              <w:rPr>
                <w:b/>
                <w:sz w:val="20"/>
                <w:szCs w:val="20"/>
              </w:rPr>
              <w:t>Point de départ</w:t>
            </w:r>
          </w:p>
        </w:tc>
        <w:tc>
          <w:tcPr>
            <w:tcW w:w="1567" w:type="dxa"/>
            <w:gridSpan w:val="2"/>
          </w:tcPr>
          <w:p w14:paraId="2A10228E" w14:textId="77777777" w:rsidR="0013126A" w:rsidRPr="0042463B" w:rsidRDefault="0013126A" w:rsidP="00FD303E">
            <w:pPr>
              <w:keepNext/>
              <w:keepLines/>
              <w:widowControl w:val="0"/>
              <w:jc w:val="center"/>
              <w:rPr>
                <w:b/>
                <w:sz w:val="20"/>
                <w:szCs w:val="20"/>
              </w:rPr>
            </w:pPr>
            <w:r w:rsidRPr="0042463B">
              <w:rPr>
                <w:b/>
                <w:sz w:val="20"/>
                <w:szCs w:val="20"/>
              </w:rPr>
              <w:t>Réduction de la phase I</w:t>
            </w:r>
          </w:p>
        </w:tc>
        <w:tc>
          <w:tcPr>
            <w:tcW w:w="1574" w:type="dxa"/>
            <w:gridSpan w:val="2"/>
          </w:tcPr>
          <w:p w14:paraId="480A6D90" w14:textId="77777777" w:rsidR="0013126A" w:rsidRPr="0042463B" w:rsidRDefault="0013126A" w:rsidP="00FD303E">
            <w:pPr>
              <w:keepNext/>
              <w:keepLines/>
              <w:widowControl w:val="0"/>
              <w:jc w:val="center"/>
              <w:rPr>
                <w:b/>
                <w:sz w:val="20"/>
                <w:szCs w:val="20"/>
              </w:rPr>
            </w:pPr>
            <w:r w:rsidRPr="0042463B">
              <w:rPr>
                <w:b/>
                <w:sz w:val="20"/>
                <w:szCs w:val="20"/>
              </w:rPr>
              <w:t>Restante après la phase I</w:t>
            </w:r>
          </w:p>
        </w:tc>
        <w:tc>
          <w:tcPr>
            <w:tcW w:w="1567" w:type="dxa"/>
            <w:gridSpan w:val="2"/>
          </w:tcPr>
          <w:p w14:paraId="531A19B2" w14:textId="77777777" w:rsidR="0013126A" w:rsidRPr="0042463B" w:rsidRDefault="0013126A" w:rsidP="00FD303E">
            <w:pPr>
              <w:keepNext/>
              <w:keepLines/>
              <w:widowControl w:val="0"/>
              <w:jc w:val="center"/>
              <w:rPr>
                <w:b/>
                <w:sz w:val="20"/>
                <w:szCs w:val="20"/>
              </w:rPr>
            </w:pPr>
            <w:r w:rsidRPr="0042463B">
              <w:rPr>
                <w:b/>
                <w:sz w:val="20"/>
                <w:szCs w:val="20"/>
              </w:rPr>
              <w:t>Réduction de la phase II</w:t>
            </w:r>
          </w:p>
        </w:tc>
        <w:tc>
          <w:tcPr>
            <w:tcW w:w="1553" w:type="dxa"/>
            <w:gridSpan w:val="2"/>
          </w:tcPr>
          <w:p w14:paraId="2B58A4DF" w14:textId="77777777" w:rsidR="0013126A" w:rsidRPr="0042463B" w:rsidRDefault="0013126A" w:rsidP="00FD303E">
            <w:pPr>
              <w:keepNext/>
              <w:keepLines/>
              <w:widowControl w:val="0"/>
              <w:jc w:val="center"/>
              <w:rPr>
                <w:b/>
                <w:sz w:val="20"/>
                <w:szCs w:val="20"/>
              </w:rPr>
            </w:pPr>
            <w:r w:rsidRPr="0042463B">
              <w:rPr>
                <w:b/>
                <w:sz w:val="20"/>
                <w:szCs w:val="20"/>
              </w:rPr>
              <w:t>Restante après la phase II</w:t>
            </w:r>
          </w:p>
        </w:tc>
      </w:tr>
      <w:tr w:rsidR="0013126A" w:rsidRPr="0042463B" w14:paraId="77582F54" w14:textId="77777777" w:rsidTr="00135846">
        <w:trPr>
          <w:tblHeader/>
        </w:trPr>
        <w:tc>
          <w:tcPr>
            <w:tcW w:w="1383" w:type="dxa"/>
          </w:tcPr>
          <w:p w14:paraId="2BD5967E" w14:textId="77777777" w:rsidR="0013126A" w:rsidRPr="0042463B" w:rsidRDefault="0013126A" w:rsidP="004307BE">
            <w:pPr>
              <w:jc w:val="left"/>
              <w:rPr>
                <w:sz w:val="20"/>
                <w:szCs w:val="20"/>
              </w:rPr>
            </w:pPr>
          </w:p>
        </w:tc>
        <w:tc>
          <w:tcPr>
            <w:tcW w:w="916" w:type="dxa"/>
          </w:tcPr>
          <w:p w14:paraId="3BFB3678" w14:textId="77777777" w:rsidR="0013126A" w:rsidRPr="0042463B" w:rsidRDefault="0013126A" w:rsidP="004307BE">
            <w:pPr>
              <w:jc w:val="center"/>
              <w:rPr>
                <w:sz w:val="20"/>
                <w:szCs w:val="20"/>
              </w:rPr>
            </w:pPr>
            <w:proofErr w:type="spellStart"/>
            <w:r w:rsidRPr="0042463B">
              <w:rPr>
                <w:sz w:val="20"/>
                <w:szCs w:val="20"/>
              </w:rPr>
              <w:t>tm</w:t>
            </w:r>
            <w:proofErr w:type="spellEnd"/>
          </w:p>
        </w:tc>
        <w:tc>
          <w:tcPr>
            <w:tcW w:w="790" w:type="dxa"/>
          </w:tcPr>
          <w:p w14:paraId="2F656A25" w14:textId="77777777" w:rsidR="0013126A" w:rsidRPr="0042463B" w:rsidRDefault="0013126A" w:rsidP="004307BE">
            <w:pPr>
              <w:jc w:val="center"/>
              <w:rPr>
                <w:sz w:val="20"/>
                <w:szCs w:val="20"/>
              </w:rPr>
            </w:pPr>
            <w:r w:rsidRPr="0042463B">
              <w:rPr>
                <w:sz w:val="20"/>
                <w:szCs w:val="20"/>
              </w:rPr>
              <w:t>t PAO</w:t>
            </w:r>
          </w:p>
        </w:tc>
        <w:tc>
          <w:tcPr>
            <w:tcW w:w="777" w:type="dxa"/>
          </w:tcPr>
          <w:p w14:paraId="60A5CB08" w14:textId="0CCDD306" w:rsidR="0013126A" w:rsidRPr="0042463B" w:rsidRDefault="00972DA3" w:rsidP="004307BE">
            <w:pPr>
              <w:jc w:val="center"/>
              <w:rPr>
                <w:sz w:val="20"/>
                <w:szCs w:val="20"/>
              </w:rPr>
            </w:pPr>
            <w:proofErr w:type="spellStart"/>
            <w:r w:rsidRPr="0042463B">
              <w:rPr>
                <w:sz w:val="20"/>
                <w:szCs w:val="20"/>
              </w:rPr>
              <w:t>tm</w:t>
            </w:r>
            <w:proofErr w:type="spellEnd"/>
          </w:p>
        </w:tc>
        <w:tc>
          <w:tcPr>
            <w:tcW w:w="790" w:type="dxa"/>
          </w:tcPr>
          <w:p w14:paraId="536AD795" w14:textId="77777777" w:rsidR="0013126A" w:rsidRPr="0042463B" w:rsidRDefault="0013126A" w:rsidP="004307BE">
            <w:pPr>
              <w:jc w:val="center"/>
              <w:rPr>
                <w:sz w:val="20"/>
                <w:szCs w:val="20"/>
              </w:rPr>
            </w:pPr>
            <w:r w:rsidRPr="0042463B">
              <w:rPr>
                <w:sz w:val="20"/>
                <w:szCs w:val="20"/>
              </w:rPr>
              <w:t>t PAO</w:t>
            </w:r>
          </w:p>
        </w:tc>
        <w:tc>
          <w:tcPr>
            <w:tcW w:w="781" w:type="dxa"/>
          </w:tcPr>
          <w:p w14:paraId="44DD5BA0" w14:textId="77777777" w:rsidR="0013126A" w:rsidRPr="0042463B" w:rsidRDefault="0013126A" w:rsidP="004307BE">
            <w:pPr>
              <w:jc w:val="center"/>
              <w:rPr>
                <w:sz w:val="20"/>
                <w:szCs w:val="20"/>
              </w:rPr>
            </w:pPr>
            <w:proofErr w:type="spellStart"/>
            <w:r w:rsidRPr="0042463B">
              <w:rPr>
                <w:sz w:val="20"/>
                <w:szCs w:val="20"/>
              </w:rPr>
              <w:t>tm</w:t>
            </w:r>
            <w:proofErr w:type="spellEnd"/>
          </w:p>
        </w:tc>
        <w:tc>
          <w:tcPr>
            <w:tcW w:w="793" w:type="dxa"/>
          </w:tcPr>
          <w:p w14:paraId="7B10E38F" w14:textId="77777777" w:rsidR="0013126A" w:rsidRPr="0042463B" w:rsidRDefault="0013126A" w:rsidP="004307BE">
            <w:pPr>
              <w:jc w:val="center"/>
              <w:rPr>
                <w:sz w:val="20"/>
                <w:szCs w:val="20"/>
              </w:rPr>
            </w:pPr>
            <w:r w:rsidRPr="0042463B">
              <w:rPr>
                <w:sz w:val="20"/>
                <w:szCs w:val="20"/>
              </w:rPr>
              <w:t>t PAO</w:t>
            </w:r>
          </w:p>
        </w:tc>
        <w:tc>
          <w:tcPr>
            <w:tcW w:w="777" w:type="dxa"/>
          </w:tcPr>
          <w:p w14:paraId="51F6EE5E" w14:textId="77777777" w:rsidR="0013126A" w:rsidRPr="0042463B" w:rsidRDefault="0013126A" w:rsidP="004307BE">
            <w:pPr>
              <w:jc w:val="center"/>
              <w:rPr>
                <w:sz w:val="20"/>
                <w:szCs w:val="20"/>
              </w:rPr>
            </w:pPr>
            <w:proofErr w:type="spellStart"/>
            <w:r w:rsidRPr="0042463B">
              <w:rPr>
                <w:sz w:val="20"/>
                <w:szCs w:val="20"/>
              </w:rPr>
              <w:t>tm</w:t>
            </w:r>
            <w:proofErr w:type="spellEnd"/>
          </w:p>
        </w:tc>
        <w:tc>
          <w:tcPr>
            <w:tcW w:w="790" w:type="dxa"/>
          </w:tcPr>
          <w:p w14:paraId="09236B16" w14:textId="77777777" w:rsidR="0013126A" w:rsidRPr="0042463B" w:rsidRDefault="0013126A" w:rsidP="004307BE">
            <w:pPr>
              <w:jc w:val="center"/>
              <w:rPr>
                <w:sz w:val="20"/>
                <w:szCs w:val="20"/>
              </w:rPr>
            </w:pPr>
            <w:r w:rsidRPr="0042463B">
              <w:rPr>
                <w:sz w:val="20"/>
                <w:szCs w:val="20"/>
              </w:rPr>
              <w:t>t PAO</w:t>
            </w:r>
          </w:p>
        </w:tc>
        <w:tc>
          <w:tcPr>
            <w:tcW w:w="767" w:type="dxa"/>
          </w:tcPr>
          <w:p w14:paraId="2ECFE3CA" w14:textId="77777777" w:rsidR="0013126A" w:rsidRPr="0042463B" w:rsidRDefault="0013126A" w:rsidP="004307BE">
            <w:pPr>
              <w:jc w:val="center"/>
              <w:rPr>
                <w:sz w:val="20"/>
                <w:szCs w:val="20"/>
              </w:rPr>
            </w:pPr>
            <w:proofErr w:type="spellStart"/>
            <w:r w:rsidRPr="0042463B">
              <w:rPr>
                <w:sz w:val="20"/>
                <w:szCs w:val="20"/>
              </w:rPr>
              <w:t>tm</w:t>
            </w:r>
            <w:proofErr w:type="spellEnd"/>
          </w:p>
        </w:tc>
        <w:tc>
          <w:tcPr>
            <w:tcW w:w="786" w:type="dxa"/>
          </w:tcPr>
          <w:p w14:paraId="78628A15" w14:textId="77777777" w:rsidR="0013126A" w:rsidRPr="0042463B" w:rsidRDefault="0013126A" w:rsidP="004307BE">
            <w:pPr>
              <w:jc w:val="center"/>
              <w:rPr>
                <w:sz w:val="20"/>
                <w:szCs w:val="20"/>
              </w:rPr>
            </w:pPr>
            <w:r w:rsidRPr="0042463B">
              <w:rPr>
                <w:sz w:val="20"/>
                <w:szCs w:val="20"/>
              </w:rPr>
              <w:t>t PAO</w:t>
            </w:r>
          </w:p>
        </w:tc>
      </w:tr>
      <w:tr w:rsidR="0013126A" w:rsidRPr="0042463B" w14:paraId="05B6C0F7" w14:textId="77777777" w:rsidTr="004307BE">
        <w:tc>
          <w:tcPr>
            <w:tcW w:w="1383" w:type="dxa"/>
          </w:tcPr>
          <w:p w14:paraId="0D1C9258" w14:textId="77777777" w:rsidR="0013126A" w:rsidRPr="0042463B" w:rsidRDefault="0013126A" w:rsidP="004307BE">
            <w:pPr>
              <w:jc w:val="left"/>
              <w:rPr>
                <w:sz w:val="20"/>
                <w:szCs w:val="20"/>
              </w:rPr>
            </w:pPr>
            <w:r w:rsidRPr="0042463B">
              <w:rPr>
                <w:sz w:val="20"/>
                <w:szCs w:val="20"/>
              </w:rPr>
              <w:t>HCFC-22 dans la fabrication</w:t>
            </w:r>
          </w:p>
        </w:tc>
        <w:tc>
          <w:tcPr>
            <w:tcW w:w="916" w:type="dxa"/>
          </w:tcPr>
          <w:p w14:paraId="1C26F1F1" w14:textId="77777777" w:rsidR="0013126A" w:rsidRPr="0042463B" w:rsidRDefault="0013126A" w:rsidP="004307BE">
            <w:pPr>
              <w:jc w:val="right"/>
              <w:rPr>
                <w:sz w:val="20"/>
                <w:szCs w:val="20"/>
              </w:rPr>
            </w:pPr>
            <w:r w:rsidRPr="0042463B">
              <w:rPr>
                <w:sz w:val="20"/>
                <w:szCs w:val="20"/>
              </w:rPr>
              <w:t>682,50</w:t>
            </w:r>
          </w:p>
        </w:tc>
        <w:tc>
          <w:tcPr>
            <w:tcW w:w="790" w:type="dxa"/>
          </w:tcPr>
          <w:p w14:paraId="1D1C7854" w14:textId="77777777" w:rsidR="0013126A" w:rsidRPr="0042463B" w:rsidRDefault="0013126A" w:rsidP="004307BE">
            <w:pPr>
              <w:jc w:val="right"/>
              <w:rPr>
                <w:sz w:val="20"/>
                <w:szCs w:val="20"/>
              </w:rPr>
            </w:pPr>
            <w:r w:rsidRPr="0042463B">
              <w:rPr>
                <w:sz w:val="20"/>
                <w:szCs w:val="20"/>
              </w:rPr>
              <w:t>37,54</w:t>
            </w:r>
          </w:p>
        </w:tc>
        <w:tc>
          <w:tcPr>
            <w:tcW w:w="777" w:type="dxa"/>
          </w:tcPr>
          <w:p w14:paraId="6840F6D2" w14:textId="77777777" w:rsidR="0013126A" w:rsidRPr="0042463B" w:rsidRDefault="0013126A" w:rsidP="004307BE">
            <w:pPr>
              <w:jc w:val="right"/>
              <w:rPr>
                <w:sz w:val="20"/>
                <w:szCs w:val="20"/>
              </w:rPr>
            </w:pPr>
            <w:r w:rsidRPr="0042463B">
              <w:rPr>
                <w:sz w:val="20"/>
                <w:szCs w:val="20"/>
              </w:rPr>
              <w:t>221,27</w:t>
            </w:r>
          </w:p>
        </w:tc>
        <w:tc>
          <w:tcPr>
            <w:tcW w:w="790" w:type="dxa"/>
          </w:tcPr>
          <w:p w14:paraId="1F49BAFF" w14:textId="77777777" w:rsidR="0013126A" w:rsidRPr="0042463B" w:rsidRDefault="0013126A" w:rsidP="004307BE">
            <w:pPr>
              <w:jc w:val="right"/>
              <w:rPr>
                <w:sz w:val="20"/>
                <w:szCs w:val="20"/>
              </w:rPr>
            </w:pPr>
            <w:r w:rsidRPr="0042463B">
              <w:rPr>
                <w:sz w:val="20"/>
                <w:szCs w:val="20"/>
              </w:rPr>
              <w:t>12,17</w:t>
            </w:r>
          </w:p>
        </w:tc>
        <w:tc>
          <w:tcPr>
            <w:tcW w:w="781" w:type="dxa"/>
          </w:tcPr>
          <w:p w14:paraId="6A9780E8" w14:textId="77777777" w:rsidR="0013126A" w:rsidRPr="0042463B" w:rsidRDefault="0013126A" w:rsidP="004307BE">
            <w:pPr>
              <w:jc w:val="right"/>
              <w:rPr>
                <w:sz w:val="20"/>
                <w:szCs w:val="20"/>
              </w:rPr>
            </w:pPr>
            <w:r w:rsidRPr="0042463B">
              <w:rPr>
                <w:sz w:val="20"/>
                <w:szCs w:val="20"/>
              </w:rPr>
              <w:t>461,23</w:t>
            </w:r>
          </w:p>
        </w:tc>
        <w:tc>
          <w:tcPr>
            <w:tcW w:w="793" w:type="dxa"/>
          </w:tcPr>
          <w:p w14:paraId="51392DEE" w14:textId="77777777" w:rsidR="0013126A" w:rsidRPr="0042463B" w:rsidRDefault="0013126A" w:rsidP="004307BE">
            <w:pPr>
              <w:jc w:val="right"/>
              <w:rPr>
                <w:sz w:val="20"/>
                <w:szCs w:val="20"/>
              </w:rPr>
            </w:pPr>
            <w:r w:rsidRPr="0042463B">
              <w:rPr>
                <w:sz w:val="20"/>
                <w:szCs w:val="20"/>
              </w:rPr>
              <w:t>25,37</w:t>
            </w:r>
          </w:p>
        </w:tc>
        <w:tc>
          <w:tcPr>
            <w:tcW w:w="777" w:type="dxa"/>
          </w:tcPr>
          <w:p w14:paraId="19A3E1A6" w14:textId="77777777" w:rsidR="0013126A" w:rsidRPr="0042463B" w:rsidRDefault="0013126A" w:rsidP="004307BE">
            <w:pPr>
              <w:jc w:val="right"/>
              <w:rPr>
                <w:sz w:val="20"/>
                <w:szCs w:val="20"/>
              </w:rPr>
            </w:pPr>
            <w:r w:rsidRPr="0042463B">
              <w:rPr>
                <w:sz w:val="20"/>
                <w:szCs w:val="20"/>
              </w:rPr>
              <w:t>461,23</w:t>
            </w:r>
          </w:p>
        </w:tc>
        <w:tc>
          <w:tcPr>
            <w:tcW w:w="790" w:type="dxa"/>
          </w:tcPr>
          <w:p w14:paraId="3F145D25" w14:textId="77777777" w:rsidR="0013126A" w:rsidRPr="0042463B" w:rsidRDefault="0013126A" w:rsidP="004307BE">
            <w:pPr>
              <w:jc w:val="right"/>
              <w:rPr>
                <w:sz w:val="20"/>
                <w:szCs w:val="20"/>
              </w:rPr>
            </w:pPr>
            <w:r w:rsidRPr="0042463B">
              <w:rPr>
                <w:sz w:val="20"/>
                <w:szCs w:val="20"/>
              </w:rPr>
              <w:t>25,37</w:t>
            </w:r>
          </w:p>
        </w:tc>
        <w:tc>
          <w:tcPr>
            <w:tcW w:w="767" w:type="dxa"/>
          </w:tcPr>
          <w:p w14:paraId="0B4624FE" w14:textId="77777777" w:rsidR="0013126A" w:rsidRPr="0042463B" w:rsidRDefault="0013126A" w:rsidP="004307BE">
            <w:pPr>
              <w:jc w:val="right"/>
              <w:rPr>
                <w:sz w:val="20"/>
                <w:szCs w:val="20"/>
              </w:rPr>
            </w:pPr>
            <w:r w:rsidRPr="0042463B">
              <w:rPr>
                <w:sz w:val="20"/>
                <w:szCs w:val="20"/>
              </w:rPr>
              <w:t>0</w:t>
            </w:r>
          </w:p>
        </w:tc>
        <w:tc>
          <w:tcPr>
            <w:tcW w:w="786" w:type="dxa"/>
          </w:tcPr>
          <w:p w14:paraId="1D05E1DE" w14:textId="007981DF" w:rsidR="0013126A" w:rsidRPr="0042463B" w:rsidRDefault="009D18E7" w:rsidP="004307BE">
            <w:pPr>
              <w:jc w:val="right"/>
              <w:rPr>
                <w:sz w:val="20"/>
                <w:szCs w:val="20"/>
              </w:rPr>
            </w:pPr>
            <w:r w:rsidRPr="0042463B">
              <w:rPr>
                <w:sz w:val="20"/>
                <w:szCs w:val="20"/>
              </w:rPr>
              <w:t>0</w:t>
            </w:r>
          </w:p>
        </w:tc>
      </w:tr>
      <w:tr w:rsidR="0013126A" w:rsidRPr="0042463B" w14:paraId="1C39746E" w14:textId="77777777" w:rsidTr="004307BE">
        <w:tc>
          <w:tcPr>
            <w:tcW w:w="1383" w:type="dxa"/>
          </w:tcPr>
          <w:p w14:paraId="4F1589DD" w14:textId="77777777" w:rsidR="0013126A" w:rsidRPr="0042463B" w:rsidRDefault="0013126A" w:rsidP="004307BE">
            <w:pPr>
              <w:jc w:val="left"/>
              <w:rPr>
                <w:sz w:val="20"/>
                <w:szCs w:val="20"/>
              </w:rPr>
            </w:pPr>
            <w:r w:rsidRPr="0042463B">
              <w:rPr>
                <w:sz w:val="20"/>
                <w:szCs w:val="20"/>
              </w:rPr>
              <w:t>HCFC-22 dans l’entretien</w:t>
            </w:r>
          </w:p>
        </w:tc>
        <w:tc>
          <w:tcPr>
            <w:tcW w:w="916" w:type="dxa"/>
          </w:tcPr>
          <w:p w14:paraId="0856BDBA" w14:textId="77777777" w:rsidR="0013126A" w:rsidRPr="0042463B" w:rsidRDefault="0013126A" w:rsidP="004307BE">
            <w:pPr>
              <w:jc w:val="right"/>
              <w:rPr>
                <w:sz w:val="20"/>
                <w:szCs w:val="20"/>
              </w:rPr>
            </w:pPr>
            <w:r w:rsidRPr="0042463B">
              <w:rPr>
                <w:sz w:val="20"/>
                <w:szCs w:val="20"/>
              </w:rPr>
              <w:t>242,00</w:t>
            </w:r>
          </w:p>
        </w:tc>
        <w:tc>
          <w:tcPr>
            <w:tcW w:w="790" w:type="dxa"/>
          </w:tcPr>
          <w:p w14:paraId="02B94544" w14:textId="77777777" w:rsidR="0013126A" w:rsidRPr="0042463B" w:rsidRDefault="0013126A" w:rsidP="004307BE">
            <w:pPr>
              <w:jc w:val="right"/>
              <w:rPr>
                <w:sz w:val="20"/>
                <w:szCs w:val="20"/>
              </w:rPr>
            </w:pPr>
            <w:r w:rsidRPr="0042463B">
              <w:rPr>
                <w:sz w:val="20"/>
                <w:szCs w:val="20"/>
              </w:rPr>
              <w:t>13,31</w:t>
            </w:r>
          </w:p>
        </w:tc>
        <w:tc>
          <w:tcPr>
            <w:tcW w:w="777" w:type="dxa"/>
          </w:tcPr>
          <w:p w14:paraId="18A2FA20" w14:textId="77777777" w:rsidR="0013126A" w:rsidRPr="0042463B" w:rsidRDefault="0013126A" w:rsidP="004307BE">
            <w:pPr>
              <w:jc w:val="right"/>
              <w:rPr>
                <w:sz w:val="20"/>
                <w:szCs w:val="20"/>
              </w:rPr>
            </w:pPr>
            <w:r w:rsidRPr="0042463B">
              <w:rPr>
                <w:sz w:val="20"/>
                <w:szCs w:val="20"/>
              </w:rPr>
              <w:t>98,61</w:t>
            </w:r>
          </w:p>
        </w:tc>
        <w:tc>
          <w:tcPr>
            <w:tcW w:w="790" w:type="dxa"/>
          </w:tcPr>
          <w:p w14:paraId="3F626EDA" w14:textId="77777777" w:rsidR="0013126A" w:rsidRPr="0042463B" w:rsidRDefault="0013126A" w:rsidP="004307BE">
            <w:pPr>
              <w:jc w:val="right"/>
              <w:rPr>
                <w:sz w:val="20"/>
                <w:szCs w:val="20"/>
              </w:rPr>
            </w:pPr>
            <w:r w:rsidRPr="0042463B">
              <w:rPr>
                <w:sz w:val="20"/>
                <w:szCs w:val="20"/>
              </w:rPr>
              <w:t>5,42</w:t>
            </w:r>
          </w:p>
        </w:tc>
        <w:tc>
          <w:tcPr>
            <w:tcW w:w="781" w:type="dxa"/>
          </w:tcPr>
          <w:p w14:paraId="3E4367C7" w14:textId="77777777" w:rsidR="0013126A" w:rsidRPr="0042463B" w:rsidRDefault="0013126A" w:rsidP="004307BE">
            <w:pPr>
              <w:jc w:val="right"/>
              <w:rPr>
                <w:sz w:val="20"/>
                <w:szCs w:val="20"/>
              </w:rPr>
            </w:pPr>
            <w:r w:rsidRPr="0042463B">
              <w:rPr>
                <w:sz w:val="20"/>
                <w:szCs w:val="20"/>
              </w:rPr>
              <w:t>143,39</w:t>
            </w:r>
          </w:p>
        </w:tc>
        <w:tc>
          <w:tcPr>
            <w:tcW w:w="793" w:type="dxa"/>
          </w:tcPr>
          <w:p w14:paraId="3AF11B2E" w14:textId="77777777" w:rsidR="0013126A" w:rsidRPr="0042463B" w:rsidRDefault="0013126A" w:rsidP="004307BE">
            <w:pPr>
              <w:jc w:val="right"/>
              <w:rPr>
                <w:sz w:val="20"/>
                <w:szCs w:val="20"/>
              </w:rPr>
            </w:pPr>
            <w:r w:rsidRPr="0042463B">
              <w:rPr>
                <w:sz w:val="20"/>
                <w:szCs w:val="20"/>
              </w:rPr>
              <w:t>7,89</w:t>
            </w:r>
          </w:p>
        </w:tc>
        <w:tc>
          <w:tcPr>
            <w:tcW w:w="777" w:type="dxa"/>
          </w:tcPr>
          <w:p w14:paraId="4EAC7E0A" w14:textId="77777777" w:rsidR="0013126A" w:rsidRPr="0042463B" w:rsidRDefault="0013126A" w:rsidP="004307BE">
            <w:pPr>
              <w:jc w:val="right"/>
              <w:rPr>
                <w:sz w:val="20"/>
                <w:szCs w:val="20"/>
              </w:rPr>
            </w:pPr>
            <w:r w:rsidRPr="0042463B">
              <w:rPr>
                <w:sz w:val="20"/>
                <w:szCs w:val="20"/>
              </w:rPr>
              <w:t>93,33</w:t>
            </w:r>
          </w:p>
        </w:tc>
        <w:tc>
          <w:tcPr>
            <w:tcW w:w="790" w:type="dxa"/>
          </w:tcPr>
          <w:p w14:paraId="4A6C26AA" w14:textId="77777777" w:rsidR="0013126A" w:rsidRPr="0042463B" w:rsidRDefault="0013126A" w:rsidP="004307BE">
            <w:pPr>
              <w:jc w:val="right"/>
              <w:rPr>
                <w:sz w:val="20"/>
                <w:szCs w:val="20"/>
              </w:rPr>
            </w:pPr>
            <w:r w:rsidRPr="0042463B">
              <w:rPr>
                <w:sz w:val="20"/>
                <w:szCs w:val="20"/>
              </w:rPr>
              <w:t>5,13</w:t>
            </w:r>
          </w:p>
        </w:tc>
        <w:tc>
          <w:tcPr>
            <w:tcW w:w="767" w:type="dxa"/>
          </w:tcPr>
          <w:p w14:paraId="32142A37" w14:textId="77777777" w:rsidR="0013126A" w:rsidRPr="0042463B" w:rsidRDefault="0013126A" w:rsidP="004307BE">
            <w:pPr>
              <w:jc w:val="right"/>
              <w:rPr>
                <w:sz w:val="20"/>
                <w:szCs w:val="20"/>
              </w:rPr>
            </w:pPr>
            <w:r w:rsidRPr="0042463B">
              <w:rPr>
                <w:sz w:val="20"/>
                <w:szCs w:val="20"/>
              </w:rPr>
              <w:t>50,06</w:t>
            </w:r>
          </w:p>
        </w:tc>
        <w:tc>
          <w:tcPr>
            <w:tcW w:w="786" w:type="dxa"/>
          </w:tcPr>
          <w:p w14:paraId="4AA44D62" w14:textId="77777777" w:rsidR="0013126A" w:rsidRPr="0042463B" w:rsidRDefault="0013126A" w:rsidP="004307BE">
            <w:pPr>
              <w:jc w:val="right"/>
              <w:rPr>
                <w:sz w:val="20"/>
                <w:szCs w:val="20"/>
              </w:rPr>
            </w:pPr>
            <w:r w:rsidRPr="0042463B">
              <w:rPr>
                <w:sz w:val="20"/>
                <w:szCs w:val="20"/>
              </w:rPr>
              <w:t>2,75</w:t>
            </w:r>
          </w:p>
        </w:tc>
      </w:tr>
      <w:tr w:rsidR="0013126A" w:rsidRPr="0042463B" w14:paraId="74930441" w14:textId="77777777" w:rsidTr="004307BE">
        <w:tc>
          <w:tcPr>
            <w:tcW w:w="1383" w:type="dxa"/>
          </w:tcPr>
          <w:p w14:paraId="633472E8" w14:textId="77777777" w:rsidR="0013126A" w:rsidRPr="0042463B" w:rsidRDefault="0013126A" w:rsidP="004307BE">
            <w:pPr>
              <w:jc w:val="left"/>
              <w:rPr>
                <w:b/>
                <w:sz w:val="20"/>
                <w:szCs w:val="20"/>
              </w:rPr>
            </w:pPr>
            <w:r w:rsidRPr="0042463B">
              <w:rPr>
                <w:b/>
                <w:sz w:val="20"/>
                <w:szCs w:val="20"/>
              </w:rPr>
              <w:t>Sous-total du HCFC-22</w:t>
            </w:r>
          </w:p>
        </w:tc>
        <w:tc>
          <w:tcPr>
            <w:tcW w:w="916" w:type="dxa"/>
          </w:tcPr>
          <w:p w14:paraId="6E290B0A" w14:textId="77777777" w:rsidR="0013126A" w:rsidRPr="0042463B" w:rsidRDefault="0013126A" w:rsidP="004307BE">
            <w:pPr>
              <w:jc w:val="right"/>
              <w:rPr>
                <w:sz w:val="20"/>
                <w:szCs w:val="20"/>
              </w:rPr>
            </w:pPr>
            <w:r w:rsidRPr="0042463B">
              <w:rPr>
                <w:sz w:val="20"/>
                <w:szCs w:val="20"/>
              </w:rPr>
              <w:t>924,50</w:t>
            </w:r>
          </w:p>
        </w:tc>
        <w:tc>
          <w:tcPr>
            <w:tcW w:w="790" w:type="dxa"/>
          </w:tcPr>
          <w:p w14:paraId="379979E4" w14:textId="77777777" w:rsidR="0013126A" w:rsidRPr="0042463B" w:rsidRDefault="0013126A" w:rsidP="004307BE">
            <w:pPr>
              <w:jc w:val="right"/>
              <w:rPr>
                <w:sz w:val="20"/>
                <w:szCs w:val="20"/>
              </w:rPr>
            </w:pPr>
            <w:r w:rsidRPr="0042463B">
              <w:rPr>
                <w:sz w:val="20"/>
                <w:szCs w:val="20"/>
              </w:rPr>
              <w:t>50,85</w:t>
            </w:r>
          </w:p>
        </w:tc>
        <w:tc>
          <w:tcPr>
            <w:tcW w:w="777" w:type="dxa"/>
          </w:tcPr>
          <w:p w14:paraId="15E5F207" w14:textId="77777777" w:rsidR="0013126A" w:rsidRPr="0042463B" w:rsidRDefault="0013126A" w:rsidP="004307BE">
            <w:pPr>
              <w:jc w:val="right"/>
              <w:rPr>
                <w:sz w:val="20"/>
                <w:szCs w:val="20"/>
              </w:rPr>
            </w:pPr>
            <w:r w:rsidRPr="0042463B">
              <w:rPr>
                <w:sz w:val="20"/>
                <w:szCs w:val="20"/>
              </w:rPr>
              <w:t>319,88</w:t>
            </w:r>
          </w:p>
        </w:tc>
        <w:tc>
          <w:tcPr>
            <w:tcW w:w="790" w:type="dxa"/>
          </w:tcPr>
          <w:p w14:paraId="3182B3FC" w14:textId="77777777" w:rsidR="0013126A" w:rsidRPr="0042463B" w:rsidRDefault="0013126A" w:rsidP="004307BE">
            <w:pPr>
              <w:jc w:val="right"/>
              <w:rPr>
                <w:sz w:val="20"/>
                <w:szCs w:val="20"/>
              </w:rPr>
            </w:pPr>
            <w:r w:rsidRPr="0042463B">
              <w:rPr>
                <w:sz w:val="20"/>
                <w:szCs w:val="20"/>
              </w:rPr>
              <w:t>17,59</w:t>
            </w:r>
          </w:p>
        </w:tc>
        <w:tc>
          <w:tcPr>
            <w:tcW w:w="781" w:type="dxa"/>
          </w:tcPr>
          <w:p w14:paraId="7E3FA249" w14:textId="77777777" w:rsidR="0013126A" w:rsidRPr="0042463B" w:rsidRDefault="0013126A" w:rsidP="004307BE">
            <w:pPr>
              <w:jc w:val="right"/>
              <w:rPr>
                <w:sz w:val="20"/>
                <w:szCs w:val="20"/>
              </w:rPr>
            </w:pPr>
            <w:r w:rsidRPr="0042463B">
              <w:rPr>
                <w:sz w:val="20"/>
                <w:szCs w:val="20"/>
              </w:rPr>
              <w:t>604,62</w:t>
            </w:r>
          </w:p>
        </w:tc>
        <w:tc>
          <w:tcPr>
            <w:tcW w:w="793" w:type="dxa"/>
          </w:tcPr>
          <w:p w14:paraId="6A41BF41" w14:textId="77777777" w:rsidR="0013126A" w:rsidRPr="0042463B" w:rsidRDefault="0013126A" w:rsidP="004307BE">
            <w:pPr>
              <w:jc w:val="right"/>
              <w:rPr>
                <w:sz w:val="20"/>
                <w:szCs w:val="20"/>
              </w:rPr>
            </w:pPr>
            <w:r w:rsidRPr="0042463B">
              <w:rPr>
                <w:sz w:val="20"/>
                <w:szCs w:val="20"/>
              </w:rPr>
              <w:t>33,25</w:t>
            </w:r>
          </w:p>
        </w:tc>
        <w:tc>
          <w:tcPr>
            <w:tcW w:w="777" w:type="dxa"/>
          </w:tcPr>
          <w:p w14:paraId="775320D0" w14:textId="77777777" w:rsidR="0013126A" w:rsidRPr="0042463B" w:rsidRDefault="0013126A" w:rsidP="004307BE">
            <w:pPr>
              <w:jc w:val="right"/>
              <w:rPr>
                <w:sz w:val="20"/>
                <w:szCs w:val="20"/>
              </w:rPr>
            </w:pPr>
            <w:r w:rsidRPr="0042463B">
              <w:rPr>
                <w:sz w:val="20"/>
                <w:szCs w:val="20"/>
              </w:rPr>
              <w:t>554,56</w:t>
            </w:r>
          </w:p>
        </w:tc>
        <w:tc>
          <w:tcPr>
            <w:tcW w:w="790" w:type="dxa"/>
          </w:tcPr>
          <w:p w14:paraId="4B1EC399" w14:textId="77777777" w:rsidR="0013126A" w:rsidRPr="0042463B" w:rsidRDefault="0013126A" w:rsidP="004307BE">
            <w:pPr>
              <w:jc w:val="right"/>
              <w:rPr>
                <w:sz w:val="20"/>
                <w:szCs w:val="20"/>
              </w:rPr>
            </w:pPr>
            <w:r w:rsidRPr="0042463B">
              <w:rPr>
                <w:sz w:val="20"/>
                <w:szCs w:val="20"/>
              </w:rPr>
              <w:t>30,50</w:t>
            </w:r>
          </w:p>
        </w:tc>
        <w:tc>
          <w:tcPr>
            <w:tcW w:w="767" w:type="dxa"/>
          </w:tcPr>
          <w:p w14:paraId="76429E1E" w14:textId="77777777" w:rsidR="0013126A" w:rsidRPr="0042463B" w:rsidRDefault="0013126A" w:rsidP="004307BE">
            <w:pPr>
              <w:jc w:val="right"/>
              <w:rPr>
                <w:sz w:val="20"/>
                <w:szCs w:val="20"/>
              </w:rPr>
            </w:pPr>
            <w:r w:rsidRPr="0042463B">
              <w:rPr>
                <w:sz w:val="20"/>
                <w:szCs w:val="20"/>
              </w:rPr>
              <w:t>50,06</w:t>
            </w:r>
          </w:p>
        </w:tc>
        <w:tc>
          <w:tcPr>
            <w:tcW w:w="786" w:type="dxa"/>
          </w:tcPr>
          <w:p w14:paraId="74B8E76C" w14:textId="77777777" w:rsidR="0013126A" w:rsidRPr="0042463B" w:rsidRDefault="0013126A" w:rsidP="004307BE">
            <w:pPr>
              <w:jc w:val="right"/>
              <w:rPr>
                <w:sz w:val="20"/>
                <w:szCs w:val="20"/>
              </w:rPr>
            </w:pPr>
            <w:r w:rsidRPr="0042463B">
              <w:rPr>
                <w:sz w:val="20"/>
                <w:szCs w:val="20"/>
              </w:rPr>
              <w:t>2,75</w:t>
            </w:r>
          </w:p>
        </w:tc>
      </w:tr>
      <w:tr w:rsidR="0013126A" w:rsidRPr="0042463B" w14:paraId="799EF2A5" w14:textId="77777777" w:rsidTr="004307BE">
        <w:tc>
          <w:tcPr>
            <w:tcW w:w="1383" w:type="dxa"/>
          </w:tcPr>
          <w:p w14:paraId="471732B7" w14:textId="77777777" w:rsidR="0013126A" w:rsidRPr="0042463B" w:rsidRDefault="0013126A" w:rsidP="004307BE">
            <w:pPr>
              <w:jc w:val="left"/>
              <w:rPr>
                <w:sz w:val="20"/>
                <w:szCs w:val="20"/>
              </w:rPr>
            </w:pPr>
            <w:r w:rsidRPr="0042463B">
              <w:rPr>
                <w:sz w:val="20"/>
                <w:szCs w:val="20"/>
              </w:rPr>
              <w:t>HCFC-141b pur dans l’entretien</w:t>
            </w:r>
          </w:p>
        </w:tc>
        <w:tc>
          <w:tcPr>
            <w:tcW w:w="916" w:type="dxa"/>
          </w:tcPr>
          <w:p w14:paraId="60016F1E" w14:textId="77777777" w:rsidR="0013126A" w:rsidRPr="0042463B" w:rsidRDefault="0013126A" w:rsidP="004307BE">
            <w:pPr>
              <w:jc w:val="right"/>
              <w:rPr>
                <w:sz w:val="20"/>
                <w:szCs w:val="20"/>
              </w:rPr>
            </w:pPr>
            <w:r w:rsidRPr="0042463B">
              <w:rPr>
                <w:sz w:val="20"/>
                <w:szCs w:val="20"/>
              </w:rPr>
              <w:t>3,97</w:t>
            </w:r>
          </w:p>
        </w:tc>
        <w:tc>
          <w:tcPr>
            <w:tcW w:w="790" w:type="dxa"/>
          </w:tcPr>
          <w:p w14:paraId="3210CD88" w14:textId="77777777" w:rsidR="0013126A" w:rsidRPr="0042463B" w:rsidRDefault="0013126A" w:rsidP="004307BE">
            <w:pPr>
              <w:jc w:val="right"/>
              <w:rPr>
                <w:sz w:val="20"/>
                <w:szCs w:val="20"/>
              </w:rPr>
            </w:pPr>
            <w:r w:rsidRPr="0042463B">
              <w:rPr>
                <w:sz w:val="20"/>
                <w:szCs w:val="20"/>
              </w:rPr>
              <w:t>0,44</w:t>
            </w:r>
          </w:p>
        </w:tc>
        <w:tc>
          <w:tcPr>
            <w:tcW w:w="777" w:type="dxa"/>
          </w:tcPr>
          <w:p w14:paraId="49A9A901" w14:textId="77777777" w:rsidR="0013126A" w:rsidRPr="0042463B" w:rsidRDefault="0013126A" w:rsidP="004307BE">
            <w:pPr>
              <w:jc w:val="right"/>
              <w:rPr>
                <w:sz w:val="20"/>
                <w:szCs w:val="20"/>
              </w:rPr>
            </w:pPr>
            <w:r w:rsidRPr="0042463B">
              <w:rPr>
                <w:sz w:val="20"/>
                <w:szCs w:val="20"/>
              </w:rPr>
              <w:t>3,97</w:t>
            </w:r>
          </w:p>
        </w:tc>
        <w:tc>
          <w:tcPr>
            <w:tcW w:w="790" w:type="dxa"/>
          </w:tcPr>
          <w:p w14:paraId="0CC579F6" w14:textId="77777777" w:rsidR="0013126A" w:rsidRPr="0042463B" w:rsidRDefault="0013126A" w:rsidP="004307BE">
            <w:pPr>
              <w:jc w:val="right"/>
              <w:rPr>
                <w:sz w:val="20"/>
                <w:szCs w:val="20"/>
              </w:rPr>
            </w:pPr>
            <w:r w:rsidRPr="0042463B">
              <w:rPr>
                <w:sz w:val="20"/>
                <w:szCs w:val="20"/>
              </w:rPr>
              <w:t>0,44</w:t>
            </w:r>
          </w:p>
        </w:tc>
        <w:tc>
          <w:tcPr>
            <w:tcW w:w="781" w:type="dxa"/>
          </w:tcPr>
          <w:p w14:paraId="0EE489BE" w14:textId="77777777" w:rsidR="0013126A" w:rsidRPr="0042463B" w:rsidRDefault="0013126A" w:rsidP="004307BE">
            <w:pPr>
              <w:jc w:val="right"/>
              <w:rPr>
                <w:sz w:val="20"/>
                <w:szCs w:val="20"/>
              </w:rPr>
            </w:pPr>
            <w:r w:rsidRPr="0042463B">
              <w:rPr>
                <w:sz w:val="20"/>
                <w:szCs w:val="20"/>
              </w:rPr>
              <w:t>0</w:t>
            </w:r>
          </w:p>
        </w:tc>
        <w:tc>
          <w:tcPr>
            <w:tcW w:w="793" w:type="dxa"/>
          </w:tcPr>
          <w:p w14:paraId="7084FA6A" w14:textId="77777777" w:rsidR="0013126A" w:rsidRPr="0042463B" w:rsidRDefault="0013126A" w:rsidP="004307BE">
            <w:pPr>
              <w:jc w:val="right"/>
              <w:rPr>
                <w:sz w:val="20"/>
                <w:szCs w:val="20"/>
              </w:rPr>
            </w:pPr>
            <w:r w:rsidRPr="0042463B">
              <w:rPr>
                <w:sz w:val="20"/>
                <w:szCs w:val="20"/>
              </w:rPr>
              <w:t>0</w:t>
            </w:r>
          </w:p>
        </w:tc>
        <w:tc>
          <w:tcPr>
            <w:tcW w:w="777" w:type="dxa"/>
          </w:tcPr>
          <w:p w14:paraId="38879DC8" w14:textId="77777777" w:rsidR="0013126A" w:rsidRPr="0042463B" w:rsidRDefault="0013126A" w:rsidP="004307BE">
            <w:pPr>
              <w:jc w:val="right"/>
              <w:rPr>
                <w:sz w:val="20"/>
                <w:szCs w:val="20"/>
              </w:rPr>
            </w:pPr>
            <w:r w:rsidRPr="0042463B">
              <w:rPr>
                <w:sz w:val="20"/>
                <w:szCs w:val="20"/>
              </w:rPr>
              <w:t>0</w:t>
            </w:r>
          </w:p>
        </w:tc>
        <w:tc>
          <w:tcPr>
            <w:tcW w:w="790" w:type="dxa"/>
          </w:tcPr>
          <w:p w14:paraId="45BCE370" w14:textId="77777777" w:rsidR="0013126A" w:rsidRPr="0042463B" w:rsidRDefault="0013126A" w:rsidP="004307BE">
            <w:pPr>
              <w:jc w:val="right"/>
              <w:rPr>
                <w:sz w:val="20"/>
                <w:szCs w:val="20"/>
              </w:rPr>
            </w:pPr>
            <w:r w:rsidRPr="0042463B">
              <w:rPr>
                <w:sz w:val="20"/>
                <w:szCs w:val="20"/>
              </w:rPr>
              <w:t>0</w:t>
            </w:r>
          </w:p>
        </w:tc>
        <w:tc>
          <w:tcPr>
            <w:tcW w:w="767" w:type="dxa"/>
          </w:tcPr>
          <w:p w14:paraId="7A6E1B19" w14:textId="77777777" w:rsidR="0013126A" w:rsidRPr="0042463B" w:rsidRDefault="0013126A" w:rsidP="004307BE">
            <w:pPr>
              <w:jc w:val="right"/>
              <w:rPr>
                <w:sz w:val="20"/>
                <w:szCs w:val="20"/>
              </w:rPr>
            </w:pPr>
            <w:r w:rsidRPr="0042463B">
              <w:rPr>
                <w:sz w:val="20"/>
                <w:szCs w:val="20"/>
              </w:rPr>
              <w:t>0</w:t>
            </w:r>
          </w:p>
        </w:tc>
        <w:tc>
          <w:tcPr>
            <w:tcW w:w="786" w:type="dxa"/>
          </w:tcPr>
          <w:p w14:paraId="6D127EFF" w14:textId="77777777" w:rsidR="0013126A" w:rsidRPr="0042463B" w:rsidRDefault="0013126A" w:rsidP="004307BE">
            <w:pPr>
              <w:jc w:val="right"/>
              <w:rPr>
                <w:sz w:val="20"/>
                <w:szCs w:val="20"/>
              </w:rPr>
            </w:pPr>
            <w:r w:rsidRPr="0042463B">
              <w:rPr>
                <w:sz w:val="20"/>
                <w:szCs w:val="20"/>
              </w:rPr>
              <w:t>0</w:t>
            </w:r>
          </w:p>
        </w:tc>
      </w:tr>
      <w:tr w:rsidR="0013126A" w:rsidRPr="0042463B" w14:paraId="354F9A92" w14:textId="77777777" w:rsidTr="004307BE">
        <w:tc>
          <w:tcPr>
            <w:tcW w:w="1383" w:type="dxa"/>
          </w:tcPr>
          <w:p w14:paraId="61CFA770" w14:textId="77777777" w:rsidR="0013126A" w:rsidRPr="0042463B" w:rsidRDefault="0013126A" w:rsidP="004307BE">
            <w:pPr>
              <w:jc w:val="left"/>
              <w:rPr>
                <w:sz w:val="20"/>
                <w:szCs w:val="20"/>
              </w:rPr>
            </w:pPr>
            <w:r w:rsidRPr="0042463B">
              <w:rPr>
                <w:sz w:val="20"/>
                <w:szCs w:val="20"/>
              </w:rPr>
              <w:t>Total des HCFC purs</w:t>
            </w:r>
          </w:p>
        </w:tc>
        <w:tc>
          <w:tcPr>
            <w:tcW w:w="916" w:type="dxa"/>
          </w:tcPr>
          <w:p w14:paraId="76576B7F" w14:textId="77777777" w:rsidR="0013126A" w:rsidRPr="0042463B" w:rsidRDefault="0013126A" w:rsidP="004307BE">
            <w:pPr>
              <w:jc w:val="right"/>
              <w:rPr>
                <w:sz w:val="20"/>
                <w:szCs w:val="20"/>
              </w:rPr>
            </w:pPr>
            <w:r w:rsidRPr="0042463B">
              <w:rPr>
                <w:sz w:val="20"/>
                <w:szCs w:val="20"/>
              </w:rPr>
              <w:t>928,47</w:t>
            </w:r>
          </w:p>
        </w:tc>
        <w:tc>
          <w:tcPr>
            <w:tcW w:w="790" w:type="dxa"/>
          </w:tcPr>
          <w:p w14:paraId="12C3D1FD" w14:textId="77777777" w:rsidR="0013126A" w:rsidRPr="0042463B" w:rsidRDefault="0013126A" w:rsidP="004307BE">
            <w:pPr>
              <w:jc w:val="right"/>
              <w:rPr>
                <w:sz w:val="20"/>
                <w:szCs w:val="20"/>
              </w:rPr>
            </w:pPr>
            <w:r w:rsidRPr="0042463B">
              <w:rPr>
                <w:sz w:val="20"/>
                <w:szCs w:val="20"/>
              </w:rPr>
              <w:t>51,28</w:t>
            </w:r>
          </w:p>
        </w:tc>
        <w:tc>
          <w:tcPr>
            <w:tcW w:w="777" w:type="dxa"/>
          </w:tcPr>
          <w:p w14:paraId="7D5B8B48" w14:textId="77777777" w:rsidR="0013126A" w:rsidRPr="0042463B" w:rsidRDefault="0013126A" w:rsidP="004307BE">
            <w:pPr>
              <w:jc w:val="right"/>
              <w:rPr>
                <w:sz w:val="20"/>
                <w:szCs w:val="20"/>
              </w:rPr>
            </w:pPr>
            <w:r w:rsidRPr="0042463B">
              <w:rPr>
                <w:sz w:val="20"/>
                <w:szCs w:val="20"/>
              </w:rPr>
              <w:t>323,85</w:t>
            </w:r>
          </w:p>
        </w:tc>
        <w:tc>
          <w:tcPr>
            <w:tcW w:w="790" w:type="dxa"/>
          </w:tcPr>
          <w:p w14:paraId="3BFB4816" w14:textId="77777777" w:rsidR="0013126A" w:rsidRPr="0042463B" w:rsidRDefault="0013126A" w:rsidP="004307BE">
            <w:pPr>
              <w:jc w:val="right"/>
              <w:rPr>
                <w:sz w:val="20"/>
                <w:szCs w:val="20"/>
              </w:rPr>
            </w:pPr>
            <w:r w:rsidRPr="0042463B">
              <w:rPr>
                <w:sz w:val="20"/>
                <w:szCs w:val="20"/>
              </w:rPr>
              <w:t>18,03</w:t>
            </w:r>
          </w:p>
        </w:tc>
        <w:tc>
          <w:tcPr>
            <w:tcW w:w="781" w:type="dxa"/>
          </w:tcPr>
          <w:p w14:paraId="32094271" w14:textId="77777777" w:rsidR="0013126A" w:rsidRPr="0042463B" w:rsidRDefault="0013126A" w:rsidP="004307BE">
            <w:pPr>
              <w:jc w:val="right"/>
              <w:rPr>
                <w:sz w:val="20"/>
                <w:szCs w:val="20"/>
              </w:rPr>
            </w:pPr>
            <w:r w:rsidRPr="0042463B">
              <w:rPr>
                <w:sz w:val="20"/>
                <w:szCs w:val="20"/>
              </w:rPr>
              <w:t>604,62</w:t>
            </w:r>
          </w:p>
        </w:tc>
        <w:tc>
          <w:tcPr>
            <w:tcW w:w="793" w:type="dxa"/>
          </w:tcPr>
          <w:p w14:paraId="2846C9B6" w14:textId="77777777" w:rsidR="0013126A" w:rsidRPr="0042463B" w:rsidRDefault="0013126A" w:rsidP="004307BE">
            <w:pPr>
              <w:jc w:val="right"/>
              <w:rPr>
                <w:sz w:val="20"/>
                <w:szCs w:val="20"/>
              </w:rPr>
            </w:pPr>
            <w:r w:rsidRPr="0042463B">
              <w:rPr>
                <w:sz w:val="20"/>
                <w:szCs w:val="20"/>
              </w:rPr>
              <w:t>33,25</w:t>
            </w:r>
          </w:p>
        </w:tc>
        <w:tc>
          <w:tcPr>
            <w:tcW w:w="777" w:type="dxa"/>
          </w:tcPr>
          <w:p w14:paraId="3EB50ABB" w14:textId="77777777" w:rsidR="0013126A" w:rsidRPr="0042463B" w:rsidRDefault="0013126A" w:rsidP="004307BE">
            <w:pPr>
              <w:jc w:val="right"/>
              <w:rPr>
                <w:sz w:val="20"/>
                <w:szCs w:val="20"/>
              </w:rPr>
            </w:pPr>
            <w:r w:rsidRPr="0042463B">
              <w:rPr>
                <w:sz w:val="20"/>
                <w:szCs w:val="20"/>
              </w:rPr>
              <w:t>554,56</w:t>
            </w:r>
          </w:p>
        </w:tc>
        <w:tc>
          <w:tcPr>
            <w:tcW w:w="790" w:type="dxa"/>
          </w:tcPr>
          <w:p w14:paraId="426989F1" w14:textId="77777777" w:rsidR="0013126A" w:rsidRPr="0042463B" w:rsidRDefault="0013126A" w:rsidP="004307BE">
            <w:pPr>
              <w:jc w:val="right"/>
              <w:rPr>
                <w:sz w:val="20"/>
                <w:szCs w:val="20"/>
              </w:rPr>
            </w:pPr>
            <w:r w:rsidRPr="0042463B">
              <w:rPr>
                <w:sz w:val="20"/>
                <w:szCs w:val="20"/>
              </w:rPr>
              <w:t>30,50</w:t>
            </w:r>
          </w:p>
        </w:tc>
        <w:tc>
          <w:tcPr>
            <w:tcW w:w="767" w:type="dxa"/>
          </w:tcPr>
          <w:p w14:paraId="65DDAC81" w14:textId="77777777" w:rsidR="0013126A" w:rsidRPr="0042463B" w:rsidRDefault="0013126A" w:rsidP="004307BE">
            <w:pPr>
              <w:jc w:val="right"/>
              <w:rPr>
                <w:sz w:val="20"/>
                <w:szCs w:val="20"/>
              </w:rPr>
            </w:pPr>
            <w:r w:rsidRPr="0042463B">
              <w:rPr>
                <w:sz w:val="20"/>
                <w:szCs w:val="20"/>
              </w:rPr>
              <w:t>50,06</w:t>
            </w:r>
          </w:p>
        </w:tc>
        <w:tc>
          <w:tcPr>
            <w:tcW w:w="786" w:type="dxa"/>
          </w:tcPr>
          <w:p w14:paraId="042FB56C" w14:textId="77777777" w:rsidR="0013126A" w:rsidRPr="0042463B" w:rsidRDefault="0013126A" w:rsidP="004307BE">
            <w:pPr>
              <w:jc w:val="right"/>
              <w:rPr>
                <w:sz w:val="20"/>
                <w:szCs w:val="20"/>
              </w:rPr>
            </w:pPr>
            <w:r w:rsidRPr="0042463B">
              <w:rPr>
                <w:sz w:val="20"/>
                <w:szCs w:val="20"/>
              </w:rPr>
              <w:t>2,75</w:t>
            </w:r>
          </w:p>
        </w:tc>
      </w:tr>
      <w:tr w:rsidR="0013126A" w:rsidRPr="0042463B" w14:paraId="42BCAAF2" w14:textId="77777777" w:rsidTr="004307BE">
        <w:tc>
          <w:tcPr>
            <w:tcW w:w="1383" w:type="dxa"/>
          </w:tcPr>
          <w:p w14:paraId="49E99E91" w14:textId="77777777" w:rsidR="0013126A" w:rsidRPr="0042463B" w:rsidRDefault="0013126A" w:rsidP="004307BE">
            <w:pPr>
              <w:jc w:val="left"/>
              <w:rPr>
                <w:sz w:val="20"/>
                <w:szCs w:val="20"/>
              </w:rPr>
            </w:pPr>
            <w:r w:rsidRPr="0042463B">
              <w:rPr>
                <w:sz w:val="20"/>
                <w:szCs w:val="20"/>
              </w:rPr>
              <w:t>HCFC-141b dans les polyols pré-mélangés</w:t>
            </w:r>
          </w:p>
        </w:tc>
        <w:tc>
          <w:tcPr>
            <w:tcW w:w="916" w:type="dxa"/>
          </w:tcPr>
          <w:p w14:paraId="2274FE1D" w14:textId="77777777" w:rsidR="0013126A" w:rsidRPr="0042463B" w:rsidRDefault="0013126A" w:rsidP="004307BE">
            <w:pPr>
              <w:jc w:val="right"/>
              <w:rPr>
                <w:sz w:val="20"/>
                <w:szCs w:val="20"/>
              </w:rPr>
            </w:pPr>
            <w:r w:rsidRPr="0042463B">
              <w:rPr>
                <w:sz w:val="20"/>
                <w:szCs w:val="20"/>
              </w:rPr>
              <w:t>91,87</w:t>
            </w:r>
          </w:p>
        </w:tc>
        <w:tc>
          <w:tcPr>
            <w:tcW w:w="790" w:type="dxa"/>
          </w:tcPr>
          <w:p w14:paraId="7D45656A" w14:textId="77777777" w:rsidR="0013126A" w:rsidRPr="0042463B" w:rsidRDefault="0013126A" w:rsidP="004307BE">
            <w:pPr>
              <w:jc w:val="right"/>
              <w:rPr>
                <w:sz w:val="20"/>
                <w:szCs w:val="20"/>
              </w:rPr>
            </w:pPr>
            <w:r w:rsidRPr="0042463B">
              <w:rPr>
                <w:sz w:val="20"/>
                <w:szCs w:val="20"/>
              </w:rPr>
              <w:t>10,11</w:t>
            </w:r>
          </w:p>
        </w:tc>
        <w:tc>
          <w:tcPr>
            <w:tcW w:w="777" w:type="dxa"/>
          </w:tcPr>
          <w:p w14:paraId="6A508D44" w14:textId="77777777" w:rsidR="0013126A" w:rsidRPr="0042463B" w:rsidRDefault="0013126A" w:rsidP="004307BE">
            <w:pPr>
              <w:jc w:val="right"/>
              <w:rPr>
                <w:sz w:val="20"/>
                <w:szCs w:val="20"/>
              </w:rPr>
            </w:pPr>
            <w:r w:rsidRPr="0042463B">
              <w:rPr>
                <w:sz w:val="20"/>
                <w:szCs w:val="20"/>
              </w:rPr>
              <w:t>0</w:t>
            </w:r>
          </w:p>
        </w:tc>
        <w:tc>
          <w:tcPr>
            <w:tcW w:w="790" w:type="dxa"/>
          </w:tcPr>
          <w:p w14:paraId="2F4849FD" w14:textId="77777777" w:rsidR="0013126A" w:rsidRPr="0042463B" w:rsidRDefault="0013126A" w:rsidP="004307BE">
            <w:pPr>
              <w:jc w:val="right"/>
              <w:rPr>
                <w:sz w:val="20"/>
                <w:szCs w:val="20"/>
              </w:rPr>
            </w:pPr>
            <w:r w:rsidRPr="0042463B">
              <w:rPr>
                <w:sz w:val="20"/>
                <w:szCs w:val="20"/>
              </w:rPr>
              <w:t>0</w:t>
            </w:r>
          </w:p>
        </w:tc>
        <w:tc>
          <w:tcPr>
            <w:tcW w:w="781" w:type="dxa"/>
          </w:tcPr>
          <w:p w14:paraId="034B320D" w14:textId="77777777" w:rsidR="0013126A" w:rsidRPr="0042463B" w:rsidRDefault="0013126A" w:rsidP="004307BE">
            <w:pPr>
              <w:jc w:val="right"/>
              <w:rPr>
                <w:sz w:val="20"/>
                <w:szCs w:val="20"/>
              </w:rPr>
            </w:pPr>
            <w:r w:rsidRPr="0042463B">
              <w:rPr>
                <w:sz w:val="20"/>
                <w:szCs w:val="20"/>
              </w:rPr>
              <w:t>91,87</w:t>
            </w:r>
          </w:p>
        </w:tc>
        <w:tc>
          <w:tcPr>
            <w:tcW w:w="793" w:type="dxa"/>
          </w:tcPr>
          <w:p w14:paraId="76CBC69B" w14:textId="77777777" w:rsidR="0013126A" w:rsidRPr="0042463B" w:rsidRDefault="0013126A" w:rsidP="004307BE">
            <w:pPr>
              <w:jc w:val="right"/>
              <w:rPr>
                <w:sz w:val="20"/>
                <w:szCs w:val="20"/>
              </w:rPr>
            </w:pPr>
            <w:r w:rsidRPr="0042463B">
              <w:rPr>
                <w:sz w:val="20"/>
                <w:szCs w:val="20"/>
              </w:rPr>
              <w:t>10,11</w:t>
            </w:r>
          </w:p>
        </w:tc>
        <w:tc>
          <w:tcPr>
            <w:tcW w:w="777" w:type="dxa"/>
          </w:tcPr>
          <w:p w14:paraId="028F16C2" w14:textId="77777777" w:rsidR="0013126A" w:rsidRPr="0042463B" w:rsidRDefault="0013126A" w:rsidP="004307BE">
            <w:pPr>
              <w:jc w:val="right"/>
              <w:rPr>
                <w:sz w:val="20"/>
                <w:szCs w:val="20"/>
              </w:rPr>
            </w:pPr>
            <w:r w:rsidRPr="0042463B">
              <w:rPr>
                <w:sz w:val="20"/>
                <w:szCs w:val="20"/>
              </w:rPr>
              <w:t>91,87</w:t>
            </w:r>
          </w:p>
        </w:tc>
        <w:tc>
          <w:tcPr>
            <w:tcW w:w="790" w:type="dxa"/>
          </w:tcPr>
          <w:p w14:paraId="4668D0FD" w14:textId="77777777" w:rsidR="0013126A" w:rsidRPr="0042463B" w:rsidRDefault="0013126A" w:rsidP="004307BE">
            <w:pPr>
              <w:jc w:val="right"/>
              <w:rPr>
                <w:sz w:val="20"/>
                <w:szCs w:val="20"/>
              </w:rPr>
            </w:pPr>
            <w:r w:rsidRPr="0042463B">
              <w:rPr>
                <w:sz w:val="20"/>
                <w:szCs w:val="20"/>
              </w:rPr>
              <w:t>10,11</w:t>
            </w:r>
          </w:p>
        </w:tc>
        <w:tc>
          <w:tcPr>
            <w:tcW w:w="767" w:type="dxa"/>
          </w:tcPr>
          <w:p w14:paraId="3E2662D0" w14:textId="77777777" w:rsidR="0013126A" w:rsidRPr="0042463B" w:rsidRDefault="0013126A" w:rsidP="004307BE">
            <w:pPr>
              <w:jc w:val="right"/>
              <w:rPr>
                <w:sz w:val="20"/>
                <w:szCs w:val="20"/>
              </w:rPr>
            </w:pPr>
            <w:r w:rsidRPr="0042463B">
              <w:rPr>
                <w:sz w:val="20"/>
                <w:szCs w:val="20"/>
              </w:rPr>
              <w:t>0,00</w:t>
            </w:r>
          </w:p>
        </w:tc>
        <w:tc>
          <w:tcPr>
            <w:tcW w:w="786" w:type="dxa"/>
          </w:tcPr>
          <w:p w14:paraId="61A99B6E" w14:textId="77777777" w:rsidR="0013126A" w:rsidRPr="0042463B" w:rsidRDefault="0013126A" w:rsidP="004307BE">
            <w:pPr>
              <w:jc w:val="right"/>
              <w:rPr>
                <w:sz w:val="20"/>
                <w:szCs w:val="20"/>
              </w:rPr>
            </w:pPr>
            <w:r w:rsidRPr="0042463B">
              <w:rPr>
                <w:sz w:val="20"/>
                <w:szCs w:val="20"/>
              </w:rPr>
              <w:t>0,00</w:t>
            </w:r>
          </w:p>
        </w:tc>
      </w:tr>
      <w:tr w:rsidR="0013126A" w:rsidRPr="0042463B" w14:paraId="19939355" w14:textId="77777777" w:rsidTr="004307BE">
        <w:tc>
          <w:tcPr>
            <w:tcW w:w="1383" w:type="dxa"/>
          </w:tcPr>
          <w:p w14:paraId="5AF6D38A" w14:textId="77777777" w:rsidR="0013126A" w:rsidRPr="0042463B" w:rsidRDefault="0013126A" w:rsidP="004307BE">
            <w:pPr>
              <w:jc w:val="left"/>
              <w:rPr>
                <w:b/>
                <w:sz w:val="20"/>
                <w:szCs w:val="20"/>
              </w:rPr>
            </w:pPr>
            <w:r w:rsidRPr="0042463B">
              <w:rPr>
                <w:b/>
                <w:sz w:val="20"/>
                <w:szCs w:val="20"/>
              </w:rPr>
              <w:t>Grand total</w:t>
            </w:r>
          </w:p>
        </w:tc>
        <w:tc>
          <w:tcPr>
            <w:tcW w:w="916" w:type="dxa"/>
          </w:tcPr>
          <w:p w14:paraId="4A1E35DD" w14:textId="77777777" w:rsidR="0013126A" w:rsidRPr="0042463B" w:rsidRDefault="0013126A" w:rsidP="004307BE">
            <w:pPr>
              <w:jc w:val="right"/>
              <w:rPr>
                <w:sz w:val="20"/>
                <w:szCs w:val="20"/>
              </w:rPr>
            </w:pPr>
            <w:r w:rsidRPr="0042463B">
              <w:rPr>
                <w:sz w:val="20"/>
                <w:szCs w:val="20"/>
              </w:rPr>
              <w:t>1 020,34</w:t>
            </w:r>
          </w:p>
        </w:tc>
        <w:tc>
          <w:tcPr>
            <w:tcW w:w="790" w:type="dxa"/>
          </w:tcPr>
          <w:p w14:paraId="04054C3C" w14:textId="77777777" w:rsidR="0013126A" w:rsidRPr="0042463B" w:rsidRDefault="0013126A" w:rsidP="004307BE">
            <w:pPr>
              <w:jc w:val="right"/>
              <w:rPr>
                <w:sz w:val="20"/>
                <w:szCs w:val="20"/>
              </w:rPr>
            </w:pPr>
            <w:r w:rsidRPr="0042463B">
              <w:rPr>
                <w:sz w:val="20"/>
                <w:szCs w:val="20"/>
              </w:rPr>
              <w:t>61,39</w:t>
            </w:r>
          </w:p>
        </w:tc>
        <w:tc>
          <w:tcPr>
            <w:tcW w:w="777" w:type="dxa"/>
          </w:tcPr>
          <w:p w14:paraId="5A4A5151" w14:textId="77777777" w:rsidR="0013126A" w:rsidRPr="0042463B" w:rsidRDefault="0013126A" w:rsidP="004307BE">
            <w:pPr>
              <w:jc w:val="right"/>
              <w:rPr>
                <w:sz w:val="20"/>
                <w:szCs w:val="20"/>
              </w:rPr>
            </w:pPr>
            <w:r w:rsidRPr="0042463B">
              <w:rPr>
                <w:sz w:val="20"/>
                <w:szCs w:val="20"/>
              </w:rPr>
              <w:t>323,85</w:t>
            </w:r>
          </w:p>
        </w:tc>
        <w:tc>
          <w:tcPr>
            <w:tcW w:w="790" w:type="dxa"/>
          </w:tcPr>
          <w:p w14:paraId="701E811E" w14:textId="77777777" w:rsidR="0013126A" w:rsidRPr="0042463B" w:rsidRDefault="0013126A" w:rsidP="004307BE">
            <w:pPr>
              <w:jc w:val="right"/>
              <w:rPr>
                <w:sz w:val="20"/>
                <w:szCs w:val="20"/>
              </w:rPr>
            </w:pPr>
            <w:r w:rsidRPr="0042463B">
              <w:rPr>
                <w:sz w:val="20"/>
                <w:szCs w:val="20"/>
              </w:rPr>
              <w:t>18,03</w:t>
            </w:r>
          </w:p>
        </w:tc>
        <w:tc>
          <w:tcPr>
            <w:tcW w:w="781" w:type="dxa"/>
          </w:tcPr>
          <w:p w14:paraId="5D4C3CEE" w14:textId="77777777" w:rsidR="0013126A" w:rsidRPr="0042463B" w:rsidRDefault="0013126A" w:rsidP="004307BE">
            <w:pPr>
              <w:jc w:val="right"/>
              <w:rPr>
                <w:sz w:val="20"/>
                <w:szCs w:val="20"/>
              </w:rPr>
            </w:pPr>
            <w:r w:rsidRPr="0042463B">
              <w:rPr>
                <w:sz w:val="20"/>
                <w:szCs w:val="20"/>
              </w:rPr>
              <w:t>696,49</w:t>
            </w:r>
          </w:p>
        </w:tc>
        <w:tc>
          <w:tcPr>
            <w:tcW w:w="793" w:type="dxa"/>
          </w:tcPr>
          <w:p w14:paraId="50CA58FE" w14:textId="77777777" w:rsidR="0013126A" w:rsidRPr="0042463B" w:rsidRDefault="0013126A" w:rsidP="004307BE">
            <w:pPr>
              <w:jc w:val="right"/>
              <w:rPr>
                <w:sz w:val="20"/>
                <w:szCs w:val="20"/>
              </w:rPr>
            </w:pPr>
            <w:r w:rsidRPr="0042463B">
              <w:rPr>
                <w:sz w:val="20"/>
                <w:szCs w:val="20"/>
              </w:rPr>
              <w:t>43,36</w:t>
            </w:r>
          </w:p>
        </w:tc>
        <w:tc>
          <w:tcPr>
            <w:tcW w:w="777" w:type="dxa"/>
          </w:tcPr>
          <w:p w14:paraId="7DC4DCA4" w14:textId="77777777" w:rsidR="0013126A" w:rsidRPr="0042463B" w:rsidRDefault="0013126A" w:rsidP="004307BE">
            <w:pPr>
              <w:jc w:val="right"/>
              <w:rPr>
                <w:sz w:val="20"/>
                <w:szCs w:val="20"/>
              </w:rPr>
            </w:pPr>
            <w:r w:rsidRPr="0042463B">
              <w:rPr>
                <w:sz w:val="20"/>
                <w:szCs w:val="20"/>
              </w:rPr>
              <w:t>658,89</w:t>
            </w:r>
          </w:p>
        </w:tc>
        <w:tc>
          <w:tcPr>
            <w:tcW w:w="790" w:type="dxa"/>
          </w:tcPr>
          <w:p w14:paraId="04516DA7" w14:textId="77777777" w:rsidR="0013126A" w:rsidRPr="0042463B" w:rsidRDefault="0013126A" w:rsidP="004307BE">
            <w:pPr>
              <w:jc w:val="right"/>
              <w:rPr>
                <w:sz w:val="20"/>
                <w:szCs w:val="20"/>
              </w:rPr>
            </w:pPr>
            <w:r w:rsidRPr="0042463B">
              <w:rPr>
                <w:sz w:val="20"/>
                <w:szCs w:val="20"/>
              </w:rPr>
              <w:t>40,61</w:t>
            </w:r>
          </w:p>
        </w:tc>
        <w:tc>
          <w:tcPr>
            <w:tcW w:w="767" w:type="dxa"/>
          </w:tcPr>
          <w:p w14:paraId="42E84CB3" w14:textId="77777777" w:rsidR="0013126A" w:rsidRPr="0042463B" w:rsidRDefault="0013126A" w:rsidP="004307BE">
            <w:pPr>
              <w:jc w:val="right"/>
              <w:rPr>
                <w:sz w:val="20"/>
                <w:szCs w:val="20"/>
              </w:rPr>
            </w:pPr>
            <w:r w:rsidRPr="0042463B">
              <w:rPr>
                <w:sz w:val="20"/>
                <w:szCs w:val="20"/>
              </w:rPr>
              <w:t>50,06</w:t>
            </w:r>
          </w:p>
        </w:tc>
        <w:tc>
          <w:tcPr>
            <w:tcW w:w="786" w:type="dxa"/>
          </w:tcPr>
          <w:p w14:paraId="64D34F3C" w14:textId="77777777" w:rsidR="0013126A" w:rsidRPr="0042463B" w:rsidRDefault="0013126A" w:rsidP="004307BE">
            <w:pPr>
              <w:jc w:val="right"/>
              <w:rPr>
                <w:sz w:val="20"/>
                <w:szCs w:val="20"/>
              </w:rPr>
            </w:pPr>
            <w:r w:rsidRPr="0042463B">
              <w:rPr>
                <w:sz w:val="20"/>
                <w:szCs w:val="20"/>
              </w:rPr>
              <w:t>2,75</w:t>
            </w:r>
          </w:p>
        </w:tc>
      </w:tr>
    </w:tbl>
    <w:p w14:paraId="4D87D1E2" w14:textId="77777777" w:rsidR="0013126A" w:rsidRPr="0042463B" w:rsidRDefault="0013126A" w:rsidP="00820D62"/>
    <w:p w14:paraId="6E8BB92B" w14:textId="77777777" w:rsidR="00EB31E3" w:rsidRPr="0042463B" w:rsidRDefault="00EB31E3" w:rsidP="006C3E4B">
      <w:pPr>
        <w:pStyle w:val="Heading1"/>
        <w:numPr>
          <w:ilvl w:val="0"/>
          <w:numId w:val="0"/>
        </w:numPr>
        <w:rPr>
          <w:u w:val="single"/>
        </w:rPr>
      </w:pPr>
      <w:r w:rsidRPr="0042463B">
        <w:rPr>
          <w:u w:val="single"/>
        </w:rPr>
        <w:t>Questions techniques et financières</w:t>
      </w:r>
    </w:p>
    <w:p w14:paraId="014BA04F" w14:textId="718130CE" w:rsidR="00B0121D" w:rsidRPr="0042463B" w:rsidRDefault="006C3E4B" w:rsidP="00EC42D5">
      <w:pPr>
        <w:pStyle w:val="Heading1"/>
      </w:pPr>
      <w:r w:rsidRPr="0042463B">
        <w:t xml:space="preserve">En ce qui concerne l’annulation de la quatrième tranche de la phase I, le gouvernement convient que le financement de la quatrième tranche (25 000 $ US) sera annulé. Le Secrétariat a noté que Bahreïn a atteint la cible de 2020 en conformité avec l’échéancier d’élimination du Protocole de Montréal. </w:t>
      </w:r>
    </w:p>
    <w:p w14:paraId="4D51A993" w14:textId="06E05CA3" w:rsidR="00B0121D" w:rsidRPr="0042463B" w:rsidRDefault="006C3E4B" w:rsidP="00EC42D5">
      <w:pPr>
        <w:pStyle w:val="Heading1"/>
      </w:pPr>
      <w:r w:rsidRPr="0042463B">
        <w:t xml:space="preserve">Le Secrétariat a discuté de la quantité éliminée dans le secteur de l’entretien pendant la phase II et de la consommation restante admissible pendant la phase III, et a noté que l’élimination pendant la phase II est plus importante que la quantité requise pour atteindre la conformité avec la réduction de 67,5 pour cent. Le Secrétariat a noté que la consommation de HCFC-22 admissible au financement pour Bahreïn concernait uniquement le secteur de l’entretien en raison de la réduction volontaire dans le secteur de la fabrication. </w:t>
      </w:r>
      <w:proofErr w:type="spellStart"/>
      <w:r w:rsidRPr="0042463B">
        <w:t>Barheïn</w:t>
      </w:r>
      <w:proofErr w:type="spellEnd"/>
      <w:r w:rsidRPr="0042463B">
        <w:t xml:space="preserve"> a traité 40 pour cent de la consommation dans le secteur de l’entretien pendant la phase II et traitera un supplément de 39 pour cent pendant la phase II, laissant 21 pour cent (50,06 </w:t>
      </w:r>
      <w:proofErr w:type="spellStart"/>
      <w:r w:rsidRPr="0042463B">
        <w:t>tm</w:t>
      </w:r>
      <w:proofErr w:type="spellEnd"/>
      <w:r w:rsidRPr="0042463B">
        <w:t xml:space="preserve">) à traiter pendant une future phase. Le Secrétariat a discuté à savoir si un financement inférieur pouvait être demandé pour traiter le tonnage inférieur de la phase II; le PNUE a insisté sur le fait qu’une grande quantité de l’élimination aurait lieu grâce à une réduction volontaire du secteur de la fabrication; une certaine quantité de la consommation doit être traitée dans le secteur de l’entretien puisque le financement est nécessaire dans la phase II pour coordonner l’élimination dans le secteur de la fabrication et pour élaborer plusieurs mesures juridiques (accréditation des techniciens et renforcement du recyclage des frigorigènes) afin </w:t>
      </w:r>
      <w:r w:rsidR="00A21184" w:rsidRPr="0042463B">
        <w:t xml:space="preserve">d’aider </w:t>
      </w:r>
      <w:r w:rsidRPr="0042463B">
        <w:t>le pays à atteindre la cible</w:t>
      </w:r>
      <w:r w:rsidR="00A21184" w:rsidRPr="0042463B">
        <w:t xml:space="preserve"> de</w:t>
      </w:r>
      <w:r w:rsidRPr="0042463B">
        <w:t xml:space="preserve"> conformité en 2025. Il est prévu que les mesures juridiques mises sur pied ainsi que l’élan suscité pendant les phases I et II soutiendront le pays afin d’éliminer continuellement les HCFC restants dans de futures phases. </w:t>
      </w:r>
    </w:p>
    <w:p w14:paraId="4A47D0D5" w14:textId="29B465C0" w:rsidR="00516826" w:rsidRPr="0042463B" w:rsidRDefault="00516826" w:rsidP="00CA3B41">
      <w:pPr>
        <w:pStyle w:val="Heading1"/>
      </w:pPr>
      <w:r w:rsidRPr="0042463B">
        <w:t xml:space="preserve">Bien que le gouvernement soit engagé à éliminer la consommation de HCFC-22 utilisé dans le secteur de la fabrication, aucun plan de conversion détaillé n’a été fourni, puisqu’aucun financement n’a été demandé auprès du Fonds multilatéral. En raison de l’incertitude de l’élimination de cette consommation  </w:t>
      </w:r>
      <w:r w:rsidR="00E472D2" w:rsidRPr="0042463B">
        <w:t>selon</w:t>
      </w:r>
      <w:r w:rsidRPr="0042463B">
        <w:t xml:space="preserve"> le calendrier et pour s’assurer que le pays sera en mesure de se conformer à ses engagements dans le cadre du PGEH, il a été convenu de fixer la cible de consommation maximale autorisée au point 1.2 de l’Appendice 2-A de l’Accord à 13,75 tonnes PAO pour 2025, c.-à-d., 18 pour cent sous la limite du calendrier d’élimination du Protocole de Montréal et une réduction de 73,5 pour cent par rapport à la valeur de référence du pays pour la conformité. </w:t>
      </w:r>
    </w:p>
    <w:p w14:paraId="50E3530E" w14:textId="419B6C5D" w:rsidR="00AD262D" w:rsidRPr="0042463B" w:rsidRDefault="0094558B" w:rsidP="000F30D0">
      <w:pPr>
        <w:pStyle w:val="Heading1"/>
        <w:widowControl w:val="0"/>
      </w:pPr>
      <w:r w:rsidRPr="0042463B">
        <w:lastRenderedPageBreak/>
        <w:t xml:space="preserve">Les surcoûts demandés pour le projet-cadre des mousses étaient largement conformes aux lignes directrices du Comité exécutif, par conséquent, le montant demandé a été convenu. Des ajustements mineurs ont été apportés aux éléments de coût pour rationaliser les surcoûts du projet-cadre (l’unité de mousse pour Al </w:t>
      </w:r>
      <w:proofErr w:type="spellStart"/>
      <w:r w:rsidRPr="0042463B">
        <w:t>Manai</w:t>
      </w:r>
      <w:proofErr w:type="spellEnd"/>
      <w:r w:rsidRPr="0042463B">
        <w:t xml:space="preserve"> a été retirée et des coûts de reconversion ont été fournis à la place; le soutien pour </w:t>
      </w:r>
      <w:r w:rsidRPr="0042463B">
        <w:rPr>
          <w:color w:val="000000"/>
        </w:rPr>
        <w:t>la diffusion de l’information et de l’expérience pour les autres entreprises dans le secteur des mousses a été fourni)</w:t>
      </w:r>
      <w:r w:rsidRPr="0042463B">
        <w:t xml:space="preserve"> afin de garantir une élimination sectorielle. L’échéancier final des coûts convenus est indiqué dans le Tableau 9.</w:t>
      </w:r>
    </w:p>
    <w:p w14:paraId="3BF61F8C" w14:textId="4D2B1609" w:rsidR="00AD262D" w:rsidRPr="0042463B" w:rsidRDefault="00AD262D" w:rsidP="009D08E2">
      <w:pPr>
        <w:keepNext/>
        <w:rPr>
          <w:b/>
        </w:rPr>
      </w:pPr>
      <w:r w:rsidRPr="0042463B">
        <w:rPr>
          <w:b/>
        </w:rPr>
        <w:t>Tableau 9. Coûts convenus pour le projet-cadre des mousses à Bahreïn ($ US)</w:t>
      </w:r>
    </w:p>
    <w:tbl>
      <w:tblPr>
        <w:tblW w:w="5003" w:type="pct"/>
        <w:tblLayout w:type="fixed"/>
        <w:tblLook w:val="04A0" w:firstRow="1" w:lastRow="0" w:firstColumn="1" w:lastColumn="0" w:noHBand="0" w:noVBand="1"/>
      </w:tblPr>
      <w:tblGrid>
        <w:gridCol w:w="6296"/>
        <w:gridCol w:w="1020"/>
        <w:gridCol w:w="1020"/>
        <w:gridCol w:w="1020"/>
      </w:tblGrid>
      <w:tr w:rsidR="009550AD" w:rsidRPr="0042463B" w14:paraId="1D479B66" w14:textId="77777777" w:rsidTr="00140DBE">
        <w:trPr>
          <w:trHeight w:val="43"/>
          <w:tblHeader/>
        </w:trPr>
        <w:tc>
          <w:tcPr>
            <w:tcW w:w="3365" w:type="pct"/>
            <w:tcBorders>
              <w:top w:val="single" w:sz="4" w:space="0" w:color="auto"/>
              <w:left w:val="single" w:sz="4" w:space="0" w:color="auto"/>
              <w:bottom w:val="single" w:sz="4" w:space="0" w:color="auto"/>
              <w:right w:val="single" w:sz="4" w:space="0" w:color="auto"/>
            </w:tcBorders>
            <w:shd w:val="clear" w:color="auto" w:fill="auto"/>
            <w:tcMar>
              <w:left w:w="29" w:type="dxa"/>
              <w:right w:w="0" w:type="dxa"/>
            </w:tcMar>
            <w:vAlign w:val="center"/>
            <w:hideMark/>
          </w:tcPr>
          <w:p w14:paraId="6C250111" w14:textId="77777777" w:rsidR="006B5EA5" w:rsidRPr="0042463B" w:rsidRDefault="006B5EA5" w:rsidP="009D08E2">
            <w:pPr>
              <w:keepNext/>
              <w:jc w:val="left"/>
              <w:rPr>
                <w:b/>
                <w:bCs/>
                <w:color w:val="000000"/>
                <w:sz w:val="20"/>
                <w:szCs w:val="20"/>
              </w:rPr>
            </w:pPr>
            <w:r w:rsidRPr="0042463B">
              <w:rPr>
                <w:b/>
                <w:bCs/>
                <w:color w:val="000000"/>
                <w:sz w:val="20"/>
                <w:szCs w:val="20"/>
              </w:rPr>
              <w:t>Description</w:t>
            </w:r>
          </w:p>
        </w:tc>
        <w:tc>
          <w:tcPr>
            <w:tcW w:w="545" w:type="pct"/>
            <w:tcBorders>
              <w:top w:val="single" w:sz="4" w:space="0" w:color="auto"/>
              <w:left w:val="nil"/>
              <w:bottom w:val="single" w:sz="4" w:space="0" w:color="auto"/>
              <w:right w:val="single" w:sz="4" w:space="0" w:color="auto"/>
            </w:tcBorders>
            <w:shd w:val="clear" w:color="auto" w:fill="auto"/>
            <w:noWrap/>
            <w:tcMar>
              <w:left w:w="0" w:type="dxa"/>
              <w:right w:w="0" w:type="dxa"/>
            </w:tcMar>
            <w:hideMark/>
          </w:tcPr>
          <w:p w14:paraId="62A6E6C1" w14:textId="77777777" w:rsidR="006B5EA5" w:rsidRPr="0042463B" w:rsidRDefault="006B5EA5" w:rsidP="009D08E2">
            <w:pPr>
              <w:keepNext/>
              <w:jc w:val="center"/>
              <w:rPr>
                <w:b/>
                <w:bCs/>
                <w:color w:val="000000"/>
                <w:sz w:val="20"/>
                <w:szCs w:val="20"/>
              </w:rPr>
            </w:pPr>
            <w:r w:rsidRPr="0042463B">
              <w:rPr>
                <w:b/>
                <w:bCs/>
                <w:color w:val="000000"/>
                <w:sz w:val="20"/>
                <w:szCs w:val="20"/>
              </w:rPr>
              <w:t>Prix unitaire</w:t>
            </w:r>
          </w:p>
        </w:tc>
        <w:tc>
          <w:tcPr>
            <w:tcW w:w="545" w:type="pct"/>
            <w:tcBorders>
              <w:top w:val="single" w:sz="4" w:space="0" w:color="auto"/>
              <w:left w:val="nil"/>
              <w:bottom w:val="single" w:sz="4" w:space="0" w:color="auto"/>
              <w:right w:val="single" w:sz="4" w:space="0" w:color="auto"/>
            </w:tcBorders>
            <w:shd w:val="clear" w:color="auto" w:fill="auto"/>
            <w:noWrap/>
            <w:tcMar>
              <w:left w:w="0" w:type="dxa"/>
              <w:right w:w="0" w:type="dxa"/>
            </w:tcMar>
            <w:hideMark/>
          </w:tcPr>
          <w:p w14:paraId="37EF6470" w14:textId="77777777" w:rsidR="006B5EA5" w:rsidRPr="0042463B" w:rsidRDefault="006B5EA5" w:rsidP="009D08E2">
            <w:pPr>
              <w:keepNext/>
              <w:jc w:val="center"/>
              <w:rPr>
                <w:b/>
                <w:bCs/>
                <w:color w:val="000000"/>
                <w:sz w:val="20"/>
                <w:szCs w:val="20"/>
              </w:rPr>
            </w:pPr>
            <w:r w:rsidRPr="0042463B">
              <w:rPr>
                <w:b/>
                <w:bCs/>
                <w:color w:val="000000"/>
                <w:sz w:val="20"/>
                <w:szCs w:val="20"/>
              </w:rPr>
              <w:t>Nombre d’unités</w:t>
            </w:r>
          </w:p>
        </w:tc>
        <w:tc>
          <w:tcPr>
            <w:tcW w:w="545" w:type="pct"/>
            <w:tcBorders>
              <w:top w:val="single" w:sz="4" w:space="0" w:color="auto"/>
              <w:left w:val="nil"/>
              <w:bottom w:val="single" w:sz="4" w:space="0" w:color="auto"/>
              <w:right w:val="single" w:sz="4" w:space="0" w:color="auto"/>
            </w:tcBorders>
            <w:shd w:val="clear" w:color="auto" w:fill="auto"/>
            <w:tcMar>
              <w:left w:w="0" w:type="dxa"/>
              <w:right w:w="0" w:type="dxa"/>
            </w:tcMar>
            <w:hideMark/>
          </w:tcPr>
          <w:p w14:paraId="75ECECDC" w14:textId="77777777" w:rsidR="006B5EA5" w:rsidRPr="0042463B" w:rsidRDefault="006B5EA5" w:rsidP="009D08E2">
            <w:pPr>
              <w:keepNext/>
              <w:jc w:val="center"/>
              <w:rPr>
                <w:b/>
                <w:bCs/>
                <w:color w:val="000000"/>
                <w:sz w:val="20"/>
                <w:szCs w:val="20"/>
              </w:rPr>
            </w:pPr>
            <w:r w:rsidRPr="0042463B">
              <w:rPr>
                <w:b/>
                <w:bCs/>
                <w:color w:val="000000"/>
                <w:sz w:val="20"/>
                <w:szCs w:val="20"/>
              </w:rPr>
              <w:t>Coût total</w:t>
            </w:r>
          </w:p>
        </w:tc>
      </w:tr>
      <w:tr w:rsidR="009550AD" w:rsidRPr="0042463B" w14:paraId="6193CEDF" w14:textId="77777777" w:rsidTr="00140DBE">
        <w:trPr>
          <w:trHeight w:val="43"/>
        </w:trPr>
        <w:tc>
          <w:tcPr>
            <w:tcW w:w="3365" w:type="pct"/>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F216C0C" w14:textId="566512BC" w:rsidR="006B5EA5" w:rsidRPr="0042463B" w:rsidRDefault="006B5EA5" w:rsidP="00321625">
            <w:pPr>
              <w:keepNext/>
              <w:jc w:val="left"/>
              <w:rPr>
                <w:color w:val="000000"/>
                <w:sz w:val="20"/>
                <w:szCs w:val="20"/>
              </w:rPr>
            </w:pPr>
            <w:r w:rsidRPr="0042463B">
              <w:rPr>
                <w:color w:val="000000"/>
                <w:sz w:val="20"/>
                <w:szCs w:val="20"/>
              </w:rPr>
              <w:t xml:space="preserve">Machine pour mousse pulvérisée pour Al </w:t>
            </w:r>
            <w:proofErr w:type="spellStart"/>
            <w:r w:rsidRPr="0042463B">
              <w:rPr>
                <w:color w:val="000000"/>
                <w:sz w:val="20"/>
                <w:szCs w:val="20"/>
              </w:rPr>
              <w:t>Khonaizi</w:t>
            </w:r>
            <w:proofErr w:type="spellEnd"/>
            <w:r w:rsidRPr="0042463B">
              <w:rPr>
                <w:color w:val="000000"/>
                <w:sz w:val="20"/>
                <w:szCs w:val="20"/>
              </w:rPr>
              <w:t xml:space="preserve"> </w:t>
            </w:r>
            <w:proofErr w:type="spellStart"/>
            <w:r w:rsidRPr="0042463B">
              <w:rPr>
                <w:color w:val="000000"/>
                <w:sz w:val="20"/>
                <w:szCs w:val="20"/>
              </w:rPr>
              <w:t>Insulation</w:t>
            </w:r>
            <w:proofErr w:type="spellEnd"/>
            <w:r w:rsidRPr="0042463B">
              <w:rPr>
                <w:color w:val="000000"/>
                <w:sz w:val="20"/>
                <w:szCs w:val="20"/>
              </w:rPr>
              <w:t xml:space="preserve"> System Co. (y compris une pompe vide-fût, un flexible court et un flexible chauffant de 20 mètres, et une tête malaxeuse de remplacement)</w:t>
            </w:r>
          </w:p>
        </w:tc>
        <w:tc>
          <w:tcPr>
            <w:tcW w:w="545" w:type="pct"/>
            <w:tcBorders>
              <w:top w:val="nil"/>
              <w:left w:val="nil"/>
              <w:bottom w:val="single" w:sz="4" w:space="0" w:color="auto"/>
              <w:right w:val="single" w:sz="4" w:space="0" w:color="auto"/>
            </w:tcBorders>
            <w:shd w:val="clear" w:color="auto" w:fill="auto"/>
            <w:noWrap/>
            <w:hideMark/>
          </w:tcPr>
          <w:p w14:paraId="203AF9F4" w14:textId="77777777" w:rsidR="006B5EA5" w:rsidRPr="0042463B" w:rsidRDefault="0028054F" w:rsidP="00321625">
            <w:pPr>
              <w:keepNext/>
              <w:jc w:val="right"/>
              <w:rPr>
                <w:color w:val="000000"/>
                <w:sz w:val="20"/>
                <w:szCs w:val="20"/>
              </w:rPr>
            </w:pPr>
            <w:r w:rsidRPr="0042463B">
              <w:rPr>
                <w:color w:val="000000"/>
                <w:sz w:val="20"/>
                <w:szCs w:val="20"/>
              </w:rPr>
              <w:t>15 000</w:t>
            </w:r>
          </w:p>
        </w:tc>
        <w:tc>
          <w:tcPr>
            <w:tcW w:w="545" w:type="pct"/>
            <w:tcBorders>
              <w:top w:val="nil"/>
              <w:left w:val="nil"/>
              <w:bottom w:val="single" w:sz="4" w:space="0" w:color="auto"/>
              <w:right w:val="single" w:sz="4" w:space="0" w:color="auto"/>
            </w:tcBorders>
            <w:shd w:val="clear" w:color="auto" w:fill="auto"/>
            <w:noWrap/>
            <w:hideMark/>
          </w:tcPr>
          <w:p w14:paraId="1193C735" w14:textId="77777777" w:rsidR="006B5EA5" w:rsidRPr="0042463B" w:rsidRDefault="006B5EA5" w:rsidP="00321625">
            <w:pPr>
              <w:keepNext/>
              <w:jc w:val="right"/>
              <w:rPr>
                <w:color w:val="000000"/>
                <w:sz w:val="20"/>
                <w:szCs w:val="20"/>
              </w:rPr>
            </w:pPr>
            <w:r w:rsidRPr="0042463B">
              <w:rPr>
                <w:color w:val="000000"/>
                <w:sz w:val="20"/>
                <w:szCs w:val="20"/>
              </w:rPr>
              <w:t>1</w:t>
            </w:r>
          </w:p>
        </w:tc>
        <w:tc>
          <w:tcPr>
            <w:tcW w:w="545" w:type="pct"/>
            <w:tcBorders>
              <w:top w:val="nil"/>
              <w:left w:val="nil"/>
              <w:bottom w:val="single" w:sz="4" w:space="0" w:color="auto"/>
              <w:right w:val="single" w:sz="4" w:space="0" w:color="auto"/>
            </w:tcBorders>
            <w:shd w:val="clear" w:color="auto" w:fill="auto"/>
            <w:noWrap/>
            <w:hideMark/>
          </w:tcPr>
          <w:p w14:paraId="6D4DED41" w14:textId="77777777" w:rsidR="006B5EA5" w:rsidRPr="0042463B" w:rsidRDefault="0028054F" w:rsidP="00321625">
            <w:pPr>
              <w:keepNext/>
              <w:jc w:val="right"/>
              <w:rPr>
                <w:color w:val="000000"/>
                <w:sz w:val="20"/>
                <w:szCs w:val="20"/>
              </w:rPr>
            </w:pPr>
            <w:r w:rsidRPr="0042463B">
              <w:rPr>
                <w:color w:val="000000"/>
                <w:sz w:val="20"/>
                <w:szCs w:val="20"/>
              </w:rPr>
              <w:t>15 000</w:t>
            </w:r>
          </w:p>
        </w:tc>
      </w:tr>
      <w:tr w:rsidR="009550AD" w:rsidRPr="0042463B" w14:paraId="645273C7" w14:textId="77777777" w:rsidTr="00140DBE">
        <w:trPr>
          <w:trHeight w:val="43"/>
        </w:trPr>
        <w:tc>
          <w:tcPr>
            <w:tcW w:w="3365" w:type="pct"/>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E742F61" w14:textId="77777777" w:rsidR="006B5EA5" w:rsidRPr="0042463B" w:rsidRDefault="006B5EA5" w:rsidP="00321625">
            <w:pPr>
              <w:keepNext/>
              <w:jc w:val="left"/>
              <w:rPr>
                <w:sz w:val="20"/>
                <w:szCs w:val="20"/>
              </w:rPr>
            </w:pPr>
            <w:r w:rsidRPr="0042463B">
              <w:rPr>
                <w:sz w:val="20"/>
                <w:szCs w:val="20"/>
              </w:rPr>
              <w:t xml:space="preserve">Reconversion de l’unité de mousse pulvérisée (une tête malaxeuse) pour Al </w:t>
            </w:r>
            <w:proofErr w:type="spellStart"/>
            <w:r w:rsidRPr="0042463B">
              <w:rPr>
                <w:sz w:val="20"/>
                <w:szCs w:val="20"/>
              </w:rPr>
              <w:t>Manai</w:t>
            </w:r>
            <w:proofErr w:type="spellEnd"/>
            <w:r w:rsidRPr="0042463B">
              <w:rPr>
                <w:sz w:val="20"/>
                <w:szCs w:val="20"/>
              </w:rPr>
              <w:t xml:space="preserve"> Trading &amp; Investment</w:t>
            </w:r>
          </w:p>
        </w:tc>
        <w:tc>
          <w:tcPr>
            <w:tcW w:w="545" w:type="pct"/>
            <w:tcBorders>
              <w:top w:val="nil"/>
              <w:left w:val="nil"/>
              <w:bottom w:val="single" w:sz="4" w:space="0" w:color="auto"/>
              <w:right w:val="single" w:sz="4" w:space="0" w:color="auto"/>
            </w:tcBorders>
            <w:shd w:val="clear" w:color="auto" w:fill="auto"/>
            <w:noWrap/>
            <w:hideMark/>
          </w:tcPr>
          <w:p w14:paraId="4A4A8B6E" w14:textId="77777777" w:rsidR="006B5EA5" w:rsidRPr="0042463B" w:rsidRDefault="00630C0E" w:rsidP="00321625">
            <w:pPr>
              <w:keepNext/>
              <w:jc w:val="right"/>
              <w:rPr>
                <w:color w:val="000000"/>
                <w:sz w:val="20"/>
                <w:szCs w:val="20"/>
              </w:rPr>
            </w:pPr>
            <w:r w:rsidRPr="0042463B">
              <w:rPr>
                <w:color w:val="000000"/>
                <w:sz w:val="20"/>
                <w:szCs w:val="20"/>
              </w:rPr>
              <w:t>3 500</w:t>
            </w:r>
          </w:p>
        </w:tc>
        <w:tc>
          <w:tcPr>
            <w:tcW w:w="545" w:type="pct"/>
            <w:tcBorders>
              <w:top w:val="nil"/>
              <w:left w:val="nil"/>
              <w:bottom w:val="single" w:sz="4" w:space="0" w:color="auto"/>
              <w:right w:val="single" w:sz="4" w:space="0" w:color="auto"/>
            </w:tcBorders>
            <w:shd w:val="clear" w:color="auto" w:fill="auto"/>
            <w:noWrap/>
            <w:hideMark/>
          </w:tcPr>
          <w:p w14:paraId="28D3EA15" w14:textId="77777777" w:rsidR="006B5EA5" w:rsidRPr="0042463B" w:rsidRDefault="006B5EA5" w:rsidP="00321625">
            <w:pPr>
              <w:keepNext/>
              <w:jc w:val="right"/>
              <w:rPr>
                <w:color w:val="000000"/>
                <w:sz w:val="20"/>
                <w:szCs w:val="20"/>
              </w:rPr>
            </w:pPr>
            <w:r w:rsidRPr="0042463B">
              <w:rPr>
                <w:color w:val="000000"/>
                <w:sz w:val="20"/>
                <w:szCs w:val="20"/>
              </w:rPr>
              <w:t>1</w:t>
            </w:r>
          </w:p>
        </w:tc>
        <w:tc>
          <w:tcPr>
            <w:tcW w:w="545" w:type="pct"/>
            <w:tcBorders>
              <w:top w:val="nil"/>
              <w:left w:val="nil"/>
              <w:bottom w:val="single" w:sz="4" w:space="0" w:color="auto"/>
              <w:right w:val="single" w:sz="4" w:space="0" w:color="auto"/>
            </w:tcBorders>
            <w:shd w:val="clear" w:color="auto" w:fill="auto"/>
            <w:noWrap/>
            <w:hideMark/>
          </w:tcPr>
          <w:p w14:paraId="64C7E96A" w14:textId="77777777" w:rsidR="006B5EA5" w:rsidRPr="0042463B" w:rsidRDefault="00630C0E" w:rsidP="00321625">
            <w:pPr>
              <w:keepNext/>
              <w:jc w:val="right"/>
              <w:rPr>
                <w:color w:val="000000"/>
                <w:sz w:val="20"/>
                <w:szCs w:val="20"/>
              </w:rPr>
            </w:pPr>
            <w:r w:rsidRPr="0042463B">
              <w:rPr>
                <w:color w:val="000000"/>
                <w:sz w:val="20"/>
                <w:szCs w:val="20"/>
              </w:rPr>
              <w:t>3 500</w:t>
            </w:r>
          </w:p>
        </w:tc>
      </w:tr>
      <w:tr w:rsidR="008034B7" w:rsidRPr="0042463B" w14:paraId="12DFBB63" w14:textId="77777777" w:rsidTr="00140DBE">
        <w:trPr>
          <w:trHeight w:val="43"/>
        </w:trPr>
        <w:tc>
          <w:tcPr>
            <w:tcW w:w="3365" w:type="pct"/>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A308530" w14:textId="77777777" w:rsidR="008034B7" w:rsidRPr="0042463B" w:rsidRDefault="008034B7" w:rsidP="00321625">
            <w:pPr>
              <w:keepNext/>
              <w:jc w:val="left"/>
              <w:rPr>
                <w:color w:val="000000"/>
                <w:sz w:val="20"/>
                <w:szCs w:val="20"/>
              </w:rPr>
            </w:pPr>
            <w:r w:rsidRPr="0042463B">
              <w:rPr>
                <w:color w:val="000000"/>
                <w:sz w:val="20"/>
                <w:szCs w:val="20"/>
              </w:rPr>
              <w:t>Élaboration de formules de mousse avec le soutien technique des entreprises de formulation en opération dans la région</w:t>
            </w:r>
          </w:p>
        </w:tc>
        <w:tc>
          <w:tcPr>
            <w:tcW w:w="545" w:type="pct"/>
            <w:tcBorders>
              <w:top w:val="nil"/>
              <w:left w:val="nil"/>
              <w:bottom w:val="single" w:sz="4" w:space="0" w:color="auto"/>
              <w:right w:val="single" w:sz="4" w:space="0" w:color="auto"/>
            </w:tcBorders>
            <w:shd w:val="clear" w:color="auto" w:fill="auto"/>
            <w:noWrap/>
            <w:hideMark/>
          </w:tcPr>
          <w:p w14:paraId="427271DB" w14:textId="77777777" w:rsidR="008034B7" w:rsidRPr="0042463B" w:rsidRDefault="008034B7" w:rsidP="00321625">
            <w:pPr>
              <w:keepNext/>
              <w:jc w:val="right"/>
              <w:rPr>
                <w:color w:val="000000"/>
                <w:sz w:val="20"/>
                <w:szCs w:val="20"/>
              </w:rPr>
            </w:pPr>
            <w:r w:rsidRPr="0042463B">
              <w:rPr>
                <w:color w:val="000000"/>
                <w:sz w:val="20"/>
                <w:szCs w:val="20"/>
              </w:rPr>
              <w:t>6 750</w:t>
            </w:r>
          </w:p>
        </w:tc>
        <w:tc>
          <w:tcPr>
            <w:tcW w:w="545" w:type="pct"/>
            <w:tcBorders>
              <w:top w:val="nil"/>
              <w:left w:val="nil"/>
              <w:bottom w:val="single" w:sz="4" w:space="0" w:color="auto"/>
              <w:right w:val="single" w:sz="4" w:space="0" w:color="auto"/>
            </w:tcBorders>
            <w:shd w:val="clear" w:color="auto" w:fill="auto"/>
            <w:noWrap/>
            <w:hideMark/>
          </w:tcPr>
          <w:p w14:paraId="3B86BC38" w14:textId="77777777" w:rsidR="008034B7" w:rsidRPr="0042463B" w:rsidRDefault="008034B7" w:rsidP="00321625">
            <w:pPr>
              <w:keepNext/>
              <w:jc w:val="right"/>
              <w:rPr>
                <w:color w:val="000000"/>
                <w:sz w:val="20"/>
                <w:szCs w:val="20"/>
              </w:rPr>
            </w:pPr>
            <w:r w:rsidRPr="0042463B">
              <w:rPr>
                <w:color w:val="000000"/>
                <w:sz w:val="20"/>
                <w:szCs w:val="20"/>
              </w:rPr>
              <w:t>4</w:t>
            </w:r>
          </w:p>
        </w:tc>
        <w:tc>
          <w:tcPr>
            <w:tcW w:w="545" w:type="pct"/>
            <w:tcBorders>
              <w:top w:val="nil"/>
              <w:left w:val="nil"/>
              <w:bottom w:val="single" w:sz="4" w:space="0" w:color="auto"/>
              <w:right w:val="single" w:sz="4" w:space="0" w:color="auto"/>
            </w:tcBorders>
            <w:shd w:val="clear" w:color="auto" w:fill="auto"/>
            <w:noWrap/>
            <w:hideMark/>
          </w:tcPr>
          <w:p w14:paraId="3AEF8C22" w14:textId="77777777" w:rsidR="008034B7" w:rsidRPr="0042463B" w:rsidRDefault="008034B7" w:rsidP="00321625">
            <w:pPr>
              <w:keepNext/>
              <w:jc w:val="right"/>
              <w:rPr>
                <w:color w:val="000000"/>
                <w:sz w:val="20"/>
                <w:szCs w:val="20"/>
              </w:rPr>
            </w:pPr>
            <w:r w:rsidRPr="0042463B">
              <w:rPr>
                <w:color w:val="000000"/>
                <w:sz w:val="20"/>
                <w:szCs w:val="20"/>
              </w:rPr>
              <w:t>27 000</w:t>
            </w:r>
          </w:p>
        </w:tc>
      </w:tr>
      <w:tr w:rsidR="009550AD" w:rsidRPr="0042463B" w14:paraId="4C043ADA" w14:textId="77777777" w:rsidTr="00140DBE">
        <w:trPr>
          <w:trHeight w:val="43"/>
        </w:trPr>
        <w:tc>
          <w:tcPr>
            <w:tcW w:w="3365" w:type="pct"/>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C247FEF" w14:textId="1752A5B3" w:rsidR="006B5EA5" w:rsidRPr="0042463B" w:rsidRDefault="006B5EA5" w:rsidP="00321625">
            <w:pPr>
              <w:keepNext/>
              <w:jc w:val="left"/>
              <w:rPr>
                <w:color w:val="000000"/>
                <w:sz w:val="20"/>
                <w:szCs w:val="20"/>
              </w:rPr>
            </w:pPr>
            <w:r w:rsidRPr="0042463B">
              <w:rPr>
                <w:color w:val="000000"/>
                <w:sz w:val="20"/>
                <w:szCs w:val="20"/>
              </w:rPr>
              <w:t>Formation de techniciens, soutien technique (AGM et ARAC)</w:t>
            </w:r>
          </w:p>
        </w:tc>
        <w:tc>
          <w:tcPr>
            <w:tcW w:w="545" w:type="pct"/>
            <w:tcBorders>
              <w:top w:val="nil"/>
              <w:left w:val="nil"/>
              <w:bottom w:val="single" w:sz="4" w:space="0" w:color="auto"/>
              <w:right w:val="single" w:sz="4" w:space="0" w:color="auto"/>
            </w:tcBorders>
            <w:shd w:val="clear" w:color="auto" w:fill="auto"/>
            <w:noWrap/>
            <w:hideMark/>
          </w:tcPr>
          <w:p w14:paraId="0F4CCBCB" w14:textId="77777777" w:rsidR="006B5EA5" w:rsidRPr="0042463B" w:rsidRDefault="006B5EA5" w:rsidP="00321625">
            <w:pPr>
              <w:keepNext/>
              <w:jc w:val="right"/>
              <w:rPr>
                <w:color w:val="000000"/>
                <w:sz w:val="20"/>
                <w:szCs w:val="20"/>
              </w:rPr>
            </w:pPr>
            <w:r w:rsidRPr="0042463B">
              <w:rPr>
                <w:color w:val="000000"/>
                <w:sz w:val="20"/>
                <w:szCs w:val="20"/>
              </w:rPr>
              <w:t>12 500</w:t>
            </w:r>
          </w:p>
        </w:tc>
        <w:tc>
          <w:tcPr>
            <w:tcW w:w="545" w:type="pct"/>
            <w:tcBorders>
              <w:top w:val="nil"/>
              <w:left w:val="nil"/>
              <w:bottom w:val="single" w:sz="4" w:space="0" w:color="auto"/>
              <w:right w:val="single" w:sz="4" w:space="0" w:color="auto"/>
            </w:tcBorders>
            <w:shd w:val="clear" w:color="auto" w:fill="auto"/>
            <w:noWrap/>
            <w:hideMark/>
          </w:tcPr>
          <w:p w14:paraId="1032E7AB" w14:textId="77777777" w:rsidR="006B5EA5" w:rsidRPr="0042463B" w:rsidRDefault="006B5EA5" w:rsidP="00321625">
            <w:pPr>
              <w:keepNext/>
              <w:jc w:val="right"/>
              <w:rPr>
                <w:color w:val="000000"/>
                <w:sz w:val="20"/>
                <w:szCs w:val="20"/>
              </w:rPr>
            </w:pPr>
            <w:r w:rsidRPr="0042463B">
              <w:rPr>
                <w:color w:val="000000"/>
                <w:sz w:val="20"/>
                <w:szCs w:val="20"/>
              </w:rPr>
              <w:t>2</w:t>
            </w:r>
          </w:p>
        </w:tc>
        <w:tc>
          <w:tcPr>
            <w:tcW w:w="545" w:type="pct"/>
            <w:tcBorders>
              <w:top w:val="nil"/>
              <w:left w:val="nil"/>
              <w:bottom w:val="single" w:sz="4" w:space="0" w:color="auto"/>
              <w:right w:val="single" w:sz="4" w:space="0" w:color="auto"/>
            </w:tcBorders>
            <w:shd w:val="clear" w:color="auto" w:fill="auto"/>
            <w:noWrap/>
            <w:hideMark/>
          </w:tcPr>
          <w:p w14:paraId="0BEE3216" w14:textId="77777777" w:rsidR="006B5EA5" w:rsidRPr="0042463B" w:rsidRDefault="006B5EA5" w:rsidP="00321625">
            <w:pPr>
              <w:keepNext/>
              <w:jc w:val="right"/>
              <w:rPr>
                <w:color w:val="000000"/>
                <w:sz w:val="20"/>
                <w:szCs w:val="20"/>
              </w:rPr>
            </w:pPr>
            <w:r w:rsidRPr="0042463B">
              <w:rPr>
                <w:color w:val="000000"/>
                <w:sz w:val="20"/>
                <w:szCs w:val="20"/>
              </w:rPr>
              <w:t>25 000</w:t>
            </w:r>
          </w:p>
        </w:tc>
      </w:tr>
      <w:tr w:rsidR="009550AD" w:rsidRPr="0042463B" w14:paraId="0FE71B65" w14:textId="77777777" w:rsidTr="00140DBE">
        <w:trPr>
          <w:trHeight w:val="152"/>
        </w:trPr>
        <w:tc>
          <w:tcPr>
            <w:tcW w:w="3365" w:type="pct"/>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9529443" w14:textId="77777777" w:rsidR="006B5EA5" w:rsidRPr="0042463B" w:rsidRDefault="00640CFC" w:rsidP="00321625">
            <w:pPr>
              <w:keepNext/>
              <w:jc w:val="left"/>
              <w:rPr>
                <w:color w:val="000000"/>
                <w:sz w:val="20"/>
                <w:szCs w:val="20"/>
              </w:rPr>
            </w:pPr>
            <w:r w:rsidRPr="0042463B">
              <w:rPr>
                <w:color w:val="000000"/>
                <w:sz w:val="20"/>
                <w:szCs w:val="20"/>
              </w:rPr>
              <w:t>TA et atelier de formation de deux jours pour les entreprises de mousse pulvérisée</w:t>
            </w:r>
          </w:p>
        </w:tc>
        <w:tc>
          <w:tcPr>
            <w:tcW w:w="545" w:type="pct"/>
            <w:tcBorders>
              <w:top w:val="nil"/>
              <w:left w:val="nil"/>
              <w:bottom w:val="single" w:sz="4" w:space="0" w:color="auto"/>
              <w:right w:val="single" w:sz="4" w:space="0" w:color="auto"/>
            </w:tcBorders>
            <w:shd w:val="clear" w:color="auto" w:fill="auto"/>
            <w:noWrap/>
            <w:hideMark/>
          </w:tcPr>
          <w:p w14:paraId="500EAABA" w14:textId="77777777" w:rsidR="006B5EA5" w:rsidRPr="0042463B" w:rsidRDefault="006B5EA5" w:rsidP="00321625">
            <w:pPr>
              <w:keepNext/>
              <w:jc w:val="right"/>
              <w:rPr>
                <w:color w:val="000000"/>
                <w:sz w:val="20"/>
                <w:szCs w:val="20"/>
              </w:rPr>
            </w:pPr>
            <w:r w:rsidRPr="0042463B">
              <w:rPr>
                <w:color w:val="000000"/>
                <w:sz w:val="20"/>
                <w:szCs w:val="20"/>
              </w:rPr>
              <w:t>26 500</w:t>
            </w:r>
          </w:p>
        </w:tc>
        <w:tc>
          <w:tcPr>
            <w:tcW w:w="545" w:type="pct"/>
            <w:tcBorders>
              <w:top w:val="nil"/>
              <w:left w:val="nil"/>
              <w:bottom w:val="single" w:sz="4" w:space="0" w:color="auto"/>
              <w:right w:val="single" w:sz="4" w:space="0" w:color="auto"/>
            </w:tcBorders>
            <w:shd w:val="clear" w:color="auto" w:fill="auto"/>
            <w:noWrap/>
            <w:hideMark/>
          </w:tcPr>
          <w:p w14:paraId="5DB879FC" w14:textId="77777777" w:rsidR="006B5EA5" w:rsidRPr="0042463B" w:rsidRDefault="006B5EA5" w:rsidP="00321625">
            <w:pPr>
              <w:keepNext/>
              <w:jc w:val="right"/>
              <w:rPr>
                <w:color w:val="000000"/>
                <w:sz w:val="20"/>
                <w:szCs w:val="20"/>
              </w:rPr>
            </w:pPr>
            <w:r w:rsidRPr="0042463B">
              <w:rPr>
                <w:color w:val="000000"/>
                <w:sz w:val="20"/>
                <w:szCs w:val="20"/>
              </w:rPr>
              <w:t>1</w:t>
            </w:r>
          </w:p>
        </w:tc>
        <w:tc>
          <w:tcPr>
            <w:tcW w:w="545" w:type="pct"/>
            <w:tcBorders>
              <w:top w:val="nil"/>
              <w:left w:val="nil"/>
              <w:bottom w:val="single" w:sz="4" w:space="0" w:color="auto"/>
              <w:right w:val="single" w:sz="4" w:space="0" w:color="auto"/>
            </w:tcBorders>
            <w:shd w:val="clear" w:color="auto" w:fill="auto"/>
            <w:noWrap/>
            <w:hideMark/>
          </w:tcPr>
          <w:p w14:paraId="092C9F47" w14:textId="77777777" w:rsidR="006B5EA5" w:rsidRPr="0042463B" w:rsidRDefault="006B5EA5" w:rsidP="00321625">
            <w:pPr>
              <w:keepNext/>
              <w:jc w:val="right"/>
              <w:rPr>
                <w:color w:val="000000"/>
                <w:sz w:val="20"/>
                <w:szCs w:val="20"/>
              </w:rPr>
            </w:pPr>
            <w:r w:rsidRPr="0042463B">
              <w:rPr>
                <w:color w:val="000000"/>
                <w:sz w:val="20"/>
                <w:szCs w:val="20"/>
              </w:rPr>
              <w:t>26 500</w:t>
            </w:r>
          </w:p>
        </w:tc>
      </w:tr>
      <w:tr w:rsidR="009550AD" w:rsidRPr="0042463B" w14:paraId="6B7DDE7A" w14:textId="77777777" w:rsidTr="00140DBE">
        <w:trPr>
          <w:trHeight w:val="278"/>
        </w:trPr>
        <w:tc>
          <w:tcPr>
            <w:tcW w:w="3365" w:type="pct"/>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012B8CD" w14:textId="58AB9300" w:rsidR="006B5EA5" w:rsidRPr="0042463B" w:rsidRDefault="006B5EA5" w:rsidP="00321625">
            <w:pPr>
              <w:keepNext/>
              <w:jc w:val="left"/>
              <w:rPr>
                <w:color w:val="000000"/>
                <w:sz w:val="20"/>
                <w:szCs w:val="20"/>
              </w:rPr>
            </w:pPr>
            <w:r w:rsidRPr="0042463B">
              <w:rPr>
                <w:color w:val="000000"/>
                <w:sz w:val="20"/>
                <w:szCs w:val="20"/>
              </w:rPr>
              <w:t>Substances chimiques et matériaux de test (</w:t>
            </w:r>
            <w:proofErr w:type="spellStart"/>
            <w:r w:rsidRPr="0042463B">
              <w:rPr>
                <w:color w:val="000000"/>
                <w:sz w:val="20"/>
                <w:szCs w:val="20"/>
              </w:rPr>
              <w:t>tm</w:t>
            </w:r>
            <w:proofErr w:type="spellEnd"/>
            <w:r w:rsidRPr="0042463B">
              <w:rPr>
                <w:color w:val="000000"/>
                <w:sz w:val="20"/>
                <w:szCs w:val="20"/>
              </w:rPr>
              <w:t>) pour des tests et des essais, total de 4 </w:t>
            </w:r>
            <w:proofErr w:type="spellStart"/>
            <w:r w:rsidRPr="0042463B">
              <w:rPr>
                <w:color w:val="000000"/>
                <w:sz w:val="20"/>
                <w:szCs w:val="20"/>
              </w:rPr>
              <w:t>tm</w:t>
            </w:r>
            <w:proofErr w:type="spellEnd"/>
            <w:r w:rsidRPr="0042463B">
              <w:rPr>
                <w:color w:val="000000"/>
                <w:sz w:val="20"/>
                <w:szCs w:val="20"/>
              </w:rPr>
              <w:t> : 1,5 kg chacune pour AGM et ARAC; 1 </w:t>
            </w:r>
            <w:proofErr w:type="spellStart"/>
            <w:r w:rsidRPr="0042463B">
              <w:rPr>
                <w:color w:val="000000"/>
                <w:sz w:val="20"/>
                <w:szCs w:val="20"/>
              </w:rPr>
              <w:t>tm</w:t>
            </w:r>
            <w:proofErr w:type="spellEnd"/>
            <w:r w:rsidRPr="0042463B">
              <w:rPr>
                <w:color w:val="000000"/>
                <w:sz w:val="20"/>
                <w:szCs w:val="20"/>
              </w:rPr>
              <w:t xml:space="preserve"> pour deux utilisateurs de mousse pulvérisée (500 kg chacun) pour les entreprises des mousses</w:t>
            </w:r>
          </w:p>
        </w:tc>
        <w:tc>
          <w:tcPr>
            <w:tcW w:w="545" w:type="pct"/>
            <w:tcBorders>
              <w:top w:val="nil"/>
              <w:left w:val="nil"/>
              <w:bottom w:val="single" w:sz="4" w:space="0" w:color="auto"/>
              <w:right w:val="single" w:sz="4" w:space="0" w:color="auto"/>
            </w:tcBorders>
            <w:shd w:val="clear" w:color="auto" w:fill="auto"/>
            <w:noWrap/>
            <w:hideMark/>
          </w:tcPr>
          <w:p w14:paraId="59485269" w14:textId="77777777" w:rsidR="006B5EA5" w:rsidRPr="0042463B" w:rsidRDefault="00630C0E" w:rsidP="00321625">
            <w:pPr>
              <w:keepNext/>
              <w:jc w:val="right"/>
              <w:rPr>
                <w:color w:val="000000"/>
                <w:sz w:val="20"/>
                <w:szCs w:val="20"/>
              </w:rPr>
            </w:pPr>
            <w:r w:rsidRPr="0042463B">
              <w:rPr>
                <w:color w:val="000000"/>
                <w:sz w:val="20"/>
                <w:szCs w:val="20"/>
              </w:rPr>
              <w:t>3 500</w:t>
            </w:r>
          </w:p>
        </w:tc>
        <w:tc>
          <w:tcPr>
            <w:tcW w:w="545" w:type="pct"/>
            <w:tcBorders>
              <w:top w:val="nil"/>
              <w:left w:val="nil"/>
              <w:bottom w:val="single" w:sz="4" w:space="0" w:color="auto"/>
              <w:right w:val="single" w:sz="4" w:space="0" w:color="auto"/>
            </w:tcBorders>
            <w:shd w:val="clear" w:color="auto" w:fill="auto"/>
            <w:noWrap/>
            <w:hideMark/>
          </w:tcPr>
          <w:p w14:paraId="468E59FD" w14:textId="77777777" w:rsidR="006B5EA5" w:rsidRPr="0042463B" w:rsidRDefault="00630C0E" w:rsidP="00321625">
            <w:pPr>
              <w:keepNext/>
              <w:jc w:val="right"/>
              <w:rPr>
                <w:color w:val="000000"/>
                <w:sz w:val="20"/>
                <w:szCs w:val="20"/>
              </w:rPr>
            </w:pPr>
            <w:r w:rsidRPr="0042463B">
              <w:rPr>
                <w:color w:val="000000"/>
                <w:sz w:val="20"/>
                <w:szCs w:val="20"/>
              </w:rPr>
              <w:t>4</w:t>
            </w:r>
          </w:p>
        </w:tc>
        <w:tc>
          <w:tcPr>
            <w:tcW w:w="545" w:type="pct"/>
            <w:tcBorders>
              <w:top w:val="nil"/>
              <w:left w:val="nil"/>
              <w:bottom w:val="single" w:sz="4" w:space="0" w:color="auto"/>
              <w:right w:val="single" w:sz="4" w:space="0" w:color="auto"/>
            </w:tcBorders>
            <w:shd w:val="clear" w:color="auto" w:fill="auto"/>
            <w:noWrap/>
            <w:hideMark/>
          </w:tcPr>
          <w:p w14:paraId="5E1F2290" w14:textId="77777777" w:rsidR="006B5EA5" w:rsidRPr="0042463B" w:rsidRDefault="006B5EA5" w:rsidP="00321625">
            <w:pPr>
              <w:keepNext/>
              <w:jc w:val="right"/>
              <w:rPr>
                <w:color w:val="000000"/>
                <w:sz w:val="20"/>
                <w:szCs w:val="20"/>
              </w:rPr>
            </w:pPr>
            <w:r w:rsidRPr="0042463B">
              <w:rPr>
                <w:color w:val="000000"/>
                <w:sz w:val="20"/>
                <w:szCs w:val="20"/>
              </w:rPr>
              <w:t>14 000</w:t>
            </w:r>
          </w:p>
        </w:tc>
      </w:tr>
      <w:tr w:rsidR="009550AD" w:rsidRPr="0042463B" w14:paraId="7856C73A" w14:textId="77777777" w:rsidTr="00140DBE">
        <w:trPr>
          <w:trHeight w:val="43"/>
        </w:trPr>
        <w:tc>
          <w:tcPr>
            <w:tcW w:w="3365" w:type="pct"/>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6CCEB4D" w14:textId="77777777" w:rsidR="006B5EA5" w:rsidRPr="0042463B" w:rsidRDefault="006B5EA5" w:rsidP="00321625">
            <w:pPr>
              <w:keepNext/>
              <w:jc w:val="left"/>
              <w:rPr>
                <w:color w:val="000000"/>
                <w:sz w:val="20"/>
                <w:szCs w:val="20"/>
              </w:rPr>
            </w:pPr>
            <w:r w:rsidRPr="0042463B">
              <w:rPr>
                <w:color w:val="000000"/>
                <w:sz w:val="20"/>
                <w:szCs w:val="20"/>
              </w:rPr>
              <w:t>Un atelier pour la diffusion de l’expérience obtenue dans le secteur des mousses</w:t>
            </w:r>
          </w:p>
        </w:tc>
        <w:tc>
          <w:tcPr>
            <w:tcW w:w="545" w:type="pct"/>
            <w:tcBorders>
              <w:top w:val="nil"/>
              <w:left w:val="nil"/>
              <w:bottom w:val="single" w:sz="4" w:space="0" w:color="auto"/>
              <w:right w:val="single" w:sz="4" w:space="0" w:color="auto"/>
            </w:tcBorders>
            <w:shd w:val="clear" w:color="auto" w:fill="auto"/>
            <w:noWrap/>
            <w:hideMark/>
          </w:tcPr>
          <w:p w14:paraId="0E6BC1EA" w14:textId="77777777" w:rsidR="006B5EA5" w:rsidRPr="0042463B" w:rsidRDefault="006B5EA5" w:rsidP="00321625">
            <w:pPr>
              <w:keepNext/>
              <w:jc w:val="right"/>
              <w:rPr>
                <w:color w:val="000000"/>
                <w:sz w:val="20"/>
                <w:szCs w:val="20"/>
              </w:rPr>
            </w:pPr>
            <w:r w:rsidRPr="0042463B">
              <w:rPr>
                <w:color w:val="000000"/>
                <w:sz w:val="20"/>
                <w:szCs w:val="20"/>
              </w:rPr>
              <w:t>5 999</w:t>
            </w:r>
          </w:p>
        </w:tc>
        <w:tc>
          <w:tcPr>
            <w:tcW w:w="545" w:type="pct"/>
            <w:tcBorders>
              <w:top w:val="nil"/>
              <w:left w:val="nil"/>
              <w:bottom w:val="single" w:sz="4" w:space="0" w:color="auto"/>
              <w:right w:val="single" w:sz="4" w:space="0" w:color="auto"/>
            </w:tcBorders>
            <w:shd w:val="clear" w:color="auto" w:fill="auto"/>
            <w:noWrap/>
            <w:hideMark/>
          </w:tcPr>
          <w:p w14:paraId="56FAF8C9" w14:textId="77777777" w:rsidR="006B5EA5" w:rsidRPr="0042463B" w:rsidRDefault="006B5EA5" w:rsidP="00321625">
            <w:pPr>
              <w:keepNext/>
              <w:jc w:val="right"/>
              <w:rPr>
                <w:color w:val="000000"/>
                <w:sz w:val="20"/>
                <w:szCs w:val="20"/>
              </w:rPr>
            </w:pPr>
            <w:r w:rsidRPr="0042463B">
              <w:rPr>
                <w:color w:val="000000"/>
                <w:sz w:val="20"/>
                <w:szCs w:val="20"/>
              </w:rPr>
              <w:t>1</w:t>
            </w:r>
          </w:p>
        </w:tc>
        <w:tc>
          <w:tcPr>
            <w:tcW w:w="545" w:type="pct"/>
            <w:tcBorders>
              <w:top w:val="nil"/>
              <w:left w:val="nil"/>
              <w:bottom w:val="single" w:sz="4" w:space="0" w:color="auto"/>
              <w:right w:val="single" w:sz="4" w:space="0" w:color="auto"/>
            </w:tcBorders>
            <w:shd w:val="clear" w:color="auto" w:fill="auto"/>
            <w:noWrap/>
            <w:hideMark/>
          </w:tcPr>
          <w:p w14:paraId="75271B7F" w14:textId="77777777" w:rsidR="006B5EA5" w:rsidRPr="0042463B" w:rsidRDefault="006B5EA5" w:rsidP="00321625">
            <w:pPr>
              <w:keepNext/>
              <w:jc w:val="right"/>
              <w:rPr>
                <w:color w:val="000000"/>
                <w:sz w:val="20"/>
                <w:szCs w:val="20"/>
              </w:rPr>
            </w:pPr>
            <w:r w:rsidRPr="0042463B">
              <w:rPr>
                <w:color w:val="000000"/>
                <w:sz w:val="20"/>
                <w:szCs w:val="20"/>
              </w:rPr>
              <w:t>5 999</w:t>
            </w:r>
          </w:p>
        </w:tc>
      </w:tr>
      <w:tr w:rsidR="009550AD" w:rsidRPr="0042463B" w14:paraId="53BBEC93" w14:textId="77777777" w:rsidTr="00140DBE">
        <w:trPr>
          <w:trHeight w:val="43"/>
        </w:trPr>
        <w:tc>
          <w:tcPr>
            <w:tcW w:w="3365" w:type="pct"/>
            <w:tcBorders>
              <w:top w:val="nil"/>
              <w:left w:val="single" w:sz="4" w:space="0" w:color="auto"/>
              <w:bottom w:val="single" w:sz="4" w:space="0" w:color="auto"/>
              <w:right w:val="single" w:sz="4" w:space="0" w:color="auto"/>
            </w:tcBorders>
            <w:shd w:val="clear" w:color="auto" w:fill="auto"/>
            <w:tcMar>
              <w:left w:w="29" w:type="dxa"/>
              <w:right w:w="0" w:type="dxa"/>
            </w:tcMar>
            <w:vAlign w:val="center"/>
            <w:hideMark/>
          </w:tcPr>
          <w:p w14:paraId="3425F215" w14:textId="77777777" w:rsidR="009550AD" w:rsidRPr="0042463B" w:rsidRDefault="009550AD" w:rsidP="00321625">
            <w:pPr>
              <w:keepNext/>
              <w:jc w:val="left"/>
              <w:rPr>
                <w:b/>
                <w:color w:val="000000"/>
                <w:sz w:val="20"/>
                <w:szCs w:val="20"/>
              </w:rPr>
            </w:pPr>
            <w:r w:rsidRPr="0042463B">
              <w:rPr>
                <w:b/>
                <w:color w:val="000000"/>
                <w:sz w:val="20"/>
                <w:szCs w:val="20"/>
              </w:rPr>
              <w:t>Coût total</w:t>
            </w:r>
          </w:p>
        </w:tc>
        <w:tc>
          <w:tcPr>
            <w:tcW w:w="1635" w:type="pct"/>
            <w:gridSpan w:val="3"/>
            <w:tcBorders>
              <w:top w:val="nil"/>
              <w:left w:val="nil"/>
              <w:bottom w:val="single" w:sz="4" w:space="0" w:color="auto"/>
              <w:right w:val="single" w:sz="4" w:space="0" w:color="auto"/>
            </w:tcBorders>
            <w:shd w:val="clear" w:color="auto" w:fill="auto"/>
            <w:noWrap/>
            <w:hideMark/>
          </w:tcPr>
          <w:p w14:paraId="2EC4ECC4" w14:textId="77777777" w:rsidR="009550AD" w:rsidRPr="0042463B" w:rsidRDefault="009550AD" w:rsidP="00321625">
            <w:pPr>
              <w:keepNext/>
              <w:jc w:val="right"/>
              <w:rPr>
                <w:b/>
                <w:color w:val="000000"/>
                <w:sz w:val="20"/>
                <w:szCs w:val="20"/>
              </w:rPr>
            </w:pPr>
            <w:r w:rsidRPr="0042463B">
              <w:rPr>
                <w:b/>
                <w:color w:val="000000"/>
                <w:sz w:val="20"/>
                <w:szCs w:val="20"/>
              </w:rPr>
              <w:t>116 999</w:t>
            </w:r>
          </w:p>
        </w:tc>
      </w:tr>
      <w:tr w:rsidR="006B5EA5" w:rsidRPr="0042463B" w14:paraId="57AB35E7" w14:textId="77777777" w:rsidTr="00140DBE">
        <w:trPr>
          <w:trHeight w:val="43"/>
        </w:trPr>
        <w:tc>
          <w:tcPr>
            <w:tcW w:w="3365" w:type="pct"/>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6B6FA748" w14:textId="77777777" w:rsidR="006B5EA5" w:rsidRPr="0042463B" w:rsidRDefault="006B5EA5" w:rsidP="00321625">
            <w:pPr>
              <w:keepNext/>
              <w:jc w:val="left"/>
              <w:rPr>
                <w:color w:val="000000"/>
                <w:sz w:val="20"/>
                <w:szCs w:val="20"/>
              </w:rPr>
            </w:pPr>
            <w:r w:rsidRPr="0042463B">
              <w:rPr>
                <w:color w:val="000000"/>
                <w:sz w:val="20"/>
                <w:szCs w:val="20"/>
              </w:rPr>
              <w:t>Élimination totale par quatre entreprises admissibles (</w:t>
            </w:r>
            <w:proofErr w:type="spellStart"/>
            <w:r w:rsidRPr="0042463B">
              <w:rPr>
                <w:color w:val="000000"/>
                <w:sz w:val="20"/>
                <w:szCs w:val="20"/>
              </w:rPr>
              <w:t>tm</w:t>
            </w:r>
            <w:proofErr w:type="spellEnd"/>
            <w:r w:rsidRPr="0042463B">
              <w:rPr>
                <w:color w:val="000000"/>
                <w:sz w:val="20"/>
                <w:szCs w:val="20"/>
              </w:rPr>
              <w:t>)</w:t>
            </w:r>
          </w:p>
        </w:tc>
        <w:tc>
          <w:tcPr>
            <w:tcW w:w="1635" w:type="pct"/>
            <w:gridSpan w:val="3"/>
            <w:tcBorders>
              <w:top w:val="single" w:sz="4" w:space="0" w:color="auto"/>
              <w:left w:val="nil"/>
              <w:bottom w:val="single" w:sz="4" w:space="0" w:color="auto"/>
              <w:right w:val="single" w:sz="4" w:space="0" w:color="auto"/>
            </w:tcBorders>
            <w:shd w:val="clear" w:color="auto" w:fill="auto"/>
            <w:noWrap/>
            <w:hideMark/>
          </w:tcPr>
          <w:p w14:paraId="357153DE" w14:textId="77777777" w:rsidR="006B5EA5" w:rsidRPr="0042463B" w:rsidRDefault="006B5EA5" w:rsidP="00321625">
            <w:pPr>
              <w:keepNext/>
              <w:jc w:val="right"/>
              <w:rPr>
                <w:color w:val="000000"/>
                <w:sz w:val="20"/>
                <w:szCs w:val="20"/>
              </w:rPr>
            </w:pPr>
            <w:r w:rsidRPr="0042463B">
              <w:rPr>
                <w:color w:val="000000"/>
                <w:sz w:val="20"/>
                <w:szCs w:val="20"/>
              </w:rPr>
              <w:t>12,46</w:t>
            </w:r>
          </w:p>
        </w:tc>
      </w:tr>
      <w:tr w:rsidR="006B5EA5" w:rsidRPr="0042463B" w14:paraId="4ED514DE" w14:textId="77777777" w:rsidTr="00140DBE">
        <w:trPr>
          <w:trHeight w:val="43"/>
        </w:trPr>
        <w:tc>
          <w:tcPr>
            <w:tcW w:w="3365" w:type="pct"/>
            <w:tcBorders>
              <w:top w:val="single" w:sz="4" w:space="0" w:color="auto"/>
              <w:left w:val="single" w:sz="4" w:space="0" w:color="auto"/>
              <w:bottom w:val="single" w:sz="4" w:space="0" w:color="auto"/>
              <w:right w:val="single" w:sz="4" w:space="0" w:color="auto"/>
            </w:tcBorders>
            <w:shd w:val="clear" w:color="auto" w:fill="auto"/>
            <w:tcMar>
              <w:left w:w="29" w:type="dxa"/>
              <w:right w:w="0" w:type="dxa"/>
            </w:tcMar>
            <w:hideMark/>
          </w:tcPr>
          <w:p w14:paraId="5E3FB8FB" w14:textId="25C44573" w:rsidR="006B5EA5" w:rsidRPr="0042463B" w:rsidRDefault="006B5EA5" w:rsidP="00321625">
            <w:pPr>
              <w:keepNext/>
              <w:jc w:val="left"/>
              <w:rPr>
                <w:color w:val="000000"/>
                <w:sz w:val="20"/>
                <w:szCs w:val="20"/>
              </w:rPr>
            </w:pPr>
            <w:r w:rsidRPr="0042463B">
              <w:rPr>
                <w:color w:val="000000"/>
                <w:sz w:val="20"/>
                <w:szCs w:val="20"/>
              </w:rPr>
              <w:t>CE calculé selon la consommation chez les entreprises admissibles ($ US/kg)</w:t>
            </w:r>
          </w:p>
        </w:tc>
        <w:tc>
          <w:tcPr>
            <w:tcW w:w="1635" w:type="pct"/>
            <w:gridSpan w:val="3"/>
            <w:tcBorders>
              <w:top w:val="single" w:sz="4" w:space="0" w:color="auto"/>
              <w:left w:val="nil"/>
              <w:bottom w:val="single" w:sz="4" w:space="0" w:color="auto"/>
              <w:right w:val="single" w:sz="4" w:space="0" w:color="auto"/>
            </w:tcBorders>
            <w:shd w:val="clear" w:color="auto" w:fill="auto"/>
            <w:noWrap/>
            <w:hideMark/>
          </w:tcPr>
          <w:p w14:paraId="4DA85BC3" w14:textId="77777777" w:rsidR="006B5EA5" w:rsidRPr="0042463B" w:rsidRDefault="006B5EA5" w:rsidP="00321625">
            <w:pPr>
              <w:keepNext/>
              <w:jc w:val="right"/>
              <w:rPr>
                <w:color w:val="000000"/>
                <w:sz w:val="20"/>
                <w:szCs w:val="20"/>
              </w:rPr>
            </w:pPr>
            <w:r w:rsidRPr="0042463B">
              <w:rPr>
                <w:color w:val="000000"/>
                <w:sz w:val="20"/>
                <w:szCs w:val="20"/>
              </w:rPr>
              <w:t>9,39</w:t>
            </w:r>
          </w:p>
        </w:tc>
      </w:tr>
      <w:tr w:rsidR="00B3646E" w:rsidRPr="0042463B" w14:paraId="19174154" w14:textId="77777777" w:rsidTr="00140DBE">
        <w:trPr>
          <w:trHeight w:val="43"/>
        </w:trPr>
        <w:tc>
          <w:tcPr>
            <w:tcW w:w="3365" w:type="pct"/>
            <w:tcBorders>
              <w:top w:val="single" w:sz="4" w:space="0" w:color="auto"/>
              <w:left w:val="single" w:sz="4" w:space="0" w:color="auto"/>
              <w:bottom w:val="single" w:sz="4" w:space="0" w:color="auto"/>
              <w:right w:val="single" w:sz="4" w:space="0" w:color="auto"/>
            </w:tcBorders>
            <w:shd w:val="clear" w:color="auto" w:fill="auto"/>
            <w:tcMar>
              <w:left w:w="29" w:type="dxa"/>
              <w:right w:w="0" w:type="dxa"/>
            </w:tcMar>
          </w:tcPr>
          <w:p w14:paraId="5F8E57FF" w14:textId="77777777" w:rsidR="00B3646E" w:rsidRPr="0042463B" w:rsidRDefault="00B3646E" w:rsidP="00321625">
            <w:pPr>
              <w:keepNext/>
              <w:jc w:val="left"/>
              <w:rPr>
                <w:color w:val="000000"/>
                <w:sz w:val="20"/>
                <w:szCs w:val="20"/>
              </w:rPr>
            </w:pPr>
            <w:r w:rsidRPr="0042463B">
              <w:rPr>
                <w:color w:val="000000"/>
                <w:sz w:val="20"/>
                <w:szCs w:val="20"/>
              </w:rPr>
              <w:t>Élimination totale du secteur (</w:t>
            </w:r>
            <w:proofErr w:type="spellStart"/>
            <w:r w:rsidRPr="0042463B">
              <w:rPr>
                <w:color w:val="000000"/>
                <w:sz w:val="20"/>
                <w:szCs w:val="20"/>
              </w:rPr>
              <w:t>tm</w:t>
            </w:r>
            <w:proofErr w:type="spellEnd"/>
            <w:r w:rsidRPr="0042463B">
              <w:rPr>
                <w:color w:val="000000"/>
                <w:sz w:val="20"/>
                <w:szCs w:val="20"/>
              </w:rPr>
              <w:t>)</w:t>
            </w:r>
          </w:p>
        </w:tc>
        <w:tc>
          <w:tcPr>
            <w:tcW w:w="1635" w:type="pct"/>
            <w:gridSpan w:val="3"/>
            <w:tcBorders>
              <w:top w:val="single" w:sz="4" w:space="0" w:color="auto"/>
              <w:left w:val="nil"/>
              <w:bottom w:val="single" w:sz="4" w:space="0" w:color="auto"/>
              <w:right w:val="single" w:sz="4" w:space="0" w:color="auto"/>
            </w:tcBorders>
            <w:shd w:val="clear" w:color="auto" w:fill="auto"/>
            <w:noWrap/>
          </w:tcPr>
          <w:p w14:paraId="72D2B92F" w14:textId="767F22D5" w:rsidR="00B3646E" w:rsidRPr="0042463B" w:rsidRDefault="00601245" w:rsidP="00321625">
            <w:pPr>
              <w:keepNext/>
              <w:jc w:val="right"/>
              <w:rPr>
                <w:color w:val="000000"/>
                <w:sz w:val="20"/>
                <w:szCs w:val="20"/>
              </w:rPr>
            </w:pPr>
            <w:r w:rsidRPr="0042463B">
              <w:rPr>
                <w:color w:val="000000"/>
                <w:sz w:val="20"/>
                <w:szCs w:val="20"/>
              </w:rPr>
              <w:t>89,82*</w:t>
            </w:r>
          </w:p>
        </w:tc>
      </w:tr>
      <w:tr w:rsidR="004B0073" w:rsidRPr="0042463B" w14:paraId="1C628E41" w14:textId="77777777" w:rsidTr="00140DBE">
        <w:trPr>
          <w:trHeight w:val="43"/>
        </w:trPr>
        <w:tc>
          <w:tcPr>
            <w:tcW w:w="3365" w:type="pct"/>
            <w:tcBorders>
              <w:top w:val="single" w:sz="4" w:space="0" w:color="auto"/>
              <w:left w:val="single" w:sz="4" w:space="0" w:color="auto"/>
              <w:bottom w:val="single" w:sz="4" w:space="0" w:color="auto"/>
              <w:right w:val="single" w:sz="4" w:space="0" w:color="auto"/>
            </w:tcBorders>
            <w:shd w:val="clear" w:color="auto" w:fill="auto"/>
            <w:tcMar>
              <w:left w:w="29" w:type="dxa"/>
              <w:right w:w="0" w:type="dxa"/>
            </w:tcMar>
          </w:tcPr>
          <w:p w14:paraId="1CA192A0" w14:textId="5803EB66" w:rsidR="004B0073" w:rsidRPr="0042463B" w:rsidRDefault="004B0073" w:rsidP="00321625">
            <w:pPr>
              <w:keepNext/>
              <w:jc w:val="left"/>
              <w:rPr>
                <w:color w:val="000000"/>
                <w:sz w:val="20"/>
                <w:szCs w:val="20"/>
              </w:rPr>
            </w:pPr>
            <w:r w:rsidRPr="0042463B">
              <w:rPr>
                <w:color w:val="000000"/>
                <w:sz w:val="20"/>
                <w:szCs w:val="20"/>
              </w:rPr>
              <w:t>CE calculé selon la consommation totale restante dans le secteur des mousses ($ US/kg)</w:t>
            </w:r>
          </w:p>
        </w:tc>
        <w:tc>
          <w:tcPr>
            <w:tcW w:w="1635" w:type="pct"/>
            <w:gridSpan w:val="3"/>
            <w:tcBorders>
              <w:top w:val="single" w:sz="4" w:space="0" w:color="auto"/>
              <w:left w:val="nil"/>
              <w:bottom w:val="single" w:sz="4" w:space="0" w:color="auto"/>
              <w:right w:val="single" w:sz="4" w:space="0" w:color="auto"/>
            </w:tcBorders>
            <w:shd w:val="clear" w:color="auto" w:fill="auto"/>
            <w:noWrap/>
          </w:tcPr>
          <w:p w14:paraId="7D82C23D" w14:textId="568FE2AB" w:rsidR="004B0073" w:rsidRPr="0042463B" w:rsidRDefault="00601245" w:rsidP="00321625">
            <w:pPr>
              <w:keepNext/>
              <w:jc w:val="right"/>
              <w:rPr>
                <w:color w:val="000000"/>
                <w:sz w:val="20"/>
                <w:szCs w:val="20"/>
              </w:rPr>
            </w:pPr>
            <w:r w:rsidRPr="0042463B">
              <w:rPr>
                <w:color w:val="000000"/>
                <w:sz w:val="20"/>
                <w:szCs w:val="20"/>
              </w:rPr>
              <w:t>1,30</w:t>
            </w:r>
          </w:p>
        </w:tc>
      </w:tr>
    </w:tbl>
    <w:p w14:paraId="2C31F3BB" w14:textId="49335213" w:rsidR="006B5EA5" w:rsidRPr="0042463B" w:rsidRDefault="00601245" w:rsidP="00AD262D">
      <w:pPr>
        <w:rPr>
          <w:sz w:val="18"/>
          <w:szCs w:val="18"/>
        </w:rPr>
      </w:pPr>
      <w:r w:rsidRPr="0042463B">
        <w:rPr>
          <w:sz w:val="18"/>
          <w:szCs w:val="18"/>
        </w:rPr>
        <w:t xml:space="preserve">*Utilisation totale du HCFC-141b contenu dans les polyols </w:t>
      </w:r>
      <w:proofErr w:type="spellStart"/>
      <w:r w:rsidRPr="0042463B">
        <w:rPr>
          <w:sz w:val="18"/>
          <w:szCs w:val="18"/>
        </w:rPr>
        <w:t>prémélangés</w:t>
      </w:r>
      <w:proofErr w:type="spellEnd"/>
      <w:r w:rsidRPr="0042463B">
        <w:rPr>
          <w:sz w:val="18"/>
          <w:szCs w:val="18"/>
        </w:rPr>
        <w:t xml:space="preserve"> importés dans le secteur des mousses en 2020. Cette quantité est inférieure à la consommation restante admissible au financement de 91,87 </w:t>
      </w:r>
      <w:proofErr w:type="spellStart"/>
      <w:r w:rsidRPr="0042463B">
        <w:rPr>
          <w:sz w:val="18"/>
          <w:szCs w:val="18"/>
        </w:rPr>
        <w:t>tm</w:t>
      </w:r>
      <w:proofErr w:type="spellEnd"/>
      <w:r w:rsidRPr="0042463B">
        <w:rPr>
          <w:sz w:val="18"/>
          <w:szCs w:val="18"/>
        </w:rPr>
        <w:t>. Après l’achèvement du projet-cadre, 91,87 </w:t>
      </w:r>
      <w:proofErr w:type="spellStart"/>
      <w:r w:rsidRPr="0042463B">
        <w:rPr>
          <w:sz w:val="18"/>
          <w:szCs w:val="18"/>
        </w:rPr>
        <w:t>tm</w:t>
      </w:r>
      <w:proofErr w:type="spellEnd"/>
      <w:r w:rsidRPr="0042463B">
        <w:rPr>
          <w:sz w:val="18"/>
          <w:szCs w:val="18"/>
        </w:rPr>
        <w:t xml:space="preserve"> seront déduites du point de départ. </w:t>
      </w:r>
    </w:p>
    <w:p w14:paraId="39C6971E" w14:textId="77777777" w:rsidR="00601245" w:rsidRPr="0042463B" w:rsidRDefault="00601245" w:rsidP="00AD262D">
      <w:pPr>
        <w:rPr>
          <w:bCs/>
          <w:u w:val="single"/>
        </w:rPr>
      </w:pPr>
    </w:p>
    <w:p w14:paraId="001983FF" w14:textId="77777777" w:rsidR="005C48A0" w:rsidRPr="0042463B" w:rsidRDefault="005C48A0" w:rsidP="005C48A0">
      <w:pPr>
        <w:keepNext/>
        <w:spacing w:after="240"/>
        <w:outlineLvl w:val="0"/>
        <w:rPr>
          <w:u w:val="single"/>
        </w:rPr>
      </w:pPr>
      <w:r w:rsidRPr="0042463B">
        <w:rPr>
          <w:u w:val="single"/>
        </w:rPr>
        <w:t>Coût total du projet</w:t>
      </w:r>
    </w:p>
    <w:p w14:paraId="55F7A21D" w14:textId="277910E3" w:rsidR="004D7F73" w:rsidRPr="0042463B" w:rsidRDefault="005C48A0" w:rsidP="004D7F73">
      <w:pPr>
        <w:numPr>
          <w:ilvl w:val="0"/>
          <w:numId w:val="1"/>
        </w:numPr>
      </w:pPr>
      <w:r w:rsidRPr="0042463B">
        <w:t>Le coût total pour la phase II du PGEH s’élève à 662 999 $ US, convenu selon la présentation, en vue d’attendre une réduction de la consommation des HCFC de 67,5 pour cent par rapport à la valeur de référence. La répartition du financement pour la phase II du PGEH a été rectifiée pour réduire le financement de la première tranche, en tenant compte de l’incidence de la pandémie de COVID-19 et une troisième tranche a été ajoutée pour 2025, en accord avec la décision 62/17.</w:t>
      </w:r>
      <w:r w:rsidR="0008148F" w:rsidRPr="0042463B">
        <w:rPr>
          <w:rStyle w:val="FootnoteReference"/>
        </w:rPr>
        <w:footnoteReference w:id="13"/>
      </w:r>
      <w:r w:rsidRPr="0042463B">
        <w:t xml:space="preserve"> </w:t>
      </w:r>
    </w:p>
    <w:p w14:paraId="1813045C" w14:textId="77777777" w:rsidR="004D7F73" w:rsidRPr="0042463B" w:rsidRDefault="004D7F73" w:rsidP="004D7F73">
      <w:pPr>
        <w:keepNext/>
      </w:pPr>
    </w:p>
    <w:p w14:paraId="136019F7" w14:textId="77777777" w:rsidR="00EB31E3" w:rsidRPr="0042463B" w:rsidRDefault="00EB31E3" w:rsidP="00EB31E3">
      <w:pPr>
        <w:keepNext/>
        <w:spacing w:after="240"/>
        <w:rPr>
          <w:u w:val="single"/>
        </w:rPr>
      </w:pPr>
      <w:r w:rsidRPr="0042463B">
        <w:rPr>
          <w:u w:val="single"/>
        </w:rPr>
        <w:t>Effets sur le climat</w:t>
      </w:r>
    </w:p>
    <w:p w14:paraId="2E0A449C" w14:textId="6A899F04" w:rsidR="003F4EA2" w:rsidRPr="0042463B" w:rsidRDefault="00317748" w:rsidP="005F4AE4">
      <w:pPr>
        <w:pStyle w:val="Heading1"/>
      </w:pPr>
      <w:r w:rsidRPr="0042463B">
        <w:t xml:space="preserve">L’élimination du HCFC-141b contenu dans les polyols </w:t>
      </w:r>
      <w:proofErr w:type="spellStart"/>
      <w:r w:rsidRPr="0042463B">
        <w:t>prémélangés</w:t>
      </w:r>
      <w:proofErr w:type="spellEnd"/>
      <w:r w:rsidRPr="0042463B">
        <w:t xml:space="preserve"> importés dans quatre entreprises admissibles réduira l’émission des gaz à effet de serre de 9 200 tonnes </w:t>
      </w:r>
      <w:proofErr w:type="spellStart"/>
      <w:r w:rsidRPr="0042463B">
        <w:t>éq</w:t>
      </w:r>
      <w:proofErr w:type="spellEnd"/>
      <w:r w:rsidRPr="0042463B">
        <w:t>. CO</w:t>
      </w:r>
      <w:r w:rsidRPr="0042463B">
        <w:rPr>
          <w:vertAlign w:val="subscript"/>
        </w:rPr>
        <w:t>2</w:t>
      </w:r>
      <w:r w:rsidRPr="0042463B">
        <w:t xml:space="preserve">, comme l’indique le Tableau 10. Les substituts qui seront adoptés par les entreprises non admissibles dans le secteur des mousses sont inconnus; les activités de sensibilisation, la formation et la diffusion de l’information </w:t>
      </w:r>
      <w:r w:rsidRPr="0042463B">
        <w:lastRenderedPageBreak/>
        <w:t>effectuées dans le cadre du PGEH devraient promouvoir l’utilisation des technologies à faibles PRG et engendrer des avantages climatiques plus importants grâce à l’élimination sectorielle.</w:t>
      </w:r>
    </w:p>
    <w:p w14:paraId="2C1F0681" w14:textId="3333DA44" w:rsidR="00196731" w:rsidRPr="0042463B" w:rsidRDefault="00196731" w:rsidP="00196731">
      <w:pPr>
        <w:rPr>
          <w:b/>
        </w:rPr>
      </w:pPr>
      <w:r w:rsidRPr="0042463B">
        <w:rPr>
          <w:b/>
        </w:rPr>
        <w:t>Tableau 10. Effets sur le climat pour la conversion de quatre entreprises des mousses</w:t>
      </w:r>
    </w:p>
    <w:tbl>
      <w:tblPr>
        <w:tblW w:w="4995" w:type="pct"/>
        <w:tblLook w:val="04A0" w:firstRow="1" w:lastRow="0" w:firstColumn="1" w:lastColumn="0" w:noHBand="0" w:noVBand="1"/>
      </w:tblPr>
      <w:tblGrid>
        <w:gridCol w:w="1827"/>
        <w:gridCol w:w="1782"/>
        <w:gridCol w:w="1933"/>
        <w:gridCol w:w="1898"/>
        <w:gridCol w:w="1901"/>
      </w:tblGrid>
      <w:tr w:rsidR="00196731" w:rsidRPr="0042463B" w14:paraId="02D62E6F" w14:textId="77777777" w:rsidTr="00140DBE">
        <w:tc>
          <w:tcPr>
            <w:tcW w:w="9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725B2F" w14:textId="249F3A8B" w:rsidR="00196731" w:rsidRPr="0042463B" w:rsidRDefault="00140DBE" w:rsidP="00140DBE">
            <w:pPr>
              <w:rPr>
                <w:b/>
                <w:color w:val="000000"/>
                <w:sz w:val="20"/>
                <w:szCs w:val="20"/>
              </w:rPr>
            </w:pPr>
            <w:r w:rsidRPr="0042463B">
              <w:rPr>
                <w:b/>
                <w:color w:val="000000"/>
                <w:sz w:val="20"/>
                <w:szCs w:val="20"/>
              </w:rPr>
              <w:t>Description</w:t>
            </w:r>
          </w:p>
        </w:tc>
        <w:tc>
          <w:tcPr>
            <w:tcW w:w="963" w:type="pct"/>
            <w:tcBorders>
              <w:top w:val="single" w:sz="4" w:space="0" w:color="auto"/>
              <w:left w:val="nil"/>
              <w:bottom w:val="single" w:sz="4" w:space="0" w:color="auto"/>
              <w:right w:val="single" w:sz="4" w:space="0" w:color="auto"/>
            </w:tcBorders>
            <w:shd w:val="clear" w:color="auto" w:fill="auto"/>
            <w:noWrap/>
            <w:vAlign w:val="center"/>
            <w:hideMark/>
          </w:tcPr>
          <w:p w14:paraId="2E20EFF2" w14:textId="77777777" w:rsidR="00196731" w:rsidRPr="0042463B" w:rsidRDefault="00196731" w:rsidP="00140DBE">
            <w:pPr>
              <w:jc w:val="center"/>
              <w:rPr>
                <w:b/>
                <w:color w:val="000000"/>
                <w:sz w:val="20"/>
                <w:szCs w:val="20"/>
              </w:rPr>
            </w:pPr>
            <w:r w:rsidRPr="0042463B">
              <w:rPr>
                <w:b/>
                <w:color w:val="000000"/>
                <w:sz w:val="20"/>
                <w:szCs w:val="20"/>
              </w:rPr>
              <w:t>Substance</w:t>
            </w:r>
          </w:p>
        </w:tc>
        <w:tc>
          <w:tcPr>
            <w:tcW w:w="1025" w:type="pct"/>
            <w:tcBorders>
              <w:top w:val="single" w:sz="4" w:space="0" w:color="auto"/>
              <w:left w:val="nil"/>
              <w:bottom w:val="single" w:sz="4" w:space="0" w:color="auto"/>
              <w:right w:val="single" w:sz="4" w:space="0" w:color="auto"/>
            </w:tcBorders>
            <w:shd w:val="clear" w:color="auto" w:fill="auto"/>
            <w:noWrap/>
            <w:vAlign w:val="center"/>
            <w:hideMark/>
          </w:tcPr>
          <w:p w14:paraId="40A1E78A" w14:textId="3870C82A" w:rsidR="00196731" w:rsidRPr="0042463B" w:rsidRDefault="00196731" w:rsidP="00140DBE">
            <w:pPr>
              <w:jc w:val="center"/>
              <w:rPr>
                <w:b/>
                <w:color w:val="000000"/>
                <w:sz w:val="20"/>
                <w:szCs w:val="20"/>
              </w:rPr>
            </w:pPr>
            <w:r w:rsidRPr="0042463B">
              <w:rPr>
                <w:b/>
                <w:color w:val="000000"/>
                <w:sz w:val="20"/>
                <w:szCs w:val="20"/>
              </w:rPr>
              <w:t>Consommation (</w:t>
            </w:r>
            <w:proofErr w:type="spellStart"/>
            <w:r w:rsidRPr="0042463B">
              <w:rPr>
                <w:b/>
                <w:color w:val="000000"/>
                <w:sz w:val="20"/>
                <w:szCs w:val="20"/>
              </w:rPr>
              <w:t>tm</w:t>
            </w:r>
            <w:proofErr w:type="spellEnd"/>
            <w:r w:rsidRPr="0042463B">
              <w:rPr>
                <w:b/>
                <w:color w:val="000000"/>
                <w:sz w:val="20"/>
                <w:szCs w:val="20"/>
              </w:rPr>
              <w:t>)</w:t>
            </w:r>
          </w:p>
        </w:tc>
        <w:tc>
          <w:tcPr>
            <w:tcW w:w="1025" w:type="pct"/>
            <w:tcBorders>
              <w:top w:val="single" w:sz="4" w:space="0" w:color="auto"/>
              <w:left w:val="nil"/>
              <w:bottom w:val="single" w:sz="4" w:space="0" w:color="auto"/>
              <w:right w:val="single" w:sz="4" w:space="0" w:color="auto"/>
            </w:tcBorders>
            <w:shd w:val="clear" w:color="auto" w:fill="auto"/>
            <w:noWrap/>
            <w:vAlign w:val="center"/>
            <w:hideMark/>
          </w:tcPr>
          <w:p w14:paraId="1E3C5DB2" w14:textId="77777777" w:rsidR="00196731" w:rsidRPr="0042463B" w:rsidRDefault="00196731" w:rsidP="00140DBE">
            <w:pPr>
              <w:jc w:val="center"/>
              <w:rPr>
                <w:b/>
                <w:color w:val="000000"/>
                <w:sz w:val="20"/>
                <w:szCs w:val="20"/>
              </w:rPr>
            </w:pPr>
            <w:r w:rsidRPr="0042463B">
              <w:rPr>
                <w:b/>
                <w:color w:val="000000"/>
                <w:sz w:val="20"/>
                <w:szCs w:val="20"/>
              </w:rPr>
              <w:t>PRG</w:t>
            </w:r>
          </w:p>
        </w:tc>
        <w:tc>
          <w:tcPr>
            <w:tcW w:w="1027" w:type="pct"/>
            <w:tcBorders>
              <w:top w:val="single" w:sz="4" w:space="0" w:color="auto"/>
              <w:left w:val="nil"/>
              <w:bottom w:val="single" w:sz="4" w:space="0" w:color="auto"/>
              <w:right w:val="single" w:sz="4" w:space="0" w:color="auto"/>
            </w:tcBorders>
            <w:shd w:val="clear" w:color="auto" w:fill="auto"/>
            <w:vAlign w:val="center"/>
            <w:hideMark/>
          </w:tcPr>
          <w:p w14:paraId="0CE330DC" w14:textId="58036400" w:rsidR="00196731" w:rsidRPr="0042463B" w:rsidRDefault="00196731" w:rsidP="00140DBE">
            <w:pPr>
              <w:jc w:val="center"/>
              <w:rPr>
                <w:b/>
                <w:color w:val="000000"/>
                <w:sz w:val="20"/>
                <w:szCs w:val="20"/>
              </w:rPr>
            </w:pPr>
            <w:r w:rsidRPr="0042463B">
              <w:rPr>
                <w:b/>
                <w:color w:val="000000"/>
                <w:sz w:val="20"/>
                <w:szCs w:val="20"/>
              </w:rPr>
              <w:t>Émission</w:t>
            </w:r>
            <w:r w:rsidRPr="0042463B">
              <w:rPr>
                <w:b/>
                <w:sz w:val="20"/>
                <w:szCs w:val="20"/>
              </w:rPr>
              <w:t xml:space="preserve"> (tonnes </w:t>
            </w:r>
            <w:proofErr w:type="spellStart"/>
            <w:r w:rsidRPr="0042463B">
              <w:rPr>
                <w:b/>
                <w:sz w:val="20"/>
                <w:szCs w:val="20"/>
              </w:rPr>
              <w:t>éq</w:t>
            </w:r>
            <w:proofErr w:type="spellEnd"/>
            <w:r w:rsidRPr="0042463B">
              <w:rPr>
                <w:b/>
                <w:sz w:val="20"/>
                <w:szCs w:val="20"/>
              </w:rPr>
              <w:t>. CO</w:t>
            </w:r>
            <w:r w:rsidRPr="0042463B">
              <w:rPr>
                <w:b/>
                <w:sz w:val="20"/>
                <w:szCs w:val="20"/>
                <w:vertAlign w:val="subscript"/>
              </w:rPr>
              <w:t>2</w:t>
            </w:r>
            <w:r w:rsidRPr="0042463B">
              <w:rPr>
                <w:b/>
                <w:sz w:val="20"/>
                <w:szCs w:val="20"/>
              </w:rPr>
              <w:t>)</w:t>
            </w:r>
          </w:p>
        </w:tc>
      </w:tr>
      <w:tr w:rsidR="00196731" w:rsidRPr="0042463B" w14:paraId="6E5DD493" w14:textId="77777777" w:rsidTr="00140DBE">
        <w:tc>
          <w:tcPr>
            <w:tcW w:w="961" w:type="pct"/>
            <w:tcBorders>
              <w:top w:val="nil"/>
              <w:left w:val="single" w:sz="4" w:space="0" w:color="auto"/>
              <w:bottom w:val="single" w:sz="4" w:space="0" w:color="auto"/>
              <w:right w:val="single" w:sz="4" w:space="0" w:color="auto"/>
            </w:tcBorders>
            <w:shd w:val="clear" w:color="auto" w:fill="auto"/>
            <w:noWrap/>
            <w:hideMark/>
          </w:tcPr>
          <w:p w14:paraId="6DC008E0" w14:textId="77777777" w:rsidR="00196731" w:rsidRPr="0042463B" w:rsidRDefault="00196731" w:rsidP="00196731">
            <w:pPr>
              <w:jc w:val="left"/>
              <w:rPr>
                <w:color w:val="000000"/>
                <w:sz w:val="20"/>
                <w:szCs w:val="20"/>
              </w:rPr>
            </w:pPr>
            <w:r w:rsidRPr="0042463B">
              <w:rPr>
                <w:color w:val="000000"/>
                <w:sz w:val="20"/>
                <w:szCs w:val="20"/>
              </w:rPr>
              <w:t>Avant la conversion</w:t>
            </w:r>
          </w:p>
        </w:tc>
        <w:tc>
          <w:tcPr>
            <w:tcW w:w="963" w:type="pct"/>
            <w:tcBorders>
              <w:top w:val="nil"/>
              <w:left w:val="nil"/>
              <w:bottom w:val="single" w:sz="4" w:space="0" w:color="auto"/>
              <w:right w:val="single" w:sz="4" w:space="0" w:color="auto"/>
            </w:tcBorders>
            <w:shd w:val="clear" w:color="auto" w:fill="auto"/>
            <w:vAlign w:val="center"/>
            <w:hideMark/>
          </w:tcPr>
          <w:p w14:paraId="7B216E30" w14:textId="77777777" w:rsidR="00196731" w:rsidRPr="0042463B" w:rsidRDefault="00196731" w:rsidP="00196731">
            <w:pPr>
              <w:jc w:val="left"/>
              <w:rPr>
                <w:color w:val="000000"/>
                <w:sz w:val="20"/>
                <w:szCs w:val="20"/>
              </w:rPr>
            </w:pPr>
            <w:r w:rsidRPr="0042463B">
              <w:rPr>
                <w:color w:val="000000"/>
                <w:sz w:val="20"/>
                <w:szCs w:val="20"/>
              </w:rPr>
              <w:t>HCFC-141b (</w:t>
            </w:r>
            <w:proofErr w:type="spellStart"/>
            <w:r w:rsidRPr="0042463B">
              <w:rPr>
                <w:color w:val="000000"/>
                <w:sz w:val="20"/>
                <w:szCs w:val="20"/>
              </w:rPr>
              <w:t>tm</w:t>
            </w:r>
            <w:proofErr w:type="spellEnd"/>
            <w:r w:rsidRPr="0042463B">
              <w:rPr>
                <w:color w:val="000000"/>
                <w:sz w:val="20"/>
                <w:szCs w:val="20"/>
              </w:rPr>
              <w:t>)</w:t>
            </w:r>
          </w:p>
        </w:tc>
        <w:tc>
          <w:tcPr>
            <w:tcW w:w="1025" w:type="pct"/>
            <w:tcBorders>
              <w:top w:val="nil"/>
              <w:left w:val="nil"/>
              <w:bottom w:val="single" w:sz="4" w:space="0" w:color="auto"/>
              <w:right w:val="single" w:sz="4" w:space="0" w:color="auto"/>
            </w:tcBorders>
            <w:shd w:val="clear" w:color="auto" w:fill="auto"/>
            <w:noWrap/>
            <w:hideMark/>
          </w:tcPr>
          <w:p w14:paraId="4C8D1F19" w14:textId="77777777" w:rsidR="00196731" w:rsidRPr="0042463B" w:rsidRDefault="00196731" w:rsidP="00196731">
            <w:pPr>
              <w:jc w:val="right"/>
              <w:rPr>
                <w:color w:val="000000"/>
                <w:sz w:val="20"/>
                <w:szCs w:val="20"/>
              </w:rPr>
            </w:pPr>
            <w:r w:rsidRPr="0042463B">
              <w:rPr>
                <w:color w:val="000000"/>
                <w:sz w:val="20"/>
                <w:szCs w:val="20"/>
              </w:rPr>
              <w:t>12,46</w:t>
            </w:r>
          </w:p>
        </w:tc>
        <w:tc>
          <w:tcPr>
            <w:tcW w:w="1025" w:type="pct"/>
            <w:tcBorders>
              <w:top w:val="nil"/>
              <w:left w:val="nil"/>
              <w:bottom w:val="single" w:sz="4" w:space="0" w:color="auto"/>
              <w:right w:val="single" w:sz="4" w:space="0" w:color="auto"/>
            </w:tcBorders>
            <w:shd w:val="clear" w:color="auto" w:fill="auto"/>
            <w:noWrap/>
            <w:hideMark/>
          </w:tcPr>
          <w:p w14:paraId="5CEEDF11" w14:textId="77777777" w:rsidR="00196731" w:rsidRPr="0042463B" w:rsidRDefault="00196731" w:rsidP="00196731">
            <w:pPr>
              <w:jc w:val="right"/>
              <w:rPr>
                <w:color w:val="000000"/>
                <w:sz w:val="20"/>
                <w:szCs w:val="20"/>
              </w:rPr>
            </w:pPr>
            <w:r w:rsidRPr="0042463B">
              <w:rPr>
                <w:color w:val="000000"/>
                <w:sz w:val="20"/>
                <w:szCs w:val="20"/>
              </w:rPr>
              <w:t>725,00</w:t>
            </w:r>
          </w:p>
        </w:tc>
        <w:tc>
          <w:tcPr>
            <w:tcW w:w="1027" w:type="pct"/>
            <w:tcBorders>
              <w:top w:val="nil"/>
              <w:left w:val="nil"/>
              <w:bottom w:val="single" w:sz="4" w:space="0" w:color="auto"/>
              <w:right w:val="single" w:sz="4" w:space="0" w:color="auto"/>
            </w:tcBorders>
            <w:shd w:val="clear" w:color="auto" w:fill="auto"/>
            <w:noWrap/>
            <w:hideMark/>
          </w:tcPr>
          <w:p w14:paraId="52F078F9" w14:textId="46F1F109" w:rsidR="00196731" w:rsidRPr="0042463B" w:rsidRDefault="00196731" w:rsidP="00196731">
            <w:pPr>
              <w:jc w:val="right"/>
              <w:rPr>
                <w:color w:val="000000"/>
                <w:sz w:val="20"/>
                <w:szCs w:val="20"/>
              </w:rPr>
            </w:pPr>
            <w:r w:rsidRPr="0042463B">
              <w:rPr>
                <w:color w:val="000000"/>
                <w:sz w:val="20"/>
                <w:szCs w:val="20"/>
              </w:rPr>
              <w:t>9 034</w:t>
            </w:r>
          </w:p>
        </w:tc>
      </w:tr>
      <w:tr w:rsidR="00196731" w:rsidRPr="0042463B" w14:paraId="7F5D9617" w14:textId="77777777" w:rsidTr="00140DBE">
        <w:tc>
          <w:tcPr>
            <w:tcW w:w="961" w:type="pct"/>
            <w:tcBorders>
              <w:top w:val="nil"/>
              <w:left w:val="single" w:sz="4" w:space="0" w:color="auto"/>
              <w:bottom w:val="single" w:sz="4" w:space="0" w:color="auto"/>
              <w:right w:val="single" w:sz="4" w:space="0" w:color="auto"/>
            </w:tcBorders>
            <w:shd w:val="clear" w:color="auto" w:fill="auto"/>
            <w:hideMark/>
          </w:tcPr>
          <w:p w14:paraId="20B10FBA" w14:textId="3EFEBDEA" w:rsidR="00196731" w:rsidRPr="0042463B" w:rsidRDefault="00196731" w:rsidP="00196731">
            <w:pPr>
              <w:jc w:val="left"/>
              <w:rPr>
                <w:color w:val="000000"/>
                <w:sz w:val="20"/>
                <w:szCs w:val="20"/>
              </w:rPr>
            </w:pPr>
            <w:r w:rsidRPr="0042463B">
              <w:rPr>
                <w:color w:val="000000"/>
                <w:sz w:val="20"/>
                <w:szCs w:val="20"/>
              </w:rPr>
              <w:t>Après la conversion</w:t>
            </w:r>
          </w:p>
        </w:tc>
        <w:tc>
          <w:tcPr>
            <w:tcW w:w="963" w:type="pct"/>
            <w:tcBorders>
              <w:top w:val="nil"/>
              <w:left w:val="nil"/>
              <w:bottom w:val="single" w:sz="4" w:space="0" w:color="auto"/>
              <w:right w:val="single" w:sz="4" w:space="0" w:color="auto"/>
            </w:tcBorders>
            <w:shd w:val="clear" w:color="auto" w:fill="auto"/>
            <w:noWrap/>
            <w:vAlign w:val="bottom"/>
            <w:hideMark/>
          </w:tcPr>
          <w:p w14:paraId="43B52404" w14:textId="77777777" w:rsidR="00196731" w:rsidRPr="0042463B" w:rsidRDefault="00196731" w:rsidP="00196731">
            <w:pPr>
              <w:jc w:val="left"/>
              <w:rPr>
                <w:color w:val="000000"/>
                <w:sz w:val="20"/>
                <w:szCs w:val="20"/>
              </w:rPr>
            </w:pPr>
            <w:r w:rsidRPr="0042463B">
              <w:rPr>
                <w:color w:val="000000"/>
                <w:sz w:val="20"/>
                <w:szCs w:val="20"/>
              </w:rPr>
              <w:t>HFO ou CO</w:t>
            </w:r>
            <w:r w:rsidRPr="0042463B">
              <w:rPr>
                <w:color w:val="000000"/>
                <w:sz w:val="20"/>
                <w:szCs w:val="20"/>
                <w:vertAlign w:val="subscript"/>
              </w:rPr>
              <w:t>2</w:t>
            </w:r>
          </w:p>
        </w:tc>
        <w:tc>
          <w:tcPr>
            <w:tcW w:w="1025" w:type="pct"/>
            <w:tcBorders>
              <w:top w:val="nil"/>
              <w:left w:val="nil"/>
              <w:bottom w:val="single" w:sz="4" w:space="0" w:color="auto"/>
              <w:right w:val="single" w:sz="4" w:space="0" w:color="auto"/>
            </w:tcBorders>
            <w:shd w:val="clear" w:color="auto" w:fill="auto"/>
            <w:noWrap/>
            <w:hideMark/>
          </w:tcPr>
          <w:p w14:paraId="1733984E" w14:textId="77777777" w:rsidR="00196731" w:rsidRPr="0042463B" w:rsidRDefault="00196731" w:rsidP="00196731">
            <w:pPr>
              <w:jc w:val="right"/>
              <w:rPr>
                <w:color w:val="000000"/>
                <w:sz w:val="20"/>
                <w:szCs w:val="20"/>
              </w:rPr>
            </w:pPr>
            <w:r w:rsidRPr="0042463B">
              <w:rPr>
                <w:color w:val="000000"/>
                <w:sz w:val="20"/>
                <w:szCs w:val="20"/>
              </w:rPr>
              <w:t>6,64</w:t>
            </w:r>
          </w:p>
        </w:tc>
        <w:tc>
          <w:tcPr>
            <w:tcW w:w="1025" w:type="pct"/>
            <w:tcBorders>
              <w:top w:val="nil"/>
              <w:left w:val="nil"/>
              <w:bottom w:val="single" w:sz="4" w:space="0" w:color="auto"/>
              <w:right w:val="single" w:sz="4" w:space="0" w:color="auto"/>
            </w:tcBorders>
            <w:shd w:val="clear" w:color="auto" w:fill="auto"/>
            <w:noWrap/>
            <w:hideMark/>
          </w:tcPr>
          <w:p w14:paraId="31669C90" w14:textId="77777777" w:rsidR="00196731" w:rsidRPr="0042463B" w:rsidRDefault="00196731" w:rsidP="00196731">
            <w:pPr>
              <w:jc w:val="right"/>
              <w:rPr>
                <w:color w:val="000000"/>
                <w:sz w:val="20"/>
                <w:szCs w:val="20"/>
              </w:rPr>
            </w:pPr>
            <w:r w:rsidRPr="0042463B">
              <w:rPr>
                <w:color w:val="000000"/>
                <w:sz w:val="20"/>
                <w:szCs w:val="20"/>
              </w:rPr>
              <w:t>2,00</w:t>
            </w:r>
          </w:p>
        </w:tc>
        <w:tc>
          <w:tcPr>
            <w:tcW w:w="1027" w:type="pct"/>
            <w:tcBorders>
              <w:top w:val="nil"/>
              <w:left w:val="nil"/>
              <w:bottom w:val="single" w:sz="4" w:space="0" w:color="auto"/>
              <w:right w:val="single" w:sz="4" w:space="0" w:color="auto"/>
            </w:tcBorders>
            <w:shd w:val="clear" w:color="auto" w:fill="auto"/>
            <w:noWrap/>
            <w:hideMark/>
          </w:tcPr>
          <w:p w14:paraId="48910AF1" w14:textId="77777777" w:rsidR="00196731" w:rsidRPr="0042463B" w:rsidRDefault="00196731" w:rsidP="00196731">
            <w:pPr>
              <w:jc w:val="right"/>
              <w:rPr>
                <w:color w:val="000000"/>
                <w:sz w:val="20"/>
                <w:szCs w:val="20"/>
              </w:rPr>
            </w:pPr>
            <w:r w:rsidRPr="0042463B">
              <w:rPr>
                <w:color w:val="000000"/>
                <w:sz w:val="20"/>
                <w:szCs w:val="20"/>
              </w:rPr>
              <w:t>13</w:t>
            </w:r>
          </w:p>
        </w:tc>
      </w:tr>
      <w:tr w:rsidR="00196731" w:rsidRPr="0042463B" w14:paraId="6F3FCAD2" w14:textId="77777777" w:rsidTr="00140DBE">
        <w:tc>
          <w:tcPr>
            <w:tcW w:w="961" w:type="pct"/>
            <w:tcBorders>
              <w:top w:val="nil"/>
              <w:left w:val="single" w:sz="4" w:space="0" w:color="auto"/>
              <w:bottom w:val="single" w:sz="4" w:space="0" w:color="auto"/>
              <w:right w:val="single" w:sz="4" w:space="0" w:color="auto"/>
            </w:tcBorders>
            <w:shd w:val="clear" w:color="auto" w:fill="auto"/>
            <w:hideMark/>
          </w:tcPr>
          <w:p w14:paraId="4453E8B1" w14:textId="25FE3DC0" w:rsidR="00196731" w:rsidRPr="0042463B" w:rsidRDefault="00196731" w:rsidP="00196731">
            <w:pPr>
              <w:jc w:val="left"/>
              <w:rPr>
                <w:color w:val="000000"/>
                <w:sz w:val="20"/>
                <w:szCs w:val="20"/>
              </w:rPr>
            </w:pPr>
            <w:r w:rsidRPr="0042463B">
              <w:rPr>
                <w:color w:val="000000"/>
                <w:sz w:val="20"/>
                <w:szCs w:val="20"/>
              </w:rPr>
              <w:t>Effet net sur le climat</w:t>
            </w:r>
          </w:p>
        </w:tc>
        <w:tc>
          <w:tcPr>
            <w:tcW w:w="963" w:type="pct"/>
            <w:tcBorders>
              <w:top w:val="nil"/>
              <w:left w:val="nil"/>
              <w:bottom w:val="single" w:sz="4" w:space="0" w:color="auto"/>
              <w:right w:val="single" w:sz="4" w:space="0" w:color="auto"/>
            </w:tcBorders>
            <w:shd w:val="clear" w:color="auto" w:fill="auto"/>
            <w:noWrap/>
            <w:vAlign w:val="bottom"/>
            <w:hideMark/>
          </w:tcPr>
          <w:p w14:paraId="62129D59" w14:textId="77777777" w:rsidR="00196731" w:rsidRPr="0042463B" w:rsidRDefault="00196731" w:rsidP="00196731">
            <w:pPr>
              <w:jc w:val="left"/>
              <w:rPr>
                <w:color w:val="000000"/>
                <w:sz w:val="20"/>
                <w:szCs w:val="20"/>
              </w:rPr>
            </w:pPr>
            <w:r w:rsidRPr="0042463B">
              <w:rPr>
                <w:color w:val="000000"/>
                <w:sz w:val="20"/>
                <w:szCs w:val="20"/>
              </w:rPr>
              <w:t> </w:t>
            </w:r>
          </w:p>
        </w:tc>
        <w:tc>
          <w:tcPr>
            <w:tcW w:w="1025" w:type="pct"/>
            <w:tcBorders>
              <w:top w:val="nil"/>
              <w:left w:val="nil"/>
              <w:bottom w:val="single" w:sz="4" w:space="0" w:color="auto"/>
              <w:right w:val="single" w:sz="4" w:space="0" w:color="auto"/>
            </w:tcBorders>
            <w:shd w:val="clear" w:color="auto" w:fill="auto"/>
            <w:noWrap/>
            <w:hideMark/>
          </w:tcPr>
          <w:p w14:paraId="7F2B515F" w14:textId="77777777" w:rsidR="00196731" w:rsidRPr="0042463B" w:rsidRDefault="00196731" w:rsidP="00196731">
            <w:pPr>
              <w:jc w:val="left"/>
              <w:rPr>
                <w:color w:val="000000"/>
                <w:sz w:val="20"/>
                <w:szCs w:val="20"/>
              </w:rPr>
            </w:pPr>
            <w:r w:rsidRPr="0042463B">
              <w:rPr>
                <w:color w:val="000000"/>
                <w:sz w:val="20"/>
                <w:szCs w:val="20"/>
              </w:rPr>
              <w:t> </w:t>
            </w:r>
          </w:p>
        </w:tc>
        <w:tc>
          <w:tcPr>
            <w:tcW w:w="1025" w:type="pct"/>
            <w:tcBorders>
              <w:top w:val="nil"/>
              <w:left w:val="nil"/>
              <w:bottom w:val="single" w:sz="4" w:space="0" w:color="auto"/>
              <w:right w:val="single" w:sz="4" w:space="0" w:color="auto"/>
            </w:tcBorders>
            <w:shd w:val="clear" w:color="auto" w:fill="auto"/>
            <w:noWrap/>
            <w:hideMark/>
          </w:tcPr>
          <w:p w14:paraId="3BDD94E2" w14:textId="77777777" w:rsidR="00196731" w:rsidRPr="0042463B" w:rsidRDefault="00196731" w:rsidP="00196731">
            <w:pPr>
              <w:jc w:val="left"/>
              <w:rPr>
                <w:color w:val="000000"/>
                <w:sz w:val="20"/>
                <w:szCs w:val="20"/>
              </w:rPr>
            </w:pPr>
            <w:r w:rsidRPr="0042463B">
              <w:rPr>
                <w:color w:val="000000"/>
                <w:sz w:val="20"/>
                <w:szCs w:val="20"/>
              </w:rPr>
              <w:t> </w:t>
            </w:r>
          </w:p>
        </w:tc>
        <w:tc>
          <w:tcPr>
            <w:tcW w:w="1027" w:type="pct"/>
            <w:tcBorders>
              <w:top w:val="nil"/>
              <w:left w:val="nil"/>
              <w:bottom w:val="single" w:sz="4" w:space="0" w:color="auto"/>
              <w:right w:val="single" w:sz="4" w:space="0" w:color="auto"/>
            </w:tcBorders>
            <w:shd w:val="clear" w:color="auto" w:fill="auto"/>
            <w:noWrap/>
            <w:hideMark/>
          </w:tcPr>
          <w:p w14:paraId="3EA5872E" w14:textId="7D68758C" w:rsidR="00196731" w:rsidRPr="0042463B" w:rsidRDefault="00196731" w:rsidP="00196731">
            <w:pPr>
              <w:jc w:val="right"/>
              <w:rPr>
                <w:color w:val="000000"/>
                <w:sz w:val="20"/>
                <w:szCs w:val="20"/>
              </w:rPr>
            </w:pPr>
            <w:r w:rsidRPr="0042463B">
              <w:rPr>
                <w:color w:val="000000"/>
                <w:sz w:val="20"/>
                <w:szCs w:val="20"/>
              </w:rPr>
              <w:t>9 020</w:t>
            </w:r>
          </w:p>
        </w:tc>
      </w:tr>
    </w:tbl>
    <w:p w14:paraId="120DE819" w14:textId="77777777" w:rsidR="003F4EA2" w:rsidRPr="0042463B" w:rsidRDefault="003F4EA2" w:rsidP="00135846"/>
    <w:p w14:paraId="68D0C1B7" w14:textId="7B479B03" w:rsidR="00EB31E3" w:rsidRPr="0042463B" w:rsidRDefault="00EB31E3" w:rsidP="005F4AE4">
      <w:pPr>
        <w:pStyle w:val="Heading1"/>
      </w:pPr>
      <w:r w:rsidRPr="0042463B">
        <w:t>Les activités proposées dans le secteur de l’entretien, qui comprennent un meilleur confinement des frigorigènes au moyen de la formation et d’un approvisionnement d’équipement, permettront de réduire la quantité de HCFC-22 utilisée pour l’entretien en réfrigération et en climatisation. Chaque kilogramme de HCFC-22 non rejeté grâce à des pratiques améliorées de réfrigération représente une économie d’environ 1,8 tonne d’équivalent-CO</w:t>
      </w:r>
      <w:r w:rsidRPr="0042463B">
        <w:rPr>
          <w:vertAlign w:val="subscript"/>
        </w:rPr>
        <w:t>2</w:t>
      </w:r>
      <w:r w:rsidRPr="0042463B">
        <w:t>. Bien que le PGEH ne comprenait pas la détermination des effets sur le climat, les activités prévues par Bahreïn, y compris ses efforts pour former les techniciens sur le confinement des frigorigènes, la récupération, la réutilisation et le recyclage des frigorigènes ainsi que la promotion des solutions de remplacement à faible PRG, indiquent que la mise en œuvre du PGEH permettra de réduire les émissions de frigorigènes dans l’atmosphère, et entraînera des avantages pour le climat.</w:t>
      </w:r>
    </w:p>
    <w:p w14:paraId="2BA47108" w14:textId="77777777" w:rsidR="00EB31E3" w:rsidRPr="0042463B" w:rsidRDefault="00EB31E3" w:rsidP="00C607F2">
      <w:pPr>
        <w:spacing w:after="120"/>
        <w:outlineLvl w:val="0"/>
        <w:rPr>
          <w:b/>
        </w:rPr>
      </w:pPr>
      <w:r w:rsidRPr="0042463B">
        <w:rPr>
          <w:b/>
        </w:rPr>
        <w:t>Cofinancement</w:t>
      </w:r>
    </w:p>
    <w:p w14:paraId="0004559C" w14:textId="1B5F3A68" w:rsidR="0008148F" w:rsidRPr="0042463B" w:rsidRDefault="0023163A" w:rsidP="00C607F2">
      <w:pPr>
        <w:pStyle w:val="Heading1"/>
        <w:spacing w:after="120"/>
      </w:pPr>
      <w:r w:rsidRPr="0042463B">
        <w:t>L’élimination de 300 </w:t>
      </w:r>
      <w:proofErr w:type="spellStart"/>
      <w:r w:rsidRPr="0042463B">
        <w:t>tm</w:t>
      </w:r>
      <w:proofErr w:type="spellEnd"/>
      <w:r w:rsidRPr="0042463B">
        <w:t xml:space="preserve"> de HCFC-22 dans le secteur de la fabrication des appareils de climatisation sera financée par l’entreprise AGM. Le gouvernement de Bahreïn s’est engagé à fournir une contribution en nature pour la mise en œuvre de certaines activités en vertu de la composante sur les politiques et règlements du PGEH.</w:t>
      </w:r>
    </w:p>
    <w:p w14:paraId="7FBDC43F" w14:textId="77777777" w:rsidR="00EB31E3" w:rsidRPr="0042463B" w:rsidRDefault="00EB31E3" w:rsidP="00C607F2">
      <w:pPr>
        <w:spacing w:after="120"/>
        <w:outlineLvl w:val="0"/>
        <w:rPr>
          <w:b/>
        </w:rPr>
      </w:pPr>
      <w:r w:rsidRPr="0042463B">
        <w:rPr>
          <w:b/>
        </w:rPr>
        <w:t xml:space="preserve">Projet de plan d’activités du Fonds multilatéral pour 2021-2023 </w:t>
      </w:r>
    </w:p>
    <w:p w14:paraId="2E1E914F" w14:textId="1E1FFF23" w:rsidR="00EB31E3" w:rsidRPr="0042463B" w:rsidRDefault="002753EA" w:rsidP="00C607F2">
      <w:pPr>
        <w:pStyle w:val="Heading1"/>
        <w:spacing w:after="120"/>
      </w:pPr>
      <w:r w:rsidRPr="0042463B">
        <w:t xml:space="preserve">Le PNUE et l’ONUDI demandent 662 999 $ US, plus les coûts d’appui d’agence, pour la mise en œuvre de la phase II du PGEH pour Bahreïn. La valeur totale demandée de 647 829 $ US, incluant les coûts d’appui d’agence pour la période de 2021 à 2023, est </w:t>
      </w:r>
      <w:r w:rsidR="004B7EE9" w:rsidRPr="0042463B">
        <w:t xml:space="preserve">inférieure de 925 227 $ US </w:t>
      </w:r>
      <w:r w:rsidRPr="0042463B">
        <w:t>au montant inscrit dans le plan d’activités.</w:t>
      </w:r>
    </w:p>
    <w:p w14:paraId="65B9573E" w14:textId="14E92647" w:rsidR="00535492" w:rsidRPr="0042463B" w:rsidRDefault="00535492" w:rsidP="00C607F2">
      <w:pPr>
        <w:spacing w:after="120"/>
        <w:outlineLvl w:val="0"/>
        <w:rPr>
          <w:b/>
        </w:rPr>
      </w:pPr>
      <w:r w:rsidRPr="0042463B">
        <w:rPr>
          <w:b/>
        </w:rPr>
        <w:t>Révision de l’Accord de la phase I du PGEH</w:t>
      </w:r>
    </w:p>
    <w:p w14:paraId="1254D3AC" w14:textId="50918B1B" w:rsidR="00535492" w:rsidRPr="0042463B" w:rsidRDefault="00535492" w:rsidP="00C607F2">
      <w:pPr>
        <w:pStyle w:val="Heading1"/>
        <w:spacing w:after="120"/>
      </w:pPr>
      <w:r w:rsidRPr="0042463B">
        <w:t>L’Accord entre le gouvernement de Bahreïn et le Comité exécutif pour la phase I du PGEH sera réactualisé pour refléter l’annulation de la quatrième tranche, en particulier l’Appendice 2-A et le paragraphe 16 pour indiquer que l’Accord révisé à jour remplacera celui convenu à la 84</w:t>
      </w:r>
      <w:r w:rsidRPr="0042463B">
        <w:rPr>
          <w:vertAlign w:val="superscript"/>
        </w:rPr>
        <w:t>e</w:t>
      </w:r>
      <w:r w:rsidRPr="0042463B">
        <w:t xml:space="preserve"> réunion, comme l’indique l’Annexe I du présent document. L’accord complètement révisé à jour sera joint au rapport final de la 88</w:t>
      </w:r>
      <w:r w:rsidRPr="0042463B">
        <w:rPr>
          <w:vertAlign w:val="superscript"/>
        </w:rPr>
        <w:t>e</w:t>
      </w:r>
      <w:r w:rsidRPr="0042463B">
        <w:t xml:space="preserve"> réunion.</w:t>
      </w:r>
    </w:p>
    <w:p w14:paraId="5B492169" w14:textId="77777777" w:rsidR="00EB31E3" w:rsidRPr="0042463B" w:rsidRDefault="00EB31E3" w:rsidP="00C607F2">
      <w:pPr>
        <w:spacing w:after="120"/>
        <w:outlineLvl w:val="0"/>
        <w:rPr>
          <w:b/>
        </w:rPr>
      </w:pPr>
      <w:r w:rsidRPr="0042463B">
        <w:rPr>
          <w:b/>
        </w:rPr>
        <w:t>Projet d’accord pour la phase II du PGEH</w:t>
      </w:r>
    </w:p>
    <w:p w14:paraId="06E6F1A0" w14:textId="77777777" w:rsidR="00EB31E3" w:rsidRPr="0042463B" w:rsidRDefault="00EB31E3" w:rsidP="00C607F2">
      <w:pPr>
        <w:numPr>
          <w:ilvl w:val="0"/>
          <w:numId w:val="1"/>
        </w:numPr>
        <w:tabs>
          <w:tab w:val="clear" w:pos="0"/>
        </w:tabs>
        <w:spacing w:after="120"/>
        <w:outlineLvl w:val="0"/>
      </w:pPr>
      <w:r w:rsidRPr="0042463B">
        <w:t>Un projet d’Accord entre le gouvernement de Bahreïn et le Comité exécutif pour l’élimination des HCFC dans la phase II du PGEH est présenté dans l’Annexe II du présent document.</w:t>
      </w:r>
    </w:p>
    <w:p w14:paraId="64D03DE5" w14:textId="77777777" w:rsidR="00EB31E3" w:rsidRPr="0042463B" w:rsidRDefault="00EB31E3" w:rsidP="00C607F2">
      <w:pPr>
        <w:autoSpaceDE w:val="0"/>
        <w:autoSpaceDN w:val="0"/>
        <w:adjustRightInd w:val="0"/>
        <w:spacing w:after="120"/>
        <w:outlineLvl w:val="0"/>
        <w:rPr>
          <w:b/>
        </w:rPr>
      </w:pPr>
      <w:r w:rsidRPr="0042463B">
        <w:rPr>
          <w:b/>
        </w:rPr>
        <w:t>RECOMMANDATION</w:t>
      </w:r>
    </w:p>
    <w:p w14:paraId="28F2CA2D" w14:textId="22154868" w:rsidR="0081552A" w:rsidRPr="0042463B" w:rsidRDefault="0081552A" w:rsidP="00C607F2">
      <w:pPr>
        <w:pStyle w:val="Heading1"/>
        <w:spacing w:after="120"/>
      </w:pPr>
      <w:r w:rsidRPr="0042463B">
        <w:t>Le Com</w:t>
      </w:r>
      <w:r w:rsidR="004B7EE9" w:rsidRPr="0042463B">
        <w:t>ité exécutif pourrait envisager </w:t>
      </w:r>
      <w:r w:rsidRPr="0042463B">
        <w:t>:</w:t>
      </w:r>
    </w:p>
    <w:p w14:paraId="67F1DF69" w14:textId="15AD9E36" w:rsidR="002D6BAD" w:rsidRPr="0042463B" w:rsidRDefault="008342F9" w:rsidP="00C607F2">
      <w:pPr>
        <w:pStyle w:val="Heading2"/>
        <w:widowControl/>
        <w:numPr>
          <w:ilvl w:val="0"/>
          <w:numId w:val="0"/>
        </w:numPr>
        <w:spacing w:after="120"/>
        <w:ind w:left="720"/>
      </w:pPr>
      <w:r w:rsidRPr="0042463B">
        <w:rPr>
          <w:u w:val="single"/>
        </w:rPr>
        <w:t>Phase I du plan de gestion de l’élimination des HCFC pour Bahreïn</w:t>
      </w:r>
    </w:p>
    <w:p w14:paraId="40A6E05E" w14:textId="599D70CD" w:rsidR="002D6BAD" w:rsidRPr="0042463B" w:rsidRDefault="004B7EE9" w:rsidP="00C607F2">
      <w:pPr>
        <w:pStyle w:val="Heading2"/>
        <w:widowControl/>
        <w:spacing w:after="120"/>
      </w:pPr>
      <w:r w:rsidRPr="0042463B">
        <w:t>De prendre note </w:t>
      </w:r>
      <w:r w:rsidR="002D6BAD" w:rsidRPr="0042463B">
        <w:t>:</w:t>
      </w:r>
    </w:p>
    <w:p w14:paraId="0542FA0A" w14:textId="5893A920" w:rsidR="0081552A" w:rsidRPr="0042463B" w:rsidRDefault="002D6BAD" w:rsidP="00C607F2">
      <w:pPr>
        <w:pStyle w:val="Heading3"/>
        <w:widowControl/>
        <w:spacing w:after="120"/>
      </w:pPr>
      <w:r w:rsidRPr="0042463B">
        <w:t xml:space="preserve">Du rapport périodique sur la mise en œuvre de la troisième tranche de la phase I du plan de gestion de l’élimination des HCFC (PGEH) de Bahreïn; </w:t>
      </w:r>
    </w:p>
    <w:p w14:paraId="276398C8" w14:textId="789B4DDB" w:rsidR="0081552A" w:rsidRPr="0042463B" w:rsidRDefault="0081552A" w:rsidP="00C607F2">
      <w:pPr>
        <w:pStyle w:val="Heading3"/>
        <w:widowControl/>
        <w:spacing w:after="120"/>
      </w:pPr>
      <w:r w:rsidRPr="0042463B">
        <w:lastRenderedPageBreak/>
        <w:t xml:space="preserve">De la demande du gouvernement de Bahreïn d’annuler la quatrième tranche de la phase I du PGEH; </w:t>
      </w:r>
    </w:p>
    <w:p w14:paraId="32E8FE35" w14:textId="614B1561" w:rsidR="0081552A" w:rsidRPr="0042463B" w:rsidRDefault="0081552A" w:rsidP="00C607F2">
      <w:pPr>
        <w:pStyle w:val="Heading3"/>
        <w:widowControl/>
        <w:spacing w:after="120"/>
      </w:pPr>
      <w:r w:rsidRPr="0042463B">
        <w:t>Que le Secrétariat du Fonds a actualisé l’Accord révisé à jour entre le gouvernement de Bahreïn et le Comité exécutif, joint à l’annexe I du présent document, en particulier l’Appendice 2-A, en fonction du niveau de financement révisé découlant de l’annulation de la quatrième et dernière tranche, et que le paragraphe 16 a été mis à jour en vue d’indiquer que l’Accord révisé actualisé remplace l’Accord approuvé à la 84</w:t>
      </w:r>
      <w:r w:rsidRPr="0042463B">
        <w:rPr>
          <w:vertAlign w:val="superscript"/>
        </w:rPr>
        <w:t>e</w:t>
      </w:r>
      <w:r w:rsidRPr="0042463B">
        <w:t xml:space="preserve"> réunion;</w:t>
      </w:r>
    </w:p>
    <w:p w14:paraId="2F6D1105" w14:textId="1E60832E" w:rsidR="0081552A" w:rsidRPr="0042463B" w:rsidRDefault="0081552A" w:rsidP="008342F9">
      <w:pPr>
        <w:pStyle w:val="Heading2"/>
      </w:pPr>
      <w:r w:rsidRPr="0042463B">
        <w:t>De demander au gouvernement de Bahreïn, au PNUE et à l’ONUDI de présenter un rapport périodique sur la mise en œuvre du programme des travaux associés à la troisième tranche et le rapport d’achèvement de projet à la 90</w:t>
      </w:r>
      <w:r w:rsidRPr="0042463B">
        <w:rPr>
          <w:vertAlign w:val="superscript"/>
        </w:rPr>
        <w:t>e</w:t>
      </w:r>
      <w:r w:rsidRPr="0042463B">
        <w:t xml:space="preserve"> réunion; et de renvoyer le solde des fonds restants de la phase I du PGEH à la 91</w:t>
      </w:r>
      <w:r w:rsidRPr="0042463B">
        <w:rPr>
          <w:vertAlign w:val="superscript"/>
        </w:rPr>
        <w:t>e</w:t>
      </w:r>
      <w:r w:rsidRPr="0042463B">
        <w:t xml:space="preserve"> réunion;</w:t>
      </w:r>
    </w:p>
    <w:p w14:paraId="23E371EE" w14:textId="11A2D994" w:rsidR="00EB31E3" w:rsidRPr="0042463B" w:rsidRDefault="008342F9" w:rsidP="00752B09">
      <w:pPr>
        <w:pStyle w:val="Heading2"/>
        <w:keepNext/>
        <w:keepLines/>
        <w:numPr>
          <w:ilvl w:val="0"/>
          <w:numId w:val="0"/>
        </w:numPr>
        <w:ind w:left="720"/>
      </w:pPr>
      <w:r w:rsidRPr="0042463B">
        <w:rPr>
          <w:u w:val="single"/>
        </w:rPr>
        <w:t>Phase II du plan de gestion de l’élimination des HCFC pour Bahreïn</w:t>
      </w:r>
    </w:p>
    <w:p w14:paraId="679674FA" w14:textId="4B004128" w:rsidR="00EB31E3" w:rsidRPr="0042463B" w:rsidRDefault="00C032F3" w:rsidP="00752B09">
      <w:pPr>
        <w:pStyle w:val="Heading2"/>
        <w:keepNext/>
        <w:keepLines/>
      </w:pPr>
      <w:r w:rsidRPr="0042463B">
        <w:t xml:space="preserve">D’approuver, en principe, la phase II du PGEH de Bahreïn pour la période de 2021 à 2025 afin de réduire la consommation de HCFC de 73,5 pour cent par rapport à la consommation de référence du pays, pour un montant de 732 449 $ US, soit 384 000 $ US, plus les coûts d’appui d’agence de 49 920 $ US pour le PNUE, et 278 999 $ US, plus les coûts d’appui d’agence de 19 530 $ US pour l’ONUDI; </w:t>
      </w:r>
    </w:p>
    <w:p w14:paraId="378B2511" w14:textId="77777777" w:rsidR="005744E8" w:rsidRPr="0042463B" w:rsidRDefault="00C032F3" w:rsidP="0081552A">
      <w:pPr>
        <w:pStyle w:val="Heading2"/>
        <w:numPr>
          <w:ilvl w:val="1"/>
          <w:numId w:val="1"/>
        </w:numPr>
      </w:pPr>
      <w:r w:rsidRPr="0042463B">
        <w:t>De prendre note de l’engagement du gouvernement de Bahreïn à :</w:t>
      </w:r>
    </w:p>
    <w:p w14:paraId="1457EF1B" w14:textId="08B030D3" w:rsidR="005744E8" w:rsidRPr="0042463B" w:rsidRDefault="005744E8" w:rsidP="005744E8">
      <w:pPr>
        <w:pStyle w:val="Heading3"/>
      </w:pPr>
      <w:r w:rsidRPr="0042463B">
        <w:t xml:space="preserve">Réduire la consommation de HCFC </w:t>
      </w:r>
      <w:r w:rsidR="00234773" w:rsidRPr="0042463B">
        <w:t xml:space="preserve">de </w:t>
      </w:r>
      <w:r w:rsidRPr="0042463B">
        <w:t>73,5 pour cent de la valeur de référence du pays avant 2025;</w:t>
      </w:r>
    </w:p>
    <w:p w14:paraId="12127988" w14:textId="6A4DB95C" w:rsidR="00B91F71" w:rsidRPr="0042463B" w:rsidRDefault="005744E8" w:rsidP="00AF66A7">
      <w:pPr>
        <w:pStyle w:val="Heading3"/>
      </w:pPr>
      <w:r w:rsidRPr="0042463B">
        <w:t xml:space="preserve">Prohiber l’importation et l’utilisation du HCFC-141b contenu dans les polyols </w:t>
      </w:r>
      <w:proofErr w:type="spellStart"/>
      <w:r w:rsidRPr="0042463B">
        <w:t>prémélangés</w:t>
      </w:r>
      <w:proofErr w:type="spellEnd"/>
      <w:r w:rsidRPr="0042463B">
        <w:t>, ainsi que l’importation et la fabrication d’appareils de climatisation fonctionnant au HCFC-22 à partir du 1</w:t>
      </w:r>
      <w:r w:rsidRPr="0042463B">
        <w:rPr>
          <w:vertAlign w:val="superscript"/>
        </w:rPr>
        <w:t>er</w:t>
      </w:r>
      <w:r w:rsidRPr="0042463B">
        <w:t> janvier 2025;</w:t>
      </w:r>
    </w:p>
    <w:p w14:paraId="69CD20A8" w14:textId="19C06E68" w:rsidR="00EB31E3" w:rsidRPr="0042463B" w:rsidRDefault="00C032F3" w:rsidP="00EB31E3">
      <w:pPr>
        <w:widowControl w:val="0"/>
        <w:numPr>
          <w:ilvl w:val="1"/>
          <w:numId w:val="1"/>
        </w:numPr>
        <w:spacing w:after="240"/>
        <w:outlineLvl w:val="1"/>
      </w:pPr>
      <w:r w:rsidRPr="0042463B">
        <w:t xml:space="preserve">De déduire 40,61 tonnes PAO de HCFC de la consommation restante de HCFC admissible au financement; </w:t>
      </w:r>
    </w:p>
    <w:p w14:paraId="7D6ACD74" w14:textId="77777777" w:rsidR="008F3697" w:rsidRPr="0042463B" w:rsidRDefault="00C713B2" w:rsidP="008F3697">
      <w:pPr>
        <w:widowControl w:val="0"/>
        <w:numPr>
          <w:ilvl w:val="1"/>
          <w:numId w:val="1"/>
        </w:numPr>
        <w:spacing w:after="240"/>
        <w:outlineLvl w:val="1"/>
      </w:pPr>
      <w:r w:rsidRPr="0042463B">
        <w:t>D’approuver le projet d’Accord entre le gouvernement de Bahreïn et le Comité exécutif pour la réduction de la consommation des HCFC, conformément à la phase II du PGEH figurant à l’Annexe II du présent document;</w:t>
      </w:r>
    </w:p>
    <w:p w14:paraId="0558E816" w14:textId="15E5786D" w:rsidR="00EB31E3" w:rsidRPr="0042463B" w:rsidRDefault="00C713B2" w:rsidP="00370A65">
      <w:pPr>
        <w:pStyle w:val="Heading2"/>
      </w:pPr>
      <w:r w:rsidRPr="0042463B">
        <w:t>D’approuver la première tranche de la phase II du PGEH pour Bahreïn, et le plan de mise en œuvre correspondant, au montant de 500 214 $ US, soit 249 500 $ US, plus les coûts d’appui d’agence de 32 435 $ US pour le PNUE, et de 203 999 $ US, plus les coûts d’appui d’agence de 14 280 $ US pour l’ONUDI.</w:t>
      </w:r>
    </w:p>
    <w:p w14:paraId="149DA737" w14:textId="77777777" w:rsidR="00515F4D" w:rsidRPr="0042463B" w:rsidRDefault="00515F4D" w:rsidP="004E7F9C"/>
    <w:p w14:paraId="7F24AD76" w14:textId="77777777" w:rsidR="00515F4D" w:rsidRPr="0042463B" w:rsidRDefault="00515F4D" w:rsidP="004E7F9C">
      <w:pPr>
        <w:sectPr w:rsidR="00515F4D" w:rsidRPr="0042463B" w:rsidSect="00896234">
          <w:headerReference w:type="even" r:id="rId12"/>
          <w:headerReference w:type="default" r:id="rId13"/>
          <w:footerReference w:type="even" r:id="rId14"/>
          <w:footerReference w:type="default" r:id="rId15"/>
          <w:headerReference w:type="first" r:id="rId16"/>
          <w:footerReference w:type="first" r:id="rId17"/>
          <w:pgSz w:w="12240" w:h="15840" w:code="1"/>
          <w:pgMar w:top="720" w:right="1440" w:bottom="864" w:left="1440" w:header="720" w:footer="475" w:gutter="0"/>
          <w:cols w:space="720"/>
          <w:titlePg/>
        </w:sectPr>
      </w:pPr>
    </w:p>
    <w:p w14:paraId="123083B8" w14:textId="2F81E9D5" w:rsidR="00DD6746" w:rsidRPr="0042463B" w:rsidRDefault="00DD6746" w:rsidP="00DD6746">
      <w:pPr>
        <w:jc w:val="center"/>
        <w:rPr>
          <w:b/>
          <w:lang w:val="fr-FR"/>
        </w:rPr>
      </w:pPr>
      <w:r w:rsidRPr="0042463B">
        <w:rPr>
          <w:b/>
          <w:lang w:val="fr-FR"/>
        </w:rPr>
        <w:lastRenderedPageBreak/>
        <w:t>Annexe I</w:t>
      </w:r>
    </w:p>
    <w:p w14:paraId="25F45C35" w14:textId="77777777" w:rsidR="00DD6746" w:rsidRPr="0042463B" w:rsidRDefault="00DD6746" w:rsidP="00DD6746">
      <w:pPr>
        <w:jc w:val="center"/>
        <w:rPr>
          <w:b/>
          <w:lang w:val="fr-FR"/>
        </w:rPr>
      </w:pPr>
    </w:p>
    <w:p w14:paraId="6A39E26A" w14:textId="46892B33" w:rsidR="00DD6746" w:rsidRPr="0042463B" w:rsidRDefault="00DD6746" w:rsidP="00DD6746">
      <w:pPr>
        <w:jc w:val="center"/>
        <w:rPr>
          <w:b/>
          <w:lang w:val="fr-FR"/>
        </w:rPr>
      </w:pPr>
      <w:r w:rsidRPr="0042463B">
        <w:rPr>
          <w:b/>
          <w:lang w:val="fr-FR"/>
        </w:rPr>
        <w:t xml:space="preserve">TEXTE À INCLURE DANS L’ACCORD RÉVISÉ MIS À JOUR ENTRE LE GOUVERNEMENT </w:t>
      </w:r>
      <w:r w:rsidRPr="0042463B">
        <w:rPr>
          <w:b/>
        </w:rPr>
        <w:t>DU ROYAUME DE BAHREÏN</w:t>
      </w:r>
      <w:r w:rsidRPr="0042463B">
        <w:rPr>
          <w:b/>
          <w:lang w:val="fr-FR"/>
        </w:rPr>
        <w:t xml:space="preserve"> ET LE COMITÉ EXÉCUTIF DU FONDS MULTILATÉRAL POUR LA RÉDUCTION DE LA CONSOMMATION DES HYDROCHLOROFLUOROCARBURES </w:t>
      </w:r>
    </w:p>
    <w:p w14:paraId="174B2769" w14:textId="3F30348C" w:rsidR="00DD6746" w:rsidRPr="0042463B" w:rsidRDefault="00DD6746" w:rsidP="00DD6746">
      <w:pPr>
        <w:jc w:val="center"/>
        <w:rPr>
          <w:b/>
          <w:lang w:val="fr-FR"/>
        </w:rPr>
      </w:pPr>
    </w:p>
    <w:p w14:paraId="375CBC1C" w14:textId="235B0E22" w:rsidR="00DD6746" w:rsidRPr="0042463B" w:rsidRDefault="00DD6746" w:rsidP="00DD6746">
      <w:pPr>
        <w:jc w:val="center"/>
        <w:rPr>
          <w:bCs/>
          <w:lang w:val="fr-FR"/>
        </w:rPr>
      </w:pPr>
      <w:r w:rsidRPr="0042463B">
        <w:rPr>
          <w:bCs/>
          <w:lang w:val="fr-FR"/>
        </w:rPr>
        <w:t>(Les changements pertinents apparaissent en caractère gras)</w:t>
      </w:r>
    </w:p>
    <w:p w14:paraId="49AFDBAB" w14:textId="77777777" w:rsidR="00DD6746" w:rsidRPr="0042463B" w:rsidRDefault="00DD6746" w:rsidP="00DD6746">
      <w:pPr>
        <w:jc w:val="center"/>
        <w:rPr>
          <w:bCs/>
          <w:lang w:val="fr-FR"/>
        </w:rPr>
      </w:pPr>
    </w:p>
    <w:p w14:paraId="7A8AFCD2" w14:textId="66A773AF" w:rsidR="00DD6746" w:rsidRPr="0042463B" w:rsidRDefault="00DD6746" w:rsidP="00DD6746">
      <w:pPr>
        <w:pStyle w:val="Heading1"/>
        <w:numPr>
          <w:ilvl w:val="0"/>
          <w:numId w:val="50"/>
        </w:numPr>
        <w:rPr>
          <w:bCs/>
          <w:lang w:val="fr-FR"/>
        </w:rPr>
      </w:pPr>
      <w:r w:rsidRPr="0042463B">
        <w:rPr>
          <w:bCs/>
          <w:lang w:val="fr-FR"/>
        </w:rPr>
        <w:t xml:space="preserve">Le présent accord révisé mis à jour remplace l’Accord conclu entre le Gouvernement du </w:t>
      </w:r>
      <w:r w:rsidR="00622781" w:rsidRPr="0042463B">
        <w:rPr>
          <w:bCs/>
          <w:lang w:val="fr-FR"/>
        </w:rPr>
        <w:t>Bahreïn</w:t>
      </w:r>
      <w:r w:rsidRPr="0042463B">
        <w:rPr>
          <w:bCs/>
          <w:lang w:val="fr-FR"/>
        </w:rPr>
        <w:t xml:space="preserve"> et le Comité exécutif approuvé à la </w:t>
      </w:r>
      <w:r w:rsidRPr="0042463B">
        <w:rPr>
          <w:b/>
          <w:lang w:val="fr-FR"/>
        </w:rPr>
        <w:t>84</w:t>
      </w:r>
      <w:r w:rsidRPr="0042463B">
        <w:rPr>
          <w:b/>
          <w:vertAlign w:val="superscript"/>
          <w:lang w:val="fr-FR"/>
        </w:rPr>
        <w:t>e</w:t>
      </w:r>
      <w:r w:rsidRPr="0042463B">
        <w:rPr>
          <w:bCs/>
          <w:lang w:val="fr-FR"/>
        </w:rPr>
        <w:t xml:space="preserve"> réunion du Comité exécutif.</w:t>
      </w:r>
    </w:p>
    <w:p w14:paraId="38307FDF" w14:textId="77777777" w:rsidR="00C62E1A" w:rsidRPr="0042463B" w:rsidRDefault="00C62E1A" w:rsidP="00F4405C">
      <w:pPr>
        <w:jc w:val="center"/>
        <w:rPr>
          <w:b/>
        </w:rPr>
      </w:pPr>
    </w:p>
    <w:p w14:paraId="61AF0DC2" w14:textId="521C1DEC" w:rsidR="007E6515" w:rsidRPr="0042463B" w:rsidRDefault="007E6515" w:rsidP="007E6515">
      <w:pPr>
        <w:keepNext/>
        <w:keepLines/>
        <w:rPr>
          <w:b/>
        </w:rPr>
      </w:pPr>
      <w:r w:rsidRPr="0042463B">
        <w:rPr>
          <w:b/>
        </w:rPr>
        <w:t>APPENDICE 2-A : LES OBJECTIFS ET LE FINANCEMENT</w:t>
      </w:r>
    </w:p>
    <w:p w14:paraId="1BB4BDE1" w14:textId="77777777" w:rsidR="007E6515" w:rsidRPr="0042463B" w:rsidRDefault="007E6515" w:rsidP="007E6515">
      <w:pPr>
        <w:keepNext/>
        <w:keepLines/>
        <w:rPr>
          <w:b/>
        </w:rPr>
      </w:pPr>
    </w:p>
    <w:tbl>
      <w:tblPr>
        <w:tblW w:w="5099" w:type="pct"/>
        <w:tblLayout w:type="fixed"/>
        <w:tblLook w:val="04A0" w:firstRow="1" w:lastRow="0" w:firstColumn="1" w:lastColumn="0" w:noHBand="0" w:noVBand="1"/>
      </w:tblPr>
      <w:tblGrid>
        <w:gridCol w:w="583"/>
        <w:gridCol w:w="1933"/>
        <w:gridCol w:w="678"/>
        <w:gridCol w:w="681"/>
        <w:gridCol w:w="681"/>
        <w:gridCol w:w="681"/>
        <w:gridCol w:w="679"/>
        <w:gridCol w:w="681"/>
        <w:gridCol w:w="681"/>
        <w:gridCol w:w="681"/>
        <w:gridCol w:w="685"/>
        <w:gridCol w:w="891"/>
      </w:tblGrid>
      <w:tr w:rsidR="00154084" w:rsidRPr="0042463B" w14:paraId="6E3BD854" w14:textId="77777777" w:rsidTr="00154084">
        <w:trPr>
          <w:tblHeader/>
        </w:trPr>
        <w:tc>
          <w:tcPr>
            <w:tcW w:w="306" w:type="pc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hideMark/>
          </w:tcPr>
          <w:p w14:paraId="2687582B" w14:textId="0508B2B5" w:rsidR="00154084" w:rsidRPr="0042463B" w:rsidRDefault="00154084" w:rsidP="00154084">
            <w:pPr>
              <w:jc w:val="left"/>
              <w:rPr>
                <w:b/>
                <w:bCs/>
                <w:sz w:val="19"/>
                <w:szCs w:val="19"/>
              </w:rPr>
            </w:pPr>
            <w:r w:rsidRPr="0042463B">
              <w:rPr>
                <w:b/>
                <w:bCs/>
                <w:sz w:val="18"/>
                <w:szCs w:val="18"/>
              </w:rPr>
              <w:t>Ligne</w:t>
            </w:r>
          </w:p>
        </w:tc>
        <w:tc>
          <w:tcPr>
            <w:tcW w:w="1014" w:type="pct"/>
            <w:tcBorders>
              <w:top w:val="single" w:sz="4" w:space="0" w:color="auto"/>
              <w:left w:val="nil"/>
              <w:bottom w:val="single" w:sz="4" w:space="0" w:color="auto"/>
              <w:right w:val="single" w:sz="4" w:space="0" w:color="auto"/>
            </w:tcBorders>
            <w:shd w:val="clear" w:color="auto" w:fill="auto"/>
            <w:hideMark/>
          </w:tcPr>
          <w:p w14:paraId="314E3680" w14:textId="0C59F1EC" w:rsidR="00154084" w:rsidRPr="0042463B" w:rsidRDefault="00154084" w:rsidP="00154084">
            <w:pPr>
              <w:jc w:val="center"/>
              <w:rPr>
                <w:b/>
                <w:bCs/>
                <w:sz w:val="19"/>
                <w:szCs w:val="19"/>
              </w:rPr>
            </w:pPr>
            <w:r w:rsidRPr="0042463B">
              <w:rPr>
                <w:b/>
                <w:bCs/>
                <w:sz w:val="18"/>
                <w:szCs w:val="18"/>
              </w:rPr>
              <w:t>Caractéristiques</w:t>
            </w:r>
          </w:p>
        </w:tc>
        <w:tc>
          <w:tcPr>
            <w:tcW w:w="356" w:type="pct"/>
            <w:tcBorders>
              <w:top w:val="single" w:sz="4" w:space="0" w:color="auto"/>
              <w:left w:val="nil"/>
              <w:bottom w:val="single" w:sz="4" w:space="0" w:color="auto"/>
              <w:right w:val="single" w:sz="4" w:space="0" w:color="auto"/>
            </w:tcBorders>
            <w:shd w:val="clear" w:color="auto" w:fill="auto"/>
            <w:hideMark/>
          </w:tcPr>
          <w:p w14:paraId="208D8DEA" w14:textId="77777777" w:rsidR="00154084" w:rsidRPr="0042463B" w:rsidRDefault="00154084" w:rsidP="00154084">
            <w:pPr>
              <w:jc w:val="center"/>
              <w:rPr>
                <w:b/>
                <w:bCs/>
                <w:sz w:val="19"/>
                <w:szCs w:val="19"/>
              </w:rPr>
            </w:pPr>
            <w:r w:rsidRPr="0042463B">
              <w:rPr>
                <w:b/>
                <w:bCs/>
                <w:sz w:val="19"/>
                <w:szCs w:val="19"/>
                <w:lang w:eastAsia="en-CA"/>
              </w:rPr>
              <w:t>2012</w:t>
            </w:r>
          </w:p>
        </w:tc>
        <w:tc>
          <w:tcPr>
            <w:tcW w:w="357" w:type="pct"/>
            <w:tcBorders>
              <w:top w:val="single" w:sz="4" w:space="0" w:color="auto"/>
              <w:left w:val="nil"/>
              <w:bottom w:val="single" w:sz="4" w:space="0" w:color="auto"/>
              <w:right w:val="single" w:sz="4" w:space="0" w:color="auto"/>
            </w:tcBorders>
            <w:shd w:val="clear" w:color="auto" w:fill="auto"/>
            <w:hideMark/>
          </w:tcPr>
          <w:p w14:paraId="718A136F" w14:textId="77777777" w:rsidR="00154084" w:rsidRPr="0042463B" w:rsidRDefault="00154084" w:rsidP="00154084">
            <w:pPr>
              <w:jc w:val="center"/>
              <w:rPr>
                <w:b/>
                <w:bCs/>
                <w:sz w:val="19"/>
                <w:szCs w:val="19"/>
              </w:rPr>
            </w:pPr>
            <w:r w:rsidRPr="0042463B">
              <w:rPr>
                <w:b/>
                <w:bCs/>
                <w:sz w:val="19"/>
                <w:szCs w:val="19"/>
                <w:lang w:eastAsia="en-CA"/>
              </w:rPr>
              <w:t>2013</w:t>
            </w:r>
          </w:p>
        </w:tc>
        <w:tc>
          <w:tcPr>
            <w:tcW w:w="357" w:type="pct"/>
            <w:tcBorders>
              <w:top w:val="single" w:sz="4" w:space="0" w:color="auto"/>
              <w:left w:val="nil"/>
              <w:bottom w:val="single" w:sz="4" w:space="0" w:color="auto"/>
              <w:right w:val="single" w:sz="4" w:space="0" w:color="auto"/>
            </w:tcBorders>
            <w:shd w:val="clear" w:color="auto" w:fill="auto"/>
            <w:hideMark/>
          </w:tcPr>
          <w:p w14:paraId="591889D3" w14:textId="77777777" w:rsidR="00154084" w:rsidRPr="0042463B" w:rsidRDefault="00154084" w:rsidP="00154084">
            <w:pPr>
              <w:jc w:val="center"/>
              <w:rPr>
                <w:b/>
                <w:bCs/>
                <w:sz w:val="19"/>
                <w:szCs w:val="19"/>
              </w:rPr>
            </w:pPr>
            <w:r w:rsidRPr="0042463B">
              <w:rPr>
                <w:b/>
                <w:bCs/>
                <w:sz w:val="19"/>
                <w:szCs w:val="19"/>
                <w:lang w:eastAsia="en-CA"/>
              </w:rPr>
              <w:t>2014</w:t>
            </w:r>
          </w:p>
        </w:tc>
        <w:tc>
          <w:tcPr>
            <w:tcW w:w="357" w:type="pct"/>
            <w:tcBorders>
              <w:top w:val="single" w:sz="4" w:space="0" w:color="auto"/>
              <w:left w:val="nil"/>
              <w:bottom w:val="single" w:sz="4" w:space="0" w:color="auto"/>
              <w:right w:val="single" w:sz="4" w:space="0" w:color="auto"/>
            </w:tcBorders>
            <w:shd w:val="clear" w:color="auto" w:fill="auto"/>
            <w:hideMark/>
          </w:tcPr>
          <w:p w14:paraId="1D6C5146" w14:textId="77777777" w:rsidR="00154084" w:rsidRPr="0042463B" w:rsidRDefault="00154084" w:rsidP="00154084">
            <w:pPr>
              <w:jc w:val="center"/>
              <w:rPr>
                <w:b/>
                <w:bCs/>
                <w:sz w:val="19"/>
                <w:szCs w:val="19"/>
              </w:rPr>
            </w:pPr>
            <w:r w:rsidRPr="0042463B">
              <w:rPr>
                <w:b/>
                <w:bCs/>
                <w:sz w:val="19"/>
                <w:szCs w:val="19"/>
                <w:lang w:eastAsia="en-CA"/>
              </w:rPr>
              <w:t>2015</w:t>
            </w:r>
          </w:p>
        </w:tc>
        <w:tc>
          <w:tcPr>
            <w:tcW w:w="356" w:type="pct"/>
            <w:tcBorders>
              <w:top w:val="single" w:sz="4" w:space="0" w:color="auto"/>
              <w:left w:val="nil"/>
              <w:bottom w:val="single" w:sz="4" w:space="0" w:color="auto"/>
              <w:right w:val="single" w:sz="4" w:space="0" w:color="auto"/>
            </w:tcBorders>
            <w:shd w:val="clear" w:color="auto" w:fill="auto"/>
            <w:hideMark/>
          </w:tcPr>
          <w:p w14:paraId="5F76BA4D" w14:textId="77777777" w:rsidR="00154084" w:rsidRPr="0042463B" w:rsidRDefault="00154084" w:rsidP="00154084">
            <w:pPr>
              <w:jc w:val="center"/>
              <w:rPr>
                <w:b/>
                <w:bCs/>
                <w:sz w:val="19"/>
                <w:szCs w:val="19"/>
              </w:rPr>
            </w:pPr>
            <w:r w:rsidRPr="0042463B">
              <w:rPr>
                <w:b/>
                <w:bCs/>
                <w:sz w:val="19"/>
                <w:szCs w:val="19"/>
                <w:lang w:eastAsia="en-CA"/>
              </w:rPr>
              <w:t>2016</w:t>
            </w:r>
          </w:p>
        </w:tc>
        <w:tc>
          <w:tcPr>
            <w:tcW w:w="357" w:type="pct"/>
            <w:tcBorders>
              <w:top w:val="single" w:sz="4" w:space="0" w:color="auto"/>
              <w:left w:val="nil"/>
              <w:bottom w:val="single" w:sz="4" w:space="0" w:color="auto"/>
              <w:right w:val="single" w:sz="4" w:space="0" w:color="auto"/>
            </w:tcBorders>
            <w:shd w:val="clear" w:color="auto" w:fill="auto"/>
            <w:hideMark/>
          </w:tcPr>
          <w:p w14:paraId="68D60DF0" w14:textId="77777777" w:rsidR="00154084" w:rsidRPr="0042463B" w:rsidRDefault="00154084" w:rsidP="00154084">
            <w:pPr>
              <w:jc w:val="center"/>
              <w:rPr>
                <w:b/>
                <w:bCs/>
                <w:sz w:val="19"/>
                <w:szCs w:val="19"/>
              </w:rPr>
            </w:pPr>
            <w:r w:rsidRPr="0042463B">
              <w:rPr>
                <w:b/>
                <w:bCs/>
                <w:sz w:val="19"/>
                <w:szCs w:val="19"/>
                <w:lang w:eastAsia="en-CA"/>
              </w:rPr>
              <w:t>2017</w:t>
            </w:r>
          </w:p>
        </w:tc>
        <w:tc>
          <w:tcPr>
            <w:tcW w:w="357" w:type="pct"/>
            <w:tcBorders>
              <w:top w:val="single" w:sz="4" w:space="0" w:color="auto"/>
              <w:left w:val="nil"/>
              <w:bottom w:val="single" w:sz="4" w:space="0" w:color="auto"/>
              <w:right w:val="single" w:sz="4" w:space="0" w:color="auto"/>
            </w:tcBorders>
            <w:shd w:val="clear" w:color="auto" w:fill="auto"/>
            <w:hideMark/>
          </w:tcPr>
          <w:p w14:paraId="76E19497" w14:textId="77777777" w:rsidR="00154084" w:rsidRPr="0042463B" w:rsidRDefault="00154084" w:rsidP="00154084">
            <w:pPr>
              <w:jc w:val="center"/>
              <w:rPr>
                <w:b/>
                <w:bCs/>
                <w:sz w:val="19"/>
                <w:szCs w:val="19"/>
              </w:rPr>
            </w:pPr>
            <w:r w:rsidRPr="0042463B">
              <w:rPr>
                <w:b/>
                <w:bCs/>
                <w:sz w:val="19"/>
                <w:szCs w:val="19"/>
                <w:lang w:eastAsia="en-CA"/>
              </w:rPr>
              <w:t>2018</w:t>
            </w:r>
          </w:p>
        </w:tc>
        <w:tc>
          <w:tcPr>
            <w:tcW w:w="357" w:type="pct"/>
            <w:tcBorders>
              <w:top w:val="single" w:sz="4" w:space="0" w:color="auto"/>
              <w:left w:val="nil"/>
              <w:bottom w:val="single" w:sz="4" w:space="0" w:color="auto"/>
              <w:right w:val="single" w:sz="4" w:space="0" w:color="auto"/>
            </w:tcBorders>
            <w:shd w:val="clear" w:color="auto" w:fill="auto"/>
            <w:hideMark/>
          </w:tcPr>
          <w:p w14:paraId="470E4DFB" w14:textId="77777777" w:rsidR="00154084" w:rsidRPr="0042463B" w:rsidRDefault="00154084" w:rsidP="00154084">
            <w:pPr>
              <w:jc w:val="center"/>
              <w:rPr>
                <w:b/>
                <w:bCs/>
                <w:sz w:val="19"/>
                <w:szCs w:val="19"/>
              </w:rPr>
            </w:pPr>
            <w:r w:rsidRPr="0042463B">
              <w:rPr>
                <w:b/>
                <w:bCs/>
                <w:sz w:val="19"/>
                <w:szCs w:val="19"/>
                <w:lang w:eastAsia="en-CA"/>
              </w:rPr>
              <w:t>2019</w:t>
            </w:r>
          </w:p>
        </w:tc>
        <w:tc>
          <w:tcPr>
            <w:tcW w:w="359" w:type="pct"/>
            <w:tcBorders>
              <w:top w:val="single" w:sz="4" w:space="0" w:color="auto"/>
              <w:left w:val="nil"/>
              <w:bottom w:val="single" w:sz="4" w:space="0" w:color="auto"/>
              <w:right w:val="single" w:sz="4" w:space="0" w:color="auto"/>
            </w:tcBorders>
            <w:shd w:val="clear" w:color="auto" w:fill="auto"/>
            <w:hideMark/>
          </w:tcPr>
          <w:p w14:paraId="0AD26A08" w14:textId="77777777" w:rsidR="00154084" w:rsidRPr="0042463B" w:rsidRDefault="00154084" w:rsidP="00154084">
            <w:pPr>
              <w:jc w:val="center"/>
              <w:rPr>
                <w:b/>
                <w:bCs/>
                <w:sz w:val="19"/>
                <w:szCs w:val="19"/>
              </w:rPr>
            </w:pPr>
            <w:r w:rsidRPr="0042463B">
              <w:rPr>
                <w:b/>
                <w:bCs/>
                <w:sz w:val="19"/>
                <w:szCs w:val="19"/>
                <w:lang w:eastAsia="en-CA"/>
              </w:rPr>
              <w:t>2020</w:t>
            </w:r>
          </w:p>
        </w:tc>
        <w:tc>
          <w:tcPr>
            <w:tcW w:w="467" w:type="pct"/>
            <w:tcBorders>
              <w:top w:val="single" w:sz="4" w:space="0" w:color="auto"/>
              <w:left w:val="nil"/>
              <w:bottom w:val="single" w:sz="4" w:space="0" w:color="auto"/>
              <w:right w:val="single" w:sz="4" w:space="0" w:color="auto"/>
            </w:tcBorders>
            <w:shd w:val="clear" w:color="auto" w:fill="auto"/>
            <w:noWrap/>
            <w:hideMark/>
          </w:tcPr>
          <w:p w14:paraId="453A7233" w14:textId="77777777" w:rsidR="00154084" w:rsidRPr="0042463B" w:rsidRDefault="00154084" w:rsidP="00154084">
            <w:pPr>
              <w:jc w:val="center"/>
              <w:rPr>
                <w:b/>
                <w:bCs/>
                <w:sz w:val="19"/>
                <w:szCs w:val="19"/>
              </w:rPr>
            </w:pPr>
            <w:r w:rsidRPr="0042463B">
              <w:rPr>
                <w:b/>
                <w:bCs/>
                <w:sz w:val="19"/>
                <w:szCs w:val="19"/>
                <w:lang w:eastAsia="en-CA"/>
              </w:rPr>
              <w:t>Total</w:t>
            </w:r>
          </w:p>
        </w:tc>
      </w:tr>
      <w:tr w:rsidR="00A326B2" w:rsidRPr="0042463B" w14:paraId="5D7C5B79" w14:textId="77777777" w:rsidTr="00154084">
        <w:tc>
          <w:tcPr>
            <w:tcW w:w="306" w:type="pct"/>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08E70B80" w14:textId="77777777" w:rsidR="00A326B2" w:rsidRPr="0042463B" w:rsidRDefault="00A326B2" w:rsidP="00A326B2">
            <w:pPr>
              <w:jc w:val="left"/>
              <w:rPr>
                <w:color w:val="000000"/>
                <w:sz w:val="19"/>
                <w:szCs w:val="19"/>
              </w:rPr>
            </w:pPr>
            <w:r w:rsidRPr="0042463B">
              <w:rPr>
                <w:color w:val="000000"/>
                <w:sz w:val="19"/>
                <w:szCs w:val="19"/>
                <w:lang w:eastAsia="en-CA"/>
              </w:rPr>
              <w:t>1.1</w:t>
            </w:r>
          </w:p>
        </w:tc>
        <w:tc>
          <w:tcPr>
            <w:tcW w:w="1014" w:type="pct"/>
            <w:tcBorders>
              <w:top w:val="nil"/>
              <w:left w:val="nil"/>
              <w:bottom w:val="single" w:sz="4" w:space="0" w:color="auto"/>
              <w:right w:val="single" w:sz="4" w:space="0" w:color="auto"/>
            </w:tcBorders>
            <w:shd w:val="clear" w:color="auto" w:fill="auto"/>
            <w:hideMark/>
          </w:tcPr>
          <w:p w14:paraId="22B0E014" w14:textId="65585D8F" w:rsidR="00A326B2" w:rsidRPr="0042463B" w:rsidRDefault="00A326B2" w:rsidP="00A326B2">
            <w:pPr>
              <w:ind w:right="-11"/>
              <w:jc w:val="left"/>
              <w:rPr>
                <w:color w:val="000000"/>
                <w:sz w:val="19"/>
                <w:szCs w:val="19"/>
              </w:rPr>
            </w:pPr>
            <w:r w:rsidRPr="0042463B">
              <w:rPr>
                <w:sz w:val="18"/>
                <w:szCs w:val="18"/>
              </w:rPr>
              <w:t>Calendrier de réduction des substances du groupe I de l’annexe C du Protocole de Montréal (tonnes PAO)</w:t>
            </w:r>
          </w:p>
        </w:tc>
        <w:tc>
          <w:tcPr>
            <w:tcW w:w="356" w:type="pct"/>
            <w:tcBorders>
              <w:top w:val="nil"/>
              <w:left w:val="nil"/>
              <w:bottom w:val="single" w:sz="4" w:space="0" w:color="auto"/>
              <w:right w:val="single" w:sz="4" w:space="0" w:color="auto"/>
            </w:tcBorders>
            <w:shd w:val="clear" w:color="auto" w:fill="auto"/>
            <w:noWrap/>
            <w:tcMar>
              <w:left w:w="14" w:type="dxa"/>
              <w:right w:w="29" w:type="dxa"/>
            </w:tcMar>
            <w:hideMark/>
          </w:tcPr>
          <w:p w14:paraId="76912A0B" w14:textId="27BAF399" w:rsidR="00A326B2" w:rsidRPr="0042463B" w:rsidRDefault="00A326B2" w:rsidP="00A326B2">
            <w:pPr>
              <w:jc w:val="right"/>
              <w:rPr>
                <w:color w:val="000000"/>
                <w:sz w:val="19"/>
                <w:szCs w:val="19"/>
              </w:rPr>
            </w:pPr>
            <w:r w:rsidRPr="0042463B">
              <w:rPr>
                <w:color w:val="000000"/>
                <w:sz w:val="19"/>
                <w:szCs w:val="19"/>
                <w:lang w:eastAsia="en-CA"/>
              </w:rPr>
              <w:t>n/</w:t>
            </w:r>
            <w:r w:rsidR="003C5E79" w:rsidRPr="0042463B">
              <w:rPr>
                <w:color w:val="000000"/>
                <w:sz w:val="19"/>
                <w:szCs w:val="19"/>
                <w:lang w:eastAsia="en-CA"/>
              </w:rPr>
              <w:t>d</w:t>
            </w:r>
          </w:p>
        </w:tc>
        <w:tc>
          <w:tcPr>
            <w:tcW w:w="357" w:type="pct"/>
            <w:tcBorders>
              <w:top w:val="nil"/>
              <w:left w:val="nil"/>
              <w:bottom w:val="single" w:sz="4" w:space="0" w:color="auto"/>
              <w:right w:val="single" w:sz="4" w:space="0" w:color="auto"/>
            </w:tcBorders>
            <w:shd w:val="clear" w:color="auto" w:fill="auto"/>
            <w:noWrap/>
            <w:tcMar>
              <w:left w:w="14" w:type="dxa"/>
              <w:right w:w="29" w:type="dxa"/>
            </w:tcMar>
            <w:hideMark/>
          </w:tcPr>
          <w:p w14:paraId="3A06CC7A" w14:textId="1698629C" w:rsidR="00A326B2" w:rsidRPr="0042463B" w:rsidRDefault="00A326B2" w:rsidP="00A326B2">
            <w:pPr>
              <w:jc w:val="right"/>
              <w:rPr>
                <w:color w:val="000000"/>
                <w:sz w:val="19"/>
                <w:szCs w:val="19"/>
              </w:rPr>
            </w:pPr>
            <w:r w:rsidRPr="0042463B">
              <w:rPr>
                <w:color w:val="000000"/>
                <w:sz w:val="19"/>
                <w:szCs w:val="19"/>
                <w:lang w:eastAsia="en-CA"/>
              </w:rPr>
              <w:t>51</w:t>
            </w:r>
            <w:r w:rsidR="007516F4">
              <w:rPr>
                <w:color w:val="000000"/>
                <w:sz w:val="19"/>
                <w:szCs w:val="19"/>
                <w:lang w:eastAsia="en-CA"/>
              </w:rPr>
              <w:t>,</w:t>
            </w:r>
            <w:r w:rsidRPr="0042463B">
              <w:rPr>
                <w:color w:val="000000"/>
                <w:sz w:val="19"/>
                <w:szCs w:val="19"/>
                <w:lang w:eastAsia="en-CA"/>
              </w:rPr>
              <w:t>90</w:t>
            </w:r>
          </w:p>
        </w:tc>
        <w:tc>
          <w:tcPr>
            <w:tcW w:w="357" w:type="pct"/>
            <w:tcBorders>
              <w:top w:val="nil"/>
              <w:left w:val="nil"/>
              <w:bottom w:val="single" w:sz="4" w:space="0" w:color="auto"/>
              <w:right w:val="single" w:sz="4" w:space="0" w:color="auto"/>
            </w:tcBorders>
            <w:shd w:val="clear" w:color="auto" w:fill="auto"/>
            <w:noWrap/>
            <w:tcMar>
              <w:left w:w="14" w:type="dxa"/>
              <w:right w:w="29" w:type="dxa"/>
            </w:tcMar>
            <w:hideMark/>
          </w:tcPr>
          <w:p w14:paraId="31DF2E20" w14:textId="32018CFD" w:rsidR="00A326B2" w:rsidRPr="0042463B" w:rsidRDefault="00A326B2" w:rsidP="00A326B2">
            <w:pPr>
              <w:jc w:val="right"/>
              <w:rPr>
                <w:color w:val="000000"/>
                <w:sz w:val="19"/>
                <w:szCs w:val="19"/>
              </w:rPr>
            </w:pPr>
            <w:r w:rsidRPr="0042463B">
              <w:rPr>
                <w:color w:val="000000"/>
                <w:sz w:val="19"/>
                <w:szCs w:val="19"/>
                <w:lang w:eastAsia="en-CA"/>
              </w:rPr>
              <w:t>51</w:t>
            </w:r>
            <w:r w:rsidR="007516F4">
              <w:rPr>
                <w:color w:val="000000"/>
                <w:sz w:val="19"/>
                <w:szCs w:val="19"/>
                <w:lang w:eastAsia="en-CA"/>
              </w:rPr>
              <w:t>,</w:t>
            </w:r>
            <w:r w:rsidRPr="0042463B">
              <w:rPr>
                <w:color w:val="000000"/>
                <w:sz w:val="19"/>
                <w:szCs w:val="19"/>
                <w:lang w:eastAsia="en-CA"/>
              </w:rPr>
              <w:t>90</w:t>
            </w:r>
          </w:p>
        </w:tc>
        <w:tc>
          <w:tcPr>
            <w:tcW w:w="357" w:type="pct"/>
            <w:tcBorders>
              <w:top w:val="nil"/>
              <w:left w:val="nil"/>
              <w:bottom w:val="single" w:sz="4" w:space="0" w:color="auto"/>
              <w:right w:val="single" w:sz="4" w:space="0" w:color="auto"/>
            </w:tcBorders>
            <w:shd w:val="clear" w:color="auto" w:fill="auto"/>
            <w:noWrap/>
            <w:tcMar>
              <w:left w:w="14" w:type="dxa"/>
              <w:right w:w="29" w:type="dxa"/>
            </w:tcMar>
            <w:hideMark/>
          </w:tcPr>
          <w:p w14:paraId="59F9583E" w14:textId="6158D7D5" w:rsidR="00A326B2" w:rsidRPr="0042463B" w:rsidRDefault="00A326B2" w:rsidP="00A326B2">
            <w:pPr>
              <w:jc w:val="right"/>
              <w:rPr>
                <w:color w:val="000000"/>
                <w:sz w:val="19"/>
                <w:szCs w:val="19"/>
              </w:rPr>
            </w:pPr>
            <w:r w:rsidRPr="0042463B">
              <w:rPr>
                <w:color w:val="000000"/>
                <w:sz w:val="19"/>
                <w:szCs w:val="19"/>
                <w:lang w:eastAsia="en-CA"/>
              </w:rPr>
              <w:t>46</w:t>
            </w:r>
            <w:r w:rsidR="007516F4">
              <w:rPr>
                <w:color w:val="000000"/>
                <w:sz w:val="19"/>
                <w:szCs w:val="19"/>
                <w:lang w:eastAsia="en-CA"/>
              </w:rPr>
              <w:t>,</w:t>
            </w:r>
            <w:r w:rsidRPr="0042463B">
              <w:rPr>
                <w:color w:val="000000"/>
                <w:sz w:val="19"/>
                <w:szCs w:val="19"/>
                <w:lang w:eastAsia="en-CA"/>
              </w:rPr>
              <w:t>71</w:t>
            </w:r>
          </w:p>
        </w:tc>
        <w:tc>
          <w:tcPr>
            <w:tcW w:w="356" w:type="pct"/>
            <w:tcBorders>
              <w:top w:val="nil"/>
              <w:left w:val="nil"/>
              <w:bottom w:val="single" w:sz="4" w:space="0" w:color="auto"/>
              <w:right w:val="single" w:sz="4" w:space="0" w:color="auto"/>
            </w:tcBorders>
            <w:shd w:val="clear" w:color="auto" w:fill="auto"/>
            <w:noWrap/>
            <w:tcMar>
              <w:left w:w="14" w:type="dxa"/>
              <w:right w:w="29" w:type="dxa"/>
            </w:tcMar>
            <w:hideMark/>
          </w:tcPr>
          <w:p w14:paraId="4DBB1B76" w14:textId="12E6A9DF" w:rsidR="00A326B2" w:rsidRPr="0042463B" w:rsidRDefault="00A326B2" w:rsidP="00A326B2">
            <w:pPr>
              <w:jc w:val="right"/>
              <w:rPr>
                <w:color w:val="000000"/>
                <w:sz w:val="19"/>
                <w:szCs w:val="19"/>
              </w:rPr>
            </w:pPr>
            <w:r w:rsidRPr="0042463B">
              <w:rPr>
                <w:color w:val="000000"/>
                <w:sz w:val="19"/>
                <w:szCs w:val="19"/>
                <w:lang w:eastAsia="en-CA"/>
              </w:rPr>
              <w:t>46</w:t>
            </w:r>
            <w:r w:rsidR="007516F4">
              <w:rPr>
                <w:color w:val="000000"/>
                <w:sz w:val="19"/>
                <w:szCs w:val="19"/>
                <w:lang w:eastAsia="en-CA"/>
              </w:rPr>
              <w:t>,</w:t>
            </w:r>
            <w:r w:rsidRPr="0042463B">
              <w:rPr>
                <w:color w:val="000000"/>
                <w:sz w:val="19"/>
                <w:szCs w:val="19"/>
                <w:lang w:eastAsia="en-CA"/>
              </w:rPr>
              <w:t>71</w:t>
            </w:r>
          </w:p>
        </w:tc>
        <w:tc>
          <w:tcPr>
            <w:tcW w:w="357" w:type="pct"/>
            <w:tcBorders>
              <w:top w:val="nil"/>
              <w:left w:val="nil"/>
              <w:bottom w:val="single" w:sz="4" w:space="0" w:color="auto"/>
              <w:right w:val="single" w:sz="4" w:space="0" w:color="auto"/>
            </w:tcBorders>
            <w:shd w:val="clear" w:color="auto" w:fill="auto"/>
            <w:noWrap/>
            <w:tcMar>
              <w:left w:w="14" w:type="dxa"/>
              <w:right w:w="29" w:type="dxa"/>
            </w:tcMar>
            <w:hideMark/>
          </w:tcPr>
          <w:p w14:paraId="1E196F03" w14:textId="0F955D28" w:rsidR="00A326B2" w:rsidRPr="0042463B" w:rsidRDefault="00A326B2" w:rsidP="00A326B2">
            <w:pPr>
              <w:jc w:val="right"/>
              <w:rPr>
                <w:color w:val="000000"/>
                <w:sz w:val="19"/>
                <w:szCs w:val="19"/>
              </w:rPr>
            </w:pPr>
            <w:r w:rsidRPr="0042463B">
              <w:rPr>
                <w:color w:val="000000"/>
                <w:sz w:val="19"/>
                <w:szCs w:val="19"/>
                <w:lang w:eastAsia="en-CA"/>
              </w:rPr>
              <w:t>46</w:t>
            </w:r>
            <w:r w:rsidR="007516F4">
              <w:rPr>
                <w:color w:val="000000"/>
                <w:sz w:val="19"/>
                <w:szCs w:val="19"/>
                <w:lang w:eastAsia="en-CA"/>
              </w:rPr>
              <w:t>,</w:t>
            </w:r>
            <w:r w:rsidRPr="0042463B">
              <w:rPr>
                <w:color w:val="000000"/>
                <w:sz w:val="19"/>
                <w:szCs w:val="19"/>
                <w:lang w:eastAsia="en-CA"/>
              </w:rPr>
              <w:t>71</w:t>
            </w:r>
          </w:p>
        </w:tc>
        <w:tc>
          <w:tcPr>
            <w:tcW w:w="357" w:type="pct"/>
            <w:tcBorders>
              <w:top w:val="nil"/>
              <w:left w:val="nil"/>
              <w:bottom w:val="single" w:sz="4" w:space="0" w:color="auto"/>
              <w:right w:val="single" w:sz="4" w:space="0" w:color="auto"/>
            </w:tcBorders>
            <w:shd w:val="clear" w:color="auto" w:fill="auto"/>
            <w:noWrap/>
            <w:tcMar>
              <w:left w:w="14" w:type="dxa"/>
              <w:right w:w="29" w:type="dxa"/>
            </w:tcMar>
            <w:hideMark/>
          </w:tcPr>
          <w:p w14:paraId="50C48434" w14:textId="1FF5C214" w:rsidR="00A326B2" w:rsidRPr="0042463B" w:rsidRDefault="00A326B2" w:rsidP="00A326B2">
            <w:pPr>
              <w:jc w:val="right"/>
              <w:rPr>
                <w:color w:val="000000"/>
                <w:sz w:val="19"/>
                <w:szCs w:val="19"/>
              </w:rPr>
            </w:pPr>
            <w:r w:rsidRPr="0042463B">
              <w:rPr>
                <w:color w:val="000000"/>
                <w:sz w:val="19"/>
                <w:szCs w:val="19"/>
                <w:lang w:eastAsia="en-CA"/>
              </w:rPr>
              <w:t>46</w:t>
            </w:r>
            <w:r w:rsidR="007516F4">
              <w:rPr>
                <w:color w:val="000000"/>
                <w:sz w:val="19"/>
                <w:szCs w:val="19"/>
                <w:lang w:eastAsia="en-CA"/>
              </w:rPr>
              <w:t>,</w:t>
            </w:r>
            <w:r w:rsidRPr="0042463B">
              <w:rPr>
                <w:color w:val="000000"/>
                <w:sz w:val="19"/>
                <w:szCs w:val="19"/>
                <w:lang w:eastAsia="en-CA"/>
              </w:rPr>
              <w:t>71</w:t>
            </w:r>
          </w:p>
        </w:tc>
        <w:tc>
          <w:tcPr>
            <w:tcW w:w="357" w:type="pct"/>
            <w:tcBorders>
              <w:top w:val="nil"/>
              <w:left w:val="nil"/>
              <w:bottom w:val="single" w:sz="4" w:space="0" w:color="auto"/>
              <w:right w:val="single" w:sz="4" w:space="0" w:color="auto"/>
            </w:tcBorders>
            <w:shd w:val="clear" w:color="auto" w:fill="auto"/>
            <w:noWrap/>
            <w:tcMar>
              <w:left w:w="14" w:type="dxa"/>
              <w:right w:w="29" w:type="dxa"/>
            </w:tcMar>
            <w:hideMark/>
          </w:tcPr>
          <w:p w14:paraId="1E10AEFC" w14:textId="0A7E0671" w:rsidR="00A326B2" w:rsidRPr="0042463B" w:rsidRDefault="00A326B2" w:rsidP="00A326B2">
            <w:pPr>
              <w:jc w:val="right"/>
              <w:rPr>
                <w:color w:val="000000"/>
                <w:sz w:val="19"/>
                <w:szCs w:val="19"/>
              </w:rPr>
            </w:pPr>
            <w:r w:rsidRPr="0042463B">
              <w:rPr>
                <w:color w:val="000000"/>
                <w:sz w:val="19"/>
                <w:szCs w:val="19"/>
                <w:lang w:eastAsia="en-CA"/>
              </w:rPr>
              <w:t>46</w:t>
            </w:r>
            <w:r w:rsidR="007516F4">
              <w:rPr>
                <w:color w:val="000000"/>
                <w:sz w:val="19"/>
                <w:szCs w:val="19"/>
                <w:lang w:eastAsia="en-CA"/>
              </w:rPr>
              <w:t>,</w:t>
            </w:r>
            <w:r w:rsidRPr="0042463B">
              <w:rPr>
                <w:color w:val="000000"/>
                <w:sz w:val="19"/>
                <w:szCs w:val="19"/>
                <w:lang w:eastAsia="en-CA"/>
              </w:rPr>
              <w:t>71</w:t>
            </w:r>
          </w:p>
        </w:tc>
        <w:tc>
          <w:tcPr>
            <w:tcW w:w="359" w:type="pct"/>
            <w:tcBorders>
              <w:top w:val="nil"/>
              <w:left w:val="nil"/>
              <w:bottom w:val="single" w:sz="4" w:space="0" w:color="auto"/>
              <w:right w:val="single" w:sz="4" w:space="0" w:color="auto"/>
            </w:tcBorders>
            <w:shd w:val="clear" w:color="auto" w:fill="auto"/>
            <w:noWrap/>
            <w:tcMar>
              <w:left w:w="14" w:type="dxa"/>
              <w:right w:w="29" w:type="dxa"/>
            </w:tcMar>
            <w:hideMark/>
          </w:tcPr>
          <w:p w14:paraId="0115C933" w14:textId="1B042BB8" w:rsidR="00A326B2" w:rsidRPr="0042463B" w:rsidRDefault="00A326B2" w:rsidP="00A326B2">
            <w:pPr>
              <w:jc w:val="right"/>
              <w:rPr>
                <w:color w:val="000000"/>
                <w:sz w:val="19"/>
                <w:szCs w:val="19"/>
              </w:rPr>
            </w:pPr>
            <w:r w:rsidRPr="0042463B">
              <w:rPr>
                <w:color w:val="000000"/>
                <w:sz w:val="19"/>
                <w:szCs w:val="19"/>
                <w:lang w:eastAsia="en-CA"/>
              </w:rPr>
              <w:t>33</w:t>
            </w:r>
            <w:r w:rsidR="007516F4">
              <w:rPr>
                <w:color w:val="000000"/>
                <w:sz w:val="19"/>
                <w:szCs w:val="19"/>
                <w:lang w:eastAsia="en-CA"/>
              </w:rPr>
              <w:t>,</w:t>
            </w:r>
            <w:r w:rsidRPr="0042463B">
              <w:rPr>
                <w:color w:val="000000"/>
                <w:sz w:val="19"/>
                <w:szCs w:val="19"/>
                <w:lang w:eastAsia="en-CA"/>
              </w:rPr>
              <w:t>74</w:t>
            </w:r>
          </w:p>
        </w:tc>
        <w:tc>
          <w:tcPr>
            <w:tcW w:w="467" w:type="pct"/>
            <w:tcBorders>
              <w:top w:val="nil"/>
              <w:left w:val="nil"/>
              <w:bottom w:val="single" w:sz="4" w:space="0" w:color="auto"/>
              <w:right w:val="single" w:sz="4" w:space="0" w:color="auto"/>
            </w:tcBorders>
            <w:shd w:val="clear" w:color="auto" w:fill="auto"/>
            <w:noWrap/>
            <w:tcMar>
              <w:left w:w="14" w:type="dxa"/>
              <w:right w:w="29" w:type="dxa"/>
            </w:tcMar>
            <w:hideMark/>
          </w:tcPr>
          <w:p w14:paraId="3BD4603A" w14:textId="398E7462" w:rsidR="00A326B2" w:rsidRPr="0042463B" w:rsidRDefault="00A326B2" w:rsidP="003C5E79">
            <w:pPr>
              <w:jc w:val="right"/>
              <w:rPr>
                <w:color w:val="000000"/>
                <w:sz w:val="19"/>
                <w:szCs w:val="19"/>
              </w:rPr>
            </w:pPr>
            <w:r w:rsidRPr="0042463B">
              <w:rPr>
                <w:color w:val="000000"/>
                <w:sz w:val="19"/>
                <w:szCs w:val="19"/>
                <w:lang w:eastAsia="en-CA"/>
              </w:rPr>
              <w:t>n/</w:t>
            </w:r>
            <w:r w:rsidR="003C5E79" w:rsidRPr="0042463B">
              <w:rPr>
                <w:color w:val="000000"/>
                <w:sz w:val="19"/>
                <w:szCs w:val="19"/>
                <w:lang w:eastAsia="en-CA"/>
              </w:rPr>
              <w:t>d</w:t>
            </w:r>
          </w:p>
        </w:tc>
      </w:tr>
      <w:tr w:rsidR="00A326B2" w:rsidRPr="0042463B" w14:paraId="5216922F" w14:textId="77777777" w:rsidTr="00154084">
        <w:tc>
          <w:tcPr>
            <w:tcW w:w="306" w:type="pct"/>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06CE246D" w14:textId="77777777" w:rsidR="00A326B2" w:rsidRPr="0042463B" w:rsidRDefault="00A326B2" w:rsidP="00A326B2">
            <w:pPr>
              <w:jc w:val="left"/>
              <w:rPr>
                <w:color w:val="000000"/>
                <w:sz w:val="19"/>
                <w:szCs w:val="19"/>
              </w:rPr>
            </w:pPr>
            <w:r w:rsidRPr="0042463B">
              <w:rPr>
                <w:color w:val="000000"/>
                <w:sz w:val="19"/>
                <w:szCs w:val="19"/>
                <w:lang w:eastAsia="en-CA"/>
              </w:rPr>
              <w:t>1.2</w:t>
            </w:r>
          </w:p>
        </w:tc>
        <w:tc>
          <w:tcPr>
            <w:tcW w:w="1014" w:type="pct"/>
            <w:tcBorders>
              <w:top w:val="nil"/>
              <w:left w:val="nil"/>
              <w:bottom w:val="single" w:sz="4" w:space="0" w:color="auto"/>
              <w:right w:val="single" w:sz="4" w:space="0" w:color="auto"/>
            </w:tcBorders>
            <w:shd w:val="clear" w:color="auto" w:fill="auto"/>
            <w:hideMark/>
          </w:tcPr>
          <w:p w14:paraId="2D58198E" w14:textId="42326486" w:rsidR="00A326B2" w:rsidRPr="0042463B" w:rsidRDefault="00A326B2" w:rsidP="00A326B2">
            <w:pPr>
              <w:jc w:val="left"/>
              <w:rPr>
                <w:color w:val="000000"/>
                <w:sz w:val="19"/>
                <w:szCs w:val="19"/>
              </w:rPr>
            </w:pPr>
            <w:r w:rsidRPr="0042463B">
              <w:rPr>
                <w:sz w:val="18"/>
                <w:szCs w:val="18"/>
              </w:rPr>
              <w:t>Consommation totale maximum autorisée des substances du groupe I de l’annexe C (tonnes PAO)</w:t>
            </w:r>
          </w:p>
        </w:tc>
        <w:tc>
          <w:tcPr>
            <w:tcW w:w="356" w:type="pct"/>
            <w:tcBorders>
              <w:top w:val="nil"/>
              <w:left w:val="nil"/>
              <w:bottom w:val="single" w:sz="4" w:space="0" w:color="auto"/>
              <w:right w:val="single" w:sz="4" w:space="0" w:color="auto"/>
            </w:tcBorders>
            <w:shd w:val="clear" w:color="auto" w:fill="auto"/>
            <w:noWrap/>
            <w:tcMar>
              <w:left w:w="14" w:type="dxa"/>
              <w:right w:w="29" w:type="dxa"/>
            </w:tcMar>
            <w:hideMark/>
          </w:tcPr>
          <w:p w14:paraId="27D919A8" w14:textId="5899111A" w:rsidR="00A326B2" w:rsidRPr="0042463B" w:rsidRDefault="00A326B2" w:rsidP="00A326B2">
            <w:pPr>
              <w:jc w:val="right"/>
              <w:rPr>
                <w:color w:val="000000"/>
                <w:sz w:val="19"/>
                <w:szCs w:val="19"/>
              </w:rPr>
            </w:pPr>
            <w:r w:rsidRPr="0042463B">
              <w:rPr>
                <w:color w:val="000000"/>
                <w:sz w:val="19"/>
                <w:szCs w:val="19"/>
                <w:lang w:eastAsia="en-CA"/>
              </w:rPr>
              <w:t>n/</w:t>
            </w:r>
            <w:r w:rsidR="003C5E79" w:rsidRPr="0042463B">
              <w:rPr>
                <w:color w:val="000000"/>
                <w:sz w:val="19"/>
                <w:szCs w:val="19"/>
                <w:lang w:eastAsia="en-CA"/>
              </w:rPr>
              <w:t>d</w:t>
            </w:r>
          </w:p>
        </w:tc>
        <w:tc>
          <w:tcPr>
            <w:tcW w:w="357" w:type="pct"/>
            <w:tcBorders>
              <w:top w:val="nil"/>
              <w:left w:val="nil"/>
              <w:bottom w:val="single" w:sz="4" w:space="0" w:color="auto"/>
              <w:right w:val="single" w:sz="4" w:space="0" w:color="auto"/>
            </w:tcBorders>
            <w:shd w:val="clear" w:color="auto" w:fill="auto"/>
            <w:noWrap/>
            <w:tcMar>
              <w:left w:w="14" w:type="dxa"/>
              <w:right w:w="29" w:type="dxa"/>
            </w:tcMar>
            <w:hideMark/>
          </w:tcPr>
          <w:p w14:paraId="4EB9F6EE" w14:textId="54B86EB7" w:rsidR="00A326B2" w:rsidRPr="0042463B" w:rsidRDefault="00A326B2" w:rsidP="00A326B2">
            <w:pPr>
              <w:jc w:val="right"/>
              <w:rPr>
                <w:color w:val="000000"/>
                <w:sz w:val="19"/>
                <w:szCs w:val="19"/>
              </w:rPr>
            </w:pPr>
            <w:r w:rsidRPr="0042463B">
              <w:rPr>
                <w:color w:val="000000"/>
                <w:sz w:val="19"/>
                <w:szCs w:val="19"/>
                <w:lang w:eastAsia="en-CA"/>
              </w:rPr>
              <w:t>51</w:t>
            </w:r>
            <w:r w:rsidR="007516F4">
              <w:rPr>
                <w:color w:val="000000"/>
                <w:sz w:val="19"/>
                <w:szCs w:val="19"/>
                <w:lang w:eastAsia="en-CA"/>
              </w:rPr>
              <w:t>,</w:t>
            </w:r>
            <w:r w:rsidRPr="0042463B">
              <w:rPr>
                <w:color w:val="000000"/>
                <w:sz w:val="19"/>
                <w:szCs w:val="19"/>
                <w:lang w:eastAsia="en-CA"/>
              </w:rPr>
              <w:t>77</w:t>
            </w:r>
          </w:p>
        </w:tc>
        <w:tc>
          <w:tcPr>
            <w:tcW w:w="357" w:type="pct"/>
            <w:tcBorders>
              <w:top w:val="nil"/>
              <w:left w:val="nil"/>
              <w:bottom w:val="single" w:sz="4" w:space="0" w:color="auto"/>
              <w:right w:val="single" w:sz="4" w:space="0" w:color="auto"/>
            </w:tcBorders>
            <w:shd w:val="clear" w:color="auto" w:fill="auto"/>
            <w:noWrap/>
            <w:tcMar>
              <w:left w:w="14" w:type="dxa"/>
              <w:right w:w="29" w:type="dxa"/>
            </w:tcMar>
            <w:hideMark/>
          </w:tcPr>
          <w:p w14:paraId="4F42EB71" w14:textId="34C0D4D7" w:rsidR="00A326B2" w:rsidRPr="0042463B" w:rsidRDefault="00A326B2" w:rsidP="00A326B2">
            <w:pPr>
              <w:jc w:val="right"/>
              <w:rPr>
                <w:color w:val="000000"/>
                <w:sz w:val="19"/>
                <w:szCs w:val="19"/>
              </w:rPr>
            </w:pPr>
            <w:r w:rsidRPr="0042463B">
              <w:rPr>
                <w:color w:val="000000"/>
                <w:sz w:val="19"/>
                <w:szCs w:val="19"/>
                <w:lang w:eastAsia="en-CA"/>
              </w:rPr>
              <w:t>51</w:t>
            </w:r>
            <w:r w:rsidR="007516F4">
              <w:rPr>
                <w:color w:val="000000"/>
                <w:sz w:val="19"/>
                <w:szCs w:val="19"/>
                <w:lang w:eastAsia="en-CA"/>
              </w:rPr>
              <w:t>,</w:t>
            </w:r>
            <w:r w:rsidRPr="0042463B">
              <w:rPr>
                <w:color w:val="000000"/>
                <w:sz w:val="19"/>
                <w:szCs w:val="19"/>
                <w:lang w:eastAsia="en-CA"/>
              </w:rPr>
              <w:t>77</w:t>
            </w:r>
          </w:p>
        </w:tc>
        <w:tc>
          <w:tcPr>
            <w:tcW w:w="357" w:type="pct"/>
            <w:tcBorders>
              <w:top w:val="nil"/>
              <w:left w:val="nil"/>
              <w:bottom w:val="single" w:sz="4" w:space="0" w:color="auto"/>
              <w:right w:val="single" w:sz="4" w:space="0" w:color="auto"/>
            </w:tcBorders>
            <w:shd w:val="clear" w:color="auto" w:fill="auto"/>
            <w:noWrap/>
            <w:tcMar>
              <w:left w:w="14" w:type="dxa"/>
              <w:right w:w="29" w:type="dxa"/>
            </w:tcMar>
            <w:hideMark/>
          </w:tcPr>
          <w:p w14:paraId="554F25DE" w14:textId="1C3D9667" w:rsidR="00A326B2" w:rsidRPr="0042463B" w:rsidRDefault="00A326B2" w:rsidP="00A326B2">
            <w:pPr>
              <w:jc w:val="right"/>
              <w:rPr>
                <w:color w:val="000000"/>
                <w:sz w:val="19"/>
                <w:szCs w:val="19"/>
              </w:rPr>
            </w:pPr>
            <w:r w:rsidRPr="0042463B">
              <w:rPr>
                <w:color w:val="000000"/>
                <w:sz w:val="19"/>
                <w:szCs w:val="19"/>
                <w:lang w:eastAsia="en-CA"/>
              </w:rPr>
              <w:t>46</w:t>
            </w:r>
            <w:r w:rsidR="007516F4">
              <w:rPr>
                <w:color w:val="000000"/>
                <w:sz w:val="19"/>
                <w:szCs w:val="19"/>
                <w:lang w:eastAsia="en-CA"/>
              </w:rPr>
              <w:t>,</w:t>
            </w:r>
            <w:r w:rsidRPr="0042463B">
              <w:rPr>
                <w:color w:val="000000"/>
                <w:sz w:val="19"/>
                <w:szCs w:val="19"/>
                <w:lang w:eastAsia="en-CA"/>
              </w:rPr>
              <w:t>58</w:t>
            </w:r>
          </w:p>
        </w:tc>
        <w:tc>
          <w:tcPr>
            <w:tcW w:w="356" w:type="pct"/>
            <w:tcBorders>
              <w:top w:val="nil"/>
              <w:left w:val="nil"/>
              <w:bottom w:val="single" w:sz="4" w:space="0" w:color="auto"/>
              <w:right w:val="single" w:sz="4" w:space="0" w:color="auto"/>
            </w:tcBorders>
            <w:shd w:val="clear" w:color="auto" w:fill="auto"/>
            <w:noWrap/>
            <w:tcMar>
              <w:left w:w="14" w:type="dxa"/>
              <w:right w:w="29" w:type="dxa"/>
            </w:tcMar>
            <w:hideMark/>
          </w:tcPr>
          <w:p w14:paraId="586C8AFE" w14:textId="31EDA773" w:rsidR="00A326B2" w:rsidRPr="0042463B" w:rsidRDefault="00A326B2" w:rsidP="00A326B2">
            <w:pPr>
              <w:jc w:val="right"/>
              <w:rPr>
                <w:color w:val="000000"/>
                <w:sz w:val="19"/>
                <w:szCs w:val="19"/>
              </w:rPr>
            </w:pPr>
            <w:r w:rsidRPr="0042463B">
              <w:rPr>
                <w:color w:val="000000"/>
                <w:sz w:val="19"/>
                <w:szCs w:val="19"/>
                <w:lang w:eastAsia="en-CA"/>
              </w:rPr>
              <w:t>46</w:t>
            </w:r>
            <w:r w:rsidR="007516F4">
              <w:rPr>
                <w:color w:val="000000"/>
                <w:sz w:val="19"/>
                <w:szCs w:val="19"/>
                <w:lang w:eastAsia="en-CA"/>
              </w:rPr>
              <w:t>,</w:t>
            </w:r>
            <w:r w:rsidRPr="0042463B">
              <w:rPr>
                <w:color w:val="000000"/>
                <w:sz w:val="19"/>
                <w:szCs w:val="19"/>
                <w:lang w:eastAsia="en-CA"/>
              </w:rPr>
              <w:t>45</w:t>
            </w:r>
          </w:p>
        </w:tc>
        <w:tc>
          <w:tcPr>
            <w:tcW w:w="357" w:type="pct"/>
            <w:tcBorders>
              <w:top w:val="nil"/>
              <w:left w:val="nil"/>
              <w:bottom w:val="single" w:sz="4" w:space="0" w:color="auto"/>
              <w:right w:val="single" w:sz="4" w:space="0" w:color="auto"/>
            </w:tcBorders>
            <w:shd w:val="clear" w:color="auto" w:fill="auto"/>
            <w:noWrap/>
            <w:tcMar>
              <w:left w:w="14" w:type="dxa"/>
              <w:right w:w="29" w:type="dxa"/>
            </w:tcMar>
            <w:hideMark/>
          </w:tcPr>
          <w:p w14:paraId="571D07D7" w14:textId="288FCA10" w:rsidR="00A326B2" w:rsidRPr="0042463B" w:rsidRDefault="00A326B2" w:rsidP="00A326B2">
            <w:pPr>
              <w:jc w:val="right"/>
              <w:rPr>
                <w:color w:val="000000"/>
                <w:sz w:val="19"/>
                <w:szCs w:val="19"/>
              </w:rPr>
            </w:pPr>
            <w:r w:rsidRPr="0042463B">
              <w:rPr>
                <w:color w:val="000000"/>
                <w:sz w:val="19"/>
                <w:szCs w:val="19"/>
                <w:lang w:eastAsia="en-CA"/>
              </w:rPr>
              <w:t>45</w:t>
            </w:r>
            <w:r w:rsidR="007516F4">
              <w:rPr>
                <w:color w:val="000000"/>
                <w:sz w:val="19"/>
                <w:szCs w:val="19"/>
                <w:lang w:eastAsia="en-CA"/>
              </w:rPr>
              <w:t>,</w:t>
            </w:r>
            <w:r w:rsidRPr="0042463B">
              <w:rPr>
                <w:color w:val="000000"/>
                <w:sz w:val="19"/>
                <w:szCs w:val="19"/>
                <w:lang w:eastAsia="en-CA"/>
              </w:rPr>
              <w:t>39</w:t>
            </w:r>
          </w:p>
        </w:tc>
        <w:tc>
          <w:tcPr>
            <w:tcW w:w="357" w:type="pct"/>
            <w:tcBorders>
              <w:top w:val="nil"/>
              <w:left w:val="nil"/>
              <w:bottom w:val="single" w:sz="4" w:space="0" w:color="auto"/>
              <w:right w:val="single" w:sz="4" w:space="0" w:color="auto"/>
            </w:tcBorders>
            <w:shd w:val="clear" w:color="auto" w:fill="auto"/>
            <w:noWrap/>
            <w:tcMar>
              <w:left w:w="14" w:type="dxa"/>
              <w:right w:w="29" w:type="dxa"/>
            </w:tcMar>
            <w:hideMark/>
          </w:tcPr>
          <w:p w14:paraId="0FC2AD95" w14:textId="69B2799B" w:rsidR="00A326B2" w:rsidRPr="0042463B" w:rsidRDefault="00A326B2" w:rsidP="00A326B2">
            <w:pPr>
              <w:jc w:val="right"/>
              <w:rPr>
                <w:color w:val="000000"/>
                <w:sz w:val="19"/>
                <w:szCs w:val="19"/>
              </w:rPr>
            </w:pPr>
            <w:r w:rsidRPr="0042463B">
              <w:rPr>
                <w:color w:val="000000"/>
                <w:sz w:val="19"/>
                <w:szCs w:val="19"/>
                <w:lang w:eastAsia="en-CA"/>
              </w:rPr>
              <w:t>43</w:t>
            </w:r>
            <w:r w:rsidR="007516F4">
              <w:rPr>
                <w:color w:val="000000"/>
                <w:sz w:val="19"/>
                <w:szCs w:val="19"/>
                <w:lang w:eastAsia="en-CA"/>
              </w:rPr>
              <w:t>,</w:t>
            </w:r>
            <w:r w:rsidRPr="0042463B">
              <w:rPr>
                <w:color w:val="000000"/>
                <w:sz w:val="19"/>
                <w:szCs w:val="19"/>
                <w:lang w:eastAsia="en-CA"/>
              </w:rPr>
              <w:t>54</w:t>
            </w:r>
          </w:p>
        </w:tc>
        <w:tc>
          <w:tcPr>
            <w:tcW w:w="357" w:type="pct"/>
            <w:tcBorders>
              <w:top w:val="nil"/>
              <w:left w:val="nil"/>
              <w:bottom w:val="single" w:sz="4" w:space="0" w:color="auto"/>
              <w:right w:val="single" w:sz="4" w:space="0" w:color="auto"/>
            </w:tcBorders>
            <w:shd w:val="clear" w:color="auto" w:fill="auto"/>
            <w:noWrap/>
            <w:tcMar>
              <w:left w:w="14" w:type="dxa"/>
              <w:right w:w="29" w:type="dxa"/>
            </w:tcMar>
            <w:hideMark/>
          </w:tcPr>
          <w:p w14:paraId="3A89E4E0" w14:textId="5CAC852B" w:rsidR="00A326B2" w:rsidRPr="0042463B" w:rsidRDefault="00A326B2" w:rsidP="00A326B2">
            <w:pPr>
              <w:jc w:val="right"/>
              <w:rPr>
                <w:color w:val="000000"/>
                <w:sz w:val="19"/>
                <w:szCs w:val="19"/>
              </w:rPr>
            </w:pPr>
            <w:r w:rsidRPr="0042463B">
              <w:rPr>
                <w:color w:val="000000"/>
                <w:sz w:val="19"/>
                <w:szCs w:val="19"/>
                <w:lang w:eastAsia="en-CA"/>
              </w:rPr>
              <w:t>37</w:t>
            </w:r>
            <w:r w:rsidR="007516F4">
              <w:rPr>
                <w:color w:val="000000"/>
                <w:sz w:val="19"/>
                <w:szCs w:val="19"/>
                <w:lang w:eastAsia="en-CA"/>
              </w:rPr>
              <w:t>,</w:t>
            </w:r>
            <w:r w:rsidRPr="0042463B">
              <w:rPr>
                <w:color w:val="000000"/>
                <w:sz w:val="19"/>
                <w:szCs w:val="19"/>
                <w:lang w:eastAsia="en-CA"/>
              </w:rPr>
              <w:t>27</w:t>
            </w:r>
          </w:p>
        </w:tc>
        <w:tc>
          <w:tcPr>
            <w:tcW w:w="359" w:type="pct"/>
            <w:tcBorders>
              <w:top w:val="nil"/>
              <w:left w:val="nil"/>
              <w:bottom w:val="single" w:sz="4" w:space="0" w:color="auto"/>
              <w:right w:val="single" w:sz="4" w:space="0" w:color="auto"/>
            </w:tcBorders>
            <w:shd w:val="clear" w:color="auto" w:fill="auto"/>
            <w:noWrap/>
            <w:tcMar>
              <w:left w:w="14" w:type="dxa"/>
              <w:right w:w="29" w:type="dxa"/>
            </w:tcMar>
            <w:hideMark/>
          </w:tcPr>
          <w:p w14:paraId="571E449C" w14:textId="2EB98092" w:rsidR="00A326B2" w:rsidRPr="0042463B" w:rsidRDefault="00A326B2" w:rsidP="00A326B2">
            <w:pPr>
              <w:jc w:val="right"/>
              <w:rPr>
                <w:color w:val="000000"/>
                <w:sz w:val="19"/>
                <w:szCs w:val="19"/>
              </w:rPr>
            </w:pPr>
            <w:r w:rsidRPr="0042463B">
              <w:rPr>
                <w:sz w:val="19"/>
                <w:szCs w:val="19"/>
              </w:rPr>
              <w:t>33</w:t>
            </w:r>
            <w:r w:rsidR="007516F4">
              <w:rPr>
                <w:sz w:val="19"/>
                <w:szCs w:val="19"/>
              </w:rPr>
              <w:t>,</w:t>
            </w:r>
            <w:r w:rsidRPr="0042463B">
              <w:rPr>
                <w:sz w:val="19"/>
                <w:szCs w:val="19"/>
              </w:rPr>
              <w:t>74</w:t>
            </w:r>
          </w:p>
        </w:tc>
        <w:tc>
          <w:tcPr>
            <w:tcW w:w="467" w:type="pct"/>
            <w:tcBorders>
              <w:top w:val="nil"/>
              <w:left w:val="nil"/>
              <w:bottom w:val="single" w:sz="4" w:space="0" w:color="auto"/>
              <w:right w:val="single" w:sz="4" w:space="0" w:color="auto"/>
            </w:tcBorders>
            <w:shd w:val="clear" w:color="auto" w:fill="auto"/>
            <w:noWrap/>
            <w:tcMar>
              <w:left w:w="14" w:type="dxa"/>
              <w:right w:w="29" w:type="dxa"/>
            </w:tcMar>
            <w:hideMark/>
          </w:tcPr>
          <w:p w14:paraId="3F3AE957" w14:textId="1078F994" w:rsidR="00A326B2" w:rsidRPr="0042463B" w:rsidRDefault="00A326B2" w:rsidP="00A326B2">
            <w:pPr>
              <w:jc w:val="right"/>
              <w:rPr>
                <w:color w:val="000000"/>
                <w:sz w:val="19"/>
                <w:szCs w:val="19"/>
              </w:rPr>
            </w:pPr>
            <w:r w:rsidRPr="0042463B">
              <w:rPr>
                <w:color w:val="000000"/>
                <w:sz w:val="19"/>
                <w:szCs w:val="19"/>
                <w:lang w:eastAsia="en-CA"/>
              </w:rPr>
              <w:t>n/</w:t>
            </w:r>
            <w:r w:rsidR="003C5E79" w:rsidRPr="0042463B">
              <w:rPr>
                <w:color w:val="000000"/>
                <w:sz w:val="19"/>
                <w:szCs w:val="19"/>
                <w:lang w:eastAsia="en-CA"/>
              </w:rPr>
              <w:t>d</w:t>
            </w:r>
          </w:p>
        </w:tc>
      </w:tr>
      <w:tr w:rsidR="00A326B2" w:rsidRPr="0042463B" w14:paraId="3E392FF9" w14:textId="77777777" w:rsidTr="00154084">
        <w:tc>
          <w:tcPr>
            <w:tcW w:w="306" w:type="pct"/>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46F2FE46" w14:textId="0381DAA0" w:rsidR="00A326B2" w:rsidRPr="0042463B" w:rsidRDefault="003C5E79" w:rsidP="00A326B2">
            <w:pPr>
              <w:jc w:val="left"/>
              <w:rPr>
                <w:color w:val="000000"/>
                <w:sz w:val="19"/>
                <w:szCs w:val="19"/>
              </w:rPr>
            </w:pPr>
            <w:r w:rsidRPr="0042463B">
              <w:rPr>
                <w:color w:val="000000"/>
                <w:sz w:val="19"/>
                <w:szCs w:val="19"/>
                <w:lang w:eastAsia="en-CA"/>
              </w:rPr>
              <w:t>d</w:t>
            </w:r>
            <w:r w:rsidR="00A326B2" w:rsidRPr="0042463B">
              <w:rPr>
                <w:color w:val="000000"/>
                <w:sz w:val="19"/>
                <w:szCs w:val="19"/>
                <w:lang w:eastAsia="en-CA"/>
              </w:rPr>
              <w:t>2.1</w:t>
            </w:r>
          </w:p>
        </w:tc>
        <w:tc>
          <w:tcPr>
            <w:tcW w:w="1014" w:type="pct"/>
            <w:tcBorders>
              <w:top w:val="nil"/>
              <w:left w:val="nil"/>
              <w:bottom w:val="single" w:sz="4" w:space="0" w:color="auto"/>
              <w:right w:val="single" w:sz="4" w:space="0" w:color="auto"/>
            </w:tcBorders>
            <w:shd w:val="clear" w:color="auto" w:fill="auto"/>
            <w:hideMark/>
          </w:tcPr>
          <w:p w14:paraId="73119E2A" w14:textId="249305B0" w:rsidR="00A326B2" w:rsidRPr="0042463B" w:rsidRDefault="00A326B2" w:rsidP="00A326B2">
            <w:pPr>
              <w:jc w:val="left"/>
              <w:rPr>
                <w:color w:val="000000"/>
                <w:sz w:val="19"/>
                <w:szCs w:val="19"/>
              </w:rPr>
            </w:pPr>
            <w:r w:rsidRPr="0042463B">
              <w:rPr>
                <w:sz w:val="18"/>
                <w:szCs w:val="18"/>
              </w:rPr>
              <w:t>Financement convenu pour le l’agence principale (PNUE) ($US)</w:t>
            </w:r>
          </w:p>
        </w:tc>
        <w:tc>
          <w:tcPr>
            <w:tcW w:w="356" w:type="pct"/>
            <w:tcBorders>
              <w:top w:val="nil"/>
              <w:left w:val="nil"/>
              <w:bottom w:val="single" w:sz="4" w:space="0" w:color="auto"/>
              <w:right w:val="single" w:sz="4" w:space="0" w:color="auto"/>
            </w:tcBorders>
            <w:shd w:val="clear" w:color="auto" w:fill="auto"/>
            <w:tcMar>
              <w:left w:w="14" w:type="dxa"/>
              <w:right w:w="29" w:type="dxa"/>
            </w:tcMar>
            <w:hideMark/>
          </w:tcPr>
          <w:p w14:paraId="05EDB031" w14:textId="62A9B4FF" w:rsidR="00A326B2" w:rsidRPr="0042463B" w:rsidRDefault="00A326B2" w:rsidP="00A326B2">
            <w:pPr>
              <w:jc w:val="right"/>
              <w:rPr>
                <w:color w:val="000000"/>
                <w:sz w:val="19"/>
                <w:szCs w:val="19"/>
              </w:rPr>
            </w:pPr>
            <w:r w:rsidRPr="0042463B">
              <w:rPr>
                <w:color w:val="000000"/>
                <w:sz w:val="19"/>
                <w:szCs w:val="19"/>
                <w:lang w:eastAsia="en-CA"/>
              </w:rPr>
              <w:t>120</w:t>
            </w:r>
            <w:r w:rsidR="007516F4">
              <w:rPr>
                <w:color w:val="000000"/>
                <w:sz w:val="19"/>
                <w:szCs w:val="19"/>
                <w:lang w:eastAsia="en-CA"/>
              </w:rPr>
              <w:t>.</w:t>
            </w:r>
            <w:r w:rsidRPr="0042463B">
              <w:rPr>
                <w:color w:val="000000"/>
                <w:sz w:val="19"/>
                <w:szCs w:val="19"/>
                <w:lang w:eastAsia="en-CA"/>
              </w:rPr>
              <w:t>000</w:t>
            </w:r>
          </w:p>
        </w:tc>
        <w:tc>
          <w:tcPr>
            <w:tcW w:w="357" w:type="pct"/>
            <w:tcBorders>
              <w:top w:val="nil"/>
              <w:left w:val="nil"/>
              <w:bottom w:val="single" w:sz="4" w:space="0" w:color="auto"/>
              <w:right w:val="single" w:sz="4" w:space="0" w:color="auto"/>
            </w:tcBorders>
            <w:shd w:val="clear" w:color="auto" w:fill="auto"/>
            <w:tcMar>
              <w:left w:w="14" w:type="dxa"/>
              <w:right w:w="29" w:type="dxa"/>
            </w:tcMar>
            <w:hideMark/>
          </w:tcPr>
          <w:p w14:paraId="0A8CEFE4" w14:textId="77777777" w:rsidR="00A326B2" w:rsidRPr="0042463B" w:rsidRDefault="00A326B2" w:rsidP="00A326B2">
            <w:pPr>
              <w:jc w:val="right"/>
              <w:rPr>
                <w:color w:val="000000"/>
                <w:sz w:val="19"/>
                <w:szCs w:val="19"/>
              </w:rPr>
            </w:pPr>
            <w:r w:rsidRPr="0042463B">
              <w:rPr>
                <w:color w:val="000000"/>
                <w:sz w:val="19"/>
                <w:szCs w:val="19"/>
                <w:lang w:eastAsia="en-CA"/>
              </w:rPr>
              <w:t>0</w:t>
            </w:r>
          </w:p>
        </w:tc>
        <w:tc>
          <w:tcPr>
            <w:tcW w:w="357" w:type="pct"/>
            <w:tcBorders>
              <w:top w:val="nil"/>
              <w:left w:val="nil"/>
              <w:bottom w:val="single" w:sz="4" w:space="0" w:color="auto"/>
              <w:right w:val="single" w:sz="4" w:space="0" w:color="auto"/>
            </w:tcBorders>
            <w:shd w:val="clear" w:color="auto" w:fill="auto"/>
            <w:tcMar>
              <w:left w:w="14" w:type="dxa"/>
              <w:right w:w="29" w:type="dxa"/>
            </w:tcMar>
            <w:hideMark/>
          </w:tcPr>
          <w:p w14:paraId="5BDBB81F" w14:textId="1E8FF999" w:rsidR="00A326B2" w:rsidRPr="0042463B" w:rsidRDefault="00A326B2" w:rsidP="00A326B2">
            <w:pPr>
              <w:jc w:val="right"/>
              <w:rPr>
                <w:color w:val="000000"/>
                <w:sz w:val="19"/>
                <w:szCs w:val="19"/>
              </w:rPr>
            </w:pPr>
            <w:r w:rsidRPr="0042463B">
              <w:rPr>
                <w:color w:val="000000"/>
                <w:sz w:val="19"/>
                <w:szCs w:val="19"/>
                <w:lang w:eastAsia="en-CA"/>
              </w:rPr>
              <w:t>145</w:t>
            </w:r>
            <w:r w:rsidR="007516F4">
              <w:rPr>
                <w:color w:val="000000"/>
                <w:sz w:val="19"/>
                <w:szCs w:val="19"/>
                <w:lang w:eastAsia="en-CA"/>
              </w:rPr>
              <w:t>.</w:t>
            </w:r>
            <w:r w:rsidRPr="0042463B">
              <w:rPr>
                <w:color w:val="000000"/>
                <w:sz w:val="19"/>
                <w:szCs w:val="19"/>
                <w:lang w:eastAsia="en-CA"/>
              </w:rPr>
              <w:t>000</w:t>
            </w:r>
          </w:p>
        </w:tc>
        <w:tc>
          <w:tcPr>
            <w:tcW w:w="357" w:type="pct"/>
            <w:tcBorders>
              <w:top w:val="nil"/>
              <w:left w:val="nil"/>
              <w:bottom w:val="single" w:sz="4" w:space="0" w:color="auto"/>
              <w:right w:val="single" w:sz="4" w:space="0" w:color="auto"/>
            </w:tcBorders>
            <w:shd w:val="clear" w:color="auto" w:fill="auto"/>
            <w:tcMar>
              <w:left w:w="14" w:type="dxa"/>
              <w:right w:w="29" w:type="dxa"/>
            </w:tcMar>
            <w:hideMark/>
          </w:tcPr>
          <w:p w14:paraId="1733633E" w14:textId="77777777" w:rsidR="00A326B2" w:rsidRPr="0042463B" w:rsidRDefault="00A326B2" w:rsidP="00A326B2">
            <w:pPr>
              <w:jc w:val="right"/>
              <w:rPr>
                <w:color w:val="000000"/>
                <w:sz w:val="19"/>
                <w:szCs w:val="19"/>
              </w:rPr>
            </w:pPr>
            <w:r w:rsidRPr="0042463B">
              <w:rPr>
                <w:color w:val="000000"/>
                <w:sz w:val="19"/>
                <w:szCs w:val="19"/>
                <w:lang w:eastAsia="en-CA"/>
              </w:rPr>
              <w:t>0</w:t>
            </w:r>
          </w:p>
        </w:tc>
        <w:tc>
          <w:tcPr>
            <w:tcW w:w="356" w:type="pct"/>
            <w:tcBorders>
              <w:top w:val="nil"/>
              <w:left w:val="nil"/>
              <w:bottom w:val="single" w:sz="4" w:space="0" w:color="auto"/>
              <w:right w:val="single" w:sz="4" w:space="0" w:color="auto"/>
            </w:tcBorders>
            <w:shd w:val="clear" w:color="auto" w:fill="auto"/>
            <w:tcMar>
              <w:left w:w="14" w:type="dxa"/>
              <w:right w:w="29" w:type="dxa"/>
            </w:tcMar>
            <w:hideMark/>
          </w:tcPr>
          <w:p w14:paraId="2972FD2B" w14:textId="77777777" w:rsidR="00A326B2" w:rsidRPr="0042463B" w:rsidRDefault="00A326B2" w:rsidP="00A326B2">
            <w:pPr>
              <w:jc w:val="right"/>
              <w:rPr>
                <w:color w:val="000000"/>
                <w:sz w:val="19"/>
                <w:szCs w:val="19"/>
                <w:lang w:eastAsia="en-CA"/>
              </w:rPr>
            </w:pPr>
          </w:p>
        </w:tc>
        <w:tc>
          <w:tcPr>
            <w:tcW w:w="357" w:type="pct"/>
            <w:tcBorders>
              <w:top w:val="nil"/>
              <w:left w:val="nil"/>
              <w:bottom w:val="single" w:sz="4" w:space="0" w:color="auto"/>
              <w:right w:val="single" w:sz="4" w:space="0" w:color="auto"/>
            </w:tcBorders>
            <w:shd w:val="clear" w:color="auto" w:fill="auto"/>
            <w:tcMar>
              <w:left w:w="14" w:type="dxa"/>
              <w:right w:w="29" w:type="dxa"/>
            </w:tcMar>
            <w:hideMark/>
          </w:tcPr>
          <w:p w14:paraId="3B672493" w14:textId="77777777" w:rsidR="00A326B2" w:rsidRPr="0042463B" w:rsidRDefault="00A326B2" w:rsidP="00A326B2">
            <w:pPr>
              <w:jc w:val="right"/>
              <w:rPr>
                <w:color w:val="000000"/>
                <w:sz w:val="19"/>
                <w:szCs w:val="19"/>
              </w:rPr>
            </w:pPr>
            <w:r w:rsidRPr="0042463B">
              <w:rPr>
                <w:color w:val="000000"/>
                <w:sz w:val="19"/>
                <w:szCs w:val="19"/>
                <w:lang w:eastAsia="en-CA"/>
              </w:rPr>
              <w:t>0</w:t>
            </w:r>
          </w:p>
        </w:tc>
        <w:tc>
          <w:tcPr>
            <w:tcW w:w="357" w:type="pct"/>
            <w:tcBorders>
              <w:top w:val="nil"/>
              <w:left w:val="nil"/>
              <w:bottom w:val="single" w:sz="4" w:space="0" w:color="auto"/>
              <w:right w:val="single" w:sz="4" w:space="0" w:color="auto"/>
            </w:tcBorders>
            <w:shd w:val="clear" w:color="auto" w:fill="auto"/>
            <w:tcMar>
              <w:left w:w="14" w:type="dxa"/>
              <w:right w:w="29" w:type="dxa"/>
            </w:tcMar>
            <w:hideMark/>
          </w:tcPr>
          <w:p w14:paraId="7EF2FFF4" w14:textId="77777777" w:rsidR="00A326B2" w:rsidRPr="0042463B" w:rsidRDefault="00A326B2" w:rsidP="00A326B2">
            <w:pPr>
              <w:jc w:val="right"/>
              <w:rPr>
                <w:color w:val="000000"/>
                <w:sz w:val="19"/>
                <w:szCs w:val="19"/>
                <w:lang w:eastAsia="en-CA"/>
              </w:rPr>
            </w:pPr>
          </w:p>
        </w:tc>
        <w:tc>
          <w:tcPr>
            <w:tcW w:w="357" w:type="pct"/>
            <w:tcBorders>
              <w:top w:val="nil"/>
              <w:left w:val="nil"/>
              <w:bottom w:val="single" w:sz="4" w:space="0" w:color="auto"/>
              <w:right w:val="single" w:sz="4" w:space="0" w:color="auto"/>
            </w:tcBorders>
            <w:shd w:val="clear" w:color="auto" w:fill="auto"/>
            <w:tcMar>
              <w:left w:w="14" w:type="dxa"/>
              <w:right w:w="29" w:type="dxa"/>
            </w:tcMar>
            <w:hideMark/>
          </w:tcPr>
          <w:p w14:paraId="4B522AB4" w14:textId="53B478E0" w:rsidR="00A326B2" w:rsidRPr="0042463B" w:rsidRDefault="00A326B2" w:rsidP="00A326B2">
            <w:pPr>
              <w:jc w:val="right"/>
              <w:rPr>
                <w:color w:val="000000"/>
                <w:sz w:val="19"/>
                <w:szCs w:val="19"/>
              </w:rPr>
            </w:pPr>
            <w:r w:rsidRPr="0042463B">
              <w:rPr>
                <w:color w:val="000000"/>
                <w:sz w:val="19"/>
                <w:szCs w:val="19"/>
                <w:lang w:eastAsia="en-CA"/>
              </w:rPr>
              <w:t>180</w:t>
            </w:r>
            <w:r w:rsidR="007516F4">
              <w:rPr>
                <w:color w:val="000000"/>
                <w:sz w:val="19"/>
                <w:szCs w:val="19"/>
                <w:lang w:eastAsia="en-CA"/>
              </w:rPr>
              <w:t>.</w:t>
            </w:r>
            <w:r w:rsidRPr="0042463B">
              <w:rPr>
                <w:color w:val="000000"/>
                <w:sz w:val="19"/>
                <w:szCs w:val="19"/>
                <w:lang w:eastAsia="en-CA"/>
              </w:rPr>
              <w:t>000</w:t>
            </w:r>
          </w:p>
        </w:tc>
        <w:tc>
          <w:tcPr>
            <w:tcW w:w="359" w:type="pct"/>
            <w:tcBorders>
              <w:top w:val="nil"/>
              <w:left w:val="nil"/>
              <w:bottom w:val="single" w:sz="4" w:space="0" w:color="auto"/>
              <w:right w:val="single" w:sz="4" w:space="0" w:color="auto"/>
            </w:tcBorders>
            <w:shd w:val="clear" w:color="auto" w:fill="auto"/>
            <w:tcMar>
              <w:left w:w="14" w:type="dxa"/>
              <w:right w:w="29" w:type="dxa"/>
            </w:tcMar>
            <w:hideMark/>
          </w:tcPr>
          <w:p w14:paraId="2A3D06FF" w14:textId="77777777" w:rsidR="00A326B2" w:rsidRPr="0042463B" w:rsidRDefault="00A326B2" w:rsidP="00A326B2">
            <w:pPr>
              <w:jc w:val="right"/>
              <w:rPr>
                <w:b/>
                <w:color w:val="000000"/>
                <w:sz w:val="19"/>
                <w:szCs w:val="19"/>
              </w:rPr>
            </w:pPr>
            <w:r w:rsidRPr="0042463B">
              <w:rPr>
                <w:b/>
                <w:color w:val="000000"/>
                <w:sz w:val="19"/>
                <w:szCs w:val="19"/>
                <w:lang w:eastAsia="en-CA"/>
              </w:rPr>
              <w:t>0</w:t>
            </w:r>
          </w:p>
        </w:tc>
        <w:tc>
          <w:tcPr>
            <w:tcW w:w="467" w:type="pct"/>
            <w:tcBorders>
              <w:top w:val="nil"/>
              <w:left w:val="nil"/>
              <w:bottom w:val="single" w:sz="4" w:space="0" w:color="auto"/>
              <w:right w:val="single" w:sz="4" w:space="0" w:color="auto"/>
            </w:tcBorders>
            <w:shd w:val="clear" w:color="auto" w:fill="auto"/>
            <w:noWrap/>
            <w:tcMar>
              <w:left w:w="14" w:type="dxa"/>
              <w:right w:w="29" w:type="dxa"/>
            </w:tcMar>
            <w:hideMark/>
          </w:tcPr>
          <w:p w14:paraId="024222AE" w14:textId="5F0F44C4" w:rsidR="00A326B2" w:rsidRPr="0042463B" w:rsidRDefault="00A326B2" w:rsidP="00A326B2">
            <w:pPr>
              <w:jc w:val="right"/>
              <w:rPr>
                <w:b/>
                <w:color w:val="000000"/>
                <w:sz w:val="19"/>
                <w:szCs w:val="19"/>
              </w:rPr>
            </w:pPr>
            <w:r w:rsidRPr="0042463B">
              <w:rPr>
                <w:b/>
                <w:color w:val="000000"/>
                <w:sz w:val="19"/>
                <w:szCs w:val="19"/>
                <w:lang w:eastAsia="en-CA"/>
              </w:rPr>
              <w:t>445</w:t>
            </w:r>
            <w:r w:rsidR="007516F4">
              <w:rPr>
                <w:b/>
                <w:color w:val="000000"/>
                <w:sz w:val="19"/>
                <w:szCs w:val="19"/>
                <w:lang w:eastAsia="en-CA"/>
              </w:rPr>
              <w:t>.</w:t>
            </w:r>
            <w:r w:rsidRPr="0042463B">
              <w:rPr>
                <w:b/>
                <w:color w:val="000000"/>
                <w:sz w:val="19"/>
                <w:szCs w:val="19"/>
                <w:lang w:eastAsia="en-CA"/>
              </w:rPr>
              <w:t>000</w:t>
            </w:r>
          </w:p>
        </w:tc>
      </w:tr>
      <w:tr w:rsidR="00A326B2" w:rsidRPr="0042463B" w14:paraId="1D8AA2CC" w14:textId="77777777" w:rsidTr="00154084">
        <w:tc>
          <w:tcPr>
            <w:tcW w:w="306" w:type="pct"/>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32F2373B" w14:textId="77777777" w:rsidR="00A326B2" w:rsidRPr="0042463B" w:rsidRDefault="00A326B2" w:rsidP="00A326B2">
            <w:pPr>
              <w:jc w:val="left"/>
              <w:rPr>
                <w:color w:val="000000"/>
                <w:sz w:val="19"/>
                <w:szCs w:val="19"/>
              </w:rPr>
            </w:pPr>
            <w:r w:rsidRPr="0042463B">
              <w:rPr>
                <w:color w:val="000000"/>
                <w:sz w:val="19"/>
                <w:szCs w:val="19"/>
                <w:lang w:eastAsia="en-CA"/>
              </w:rPr>
              <w:t>2.2</w:t>
            </w:r>
          </w:p>
        </w:tc>
        <w:tc>
          <w:tcPr>
            <w:tcW w:w="1014" w:type="pct"/>
            <w:tcBorders>
              <w:top w:val="nil"/>
              <w:left w:val="nil"/>
              <w:bottom w:val="single" w:sz="4" w:space="0" w:color="auto"/>
              <w:right w:val="single" w:sz="4" w:space="0" w:color="auto"/>
            </w:tcBorders>
            <w:shd w:val="clear" w:color="auto" w:fill="auto"/>
            <w:hideMark/>
          </w:tcPr>
          <w:p w14:paraId="113D9FC3" w14:textId="42F5A008" w:rsidR="00A326B2" w:rsidRPr="0042463B" w:rsidRDefault="00A326B2" w:rsidP="00A326B2">
            <w:pPr>
              <w:jc w:val="left"/>
              <w:rPr>
                <w:color w:val="000000"/>
                <w:sz w:val="19"/>
                <w:szCs w:val="19"/>
              </w:rPr>
            </w:pPr>
            <w:r w:rsidRPr="0042463B">
              <w:rPr>
                <w:sz w:val="18"/>
                <w:szCs w:val="18"/>
              </w:rPr>
              <w:t>Coûts d’appui pour l’agence principale ($US)</w:t>
            </w:r>
          </w:p>
        </w:tc>
        <w:tc>
          <w:tcPr>
            <w:tcW w:w="356" w:type="pct"/>
            <w:tcBorders>
              <w:top w:val="nil"/>
              <w:left w:val="nil"/>
              <w:bottom w:val="single" w:sz="4" w:space="0" w:color="auto"/>
              <w:right w:val="single" w:sz="4" w:space="0" w:color="auto"/>
            </w:tcBorders>
            <w:shd w:val="clear" w:color="auto" w:fill="auto"/>
            <w:tcMar>
              <w:left w:w="14" w:type="dxa"/>
              <w:right w:w="29" w:type="dxa"/>
            </w:tcMar>
            <w:hideMark/>
          </w:tcPr>
          <w:p w14:paraId="0426C0B4" w14:textId="66E558CC" w:rsidR="00A326B2" w:rsidRPr="0042463B" w:rsidRDefault="00A326B2" w:rsidP="00A326B2">
            <w:pPr>
              <w:jc w:val="right"/>
              <w:rPr>
                <w:color w:val="000000"/>
                <w:sz w:val="19"/>
                <w:szCs w:val="19"/>
              </w:rPr>
            </w:pPr>
            <w:r w:rsidRPr="0042463B">
              <w:rPr>
                <w:color w:val="000000"/>
                <w:sz w:val="19"/>
                <w:szCs w:val="19"/>
                <w:lang w:eastAsia="en-CA"/>
              </w:rPr>
              <w:t>15</w:t>
            </w:r>
            <w:r w:rsidR="007516F4">
              <w:rPr>
                <w:color w:val="000000"/>
                <w:sz w:val="19"/>
                <w:szCs w:val="19"/>
                <w:lang w:eastAsia="en-CA"/>
              </w:rPr>
              <w:t>.</w:t>
            </w:r>
            <w:r w:rsidRPr="0042463B">
              <w:rPr>
                <w:color w:val="000000"/>
                <w:sz w:val="19"/>
                <w:szCs w:val="19"/>
                <w:lang w:eastAsia="en-CA"/>
              </w:rPr>
              <w:t>600</w:t>
            </w:r>
          </w:p>
        </w:tc>
        <w:tc>
          <w:tcPr>
            <w:tcW w:w="357" w:type="pct"/>
            <w:tcBorders>
              <w:top w:val="nil"/>
              <w:left w:val="nil"/>
              <w:bottom w:val="single" w:sz="4" w:space="0" w:color="auto"/>
              <w:right w:val="single" w:sz="4" w:space="0" w:color="auto"/>
            </w:tcBorders>
            <w:shd w:val="clear" w:color="auto" w:fill="auto"/>
            <w:tcMar>
              <w:left w:w="14" w:type="dxa"/>
              <w:right w:w="29" w:type="dxa"/>
            </w:tcMar>
            <w:hideMark/>
          </w:tcPr>
          <w:p w14:paraId="5DBB6A18" w14:textId="77777777" w:rsidR="00A326B2" w:rsidRPr="0042463B" w:rsidRDefault="00A326B2" w:rsidP="00A326B2">
            <w:pPr>
              <w:jc w:val="right"/>
              <w:rPr>
                <w:color w:val="000000"/>
                <w:sz w:val="19"/>
                <w:szCs w:val="19"/>
              </w:rPr>
            </w:pPr>
            <w:r w:rsidRPr="0042463B">
              <w:rPr>
                <w:color w:val="000000"/>
                <w:sz w:val="19"/>
                <w:szCs w:val="19"/>
                <w:lang w:eastAsia="en-CA"/>
              </w:rPr>
              <w:t>0</w:t>
            </w:r>
          </w:p>
        </w:tc>
        <w:tc>
          <w:tcPr>
            <w:tcW w:w="357" w:type="pct"/>
            <w:tcBorders>
              <w:top w:val="nil"/>
              <w:left w:val="nil"/>
              <w:bottom w:val="single" w:sz="4" w:space="0" w:color="auto"/>
              <w:right w:val="single" w:sz="4" w:space="0" w:color="auto"/>
            </w:tcBorders>
            <w:shd w:val="clear" w:color="auto" w:fill="auto"/>
            <w:tcMar>
              <w:left w:w="14" w:type="dxa"/>
              <w:right w:w="29" w:type="dxa"/>
            </w:tcMar>
            <w:hideMark/>
          </w:tcPr>
          <w:p w14:paraId="79E1F71A" w14:textId="333BCC69" w:rsidR="00A326B2" w:rsidRPr="0042463B" w:rsidRDefault="00A326B2" w:rsidP="00A326B2">
            <w:pPr>
              <w:jc w:val="right"/>
              <w:rPr>
                <w:color w:val="000000"/>
                <w:sz w:val="19"/>
                <w:szCs w:val="19"/>
              </w:rPr>
            </w:pPr>
            <w:r w:rsidRPr="0042463B">
              <w:rPr>
                <w:color w:val="000000"/>
                <w:sz w:val="19"/>
                <w:szCs w:val="19"/>
                <w:lang w:eastAsia="en-CA"/>
              </w:rPr>
              <w:t>18</w:t>
            </w:r>
            <w:r w:rsidR="007516F4">
              <w:rPr>
                <w:color w:val="000000"/>
                <w:sz w:val="19"/>
                <w:szCs w:val="19"/>
                <w:lang w:eastAsia="en-CA"/>
              </w:rPr>
              <w:t>.</w:t>
            </w:r>
            <w:r w:rsidRPr="0042463B">
              <w:rPr>
                <w:color w:val="000000"/>
                <w:sz w:val="19"/>
                <w:szCs w:val="19"/>
                <w:lang w:eastAsia="en-CA"/>
              </w:rPr>
              <w:t>850</w:t>
            </w:r>
          </w:p>
        </w:tc>
        <w:tc>
          <w:tcPr>
            <w:tcW w:w="357" w:type="pct"/>
            <w:tcBorders>
              <w:top w:val="nil"/>
              <w:left w:val="nil"/>
              <w:bottom w:val="single" w:sz="4" w:space="0" w:color="auto"/>
              <w:right w:val="single" w:sz="4" w:space="0" w:color="auto"/>
            </w:tcBorders>
            <w:shd w:val="clear" w:color="auto" w:fill="auto"/>
            <w:tcMar>
              <w:left w:w="14" w:type="dxa"/>
              <w:right w:w="29" w:type="dxa"/>
            </w:tcMar>
            <w:hideMark/>
          </w:tcPr>
          <w:p w14:paraId="6CD19F39" w14:textId="77777777" w:rsidR="00A326B2" w:rsidRPr="0042463B" w:rsidRDefault="00A326B2" w:rsidP="00A326B2">
            <w:pPr>
              <w:jc w:val="right"/>
              <w:rPr>
                <w:color w:val="000000"/>
                <w:sz w:val="19"/>
                <w:szCs w:val="19"/>
              </w:rPr>
            </w:pPr>
            <w:r w:rsidRPr="0042463B">
              <w:rPr>
                <w:color w:val="000000"/>
                <w:sz w:val="19"/>
                <w:szCs w:val="19"/>
                <w:lang w:eastAsia="en-CA"/>
              </w:rPr>
              <w:t>0</w:t>
            </w:r>
          </w:p>
        </w:tc>
        <w:tc>
          <w:tcPr>
            <w:tcW w:w="356" w:type="pct"/>
            <w:tcBorders>
              <w:top w:val="nil"/>
              <w:left w:val="nil"/>
              <w:bottom w:val="single" w:sz="4" w:space="0" w:color="auto"/>
              <w:right w:val="single" w:sz="4" w:space="0" w:color="auto"/>
            </w:tcBorders>
            <w:shd w:val="clear" w:color="auto" w:fill="auto"/>
            <w:tcMar>
              <w:left w:w="14" w:type="dxa"/>
              <w:right w:w="29" w:type="dxa"/>
            </w:tcMar>
            <w:hideMark/>
          </w:tcPr>
          <w:p w14:paraId="40D6346F" w14:textId="77777777" w:rsidR="00A326B2" w:rsidRPr="0042463B" w:rsidRDefault="00A326B2" w:rsidP="00A326B2">
            <w:pPr>
              <w:jc w:val="right"/>
              <w:rPr>
                <w:color w:val="000000"/>
                <w:sz w:val="19"/>
                <w:szCs w:val="19"/>
                <w:lang w:eastAsia="en-CA"/>
              </w:rPr>
            </w:pPr>
          </w:p>
        </w:tc>
        <w:tc>
          <w:tcPr>
            <w:tcW w:w="357" w:type="pct"/>
            <w:tcBorders>
              <w:top w:val="nil"/>
              <w:left w:val="nil"/>
              <w:bottom w:val="single" w:sz="4" w:space="0" w:color="auto"/>
              <w:right w:val="single" w:sz="4" w:space="0" w:color="auto"/>
            </w:tcBorders>
            <w:shd w:val="clear" w:color="auto" w:fill="auto"/>
            <w:tcMar>
              <w:left w:w="14" w:type="dxa"/>
              <w:right w:w="29" w:type="dxa"/>
            </w:tcMar>
            <w:hideMark/>
          </w:tcPr>
          <w:p w14:paraId="74A6615C" w14:textId="77777777" w:rsidR="00A326B2" w:rsidRPr="0042463B" w:rsidRDefault="00A326B2" w:rsidP="00A326B2">
            <w:pPr>
              <w:jc w:val="right"/>
              <w:rPr>
                <w:color w:val="000000"/>
                <w:sz w:val="19"/>
                <w:szCs w:val="19"/>
              </w:rPr>
            </w:pPr>
            <w:r w:rsidRPr="0042463B">
              <w:rPr>
                <w:color w:val="000000"/>
                <w:sz w:val="19"/>
                <w:szCs w:val="19"/>
                <w:lang w:eastAsia="en-CA"/>
              </w:rPr>
              <w:t>0</w:t>
            </w:r>
          </w:p>
        </w:tc>
        <w:tc>
          <w:tcPr>
            <w:tcW w:w="357" w:type="pct"/>
            <w:tcBorders>
              <w:top w:val="nil"/>
              <w:left w:val="nil"/>
              <w:bottom w:val="single" w:sz="4" w:space="0" w:color="auto"/>
              <w:right w:val="single" w:sz="4" w:space="0" w:color="auto"/>
            </w:tcBorders>
            <w:shd w:val="clear" w:color="auto" w:fill="auto"/>
            <w:tcMar>
              <w:left w:w="14" w:type="dxa"/>
              <w:right w:w="29" w:type="dxa"/>
            </w:tcMar>
            <w:hideMark/>
          </w:tcPr>
          <w:p w14:paraId="2DF1FADD" w14:textId="77777777" w:rsidR="00A326B2" w:rsidRPr="0042463B" w:rsidRDefault="00A326B2" w:rsidP="00A326B2">
            <w:pPr>
              <w:jc w:val="right"/>
              <w:rPr>
                <w:color w:val="000000"/>
                <w:sz w:val="19"/>
                <w:szCs w:val="19"/>
                <w:lang w:eastAsia="en-CA"/>
              </w:rPr>
            </w:pPr>
          </w:p>
        </w:tc>
        <w:tc>
          <w:tcPr>
            <w:tcW w:w="357" w:type="pct"/>
            <w:tcBorders>
              <w:top w:val="nil"/>
              <w:left w:val="nil"/>
              <w:bottom w:val="single" w:sz="4" w:space="0" w:color="auto"/>
              <w:right w:val="single" w:sz="4" w:space="0" w:color="auto"/>
            </w:tcBorders>
            <w:shd w:val="clear" w:color="auto" w:fill="auto"/>
            <w:tcMar>
              <w:left w:w="14" w:type="dxa"/>
              <w:right w:w="29" w:type="dxa"/>
            </w:tcMar>
            <w:hideMark/>
          </w:tcPr>
          <w:p w14:paraId="3731AE40" w14:textId="461F63C5" w:rsidR="00A326B2" w:rsidRPr="0042463B" w:rsidRDefault="00A326B2" w:rsidP="00A326B2">
            <w:pPr>
              <w:jc w:val="right"/>
              <w:rPr>
                <w:color w:val="000000"/>
                <w:sz w:val="19"/>
                <w:szCs w:val="19"/>
              </w:rPr>
            </w:pPr>
            <w:r w:rsidRPr="0042463B">
              <w:rPr>
                <w:color w:val="000000"/>
                <w:sz w:val="19"/>
                <w:szCs w:val="19"/>
                <w:lang w:eastAsia="en-CA"/>
              </w:rPr>
              <w:t>23</w:t>
            </w:r>
            <w:r w:rsidR="007516F4">
              <w:rPr>
                <w:color w:val="000000"/>
                <w:sz w:val="19"/>
                <w:szCs w:val="19"/>
                <w:lang w:eastAsia="en-CA"/>
              </w:rPr>
              <w:t>.</w:t>
            </w:r>
            <w:r w:rsidRPr="0042463B">
              <w:rPr>
                <w:color w:val="000000"/>
                <w:sz w:val="19"/>
                <w:szCs w:val="19"/>
                <w:lang w:eastAsia="en-CA"/>
              </w:rPr>
              <w:t>400</w:t>
            </w:r>
          </w:p>
        </w:tc>
        <w:tc>
          <w:tcPr>
            <w:tcW w:w="359" w:type="pct"/>
            <w:tcBorders>
              <w:top w:val="nil"/>
              <w:left w:val="nil"/>
              <w:bottom w:val="single" w:sz="4" w:space="0" w:color="auto"/>
              <w:right w:val="single" w:sz="4" w:space="0" w:color="auto"/>
            </w:tcBorders>
            <w:shd w:val="clear" w:color="auto" w:fill="auto"/>
            <w:tcMar>
              <w:left w:w="14" w:type="dxa"/>
              <w:right w:w="29" w:type="dxa"/>
            </w:tcMar>
            <w:hideMark/>
          </w:tcPr>
          <w:p w14:paraId="07F6AF69" w14:textId="77777777" w:rsidR="00A326B2" w:rsidRPr="0042463B" w:rsidRDefault="00A326B2" w:rsidP="00A326B2">
            <w:pPr>
              <w:jc w:val="right"/>
              <w:rPr>
                <w:b/>
                <w:color w:val="000000"/>
                <w:sz w:val="19"/>
                <w:szCs w:val="19"/>
              </w:rPr>
            </w:pPr>
            <w:r w:rsidRPr="0042463B">
              <w:rPr>
                <w:b/>
                <w:color w:val="000000"/>
                <w:sz w:val="19"/>
                <w:szCs w:val="19"/>
                <w:lang w:eastAsia="en-CA"/>
              </w:rPr>
              <w:t>0</w:t>
            </w:r>
          </w:p>
        </w:tc>
        <w:tc>
          <w:tcPr>
            <w:tcW w:w="467" w:type="pct"/>
            <w:tcBorders>
              <w:top w:val="nil"/>
              <w:left w:val="nil"/>
              <w:bottom w:val="single" w:sz="4" w:space="0" w:color="auto"/>
              <w:right w:val="single" w:sz="4" w:space="0" w:color="auto"/>
            </w:tcBorders>
            <w:shd w:val="clear" w:color="auto" w:fill="auto"/>
            <w:noWrap/>
            <w:tcMar>
              <w:left w:w="14" w:type="dxa"/>
              <w:right w:w="29" w:type="dxa"/>
            </w:tcMar>
            <w:hideMark/>
          </w:tcPr>
          <w:p w14:paraId="1DB400AD" w14:textId="5CEED316" w:rsidR="00A326B2" w:rsidRPr="0042463B" w:rsidRDefault="00A326B2" w:rsidP="00A326B2">
            <w:pPr>
              <w:jc w:val="right"/>
              <w:rPr>
                <w:b/>
                <w:color w:val="000000"/>
                <w:sz w:val="19"/>
                <w:szCs w:val="19"/>
              </w:rPr>
            </w:pPr>
            <w:r w:rsidRPr="0042463B">
              <w:rPr>
                <w:b/>
                <w:color w:val="000000"/>
                <w:sz w:val="19"/>
                <w:szCs w:val="19"/>
                <w:lang w:eastAsia="en-CA"/>
              </w:rPr>
              <w:t>57</w:t>
            </w:r>
            <w:r w:rsidR="007516F4">
              <w:rPr>
                <w:b/>
                <w:color w:val="000000"/>
                <w:sz w:val="19"/>
                <w:szCs w:val="19"/>
                <w:lang w:eastAsia="en-CA"/>
              </w:rPr>
              <w:t>.</w:t>
            </w:r>
            <w:r w:rsidRPr="0042463B">
              <w:rPr>
                <w:b/>
                <w:color w:val="000000"/>
                <w:sz w:val="19"/>
                <w:szCs w:val="19"/>
                <w:lang w:eastAsia="en-CA"/>
              </w:rPr>
              <w:t>850</w:t>
            </w:r>
          </w:p>
        </w:tc>
      </w:tr>
      <w:tr w:rsidR="00A326B2" w:rsidRPr="0042463B" w14:paraId="127EFA1C" w14:textId="77777777" w:rsidTr="00154084">
        <w:tc>
          <w:tcPr>
            <w:tcW w:w="306" w:type="pct"/>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6A943D8E" w14:textId="77777777" w:rsidR="00A326B2" w:rsidRPr="0042463B" w:rsidRDefault="00A326B2" w:rsidP="00A326B2">
            <w:pPr>
              <w:jc w:val="left"/>
              <w:rPr>
                <w:color w:val="000000"/>
                <w:sz w:val="19"/>
                <w:szCs w:val="19"/>
              </w:rPr>
            </w:pPr>
            <w:r w:rsidRPr="0042463B">
              <w:rPr>
                <w:color w:val="000000"/>
                <w:sz w:val="19"/>
                <w:szCs w:val="19"/>
                <w:lang w:eastAsia="en-CA"/>
              </w:rPr>
              <w:t>2.3</w:t>
            </w:r>
          </w:p>
        </w:tc>
        <w:tc>
          <w:tcPr>
            <w:tcW w:w="1014" w:type="pct"/>
            <w:tcBorders>
              <w:top w:val="nil"/>
              <w:left w:val="nil"/>
              <w:bottom w:val="single" w:sz="4" w:space="0" w:color="auto"/>
              <w:right w:val="single" w:sz="4" w:space="0" w:color="auto"/>
            </w:tcBorders>
            <w:shd w:val="clear" w:color="auto" w:fill="auto"/>
            <w:hideMark/>
          </w:tcPr>
          <w:p w14:paraId="540A5B6F" w14:textId="504B3E72" w:rsidR="00A326B2" w:rsidRPr="0042463B" w:rsidRDefault="00A326B2" w:rsidP="00A326B2">
            <w:pPr>
              <w:jc w:val="left"/>
              <w:rPr>
                <w:color w:val="000000"/>
                <w:sz w:val="19"/>
                <w:szCs w:val="19"/>
              </w:rPr>
            </w:pPr>
            <w:r w:rsidRPr="0042463B">
              <w:rPr>
                <w:sz w:val="18"/>
                <w:szCs w:val="18"/>
              </w:rPr>
              <w:t>Financement convenu pour l’agence de coopération (ONUDI) ($US)</w:t>
            </w:r>
          </w:p>
        </w:tc>
        <w:tc>
          <w:tcPr>
            <w:tcW w:w="356" w:type="pct"/>
            <w:tcBorders>
              <w:top w:val="nil"/>
              <w:left w:val="nil"/>
              <w:bottom w:val="single" w:sz="4" w:space="0" w:color="auto"/>
              <w:right w:val="single" w:sz="4" w:space="0" w:color="auto"/>
            </w:tcBorders>
            <w:shd w:val="clear" w:color="auto" w:fill="auto"/>
            <w:tcMar>
              <w:left w:w="14" w:type="dxa"/>
              <w:right w:w="29" w:type="dxa"/>
            </w:tcMar>
            <w:hideMark/>
          </w:tcPr>
          <w:p w14:paraId="2C628BEA" w14:textId="100BA86D" w:rsidR="00A326B2" w:rsidRPr="0042463B" w:rsidRDefault="00A326B2" w:rsidP="00A326B2">
            <w:pPr>
              <w:jc w:val="right"/>
              <w:rPr>
                <w:color w:val="000000"/>
                <w:sz w:val="19"/>
                <w:szCs w:val="19"/>
              </w:rPr>
            </w:pPr>
            <w:r w:rsidRPr="0042463B">
              <w:rPr>
                <w:color w:val="000000"/>
                <w:sz w:val="19"/>
                <w:szCs w:val="19"/>
                <w:lang w:eastAsia="en-CA"/>
              </w:rPr>
              <w:t>549</w:t>
            </w:r>
            <w:r w:rsidR="007516F4">
              <w:rPr>
                <w:color w:val="000000"/>
                <w:sz w:val="19"/>
                <w:szCs w:val="19"/>
                <w:lang w:eastAsia="en-CA"/>
              </w:rPr>
              <w:t>.</w:t>
            </w:r>
            <w:r w:rsidRPr="0042463B">
              <w:rPr>
                <w:color w:val="000000"/>
                <w:sz w:val="19"/>
                <w:szCs w:val="19"/>
                <w:lang w:eastAsia="en-CA"/>
              </w:rPr>
              <w:t>455</w:t>
            </w:r>
          </w:p>
        </w:tc>
        <w:tc>
          <w:tcPr>
            <w:tcW w:w="357" w:type="pct"/>
            <w:tcBorders>
              <w:top w:val="nil"/>
              <w:left w:val="nil"/>
              <w:bottom w:val="single" w:sz="4" w:space="0" w:color="auto"/>
              <w:right w:val="single" w:sz="4" w:space="0" w:color="auto"/>
            </w:tcBorders>
            <w:shd w:val="clear" w:color="auto" w:fill="auto"/>
            <w:tcMar>
              <w:left w:w="14" w:type="dxa"/>
              <w:right w:w="29" w:type="dxa"/>
            </w:tcMar>
            <w:hideMark/>
          </w:tcPr>
          <w:p w14:paraId="5B9E5AA3" w14:textId="77777777" w:rsidR="00A326B2" w:rsidRPr="0042463B" w:rsidRDefault="00A326B2" w:rsidP="00A326B2">
            <w:pPr>
              <w:jc w:val="right"/>
              <w:rPr>
                <w:color w:val="000000"/>
                <w:sz w:val="19"/>
                <w:szCs w:val="19"/>
              </w:rPr>
            </w:pPr>
            <w:r w:rsidRPr="0042463B">
              <w:rPr>
                <w:color w:val="000000"/>
                <w:sz w:val="19"/>
                <w:szCs w:val="19"/>
                <w:lang w:eastAsia="en-CA"/>
              </w:rPr>
              <w:t>0</w:t>
            </w:r>
          </w:p>
        </w:tc>
        <w:tc>
          <w:tcPr>
            <w:tcW w:w="357" w:type="pct"/>
            <w:tcBorders>
              <w:top w:val="nil"/>
              <w:left w:val="nil"/>
              <w:bottom w:val="single" w:sz="4" w:space="0" w:color="auto"/>
              <w:right w:val="single" w:sz="4" w:space="0" w:color="auto"/>
            </w:tcBorders>
            <w:shd w:val="clear" w:color="auto" w:fill="auto"/>
            <w:tcMar>
              <w:left w:w="14" w:type="dxa"/>
              <w:right w:w="29" w:type="dxa"/>
            </w:tcMar>
            <w:hideMark/>
          </w:tcPr>
          <w:p w14:paraId="6507F5C1" w14:textId="77777777" w:rsidR="00A326B2" w:rsidRPr="0042463B" w:rsidRDefault="00A326B2" w:rsidP="00A326B2">
            <w:pPr>
              <w:jc w:val="right"/>
              <w:rPr>
                <w:color w:val="000000"/>
                <w:sz w:val="19"/>
                <w:szCs w:val="19"/>
              </w:rPr>
            </w:pPr>
            <w:r w:rsidRPr="0042463B">
              <w:rPr>
                <w:color w:val="000000"/>
                <w:sz w:val="19"/>
                <w:szCs w:val="19"/>
                <w:lang w:eastAsia="en-CA"/>
              </w:rPr>
              <w:t>0</w:t>
            </w:r>
          </w:p>
        </w:tc>
        <w:tc>
          <w:tcPr>
            <w:tcW w:w="357" w:type="pct"/>
            <w:tcBorders>
              <w:top w:val="nil"/>
              <w:left w:val="nil"/>
              <w:bottom w:val="single" w:sz="4" w:space="0" w:color="auto"/>
              <w:right w:val="single" w:sz="4" w:space="0" w:color="auto"/>
            </w:tcBorders>
            <w:shd w:val="clear" w:color="auto" w:fill="auto"/>
            <w:tcMar>
              <w:left w:w="14" w:type="dxa"/>
              <w:right w:w="29" w:type="dxa"/>
            </w:tcMar>
            <w:hideMark/>
          </w:tcPr>
          <w:p w14:paraId="7D6BE572" w14:textId="77777777" w:rsidR="00A326B2" w:rsidRPr="0042463B" w:rsidRDefault="00A326B2" w:rsidP="00A326B2">
            <w:pPr>
              <w:jc w:val="right"/>
              <w:rPr>
                <w:color w:val="000000"/>
                <w:sz w:val="19"/>
                <w:szCs w:val="19"/>
              </w:rPr>
            </w:pPr>
            <w:r w:rsidRPr="0042463B">
              <w:rPr>
                <w:color w:val="000000"/>
                <w:sz w:val="19"/>
                <w:szCs w:val="19"/>
                <w:lang w:eastAsia="en-CA"/>
              </w:rPr>
              <w:t>0</w:t>
            </w:r>
          </w:p>
        </w:tc>
        <w:tc>
          <w:tcPr>
            <w:tcW w:w="356" w:type="pct"/>
            <w:tcBorders>
              <w:top w:val="nil"/>
              <w:left w:val="nil"/>
              <w:bottom w:val="single" w:sz="4" w:space="0" w:color="auto"/>
              <w:right w:val="single" w:sz="4" w:space="0" w:color="auto"/>
            </w:tcBorders>
            <w:shd w:val="clear" w:color="auto" w:fill="auto"/>
            <w:tcMar>
              <w:left w:w="14" w:type="dxa"/>
              <w:right w:w="29" w:type="dxa"/>
            </w:tcMar>
            <w:hideMark/>
          </w:tcPr>
          <w:p w14:paraId="2F4E3BAE" w14:textId="77777777" w:rsidR="00A326B2" w:rsidRPr="0042463B" w:rsidRDefault="00A326B2" w:rsidP="00A326B2">
            <w:pPr>
              <w:jc w:val="right"/>
              <w:rPr>
                <w:color w:val="000000"/>
                <w:sz w:val="19"/>
                <w:szCs w:val="19"/>
              </w:rPr>
            </w:pPr>
            <w:r w:rsidRPr="0042463B">
              <w:rPr>
                <w:color w:val="000000"/>
                <w:sz w:val="19"/>
                <w:szCs w:val="19"/>
                <w:lang w:eastAsia="en-CA"/>
              </w:rPr>
              <w:t>0</w:t>
            </w:r>
          </w:p>
        </w:tc>
        <w:tc>
          <w:tcPr>
            <w:tcW w:w="357" w:type="pct"/>
            <w:tcBorders>
              <w:top w:val="nil"/>
              <w:left w:val="nil"/>
              <w:bottom w:val="single" w:sz="4" w:space="0" w:color="auto"/>
              <w:right w:val="single" w:sz="4" w:space="0" w:color="auto"/>
            </w:tcBorders>
            <w:shd w:val="clear" w:color="auto" w:fill="auto"/>
            <w:tcMar>
              <w:left w:w="14" w:type="dxa"/>
              <w:right w:w="29" w:type="dxa"/>
            </w:tcMar>
            <w:hideMark/>
          </w:tcPr>
          <w:p w14:paraId="67544006" w14:textId="77777777" w:rsidR="00A326B2" w:rsidRPr="0042463B" w:rsidRDefault="00A326B2" w:rsidP="00A326B2">
            <w:pPr>
              <w:jc w:val="right"/>
              <w:rPr>
                <w:color w:val="000000"/>
                <w:sz w:val="19"/>
                <w:szCs w:val="19"/>
              </w:rPr>
            </w:pPr>
            <w:r w:rsidRPr="0042463B">
              <w:rPr>
                <w:color w:val="000000"/>
                <w:sz w:val="19"/>
                <w:szCs w:val="19"/>
                <w:lang w:eastAsia="en-CA"/>
              </w:rPr>
              <w:t>0</w:t>
            </w:r>
          </w:p>
        </w:tc>
        <w:tc>
          <w:tcPr>
            <w:tcW w:w="357" w:type="pct"/>
            <w:tcBorders>
              <w:top w:val="nil"/>
              <w:left w:val="nil"/>
              <w:bottom w:val="single" w:sz="4" w:space="0" w:color="auto"/>
              <w:right w:val="single" w:sz="4" w:space="0" w:color="auto"/>
            </w:tcBorders>
            <w:shd w:val="clear" w:color="auto" w:fill="auto"/>
            <w:tcMar>
              <w:left w:w="14" w:type="dxa"/>
              <w:right w:w="29" w:type="dxa"/>
            </w:tcMar>
            <w:hideMark/>
          </w:tcPr>
          <w:p w14:paraId="262920C4" w14:textId="77777777" w:rsidR="00A326B2" w:rsidRPr="0042463B" w:rsidRDefault="00A326B2" w:rsidP="00A326B2">
            <w:pPr>
              <w:jc w:val="right"/>
              <w:rPr>
                <w:color w:val="000000"/>
                <w:sz w:val="19"/>
                <w:szCs w:val="19"/>
              </w:rPr>
            </w:pPr>
            <w:r w:rsidRPr="0042463B">
              <w:rPr>
                <w:color w:val="000000"/>
                <w:sz w:val="19"/>
                <w:szCs w:val="19"/>
                <w:lang w:eastAsia="en-CA"/>
              </w:rPr>
              <w:t>0</w:t>
            </w:r>
          </w:p>
        </w:tc>
        <w:tc>
          <w:tcPr>
            <w:tcW w:w="357" w:type="pct"/>
            <w:tcBorders>
              <w:top w:val="nil"/>
              <w:left w:val="nil"/>
              <w:bottom w:val="single" w:sz="4" w:space="0" w:color="auto"/>
              <w:right w:val="single" w:sz="4" w:space="0" w:color="auto"/>
            </w:tcBorders>
            <w:shd w:val="clear" w:color="auto" w:fill="auto"/>
            <w:tcMar>
              <w:left w:w="14" w:type="dxa"/>
              <w:right w:w="29" w:type="dxa"/>
            </w:tcMar>
            <w:hideMark/>
          </w:tcPr>
          <w:p w14:paraId="12DAB8FA" w14:textId="77777777" w:rsidR="00A326B2" w:rsidRPr="0042463B" w:rsidRDefault="00A326B2" w:rsidP="00A326B2">
            <w:pPr>
              <w:jc w:val="right"/>
              <w:rPr>
                <w:color w:val="000000"/>
                <w:sz w:val="19"/>
                <w:szCs w:val="19"/>
              </w:rPr>
            </w:pPr>
            <w:r w:rsidRPr="0042463B">
              <w:rPr>
                <w:color w:val="000000"/>
                <w:sz w:val="19"/>
                <w:szCs w:val="19"/>
                <w:lang w:eastAsia="en-CA"/>
              </w:rPr>
              <w:t>0</w:t>
            </w:r>
          </w:p>
        </w:tc>
        <w:tc>
          <w:tcPr>
            <w:tcW w:w="359" w:type="pct"/>
            <w:tcBorders>
              <w:top w:val="nil"/>
              <w:left w:val="nil"/>
              <w:bottom w:val="single" w:sz="4" w:space="0" w:color="auto"/>
              <w:right w:val="single" w:sz="4" w:space="0" w:color="auto"/>
            </w:tcBorders>
            <w:shd w:val="clear" w:color="auto" w:fill="auto"/>
            <w:tcMar>
              <w:left w:w="14" w:type="dxa"/>
              <w:right w:w="29" w:type="dxa"/>
            </w:tcMar>
            <w:hideMark/>
          </w:tcPr>
          <w:p w14:paraId="6BF70404" w14:textId="77777777" w:rsidR="00A326B2" w:rsidRPr="0042463B" w:rsidRDefault="00A326B2" w:rsidP="00A326B2">
            <w:pPr>
              <w:jc w:val="right"/>
              <w:rPr>
                <w:color w:val="000000"/>
                <w:sz w:val="19"/>
                <w:szCs w:val="19"/>
              </w:rPr>
            </w:pPr>
            <w:r w:rsidRPr="0042463B">
              <w:rPr>
                <w:color w:val="000000"/>
                <w:sz w:val="19"/>
                <w:szCs w:val="19"/>
                <w:lang w:eastAsia="en-CA"/>
              </w:rPr>
              <w:t>0</w:t>
            </w:r>
          </w:p>
        </w:tc>
        <w:tc>
          <w:tcPr>
            <w:tcW w:w="467" w:type="pct"/>
            <w:tcBorders>
              <w:top w:val="nil"/>
              <w:left w:val="nil"/>
              <w:bottom w:val="single" w:sz="4" w:space="0" w:color="auto"/>
              <w:right w:val="single" w:sz="4" w:space="0" w:color="auto"/>
            </w:tcBorders>
            <w:shd w:val="clear" w:color="auto" w:fill="auto"/>
            <w:noWrap/>
            <w:tcMar>
              <w:left w:w="14" w:type="dxa"/>
              <w:right w:w="29" w:type="dxa"/>
            </w:tcMar>
            <w:hideMark/>
          </w:tcPr>
          <w:p w14:paraId="7E620C4E" w14:textId="53907000" w:rsidR="00A326B2" w:rsidRPr="0042463B" w:rsidRDefault="00A326B2" w:rsidP="00A326B2">
            <w:pPr>
              <w:jc w:val="right"/>
              <w:rPr>
                <w:color w:val="000000"/>
                <w:sz w:val="19"/>
                <w:szCs w:val="19"/>
              </w:rPr>
            </w:pPr>
            <w:r w:rsidRPr="0042463B">
              <w:rPr>
                <w:color w:val="000000"/>
                <w:sz w:val="19"/>
                <w:szCs w:val="19"/>
                <w:lang w:eastAsia="en-CA"/>
              </w:rPr>
              <w:t>549</w:t>
            </w:r>
            <w:r w:rsidR="007516F4">
              <w:rPr>
                <w:color w:val="000000"/>
                <w:sz w:val="19"/>
                <w:szCs w:val="19"/>
                <w:lang w:eastAsia="en-CA"/>
              </w:rPr>
              <w:t>.</w:t>
            </w:r>
            <w:r w:rsidRPr="0042463B">
              <w:rPr>
                <w:color w:val="000000"/>
                <w:sz w:val="19"/>
                <w:szCs w:val="19"/>
                <w:lang w:eastAsia="en-CA"/>
              </w:rPr>
              <w:t>455</w:t>
            </w:r>
          </w:p>
        </w:tc>
      </w:tr>
      <w:tr w:rsidR="00A326B2" w:rsidRPr="0042463B" w14:paraId="4BF3D152" w14:textId="77777777" w:rsidTr="00154084">
        <w:tc>
          <w:tcPr>
            <w:tcW w:w="306" w:type="pct"/>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2C4DBBB2" w14:textId="77777777" w:rsidR="00A326B2" w:rsidRPr="0042463B" w:rsidRDefault="00A326B2" w:rsidP="00A326B2">
            <w:pPr>
              <w:jc w:val="left"/>
              <w:rPr>
                <w:color w:val="000000"/>
                <w:sz w:val="19"/>
                <w:szCs w:val="19"/>
              </w:rPr>
            </w:pPr>
            <w:r w:rsidRPr="0042463B">
              <w:rPr>
                <w:color w:val="000000"/>
                <w:sz w:val="19"/>
                <w:szCs w:val="19"/>
                <w:lang w:eastAsia="en-CA"/>
              </w:rPr>
              <w:t>2.4</w:t>
            </w:r>
          </w:p>
        </w:tc>
        <w:tc>
          <w:tcPr>
            <w:tcW w:w="1014" w:type="pct"/>
            <w:tcBorders>
              <w:top w:val="nil"/>
              <w:left w:val="nil"/>
              <w:bottom w:val="single" w:sz="4" w:space="0" w:color="auto"/>
              <w:right w:val="single" w:sz="4" w:space="0" w:color="auto"/>
            </w:tcBorders>
            <w:shd w:val="clear" w:color="auto" w:fill="auto"/>
            <w:hideMark/>
          </w:tcPr>
          <w:p w14:paraId="3D2665FE" w14:textId="3F6CBA3E" w:rsidR="00A326B2" w:rsidRPr="0042463B" w:rsidRDefault="00A326B2" w:rsidP="00A326B2">
            <w:pPr>
              <w:jc w:val="left"/>
              <w:rPr>
                <w:color w:val="000000"/>
                <w:sz w:val="19"/>
                <w:szCs w:val="19"/>
              </w:rPr>
            </w:pPr>
            <w:r w:rsidRPr="0042463B">
              <w:rPr>
                <w:sz w:val="18"/>
                <w:szCs w:val="18"/>
              </w:rPr>
              <w:t>Coûts d’appui pour l’agence de coopération ($US)</w:t>
            </w:r>
          </w:p>
        </w:tc>
        <w:tc>
          <w:tcPr>
            <w:tcW w:w="356" w:type="pct"/>
            <w:tcBorders>
              <w:top w:val="nil"/>
              <w:left w:val="nil"/>
              <w:bottom w:val="single" w:sz="4" w:space="0" w:color="auto"/>
              <w:right w:val="single" w:sz="4" w:space="0" w:color="auto"/>
            </w:tcBorders>
            <w:shd w:val="clear" w:color="auto" w:fill="auto"/>
            <w:tcMar>
              <w:left w:w="14" w:type="dxa"/>
              <w:right w:w="29" w:type="dxa"/>
            </w:tcMar>
            <w:hideMark/>
          </w:tcPr>
          <w:p w14:paraId="0523A24F" w14:textId="26D24705" w:rsidR="00A326B2" w:rsidRPr="0042463B" w:rsidRDefault="00A326B2" w:rsidP="00A326B2">
            <w:pPr>
              <w:jc w:val="right"/>
              <w:rPr>
                <w:color w:val="000000"/>
                <w:sz w:val="19"/>
                <w:szCs w:val="19"/>
              </w:rPr>
            </w:pPr>
            <w:r w:rsidRPr="0042463B">
              <w:rPr>
                <w:color w:val="000000"/>
                <w:sz w:val="19"/>
                <w:szCs w:val="19"/>
                <w:lang w:eastAsia="en-CA"/>
              </w:rPr>
              <w:t>38</w:t>
            </w:r>
            <w:r w:rsidR="007516F4">
              <w:rPr>
                <w:color w:val="000000"/>
                <w:sz w:val="19"/>
                <w:szCs w:val="19"/>
                <w:lang w:eastAsia="en-CA"/>
              </w:rPr>
              <w:t>.</w:t>
            </w:r>
            <w:r w:rsidRPr="0042463B">
              <w:rPr>
                <w:color w:val="000000"/>
                <w:sz w:val="19"/>
                <w:szCs w:val="19"/>
                <w:lang w:eastAsia="en-CA"/>
              </w:rPr>
              <w:t>462</w:t>
            </w:r>
          </w:p>
        </w:tc>
        <w:tc>
          <w:tcPr>
            <w:tcW w:w="357" w:type="pct"/>
            <w:tcBorders>
              <w:top w:val="nil"/>
              <w:left w:val="nil"/>
              <w:bottom w:val="single" w:sz="4" w:space="0" w:color="auto"/>
              <w:right w:val="single" w:sz="4" w:space="0" w:color="auto"/>
            </w:tcBorders>
            <w:shd w:val="clear" w:color="auto" w:fill="auto"/>
            <w:tcMar>
              <w:left w:w="14" w:type="dxa"/>
              <w:right w:w="29" w:type="dxa"/>
            </w:tcMar>
            <w:hideMark/>
          </w:tcPr>
          <w:p w14:paraId="43166CCB" w14:textId="77777777" w:rsidR="00A326B2" w:rsidRPr="0042463B" w:rsidRDefault="00A326B2" w:rsidP="00A326B2">
            <w:pPr>
              <w:jc w:val="right"/>
              <w:rPr>
                <w:color w:val="000000"/>
                <w:sz w:val="19"/>
                <w:szCs w:val="19"/>
              </w:rPr>
            </w:pPr>
            <w:r w:rsidRPr="0042463B">
              <w:rPr>
                <w:color w:val="000000"/>
                <w:sz w:val="19"/>
                <w:szCs w:val="19"/>
                <w:lang w:eastAsia="en-CA"/>
              </w:rPr>
              <w:t>0</w:t>
            </w:r>
          </w:p>
        </w:tc>
        <w:tc>
          <w:tcPr>
            <w:tcW w:w="357" w:type="pct"/>
            <w:tcBorders>
              <w:top w:val="nil"/>
              <w:left w:val="nil"/>
              <w:bottom w:val="single" w:sz="4" w:space="0" w:color="auto"/>
              <w:right w:val="single" w:sz="4" w:space="0" w:color="auto"/>
            </w:tcBorders>
            <w:shd w:val="clear" w:color="auto" w:fill="auto"/>
            <w:tcMar>
              <w:left w:w="14" w:type="dxa"/>
              <w:right w:w="29" w:type="dxa"/>
            </w:tcMar>
            <w:hideMark/>
          </w:tcPr>
          <w:p w14:paraId="4E587525" w14:textId="77777777" w:rsidR="00A326B2" w:rsidRPr="0042463B" w:rsidRDefault="00A326B2" w:rsidP="00A326B2">
            <w:pPr>
              <w:jc w:val="right"/>
              <w:rPr>
                <w:color w:val="000000"/>
                <w:sz w:val="19"/>
                <w:szCs w:val="19"/>
              </w:rPr>
            </w:pPr>
            <w:r w:rsidRPr="0042463B">
              <w:rPr>
                <w:color w:val="000000"/>
                <w:sz w:val="19"/>
                <w:szCs w:val="19"/>
                <w:lang w:eastAsia="en-CA"/>
              </w:rPr>
              <w:t>0</w:t>
            </w:r>
          </w:p>
        </w:tc>
        <w:tc>
          <w:tcPr>
            <w:tcW w:w="357" w:type="pct"/>
            <w:tcBorders>
              <w:top w:val="nil"/>
              <w:left w:val="nil"/>
              <w:bottom w:val="single" w:sz="4" w:space="0" w:color="auto"/>
              <w:right w:val="single" w:sz="4" w:space="0" w:color="auto"/>
            </w:tcBorders>
            <w:shd w:val="clear" w:color="auto" w:fill="auto"/>
            <w:tcMar>
              <w:left w:w="14" w:type="dxa"/>
              <w:right w:w="29" w:type="dxa"/>
            </w:tcMar>
            <w:hideMark/>
          </w:tcPr>
          <w:p w14:paraId="3292FEA2" w14:textId="77777777" w:rsidR="00A326B2" w:rsidRPr="0042463B" w:rsidRDefault="00A326B2" w:rsidP="00A326B2">
            <w:pPr>
              <w:jc w:val="right"/>
              <w:rPr>
                <w:color w:val="000000"/>
                <w:sz w:val="19"/>
                <w:szCs w:val="19"/>
              </w:rPr>
            </w:pPr>
            <w:r w:rsidRPr="0042463B">
              <w:rPr>
                <w:color w:val="000000"/>
                <w:sz w:val="19"/>
                <w:szCs w:val="19"/>
                <w:lang w:eastAsia="en-CA"/>
              </w:rPr>
              <w:t>0</w:t>
            </w:r>
          </w:p>
        </w:tc>
        <w:tc>
          <w:tcPr>
            <w:tcW w:w="356" w:type="pct"/>
            <w:tcBorders>
              <w:top w:val="nil"/>
              <w:left w:val="nil"/>
              <w:bottom w:val="single" w:sz="4" w:space="0" w:color="auto"/>
              <w:right w:val="single" w:sz="4" w:space="0" w:color="auto"/>
            </w:tcBorders>
            <w:shd w:val="clear" w:color="auto" w:fill="auto"/>
            <w:tcMar>
              <w:left w:w="14" w:type="dxa"/>
              <w:right w:w="29" w:type="dxa"/>
            </w:tcMar>
            <w:hideMark/>
          </w:tcPr>
          <w:p w14:paraId="4C3F5FCC" w14:textId="77777777" w:rsidR="00A326B2" w:rsidRPr="0042463B" w:rsidRDefault="00A326B2" w:rsidP="00A326B2">
            <w:pPr>
              <w:jc w:val="right"/>
              <w:rPr>
                <w:color w:val="000000"/>
                <w:sz w:val="19"/>
                <w:szCs w:val="19"/>
              </w:rPr>
            </w:pPr>
            <w:r w:rsidRPr="0042463B">
              <w:rPr>
                <w:color w:val="000000"/>
                <w:sz w:val="19"/>
                <w:szCs w:val="19"/>
                <w:lang w:eastAsia="en-CA"/>
              </w:rPr>
              <w:t>0</w:t>
            </w:r>
          </w:p>
        </w:tc>
        <w:tc>
          <w:tcPr>
            <w:tcW w:w="357" w:type="pct"/>
            <w:tcBorders>
              <w:top w:val="nil"/>
              <w:left w:val="nil"/>
              <w:bottom w:val="single" w:sz="4" w:space="0" w:color="auto"/>
              <w:right w:val="single" w:sz="4" w:space="0" w:color="auto"/>
            </w:tcBorders>
            <w:shd w:val="clear" w:color="auto" w:fill="auto"/>
            <w:tcMar>
              <w:left w:w="14" w:type="dxa"/>
              <w:right w:w="29" w:type="dxa"/>
            </w:tcMar>
            <w:hideMark/>
          </w:tcPr>
          <w:p w14:paraId="364AF1DF" w14:textId="77777777" w:rsidR="00A326B2" w:rsidRPr="0042463B" w:rsidRDefault="00A326B2" w:rsidP="00A326B2">
            <w:pPr>
              <w:jc w:val="right"/>
              <w:rPr>
                <w:color w:val="000000"/>
                <w:sz w:val="19"/>
                <w:szCs w:val="19"/>
              </w:rPr>
            </w:pPr>
            <w:r w:rsidRPr="0042463B">
              <w:rPr>
                <w:color w:val="000000"/>
                <w:sz w:val="19"/>
                <w:szCs w:val="19"/>
                <w:lang w:eastAsia="en-CA"/>
              </w:rPr>
              <w:t>0</w:t>
            </w:r>
          </w:p>
        </w:tc>
        <w:tc>
          <w:tcPr>
            <w:tcW w:w="357" w:type="pct"/>
            <w:tcBorders>
              <w:top w:val="nil"/>
              <w:left w:val="nil"/>
              <w:bottom w:val="single" w:sz="4" w:space="0" w:color="auto"/>
              <w:right w:val="single" w:sz="4" w:space="0" w:color="auto"/>
            </w:tcBorders>
            <w:shd w:val="clear" w:color="auto" w:fill="auto"/>
            <w:tcMar>
              <w:left w:w="14" w:type="dxa"/>
              <w:right w:w="29" w:type="dxa"/>
            </w:tcMar>
            <w:hideMark/>
          </w:tcPr>
          <w:p w14:paraId="742DCCE7" w14:textId="77777777" w:rsidR="00A326B2" w:rsidRPr="0042463B" w:rsidRDefault="00A326B2" w:rsidP="00A326B2">
            <w:pPr>
              <w:jc w:val="right"/>
              <w:rPr>
                <w:color w:val="000000"/>
                <w:sz w:val="19"/>
                <w:szCs w:val="19"/>
              </w:rPr>
            </w:pPr>
            <w:r w:rsidRPr="0042463B">
              <w:rPr>
                <w:color w:val="000000"/>
                <w:sz w:val="19"/>
                <w:szCs w:val="19"/>
                <w:lang w:eastAsia="en-CA"/>
              </w:rPr>
              <w:t>0</w:t>
            </w:r>
          </w:p>
        </w:tc>
        <w:tc>
          <w:tcPr>
            <w:tcW w:w="357" w:type="pct"/>
            <w:tcBorders>
              <w:top w:val="nil"/>
              <w:left w:val="nil"/>
              <w:bottom w:val="single" w:sz="4" w:space="0" w:color="auto"/>
              <w:right w:val="single" w:sz="4" w:space="0" w:color="auto"/>
            </w:tcBorders>
            <w:shd w:val="clear" w:color="auto" w:fill="auto"/>
            <w:tcMar>
              <w:left w:w="14" w:type="dxa"/>
              <w:right w:w="29" w:type="dxa"/>
            </w:tcMar>
            <w:hideMark/>
          </w:tcPr>
          <w:p w14:paraId="1C1AB268" w14:textId="77777777" w:rsidR="00A326B2" w:rsidRPr="0042463B" w:rsidRDefault="00A326B2" w:rsidP="00A326B2">
            <w:pPr>
              <w:jc w:val="right"/>
              <w:rPr>
                <w:color w:val="000000"/>
                <w:sz w:val="19"/>
                <w:szCs w:val="19"/>
              </w:rPr>
            </w:pPr>
            <w:r w:rsidRPr="0042463B">
              <w:rPr>
                <w:color w:val="000000"/>
                <w:sz w:val="19"/>
                <w:szCs w:val="19"/>
                <w:lang w:eastAsia="en-CA"/>
              </w:rPr>
              <w:t>0</w:t>
            </w:r>
          </w:p>
        </w:tc>
        <w:tc>
          <w:tcPr>
            <w:tcW w:w="359" w:type="pct"/>
            <w:tcBorders>
              <w:top w:val="nil"/>
              <w:left w:val="nil"/>
              <w:bottom w:val="single" w:sz="4" w:space="0" w:color="auto"/>
              <w:right w:val="single" w:sz="4" w:space="0" w:color="auto"/>
            </w:tcBorders>
            <w:shd w:val="clear" w:color="auto" w:fill="auto"/>
            <w:tcMar>
              <w:left w:w="14" w:type="dxa"/>
              <w:right w:w="29" w:type="dxa"/>
            </w:tcMar>
            <w:hideMark/>
          </w:tcPr>
          <w:p w14:paraId="473AF641" w14:textId="77777777" w:rsidR="00A326B2" w:rsidRPr="0042463B" w:rsidRDefault="00A326B2" w:rsidP="00A326B2">
            <w:pPr>
              <w:jc w:val="right"/>
              <w:rPr>
                <w:color w:val="000000"/>
                <w:sz w:val="19"/>
                <w:szCs w:val="19"/>
              </w:rPr>
            </w:pPr>
            <w:r w:rsidRPr="0042463B">
              <w:rPr>
                <w:color w:val="000000"/>
                <w:sz w:val="19"/>
                <w:szCs w:val="19"/>
                <w:lang w:eastAsia="en-CA"/>
              </w:rPr>
              <w:t>0</w:t>
            </w:r>
          </w:p>
        </w:tc>
        <w:tc>
          <w:tcPr>
            <w:tcW w:w="467" w:type="pct"/>
            <w:tcBorders>
              <w:top w:val="nil"/>
              <w:left w:val="nil"/>
              <w:bottom w:val="single" w:sz="4" w:space="0" w:color="auto"/>
              <w:right w:val="single" w:sz="4" w:space="0" w:color="auto"/>
            </w:tcBorders>
            <w:shd w:val="clear" w:color="auto" w:fill="auto"/>
            <w:noWrap/>
            <w:tcMar>
              <w:left w:w="14" w:type="dxa"/>
              <w:right w:w="29" w:type="dxa"/>
            </w:tcMar>
            <w:hideMark/>
          </w:tcPr>
          <w:p w14:paraId="3C05F77A" w14:textId="23B0B0F8" w:rsidR="00A326B2" w:rsidRPr="0042463B" w:rsidRDefault="00A326B2" w:rsidP="00A326B2">
            <w:pPr>
              <w:jc w:val="right"/>
              <w:rPr>
                <w:color w:val="000000"/>
                <w:sz w:val="19"/>
                <w:szCs w:val="19"/>
              </w:rPr>
            </w:pPr>
            <w:r w:rsidRPr="0042463B">
              <w:rPr>
                <w:color w:val="000000"/>
                <w:sz w:val="19"/>
                <w:szCs w:val="19"/>
                <w:lang w:eastAsia="en-CA"/>
              </w:rPr>
              <w:t>38</w:t>
            </w:r>
            <w:r w:rsidR="007516F4">
              <w:rPr>
                <w:color w:val="000000"/>
                <w:sz w:val="19"/>
                <w:szCs w:val="19"/>
                <w:lang w:eastAsia="en-CA"/>
              </w:rPr>
              <w:t>.</w:t>
            </w:r>
            <w:r w:rsidRPr="0042463B">
              <w:rPr>
                <w:color w:val="000000"/>
                <w:sz w:val="19"/>
                <w:szCs w:val="19"/>
                <w:lang w:eastAsia="en-CA"/>
              </w:rPr>
              <w:t>462</w:t>
            </w:r>
          </w:p>
        </w:tc>
      </w:tr>
      <w:tr w:rsidR="00A326B2" w:rsidRPr="0042463B" w14:paraId="4D21AD79" w14:textId="77777777" w:rsidTr="00154084">
        <w:tc>
          <w:tcPr>
            <w:tcW w:w="306" w:type="pct"/>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63B213FF" w14:textId="77777777" w:rsidR="00A326B2" w:rsidRPr="0042463B" w:rsidRDefault="00A326B2" w:rsidP="00A326B2">
            <w:pPr>
              <w:jc w:val="left"/>
              <w:rPr>
                <w:color w:val="000000"/>
                <w:sz w:val="19"/>
                <w:szCs w:val="19"/>
              </w:rPr>
            </w:pPr>
            <w:r w:rsidRPr="0042463B">
              <w:rPr>
                <w:color w:val="000000"/>
                <w:sz w:val="19"/>
                <w:szCs w:val="19"/>
                <w:lang w:eastAsia="en-CA"/>
              </w:rPr>
              <w:t>3.1</w:t>
            </w:r>
          </w:p>
        </w:tc>
        <w:tc>
          <w:tcPr>
            <w:tcW w:w="1014" w:type="pct"/>
            <w:tcBorders>
              <w:top w:val="nil"/>
              <w:left w:val="nil"/>
              <w:bottom w:val="single" w:sz="4" w:space="0" w:color="auto"/>
              <w:right w:val="single" w:sz="4" w:space="0" w:color="auto"/>
            </w:tcBorders>
            <w:shd w:val="clear" w:color="auto" w:fill="auto"/>
            <w:hideMark/>
          </w:tcPr>
          <w:p w14:paraId="41B61C57" w14:textId="14AF0E21" w:rsidR="00A326B2" w:rsidRPr="0042463B" w:rsidRDefault="00A326B2" w:rsidP="00A326B2">
            <w:pPr>
              <w:jc w:val="left"/>
              <w:rPr>
                <w:color w:val="000000"/>
                <w:sz w:val="19"/>
                <w:szCs w:val="19"/>
              </w:rPr>
            </w:pPr>
            <w:r w:rsidRPr="0042463B">
              <w:rPr>
                <w:sz w:val="18"/>
                <w:szCs w:val="18"/>
              </w:rPr>
              <w:t>Total du financement convenu ($US)</w:t>
            </w:r>
          </w:p>
        </w:tc>
        <w:tc>
          <w:tcPr>
            <w:tcW w:w="356" w:type="pct"/>
            <w:tcBorders>
              <w:top w:val="nil"/>
              <w:left w:val="nil"/>
              <w:bottom w:val="single" w:sz="4" w:space="0" w:color="auto"/>
              <w:right w:val="single" w:sz="4" w:space="0" w:color="auto"/>
            </w:tcBorders>
            <w:shd w:val="clear" w:color="auto" w:fill="auto"/>
            <w:tcMar>
              <w:left w:w="14" w:type="dxa"/>
              <w:right w:w="29" w:type="dxa"/>
            </w:tcMar>
            <w:hideMark/>
          </w:tcPr>
          <w:p w14:paraId="026A155E" w14:textId="2B702370" w:rsidR="00A326B2" w:rsidRPr="0042463B" w:rsidRDefault="00A326B2" w:rsidP="00A326B2">
            <w:pPr>
              <w:jc w:val="right"/>
              <w:rPr>
                <w:color w:val="000000"/>
                <w:sz w:val="19"/>
                <w:szCs w:val="19"/>
              </w:rPr>
            </w:pPr>
            <w:r w:rsidRPr="0042463B">
              <w:rPr>
                <w:color w:val="000000"/>
                <w:sz w:val="19"/>
                <w:szCs w:val="19"/>
                <w:lang w:eastAsia="en-CA"/>
              </w:rPr>
              <w:t>669</w:t>
            </w:r>
            <w:r w:rsidR="007516F4">
              <w:rPr>
                <w:color w:val="000000"/>
                <w:sz w:val="19"/>
                <w:szCs w:val="19"/>
                <w:lang w:eastAsia="en-CA"/>
              </w:rPr>
              <w:t>.</w:t>
            </w:r>
            <w:r w:rsidRPr="0042463B">
              <w:rPr>
                <w:color w:val="000000"/>
                <w:sz w:val="19"/>
                <w:szCs w:val="19"/>
                <w:lang w:eastAsia="en-CA"/>
              </w:rPr>
              <w:t>455</w:t>
            </w:r>
          </w:p>
        </w:tc>
        <w:tc>
          <w:tcPr>
            <w:tcW w:w="357" w:type="pct"/>
            <w:tcBorders>
              <w:top w:val="nil"/>
              <w:left w:val="nil"/>
              <w:bottom w:val="single" w:sz="4" w:space="0" w:color="auto"/>
              <w:right w:val="single" w:sz="4" w:space="0" w:color="auto"/>
            </w:tcBorders>
            <w:shd w:val="clear" w:color="auto" w:fill="auto"/>
            <w:tcMar>
              <w:left w:w="14" w:type="dxa"/>
              <w:right w:w="29" w:type="dxa"/>
            </w:tcMar>
            <w:hideMark/>
          </w:tcPr>
          <w:p w14:paraId="3AC26FDF" w14:textId="77777777" w:rsidR="00A326B2" w:rsidRPr="0042463B" w:rsidRDefault="00A326B2" w:rsidP="00A326B2">
            <w:pPr>
              <w:jc w:val="right"/>
              <w:rPr>
                <w:color w:val="000000"/>
                <w:sz w:val="19"/>
                <w:szCs w:val="19"/>
              </w:rPr>
            </w:pPr>
            <w:r w:rsidRPr="0042463B">
              <w:rPr>
                <w:color w:val="000000"/>
                <w:sz w:val="19"/>
                <w:szCs w:val="19"/>
                <w:lang w:eastAsia="en-CA"/>
              </w:rPr>
              <w:t>0</w:t>
            </w:r>
          </w:p>
        </w:tc>
        <w:tc>
          <w:tcPr>
            <w:tcW w:w="357" w:type="pct"/>
            <w:tcBorders>
              <w:top w:val="nil"/>
              <w:left w:val="nil"/>
              <w:bottom w:val="single" w:sz="4" w:space="0" w:color="auto"/>
              <w:right w:val="single" w:sz="4" w:space="0" w:color="auto"/>
            </w:tcBorders>
            <w:shd w:val="clear" w:color="auto" w:fill="auto"/>
            <w:tcMar>
              <w:left w:w="14" w:type="dxa"/>
              <w:right w:w="29" w:type="dxa"/>
            </w:tcMar>
            <w:hideMark/>
          </w:tcPr>
          <w:p w14:paraId="504A84BF" w14:textId="57BA5C6D" w:rsidR="00A326B2" w:rsidRPr="0042463B" w:rsidRDefault="00A326B2" w:rsidP="00A326B2">
            <w:pPr>
              <w:jc w:val="right"/>
              <w:rPr>
                <w:color w:val="000000"/>
                <w:sz w:val="19"/>
                <w:szCs w:val="19"/>
              </w:rPr>
            </w:pPr>
            <w:r w:rsidRPr="0042463B">
              <w:rPr>
                <w:color w:val="000000"/>
                <w:sz w:val="19"/>
                <w:szCs w:val="19"/>
                <w:lang w:eastAsia="en-CA"/>
              </w:rPr>
              <w:t>145</w:t>
            </w:r>
            <w:r w:rsidR="007516F4">
              <w:rPr>
                <w:color w:val="000000"/>
                <w:sz w:val="19"/>
                <w:szCs w:val="19"/>
                <w:lang w:eastAsia="en-CA"/>
              </w:rPr>
              <w:t>.</w:t>
            </w:r>
            <w:r w:rsidRPr="0042463B">
              <w:rPr>
                <w:color w:val="000000"/>
                <w:sz w:val="19"/>
                <w:szCs w:val="19"/>
                <w:lang w:eastAsia="en-CA"/>
              </w:rPr>
              <w:t>000</w:t>
            </w:r>
          </w:p>
        </w:tc>
        <w:tc>
          <w:tcPr>
            <w:tcW w:w="357" w:type="pct"/>
            <w:tcBorders>
              <w:top w:val="nil"/>
              <w:left w:val="nil"/>
              <w:bottom w:val="single" w:sz="4" w:space="0" w:color="auto"/>
              <w:right w:val="single" w:sz="4" w:space="0" w:color="auto"/>
            </w:tcBorders>
            <w:shd w:val="clear" w:color="auto" w:fill="auto"/>
            <w:tcMar>
              <w:left w:w="14" w:type="dxa"/>
              <w:right w:w="29" w:type="dxa"/>
            </w:tcMar>
            <w:hideMark/>
          </w:tcPr>
          <w:p w14:paraId="55D36FD9" w14:textId="77777777" w:rsidR="00A326B2" w:rsidRPr="0042463B" w:rsidRDefault="00A326B2" w:rsidP="00A326B2">
            <w:pPr>
              <w:jc w:val="right"/>
              <w:rPr>
                <w:color w:val="000000"/>
                <w:sz w:val="19"/>
                <w:szCs w:val="19"/>
              </w:rPr>
            </w:pPr>
            <w:r w:rsidRPr="0042463B">
              <w:rPr>
                <w:color w:val="000000"/>
                <w:sz w:val="19"/>
                <w:szCs w:val="19"/>
                <w:lang w:eastAsia="en-CA"/>
              </w:rPr>
              <w:t>0</w:t>
            </w:r>
          </w:p>
        </w:tc>
        <w:tc>
          <w:tcPr>
            <w:tcW w:w="356" w:type="pct"/>
            <w:tcBorders>
              <w:top w:val="nil"/>
              <w:left w:val="nil"/>
              <w:bottom w:val="single" w:sz="4" w:space="0" w:color="auto"/>
              <w:right w:val="single" w:sz="4" w:space="0" w:color="auto"/>
            </w:tcBorders>
            <w:shd w:val="clear" w:color="auto" w:fill="auto"/>
            <w:tcMar>
              <w:left w:w="14" w:type="dxa"/>
              <w:right w:w="29" w:type="dxa"/>
            </w:tcMar>
            <w:hideMark/>
          </w:tcPr>
          <w:p w14:paraId="2B76B738" w14:textId="77777777" w:rsidR="00A326B2" w:rsidRPr="0042463B" w:rsidRDefault="00A326B2" w:rsidP="00A326B2">
            <w:pPr>
              <w:jc w:val="right"/>
              <w:rPr>
                <w:color w:val="000000"/>
                <w:sz w:val="19"/>
                <w:szCs w:val="19"/>
                <w:lang w:eastAsia="en-CA"/>
              </w:rPr>
            </w:pPr>
          </w:p>
        </w:tc>
        <w:tc>
          <w:tcPr>
            <w:tcW w:w="357" w:type="pct"/>
            <w:tcBorders>
              <w:top w:val="nil"/>
              <w:left w:val="nil"/>
              <w:bottom w:val="single" w:sz="4" w:space="0" w:color="auto"/>
              <w:right w:val="single" w:sz="4" w:space="0" w:color="auto"/>
            </w:tcBorders>
            <w:shd w:val="clear" w:color="auto" w:fill="auto"/>
            <w:tcMar>
              <w:left w:w="14" w:type="dxa"/>
              <w:right w:w="29" w:type="dxa"/>
            </w:tcMar>
            <w:hideMark/>
          </w:tcPr>
          <w:p w14:paraId="045F9B97" w14:textId="77777777" w:rsidR="00A326B2" w:rsidRPr="0042463B" w:rsidRDefault="00A326B2" w:rsidP="00A326B2">
            <w:pPr>
              <w:jc w:val="right"/>
              <w:rPr>
                <w:color w:val="000000"/>
                <w:sz w:val="19"/>
                <w:szCs w:val="19"/>
              </w:rPr>
            </w:pPr>
            <w:r w:rsidRPr="0042463B">
              <w:rPr>
                <w:color w:val="000000"/>
                <w:sz w:val="19"/>
                <w:szCs w:val="19"/>
                <w:lang w:eastAsia="en-CA"/>
              </w:rPr>
              <w:t>0</w:t>
            </w:r>
          </w:p>
        </w:tc>
        <w:tc>
          <w:tcPr>
            <w:tcW w:w="357" w:type="pct"/>
            <w:tcBorders>
              <w:top w:val="nil"/>
              <w:left w:val="nil"/>
              <w:bottom w:val="single" w:sz="4" w:space="0" w:color="auto"/>
              <w:right w:val="single" w:sz="4" w:space="0" w:color="auto"/>
            </w:tcBorders>
            <w:shd w:val="clear" w:color="auto" w:fill="auto"/>
            <w:tcMar>
              <w:left w:w="14" w:type="dxa"/>
              <w:right w:w="29" w:type="dxa"/>
            </w:tcMar>
            <w:hideMark/>
          </w:tcPr>
          <w:p w14:paraId="62E0A4D4" w14:textId="77777777" w:rsidR="00A326B2" w:rsidRPr="0042463B" w:rsidRDefault="00A326B2" w:rsidP="00A326B2">
            <w:pPr>
              <w:jc w:val="right"/>
              <w:rPr>
                <w:color w:val="000000"/>
                <w:sz w:val="19"/>
                <w:szCs w:val="19"/>
                <w:lang w:eastAsia="en-CA"/>
              </w:rPr>
            </w:pPr>
          </w:p>
        </w:tc>
        <w:tc>
          <w:tcPr>
            <w:tcW w:w="357" w:type="pct"/>
            <w:tcBorders>
              <w:top w:val="nil"/>
              <w:left w:val="nil"/>
              <w:bottom w:val="single" w:sz="4" w:space="0" w:color="auto"/>
              <w:right w:val="single" w:sz="4" w:space="0" w:color="auto"/>
            </w:tcBorders>
            <w:shd w:val="clear" w:color="auto" w:fill="auto"/>
            <w:tcMar>
              <w:left w:w="14" w:type="dxa"/>
              <w:right w:w="29" w:type="dxa"/>
            </w:tcMar>
            <w:hideMark/>
          </w:tcPr>
          <w:p w14:paraId="5F2042F6" w14:textId="694B372E" w:rsidR="00A326B2" w:rsidRPr="0042463B" w:rsidRDefault="00A326B2" w:rsidP="00A326B2">
            <w:pPr>
              <w:jc w:val="right"/>
              <w:rPr>
                <w:color w:val="000000"/>
                <w:sz w:val="19"/>
                <w:szCs w:val="19"/>
              </w:rPr>
            </w:pPr>
            <w:r w:rsidRPr="0042463B">
              <w:rPr>
                <w:color w:val="000000"/>
                <w:sz w:val="19"/>
                <w:szCs w:val="19"/>
                <w:lang w:eastAsia="en-CA"/>
              </w:rPr>
              <w:t>180</w:t>
            </w:r>
            <w:r w:rsidR="007516F4">
              <w:rPr>
                <w:color w:val="000000"/>
                <w:sz w:val="19"/>
                <w:szCs w:val="19"/>
                <w:lang w:eastAsia="en-CA"/>
              </w:rPr>
              <w:t>.</w:t>
            </w:r>
            <w:r w:rsidRPr="0042463B">
              <w:rPr>
                <w:color w:val="000000"/>
                <w:sz w:val="19"/>
                <w:szCs w:val="19"/>
                <w:lang w:eastAsia="en-CA"/>
              </w:rPr>
              <w:t>000</w:t>
            </w:r>
          </w:p>
        </w:tc>
        <w:tc>
          <w:tcPr>
            <w:tcW w:w="359" w:type="pct"/>
            <w:tcBorders>
              <w:top w:val="nil"/>
              <w:left w:val="nil"/>
              <w:bottom w:val="single" w:sz="4" w:space="0" w:color="auto"/>
              <w:right w:val="single" w:sz="4" w:space="0" w:color="auto"/>
            </w:tcBorders>
            <w:shd w:val="clear" w:color="auto" w:fill="auto"/>
            <w:tcMar>
              <w:left w:w="14" w:type="dxa"/>
              <w:right w:w="29" w:type="dxa"/>
            </w:tcMar>
            <w:hideMark/>
          </w:tcPr>
          <w:p w14:paraId="73B5D16C" w14:textId="77777777" w:rsidR="00A326B2" w:rsidRPr="0042463B" w:rsidRDefault="00A326B2" w:rsidP="00A326B2">
            <w:pPr>
              <w:jc w:val="right"/>
              <w:rPr>
                <w:b/>
                <w:color w:val="000000"/>
                <w:sz w:val="19"/>
                <w:szCs w:val="19"/>
              </w:rPr>
            </w:pPr>
            <w:r w:rsidRPr="0042463B">
              <w:rPr>
                <w:b/>
                <w:color w:val="000000"/>
                <w:sz w:val="19"/>
                <w:szCs w:val="19"/>
                <w:lang w:eastAsia="en-CA"/>
              </w:rPr>
              <w:t>0</w:t>
            </w:r>
          </w:p>
        </w:tc>
        <w:tc>
          <w:tcPr>
            <w:tcW w:w="467" w:type="pct"/>
            <w:tcBorders>
              <w:top w:val="nil"/>
              <w:left w:val="nil"/>
              <w:bottom w:val="single" w:sz="4" w:space="0" w:color="auto"/>
              <w:right w:val="single" w:sz="4" w:space="0" w:color="auto"/>
            </w:tcBorders>
            <w:shd w:val="clear" w:color="auto" w:fill="auto"/>
            <w:noWrap/>
            <w:tcMar>
              <w:left w:w="14" w:type="dxa"/>
              <w:right w:w="29" w:type="dxa"/>
            </w:tcMar>
            <w:hideMark/>
          </w:tcPr>
          <w:p w14:paraId="21301851" w14:textId="1DF15377" w:rsidR="00A326B2" w:rsidRPr="0042463B" w:rsidRDefault="00A326B2" w:rsidP="00A326B2">
            <w:pPr>
              <w:jc w:val="right"/>
              <w:rPr>
                <w:b/>
                <w:color w:val="000000"/>
                <w:sz w:val="19"/>
                <w:szCs w:val="19"/>
              </w:rPr>
            </w:pPr>
            <w:r w:rsidRPr="0042463B">
              <w:rPr>
                <w:b/>
                <w:color w:val="000000"/>
                <w:sz w:val="19"/>
                <w:szCs w:val="19"/>
                <w:lang w:eastAsia="en-CA"/>
              </w:rPr>
              <w:t>994</w:t>
            </w:r>
            <w:r w:rsidR="007516F4">
              <w:rPr>
                <w:b/>
                <w:color w:val="000000"/>
                <w:sz w:val="19"/>
                <w:szCs w:val="19"/>
                <w:lang w:eastAsia="en-CA"/>
              </w:rPr>
              <w:t>.</w:t>
            </w:r>
            <w:r w:rsidRPr="0042463B">
              <w:rPr>
                <w:b/>
                <w:color w:val="000000"/>
                <w:sz w:val="19"/>
                <w:szCs w:val="19"/>
                <w:lang w:eastAsia="en-CA"/>
              </w:rPr>
              <w:t>455</w:t>
            </w:r>
          </w:p>
        </w:tc>
      </w:tr>
      <w:tr w:rsidR="00A326B2" w:rsidRPr="0042463B" w14:paraId="652D3C5B" w14:textId="77777777" w:rsidTr="00154084">
        <w:tc>
          <w:tcPr>
            <w:tcW w:w="306" w:type="pct"/>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2008D0D4" w14:textId="77777777" w:rsidR="00A326B2" w:rsidRPr="0042463B" w:rsidRDefault="00A326B2" w:rsidP="00A326B2">
            <w:pPr>
              <w:jc w:val="left"/>
              <w:rPr>
                <w:color w:val="000000"/>
                <w:sz w:val="19"/>
                <w:szCs w:val="19"/>
              </w:rPr>
            </w:pPr>
            <w:r w:rsidRPr="0042463B">
              <w:rPr>
                <w:color w:val="000000"/>
                <w:sz w:val="19"/>
                <w:szCs w:val="19"/>
                <w:lang w:eastAsia="en-CA"/>
              </w:rPr>
              <w:t>3.2</w:t>
            </w:r>
          </w:p>
        </w:tc>
        <w:tc>
          <w:tcPr>
            <w:tcW w:w="1014" w:type="pct"/>
            <w:tcBorders>
              <w:top w:val="nil"/>
              <w:left w:val="nil"/>
              <w:bottom w:val="single" w:sz="4" w:space="0" w:color="auto"/>
              <w:right w:val="single" w:sz="4" w:space="0" w:color="auto"/>
            </w:tcBorders>
            <w:shd w:val="clear" w:color="auto" w:fill="auto"/>
            <w:hideMark/>
          </w:tcPr>
          <w:p w14:paraId="0D400EA4" w14:textId="7F376E95" w:rsidR="00A326B2" w:rsidRPr="0042463B" w:rsidRDefault="00A326B2" w:rsidP="00A326B2">
            <w:pPr>
              <w:jc w:val="left"/>
              <w:rPr>
                <w:color w:val="000000"/>
                <w:sz w:val="19"/>
                <w:szCs w:val="19"/>
              </w:rPr>
            </w:pPr>
            <w:r w:rsidRPr="0042463B">
              <w:rPr>
                <w:sz w:val="18"/>
                <w:szCs w:val="18"/>
              </w:rPr>
              <w:t>Total des coûts d’appui ($US)</w:t>
            </w:r>
          </w:p>
        </w:tc>
        <w:tc>
          <w:tcPr>
            <w:tcW w:w="356" w:type="pct"/>
            <w:tcBorders>
              <w:top w:val="nil"/>
              <w:left w:val="nil"/>
              <w:bottom w:val="single" w:sz="4" w:space="0" w:color="auto"/>
              <w:right w:val="single" w:sz="4" w:space="0" w:color="auto"/>
            </w:tcBorders>
            <w:shd w:val="clear" w:color="auto" w:fill="auto"/>
            <w:tcMar>
              <w:left w:w="14" w:type="dxa"/>
              <w:right w:w="29" w:type="dxa"/>
            </w:tcMar>
            <w:hideMark/>
          </w:tcPr>
          <w:p w14:paraId="6D7E50D7" w14:textId="17478365" w:rsidR="00A326B2" w:rsidRPr="0042463B" w:rsidRDefault="00A326B2" w:rsidP="00A326B2">
            <w:pPr>
              <w:jc w:val="right"/>
              <w:rPr>
                <w:color w:val="000000"/>
                <w:sz w:val="19"/>
                <w:szCs w:val="19"/>
              </w:rPr>
            </w:pPr>
            <w:r w:rsidRPr="0042463B">
              <w:rPr>
                <w:color w:val="000000"/>
                <w:sz w:val="19"/>
                <w:szCs w:val="19"/>
                <w:lang w:eastAsia="en-CA"/>
              </w:rPr>
              <w:t>54</w:t>
            </w:r>
            <w:r w:rsidR="007516F4">
              <w:rPr>
                <w:color w:val="000000"/>
                <w:sz w:val="19"/>
                <w:szCs w:val="19"/>
                <w:lang w:eastAsia="en-CA"/>
              </w:rPr>
              <w:t>.</w:t>
            </w:r>
            <w:r w:rsidRPr="0042463B">
              <w:rPr>
                <w:color w:val="000000"/>
                <w:sz w:val="19"/>
                <w:szCs w:val="19"/>
                <w:lang w:eastAsia="en-CA"/>
              </w:rPr>
              <w:t>062</w:t>
            </w:r>
          </w:p>
        </w:tc>
        <w:tc>
          <w:tcPr>
            <w:tcW w:w="357" w:type="pct"/>
            <w:tcBorders>
              <w:top w:val="nil"/>
              <w:left w:val="nil"/>
              <w:bottom w:val="single" w:sz="4" w:space="0" w:color="auto"/>
              <w:right w:val="single" w:sz="4" w:space="0" w:color="auto"/>
            </w:tcBorders>
            <w:shd w:val="clear" w:color="auto" w:fill="auto"/>
            <w:tcMar>
              <w:left w:w="14" w:type="dxa"/>
              <w:right w:w="29" w:type="dxa"/>
            </w:tcMar>
            <w:hideMark/>
          </w:tcPr>
          <w:p w14:paraId="21F028D7" w14:textId="77777777" w:rsidR="00A326B2" w:rsidRPr="0042463B" w:rsidRDefault="00A326B2" w:rsidP="00A326B2">
            <w:pPr>
              <w:jc w:val="right"/>
              <w:rPr>
                <w:color w:val="000000"/>
                <w:sz w:val="19"/>
                <w:szCs w:val="19"/>
              </w:rPr>
            </w:pPr>
            <w:r w:rsidRPr="0042463B">
              <w:rPr>
                <w:color w:val="000000"/>
                <w:sz w:val="19"/>
                <w:szCs w:val="19"/>
                <w:lang w:eastAsia="en-CA"/>
              </w:rPr>
              <w:t>0</w:t>
            </w:r>
          </w:p>
        </w:tc>
        <w:tc>
          <w:tcPr>
            <w:tcW w:w="357" w:type="pct"/>
            <w:tcBorders>
              <w:top w:val="nil"/>
              <w:left w:val="nil"/>
              <w:bottom w:val="single" w:sz="4" w:space="0" w:color="auto"/>
              <w:right w:val="single" w:sz="4" w:space="0" w:color="auto"/>
            </w:tcBorders>
            <w:shd w:val="clear" w:color="auto" w:fill="auto"/>
            <w:tcMar>
              <w:left w:w="14" w:type="dxa"/>
              <w:right w:w="29" w:type="dxa"/>
            </w:tcMar>
            <w:hideMark/>
          </w:tcPr>
          <w:p w14:paraId="155B86C4" w14:textId="668E93C1" w:rsidR="00A326B2" w:rsidRPr="0042463B" w:rsidRDefault="00A326B2" w:rsidP="00A326B2">
            <w:pPr>
              <w:jc w:val="right"/>
              <w:rPr>
                <w:color w:val="000000"/>
                <w:sz w:val="19"/>
                <w:szCs w:val="19"/>
              </w:rPr>
            </w:pPr>
            <w:r w:rsidRPr="0042463B">
              <w:rPr>
                <w:color w:val="000000"/>
                <w:sz w:val="19"/>
                <w:szCs w:val="19"/>
                <w:lang w:eastAsia="en-CA"/>
              </w:rPr>
              <w:t>18</w:t>
            </w:r>
            <w:r w:rsidR="007516F4">
              <w:rPr>
                <w:color w:val="000000"/>
                <w:sz w:val="19"/>
                <w:szCs w:val="19"/>
                <w:lang w:eastAsia="en-CA"/>
              </w:rPr>
              <w:t>.</w:t>
            </w:r>
            <w:r w:rsidRPr="0042463B">
              <w:rPr>
                <w:color w:val="000000"/>
                <w:sz w:val="19"/>
                <w:szCs w:val="19"/>
                <w:lang w:eastAsia="en-CA"/>
              </w:rPr>
              <w:t>850</w:t>
            </w:r>
          </w:p>
        </w:tc>
        <w:tc>
          <w:tcPr>
            <w:tcW w:w="357" w:type="pct"/>
            <w:tcBorders>
              <w:top w:val="nil"/>
              <w:left w:val="nil"/>
              <w:bottom w:val="single" w:sz="4" w:space="0" w:color="auto"/>
              <w:right w:val="single" w:sz="4" w:space="0" w:color="auto"/>
            </w:tcBorders>
            <w:shd w:val="clear" w:color="auto" w:fill="auto"/>
            <w:tcMar>
              <w:left w:w="14" w:type="dxa"/>
              <w:right w:w="29" w:type="dxa"/>
            </w:tcMar>
            <w:hideMark/>
          </w:tcPr>
          <w:p w14:paraId="734DCBB1" w14:textId="77777777" w:rsidR="00A326B2" w:rsidRPr="0042463B" w:rsidRDefault="00A326B2" w:rsidP="00A326B2">
            <w:pPr>
              <w:jc w:val="right"/>
              <w:rPr>
                <w:color w:val="000000"/>
                <w:sz w:val="19"/>
                <w:szCs w:val="19"/>
              </w:rPr>
            </w:pPr>
            <w:r w:rsidRPr="0042463B">
              <w:rPr>
                <w:color w:val="000000"/>
                <w:sz w:val="19"/>
                <w:szCs w:val="19"/>
                <w:lang w:eastAsia="en-CA"/>
              </w:rPr>
              <w:t>0</w:t>
            </w:r>
          </w:p>
        </w:tc>
        <w:tc>
          <w:tcPr>
            <w:tcW w:w="356" w:type="pct"/>
            <w:tcBorders>
              <w:top w:val="nil"/>
              <w:left w:val="nil"/>
              <w:bottom w:val="single" w:sz="4" w:space="0" w:color="auto"/>
              <w:right w:val="single" w:sz="4" w:space="0" w:color="auto"/>
            </w:tcBorders>
            <w:shd w:val="clear" w:color="auto" w:fill="auto"/>
            <w:tcMar>
              <w:left w:w="14" w:type="dxa"/>
              <w:right w:w="29" w:type="dxa"/>
            </w:tcMar>
            <w:hideMark/>
          </w:tcPr>
          <w:p w14:paraId="0A8C31E0" w14:textId="77777777" w:rsidR="00A326B2" w:rsidRPr="0042463B" w:rsidRDefault="00A326B2" w:rsidP="00A326B2">
            <w:pPr>
              <w:jc w:val="right"/>
              <w:rPr>
                <w:color w:val="000000"/>
                <w:sz w:val="19"/>
                <w:szCs w:val="19"/>
                <w:lang w:eastAsia="en-CA"/>
              </w:rPr>
            </w:pPr>
          </w:p>
        </w:tc>
        <w:tc>
          <w:tcPr>
            <w:tcW w:w="357" w:type="pct"/>
            <w:tcBorders>
              <w:top w:val="nil"/>
              <w:left w:val="nil"/>
              <w:bottom w:val="single" w:sz="4" w:space="0" w:color="auto"/>
              <w:right w:val="single" w:sz="4" w:space="0" w:color="auto"/>
            </w:tcBorders>
            <w:shd w:val="clear" w:color="auto" w:fill="auto"/>
            <w:tcMar>
              <w:left w:w="14" w:type="dxa"/>
              <w:right w:w="29" w:type="dxa"/>
            </w:tcMar>
            <w:hideMark/>
          </w:tcPr>
          <w:p w14:paraId="3F62197E" w14:textId="77777777" w:rsidR="00A326B2" w:rsidRPr="0042463B" w:rsidRDefault="00A326B2" w:rsidP="00A326B2">
            <w:pPr>
              <w:jc w:val="right"/>
              <w:rPr>
                <w:color w:val="000000"/>
                <w:sz w:val="19"/>
                <w:szCs w:val="19"/>
              </w:rPr>
            </w:pPr>
            <w:r w:rsidRPr="0042463B">
              <w:rPr>
                <w:color w:val="000000"/>
                <w:sz w:val="19"/>
                <w:szCs w:val="19"/>
                <w:lang w:eastAsia="en-CA"/>
              </w:rPr>
              <w:t>0</w:t>
            </w:r>
          </w:p>
        </w:tc>
        <w:tc>
          <w:tcPr>
            <w:tcW w:w="357" w:type="pct"/>
            <w:tcBorders>
              <w:top w:val="nil"/>
              <w:left w:val="nil"/>
              <w:bottom w:val="single" w:sz="4" w:space="0" w:color="auto"/>
              <w:right w:val="single" w:sz="4" w:space="0" w:color="auto"/>
            </w:tcBorders>
            <w:shd w:val="clear" w:color="auto" w:fill="auto"/>
            <w:tcMar>
              <w:left w:w="14" w:type="dxa"/>
              <w:right w:w="29" w:type="dxa"/>
            </w:tcMar>
            <w:hideMark/>
          </w:tcPr>
          <w:p w14:paraId="3178DCAD" w14:textId="77777777" w:rsidR="00A326B2" w:rsidRPr="0042463B" w:rsidRDefault="00A326B2" w:rsidP="00A326B2">
            <w:pPr>
              <w:jc w:val="right"/>
              <w:rPr>
                <w:color w:val="000000"/>
                <w:sz w:val="19"/>
                <w:szCs w:val="19"/>
                <w:lang w:eastAsia="en-CA"/>
              </w:rPr>
            </w:pPr>
          </w:p>
        </w:tc>
        <w:tc>
          <w:tcPr>
            <w:tcW w:w="357" w:type="pct"/>
            <w:tcBorders>
              <w:top w:val="nil"/>
              <w:left w:val="nil"/>
              <w:bottom w:val="single" w:sz="4" w:space="0" w:color="auto"/>
              <w:right w:val="single" w:sz="4" w:space="0" w:color="auto"/>
            </w:tcBorders>
            <w:shd w:val="clear" w:color="auto" w:fill="auto"/>
            <w:tcMar>
              <w:left w:w="14" w:type="dxa"/>
              <w:right w:w="29" w:type="dxa"/>
            </w:tcMar>
            <w:hideMark/>
          </w:tcPr>
          <w:p w14:paraId="04B6B3E4" w14:textId="273EA2D3" w:rsidR="00A326B2" w:rsidRPr="0042463B" w:rsidRDefault="00A326B2" w:rsidP="00A326B2">
            <w:pPr>
              <w:jc w:val="right"/>
              <w:rPr>
                <w:color w:val="000000"/>
                <w:sz w:val="19"/>
                <w:szCs w:val="19"/>
              </w:rPr>
            </w:pPr>
            <w:r w:rsidRPr="0042463B">
              <w:rPr>
                <w:color w:val="000000"/>
                <w:sz w:val="19"/>
                <w:szCs w:val="19"/>
                <w:lang w:eastAsia="en-CA"/>
              </w:rPr>
              <w:t>23</w:t>
            </w:r>
            <w:r w:rsidR="007516F4">
              <w:rPr>
                <w:color w:val="000000"/>
                <w:sz w:val="19"/>
                <w:szCs w:val="19"/>
                <w:lang w:eastAsia="en-CA"/>
              </w:rPr>
              <w:t>.</w:t>
            </w:r>
            <w:r w:rsidRPr="0042463B">
              <w:rPr>
                <w:color w:val="000000"/>
                <w:sz w:val="19"/>
                <w:szCs w:val="19"/>
                <w:lang w:eastAsia="en-CA"/>
              </w:rPr>
              <w:t>400</w:t>
            </w:r>
          </w:p>
        </w:tc>
        <w:tc>
          <w:tcPr>
            <w:tcW w:w="359" w:type="pct"/>
            <w:tcBorders>
              <w:top w:val="nil"/>
              <w:left w:val="nil"/>
              <w:bottom w:val="single" w:sz="4" w:space="0" w:color="auto"/>
              <w:right w:val="single" w:sz="4" w:space="0" w:color="auto"/>
            </w:tcBorders>
            <w:shd w:val="clear" w:color="auto" w:fill="auto"/>
            <w:tcMar>
              <w:left w:w="14" w:type="dxa"/>
              <w:right w:w="29" w:type="dxa"/>
            </w:tcMar>
            <w:hideMark/>
          </w:tcPr>
          <w:p w14:paraId="701FD98A" w14:textId="77777777" w:rsidR="00A326B2" w:rsidRPr="0042463B" w:rsidRDefault="00A326B2" w:rsidP="00A326B2">
            <w:pPr>
              <w:jc w:val="right"/>
              <w:rPr>
                <w:b/>
                <w:color w:val="000000"/>
                <w:sz w:val="19"/>
                <w:szCs w:val="19"/>
              </w:rPr>
            </w:pPr>
            <w:r w:rsidRPr="0042463B">
              <w:rPr>
                <w:b/>
                <w:color w:val="000000"/>
                <w:sz w:val="19"/>
                <w:szCs w:val="19"/>
                <w:lang w:eastAsia="en-CA"/>
              </w:rPr>
              <w:t>0</w:t>
            </w:r>
          </w:p>
        </w:tc>
        <w:tc>
          <w:tcPr>
            <w:tcW w:w="467" w:type="pct"/>
            <w:tcBorders>
              <w:top w:val="nil"/>
              <w:left w:val="nil"/>
              <w:bottom w:val="single" w:sz="4" w:space="0" w:color="auto"/>
              <w:right w:val="single" w:sz="4" w:space="0" w:color="auto"/>
            </w:tcBorders>
            <w:shd w:val="clear" w:color="auto" w:fill="auto"/>
            <w:noWrap/>
            <w:tcMar>
              <w:left w:w="14" w:type="dxa"/>
              <w:right w:w="29" w:type="dxa"/>
            </w:tcMar>
            <w:hideMark/>
          </w:tcPr>
          <w:p w14:paraId="10E96751" w14:textId="7D6BD9A3" w:rsidR="00A326B2" w:rsidRPr="0042463B" w:rsidRDefault="00A326B2" w:rsidP="00A326B2">
            <w:pPr>
              <w:jc w:val="right"/>
              <w:rPr>
                <w:b/>
                <w:color w:val="000000"/>
                <w:sz w:val="19"/>
                <w:szCs w:val="19"/>
              </w:rPr>
            </w:pPr>
            <w:r w:rsidRPr="0042463B">
              <w:rPr>
                <w:b/>
                <w:color w:val="000000"/>
                <w:sz w:val="19"/>
                <w:szCs w:val="19"/>
                <w:lang w:eastAsia="en-CA"/>
              </w:rPr>
              <w:t>96</w:t>
            </w:r>
            <w:r w:rsidR="007516F4">
              <w:rPr>
                <w:b/>
                <w:color w:val="000000"/>
                <w:sz w:val="19"/>
                <w:szCs w:val="19"/>
                <w:lang w:eastAsia="en-CA"/>
              </w:rPr>
              <w:t>.</w:t>
            </w:r>
            <w:r w:rsidRPr="0042463B">
              <w:rPr>
                <w:b/>
                <w:color w:val="000000"/>
                <w:sz w:val="19"/>
                <w:szCs w:val="19"/>
                <w:lang w:eastAsia="en-CA"/>
              </w:rPr>
              <w:t>312</w:t>
            </w:r>
          </w:p>
        </w:tc>
      </w:tr>
      <w:tr w:rsidR="00A326B2" w:rsidRPr="0042463B" w14:paraId="0E663D53" w14:textId="77777777" w:rsidTr="00154084">
        <w:tc>
          <w:tcPr>
            <w:tcW w:w="306" w:type="pct"/>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1371562A" w14:textId="77777777" w:rsidR="00A326B2" w:rsidRPr="0042463B" w:rsidRDefault="00A326B2" w:rsidP="00A326B2">
            <w:pPr>
              <w:jc w:val="left"/>
              <w:rPr>
                <w:color w:val="000000"/>
                <w:sz w:val="19"/>
                <w:szCs w:val="19"/>
              </w:rPr>
            </w:pPr>
            <w:r w:rsidRPr="0042463B">
              <w:rPr>
                <w:color w:val="000000"/>
                <w:sz w:val="19"/>
                <w:szCs w:val="19"/>
                <w:lang w:eastAsia="en-CA"/>
              </w:rPr>
              <w:t>3.3</w:t>
            </w:r>
          </w:p>
        </w:tc>
        <w:tc>
          <w:tcPr>
            <w:tcW w:w="1014" w:type="pct"/>
            <w:tcBorders>
              <w:top w:val="nil"/>
              <w:left w:val="nil"/>
              <w:bottom w:val="single" w:sz="4" w:space="0" w:color="auto"/>
              <w:right w:val="single" w:sz="4" w:space="0" w:color="auto"/>
            </w:tcBorders>
            <w:shd w:val="clear" w:color="auto" w:fill="auto"/>
            <w:hideMark/>
          </w:tcPr>
          <w:p w14:paraId="7E033A55" w14:textId="180B1AA5" w:rsidR="00A326B2" w:rsidRPr="0042463B" w:rsidRDefault="00A326B2" w:rsidP="00A326B2">
            <w:pPr>
              <w:jc w:val="left"/>
              <w:rPr>
                <w:color w:val="000000"/>
                <w:sz w:val="19"/>
                <w:szCs w:val="19"/>
              </w:rPr>
            </w:pPr>
            <w:r w:rsidRPr="0042463B">
              <w:rPr>
                <w:sz w:val="18"/>
                <w:szCs w:val="18"/>
              </w:rPr>
              <w:t>Total des coûts convenus ($US)</w:t>
            </w:r>
          </w:p>
        </w:tc>
        <w:tc>
          <w:tcPr>
            <w:tcW w:w="356" w:type="pct"/>
            <w:tcBorders>
              <w:top w:val="nil"/>
              <w:left w:val="nil"/>
              <w:bottom w:val="single" w:sz="4" w:space="0" w:color="auto"/>
              <w:right w:val="single" w:sz="4" w:space="0" w:color="auto"/>
            </w:tcBorders>
            <w:shd w:val="clear" w:color="auto" w:fill="auto"/>
            <w:tcMar>
              <w:left w:w="14" w:type="dxa"/>
              <w:right w:w="29" w:type="dxa"/>
            </w:tcMar>
            <w:hideMark/>
          </w:tcPr>
          <w:p w14:paraId="5CE1CE1B" w14:textId="025BFBF0" w:rsidR="00A326B2" w:rsidRPr="0042463B" w:rsidRDefault="00A326B2" w:rsidP="00A326B2">
            <w:pPr>
              <w:jc w:val="right"/>
              <w:rPr>
                <w:color w:val="000000"/>
                <w:sz w:val="19"/>
                <w:szCs w:val="19"/>
              </w:rPr>
            </w:pPr>
            <w:r w:rsidRPr="0042463B">
              <w:rPr>
                <w:color w:val="000000"/>
                <w:sz w:val="19"/>
                <w:szCs w:val="19"/>
                <w:lang w:eastAsia="en-CA"/>
              </w:rPr>
              <w:t>723</w:t>
            </w:r>
            <w:r w:rsidR="007516F4">
              <w:rPr>
                <w:color w:val="000000"/>
                <w:sz w:val="19"/>
                <w:szCs w:val="19"/>
                <w:lang w:eastAsia="en-CA"/>
              </w:rPr>
              <w:t>.</w:t>
            </w:r>
            <w:r w:rsidRPr="0042463B">
              <w:rPr>
                <w:color w:val="000000"/>
                <w:sz w:val="19"/>
                <w:szCs w:val="19"/>
                <w:lang w:eastAsia="en-CA"/>
              </w:rPr>
              <w:t>517</w:t>
            </w:r>
          </w:p>
        </w:tc>
        <w:tc>
          <w:tcPr>
            <w:tcW w:w="357" w:type="pct"/>
            <w:tcBorders>
              <w:top w:val="nil"/>
              <w:left w:val="nil"/>
              <w:bottom w:val="single" w:sz="4" w:space="0" w:color="auto"/>
              <w:right w:val="single" w:sz="4" w:space="0" w:color="auto"/>
            </w:tcBorders>
            <w:shd w:val="clear" w:color="auto" w:fill="auto"/>
            <w:tcMar>
              <w:left w:w="14" w:type="dxa"/>
              <w:right w:w="29" w:type="dxa"/>
            </w:tcMar>
            <w:hideMark/>
          </w:tcPr>
          <w:p w14:paraId="5DACCC21" w14:textId="77777777" w:rsidR="00A326B2" w:rsidRPr="0042463B" w:rsidRDefault="00A326B2" w:rsidP="00A326B2">
            <w:pPr>
              <w:jc w:val="right"/>
              <w:rPr>
                <w:color w:val="000000"/>
                <w:sz w:val="19"/>
                <w:szCs w:val="19"/>
              </w:rPr>
            </w:pPr>
            <w:r w:rsidRPr="0042463B">
              <w:rPr>
                <w:color w:val="000000"/>
                <w:sz w:val="19"/>
                <w:szCs w:val="19"/>
                <w:lang w:eastAsia="en-CA"/>
              </w:rPr>
              <w:t>0</w:t>
            </w:r>
          </w:p>
        </w:tc>
        <w:tc>
          <w:tcPr>
            <w:tcW w:w="357" w:type="pct"/>
            <w:tcBorders>
              <w:top w:val="nil"/>
              <w:left w:val="nil"/>
              <w:bottom w:val="single" w:sz="4" w:space="0" w:color="auto"/>
              <w:right w:val="single" w:sz="4" w:space="0" w:color="auto"/>
            </w:tcBorders>
            <w:shd w:val="clear" w:color="auto" w:fill="auto"/>
            <w:tcMar>
              <w:left w:w="14" w:type="dxa"/>
              <w:right w:w="29" w:type="dxa"/>
            </w:tcMar>
            <w:hideMark/>
          </w:tcPr>
          <w:p w14:paraId="49200486" w14:textId="3B974BF1" w:rsidR="00A326B2" w:rsidRPr="0042463B" w:rsidRDefault="00A326B2" w:rsidP="00A326B2">
            <w:pPr>
              <w:jc w:val="right"/>
              <w:rPr>
                <w:color w:val="000000"/>
                <w:sz w:val="19"/>
                <w:szCs w:val="19"/>
              </w:rPr>
            </w:pPr>
            <w:r w:rsidRPr="0042463B">
              <w:rPr>
                <w:color w:val="000000"/>
                <w:sz w:val="19"/>
                <w:szCs w:val="19"/>
                <w:lang w:eastAsia="en-CA"/>
              </w:rPr>
              <w:t>163</w:t>
            </w:r>
            <w:r w:rsidR="007516F4">
              <w:rPr>
                <w:color w:val="000000"/>
                <w:sz w:val="19"/>
                <w:szCs w:val="19"/>
                <w:lang w:eastAsia="en-CA"/>
              </w:rPr>
              <w:t>.</w:t>
            </w:r>
            <w:r w:rsidRPr="0042463B">
              <w:rPr>
                <w:color w:val="000000"/>
                <w:sz w:val="19"/>
                <w:szCs w:val="19"/>
                <w:lang w:eastAsia="en-CA"/>
              </w:rPr>
              <w:t>850</w:t>
            </w:r>
          </w:p>
        </w:tc>
        <w:tc>
          <w:tcPr>
            <w:tcW w:w="357" w:type="pct"/>
            <w:tcBorders>
              <w:top w:val="nil"/>
              <w:left w:val="nil"/>
              <w:bottom w:val="single" w:sz="4" w:space="0" w:color="auto"/>
              <w:right w:val="single" w:sz="4" w:space="0" w:color="auto"/>
            </w:tcBorders>
            <w:shd w:val="clear" w:color="auto" w:fill="auto"/>
            <w:tcMar>
              <w:left w:w="14" w:type="dxa"/>
              <w:right w:w="29" w:type="dxa"/>
            </w:tcMar>
            <w:hideMark/>
          </w:tcPr>
          <w:p w14:paraId="6C5A7027" w14:textId="77777777" w:rsidR="00A326B2" w:rsidRPr="0042463B" w:rsidRDefault="00A326B2" w:rsidP="00A326B2">
            <w:pPr>
              <w:jc w:val="right"/>
              <w:rPr>
                <w:color w:val="000000"/>
                <w:sz w:val="19"/>
                <w:szCs w:val="19"/>
              </w:rPr>
            </w:pPr>
            <w:r w:rsidRPr="0042463B">
              <w:rPr>
                <w:color w:val="000000"/>
                <w:sz w:val="19"/>
                <w:szCs w:val="19"/>
                <w:lang w:eastAsia="en-CA"/>
              </w:rPr>
              <w:t>0</w:t>
            </w:r>
          </w:p>
        </w:tc>
        <w:tc>
          <w:tcPr>
            <w:tcW w:w="356" w:type="pct"/>
            <w:tcBorders>
              <w:top w:val="nil"/>
              <w:left w:val="nil"/>
              <w:bottom w:val="single" w:sz="4" w:space="0" w:color="auto"/>
              <w:right w:val="single" w:sz="4" w:space="0" w:color="auto"/>
            </w:tcBorders>
            <w:shd w:val="clear" w:color="auto" w:fill="auto"/>
            <w:tcMar>
              <w:left w:w="14" w:type="dxa"/>
              <w:right w:w="29" w:type="dxa"/>
            </w:tcMar>
            <w:hideMark/>
          </w:tcPr>
          <w:p w14:paraId="648D8273" w14:textId="77777777" w:rsidR="00A326B2" w:rsidRPr="0042463B" w:rsidRDefault="00A326B2" w:rsidP="00A326B2">
            <w:pPr>
              <w:jc w:val="right"/>
              <w:rPr>
                <w:color w:val="000000"/>
                <w:sz w:val="19"/>
                <w:szCs w:val="19"/>
                <w:lang w:eastAsia="en-CA"/>
              </w:rPr>
            </w:pPr>
          </w:p>
        </w:tc>
        <w:tc>
          <w:tcPr>
            <w:tcW w:w="357" w:type="pct"/>
            <w:tcBorders>
              <w:top w:val="nil"/>
              <w:left w:val="nil"/>
              <w:bottom w:val="single" w:sz="4" w:space="0" w:color="auto"/>
              <w:right w:val="single" w:sz="4" w:space="0" w:color="auto"/>
            </w:tcBorders>
            <w:shd w:val="clear" w:color="auto" w:fill="auto"/>
            <w:tcMar>
              <w:left w:w="14" w:type="dxa"/>
              <w:right w:w="29" w:type="dxa"/>
            </w:tcMar>
            <w:hideMark/>
          </w:tcPr>
          <w:p w14:paraId="23D26067" w14:textId="77777777" w:rsidR="00A326B2" w:rsidRPr="0042463B" w:rsidRDefault="00A326B2" w:rsidP="00A326B2">
            <w:pPr>
              <w:jc w:val="right"/>
              <w:rPr>
                <w:color w:val="000000"/>
                <w:sz w:val="19"/>
                <w:szCs w:val="19"/>
              </w:rPr>
            </w:pPr>
            <w:r w:rsidRPr="0042463B">
              <w:rPr>
                <w:color w:val="000000"/>
                <w:sz w:val="19"/>
                <w:szCs w:val="19"/>
                <w:lang w:eastAsia="en-CA"/>
              </w:rPr>
              <w:t>0</w:t>
            </w:r>
          </w:p>
        </w:tc>
        <w:tc>
          <w:tcPr>
            <w:tcW w:w="357" w:type="pct"/>
            <w:tcBorders>
              <w:top w:val="nil"/>
              <w:left w:val="nil"/>
              <w:bottom w:val="single" w:sz="4" w:space="0" w:color="auto"/>
              <w:right w:val="single" w:sz="4" w:space="0" w:color="auto"/>
            </w:tcBorders>
            <w:shd w:val="clear" w:color="auto" w:fill="auto"/>
            <w:tcMar>
              <w:left w:w="14" w:type="dxa"/>
              <w:right w:w="29" w:type="dxa"/>
            </w:tcMar>
            <w:hideMark/>
          </w:tcPr>
          <w:p w14:paraId="58C9151A" w14:textId="77777777" w:rsidR="00A326B2" w:rsidRPr="0042463B" w:rsidRDefault="00A326B2" w:rsidP="00A326B2">
            <w:pPr>
              <w:jc w:val="right"/>
              <w:rPr>
                <w:color w:val="000000"/>
                <w:sz w:val="19"/>
                <w:szCs w:val="19"/>
                <w:lang w:eastAsia="en-CA"/>
              </w:rPr>
            </w:pPr>
          </w:p>
        </w:tc>
        <w:tc>
          <w:tcPr>
            <w:tcW w:w="357" w:type="pct"/>
            <w:tcBorders>
              <w:top w:val="nil"/>
              <w:left w:val="nil"/>
              <w:bottom w:val="single" w:sz="4" w:space="0" w:color="auto"/>
              <w:right w:val="single" w:sz="4" w:space="0" w:color="auto"/>
            </w:tcBorders>
            <w:shd w:val="clear" w:color="auto" w:fill="auto"/>
            <w:tcMar>
              <w:left w:w="14" w:type="dxa"/>
              <w:right w:w="29" w:type="dxa"/>
            </w:tcMar>
            <w:hideMark/>
          </w:tcPr>
          <w:p w14:paraId="353B5D70" w14:textId="3292E22C" w:rsidR="00A326B2" w:rsidRPr="0042463B" w:rsidRDefault="00A326B2" w:rsidP="00A326B2">
            <w:pPr>
              <w:jc w:val="right"/>
              <w:rPr>
                <w:color w:val="000000"/>
                <w:sz w:val="19"/>
                <w:szCs w:val="19"/>
              </w:rPr>
            </w:pPr>
            <w:r w:rsidRPr="0042463B">
              <w:rPr>
                <w:color w:val="000000"/>
                <w:sz w:val="19"/>
                <w:szCs w:val="19"/>
                <w:lang w:eastAsia="en-CA"/>
              </w:rPr>
              <w:t>203</w:t>
            </w:r>
            <w:r w:rsidR="007516F4">
              <w:rPr>
                <w:color w:val="000000"/>
                <w:sz w:val="19"/>
                <w:szCs w:val="19"/>
                <w:lang w:eastAsia="en-CA"/>
              </w:rPr>
              <w:t>.</w:t>
            </w:r>
            <w:r w:rsidRPr="0042463B">
              <w:rPr>
                <w:color w:val="000000"/>
                <w:sz w:val="19"/>
                <w:szCs w:val="19"/>
                <w:lang w:eastAsia="en-CA"/>
              </w:rPr>
              <w:t>400</w:t>
            </w:r>
          </w:p>
        </w:tc>
        <w:tc>
          <w:tcPr>
            <w:tcW w:w="359" w:type="pct"/>
            <w:tcBorders>
              <w:top w:val="nil"/>
              <w:left w:val="nil"/>
              <w:bottom w:val="single" w:sz="4" w:space="0" w:color="auto"/>
              <w:right w:val="single" w:sz="4" w:space="0" w:color="auto"/>
            </w:tcBorders>
            <w:shd w:val="clear" w:color="auto" w:fill="auto"/>
            <w:tcMar>
              <w:left w:w="14" w:type="dxa"/>
              <w:right w:w="29" w:type="dxa"/>
            </w:tcMar>
            <w:hideMark/>
          </w:tcPr>
          <w:p w14:paraId="417C671B" w14:textId="77777777" w:rsidR="00A326B2" w:rsidRPr="0042463B" w:rsidRDefault="00A326B2" w:rsidP="00A326B2">
            <w:pPr>
              <w:jc w:val="right"/>
              <w:rPr>
                <w:b/>
                <w:color w:val="000000"/>
                <w:sz w:val="19"/>
                <w:szCs w:val="19"/>
              </w:rPr>
            </w:pPr>
            <w:r w:rsidRPr="0042463B">
              <w:rPr>
                <w:b/>
                <w:color w:val="000000"/>
                <w:sz w:val="19"/>
                <w:szCs w:val="19"/>
                <w:lang w:eastAsia="en-CA"/>
              </w:rPr>
              <w:t>0</w:t>
            </w:r>
          </w:p>
        </w:tc>
        <w:tc>
          <w:tcPr>
            <w:tcW w:w="467" w:type="pct"/>
            <w:tcBorders>
              <w:top w:val="nil"/>
              <w:left w:val="nil"/>
              <w:bottom w:val="single" w:sz="4" w:space="0" w:color="auto"/>
              <w:right w:val="single" w:sz="4" w:space="0" w:color="auto"/>
            </w:tcBorders>
            <w:shd w:val="clear" w:color="auto" w:fill="auto"/>
            <w:noWrap/>
            <w:tcMar>
              <w:left w:w="14" w:type="dxa"/>
              <w:right w:w="29" w:type="dxa"/>
            </w:tcMar>
            <w:hideMark/>
          </w:tcPr>
          <w:p w14:paraId="5C8C5358" w14:textId="3D689C79" w:rsidR="00A326B2" w:rsidRPr="0042463B" w:rsidRDefault="00A326B2" w:rsidP="00A326B2">
            <w:pPr>
              <w:jc w:val="right"/>
              <w:rPr>
                <w:b/>
                <w:color w:val="000000"/>
                <w:sz w:val="19"/>
                <w:szCs w:val="19"/>
              </w:rPr>
            </w:pPr>
            <w:r w:rsidRPr="0042463B">
              <w:rPr>
                <w:b/>
                <w:color w:val="000000"/>
                <w:sz w:val="19"/>
                <w:szCs w:val="19"/>
                <w:lang w:eastAsia="en-CA"/>
              </w:rPr>
              <w:t>1</w:t>
            </w:r>
            <w:r w:rsidR="007516F4">
              <w:rPr>
                <w:b/>
                <w:color w:val="000000"/>
                <w:sz w:val="19"/>
                <w:szCs w:val="19"/>
                <w:lang w:eastAsia="en-CA"/>
              </w:rPr>
              <w:t>.</w:t>
            </w:r>
            <w:r w:rsidRPr="0042463B">
              <w:rPr>
                <w:b/>
                <w:color w:val="000000"/>
                <w:sz w:val="19"/>
                <w:szCs w:val="19"/>
                <w:lang w:eastAsia="en-CA"/>
              </w:rPr>
              <w:t>090</w:t>
            </w:r>
            <w:r w:rsidR="007516F4">
              <w:rPr>
                <w:b/>
                <w:color w:val="000000"/>
                <w:sz w:val="19"/>
                <w:szCs w:val="19"/>
                <w:lang w:eastAsia="en-CA"/>
              </w:rPr>
              <w:t>.</w:t>
            </w:r>
            <w:r w:rsidRPr="0042463B">
              <w:rPr>
                <w:b/>
                <w:color w:val="000000"/>
                <w:sz w:val="19"/>
                <w:szCs w:val="19"/>
                <w:lang w:eastAsia="en-CA"/>
              </w:rPr>
              <w:t>767</w:t>
            </w:r>
          </w:p>
        </w:tc>
      </w:tr>
      <w:tr w:rsidR="00A326B2" w:rsidRPr="0042463B" w14:paraId="3BB20652" w14:textId="77777777" w:rsidTr="00154084">
        <w:tc>
          <w:tcPr>
            <w:tcW w:w="306" w:type="pct"/>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034B5147" w14:textId="77777777" w:rsidR="00A326B2" w:rsidRPr="0042463B" w:rsidRDefault="00A326B2" w:rsidP="00A326B2">
            <w:pPr>
              <w:jc w:val="left"/>
              <w:rPr>
                <w:color w:val="000000"/>
                <w:sz w:val="19"/>
                <w:szCs w:val="19"/>
              </w:rPr>
            </w:pPr>
            <w:r w:rsidRPr="0042463B">
              <w:rPr>
                <w:color w:val="000000"/>
                <w:sz w:val="19"/>
                <w:szCs w:val="19"/>
                <w:lang w:eastAsia="en-CA"/>
              </w:rPr>
              <w:t>4.1.1</w:t>
            </w:r>
          </w:p>
        </w:tc>
        <w:tc>
          <w:tcPr>
            <w:tcW w:w="4227" w:type="pct"/>
            <w:gridSpan w:val="10"/>
            <w:tcBorders>
              <w:top w:val="single" w:sz="4" w:space="0" w:color="auto"/>
              <w:left w:val="nil"/>
              <w:bottom w:val="single" w:sz="4" w:space="0" w:color="auto"/>
              <w:right w:val="single" w:sz="4" w:space="0" w:color="000000"/>
            </w:tcBorders>
            <w:shd w:val="clear" w:color="auto" w:fill="auto"/>
            <w:hideMark/>
          </w:tcPr>
          <w:p w14:paraId="7B79C623" w14:textId="1C566D0F" w:rsidR="00A326B2" w:rsidRPr="0042463B" w:rsidRDefault="00A326B2" w:rsidP="00A326B2">
            <w:pPr>
              <w:jc w:val="left"/>
              <w:rPr>
                <w:color w:val="000000"/>
                <w:sz w:val="18"/>
                <w:szCs w:val="18"/>
              </w:rPr>
            </w:pPr>
            <w:r w:rsidRPr="0042463B">
              <w:rPr>
                <w:color w:val="000000"/>
                <w:sz w:val="18"/>
                <w:szCs w:val="18"/>
              </w:rPr>
              <w:t>Élimination totale de HCFC</w:t>
            </w:r>
            <w:r w:rsidRPr="0042463B">
              <w:rPr>
                <w:color w:val="000000"/>
                <w:sz w:val="18"/>
                <w:szCs w:val="18"/>
              </w:rPr>
              <w:noBreakHyphen/>
              <w:t xml:space="preserve">22 convenue en vertu de l’Accord (tonnes PAO) </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33983" w14:textId="12A29F9A" w:rsidR="00A326B2" w:rsidRPr="0042463B" w:rsidRDefault="00A326B2" w:rsidP="00A326B2">
            <w:pPr>
              <w:jc w:val="right"/>
              <w:rPr>
                <w:color w:val="000000"/>
                <w:sz w:val="19"/>
                <w:szCs w:val="19"/>
              </w:rPr>
            </w:pPr>
            <w:r w:rsidRPr="0042463B">
              <w:rPr>
                <w:sz w:val="19"/>
                <w:szCs w:val="19"/>
                <w:lang w:eastAsia="en-CA"/>
              </w:rPr>
              <w:t>17</w:t>
            </w:r>
            <w:r w:rsidR="007516F4">
              <w:rPr>
                <w:sz w:val="19"/>
                <w:szCs w:val="19"/>
                <w:lang w:eastAsia="en-CA"/>
              </w:rPr>
              <w:t>,</w:t>
            </w:r>
            <w:r w:rsidRPr="0042463B">
              <w:rPr>
                <w:sz w:val="19"/>
                <w:szCs w:val="19"/>
                <w:lang w:eastAsia="en-CA"/>
              </w:rPr>
              <w:t>59</w:t>
            </w:r>
          </w:p>
        </w:tc>
      </w:tr>
      <w:tr w:rsidR="00A326B2" w:rsidRPr="0042463B" w14:paraId="15F14D48" w14:textId="77777777" w:rsidTr="00154084">
        <w:tc>
          <w:tcPr>
            <w:tcW w:w="306" w:type="pct"/>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37A94651" w14:textId="77777777" w:rsidR="00A326B2" w:rsidRPr="0042463B" w:rsidRDefault="00A326B2" w:rsidP="00A326B2">
            <w:pPr>
              <w:jc w:val="left"/>
              <w:rPr>
                <w:color w:val="000000"/>
                <w:sz w:val="19"/>
                <w:szCs w:val="19"/>
              </w:rPr>
            </w:pPr>
            <w:r w:rsidRPr="0042463B">
              <w:rPr>
                <w:color w:val="000000"/>
                <w:sz w:val="19"/>
                <w:szCs w:val="19"/>
                <w:lang w:eastAsia="en-CA"/>
              </w:rPr>
              <w:t>4.1.2</w:t>
            </w:r>
          </w:p>
        </w:tc>
        <w:tc>
          <w:tcPr>
            <w:tcW w:w="4227" w:type="pct"/>
            <w:gridSpan w:val="10"/>
            <w:tcBorders>
              <w:top w:val="single" w:sz="4" w:space="0" w:color="auto"/>
              <w:left w:val="nil"/>
              <w:bottom w:val="single" w:sz="4" w:space="0" w:color="auto"/>
              <w:right w:val="single" w:sz="4" w:space="0" w:color="000000"/>
            </w:tcBorders>
            <w:shd w:val="clear" w:color="auto" w:fill="auto"/>
            <w:hideMark/>
          </w:tcPr>
          <w:p w14:paraId="73FB52AF" w14:textId="0D0664EC" w:rsidR="00A326B2" w:rsidRPr="0042463B" w:rsidRDefault="00A326B2" w:rsidP="00A326B2">
            <w:pPr>
              <w:jc w:val="left"/>
              <w:rPr>
                <w:color w:val="000000"/>
                <w:sz w:val="18"/>
                <w:szCs w:val="18"/>
              </w:rPr>
            </w:pPr>
            <w:r w:rsidRPr="0042463B">
              <w:rPr>
                <w:color w:val="000000"/>
                <w:sz w:val="18"/>
                <w:szCs w:val="18"/>
              </w:rPr>
              <w:t>Élimination de HCFC</w:t>
            </w:r>
            <w:r w:rsidRPr="0042463B">
              <w:rPr>
                <w:color w:val="000000"/>
                <w:sz w:val="18"/>
                <w:szCs w:val="18"/>
              </w:rPr>
              <w:noBreakHyphen/>
              <w:t>22 à réaliser dans le cadre de projets approuvés précédemment (tonnes PAO)</w:t>
            </w:r>
          </w:p>
        </w:tc>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0BA00BCC" w14:textId="77777777" w:rsidR="00A326B2" w:rsidRPr="0042463B" w:rsidRDefault="00A326B2" w:rsidP="00A326B2">
            <w:pPr>
              <w:jc w:val="right"/>
              <w:rPr>
                <w:color w:val="000000"/>
                <w:sz w:val="19"/>
                <w:szCs w:val="19"/>
              </w:rPr>
            </w:pPr>
            <w:r w:rsidRPr="0042463B">
              <w:rPr>
                <w:color w:val="000000"/>
                <w:sz w:val="19"/>
                <w:szCs w:val="19"/>
                <w:lang w:eastAsia="en-CA"/>
              </w:rPr>
              <w:t>0</w:t>
            </w:r>
          </w:p>
        </w:tc>
      </w:tr>
      <w:tr w:rsidR="00A326B2" w:rsidRPr="0042463B" w14:paraId="0B873DF7" w14:textId="77777777" w:rsidTr="00154084">
        <w:tc>
          <w:tcPr>
            <w:tcW w:w="306" w:type="pct"/>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652E7129" w14:textId="77777777" w:rsidR="00A326B2" w:rsidRPr="0042463B" w:rsidRDefault="00A326B2" w:rsidP="00A326B2">
            <w:pPr>
              <w:jc w:val="left"/>
              <w:rPr>
                <w:color w:val="000000"/>
                <w:sz w:val="19"/>
                <w:szCs w:val="19"/>
              </w:rPr>
            </w:pPr>
            <w:r w:rsidRPr="0042463B">
              <w:rPr>
                <w:color w:val="000000"/>
                <w:sz w:val="19"/>
                <w:szCs w:val="19"/>
                <w:lang w:eastAsia="en-CA"/>
              </w:rPr>
              <w:t>4.1.3</w:t>
            </w:r>
          </w:p>
        </w:tc>
        <w:tc>
          <w:tcPr>
            <w:tcW w:w="4227" w:type="pct"/>
            <w:gridSpan w:val="10"/>
            <w:tcBorders>
              <w:top w:val="single" w:sz="4" w:space="0" w:color="auto"/>
              <w:left w:val="nil"/>
              <w:bottom w:val="single" w:sz="4" w:space="0" w:color="auto"/>
              <w:right w:val="single" w:sz="4" w:space="0" w:color="000000"/>
            </w:tcBorders>
            <w:shd w:val="clear" w:color="auto" w:fill="auto"/>
            <w:hideMark/>
          </w:tcPr>
          <w:p w14:paraId="41B81FF7" w14:textId="2D4E0A41" w:rsidR="00A326B2" w:rsidRPr="0042463B" w:rsidRDefault="00A326B2" w:rsidP="00A326B2">
            <w:pPr>
              <w:jc w:val="left"/>
              <w:rPr>
                <w:color w:val="000000"/>
                <w:sz w:val="18"/>
                <w:szCs w:val="18"/>
              </w:rPr>
            </w:pPr>
            <w:r w:rsidRPr="0042463B">
              <w:rPr>
                <w:color w:val="000000"/>
                <w:sz w:val="18"/>
                <w:szCs w:val="18"/>
              </w:rPr>
              <w:t>Consommation restante admissible de HCFC</w:t>
            </w:r>
            <w:r w:rsidRPr="0042463B">
              <w:rPr>
                <w:color w:val="000000"/>
                <w:sz w:val="18"/>
                <w:szCs w:val="18"/>
              </w:rPr>
              <w:noBreakHyphen/>
              <w:t xml:space="preserve">22 (tonnes PAO) </w:t>
            </w:r>
          </w:p>
        </w:tc>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4FAF1A0D" w14:textId="1C10BC5F" w:rsidR="00A326B2" w:rsidRPr="0042463B" w:rsidRDefault="00A326B2" w:rsidP="00A326B2">
            <w:pPr>
              <w:jc w:val="right"/>
              <w:rPr>
                <w:color w:val="000000"/>
                <w:sz w:val="19"/>
                <w:szCs w:val="19"/>
              </w:rPr>
            </w:pPr>
            <w:r w:rsidRPr="0042463B">
              <w:rPr>
                <w:color w:val="000000"/>
                <w:sz w:val="19"/>
                <w:szCs w:val="19"/>
              </w:rPr>
              <w:t>33</w:t>
            </w:r>
            <w:r w:rsidR="007516F4">
              <w:rPr>
                <w:color w:val="000000"/>
                <w:sz w:val="19"/>
                <w:szCs w:val="19"/>
              </w:rPr>
              <w:t>,</w:t>
            </w:r>
            <w:r w:rsidRPr="0042463B">
              <w:rPr>
                <w:color w:val="000000"/>
                <w:sz w:val="19"/>
                <w:szCs w:val="19"/>
              </w:rPr>
              <w:t>25</w:t>
            </w:r>
          </w:p>
        </w:tc>
      </w:tr>
      <w:tr w:rsidR="00A326B2" w:rsidRPr="0042463B" w14:paraId="58E3974F" w14:textId="77777777" w:rsidTr="00154084">
        <w:tc>
          <w:tcPr>
            <w:tcW w:w="306" w:type="pct"/>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5E60ED04" w14:textId="77777777" w:rsidR="00A326B2" w:rsidRPr="0042463B" w:rsidRDefault="00A326B2" w:rsidP="00A326B2">
            <w:pPr>
              <w:jc w:val="left"/>
              <w:rPr>
                <w:color w:val="000000"/>
                <w:sz w:val="19"/>
                <w:szCs w:val="19"/>
              </w:rPr>
            </w:pPr>
            <w:r w:rsidRPr="0042463B">
              <w:rPr>
                <w:color w:val="000000"/>
                <w:sz w:val="19"/>
                <w:szCs w:val="19"/>
                <w:lang w:eastAsia="en-CA"/>
              </w:rPr>
              <w:t>4.2.1</w:t>
            </w:r>
          </w:p>
        </w:tc>
        <w:tc>
          <w:tcPr>
            <w:tcW w:w="4227" w:type="pct"/>
            <w:gridSpan w:val="10"/>
            <w:tcBorders>
              <w:top w:val="single" w:sz="4" w:space="0" w:color="auto"/>
              <w:left w:val="nil"/>
              <w:bottom w:val="single" w:sz="4" w:space="0" w:color="auto"/>
              <w:right w:val="single" w:sz="4" w:space="0" w:color="000000"/>
            </w:tcBorders>
            <w:shd w:val="clear" w:color="auto" w:fill="auto"/>
            <w:hideMark/>
          </w:tcPr>
          <w:p w14:paraId="4771ACD0" w14:textId="707C3ECC" w:rsidR="00A326B2" w:rsidRPr="0042463B" w:rsidRDefault="00A326B2" w:rsidP="00A326B2">
            <w:pPr>
              <w:jc w:val="left"/>
              <w:rPr>
                <w:color w:val="000000"/>
                <w:sz w:val="18"/>
                <w:szCs w:val="18"/>
              </w:rPr>
            </w:pPr>
            <w:r w:rsidRPr="0042463B">
              <w:rPr>
                <w:color w:val="000000"/>
                <w:sz w:val="18"/>
                <w:szCs w:val="18"/>
              </w:rPr>
              <w:t>Élimination totale de HCFC</w:t>
            </w:r>
            <w:r w:rsidRPr="0042463B">
              <w:rPr>
                <w:color w:val="000000"/>
                <w:sz w:val="18"/>
                <w:szCs w:val="18"/>
              </w:rPr>
              <w:noBreakHyphen/>
              <w:t xml:space="preserve">141b convenue en vertu de l’Accord (tonnes PAO) </w:t>
            </w:r>
          </w:p>
        </w:tc>
        <w:tc>
          <w:tcPr>
            <w:tcW w:w="467" w:type="pct"/>
            <w:tcBorders>
              <w:top w:val="nil"/>
              <w:left w:val="nil"/>
              <w:bottom w:val="single" w:sz="4" w:space="0" w:color="auto"/>
              <w:right w:val="single" w:sz="4" w:space="0" w:color="auto"/>
            </w:tcBorders>
            <w:shd w:val="clear" w:color="auto" w:fill="auto"/>
            <w:noWrap/>
            <w:hideMark/>
          </w:tcPr>
          <w:p w14:paraId="6EFF72CA" w14:textId="1B42AC23" w:rsidR="00A326B2" w:rsidRPr="0042463B" w:rsidRDefault="00A326B2" w:rsidP="00A326B2">
            <w:pPr>
              <w:jc w:val="right"/>
              <w:rPr>
                <w:color w:val="000000"/>
                <w:sz w:val="19"/>
                <w:szCs w:val="19"/>
              </w:rPr>
            </w:pPr>
            <w:r w:rsidRPr="0042463B">
              <w:rPr>
                <w:color w:val="000000"/>
                <w:sz w:val="19"/>
                <w:szCs w:val="19"/>
                <w:lang w:eastAsia="en-CA"/>
              </w:rPr>
              <w:t>0</w:t>
            </w:r>
            <w:r w:rsidR="007516F4">
              <w:rPr>
                <w:color w:val="000000"/>
                <w:sz w:val="19"/>
                <w:szCs w:val="19"/>
                <w:lang w:eastAsia="en-CA"/>
              </w:rPr>
              <w:t>,</w:t>
            </w:r>
            <w:r w:rsidRPr="0042463B">
              <w:rPr>
                <w:color w:val="000000"/>
                <w:sz w:val="19"/>
                <w:szCs w:val="19"/>
                <w:lang w:eastAsia="en-CA"/>
              </w:rPr>
              <w:t>44</w:t>
            </w:r>
          </w:p>
        </w:tc>
      </w:tr>
      <w:tr w:rsidR="00A326B2" w:rsidRPr="0042463B" w14:paraId="3B57BECF" w14:textId="77777777" w:rsidTr="00154084">
        <w:tc>
          <w:tcPr>
            <w:tcW w:w="306" w:type="pct"/>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2E308924" w14:textId="77777777" w:rsidR="00A326B2" w:rsidRPr="0042463B" w:rsidRDefault="00A326B2" w:rsidP="00A326B2">
            <w:pPr>
              <w:jc w:val="left"/>
              <w:rPr>
                <w:color w:val="000000"/>
                <w:sz w:val="19"/>
                <w:szCs w:val="19"/>
              </w:rPr>
            </w:pPr>
            <w:r w:rsidRPr="0042463B">
              <w:rPr>
                <w:color w:val="000000"/>
                <w:sz w:val="19"/>
                <w:szCs w:val="19"/>
                <w:lang w:eastAsia="en-CA"/>
              </w:rPr>
              <w:t>4.2.2</w:t>
            </w:r>
          </w:p>
        </w:tc>
        <w:tc>
          <w:tcPr>
            <w:tcW w:w="4227" w:type="pct"/>
            <w:gridSpan w:val="10"/>
            <w:tcBorders>
              <w:top w:val="single" w:sz="4" w:space="0" w:color="auto"/>
              <w:left w:val="nil"/>
              <w:bottom w:val="single" w:sz="4" w:space="0" w:color="auto"/>
              <w:right w:val="single" w:sz="4" w:space="0" w:color="000000"/>
            </w:tcBorders>
            <w:shd w:val="clear" w:color="auto" w:fill="auto"/>
            <w:hideMark/>
          </w:tcPr>
          <w:p w14:paraId="170A02F2" w14:textId="3A9BB879" w:rsidR="00A326B2" w:rsidRPr="0042463B" w:rsidRDefault="00A326B2" w:rsidP="00A326B2">
            <w:pPr>
              <w:jc w:val="left"/>
              <w:rPr>
                <w:color w:val="000000"/>
                <w:sz w:val="18"/>
                <w:szCs w:val="18"/>
              </w:rPr>
            </w:pPr>
            <w:r w:rsidRPr="0042463B">
              <w:rPr>
                <w:color w:val="000000"/>
                <w:sz w:val="18"/>
                <w:szCs w:val="18"/>
              </w:rPr>
              <w:t>Élimination de HCFC</w:t>
            </w:r>
            <w:r w:rsidRPr="0042463B">
              <w:rPr>
                <w:color w:val="000000"/>
                <w:sz w:val="18"/>
                <w:szCs w:val="18"/>
              </w:rPr>
              <w:noBreakHyphen/>
              <w:t xml:space="preserve">141b à réaliser dans le cadre de projets approuvés précédemment (tonnes PAO) </w:t>
            </w:r>
          </w:p>
        </w:tc>
        <w:tc>
          <w:tcPr>
            <w:tcW w:w="467" w:type="pct"/>
            <w:tcBorders>
              <w:top w:val="nil"/>
              <w:left w:val="nil"/>
              <w:bottom w:val="single" w:sz="4" w:space="0" w:color="auto"/>
              <w:right w:val="single" w:sz="4" w:space="0" w:color="auto"/>
            </w:tcBorders>
            <w:shd w:val="clear" w:color="auto" w:fill="auto"/>
            <w:noWrap/>
            <w:hideMark/>
          </w:tcPr>
          <w:p w14:paraId="761FC1B9" w14:textId="10724D1D" w:rsidR="00A326B2" w:rsidRPr="0042463B" w:rsidRDefault="00A326B2" w:rsidP="00A326B2">
            <w:pPr>
              <w:jc w:val="right"/>
              <w:rPr>
                <w:color w:val="000000"/>
                <w:sz w:val="19"/>
                <w:szCs w:val="19"/>
              </w:rPr>
            </w:pPr>
            <w:r w:rsidRPr="0042463B">
              <w:rPr>
                <w:color w:val="000000"/>
                <w:sz w:val="19"/>
                <w:szCs w:val="19"/>
                <w:lang w:eastAsia="en-CA"/>
              </w:rPr>
              <w:t>0</w:t>
            </w:r>
            <w:r w:rsidR="007516F4">
              <w:rPr>
                <w:color w:val="000000"/>
                <w:sz w:val="19"/>
                <w:szCs w:val="19"/>
                <w:lang w:eastAsia="en-CA"/>
              </w:rPr>
              <w:t>,</w:t>
            </w:r>
            <w:r w:rsidRPr="0042463B">
              <w:rPr>
                <w:color w:val="000000"/>
                <w:sz w:val="19"/>
                <w:szCs w:val="19"/>
                <w:lang w:eastAsia="en-CA"/>
              </w:rPr>
              <w:t>0</w:t>
            </w:r>
          </w:p>
        </w:tc>
      </w:tr>
      <w:tr w:rsidR="00A326B2" w:rsidRPr="0042463B" w14:paraId="1C059830" w14:textId="77777777" w:rsidTr="00154084">
        <w:tc>
          <w:tcPr>
            <w:tcW w:w="306" w:type="pct"/>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303FD48E" w14:textId="77777777" w:rsidR="00A326B2" w:rsidRPr="0042463B" w:rsidRDefault="00A326B2" w:rsidP="00A326B2">
            <w:pPr>
              <w:jc w:val="left"/>
              <w:rPr>
                <w:color w:val="000000"/>
                <w:sz w:val="19"/>
                <w:szCs w:val="19"/>
              </w:rPr>
            </w:pPr>
            <w:r w:rsidRPr="0042463B">
              <w:rPr>
                <w:color w:val="000000"/>
                <w:sz w:val="19"/>
                <w:szCs w:val="19"/>
                <w:lang w:eastAsia="en-CA"/>
              </w:rPr>
              <w:t>4.2.3</w:t>
            </w:r>
          </w:p>
        </w:tc>
        <w:tc>
          <w:tcPr>
            <w:tcW w:w="4227" w:type="pct"/>
            <w:gridSpan w:val="10"/>
            <w:tcBorders>
              <w:top w:val="single" w:sz="4" w:space="0" w:color="auto"/>
              <w:left w:val="nil"/>
              <w:bottom w:val="single" w:sz="4" w:space="0" w:color="auto"/>
              <w:right w:val="single" w:sz="4" w:space="0" w:color="000000"/>
            </w:tcBorders>
            <w:shd w:val="clear" w:color="auto" w:fill="auto"/>
            <w:hideMark/>
          </w:tcPr>
          <w:p w14:paraId="1BCA1EC2" w14:textId="4E745131" w:rsidR="00A326B2" w:rsidRPr="0042463B" w:rsidRDefault="00A326B2" w:rsidP="00A326B2">
            <w:pPr>
              <w:jc w:val="left"/>
              <w:rPr>
                <w:color w:val="000000"/>
                <w:sz w:val="18"/>
                <w:szCs w:val="18"/>
              </w:rPr>
            </w:pPr>
            <w:r w:rsidRPr="0042463B">
              <w:rPr>
                <w:color w:val="000000"/>
                <w:sz w:val="18"/>
                <w:szCs w:val="18"/>
              </w:rPr>
              <w:t>Consommation restante admissible de HCFC</w:t>
            </w:r>
            <w:r w:rsidRPr="0042463B">
              <w:rPr>
                <w:color w:val="000000"/>
                <w:sz w:val="18"/>
                <w:szCs w:val="18"/>
              </w:rPr>
              <w:noBreakHyphen/>
              <w:t xml:space="preserve">141b (tonnes PAO) </w:t>
            </w:r>
          </w:p>
        </w:tc>
        <w:tc>
          <w:tcPr>
            <w:tcW w:w="467" w:type="pct"/>
            <w:tcBorders>
              <w:top w:val="nil"/>
              <w:left w:val="nil"/>
              <w:bottom w:val="single" w:sz="4" w:space="0" w:color="auto"/>
              <w:right w:val="single" w:sz="4" w:space="0" w:color="auto"/>
            </w:tcBorders>
            <w:shd w:val="clear" w:color="auto" w:fill="auto"/>
            <w:noWrap/>
            <w:hideMark/>
          </w:tcPr>
          <w:p w14:paraId="340AC3C8" w14:textId="3617275A" w:rsidR="00A326B2" w:rsidRPr="0042463B" w:rsidRDefault="00A326B2" w:rsidP="00A326B2">
            <w:pPr>
              <w:jc w:val="right"/>
              <w:rPr>
                <w:color w:val="000000"/>
                <w:sz w:val="19"/>
                <w:szCs w:val="19"/>
              </w:rPr>
            </w:pPr>
            <w:r w:rsidRPr="0042463B">
              <w:rPr>
                <w:color w:val="000000"/>
                <w:sz w:val="19"/>
                <w:szCs w:val="19"/>
                <w:lang w:eastAsia="en-CA"/>
              </w:rPr>
              <w:t>0</w:t>
            </w:r>
            <w:r w:rsidR="007516F4">
              <w:rPr>
                <w:color w:val="000000"/>
                <w:sz w:val="19"/>
                <w:szCs w:val="19"/>
                <w:lang w:eastAsia="en-CA"/>
              </w:rPr>
              <w:t>,</w:t>
            </w:r>
            <w:r w:rsidRPr="0042463B">
              <w:rPr>
                <w:color w:val="000000"/>
                <w:sz w:val="19"/>
                <w:szCs w:val="19"/>
                <w:lang w:eastAsia="en-CA"/>
              </w:rPr>
              <w:t>0</w:t>
            </w:r>
          </w:p>
        </w:tc>
      </w:tr>
      <w:tr w:rsidR="00A326B2" w:rsidRPr="0042463B" w14:paraId="24637238" w14:textId="77777777" w:rsidTr="00154084">
        <w:tc>
          <w:tcPr>
            <w:tcW w:w="306" w:type="pct"/>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1DAC3CAF" w14:textId="77777777" w:rsidR="00A326B2" w:rsidRPr="0042463B" w:rsidRDefault="00A326B2" w:rsidP="00A326B2">
            <w:pPr>
              <w:jc w:val="left"/>
              <w:rPr>
                <w:color w:val="000000"/>
                <w:sz w:val="19"/>
                <w:szCs w:val="19"/>
              </w:rPr>
            </w:pPr>
            <w:r w:rsidRPr="0042463B">
              <w:rPr>
                <w:color w:val="000000"/>
                <w:sz w:val="19"/>
                <w:szCs w:val="19"/>
                <w:lang w:eastAsia="en-CA"/>
              </w:rPr>
              <w:t>4.3.1</w:t>
            </w:r>
          </w:p>
        </w:tc>
        <w:tc>
          <w:tcPr>
            <w:tcW w:w="4227" w:type="pct"/>
            <w:gridSpan w:val="10"/>
            <w:tcBorders>
              <w:top w:val="single" w:sz="4" w:space="0" w:color="auto"/>
              <w:left w:val="nil"/>
              <w:bottom w:val="single" w:sz="4" w:space="0" w:color="auto"/>
              <w:right w:val="single" w:sz="4" w:space="0" w:color="000000"/>
            </w:tcBorders>
            <w:shd w:val="clear" w:color="auto" w:fill="auto"/>
            <w:hideMark/>
          </w:tcPr>
          <w:p w14:paraId="73A0D7D8" w14:textId="668D6074" w:rsidR="00A326B2" w:rsidRPr="0042463B" w:rsidRDefault="00A326B2" w:rsidP="00A326B2">
            <w:pPr>
              <w:jc w:val="left"/>
              <w:rPr>
                <w:color w:val="000000"/>
                <w:sz w:val="18"/>
                <w:szCs w:val="18"/>
              </w:rPr>
            </w:pPr>
            <w:r w:rsidRPr="0042463B">
              <w:rPr>
                <w:color w:val="000000"/>
                <w:sz w:val="18"/>
                <w:szCs w:val="18"/>
              </w:rPr>
              <w:t>Élimination totale de HCFC</w:t>
            </w:r>
            <w:r w:rsidRPr="0042463B">
              <w:rPr>
                <w:color w:val="000000"/>
                <w:sz w:val="18"/>
                <w:szCs w:val="18"/>
              </w:rPr>
              <w:noBreakHyphen/>
              <w:t xml:space="preserve">141b contenu dans les polyols </w:t>
            </w:r>
            <w:proofErr w:type="spellStart"/>
            <w:r w:rsidRPr="0042463B">
              <w:rPr>
                <w:color w:val="000000"/>
                <w:sz w:val="18"/>
                <w:szCs w:val="18"/>
              </w:rPr>
              <w:t>prémélangés</w:t>
            </w:r>
            <w:proofErr w:type="spellEnd"/>
            <w:r w:rsidRPr="0042463B">
              <w:rPr>
                <w:color w:val="000000"/>
                <w:sz w:val="18"/>
                <w:szCs w:val="18"/>
              </w:rPr>
              <w:t xml:space="preserve"> importés convenue dans le cadre de l’Accord (tonnes PAO)</w:t>
            </w:r>
          </w:p>
        </w:tc>
        <w:tc>
          <w:tcPr>
            <w:tcW w:w="467" w:type="pct"/>
            <w:tcBorders>
              <w:top w:val="nil"/>
              <w:left w:val="nil"/>
              <w:bottom w:val="single" w:sz="4" w:space="0" w:color="auto"/>
              <w:right w:val="single" w:sz="4" w:space="0" w:color="auto"/>
            </w:tcBorders>
            <w:shd w:val="clear" w:color="auto" w:fill="auto"/>
            <w:noWrap/>
            <w:hideMark/>
          </w:tcPr>
          <w:p w14:paraId="7C85643D" w14:textId="031F1116" w:rsidR="00A326B2" w:rsidRPr="0042463B" w:rsidRDefault="00A326B2" w:rsidP="00A326B2">
            <w:pPr>
              <w:jc w:val="right"/>
              <w:rPr>
                <w:color w:val="000000"/>
                <w:sz w:val="19"/>
                <w:szCs w:val="19"/>
              </w:rPr>
            </w:pPr>
            <w:r w:rsidRPr="0042463B">
              <w:rPr>
                <w:color w:val="000000"/>
                <w:sz w:val="19"/>
                <w:szCs w:val="19"/>
                <w:lang w:eastAsia="en-CA"/>
              </w:rPr>
              <w:t>0</w:t>
            </w:r>
            <w:r w:rsidR="007516F4">
              <w:rPr>
                <w:color w:val="000000"/>
                <w:sz w:val="19"/>
                <w:szCs w:val="19"/>
                <w:lang w:eastAsia="en-CA"/>
              </w:rPr>
              <w:t>,</w:t>
            </w:r>
            <w:r w:rsidRPr="0042463B">
              <w:rPr>
                <w:color w:val="000000"/>
                <w:sz w:val="19"/>
                <w:szCs w:val="19"/>
                <w:lang w:eastAsia="en-CA"/>
              </w:rPr>
              <w:t>0</w:t>
            </w:r>
          </w:p>
        </w:tc>
      </w:tr>
      <w:tr w:rsidR="00A326B2" w:rsidRPr="0042463B" w14:paraId="30DE5192" w14:textId="77777777" w:rsidTr="00154084">
        <w:tc>
          <w:tcPr>
            <w:tcW w:w="306" w:type="pct"/>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1621A424" w14:textId="77777777" w:rsidR="00A326B2" w:rsidRPr="0042463B" w:rsidRDefault="00A326B2" w:rsidP="00A326B2">
            <w:pPr>
              <w:jc w:val="left"/>
              <w:rPr>
                <w:color w:val="000000"/>
                <w:sz w:val="19"/>
                <w:szCs w:val="19"/>
              </w:rPr>
            </w:pPr>
            <w:r w:rsidRPr="0042463B">
              <w:rPr>
                <w:color w:val="000000"/>
                <w:sz w:val="19"/>
                <w:szCs w:val="19"/>
                <w:lang w:eastAsia="en-CA"/>
              </w:rPr>
              <w:t>4.3.2</w:t>
            </w:r>
          </w:p>
        </w:tc>
        <w:tc>
          <w:tcPr>
            <w:tcW w:w="4227" w:type="pct"/>
            <w:gridSpan w:val="10"/>
            <w:tcBorders>
              <w:top w:val="single" w:sz="4" w:space="0" w:color="auto"/>
              <w:left w:val="nil"/>
              <w:bottom w:val="single" w:sz="4" w:space="0" w:color="auto"/>
              <w:right w:val="single" w:sz="4" w:space="0" w:color="000000"/>
            </w:tcBorders>
            <w:shd w:val="clear" w:color="auto" w:fill="auto"/>
            <w:hideMark/>
          </w:tcPr>
          <w:p w14:paraId="23A2ABBB" w14:textId="38932ABC" w:rsidR="00A326B2" w:rsidRPr="0042463B" w:rsidRDefault="00A326B2" w:rsidP="00A326B2">
            <w:pPr>
              <w:jc w:val="left"/>
              <w:rPr>
                <w:color w:val="000000"/>
                <w:sz w:val="18"/>
                <w:szCs w:val="18"/>
              </w:rPr>
            </w:pPr>
            <w:r w:rsidRPr="0042463B">
              <w:rPr>
                <w:color w:val="000000"/>
                <w:sz w:val="18"/>
                <w:szCs w:val="18"/>
              </w:rPr>
              <w:t>Élimination de HCFC</w:t>
            </w:r>
            <w:r w:rsidRPr="0042463B">
              <w:rPr>
                <w:color w:val="000000"/>
                <w:sz w:val="18"/>
                <w:szCs w:val="18"/>
              </w:rPr>
              <w:noBreakHyphen/>
              <w:t xml:space="preserve">141b contenu dans les polyols </w:t>
            </w:r>
            <w:proofErr w:type="spellStart"/>
            <w:r w:rsidRPr="0042463B">
              <w:rPr>
                <w:color w:val="000000"/>
                <w:sz w:val="18"/>
                <w:szCs w:val="18"/>
              </w:rPr>
              <w:t>prémélangés</w:t>
            </w:r>
            <w:proofErr w:type="spellEnd"/>
            <w:r w:rsidRPr="0042463B">
              <w:rPr>
                <w:color w:val="000000"/>
                <w:sz w:val="18"/>
                <w:szCs w:val="18"/>
              </w:rPr>
              <w:t xml:space="preserve"> importés à réaliser dans le cadre de projets approuvés précédemment (tonnes PAO) </w:t>
            </w:r>
          </w:p>
        </w:tc>
        <w:tc>
          <w:tcPr>
            <w:tcW w:w="467" w:type="pct"/>
            <w:tcBorders>
              <w:top w:val="nil"/>
              <w:left w:val="nil"/>
              <w:bottom w:val="single" w:sz="4" w:space="0" w:color="auto"/>
              <w:right w:val="single" w:sz="4" w:space="0" w:color="auto"/>
            </w:tcBorders>
            <w:shd w:val="clear" w:color="auto" w:fill="auto"/>
            <w:noWrap/>
            <w:hideMark/>
          </w:tcPr>
          <w:p w14:paraId="32A2F6AE" w14:textId="77777777" w:rsidR="00A326B2" w:rsidRPr="0042463B" w:rsidRDefault="00A326B2" w:rsidP="00A326B2">
            <w:pPr>
              <w:jc w:val="right"/>
              <w:rPr>
                <w:color w:val="000000"/>
                <w:sz w:val="19"/>
                <w:szCs w:val="19"/>
              </w:rPr>
            </w:pPr>
            <w:r w:rsidRPr="0042463B">
              <w:rPr>
                <w:color w:val="000000"/>
                <w:sz w:val="19"/>
                <w:szCs w:val="19"/>
                <w:lang w:eastAsia="en-CA"/>
              </w:rPr>
              <w:t>0</w:t>
            </w:r>
          </w:p>
        </w:tc>
      </w:tr>
      <w:tr w:rsidR="00A326B2" w:rsidRPr="0042463B" w14:paraId="56CB006A" w14:textId="77777777" w:rsidTr="00154084">
        <w:tc>
          <w:tcPr>
            <w:tcW w:w="306" w:type="pct"/>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5BEC1824" w14:textId="77777777" w:rsidR="00A326B2" w:rsidRPr="0042463B" w:rsidRDefault="00A326B2" w:rsidP="00A326B2">
            <w:pPr>
              <w:jc w:val="left"/>
              <w:rPr>
                <w:color w:val="000000"/>
                <w:sz w:val="19"/>
                <w:szCs w:val="19"/>
              </w:rPr>
            </w:pPr>
            <w:r w:rsidRPr="0042463B">
              <w:rPr>
                <w:color w:val="000000"/>
                <w:sz w:val="19"/>
                <w:szCs w:val="19"/>
                <w:lang w:eastAsia="en-CA"/>
              </w:rPr>
              <w:t>4.3.3</w:t>
            </w:r>
          </w:p>
        </w:tc>
        <w:tc>
          <w:tcPr>
            <w:tcW w:w="4227" w:type="pct"/>
            <w:gridSpan w:val="10"/>
            <w:tcBorders>
              <w:top w:val="single" w:sz="4" w:space="0" w:color="auto"/>
              <w:left w:val="nil"/>
              <w:bottom w:val="single" w:sz="4" w:space="0" w:color="auto"/>
              <w:right w:val="single" w:sz="4" w:space="0" w:color="000000"/>
            </w:tcBorders>
            <w:shd w:val="clear" w:color="auto" w:fill="auto"/>
            <w:hideMark/>
          </w:tcPr>
          <w:p w14:paraId="0B670F92" w14:textId="01A6BB70" w:rsidR="00A326B2" w:rsidRPr="0042463B" w:rsidRDefault="00A326B2" w:rsidP="00A326B2">
            <w:pPr>
              <w:jc w:val="left"/>
              <w:rPr>
                <w:color w:val="000000"/>
                <w:sz w:val="18"/>
                <w:szCs w:val="18"/>
              </w:rPr>
            </w:pPr>
            <w:r w:rsidRPr="0042463B">
              <w:rPr>
                <w:color w:val="000000"/>
                <w:sz w:val="18"/>
                <w:szCs w:val="18"/>
              </w:rPr>
              <w:t>Consommation restante admissible de HCFC</w:t>
            </w:r>
            <w:r w:rsidRPr="0042463B">
              <w:rPr>
                <w:color w:val="000000"/>
                <w:sz w:val="18"/>
                <w:szCs w:val="18"/>
              </w:rPr>
              <w:noBreakHyphen/>
              <w:t xml:space="preserve">141b contenu dans les polyols </w:t>
            </w:r>
            <w:proofErr w:type="spellStart"/>
            <w:r w:rsidRPr="0042463B">
              <w:rPr>
                <w:color w:val="000000"/>
                <w:sz w:val="18"/>
                <w:szCs w:val="18"/>
              </w:rPr>
              <w:t>prémélangés</w:t>
            </w:r>
            <w:proofErr w:type="spellEnd"/>
            <w:r w:rsidRPr="0042463B">
              <w:rPr>
                <w:color w:val="000000"/>
                <w:sz w:val="18"/>
                <w:szCs w:val="18"/>
              </w:rPr>
              <w:t xml:space="preserve"> importés (tonnes PAO) </w:t>
            </w:r>
          </w:p>
        </w:tc>
        <w:tc>
          <w:tcPr>
            <w:tcW w:w="467" w:type="pct"/>
            <w:tcBorders>
              <w:top w:val="nil"/>
              <w:left w:val="nil"/>
              <w:bottom w:val="single" w:sz="4" w:space="0" w:color="auto"/>
              <w:right w:val="single" w:sz="4" w:space="0" w:color="auto"/>
            </w:tcBorders>
            <w:shd w:val="clear" w:color="auto" w:fill="auto"/>
            <w:noWrap/>
            <w:hideMark/>
          </w:tcPr>
          <w:p w14:paraId="0BCD1C80" w14:textId="62664182" w:rsidR="00A326B2" w:rsidRPr="0042463B" w:rsidRDefault="00A326B2" w:rsidP="00A326B2">
            <w:pPr>
              <w:jc w:val="right"/>
              <w:rPr>
                <w:color w:val="000000"/>
                <w:sz w:val="19"/>
                <w:szCs w:val="19"/>
              </w:rPr>
            </w:pPr>
            <w:r w:rsidRPr="0042463B">
              <w:rPr>
                <w:color w:val="000000"/>
                <w:sz w:val="19"/>
                <w:szCs w:val="19"/>
                <w:lang w:eastAsia="en-CA"/>
              </w:rPr>
              <w:t>10</w:t>
            </w:r>
            <w:r w:rsidR="007516F4">
              <w:rPr>
                <w:color w:val="000000"/>
                <w:sz w:val="19"/>
                <w:szCs w:val="19"/>
                <w:lang w:eastAsia="en-CA"/>
              </w:rPr>
              <w:t>,</w:t>
            </w:r>
            <w:r w:rsidRPr="0042463B">
              <w:rPr>
                <w:color w:val="000000"/>
                <w:sz w:val="19"/>
                <w:szCs w:val="19"/>
                <w:lang w:eastAsia="en-CA"/>
              </w:rPr>
              <w:t>11</w:t>
            </w:r>
          </w:p>
        </w:tc>
      </w:tr>
    </w:tbl>
    <w:p w14:paraId="44DBB8E6" w14:textId="77777777" w:rsidR="00F4405C" w:rsidRPr="0042463B" w:rsidRDefault="00F4405C" w:rsidP="0068170E"/>
    <w:p w14:paraId="3C5139F4" w14:textId="77777777" w:rsidR="0068170E" w:rsidRPr="0042463B" w:rsidRDefault="0068170E" w:rsidP="0068170E">
      <w:pPr>
        <w:sectPr w:rsidR="0068170E" w:rsidRPr="0042463B" w:rsidSect="00515F4D">
          <w:headerReference w:type="even" r:id="rId18"/>
          <w:headerReference w:type="default" r:id="rId19"/>
          <w:footerReference w:type="even" r:id="rId20"/>
          <w:headerReference w:type="first" r:id="rId21"/>
          <w:pgSz w:w="12240" w:h="15840" w:code="1"/>
          <w:pgMar w:top="720" w:right="1440" w:bottom="864" w:left="1440" w:header="720" w:footer="475" w:gutter="0"/>
          <w:pgNumType w:start="1"/>
          <w:cols w:space="720"/>
          <w:docGrid w:linePitch="299"/>
        </w:sectPr>
      </w:pPr>
    </w:p>
    <w:p w14:paraId="620103DA" w14:textId="77777777" w:rsidR="003D587E" w:rsidRPr="0042463B" w:rsidRDefault="003D587E" w:rsidP="003D587E">
      <w:pPr>
        <w:spacing w:after="240"/>
        <w:jc w:val="center"/>
        <w:rPr>
          <w:b/>
          <w:bCs/>
        </w:rPr>
      </w:pPr>
      <w:r w:rsidRPr="0042463B">
        <w:rPr>
          <w:b/>
        </w:rPr>
        <w:lastRenderedPageBreak/>
        <w:t>Annexe II</w:t>
      </w:r>
    </w:p>
    <w:p w14:paraId="5BFDA4F3" w14:textId="77777777" w:rsidR="003D587E" w:rsidRPr="0042463B" w:rsidRDefault="003D587E" w:rsidP="003D587E">
      <w:pPr>
        <w:jc w:val="center"/>
        <w:rPr>
          <w:b/>
        </w:rPr>
      </w:pPr>
      <w:r w:rsidRPr="0042463B">
        <w:rPr>
          <w:b/>
        </w:rPr>
        <w:t>PROJET D’ACCORD ENTRE LE GOUVERNEMENT DU ROYAUME DE BAHREÏN</w:t>
      </w:r>
    </w:p>
    <w:p w14:paraId="2CADE78E" w14:textId="77777777" w:rsidR="003D587E" w:rsidRPr="0042463B" w:rsidRDefault="003D587E" w:rsidP="003D587E">
      <w:pPr>
        <w:jc w:val="center"/>
      </w:pPr>
      <w:r w:rsidRPr="0042463B">
        <w:rPr>
          <w:b/>
        </w:rPr>
        <w:t xml:space="preserve">ET LE COMITE EXECUTIF DU FONDS MULTILATERAL POUR LA REDUCTION DE LA CONSOMMATION DES HYDROCHLOROFLUOROCARBURES CONFORMEMENT A LA DEUXIEME PHASE DU PLAN DE GESTION DE L'ELIMINATION DES HCFC </w:t>
      </w:r>
    </w:p>
    <w:p w14:paraId="2698EDEE" w14:textId="77777777" w:rsidR="003D587E" w:rsidRPr="0042463B" w:rsidRDefault="003D587E" w:rsidP="003D587E">
      <w:pPr>
        <w:jc w:val="center"/>
      </w:pPr>
    </w:p>
    <w:p w14:paraId="53EC97E7" w14:textId="77777777" w:rsidR="003D587E" w:rsidRPr="0042463B" w:rsidRDefault="003D587E" w:rsidP="003D587E">
      <w:pPr>
        <w:jc w:val="left"/>
        <w:rPr>
          <w:b/>
        </w:rPr>
      </w:pPr>
      <w:r w:rsidRPr="0042463B">
        <w:rPr>
          <w:b/>
        </w:rPr>
        <w:t>Objet</w:t>
      </w:r>
    </w:p>
    <w:p w14:paraId="368C6DF5" w14:textId="77777777" w:rsidR="003D587E" w:rsidRPr="0042463B" w:rsidRDefault="003D587E" w:rsidP="003D587E">
      <w:pPr>
        <w:jc w:val="left"/>
      </w:pPr>
    </w:p>
    <w:p w14:paraId="44631F34" w14:textId="77777777" w:rsidR="003D587E" w:rsidRPr="0042463B" w:rsidRDefault="003D587E" w:rsidP="00690A8B">
      <w:pPr>
        <w:pStyle w:val="Heading1"/>
        <w:numPr>
          <w:ilvl w:val="0"/>
          <w:numId w:val="49"/>
        </w:numPr>
      </w:pPr>
      <w:r w:rsidRPr="0042463B">
        <w:t>Le présent Accord représente l’entente conclue entre le gouvernement de Bahreïn (le « Pays ») et le Comité exécutif concernant la réduction de l’usage réglementé des substances appauvrissant la couche d’ozone (SAO) indiquées à l’appendice 1-A (les « Substances ») à un niveau durable de 13.75 tonnes PAO d’ici au 1</w:t>
      </w:r>
      <w:r w:rsidRPr="0042463B">
        <w:rPr>
          <w:vertAlign w:val="superscript"/>
        </w:rPr>
        <w:t>er</w:t>
      </w:r>
      <w:r w:rsidRPr="0042463B">
        <w:t> janvier 2025, conformément au calendrier de réduction du Protocole Montréal.</w:t>
      </w:r>
    </w:p>
    <w:p w14:paraId="29B0E782" w14:textId="77777777" w:rsidR="003D587E" w:rsidRPr="0042463B" w:rsidRDefault="003D587E" w:rsidP="003D587E">
      <w:pPr>
        <w:pStyle w:val="Heading1"/>
        <w:numPr>
          <w:ilvl w:val="0"/>
          <w:numId w:val="1"/>
        </w:numPr>
      </w:pPr>
      <w:r w:rsidRPr="0042463B">
        <w:t>Le Pays convient de respecter les limites de consommation annuelle des Substances définies à la ligne 1.2 de l’Appendice 2-A (« Objectifs et financement ») du présent Accord, ainsi que les limites de consommation annuelle du Protocole de Montréal précisées dans l’Appendice 1-A pour toutes les Substances. Le Pays consent, en acceptant le présent Accord et lorsque le Comité exécutif s’acquitte de ses obligations de financement décrites au paragraphe 3, à renoncer à toute demande ou allocation de fonds supplémentaires du Fonds multilatéral pour toute consommation de Substances dépassant le niveau indiqué à la ligne 1.2 de l’Appendice 2-A, constituant la phase finale de réduction en vertu du présent Accord pour toutes les substances spécifiées à l’Appendice 1-A, et pour toute consommation de chacune des substances dépassant le niveau défini aux lignes 4.1.3, 4.2.3 et 4.3.3 (consommation restante admissible au financement).</w:t>
      </w:r>
    </w:p>
    <w:p w14:paraId="02AE22FF" w14:textId="77777777" w:rsidR="003D587E" w:rsidRPr="0042463B" w:rsidRDefault="003D587E" w:rsidP="003D587E">
      <w:pPr>
        <w:pStyle w:val="Heading1"/>
        <w:numPr>
          <w:ilvl w:val="0"/>
          <w:numId w:val="1"/>
        </w:numPr>
      </w:pPr>
      <w:r w:rsidRPr="0042463B">
        <w:t>Si le Pays se conforme aux obligations définies dans le présent Accord, le Comité exécutif convient en principe de lui accorder le financement indiqué à la ligne 3.1 de l’Appendice 2-A. Le Comité exécutif accordera, en principe, ce financement lors de ses réunions spécifiées à l’Appendice 3-A (« Calendrier de financement approuvé »).</w:t>
      </w:r>
    </w:p>
    <w:p w14:paraId="6D815006" w14:textId="77777777" w:rsidR="003D587E" w:rsidRPr="0042463B" w:rsidRDefault="003D587E" w:rsidP="003D587E">
      <w:pPr>
        <w:pStyle w:val="Heading1"/>
        <w:numPr>
          <w:ilvl w:val="0"/>
          <w:numId w:val="1"/>
        </w:numPr>
      </w:pPr>
      <w:r w:rsidRPr="0042463B">
        <w:t>Le Pays accepte de mettre en œuvre cet Accord conformément à la deuxième phase du plan de gestion de l'élimination des HCFC (PGEH) approuvé (le « Plan »). Conformément au paragraphe 5 b) du présent Accord, le Pays acceptera une vérification indépendante du respect des limites de consommation annuelle des Substances, tel qu’elles figurent à la ligne 1.2 de l’Appendice 2-A du présent Accord. La vérification mentionnée ci-dessus sera commandée par l’agence bilatérale ou l’agence d’exécution concernée.</w:t>
      </w:r>
    </w:p>
    <w:p w14:paraId="14E7E9A6" w14:textId="77777777" w:rsidR="003D587E" w:rsidRPr="0042463B" w:rsidRDefault="003D587E" w:rsidP="003D587E">
      <w:pPr>
        <w:rPr>
          <w:b/>
          <w:lang w:eastAsia="en-CA"/>
        </w:rPr>
      </w:pPr>
      <w:r w:rsidRPr="0042463B">
        <w:rPr>
          <w:b/>
          <w:lang w:eastAsia="en-CA"/>
        </w:rPr>
        <w:t>Conditions de décaissement des sommes</w:t>
      </w:r>
    </w:p>
    <w:p w14:paraId="1FFB4C44" w14:textId="77777777" w:rsidR="003D587E" w:rsidRPr="0042463B" w:rsidRDefault="003D587E" w:rsidP="003D587E">
      <w:pPr>
        <w:rPr>
          <w:lang w:eastAsia="en-CA"/>
        </w:rPr>
      </w:pPr>
    </w:p>
    <w:p w14:paraId="06A980B5" w14:textId="77777777" w:rsidR="003D587E" w:rsidRPr="0042463B" w:rsidRDefault="003D587E" w:rsidP="003D587E">
      <w:pPr>
        <w:pStyle w:val="Heading1"/>
        <w:numPr>
          <w:ilvl w:val="0"/>
          <w:numId w:val="1"/>
        </w:numPr>
      </w:pPr>
      <w:r w:rsidRPr="0042463B">
        <w:t>Le Comité exécutif n’accordera le financement prévu au calendrier de financement approuvé que lorsque le Pays aura satisfait aux conditions suivantes au moins huit semaines avant la réunion du Comité exécutif indiquée dans le calendrier de financement approuvé :</w:t>
      </w:r>
    </w:p>
    <w:p w14:paraId="2FBB557B" w14:textId="77777777" w:rsidR="003D587E" w:rsidRPr="0042463B" w:rsidRDefault="003D587E" w:rsidP="003D587E">
      <w:pPr>
        <w:pStyle w:val="Heading2"/>
        <w:numPr>
          <w:ilvl w:val="1"/>
          <w:numId w:val="1"/>
        </w:numPr>
      </w:pPr>
      <w:r w:rsidRPr="0042463B">
        <w:t xml:space="preserve">Le Pays a respecté les objectifs fixés à la ligne 1.2 de l’Appendice 2-A pour toutes les années concernées. Les années concernées sont toutes celles qui se sont écoulées depuis l’année d’approbation du présent Accord. Les années auxquelles aucun rapport sur la mise en œuvre du programme de pays n’est dû à la date de la réunion du Comité à laquelle la demande de financement est soumise, font exception ; </w:t>
      </w:r>
    </w:p>
    <w:p w14:paraId="40CB0C3A" w14:textId="77777777" w:rsidR="003D587E" w:rsidRPr="0042463B" w:rsidRDefault="003D587E" w:rsidP="003D587E">
      <w:pPr>
        <w:pStyle w:val="Heading2"/>
        <w:numPr>
          <w:ilvl w:val="1"/>
          <w:numId w:val="1"/>
        </w:numPr>
      </w:pPr>
      <w:r w:rsidRPr="0042463B">
        <w:t>Le respect de ces objectifs a été vérifié de manière indépendante pour toutes les années concernées, à moins que le Comité exécutif n’ait décidé que cette vérification n’était pas nécessaire ;</w:t>
      </w:r>
    </w:p>
    <w:p w14:paraId="48A0DDEB" w14:textId="77777777" w:rsidR="003D587E" w:rsidRPr="0042463B" w:rsidRDefault="003D587E" w:rsidP="003D587E">
      <w:pPr>
        <w:pStyle w:val="Heading2"/>
        <w:keepNext/>
        <w:keepLines/>
        <w:numPr>
          <w:ilvl w:val="1"/>
          <w:numId w:val="1"/>
        </w:numPr>
      </w:pPr>
      <w:r w:rsidRPr="0042463B">
        <w:lastRenderedPageBreak/>
        <w:t>Le Pays a soumis des rapports annuels de mise en œuvre de la tranche sous la forme décrite à l’Appendice 4-A (« Format de rapports et de plans de mise en œuvre de la tranche ») pour chaque année civile précédente indiquant qu’il avait achevé une part importante de la mise en œuvre des activités amorcées lors de tranches précédentes approuvées et que le taux de décaissement du financement disponible associé à la tranche précédente approuvée était de plus de 20 pour cent ; et</w:t>
      </w:r>
    </w:p>
    <w:p w14:paraId="5E6E59D5" w14:textId="77777777" w:rsidR="003D587E" w:rsidRPr="0042463B" w:rsidRDefault="003D587E" w:rsidP="003D587E">
      <w:pPr>
        <w:pStyle w:val="Heading2"/>
        <w:keepNext/>
        <w:keepLines/>
        <w:numPr>
          <w:ilvl w:val="1"/>
          <w:numId w:val="1"/>
        </w:numPr>
      </w:pPr>
      <w:r w:rsidRPr="0042463B">
        <w:t>Le Pays a soumis un plan annuel de mise en œuvre de la tranche et a reçu l’approbation du Comité exécutif, sous la forme indiquée à l’Appendice 4-A, pour chaque année civile, y compris l’année au cours de laquelle le calendrier de financement prévoit la soumission de la tranche suivante, ou, dans le cas de la tranche finale, jusqu’à l’achèvement de toutes les activités prévues.</w:t>
      </w:r>
    </w:p>
    <w:p w14:paraId="4A793BEF" w14:textId="77777777" w:rsidR="003D587E" w:rsidRPr="0042463B" w:rsidRDefault="003D587E" w:rsidP="003D587E">
      <w:pPr>
        <w:rPr>
          <w:b/>
          <w:lang w:eastAsia="en-CA"/>
        </w:rPr>
      </w:pPr>
      <w:r w:rsidRPr="0042463B">
        <w:rPr>
          <w:b/>
          <w:lang w:eastAsia="en-CA"/>
        </w:rPr>
        <w:t>Suivi</w:t>
      </w:r>
    </w:p>
    <w:p w14:paraId="27FD2DD2" w14:textId="77777777" w:rsidR="003D587E" w:rsidRPr="0042463B" w:rsidRDefault="003D587E" w:rsidP="003D587E">
      <w:pPr>
        <w:rPr>
          <w:lang w:eastAsia="en-CA"/>
        </w:rPr>
      </w:pPr>
    </w:p>
    <w:p w14:paraId="36D39DA4" w14:textId="77777777" w:rsidR="003D587E" w:rsidRPr="0042463B" w:rsidRDefault="003D587E" w:rsidP="003D587E">
      <w:pPr>
        <w:pStyle w:val="Heading1"/>
        <w:numPr>
          <w:ilvl w:val="0"/>
          <w:numId w:val="1"/>
        </w:numPr>
      </w:pPr>
      <w:r w:rsidRPr="0042463B">
        <w:t>Le Pays veillera à effectuer une surveillance rigoureuse de ses activités dans le cadre du présent Accord. Les institutions indiquées à l’Appendice 5-A (« Institutions de surveillance et leur rôle ») assureront la surveillance et présenteront des rapports sur la mise en œuvre des activités des plans annuels de mise en œuvre de tranche précédents, conformément à leurs rôles et responsabilités définis dans le même appendice.</w:t>
      </w:r>
    </w:p>
    <w:p w14:paraId="6F5379F0" w14:textId="77777777" w:rsidR="003D587E" w:rsidRPr="0042463B" w:rsidRDefault="003D587E" w:rsidP="003D587E">
      <w:pPr>
        <w:rPr>
          <w:b/>
          <w:lang w:eastAsia="en-CA"/>
        </w:rPr>
      </w:pPr>
      <w:r w:rsidRPr="0042463B">
        <w:rPr>
          <w:b/>
          <w:lang w:eastAsia="en-CA"/>
        </w:rPr>
        <w:t>Souplesse dans la réaffectation des sommes</w:t>
      </w:r>
    </w:p>
    <w:p w14:paraId="7079D276" w14:textId="77777777" w:rsidR="003D587E" w:rsidRPr="0042463B" w:rsidRDefault="003D587E" w:rsidP="003D587E">
      <w:pPr>
        <w:rPr>
          <w:b/>
          <w:lang w:eastAsia="en-CA"/>
        </w:rPr>
      </w:pPr>
    </w:p>
    <w:p w14:paraId="0C8BF6D3" w14:textId="77777777" w:rsidR="003D587E" w:rsidRPr="0042463B" w:rsidRDefault="003D587E" w:rsidP="003D587E">
      <w:pPr>
        <w:pStyle w:val="Heading1"/>
        <w:numPr>
          <w:ilvl w:val="0"/>
          <w:numId w:val="1"/>
        </w:numPr>
      </w:pPr>
      <w:r w:rsidRPr="0042463B">
        <w:t>Le Comité exécutif accepte que le Pays bénéficie d’une certaine marge de manœuvre lui permettant de réaffecter une partie ou la totalité des fonds approuvés, en fonction de l’évolution de la situation, afin d’assurer une réduction de la consommation et une élimination fluides des substances précisées à l’Appendice 1-A :</w:t>
      </w:r>
    </w:p>
    <w:p w14:paraId="7088BD2A" w14:textId="77777777" w:rsidR="003D587E" w:rsidRPr="0042463B" w:rsidRDefault="003D587E" w:rsidP="003D587E">
      <w:pPr>
        <w:pStyle w:val="Heading2"/>
        <w:numPr>
          <w:ilvl w:val="1"/>
          <w:numId w:val="1"/>
        </w:numPr>
      </w:pPr>
      <w:r w:rsidRPr="0042463B">
        <w:t>Les réaffectations classées comme changements importants doivent être documentées à l’avance, dans un plan annuel de mise en œuvre de la tranche, remis tel que prévu au paragraphe 5 d) ci-dessus, ou dans une révision d’un plan annuel de mise en œuvre de la tranche existant, à remettre huit semaines avant toute réunion du Comité exécutif, pour approbation. Une réaffectation est dite importante lorsqu’elle vise :</w:t>
      </w:r>
    </w:p>
    <w:p w14:paraId="48CDDD28" w14:textId="77777777" w:rsidR="003D587E" w:rsidRPr="0042463B" w:rsidRDefault="003D587E" w:rsidP="003D587E">
      <w:pPr>
        <w:pStyle w:val="Heading3"/>
        <w:numPr>
          <w:ilvl w:val="2"/>
          <w:numId w:val="1"/>
        </w:numPr>
      </w:pPr>
      <w:r w:rsidRPr="0042463B">
        <w:t xml:space="preserve">Des enjeux qui pourraient concerner les règles et politiques du Fonds multilatéral ; </w:t>
      </w:r>
    </w:p>
    <w:p w14:paraId="1CAA2CC3" w14:textId="77777777" w:rsidR="003D587E" w:rsidRPr="0042463B" w:rsidRDefault="003D587E" w:rsidP="003D587E">
      <w:pPr>
        <w:pStyle w:val="Heading3"/>
        <w:numPr>
          <w:ilvl w:val="2"/>
          <w:numId w:val="1"/>
        </w:numPr>
      </w:pPr>
      <w:r w:rsidRPr="0042463B">
        <w:t xml:space="preserve">Des changements qui pourraient modifier une clause quelconque du présent Accord ; </w:t>
      </w:r>
    </w:p>
    <w:p w14:paraId="4783F787" w14:textId="77777777" w:rsidR="003D587E" w:rsidRPr="0042463B" w:rsidRDefault="003D587E" w:rsidP="003D587E">
      <w:pPr>
        <w:pStyle w:val="Heading3"/>
        <w:numPr>
          <w:ilvl w:val="2"/>
          <w:numId w:val="1"/>
        </w:numPr>
      </w:pPr>
      <w:r w:rsidRPr="0042463B">
        <w:t xml:space="preserve">Des changements dans les montants annuels de financement alloués aux agences bilatérales individuelles ou d’exécution pour les différentes tranches ; </w:t>
      </w:r>
    </w:p>
    <w:p w14:paraId="2CBBC2D9" w14:textId="77777777" w:rsidR="003D587E" w:rsidRPr="0042463B" w:rsidRDefault="003D587E" w:rsidP="003D587E">
      <w:pPr>
        <w:pStyle w:val="Heading3"/>
        <w:numPr>
          <w:ilvl w:val="2"/>
          <w:numId w:val="1"/>
        </w:numPr>
      </w:pPr>
      <w:r w:rsidRPr="0042463B">
        <w:t>La fourniture de fonds pour des activités qui ne sont pas incluses dans le plan de mise en œuvre annuel de la tranche courant endossé ou bien le retrait d’une activité du plan annuel de mise en œuvre de la tranche, représentant un coût supérieur à 30 pour cent du coût total de la dernière tranche approuvée ;</w:t>
      </w:r>
    </w:p>
    <w:p w14:paraId="3A2EB947" w14:textId="77777777" w:rsidR="003D587E" w:rsidRPr="0042463B" w:rsidRDefault="003D587E" w:rsidP="003D587E">
      <w:pPr>
        <w:pStyle w:val="Heading3"/>
        <w:numPr>
          <w:ilvl w:val="2"/>
          <w:numId w:val="1"/>
        </w:numPr>
      </w:pPr>
      <w:r w:rsidRPr="0042463B">
        <w:t xml:space="preserve">Les changements de technologie de remplacement, étant entendu que toute proposition relative à une telle demande précisera les coûts différentiels connexes, les conséquences possibles sur le climat et la différence en tonnes PAO à éliminer, s’il y a lieu, et confirmera que le pays reconnaît que les économies possibles de coûts différentiels liées au changement de technologie réduiraient en conséquence le financement global prévu à cet Accord ; </w:t>
      </w:r>
    </w:p>
    <w:p w14:paraId="2D86A658" w14:textId="77777777" w:rsidR="003D587E" w:rsidRPr="0042463B" w:rsidRDefault="003D587E" w:rsidP="003D587E">
      <w:pPr>
        <w:pStyle w:val="Heading2"/>
        <w:numPr>
          <w:ilvl w:val="1"/>
          <w:numId w:val="1"/>
        </w:numPr>
      </w:pPr>
      <w:r w:rsidRPr="0042463B">
        <w:lastRenderedPageBreak/>
        <w:t>Les réaffectations qui ne sont pas classées comme changements importants peuvent être intégrées au plan annuel de mise en œuvre de la tranche approuvée, en cours d’application à ce moment, et communiquées au Comité exécutif dans le rapport annuel de mise en œuvre de la tranche suivant ;</w:t>
      </w:r>
    </w:p>
    <w:p w14:paraId="21A857BC" w14:textId="77777777" w:rsidR="003D587E" w:rsidRPr="0042463B" w:rsidRDefault="003D587E" w:rsidP="003D587E">
      <w:pPr>
        <w:pStyle w:val="Heading2"/>
        <w:numPr>
          <w:ilvl w:val="1"/>
          <w:numId w:val="1"/>
        </w:numPr>
      </w:pPr>
      <w:r w:rsidRPr="0042463B">
        <w:t xml:space="preserve">Toute entreprise à reconvertir à une technologie sans HCFC visée par le plan déclarée non admissible en vertu des politiques du Fonds multilatéral (soit parce qu’elle appartient à des intérêts étrangers ou qu’elle a entrepris ses activités après la date limite du 21 septembre 2007) ne recevra pas d’assistance financière. Cette information sera communiquée dans le cadre du plan annuel de mise en œuvre de la tranche ; </w:t>
      </w:r>
    </w:p>
    <w:p w14:paraId="523A9200" w14:textId="77777777" w:rsidR="003D587E" w:rsidRPr="0042463B" w:rsidRDefault="003D587E" w:rsidP="003D587E">
      <w:pPr>
        <w:pStyle w:val="Heading2"/>
        <w:numPr>
          <w:ilvl w:val="1"/>
          <w:numId w:val="1"/>
        </w:numPr>
      </w:pPr>
      <w:r w:rsidRPr="0042463B">
        <w:t xml:space="preserve">Le pays s’engage à examiner la possibilité d’avoir recours à des formules </w:t>
      </w:r>
      <w:proofErr w:type="spellStart"/>
      <w:r w:rsidRPr="0042463B">
        <w:t>prémélangées</w:t>
      </w:r>
      <w:proofErr w:type="spellEnd"/>
      <w:r w:rsidRPr="0042463B">
        <w:t xml:space="preserve"> contenant des agents de gonflage à faible potentiel de réchauffement de la planète plutôt que des formules mélangées par les entreprises mêmes, pour les entreprises de mousse couvertes en vertu du Plan, si cela est techniquement viable, économiquement faisable et acceptable pour ces entreprises ; </w:t>
      </w:r>
    </w:p>
    <w:p w14:paraId="2BFFE783" w14:textId="77777777" w:rsidR="003D587E" w:rsidRPr="0042463B" w:rsidRDefault="003D587E" w:rsidP="003D587E">
      <w:pPr>
        <w:pStyle w:val="Heading2"/>
        <w:numPr>
          <w:ilvl w:val="1"/>
          <w:numId w:val="1"/>
        </w:numPr>
      </w:pPr>
      <w:r w:rsidRPr="0042463B">
        <w:t>Dans l’éventualité où le choix d’une technologie de remplacement des HCFC s’arrête sur une technologie à base de HFC, le pays s’engage, en tenant compte des circonstances nationales relatives à la santé et sécurité : à assurer un suivi des substances et technologies de remplacement vendues sur le marché qui réduisent davantage les incidences sur le climat; à envisager, lors de l’examen des normes de réglementation et des mesures d’incitation, des dispositions adéquates qui encouragent l’adoption de telles solutions de remplacement; et à examiner la possibilité d’adopter des solutions de remplacement économiques qui réduisent les conséquences de la mise en œuvre du PGEH sur le climat, selon qu’il convient, et d’informer le Comité exécutif des progrès réalisés dans ses rapports sur la mise en œuvre des tranches ; et</w:t>
      </w:r>
    </w:p>
    <w:p w14:paraId="13615A72" w14:textId="77777777" w:rsidR="003D587E" w:rsidRPr="0042463B" w:rsidRDefault="003D587E" w:rsidP="003D587E">
      <w:pPr>
        <w:pStyle w:val="Heading2"/>
        <w:keepNext/>
        <w:keepLines/>
        <w:numPr>
          <w:ilvl w:val="1"/>
          <w:numId w:val="1"/>
        </w:numPr>
      </w:pPr>
      <w:r w:rsidRPr="0042463B">
        <w:t xml:space="preserve">Tous les fonds restants détenus par les agences bilatérales ou d’exécution en vertu du Plan seront restitués au Fonds multilatéral lors de l’achèvement de la dernière tranche prévue dans le cadre du présent Accord. </w:t>
      </w:r>
    </w:p>
    <w:p w14:paraId="18D77054" w14:textId="77777777" w:rsidR="003D587E" w:rsidRPr="0042463B" w:rsidRDefault="003D587E" w:rsidP="003D587E">
      <w:pPr>
        <w:rPr>
          <w:lang w:eastAsia="en-CA"/>
        </w:rPr>
      </w:pPr>
      <w:r w:rsidRPr="0042463B">
        <w:rPr>
          <w:b/>
          <w:lang w:eastAsia="en-CA"/>
        </w:rPr>
        <w:t>Facteurs à prendre en ligne de compte pour le secteur de l’entretien de l’équipement de réfrigération</w:t>
      </w:r>
    </w:p>
    <w:p w14:paraId="1BFD00BD" w14:textId="77777777" w:rsidR="003D587E" w:rsidRPr="0042463B" w:rsidRDefault="003D587E" w:rsidP="003D587E">
      <w:pPr>
        <w:rPr>
          <w:lang w:eastAsia="en-CA"/>
        </w:rPr>
      </w:pPr>
    </w:p>
    <w:p w14:paraId="54120B4E" w14:textId="77777777" w:rsidR="003D587E" w:rsidRPr="0042463B" w:rsidRDefault="003D587E" w:rsidP="003D587E">
      <w:pPr>
        <w:pStyle w:val="Heading1"/>
        <w:numPr>
          <w:ilvl w:val="0"/>
          <w:numId w:val="1"/>
        </w:numPr>
      </w:pPr>
      <w:r w:rsidRPr="0042463B">
        <w:t>La réalisation des activités dans le sous-secteur de l’entretien des appareils de réfrigération fera l’objet d’une attention particulière, notamment sur les points suivants : </w:t>
      </w:r>
    </w:p>
    <w:p w14:paraId="53489576" w14:textId="77777777" w:rsidR="003D587E" w:rsidRPr="0042463B" w:rsidRDefault="003D587E" w:rsidP="003D587E">
      <w:pPr>
        <w:pStyle w:val="Heading2"/>
        <w:numPr>
          <w:ilvl w:val="1"/>
          <w:numId w:val="1"/>
        </w:numPr>
      </w:pPr>
      <w:r w:rsidRPr="0042463B">
        <w:t>Le Pays utilisera la marge de manœuvre offerte en vertu du présent Accord pour répondre aux besoins spécifiques qui pourraient survenir lors de la mise en œuvre du projet ; et</w:t>
      </w:r>
    </w:p>
    <w:p w14:paraId="229ABFD0" w14:textId="77777777" w:rsidR="003D587E" w:rsidRPr="0042463B" w:rsidRDefault="003D587E" w:rsidP="003D587E">
      <w:pPr>
        <w:pStyle w:val="Heading2"/>
        <w:numPr>
          <w:ilvl w:val="1"/>
          <w:numId w:val="1"/>
        </w:numPr>
      </w:pPr>
      <w:r w:rsidRPr="0042463B">
        <w:t>Le Pays et les agences bilatérales et d’exécution concernées tiendront compte des décisions pertinentes concernant le secteur de l’entretien de l’équipement de réfrigération pendant la mise en œuvre du plan.</w:t>
      </w:r>
    </w:p>
    <w:p w14:paraId="25BD5047" w14:textId="77777777" w:rsidR="003D587E" w:rsidRPr="0042463B" w:rsidRDefault="003D587E" w:rsidP="003D587E">
      <w:pPr>
        <w:pStyle w:val="Heading2"/>
        <w:keepNext/>
        <w:keepLines/>
        <w:widowControl/>
        <w:numPr>
          <w:ilvl w:val="0"/>
          <w:numId w:val="0"/>
        </w:numPr>
      </w:pPr>
      <w:r w:rsidRPr="0042463B">
        <w:rPr>
          <w:b/>
          <w:lang w:eastAsia="en-CA"/>
        </w:rPr>
        <w:t>Agences bilatérales et d’exécution</w:t>
      </w:r>
    </w:p>
    <w:p w14:paraId="6ABD72BB" w14:textId="77777777" w:rsidR="003D587E" w:rsidRPr="0042463B" w:rsidRDefault="003D587E" w:rsidP="003D587E">
      <w:pPr>
        <w:pStyle w:val="Heading1"/>
        <w:widowControl w:val="0"/>
        <w:numPr>
          <w:ilvl w:val="0"/>
          <w:numId w:val="1"/>
        </w:numPr>
      </w:pPr>
      <w:r w:rsidRPr="0042463B">
        <w:t xml:space="preserve">Le Pays convient d’assumer la responsabilité générale de la gestion et de la mise en œuvre du présent Accord et de toutes les activités entreprises dans le cadre de ce dernier ou en son nom afin de s’acquitter de ses obligations en vertu du présent Accord. Le PNUE a convenu d’agir en qualité d’agence d’exécution principale (« l’Agence principale »), et l’ONUDI a convenu d’agir en qualité d’agence de coopération (« l’Agence de coopération »), sous la gouverne de l’Agence principale, en ce qui concerne les activités du Pays prévues en vertu du présent Accord. Le Pays accepte les évaluations périodiques qui pourront être effectuées dans le cadre des programmes de travail de surveillance et d’évaluation du Fonds </w:t>
      </w:r>
      <w:r w:rsidRPr="0042463B">
        <w:lastRenderedPageBreak/>
        <w:t>multilatéral ou du programme d’évaluation de l’Agence principale et/ou de l’Agence de coopération partie au présent Accord.</w:t>
      </w:r>
    </w:p>
    <w:p w14:paraId="00E75FF5" w14:textId="77777777" w:rsidR="003D587E" w:rsidRPr="0042463B" w:rsidRDefault="003D587E" w:rsidP="003D587E">
      <w:pPr>
        <w:pStyle w:val="Heading1"/>
        <w:numPr>
          <w:ilvl w:val="0"/>
          <w:numId w:val="1"/>
        </w:numPr>
      </w:pPr>
      <w:r w:rsidRPr="0042463B">
        <w:t>L’Agence principale sera responsable de la coordination de la planification, de la mise en œuvre et des rapports pour toutes les activités dans le cadre du présent Accord, comprenant entre autres la vérification indépendante indiquée au paragraphe 5 b). L’Agence de coopération soutiendra l’Agence principale en mettant en œuvre le Plan sous la coordination générale de l’Agence principale. Les rôles de l’Agence principale et de l’Agence de coopération sont indiqués respectivement aux Appendices 6-A et 6-B. Le Comité exécutif consent, en principe, à verser à l’Agence principale et à l’Agence de coopération les honoraires indiqués aux lignes 2.2 et 2.4 de l’Appendice 2-A.</w:t>
      </w:r>
    </w:p>
    <w:p w14:paraId="4758DC52" w14:textId="77777777" w:rsidR="003D587E" w:rsidRPr="0042463B" w:rsidRDefault="003D587E" w:rsidP="003D587E">
      <w:pPr>
        <w:rPr>
          <w:b/>
          <w:lang w:eastAsia="en-CA"/>
        </w:rPr>
      </w:pPr>
      <w:r w:rsidRPr="0042463B">
        <w:rPr>
          <w:b/>
          <w:lang w:eastAsia="en-CA"/>
        </w:rPr>
        <w:t>Non-respect de l’Accord</w:t>
      </w:r>
    </w:p>
    <w:p w14:paraId="370916F9" w14:textId="77777777" w:rsidR="003D587E" w:rsidRPr="0042463B" w:rsidRDefault="003D587E" w:rsidP="003D587E">
      <w:pPr>
        <w:rPr>
          <w:b/>
          <w:lang w:eastAsia="en-CA"/>
        </w:rPr>
      </w:pPr>
    </w:p>
    <w:p w14:paraId="72C323F3" w14:textId="77777777" w:rsidR="003D587E" w:rsidRPr="0042463B" w:rsidRDefault="003D587E" w:rsidP="003D587E">
      <w:pPr>
        <w:pStyle w:val="Heading1"/>
        <w:numPr>
          <w:ilvl w:val="0"/>
          <w:numId w:val="1"/>
        </w:numPr>
      </w:pPr>
      <w:r w:rsidRPr="0042463B">
        <w:t xml:space="preserve">Si, pour quelque raison que ce soit, le Pays ne respecte pas les Objectifs d’élimination des substances indiquées à la ligne 1.2. </w:t>
      </w:r>
      <w:proofErr w:type="gramStart"/>
      <w:r w:rsidRPr="0042463B">
        <w:t>de</w:t>
      </w:r>
      <w:proofErr w:type="gramEnd"/>
      <w:r w:rsidRPr="0042463B">
        <w:t xml:space="preserve"> l’Appendice 2-A ou bien ne se conforme pas au présent Accord, il accepte alors de ne plus être en droit de prétendre au financement conformément au calendrier de financement approuvé. Il appartient au Comité exécutif de rétablir ce financement, conformément à un calendrier de financement révisé établi par ses soins, une fois que le Pays aura prouvé qu’il a respecté toutes les obligations qu’il aurait dû satisfaire avant la réception de la prochaine tranche de financement conformément au calendrier de financement approuvé. Le Pays convient que le Comité exécutif peut déduire du montant du financement le montant indiqué à l’Appendice 7-A (« Réductions du financement en cas de non-conformité ») pour chaque kilogramme de PAO dont la consommation n’aura pas été réduite au cours d’une même année. Le Comité exécutif étudiera chaque cas spécifique de non-conformité du Pays au présent Accord et prendra des décisions en conséquence. Une fois les décisions prises, ce cas spécifique de non-conformité ne constituera plus un obstacle au financement des tranches futures indiquées au paragraphe 5 précédent.</w:t>
      </w:r>
    </w:p>
    <w:p w14:paraId="434704C8" w14:textId="77777777" w:rsidR="003D587E" w:rsidRPr="0042463B" w:rsidRDefault="003D587E" w:rsidP="003D587E">
      <w:pPr>
        <w:pStyle w:val="Heading1"/>
        <w:numPr>
          <w:ilvl w:val="0"/>
          <w:numId w:val="1"/>
        </w:numPr>
      </w:pPr>
      <w:r w:rsidRPr="0042463B">
        <w:t>Le financement du présent Accord ne sera pas modifié en raison de toute décision future du Comité exécutif qui pourrait avoir une incidence sur le financement de tout autre projet de consommation sectorielle ou sur toute autre activité connexe dans le Pays.</w:t>
      </w:r>
    </w:p>
    <w:p w14:paraId="168F4EE4" w14:textId="77777777" w:rsidR="003D587E" w:rsidRPr="0042463B" w:rsidRDefault="003D587E" w:rsidP="003D587E">
      <w:pPr>
        <w:pStyle w:val="Heading1"/>
        <w:numPr>
          <w:ilvl w:val="0"/>
          <w:numId w:val="1"/>
        </w:numPr>
      </w:pPr>
      <w:r w:rsidRPr="0042463B">
        <w:t>Le Pays se conformera à toute demande raisonnable du Comité exécutif, de l’Agence principale et de l’Agence de coopération en vue de faciliter la mise en œuvre du présent Accord. En particulier, il permettra à l’Agence principale et à l’Agence de coopération d’accéder aux renseignements nécessaires pour vérifier la conformité à cet Accord.</w:t>
      </w:r>
    </w:p>
    <w:p w14:paraId="12D23954" w14:textId="77777777" w:rsidR="003D587E" w:rsidRPr="0042463B" w:rsidRDefault="003D587E" w:rsidP="003D587E">
      <w:pPr>
        <w:rPr>
          <w:lang w:eastAsia="en-CA"/>
        </w:rPr>
      </w:pPr>
      <w:r w:rsidRPr="0042463B">
        <w:rPr>
          <w:b/>
          <w:lang w:eastAsia="en-CA"/>
        </w:rPr>
        <w:t>Date d’achèvement</w:t>
      </w:r>
    </w:p>
    <w:p w14:paraId="25EDFD58" w14:textId="77777777" w:rsidR="003D587E" w:rsidRPr="0042463B" w:rsidRDefault="003D587E" w:rsidP="003D587E">
      <w:pPr>
        <w:rPr>
          <w:lang w:eastAsia="en-CA"/>
        </w:rPr>
      </w:pPr>
    </w:p>
    <w:p w14:paraId="361CEACB" w14:textId="77777777" w:rsidR="003D587E" w:rsidRPr="0042463B" w:rsidRDefault="003D587E" w:rsidP="003D587E">
      <w:pPr>
        <w:pStyle w:val="Heading1"/>
        <w:numPr>
          <w:ilvl w:val="0"/>
          <w:numId w:val="1"/>
        </w:numPr>
      </w:pPr>
      <w:r w:rsidRPr="0042463B">
        <w:t>L’achèvement du Plan et de l’Accord s’y rapportant aura lieu à la fin de l’année qui suit la dernière année pour laquelle la consommation totale maximum autorisée est spécifiée dans l’Appendice 2-A. Si des activités qui étaient prévues dans le plan de mise en œuvre de la tranche et dans ses révisions conformément aux paragraphes 5 d) et 7 se trouvaient encore en souffrance à ce moment-là, l’achèvement du Plan serait reporté à la fin de l’année suivant la mise en œuvre des activités restantes. Les exigences de remise de rapport selon les paragraphes 1 a), 1 b), 1 d) et 1 e) de l’Appendice 4-A continueront jusqu’à l’achèvement du Plan à moins d’indication contraire de la part du Comité exécutif.</w:t>
      </w:r>
    </w:p>
    <w:p w14:paraId="0E682EB6" w14:textId="77777777" w:rsidR="003D587E" w:rsidRPr="0042463B" w:rsidRDefault="003D587E" w:rsidP="003D587E">
      <w:pPr>
        <w:rPr>
          <w:b/>
          <w:lang w:eastAsia="en-CA"/>
        </w:rPr>
      </w:pPr>
      <w:r w:rsidRPr="0042463B">
        <w:rPr>
          <w:b/>
          <w:lang w:eastAsia="en-CA"/>
        </w:rPr>
        <w:t>Validité</w:t>
      </w:r>
    </w:p>
    <w:p w14:paraId="4DD4C21A" w14:textId="77777777" w:rsidR="003D587E" w:rsidRPr="0042463B" w:rsidRDefault="003D587E" w:rsidP="003D587E">
      <w:pPr>
        <w:rPr>
          <w:b/>
          <w:lang w:eastAsia="en-CA"/>
        </w:rPr>
      </w:pPr>
    </w:p>
    <w:p w14:paraId="76272BF2" w14:textId="77777777" w:rsidR="003D587E" w:rsidRPr="0042463B" w:rsidRDefault="003D587E" w:rsidP="003D587E">
      <w:pPr>
        <w:pStyle w:val="StyleHeading1Para1Heading1CharHeading1Char3CharHeadin"/>
        <w:numPr>
          <w:ilvl w:val="0"/>
          <w:numId w:val="1"/>
        </w:numPr>
        <w:tabs>
          <w:tab w:val="clear" w:pos="0"/>
        </w:tabs>
        <w:rPr>
          <w:lang w:val="fr-CA"/>
        </w:rPr>
      </w:pPr>
      <w:r w:rsidRPr="0042463B">
        <w:rPr>
          <w:lang w:val="fr-FR"/>
        </w:rPr>
        <w:t>Toutes les conditions définies dans le présent Accord seront mises en œuvre uniquement dans le contexte du Protocole de Montréal et comme le stipule le présent Accord. Sauf indication contraire, la signification de tous les termes utilisés dans le présent Accord est celle qui leur est attribuée dans le Protocole de Montréal.</w:t>
      </w:r>
    </w:p>
    <w:p w14:paraId="57CDCE36" w14:textId="77777777" w:rsidR="003D587E" w:rsidRPr="0042463B" w:rsidRDefault="003D587E" w:rsidP="003D587E">
      <w:pPr>
        <w:pStyle w:val="StyleHeading1Para1Heading1CharHeading1Char3CharHeadin"/>
        <w:numPr>
          <w:ilvl w:val="0"/>
          <w:numId w:val="1"/>
        </w:numPr>
        <w:tabs>
          <w:tab w:val="clear" w:pos="0"/>
        </w:tabs>
        <w:rPr>
          <w:lang w:val="fr-CA"/>
        </w:rPr>
      </w:pPr>
      <w:r w:rsidRPr="0042463B">
        <w:rPr>
          <w:lang w:val="fr-FR"/>
        </w:rPr>
        <w:lastRenderedPageBreak/>
        <w:t>Cet Accord ne peut être modifié ou résilié que par consentement écrit mutuel du Pays et du Comité exécutif du Fonds multilatéral.</w:t>
      </w:r>
    </w:p>
    <w:p w14:paraId="0D6CCBA8" w14:textId="77777777" w:rsidR="003D587E" w:rsidRPr="0042463B" w:rsidRDefault="003D587E" w:rsidP="003D587E">
      <w:pPr>
        <w:jc w:val="left"/>
        <w:rPr>
          <w:b/>
        </w:rPr>
      </w:pPr>
    </w:p>
    <w:p w14:paraId="21CD9DF0" w14:textId="77777777" w:rsidR="003D587E" w:rsidRPr="0042463B" w:rsidRDefault="003D587E" w:rsidP="003D587E">
      <w:pPr>
        <w:keepNext/>
        <w:keepLines/>
        <w:tabs>
          <w:tab w:val="left" w:pos="1440"/>
        </w:tabs>
        <w:rPr>
          <w:b/>
        </w:rPr>
      </w:pPr>
      <w:r w:rsidRPr="0042463B">
        <w:rPr>
          <w:b/>
        </w:rPr>
        <w:t xml:space="preserve">APPENDICES </w:t>
      </w:r>
    </w:p>
    <w:p w14:paraId="6830B29D" w14:textId="77777777" w:rsidR="003D587E" w:rsidRPr="0042463B" w:rsidRDefault="003D587E" w:rsidP="003D587E">
      <w:pPr>
        <w:keepNext/>
        <w:keepLines/>
        <w:rPr>
          <w:b/>
          <w:sz w:val="16"/>
          <w:szCs w:val="16"/>
        </w:rPr>
      </w:pPr>
    </w:p>
    <w:p w14:paraId="2F41143E" w14:textId="77777777" w:rsidR="003D587E" w:rsidRPr="0042463B" w:rsidRDefault="003D587E" w:rsidP="003D587E">
      <w:pPr>
        <w:keepNext/>
        <w:keepLines/>
        <w:rPr>
          <w:b/>
        </w:rPr>
      </w:pPr>
      <w:r w:rsidRPr="0042463B">
        <w:rPr>
          <w:b/>
        </w:rPr>
        <w:t>APPENDICE 1-A : LES SUBSTANCES</w:t>
      </w:r>
    </w:p>
    <w:p w14:paraId="6EB254E1" w14:textId="77777777" w:rsidR="003D587E" w:rsidRPr="0042463B" w:rsidRDefault="003D587E" w:rsidP="003D587E">
      <w:pPr>
        <w:keepNext/>
        <w:keepLines/>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8"/>
        <w:gridCol w:w="861"/>
        <w:gridCol w:w="872"/>
        <w:gridCol w:w="3589"/>
      </w:tblGrid>
      <w:tr w:rsidR="003D587E" w:rsidRPr="0042463B" w14:paraId="681D8BD5" w14:textId="77777777" w:rsidTr="00A326B2">
        <w:tc>
          <w:tcPr>
            <w:tcW w:w="2154" w:type="pct"/>
            <w:shd w:val="clear" w:color="auto" w:fill="auto"/>
            <w:vAlign w:val="center"/>
          </w:tcPr>
          <w:p w14:paraId="4A6F2B15" w14:textId="77777777" w:rsidR="003D587E" w:rsidRPr="0042463B" w:rsidRDefault="003D587E" w:rsidP="00A326B2">
            <w:pPr>
              <w:keepNext/>
              <w:keepLines/>
              <w:jc w:val="center"/>
              <w:rPr>
                <w:b/>
                <w:sz w:val="20"/>
                <w:szCs w:val="20"/>
                <w:lang w:eastAsia="en-CA"/>
              </w:rPr>
            </w:pPr>
            <w:r w:rsidRPr="0042463B">
              <w:rPr>
                <w:b/>
                <w:sz w:val="20"/>
                <w:szCs w:val="20"/>
                <w:lang w:eastAsia="en-CA"/>
              </w:rPr>
              <w:t>Substances</w:t>
            </w:r>
          </w:p>
        </w:tc>
        <w:tc>
          <w:tcPr>
            <w:tcW w:w="460" w:type="pct"/>
            <w:shd w:val="clear" w:color="auto" w:fill="auto"/>
            <w:vAlign w:val="center"/>
          </w:tcPr>
          <w:p w14:paraId="25D49B79" w14:textId="77777777" w:rsidR="003D587E" w:rsidRPr="0042463B" w:rsidRDefault="003D587E" w:rsidP="00A326B2">
            <w:pPr>
              <w:keepNext/>
              <w:keepLines/>
              <w:jc w:val="center"/>
              <w:rPr>
                <w:b/>
                <w:sz w:val="20"/>
                <w:szCs w:val="20"/>
                <w:lang w:eastAsia="en-CA"/>
              </w:rPr>
            </w:pPr>
            <w:r w:rsidRPr="0042463B">
              <w:rPr>
                <w:b/>
                <w:sz w:val="20"/>
                <w:szCs w:val="20"/>
                <w:lang w:eastAsia="en-CA"/>
              </w:rPr>
              <w:t>Annexe</w:t>
            </w:r>
          </w:p>
        </w:tc>
        <w:tc>
          <w:tcPr>
            <w:tcW w:w="466" w:type="pct"/>
            <w:shd w:val="clear" w:color="auto" w:fill="auto"/>
            <w:vAlign w:val="center"/>
          </w:tcPr>
          <w:p w14:paraId="685D3870" w14:textId="77777777" w:rsidR="003D587E" w:rsidRPr="0042463B" w:rsidRDefault="003D587E" w:rsidP="00A326B2">
            <w:pPr>
              <w:keepNext/>
              <w:keepLines/>
              <w:jc w:val="center"/>
              <w:rPr>
                <w:b/>
                <w:sz w:val="20"/>
                <w:szCs w:val="20"/>
                <w:lang w:eastAsia="en-CA"/>
              </w:rPr>
            </w:pPr>
            <w:r w:rsidRPr="0042463B">
              <w:rPr>
                <w:b/>
                <w:sz w:val="20"/>
                <w:szCs w:val="20"/>
                <w:lang w:eastAsia="en-CA"/>
              </w:rPr>
              <w:t>Groupe</w:t>
            </w:r>
          </w:p>
        </w:tc>
        <w:tc>
          <w:tcPr>
            <w:tcW w:w="1919" w:type="pct"/>
            <w:shd w:val="clear" w:color="auto" w:fill="auto"/>
            <w:vAlign w:val="center"/>
          </w:tcPr>
          <w:p w14:paraId="5B4B0577" w14:textId="77777777" w:rsidR="003D587E" w:rsidRPr="0042463B" w:rsidRDefault="003D587E" w:rsidP="00A326B2">
            <w:pPr>
              <w:keepNext/>
              <w:keepLines/>
              <w:jc w:val="center"/>
              <w:rPr>
                <w:b/>
                <w:sz w:val="20"/>
                <w:szCs w:val="20"/>
                <w:lang w:eastAsia="en-CA"/>
              </w:rPr>
            </w:pPr>
            <w:r w:rsidRPr="0042463B">
              <w:rPr>
                <w:b/>
                <w:sz w:val="20"/>
                <w:szCs w:val="20"/>
                <w:lang w:eastAsia="en-CA"/>
              </w:rPr>
              <w:t>Point de départ des réductions globales de consommation (tonnes PAO)</w:t>
            </w:r>
          </w:p>
        </w:tc>
      </w:tr>
      <w:tr w:rsidR="003D587E" w:rsidRPr="0042463B" w14:paraId="6FABC5FA" w14:textId="77777777" w:rsidTr="00A326B2">
        <w:tc>
          <w:tcPr>
            <w:tcW w:w="2154" w:type="pct"/>
            <w:shd w:val="clear" w:color="auto" w:fill="auto"/>
          </w:tcPr>
          <w:p w14:paraId="508A4FE8" w14:textId="77777777" w:rsidR="003D587E" w:rsidRPr="0042463B" w:rsidRDefault="003D587E" w:rsidP="00A326B2">
            <w:pPr>
              <w:keepNext/>
              <w:rPr>
                <w:sz w:val="20"/>
                <w:szCs w:val="20"/>
              </w:rPr>
            </w:pPr>
            <w:r w:rsidRPr="0042463B">
              <w:rPr>
                <w:sz w:val="20"/>
                <w:szCs w:val="20"/>
              </w:rPr>
              <w:t>HCFC-22</w:t>
            </w:r>
          </w:p>
        </w:tc>
        <w:tc>
          <w:tcPr>
            <w:tcW w:w="460" w:type="pct"/>
            <w:shd w:val="clear" w:color="auto" w:fill="auto"/>
          </w:tcPr>
          <w:p w14:paraId="652855D7" w14:textId="77777777" w:rsidR="003D587E" w:rsidRPr="0042463B" w:rsidRDefault="003D587E" w:rsidP="00A326B2">
            <w:pPr>
              <w:keepNext/>
              <w:jc w:val="center"/>
              <w:rPr>
                <w:sz w:val="20"/>
                <w:szCs w:val="20"/>
              </w:rPr>
            </w:pPr>
            <w:r w:rsidRPr="0042463B">
              <w:rPr>
                <w:sz w:val="20"/>
                <w:szCs w:val="20"/>
              </w:rPr>
              <w:t>C</w:t>
            </w:r>
          </w:p>
        </w:tc>
        <w:tc>
          <w:tcPr>
            <w:tcW w:w="466" w:type="pct"/>
            <w:shd w:val="clear" w:color="auto" w:fill="auto"/>
          </w:tcPr>
          <w:p w14:paraId="5771FBC9" w14:textId="77777777" w:rsidR="003D587E" w:rsidRPr="0042463B" w:rsidRDefault="003D587E" w:rsidP="00A326B2">
            <w:pPr>
              <w:keepNext/>
              <w:jc w:val="center"/>
              <w:rPr>
                <w:sz w:val="20"/>
                <w:szCs w:val="20"/>
              </w:rPr>
            </w:pPr>
            <w:r w:rsidRPr="0042463B">
              <w:rPr>
                <w:sz w:val="20"/>
                <w:szCs w:val="20"/>
              </w:rPr>
              <w:t>I</w:t>
            </w:r>
          </w:p>
        </w:tc>
        <w:tc>
          <w:tcPr>
            <w:tcW w:w="1919" w:type="pct"/>
            <w:shd w:val="clear" w:color="auto" w:fill="auto"/>
          </w:tcPr>
          <w:p w14:paraId="4AD53053" w14:textId="77777777" w:rsidR="003D587E" w:rsidRPr="0042463B" w:rsidRDefault="003D587E" w:rsidP="00A326B2">
            <w:pPr>
              <w:keepNext/>
              <w:jc w:val="center"/>
              <w:rPr>
                <w:sz w:val="20"/>
                <w:szCs w:val="20"/>
              </w:rPr>
            </w:pPr>
            <w:r w:rsidRPr="0042463B">
              <w:rPr>
                <w:sz w:val="20"/>
                <w:szCs w:val="20"/>
              </w:rPr>
              <w:t>50,85</w:t>
            </w:r>
          </w:p>
        </w:tc>
      </w:tr>
      <w:tr w:rsidR="003D587E" w:rsidRPr="0042463B" w14:paraId="0B19DE69" w14:textId="77777777" w:rsidTr="00A326B2">
        <w:tblPrEx>
          <w:tblLook w:val="0000" w:firstRow="0" w:lastRow="0" w:firstColumn="0" w:lastColumn="0" w:noHBand="0" w:noVBand="0"/>
        </w:tblPrEx>
        <w:tc>
          <w:tcPr>
            <w:tcW w:w="2154" w:type="pct"/>
            <w:shd w:val="clear" w:color="auto" w:fill="auto"/>
          </w:tcPr>
          <w:p w14:paraId="2BD70241" w14:textId="77777777" w:rsidR="003D587E" w:rsidRPr="0042463B" w:rsidRDefault="003D587E" w:rsidP="00A326B2">
            <w:pPr>
              <w:keepNext/>
              <w:rPr>
                <w:sz w:val="20"/>
                <w:szCs w:val="20"/>
              </w:rPr>
            </w:pPr>
            <w:r w:rsidRPr="0042463B">
              <w:rPr>
                <w:sz w:val="20"/>
                <w:szCs w:val="20"/>
              </w:rPr>
              <w:t>HCFC-141b</w:t>
            </w:r>
          </w:p>
        </w:tc>
        <w:tc>
          <w:tcPr>
            <w:tcW w:w="460" w:type="pct"/>
            <w:shd w:val="clear" w:color="auto" w:fill="auto"/>
          </w:tcPr>
          <w:p w14:paraId="727E49F5" w14:textId="77777777" w:rsidR="003D587E" w:rsidRPr="0042463B" w:rsidRDefault="003D587E" w:rsidP="00A326B2">
            <w:pPr>
              <w:keepNext/>
              <w:jc w:val="center"/>
              <w:rPr>
                <w:sz w:val="20"/>
                <w:szCs w:val="20"/>
              </w:rPr>
            </w:pPr>
            <w:r w:rsidRPr="0042463B">
              <w:rPr>
                <w:sz w:val="20"/>
                <w:szCs w:val="20"/>
              </w:rPr>
              <w:t>C</w:t>
            </w:r>
          </w:p>
        </w:tc>
        <w:tc>
          <w:tcPr>
            <w:tcW w:w="466" w:type="pct"/>
            <w:shd w:val="clear" w:color="auto" w:fill="auto"/>
          </w:tcPr>
          <w:p w14:paraId="71E82DBE" w14:textId="77777777" w:rsidR="003D587E" w:rsidRPr="0042463B" w:rsidRDefault="003D587E" w:rsidP="00A326B2">
            <w:pPr>
              <w:keepNext/>
              <w:jc w:val="center"/>
              <w:rPr>
                <w:sz w:val="20"/>
                <w:szCs w:val="20"/>
              </w:rPr>
            </w:pPr>
            <w:r w:rsidRPr="0042463B">
              <w:rPr>
                <w:sz w:val="20"/>
                <w:szCs w:val="20"/>
              </w:rPr>
              <w:t>I</w:t>
            </w:r>
          </w:p>
        </w:tc>
        <w:tc>
          <w:tcPr>
            <w:tcW w:w="1919" w:type="pct"/>
            <w:shd w:val="clear" w:color="auto" w:fill="auto"/>
          </w:tcPr>
          <w:p w14:paraId="732FC808" w14:textId="77777777" w:rsidR="003D587E" w:rsidRPr="0042463B" w:rsidRDefault="003D587E" w:rsidP="00A326B2">
            <w:pPr>
              <w:keepNext/>
              <w:jc w:val="center"/>
              <w:rPr>
                <w:sz w:val="20"/>
                <w:szCs w:val="20"/>
              </w:rPr>
            </w:pPr>
            <w:r w:rsidRPr="0042463B">
              <w:rPr>
                <w:sz w:val="20"/>
                <w:szCs w:val="20"/>
              </w:rPr>
              <w:t>0,44</w:t>
            </w:r>
          </w:p>
        </w:tc>
      </w:tr>
      <w:tr w:rsidR="003D587E" w:rsidRPr="0042463B" w14:paraId="7EFD88F5" w14:textId="77777777" w:rsidTr="00A326B2">
        <w:tblPrEx>
          <w:tblLook w:val="0000" w:firstRow="0" w:lastRow="0" w:firstColumn="0" w:lastColumn="0" w:noHBand="0" w:noVBand="0"/>
        </w:tblPrEx>
        <w:tc>
          <w:tcPr>
            <w:tcW w:w="2154" w:type="pct"/>
            <w:shd w:val="clear" w:color="auto" w:fill="auto"/>
          </w:tcPr>
          <w:p w14:paraId="7A760D3A" w14:textId="77777777" w:rsidR="003D587E" w:rsidRPr="0042463B" w:rsidRDefault="003D587E" w:rsidP="00A326B2">
            <w:pPr>
              <w:keepNext/>
              <w:rPr>
                <w:sz w:val="20"/>
                <w:szCs w:val="20"/>
              </w:rPr>
            </w:pPr>
            <w:r w:rsidRPr="0042463B">
              <w:rPr>
                <w:sz w:val="20"/>
                <w:szCs w:val="20"/>
              </w:rPr>
              <w:t>Sous-total</w:t>
            </w:r>
          </w:p>
        </w:tc>
        <w:tc>
          <w:tcPr>
            <w:tcW w:w="460" w:type="pct"/>
            <w:shd w:val="clear" w:color="auto" w:fill="auto"/>
          </w:tcPr>
          <w:p w14:paraId="1DE654EC" w14:textId="77777777" w:rsidR="003D587E" w:rsidRPr="0042463B" w:rsidRDefault="003D587E" w:rsidP="00A326B2">
            <w:pPr>
              <w:keepNext/>
              <w:jc w:val="center"/>
              <w:rPr>
                <w:sz w:val="20"/>
                <w:szCs w:val="20"/>
              </w:rPr>
            </w:pPr>
          </w:p>
        </w:tc>
        <w:tc>
          <w:tcPr>
            <w:tcW w:w="466" w:type="pct"/>
            <w:shd w:val="clear" w:color="auto" w:fill="auto"/>
          </w:tcPr>
          <w:p w14:paraId="2854961C" w14:textId="77777777" w:rsidR="003D587E" w:rsidRPr="0042463B" w:rsidRDefault="003D587E" w:rsidP="00A326B2">
            <w:pPr>
              <w:keepNext/>
              <w:jc w:val="center"/>
              <w:rPr>
                <w:sz w:val="20"/>
                <w:szCs w:val="20"/>
              </w:rPr>
            </w:pPr>
          </w:p>
        </w:tc>
        <w:tc>
          <w:tcPr>
            <w:tcW w:w="1919" w:type="pct"/>
            <w:shd w:val="clear" w:color="auto" w:fill="auto"/>
          </w:tcPr>
          <w:p w14:paraId="500F88BD" w14:textId="77777777" w:rsidR="003D587E" w:rsidRPr="0042463B" w:rsidRDefault="003D587E" w:rsidP="00A326B2">
            <w:pPr>
              <w:keepNext/>
              <w:jc w:val="center"/>
              <w:rPr>
                <w:sz w:val="20"/>
                <w:szCs w:val="20"/>
              </w:rPr>
            </w:pPr>
            <w:r w:rsidRPr="0042463B">
              <w:rPr>
                <w:sz w:val="20"/>
                <w:szCs w:val="20"/>
              </w:rPr>
              <w:t>51,28</w:t>
            </w:r>
          </w:p>
        </w:tc>
      </w:tr>
      <w:tr w:rsidR="003D587E" w:rsidRPr="0042463B" w14:paraId="08A82FEB" w14:textId="77777777" w:rsidTr="00A326B2">
        <w:tblPrEx>
          <w:tblLook w:val="0000" w:firstRow="0" w:lastRow="0" w:firstColumn="0" w:lastColumn="0" w:noHBand="0" w:noVBand="0"/>
        </w:tblPrEx>
        <w:tc>
          <w:tcPr>
            <w:tcW w:w="2154" w:type="pct"/>
            <w:shd w:val="clear" w:color="auto" w:fill="auto"/>
          </w:tcPr>
          <w:p w14:paraId="5F7C1816" w14:textId="77777777" w:rsidR="003D587E" w:rsidRPr="0042463B" w:rsidRDefault="003D587E" w:rsidP="00A326B2">
            <w:pPr>
              <w:keepNext/>
              <w:rPr>
                <w:sz w:val="20"/>
                <w:szCs w:val="20"/>
              </w:rPr>
            </w:pPr>
            <w:r w:rsidRPr="0042463B">
              <w:rPr>
                <w:color w:val="000000"/>
                <w:sz w:val="18"/>
                <w:szCs w:val="18"/>
              </w:rPr>
              <w:t xml:space="preserve">HCFC-141b contenu dans les polyols </w:t>
            </w:r>
            <w:proofErr w:type="spellStart"/>
            <w:r w:rsidRPr="0042463B">
              <w:rPr>
                <w:color w:val="000000"/>
                <w:sz w:val="18"/>
                <w:szCs w:val="18"/>
              </w:rPr>
              <w:t>prémélangés</w:t>
            </w:r>
            <w:proofErr w:type="spellEnd"/>
            <w:r w:rsidRPr="0042463B">
              <w:rPr>
                <w:color w:val="000000"/>
                <w:sz w:val="18"/>
                <w:szCs w:val="18"/>
              </w:rPr>
              <w:t xml:space="preserve"> importés</w:t>
            </w:r>
          </w:p>
        </w:tc>
        <w:tc>
          <w:tcPr>
            <w:tcW w:w="460" w:type="pct"/>
            <w:shd w:val="clear" w:color="auto" w:fill="auto"/>
          </w:tcPr>
          <w:p w14:paraId="36B4F236" w14:textId="77777777" w:rsidR="003D587E" w:rsidRPr="0042463B" w:rsidRDefault="003D587E" w:rsidP="00A326B2">
            <w:pPr>
              <w:keepNext/>
              <w:jc w:val="center"/>
              <w:rPr>
                <w:sz w:val="20"/>
                <w:szCs w:val="20"/>
              </w:rPr>
            </w:pPr>
            <w:r w:rsidRPr="0042463B">
              <w:rPr>
                <w:sz w:val="20"/>
                <w:szCs w:val="20"/>
              </w:rPr>
              <w:t>C</w:t>
            </w:r>
          </w:p>
        </w:tc>
        <w:tc>
          <w:tcPr>
            <w:tcW w:w="466" w:type="pct"/>
            <w:shd w:val="clear" w:color="auto" w:fill="auto"/>
          </w:tcPr>
          <w:p w14:paraId="56BCE2E0" w14:textId="77777777" w:rsidR="003D587E" w:rsidRPr="0042463B" w:rsidRDefault="003D587E" w:rsidP="00A326B2">
            <w:pPr>
              <w:keepNext/>
              <w:jc w:val="center"/>
              <w:rPr>
                <w:sz w:val="20"/>
                <w:szCs w:val="20"/>
              </w:rPr>
            </w:pPr>
            <w:r w:rsidRPr="0042463B">
              <w:rPr>
                <w:sz w:val="20"/>
                <w:szCs w:val="20"/>
              </w:rPr>
              <w:t>I</w:t>
            </w:r>
          </w:p>
        </w:tc>
        <w:tc>
          <w:tcPr>
            <w:tcW w:w="1919" w:type="pct"/>
            <w:shd w:val="clear" w:color="auto" w:fill="auto"/>
          </w:tcPr>
          <w:p w14:paraId="27587C60" w14:textId="77777777" w:rsidR="003D587E" w:rsidRPr="0042463B" w:rsidRDefault="003D587E" w:rsidP="00A326B2">
            <w:pPr>
              <w:keepNext/>
              <w:jc w:val="center"/>
              <w:rPr>
                <w:sz w:val="20"/>
                <w:szCs w:val="20"/>
              </w:rPr>
            </w:pPr>
            <w:r w:rsidRPr="0042463B">
              <w:rPr>
                <w:sz w:val="20"/>
                <w:szCs w:val="20"/>
              </w:rPr>
              <w:t>10,11</w:t>
            </w:r>
          </w:p>
        </w:tc>
      </w:tr>
      <w:tr w:rsidR="003D587E" w:rsidRPr="0042463B" w14:paraId="3DB72864" w14:textId="77777777" w:rsidTr="00A326B2">
        <w:tc>
          <w:tcPr>
            <w:tcW w:w="2154" w:type="pct"/>
            <w:shd w:val="clear" w:color="auto" w:fill="auto"/>
          </w:tcPr>
          <w:p w14:paraId="3742F0F6" w14:textId="77777777" w:rsidR="003D587E" w:rsidRPr="0042463B" w:rsidRDefault="003D587E" w:rsidP="00A326B2">
            <w:pPr>
              <w:pStyle w:val="Default"/>
              <w:rPr>
                <w:sz w:val="20"/>
                <w:szCs w:val="20"/>
                <w:lang w:val="en-CA"/>
              </w:rPr>
            </w:pPr>
            <w:r w:rsidRPr="0042463B">
              <w:rPr>
                <w:sz w:val="20"/>
                <w:szCs w:val="20"/>
                <w:lang w:val="en-CA"/>
              </w:rPr>
              <w:t>Total</w:t>
            </w:r>
          </w:p>
        </w:tc>
        <w:tc>
          <w:tcPr>
            <w:tcW w:w="460" w:type="pct"/>
            <w:shd w:val="clear" w:color="auto" w:fill="auto"/>
          </w:tcPr>
          <w:p w14:paraId="1E22D5C0" w14:textId="77777777" w:rsidR="003D587E" w:rsidRPr="0042463B" w:rsidRDefault="003D587E" w:rsidP="00A326B2">
            <w:pPr>
              <w:pStyle w:val="Default"/>
              <w:jc w:val="center"/>
              <w:rPr>
                <w:sz w:val="20"/>
                <w:szCs w:val="20"/>
                <w:lang w:val="en-CA"/>
              </w:rPr>
            </w:pPr>
            <w:r w:rsidRPr="0042463B">
              <w:rPr>
                <w:sz w:val="20"/>
                <w:szCs w:val="20"/>
                <w:lang w:val="en-CA"/>
              </w:rPr>
              <w:t>C</w:t>
            </w:r>
          </w:p>
        </w:tc>
        <w:tc>
          <w:tcPr>
            <w:tcW w:w="466" w:type="pct"/>
            <w:shd w:val="clear" w:color="auto" w:fill="auto"/>
          </w:tcPr>
          <w:p w14:paraId="396EEC0F" w14:textId="77777777" w:rsidR="003D587E" w:rsidRPr="0042463B" w:rsidRDefault="003D587E" w:rsidP="00A326B2">
            <w:pPr>
              <w:pStyle w:val="Default"/>
              <w:jc w:val="center"/>
              <w:rPr>
                <w:sz w:val="20"/>
                <w:szCs w:val="20"/>
                <w:lang w:val="en-CA"/>
              </w:rPr>
            </w:pPr>
            <w:r w:rsidRPr="0042463B">
              <w:rPr>
                <w:sz w:val="20"/>
                <w:szCs w:val="20"/>
                <w:lang w:val="en-CA"/>
              </w:rPr>
              <w:t>I</w:t>
            </w:r>
          </w:p>
        </w:tc>
        <w:tc>
          <w:tcPr>
            <w:tcW w:w="1919" w:type="pct"/>
            <w:shd w:val="clear" w:color="auto" w:fill="auto"/>
          </w:tcPr>
          <w:p w14:paraId="6F62D5F6" w14:textId="77777777" w:rsidR="003D587E" w:rsidRPr="0042463B" w:rsidRDefault="003D587E" w:rsidP="00A326B2">
            <w:pPr>
              <w:pStyle w:val="Default"/>
              <w:jc w:val="center"/>
              <w:rPr>
                <w:sz w:val="20"/>
                <w:szCs w:val="20"/>
                <w:lang w:val="en-CA"/>
              </w:rPr>
            </w:pPr>
            <w:r w:rsidRPr="0042463B">
              <w:rPr>
                <w:sz w:val="20"/>
                <w:szCs w:val="20"/>
                <w:lang w:val="en-CA"/>
              </w:rPr>
              <w:t>61,39</w:t>
            </w:r>
          </w:p>
        </w:tc>
      </w:tr>
    </w:tbl>
    <w:p w14:paraId="36955F11" w14:textId="77777777" w:rsidR="003D587E" w:rsidRPr="0042463B" w:rsidRDefault="003D587E" w:rsidP="003D587E">
      <w:pPr>
        <w:pStyle w:val="Heading1"/>
        <w:numPr>
          <w:ilvl w:val="0"/>
          <w:numId w:val="0"/>
        </w:numPr>
      </w:pPr>
    </w:p>
    <w:p w14:paraId="1B6CE7BE" w14:textId="77777777" w:rsidR="003D587E" w:rsidRPr="0042463B" w:rsidRDefault="003D587E" w:rsidP="003D587E">
      <w:pPr>
        <w:keepNext/>
        <w:keepLines/>
        <w:rPr>
          <w:b/>
        </w:rPr>
      </w:pPr>
      <w:r w:rsidRPr="0042463B">
        <w:rPr>
          <w:b/>
        </w:rPr>
        <w:t>APPENDICE 2-A : LES OBJECTIFS ET LE FINANCEMENT</w:t>
      </w:r>
    </w:p>
    <w:p w14:paraId="3C033253" w14:textId="77777777" w:rsidR="003D587E" w:rsidRPr="0042463B" w:rsidRDefault="003D587E" w:rsidP="003D587E">
      <w:pPr>
        <w:keepNext/>
        <w:keepLines/>
        <w:rPr>
          <w:b/>
        </w:rPr>
      </w:pPr>
    </w:p>
    <w:tbl>
      <w:tblPr>
        <w:tblW w:w="9360" w:type="dxa"/>
        <w:jc w:val="center"/>
        <w:tblLayout w:type="fixed"/>
        <w:tblLook w:val="04A0" w:firstRow="1" w:lastRow="0" w:firstColumn="1" w:lastColumn="0" w:noHBand="0" w:noVBand="1"/>
      </w:tblPr>
      <w:tblGrid>
        <w:gridCol w:w="606"/>
        <w:gridCol w:w="4071"/>
        <w:gridCol w:w="752"/>
        <w:gridCol w:w="753"/>
        <w:gridCol w:w="753"/>
        <w:gridCol w:w="753"/>
        <w:gridCol w:w="758"/>
        <w:gridCol w:w="914"/>
      </w:tblGrid>
      <w:tr w:rsidR="003D587E" w:rsidRPr="0042463B" w14:paraId="2A414643" w14:textId="77777777" w:rsidTr="00A326B2">
        <w:trPr>
          <w:tblHeader/>
          <w:jc w:val="center"/>
        </w:trPr>
        <w:tc>
          <w:tcPr>
            <w:tcW w:w="324" w:type="pct"/>
            <w:tcBorders>
              <w:top w:val="single" w:sz="4" w:space="0" w:color="auto"/>
              <w:left w:val="single" w:sz="4" w:space="0" w:color="auto"/>
              <w:bottom w:val="single" w:sz="4" w:space="0" w:color="auto"/>
              <w:right w:val="single" w:sz="4" w:space="0" w:color="auto"/>
            </w:tcBorders>
            <w:shd w:val="clear" w:color="auto" w:fill="auto"/>
            <w:tcMar>
              <w:left w:w="29" w:type="dxa"/>
              <w:right w:w="0" w:type="dxa"/>
            </w:tcMar>
            <w:hideMark/>
          </w:tcPr>
          <w:p w14:paraId="61AE6CDF" w14:textId="77777777" w:rsidR="003D587E" w:rsidRPr="0042463B" w:rsidRDefault="003D587E" w:rsidP="00A326B2">
            <w:pPr>
              <w:jc w:val="center"/>
              <w:rPr>
                <w:b/>
                <w:bCs/>
                <w:sz w:val="18"/>
                <w:szCs w:val="18"/>
              </w:rPr>
            </w:pPr>
            <w:r w:rsidRPr="0042463B">
              <w:rPr>
                <w:b/>
                <w:bCs/>
                <w:sz w:val="18"/>
                <w:szCs w:val="18"/>
              </w:rPr>
              <w:t>Ligne</w:t>
            </w:r>
          </w:p>
        </w:tc>
        <w:tc>
          <w:tcPr>
            <w:tcW w:w="2175" w:type="pct"/>
            <w:tcBorders>
              <w:top w:val="single" w:sz="4" w:space="0" w:color="auto"/>
              <w:left w:val="nil"/>
              <w:bottom w:val="single" w:sz="4" w:space="0" w:color="auto"/>
              <w:right w:val="single" w:sz="4" w:space="0" w:color="auto"/>
            </w:tcBorders>
            <w:shd w:val="clear" w:color="auto" w:fill="auto"/>
            <w:hideMark/>
          </w:tcPr>
          <w:p w14:paraId="7B93953A" w14:textId="77777777" w:rsidR="003D587E" w:rsidRPr="0042463B" w:rsidRDefault="003D587E" w:rsidP="00A326B2">
            <w:pPr>
              <w:jc w:val="center"/>
              <w:rPr>
                <w:b/>
                <w:bCs/>
                <w:sz w:val="18"/>
                <w:szCs w:val="18"/>
              </w:rPr>
            </w:pPr>
            <w:r w:rsidRPr="0042463B">
              <w:rPr>
                <w:b/>
                <w:bCs/>
                <w:sz w:val="18"/>
                <w:szCs w:val="18"/>
              </w:rPr>
              <w:t>Caractéristiques</w:t>
            </w:r>
          </w:p>
        </w:tc>
        <w:tc>
          <w:tcPr>
            <w:tcW w:w="402" w:type="pct"/>
            <w:tcBorders>
              <w:top w:val="single" w:sz="4" w:space="0" w:color="auto"/>
              <w:left w:val="nil"/>
              <w:bottom w:val="single" w:sz="4" w:space="0" w:color="auto"/>
              <w:right w:val="single" w:sz="4" w:space="0" w:color="auto"/>
            </w:tcBorders>
            <w:shd w:val="clear" w:color="auto" w:fill="auto"/>
            <w:tcMar>
              <w:left w:w="0" w:type="dxa"/>
              <w:right w:w="0" w:type="dxa"/>
            </w:tcMar>
            <w:hideMark/>
          </w:tcPr>
          <w:p w14:paraId="67D0D9B0" w14:textId="77777777" w:rsidR="003D587E" w:rsidRPr="0042463B" w:rsidRDefault="003D587E" w:rsidP="00A326B2">
            <w:pPr>
              <w:keepNext/>
              <w:keepLines/>
              <w:jc w:val="center"/>
              <w:rPr>
                <w:b/>
                <w:bCs/>
                <w:sz w:val="20"/>
                <w:szCs w:val="20"/>
                <w:lang w:eastAsia="en-CA"/>
              </w:rPr>
            </w:pPr>
            <w:r w:rsidRPr="0042463B">
              <w:rPr>
                <w:b/>
                <w:bCs/>
                <w:sz w:val="20"/>
                <w:szCs w:val="20"/>
                <w:lang w:eastAsia="en-CA"/>
              </w:rPr>
              <w:t>2021</w:t>
            </w:r>
          </w:p>
        </w:tc>
        <w:tc>
          <w:tcPr>
            <w:tcW w:w="402" w:type="pct"/>
            <w:tcBorders>
              <w:top w:val="single" w:sz="4" w:space="0" w:color="auto"/>
              <w:left w:val="nil"/>
              <w:bottom w:val="single" w:sz="4" w:space="0" w:color="auto"/>
              <w:right w:val="single" w:sz="4" w:space="0" w:color="auto"/>
            </w:tcBorders>
            <w:shd w:val="clear" w:color="auto" w:fill="auto"/>
            <w:tcMar>
              <w:left w:w="0" w:type="dxa"/>
              <w:right w:w="0" w:type="dxa"/>
            </w:tcMar>
            <w:hideMark/>
          </w:tcPr>
          <w:p w14:paraId="523C2C73" w14:textId="77777777" w:rsidR="003D587E" w:rsidRPr="0042463B" w:rsidRDefault="003D587E" w:rsidP="00A326B2">
            <w:pPr>
              <w:keepNext/>
              <w:keepLines/>
              <w:jc w:val="center"/>
              <w:rPr>
                <w:b/>
                <w:bCs/>
                <w:sz w:val="20"/>
                <w:szCs w:val="20"/>
                <w:lang w:eastAsia="en-CA"/>
              </w:rPr>
            </w:pPr>
            <w:r w:rsidRPr="0042463B">
              <w:rPr>
                <w:b/>
                <w:bCs/>
                <w:sz w:val="20"/>
                <w:szCs w:val="20"/>
                <w:lang w:eastAsia="en-CA"/>
              </w:rPr>
              <w:t>2022</w:t>
            </w:r>
          </w:p>
        </w:tc>
        <w:tc>
          <w:tcPr>
            <w:tcW w:w="402" w:type="pct"/>
            <w:tcBorders>
              <w:top w:val="single" w:sz="4" w:space="0" w:color="auto"/>
              <w:left w:val="nil"/>
              <w:bottom w:val="single" w:sz="4" w:space="0" w:color="auto"/>
              <w:right w:val="single" w:sz="4" w:space="0" w:color="auto"/>
            </w:tcBorders>
            <w:shd w:val="clear" w:color="auto" w:fill="auto"/>
            <w:tcMar>
              <w:left w:w="0" w:type="dxa"/>
              <w:right w:w="0" w:type="dxa"/>
            </w:tcMar>
            <w:hideMark/>
          </w:tcPr>
          <w:p w14:paraId="698206C0" w14:textId="77777777" w:rsidR="003D587E" w:rsidRPr="0042463B" w:rsidRDefault="003D587E" w:rsidP="00A326B2">
            <w:pPr>
              <w:keepNext/>
              <w:keepLines/>
              <w:jc w:val="center"/>
              <w:rPr>
                <w:b/>
                <w:bCs/>
                <w:sz w:val="20"/>
                <w:szCs w:val="20"/>
                <w:lang w:eastAsia="en-CA"/>
              </w:rPr>
            </w:pPr>
            <w:r w:rsidRPr="0042463B">
              <w:rPr>
                <w:b/>
                <w:bCs/>
                <w:sz w:val="20"/>
                <w:szCs w:val="20"/>
                <w:lang w:eastAsia="en-CA"/>
              </w:rPr>
              <w:t>2023</w:t>
            </w:r>
          </w:p>
        </w:tc>
        <w:tc>
          <w:tcPr>
            <w:tcW w:w="402" w:type="pct"/>
            <w:tcBorders>
              <w:top w:val="single" w:sz="4" w:space="0" w:color="auto"/>
              <w:left w:val="nil"/>
              <w:bottom w:val="single" w:sz="4" w:space="0" w:color="auto"/>
              <w:right w:val="single" w:sz="4" w:space="0" w:color="auto"/>
            </w:tcBorders>
            <w:shd w:val="clear" w:color="auto" w:fill="auto"/>
            <w:tcMar>
              <w:left w:w="0" w:type="dxa"/>
              <w:right w:w="0" w:type="dxa"/>
            </w:tcMar>
            <w:hideMark/>
          </w:tcPr>
          <w:p w14:paraId="3C49DED3" w14:textId="77777777" w:rsidR="003D587E" w:rsidRPr="0042463B" w:rsidRDefault="003D587E" w:rsidP="00A326B2">
            <w:pPr>
              <w:keepNext/>
              <w:keepLines/>
              <w:jc w:val="center"/>
              <w:rPr>
                <w:b/>
                <w:bCs/>
                <w:sz w:val="20"/>
                <w:szCs w:val="20"/>
                <w:lang w:eastAsia="en-CA"/>
              </w:rPr>
            </w:pPr>
            <w:r w:rsidRPr="0042463B">
              <w:rPr>
                <w:b/>
                <w:bCs/>
                <w:sz w:val="20"/>
                <w:szCs w:val="20"/>
                <w:lang w:eastAsia="en-CA"/>
              </w:rPr>
              <w:t>2024</w:t>
            </w:r>
          </w:p>
        </w:tc>
        <w:tc>
          <w:tcPr>
            <w:tcW w:w="405" w:type="pct"/>
            <w:tcBorders>
              <w:top w:val="single" w:sz="4" w:space="0" w:color="auto"/>
              <w:left w:val="nil"/>
              <w:bottom w:val="single" w:sz="4" w:space="0" w:color="auto"/>
              <w:right w:val="single" w:sz="4" w:space="0" w:color="auto"/>
            </w:tcBorders>
            <w:shd w:val="clear" w:color="auto" w:fill="auto"/>
            <w:tcMar>
              <w:left w:w="0" w:type="dxa"/>
              <w:right w:w="0" w:type="dxa"/>
            </w:tcMar>
            <w:hideMark/>
          </w:tcPr>
          <w:p w14:paraId="78F60DC7" w14:textId="77777777" w:rsidR="003D587E" w:rsidRPr="0042463B" w:rsidRDefault="003D587E" w:rsidP="00A326B2">
            <w:pPr>
              <w:keepNext/>
              <w:keepLines/>
              <w:jc w:val="center"/>
              <w:rPr>
                <w:b/>
                <w:bCs/>
                <w:sz w:val="20"/>
                <w:szCs w:val="20"/>
                <w:lang w:eastAsia="en-CA"/>
              </w:rPr>
            </w:pPr>
            <w:r w:rsidRPr="0042463B">
              <w:rPr>
                <w:b/>
                <w:bCs/>
                <w:sz w:val="20"/>
                <w:szCs w:val="20"/>
                <w:lang w:eastAsia="en-CA"/>
              </w:rPr>
              <w:t>2025</w:t>
            </w:r>
          </w:p>
        </w:tc>
        <w:tc>
          <w:tcPr>
            <w:tcW w:w="488" w:type="pct"/>
            <w:tcBorders>
              <w:top w:val="single" w:sz="4" w:space="0" w:color="auto"/>
              <w:left w:val="nil"/>
              <w:bottom w:val="single" w:sz="4" w:space="0" w:color="auto"/>
              <w:right w:val="single" w:sz="4" w:space="0" w:color="auto"/>
            </w:tcBorders>
            <w:shd w:val="clear" w:color="auto" w:fill="auto"/>
            <w:hideMark/>
          </w:tcPr>
          <w:p w14:paraId="127B964A" w14:textId="77777777" w:rsidR="003D587E" w:rsidRPr="0042463B" w:rsidRDefault="003D587E" w:rsidP="00A326B2">
            <w:pPr>
              <w:keepNext/>
              <w:keepLines/>
              <w:jc w:val="center"/>
              <w:rPr>
                <w:b/>
                <w:bCs/>
                <w:sz w:val="20"/>
                <w:szCs w:val="20"/>
                <w:lang w:eastAsia="en-CA"/>
              </w:rPr>
            </w:pPr>
            <w:r w:rsidRPr="0042463B">
              <w:rPr>
                <w:b/>
                <w:bCs/>
                <w:sz w:val="20"/>
                <w:szCs w:val="20"/>
                <w:lang w:eastAsia="en-CA"/>
              </w:rPr>
              <w:t>Total</w:t>
            </w:r>
          </w:p>
        </w:tc>
      </w:tr>
      <w:tr w:rsidR="003D587E" w:rsidRPr="0042463B" w14:paraId="03DEEC4A" w14:textId="77777777" w:rsidTr="00A326B2">
        <w:trPr>
          <w:jc w:val="center"/>
        </w:trPr>
        <w:tc>
          <w:tcPr>
            <w:tcW w:w="324" w:type="pct"/>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253146B8" w14:textId="77777777" w:rsidR="003D587E" w:rsidRPr="0042463B" w:rsidRDefault="003D587E" w:rsidP="00A326B2">
            <w:pPr>
              <w:keepNext/>
              <w:keepLines/>
              <w:jc w:val="left"/>
              <w:rPr>
                <w:sz w:val="20"/>
                <w:szCs w:val="20"/>
                <w:lang w:eastAsia="en-CA"/>
              </w:rPr>
            </w:pPr>
            <w:r w:rsidRPr="0042463B">
              <w:rPr>
                <w:sz w:val="20"/>
                <w:szCs w:val="20"/>
                <w:lang w:eastAsia="en-CA"/>
              </w:rPr>
              <w:t>1.1</w:t>
            </w:r>
          </w:p>
        </w:tc>
        <w:tc>
          <w:tcPr>
            <w:tcW w:w="2175" w:type="pct"/>
            <w:tcBorders>
              <w:top w:val="nil"/>
              <w:left w:val="nil"/>
              <w:bottom w:val="single" w:sz="4" w:space="0" w:color="auto"/>
              <w:right w:val="single" w:sz="4" w:space="0" w:color="auto"/>
            </w:tcBorders>
            <w:shd w:val="clear" w:color="auto" w:fill="auto"/>
            <w:hideMark/>
          </w:tcPr>
          <w:p w14:paraId="6E72B42B" w14:textId="77777777" w:rsidR="003D587E" w:rsidRPr="0042463B" w:rsidRDefault="003D587E" w:rsidP="00A326B2">
            <w:pPr>
              <w:jc w:val="left"/>
              <w:rPr>
                <w:sz w:val="18"/>
                <w:szCs w:val="18"/>
              </w:rPr>
            </w:pPr>
            <w:r w:rsidRPr="0042463B">
              <w:rPr>
                <w:sz w:val="18"/>
                <w:szCs w:val="18"/>
              </w:rPr>
              <w:t>Calendrier de réduction des substances du groupe I de l’annexe C du Protocole de Montréal (tonnes PAO)</w:t>
            </w:r>
          </w:p>
        </w:tc>
        <w:tc>
          <w:tcPr>
            <w:tcW w:w="402" w:type="pct"/>
            <w:tcBorders>
              <w:top w:val="nil"/>
              <w:left w:val="nil"/>
              <w:bottom w:val="single" w:sz="4" w:space="0" w:color="auto"/>
              <w:right w:val="single" w:sz="4" w:space="0" w:color="auto"/>
            </w:tcBorders>
            <w:shd w:val="clear" w:color="auto" w:fill="auto"/>
            <w:tcMar>
              <w:left w:w="0" w:type="dxa"/>
              <w:right w:w="43" w:type="dxa"/>
            </w:tcMar>
          </w:tcPr>
          <w:p w14:paraId="4176BFB8" w14:textId="0C9B0EA3" w:rsidR="003D587E" w:rsidRPr="0042463B" w:rsidRDefault="003D587E" w:rsidP="00A326B2">
            <w:pPr>
              <w:jc w:val="right"/>
              <w:rPr>
                <w:sz w:val="20"/>
                <w:szCs w:val="20"/>
              </w:rPr>
            </w:pPr>
            <w:r w:rsidRPr="0042463B">
              <w:rPr>
                <w:sz w:val="20"/>
                <w:szCs w:val="20"/>
              </w:rPr>
              <w:t>33</w:t>
            </w:r>
            <w:r w:rsidR="0042463B">
              <w:rPr>
                <w:sz w:val="20"/>
                <w:szCs w:val="20"/>
              </w:rPr>
              <w:t>,</w:t>
            </w:r>
            <w:r w:rsidRPr="0042463B">
              <w:rPr>
                <w:sz w:val="20"/>
                <w:szCs w:val="20"/>
              </w:rPr>
              <w:t>74</w:t>
            </w:r>
          </w:p>
        </w:tc>
        <w:tc>
          <w:tcPr>
            <w:tcW w:w="402" w:type="pct"/>
            <w:tcBorders>
              <w:top w:val="nil"/>
              <w:left w:val="nil"/>
              <w:bottom w:val="single" w:sz="4" w:space="0" w:color="auto"/>
              <w:right w:val="single" w:sz="4" w:space="0" w:color="auto"/>
            </w:tcBorders>
            <w:shd w:val="clear" w:color="auto" w:fill="auto"/>
            <w:tcMar>
              <w:left w:w="0" w:type="dxa"/>
              <w:right w:w="43" w:type="dxa"/>
            </w:tcMar>
          </w:tcPr>
          <w:p w14:paraId="03A5D77B" w14:textId="4ECACFB1" w:rsidR="003D587E" w:rsidRPr="0042463B" w:rsidRDefault="003D587E" w:rsidP="00A326B2">
            <w:pPr>
              <w:jc w:val="right"/>
              <w:rPr>
                <w:sz w:val="20"/>
                <w:szCs w:val="20"/>
              </w:rPr>
            </w:pPr>
            <w:r w:rsidRPr="0042463B">
              <w:rPr>
                <w:sz w:val="20"/>
                <w:szCs w:val="20"/>
              </w:rPr>
              <w:t>33</w:t>
            </w:r>
            <w:r w:rsidR="0042463B">
              <w:rPr>
                <w:sz w:val="20"/>
                <w:szCs w:val="20"/>
              </w:rPr>
              <w:t>,</w:t>
            </w:r>
            <w:r w:rsidRPr="0042463B">
              <w:rPr>
                <w:sz w:val="20"/>
                <w:szCs w:val="20"/>
              </w:rPr>
              <w:t>74</w:t>
            </w:r>
          </w:p>
        </w:tc>
        <w:tc>
          <w:tcPr>
            <w:tcW w:w="402" w:type="pct"/>
            <w:tcBorders>
              <w:top w:val="nil"/>
              <w:left w:val="nil"/>
              <w:bottom w:val="single" w:sz="4" w:space="0" w:color="auto"/>
              <w:right w:val="single" w:sz="4" w:space="0" w:color="auto"/>
            </w:tcBorders>
            <w:shd w:val="clear" w:color="auto" w:fill="auto"/>
            <w:tcMar>
              <w:left w:w="0" w:type="dxa"/>
              <w:right w:w="43" w:type="dxa"/>
            </w:tcMar>
          </w:tcPr>
          <w:p w14:paraId="0C4830CD" w14:textId="5AC95113" w:rsidR="003D587E" w:rsidRPr="0042463B" w:rsidRDefault="003D587E" w:rsidP="00A326B2">
            <w:pPr>
              <w:jc w:val="right"/>
              <w:rPr>
                <w:sz w:val="20"/>
                <w:szCs w:val="20"/>
              </w:rPr>
            </w:pPr>
            <w:r w:rsidRPr="0042463B">
              <w:rPr>
                <w:sz w:val="20"/>
                <w:szCs w:val="20"/>
              </w:rPr>
              <w:t>33</w:t>
            </w:r>
            <w:r w:rsidR="0042463B">
              <w:rPr>
                <w:sz w:val="20"/>
                <w:szCs w:val="20"/>
              </w:rPr>
              <w:t>,</w:t>
            </w:r>
            <w:r w:rsidRPr="0042463B">
              <w:rPr>
                <w:sz w:val="20"/>
                <w:szCs w:val="20"/>
              </w:rPr>
              <w:t>74</w:t>
            </w:r>
          </w:p>
        </w:tc>
        <w:tc>
          <w:tcPr>
            <w:tcW w:w="402" w:type="pct"/>
            <w:tcBorders>
              <w:top w:val="nil"/>
              <w:left w:val="nil"/>
              <w:bottom w:val="single" w:sz="4" w:space="0" w:color="auto"/>
              <w:right w:val="single" w:sz="4" w:space="0" w:color="auto"/>
            </w:tcBorders>
            <w:shd w:val="clear" w:color="auto" w:fill="auto"/>
            <w:tcMar>
              <w:left w:w="0" w:type="dxa"/>
              <w:right w:w="43" w:type="dxa"/>
            </w:tcMar>
          </w:tcPr>
          <w:p w14:paraId="4884D4E8" w14:textId="1ECCEF2D" w:rsidR="003D587E" w:rsidRPr="0042463B" w:rsidRDefault="003D587E" w:rsidP="00A326B2">
            <w:pPr>
              <w:jc w:val="right"/>
              <w:rPr>
                <w:sz w:val="20"/>
                <w:szCs w:val="20"/>
              </w:rPr>
            </w:pPr>
            <w:r w:rsidRPr="0042463B">
              <w:rPr>
                <w:sz w:val="20"/>
                <w:szCs w:val="20"/>
              </w:rPr>
              <w:t>33</w:t>
            </w:r>
            <w:r w:rsidR="0042463B">
              <w:rPr>
                <w:sz w:val="20"/>
                <w:szCs w:val="20"/>
              </w:rPr>
              <w:t>,</w:t>
            </w:r>
            <w:r w:rsidRPr="0042463B">
              <w:rPr>
                <w:sz w:val="20"/>
                <w:szCs w:val="20"/>
              </w:rPr>
              <w:t>74</w:t>
            </w:r>
          </w:p>
        </w:tc>
        <w:tc>
          <w:tcPr>
            <w:tcW w:w="405" w:type="pct"/>
            <w:tcBorders>
              <w:top w:val="nil"/>
              <w:left w:val="nil"/>
              <w:bottom w:val="single" w:sz="4" w:space="0" w:color="auto"/>
              <w:right w:val="single" w:sz="4" w:space="0" w:color="auto"/>
            </w:tcBorders>
            <w:shd w:val="clear" w:color="auto" w:fill="auto"/>
            <w:tcMar>
              <w:left w:w="0" w:type="dxa"/>
              <w:right w:w="43" w:type="dxa"/>
            </w:tcMar>
          </w:tcPr>
          <w:p w14:paraId="2AE8971C" w14:textId="240BF9E8" w:rsidR="003D587E" w:rsidRPr="0042463B" w:rsidRDefault="003D587E" w:rsidP="00A326B2">
            <w:pPr>
              <w:jc w:val="right"/>
              <w:rPr>
                <w:sz w:val="20"/>
                <w:szCs w:val="20"/>
              </w:rPr>
            </w:pPr>
            <w:r w:rsidRPr="0042463B">
              <w:rPr>
                <w:sz w:val="20"/>
                <w:szCs w:val="20"/>
              </w:rPr>
              <w:t>16</w:t>
            </w:r>
            <w:r w:rsidR="0042463B">
              <w:rPr>
                <w:sz w:val="20"/>
                <w:szCs w:val="20"/>
              </w:rPr>
              <w:t>,</w:t>
            </w:r>
            <w:r w:rsidRPr="0042463B">
              <w:rPr>
                <w:sz w:val="20"/>
                <w:szCs w:val="20"/>
              </w:rPr>
              <w:t>87</w:t>
            </w:r>
          </w:p>
        </w:tc>
        <w:tc>
          <w:tcPr>
            <w:tcW w:w="488" w:type="pct"/>
            <w:tcBorders>
              <w:top w:val="nil"/>
              <w:left w:val="nil"/>
              <w:bottom w:val="single" w:sz="4" w:space="0" w:color="auto"/>
              <w:right w:val="single" w:sz="4" w:space="0" w:color="auto"/>
            </w:tcBorders>
            <w:shd w:val="clear" w:color="auto" w:fill="auto"/>
          </w:tcPr>
          <w:p w14:paraId="37F9C3F2" w14:textId="2DD5AE62" w:rsidR="003D587E" w:rsidRPr="0042463B" w:rsidRDefault="003D587E" w:rsidP="007516F4">
            <w:pPr>
              <w:keepNext/>
              <w:keepLines/>
              <w:jc w:val="right"/>
              <w:rPr>
                <w:sz w:val="20"/>
                <w:szCs w:val="20"/>
                <w:lang w:eastAsia="en-CA"/>
              </w:rPr>
            </w:pPr>
            <w:r w:rsidRPr="0042463B">
              <w:rPr>
                <w:sz w:val="20"/>
                <w:szCs w:val="20"/>
                <w:lang w:eastAsia="en-CA"/>
              </w:rPr>
              <w:t>n/</w:t>
            </w:r>
            <w:r w:rsidR="007516F4">
              <w:rPr>
                <w:sz w:val="20"/>
                <w:szCs w:val="20"/>
                <w:lang w:eastAsia="en-CA"/>
              </w:rPr>
              <w:t>d</w:t>
            </w:r>
          </w:p>
        </w:tc>
      </w:tr>
      <w:tr w:rsidR="003D587E" w:rsidRPr="0042463B" w14:paraId="3A95DBEE" w14:textId="77777777" w:rsidTr="00A326B2">
        <w:trPr>
          <w:jc w:val="center"/>
        </w:trPr>
        <w:tc>
          <w:tcPr>
            <w:tcW w:w="324" w:type="pct"/>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1A1B9067" w14:textId="77777777" w:rsidR="003D587E" w:rsidRPr="0042463B" w:rsidRDefault="003D587E" w:rsidP="00A326B2">
            <w:pPr>
              <w:jc w:val="left"/>
              <w:rPr>
                <w:sz w:val="20"/>
                <w:szCs w:val="20"/>
                <w:lang w:eastAsia="en-CA"/>
              </w:rPr>
            </w:pPr>
            <w:r w:rsidRPr="0042463B">
              <w:rPr>
                <w:sz w:val="20"/>
                <w:szCs w:val="20"/>
                <w:lang w:eastAsia="en-CA"/>
              </w:rPr>
              <w:t>1.2</w:t>
            </w:r>
          </w:p>
        </w:tc>
        <w:tc>
          <w:tcPr>
            <w:tcW w:w="2175" w:type="pct"/>
            <w:tcBorders>
              <w:top w:val="nil"/>
              <w:left w:val="nil"/>
              <w:bottom w:val="single" w:sz="4" w:space="0" w:color="auto"/>
              <w:right w:val="single" w:sz="4" w:space="0" w:color="auto"/>
            </w:tcBorders>
            <w:shd w:val="clear" w:color="auto" w:fill="auto"/>
            <w:hideMark/>
          </w:tcPr>
          <w:p w14:paraId="2E7F77C4" w14:textId="77777777" w:rsidR="003D587E" w:rsidRPr="0042463B" w:rsidRDefault="003D587E" w:rsidP="00A326B2">
            <w:pPr>
              <w:jc w:val="left"/>
              <w:rPr>
                <w:sz w:val="18"/>
                <w:szCs w:val="18"/>
              </w:rPr>
            </w:pPr>
            <w:r w:rsidRPr="0042463B">
              <w:rPr>
                <w:sz w:val="18"/>
                <w:szCs w:val="18"/>
              </w:rPr>
              <w:t>Consommation totale maximum autorisée des substances du groupe I de l’annexe C (tonnes PAO)</w:t>
            </w:r>
          </w:p>
        </w:tc>
        <w:tc>
          <w:tcPr>
            <w:tcW w:w="402" w:type="pct"/>
            <w:tcBorders>
              <w:top w:val="nil"/>
              <w:left w:val="nil"/>
              <w:bottom w:val="single" w:sz="4" w:space="0" w:color="auto"/>
              <w:right w:val="single" w:sz="4" w:space="0" w:color="auto"/>
            </w:tcBorders>
            <w:shd w:val="clear" w:color="auto" w:fill="auto"/>
            <w:tcMar>
              <w:left w:w="0" w:type="dxa"/>
              <w:right w:w="43" w:type="dxa"/>
            </w:tcMar>
          </w:tcPr>
          <w:p w14:paraId="6B226474" w14:textId="76A32E3A" w:rsidR="003D587E" w:rsidRPr="0042463B" w:rsidRDefault="003D587E" w:rsidP="00A326B2">
            <w:pPr>
              <w:jc w:val="right"/>
              <w:rPr>
                <w:sz w:val="20"/>
                <w:szCs w:val="20"/>
              </w:rPr>
            </w:pPr>
            <w:r w:rsidRPr="0042463B">
              <w:rPr>
                <w:sz w:val="20"/>
                <w:szCs w:val="20"/>
              </w:rPr>
              <w:t>33</w:t>
            </w:r>
            <w:r w:rsidR="0042463B">
              <w:rPr>
                <w:sz w:val="20"/>
                <w:szCs w:val="20"/>
              </w:rPr>
              <w:t>,</w:t>
            </w:r>
            <w:r w:rsidRPr="0042463B">
              <w:rPr>
                <w:sz w:val="20"/>
                <w:szCs w:val="20"/>
              </w:rPr>
              <w:t>74</w:t>
            </w:r>
          </w:p>
        </w:tc>
        <w:tc>
          <w:tcPr>
            <w:tcW w:w="402" w:type="pct"/>
            <w:tcBorders>
              <w:top w:val="nil"/>
              <w:left w:val="nil"/>
              <w:bottom w:val="single" w:sz="4" w:space="0" w:color="auto"/>
              <w:right w:val="single" w:sz="4" w:space="0" w:color="auto"/>
            </w:tcBorders>
            <w:shd w:val="clear" w:color="auto" w:fill="auto"/>
            <w:tcMar>
              <w:left w:w="0" w:type="dxa"/>
              <w:right w:w="43" w:type="dxa"/>
            </w:tcMar>
          </w:tcPr>
          <w:p w14:paraId="2174B692" w14:textId="189659BC" w:rsidR="003D587E" w:rsidRPr="0042463B" w:rsidRDefault="003D587E" w:rsidP="00A326B2">
            <w:pPr>
              <w:jc w:val="right"/>
              <w:rPr>
                <w:sz w:val="20"/>
                <w:szCs w:val="20"/>
              </w:rPr>
            </w:pPr>
            <w:r w:rsidRPr="0042463B">
              <w:rPr>
                <w:sz w:val="20"/>
                <w:szCs w:val="20"/>
              </w:rPr>
              <w:t>33</w:t>
            </w:r>
            <w:r w:rsidR="0042463B">
              <w:rPr>
                <w:sz w:val="20"/>
                <w:szCs w:val="20"/>
              </w:rPr>
              <w:t>,</w:t>
            </w:r>
            <w:r w:rsidRPr="0042463B">
              <w:rPr>
                <w:sz w:val="20"/>
                <w:szCs w:val="20"/>
              </w:rPr>
              <w:t>74</w:t>
            </w:r>
          </w:p>
        </w:tc>
        <w:tc>
          <w:tcPr>
            <w:tcW w:w="402" w:type="pct"/>
            <w:tcBorders>
              <w:top w:val="nil"/>
              <w:left w:val="nil"/>
              <w:bottom w:val="single" w:sz="4" w:space="0" w:color="auto"/>
              <w:right w:val="single" w:sz="4" w:space="0" w:color="auto"/>
            </w:tcBorders>
            <w:shd w:val="clear" w:color="auto" w:fill="auto"/>
            <w:tcMar>
              <w:left w:w="0" w:type="dxa"/>
              <w:right w:w="43" w:type="dxa"/>
            </w:tcMar>
          </w:tcPr>
          <w:p w14:paraId="158CBF68" w14:textId="4111C841" w:rsidR="003D587E" w:rsidRPr="0042463B" w:rsidRDefault="003D587E" w:rsidP="00A326B2">
            <w:pPr>
              <w:jc w:val="right"/>
              <w:rPr>
                <w:sz w:val="20"/>
                <w:szCs w:val="20"/>
              </w:rPr>
            </w:pPr>
            <w:r w:rsidRPr="0042463B">
              <w:rPr>
                <w:sz w:val="20"/>
                <w:szCs w:val="20"/>
              </w:rPr>
              <w:t>33</w:t>
            </w:r>
            <w:r w:rsidR="0042463B">
              <w:rPr>
                <w:sz w:val="20"/>
                <w:szCs w:val="20"/>
              </w:rPr>
              <w:t>,</w:t>
            </w:r>
            <w:r w:rsidRPr="0042463B">
              <w:rPr>
                <w:sz w:val="20"/>
                <w:szCs w:val="20"/>
              </w:rPr>
              <w:t>74</w:t>
            </w:r>
          </w:p>
        </w:tc>
        <w:tc>
          <w:tcPr>
            <w:tcW w:w="402" w:type="pct"/>
            <w:tcBorders>
              <w:top w:val="nil"/>
              <w:left w:val="nil"/>
              <w:bottom w:val="single" w:sz="4" w:space="0" w:color="auto"/>
              <w:right w:val="single" w:sz="4" w:space="0" w:color="auto"/>
            </w:tcBorders>
            <w:shd w:val="clear" w:color="auto" w:fill="auto"/>
            <w:tcMar>
              <w:left w:w="0" w:type="dxa"/>
              <w:right w:w="43" w:type="dxa"/>
            </w:tcMar>
          </w:tcPr>
          <w:p w14:paraId="5397AD61" w14:textId="3BF95B36" w:rsidR="003D587E" w:rsidRPr="0042463B" w:rsidRDefault="003D587E" w:rsidP="00A326B2">
            <w:pPr>
              <w:jc w:val="right"/>
              <w:rPr>
                <w:sz w:val="20"/>
                <w:szCs w:val="20"/>
              </w:rPr>
            </w:pPr>
            <w:r w:rsidRPr="0042463B">
              <w:rPr>
                <w:sz w:val="20"/>
                <w:szCs w:val="20"/>
              </w:rPr>
              <w:t>33</w:t>
            </w:r>
            <w:r w:rsidR="0042463B">
              <w:rPr>
                <w:sz w:val="20"/>
                <w:szCs w:val="20"/>
              </w:rPr>
              <w:t>,</w:t>
            </w:r>
            <w:r w:rsidRPr="0042463B">
              <w:rPr>
                <w:sz w:val="20"/>
                <w:szCs w:val="20"/>
              </w:rPr>
              <w:t>74</w:t>
            </w:r>
          </w:p>
        </w:tc>
        <w:tc>
          <w:tcPr>
            <w:tcW w:w="405" w:type="pct"/>
            <w:tcBorders>
              <w:top w:val="nil"/>
              <w:left w:val="nil"/>
              <w:bottom w:val="single" w:sz="4" w:space="0" w:color="auto"/>
              <w:right w:val="single" w:sz="4" w:space="0" w:color="auto"/>
            </w:tcBorders>
            <w:shd w:val="clear" w:color="auto" w:fill="auto"/>
            <w:tcMar>
              <w:left w:w="0" w:type="dxa"/>
              <w:right w:w="43" w:type="dxa"/>
            </w:tcMar>
          </w:tcPr>
          <w:p w14:paraId="7CE34FB5" w14:textId="1F6671F9" w:rsidR="003D587E" w:rsidRPr="0042463B" w:rsidRDefault="003D587E" w:rsidP="00A326B2">
            <w:pPr>
              <w:jc w:val="right"/>
              <w:rPr>
                <w:sz w:val="20"/>
                <w:szCs w:val="20"/>
              </w:rPr>
            </w:pPr>
            <w:r w:rsidRPr="0042463B">
              <w:rPr>
                <w:sz w:val="20"/>
                <w:szCs w:val="20"/>
              </w:rPr>
              <w:t>13</w:t>
            </w:r>
            <w:r w:rsidR="0042463B">
              <w:rPr>
                <w:sz w:val="20"/>
                <w:szCs w:val="20"/>
              </w:rPr>
              <w:t>,</w:t>
            </w:r>
            <w:r w:rsidRPr="0042463B">
              <w:rPr>
                <w:sz w:val="20"/>
                <w:szCs w:val="20"/>
              </w:rPr>
              <w:t>75</w:t>
            </w:r>
          </w:p>
        </w:tc>
        <w:tc>
          <w:tcPr>
            <w:tcW w:w="488" w:type="pct"/>
            <w:tcBorders>
              <w:top w:val="nil"/>
              <w:left w:val="nil"/>
              <w:bottom w:val="single" w:sz="4" w:space="0" w:color="auto"/>
              <w:right w:val="single" w:sz="4" w:space="0" w:color="auto"/>
            </w:tcBorders>
            <w:shd w:val="clear" w:color="auto" w:fill="auto"/>
          </w:tcPr>
          <w:p w14:paraId="3775BB0E" w14:textId="5C809CFE" w:rsidR="003D587E" w:rsidRPr="0042463B" w:rsidRDefault="003D587E" w:rsidP="00A326B2">
            <w:pPr>
              <w:jc w:val="right"/>
              <w:rPr>
                <w:sz w:val="20"/>
                <w:szCs w:val="20"/>
                <w:lang w:eastAsia="en-CA"/>
              </w:rPr>
            </w:pPr>
            <w:r w:rsidRPr="0042463B">
              <w:rPr>
                <w:sz w:val="20"/>
                <w:szCs w:val="20"/>
                <w:lang w:eastAsia="en-CA"/>
              </w:rPr>
              <w:t>n/</w:t>
            </w:r>
            <w:r w:rsidR="007516F4">
              <w:rPr>
                <w:sz w:val="20"/>
                <w:szCs w:val="20"/>
                <w:lang w:eastAsia="en-CA"/>
              </w:rPr>
              <w:t>d</w:t>
            </w:r>
          </w:p>
        </w:tc>
      </w:tr>
      <w:tr w:rsidR="003D587E" w:rsidRPr="0042463B" w14:paraId="7EB1775D" w14:textId="77777777" w:rsidTr="00A326B2">
        <w:trPr>
          <w:jc w:val="center"/>
        </w:trPr>
        <w:tc>
          <w:tcPr>
            <w:tcW w:w="324" w:type="pct"/>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22231D1E" w14:textId="77777777" w:rsidR="003D587E" w:rsidRPr="0042463B" w:rsidRDefault="003D587E" w:rsidP="00A326B2">
            <w:pPr>
              <w:jc w:val="left"/>
              <w:rPr>
                <w:sz w:val="20"/>
                <w:szCs w:val="20"/>
                <w:lang w:eastAsia="en-CA"/>
              </w:rPr>
            </w:pPr>
            <w:r w:rsidRPr="0042463B">
              <w:rPr>
                <w:sz w:val="20"/>
                <w:szCs w:val="20"/>
                <w:lang w:eastAsia="en-CA"/>
              </w:rPr>
              <w:t>2.1</w:t>
            </w:r>
          </w:p>
        </w:tc>
        <w:tc>
          <w:tcPr>
            <w:tcW w:w="2175" w:type="pct"/>
            <w:tcBorders>
              <w:top w:val="nil"/>
              <w:left w:val="nil"/>
              <w:bottom w:val="single" w:sz="4" w:space="0" w:color="auto"/>
              <w:right w:val="single" w:sz="4" w:space="0" w:color="auto"/>
            </w:tcBorders>
            <w:shd w:val="clear" w:color="auto" w:fill="auto"/>
            <w:hideMark/>
          </w:tcPr>
          <w:p w14:paraId="3820D1B4" w14:textId="77777777" w:rsidR="003D587E" w:rsidRPr="0042463B" w:rsidRDefault="003D587E" w:rsidP="00A326B2">
            <w:pPr>
              <w:jc w:val="left"/>
              <w:rPr>
                <w:sz w:val="18"/>
                <w:szCs w:val="18"/>
              </w:rPr>
            </w:pPr>
            <w:r w:rsidRPr="0042463B">
              <w:rPr>
                <w:sz w:val="18"/>
                <w:szCs w:val="18"/>
              </w:rPr>
              <w:t>Financement convenu pour le l’agence principale (PNUE) ($US)</w:t>
            </w:r>
          </w:p>
        </w:tc>
        <w:tc>
          <w:tcPr>
            <w:tcW w:w="402" w:type="pct"/>
            <w:tcBorders>
              <w:top w:val="single" w:sz="4" w:space="0" w:color="auto"/>
              <w:left w:val="single" w:sz="4" w:space="0" w:color="auto"/>
              <w:bottom w:val="single" w:sz="4" w:space="0" w:color="auto"/>
              <w:right w:val="single" w:sz="4" w:space="0" w:color="auto"/>
            </w:tcBorders>
            <w:shd w:val="clear" w:color="auto" w:fill="auto"/>
            <w:tcMar>
              <w:left w:w="0" w:type="dxa"/>
              <w:right w:w="43" w:type="dxa"/>
            </w:tcMar>
          </w:tcPr>
          <w:p w14:paraId="5E19BD02" w14:textId="031F41AA" w:rsidR="003D587E" w:rsidRPr="0042463B" w:rsidRDefault="003D587E" w:rsidP="00A326B2">
            <w:pPr>
              <w:jc w:val="right"/>
              <w:rPr>
                <w:sz w:val="20"/>
                <w:szCs w:val="20"/>
              </w:rPr>
            </w:pPr>
            <w:r w:rsidRPr="0042463B">
              <w:rPr>
                <w:sz w:val="20"/>
                <w:szCs w:val="20"/>
              </w:rPr>
              <w:t>249</w:t>
            </w:r>
            <w:r w:rsidR="0042463B">
              <w:rPr>
                <w:sz w:val="20"/>
                <w:szCs w:val="20"/>
              </w:rPr>
              <w:t>.</w:t>
            </w:r>
            <w:r w:rsidRPr="0042463B">
              <w:rPr>
                <w:sz w:val="20"/>
                <w:szCs w:val="20"/>
              </w:rPr>
              <w:t>500</w:t>
            </w:r>
          </w:p>
        </w:tc>
        <w:tc>
          <w:tcPr>
            <w:tcW w:w="402" w:type="pct"/>
            <w:tcBorders>
              <w:top w:val="single" w:sz="4" w:space="0" w:color="auto"/>
              <w:left w:val="nil"/>
              <w:bottom w:val="single" w:sz="4" w:space="0" w:color="auto"/>
              <w:right w:val="single" w:sz="4" w:space="0" w:color="auto"/>
            </w:tcBorders>
            <w:shd w:val="clear" w:color="auto" w:fill="auto"/>
            <w:tcMar>
              <w:left w:w="0" w:type="dxa"/>
              <w:right w:w="43" w:type="dxa"/>
            </w:tcMar>
          </w:tcPr>
          <w:p w14:paraId="1C74CEAB" w14:textId="77777777" w:rsidR="003D587E" w:rsidRPr="0042463B" w:rsidRDefault="003D587E" w:rsidP="00A326B2">
            <w:pPr>
              <w:jc w:val="right"/>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tcMar>
              <w:left w:w="0" w:type="dxa"/>
              <w:right w:w="43" w:type="dxa"/>
            </w:tcMar>
          </w:tcPr>
          <w:p w14:paraId="482940E6" w14:textId="2831D116" w:rsidR="003D587E" w:rsidRPr="0042463B" w:rsidRDefault="003D587E" w:rsidP="00A326B2">
            <w:pPr>
              <w:jc w:val="right"/>
              <w:rPr>
                <w:sz w:val="20"/>
                <w:szCs w:val="20"/>
              </w:rPr>
            </w:pPr>
            <w:r w:rsidRPr="0042463B">
              <w:rPr>
                <w:sz w:val="20"/>
                <w:szCs w:val="20"/>
              </w:rPr>
              <w:t>79</w:t>
            </w:r>
            <w:r w:rsidR="0042463B">
              <w:rPr>
                <w:sz w:val="20"/>
                <w:szCs w:val="20"/>
              </w:rPr>
              <w:t>.</w:t>
            </w:r>
            <w:r w:rsidRPr="0042463B">
              <w:rPr>
                <w:sz w:val="20"/>
                <w:szCs w:val="20"/>
              </w:rPr>
              <w:t>500</w:t>
            </w:r>
          </w:p>
        </w:tc>
        <w:tc>
          <w:tcPr>
            <w:tcW w:w="402" w:type="pct"/>
            <w:tcBorders>
              <w:top w:val="single" w:sz="4" w:space="0" w:color="auto"/>
              <w:left w:val="nil"/>
              <w:bottom w:val="single" w:sz="4" w:space="0" w:color="auto"/>
              <w:right w:val="single" w:sz="4" w:space="0" w:color="auto"/>
            </w:tcBorders>
            <w:shd w:val="clear" w:color="auto" w:fill="auto"/>
            <w:tcMar>
              <w:left w:w="0" w:type="dxa"/>
              <w:right w:w="43" w:type="dxa"/>
            </w:tcMar>
          </w:tcPr>
          <w:p w14:paraId="71AB9C08" w14:textId="77777777" w:rsidR="003D587E" w:rsidRPr="0042463B" w:rsidRDefault="003D587E" w:rsidP="00A326B2">
            <w:pPr>
              <w:jc w:val="right"/>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tcMar>
              <w:left w:w="0" w:type="dxa"/>
              <w:right w:w="43" w:type="dxa"/>
            </w:tcMar>
          </w:tcPr>
          <w:p w14:paraId="5F8DCEFF" w14:textId="16B977AE" w:rsidR="003D587E" w:rsidRPr="0042463B" w:rsidRDefault="003D587E" w:rsidP="00A326B2">
            <w:pPr>
              <w:jc w:val="right"/>
              <w:rPr>
                <w:sz w:val="20"/>
                <w:szCs w:val="20"/>
              </w:rPr>
            </w:pPr>
            <w:r w:rsidRPr="0042463B">
              <w:rPr>
                <w:sz w:val="20"/>
                <w:szCs w:val="20"/>
              </w:rPr>
              <w:t>55</w:t>
            </w:r>
            <w:r w:rsidR="0042463B">
              <w:rPr>
                <w:sz w:val="20"/>
                <w:szCs w:val="20"/>
              </w:rPr>
              <w:t>.</w:t>
            </w:r>
            <w:r w:rsidRPr="0042463B">
              <w:rPr>
                <w:sz w:val="20"/>
                <w:szCs w:val="20"/>
              </w:rPr>
              <w:t>000</w:t>
            </w:r>
          </w:p>
        </w:tc>
        <w:tc>
          <w:tcPr>
            <w:tcW w:w="488" w:type="pct"/>
            <w:tcBorders>
              <w:top w:val="single" w:sz="4" w:space="0" w:color="auto"/>
              <w:left w:val="nil"/>
              <w:bottom w:val="single" w:sz="4" w:space="0" w:color="auto"/>
              <w:right w:val="single" w:sz="4" w:space="0" w:color="auto"/>
            </w:tcBorders>
            <w:shd w:val="clear" w:color="auto" w:fill="auto"/>
          </w:tcPr>
          <w:p w14:paraId="5E4B02A6" w14:textId="49483585" w:rsidR="003D587E" w:rsidRPr="0042463B" w:rsidRDefault="003D587E" w:rsidP="00A326B2">
            <w:pPr>
              <w:jc w:val="right"/>
              <w:rPr>
                <w:sz w:val="20"/>
                <w:szCs w:val="20"/>
              </w:rPr>
            </w:pPr>
            <w:r w:rsidRPr="0042463B">
              <w:rPr>
                <w:sz w:val="20"/>
                <w:szCs w:val="20"/>
              </w:rPr>
              <w:t>384</w:t>
            </w:r>
            <w:r w:rsidR="0042463B">
              <w:rPr>
                <w:sz w:val="20"/>
                <w:szCs w:val="20"/>
              </w:rPr>
              <w:t>.</w:t>
            </w:r>
            <w:r w:rsidRPr="0042463B">
              <w:rPr>
                <w:sz w:val="20"/>
                <w:szCs w:val="20"/>
              </w:rPr>
              <w:t>000</w:t>
            </w:r>
          </w:p>
        </w:tc>
      </w:tr>
      <w:tr w:rsidR="003D587E" w:rsidRPr="0042463B" w14:paraId="0A20C844" w14:textId="77777777" w:rsidTr="00A326B2">
        <w:trPr>
          <w:jc w:val="center"/>
        </w:trPr>
        <w:tc>
          <w:tcPr>
            <w:tcW w:w="324" w:type="pct"/>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793D1B8D" w14:textId="77777777" w:rsidR="003D587E" w:rsidRPr="0042463B" w:rsidRDefault="003D587E" w:rsidP="00A326B2">
            <w:pPr>
              <w:jc w:val="left"/>
              <w:rPr>
                <w:sz w:val="20"/>
                <w:szCs w:val="20"/>
                <w:lang w:eastAsia="en-CA"/>
              </w:rPr>
            </w:pPr>
            <w:r w:rsidRPr="0042463B">
              <w:rPr>
                <w:sz w:val="20"/>
                <w:szCs w:val="20"/>
                <w:lang w:eastAsia="en-CA"/>
              </w:rPr>
              <w:t>2.2</w:t>
            </w:r>
          </w:p>
        </w:tc>
        <w:tc>
          <w:tcPr>
            <w:tcW w:w="2175" w:type="pct"/>
            <w:tcBorders>
              <w:top w:val="nil"/>
              <w:left w:val="nil"/>
              <w:bottom w:val="single" w:sz="4" w:space="0" w:color="auto"/>
              <w:right w:val="single" w:sz="4" w:space="0" w:color="auto"/>
            </w:tcBorders>
            <w:shd w:val="clear" w:color="auto" w:fill="auto"/>
            <w:hideMark/>
          </w:tcPr>
          <w:p w14:paraId="3856D84D" w14:textId="77777777" w:rsidR="003D587E" w:rsidRPr="0042463B" w:rsidRDefault="003D587E" w:rsidP="00A326B2">
            <w:pPr>
              <w:jc w:val="left"/>
              <w:rPr>
                <w:sz w:val="18"/>
                <w:szCs w:val="18"/>
              </w:rPr>
            </w:pPr>
            <w:r w:rsidRPr="0042463B">
              <w:rPr>
                <w:sz w:val="18"/>
                <w:szCs w:val="18"/>
              </w:rPr>
              <w:t>Coûts d’appui pour l’agence principale ($US)</w:t>
            </w:r>
          </w:p>
        </w:tc>
        <w:tc>
          <w:tcPr>
            <w:tcW w:w="402" w:type="pct"/>
            <w:tcBorders>
              <w:top w:val="nil"/>
              <w:left w:val="single" w:sz="4" w:space="0" w:color="auto"/>
              <w:bottom w:val="single" w:sz="4" w:space="0" w:color="auto"/>
              <w:right w:val="single" w:sz="4" w:space="0" w:color="auto"/>
            </w:tcBorders>
            <w:shd w:val="clear" w:color="auto" w:fill="auto"/>
            <w:tcMar>
              <w:left w:w="0" w:type="dxa"/>
              <w:right w:w="43" w:type="dxa"/>
            </w:tcMar>
          </w:tcPr>
          <w:p w14:paraId="76B4C0FC" w14:textId="38588B60" w:rsidR="003D587E" w:rsidRPr="0042463B" w:rsidRDefault="003D587E" w:rsidP="00A326B2">
            <w:pPr>
              <w:jc w:val="right"/>
              <w:rPr>
                <w:sz w:val="20"/>
                <w:szCs w:val="20"/>
              </w:rPr>
            </w:pPr>
            <w:r w:rsidRPr="0042463B">
              <w:rPr>
                <w:sz w:val="20"/>
                <w:szCs w:val="20"/>
              </w:rPr>
              <w:t>32</w:t>
            </w:r>
            <w:r w:rsidR="0042463B">
              <w:rPr>
                <w:sz w:val="20"/>
                <w:szCs w:val="20"/>
              </w:rPr>
              <w:t>.</w:t>
            </w:r>
            <w:r w:rsidRPr="0042463B">
              <w:rPr>
                <w:sz w:val="20"/>
                <w:szCs w:val="20"/>
              </w:rPr>
              <w:t>435</w:t>
            </w:r>
          </w:p>
        </w:tc>
        <w:tc>
          <w:tcPr>
            <w:tcW w:w="402" w:type="pct"/>
            <w:tcBorders>
              <w:top w:val="nil"/>
              <w:left w:val="nil"/>
              <w:bottom w:val="single" w:sz="4" w:space="0" w:color="auto"/>
              <w:right w:val="single" w:sz="4" w:space="0" w:color="auto"/>
            </w:tcBorders>
            <w:shd w:val="clear" w:color="auto" w:fill="auto"/>
            <w:tcMar>
              <w:left w:w="0" w:type="dxa"/>
              <w:right w:w="43" w:type="dxa"/>
            </w:tcMar>
          </w:tcPr>
          <w:p w14:paraId="0F5C7A89" w14:textId="77777777" w:rsidR="003D587E" w:rsidRPr="0042463B" w:rsidRDefault="003D587E" w:rsidP="00A326B2">
            <w:pPr>
              <w:jc w:val="right"/>
              <w:rPr>
                <w:sz w:val="20"/>
                <w:szCs w:val="20"/>
              </w:rPr>
            </w:pPr>
          </w:p>
        </w:tc>
        <w:tc>
          <w:tcPr>
            <w:tcW w:w="402" w:type="pct"/>
            <w:tcBorders>
              <w:top w:val="nil"/>
              <w:left w:val="single" w:sz="4" w:space="0" w:color="auto"/>
              <w:bottom w:val="single" w:sz="4" w:space="0" w:color="auto"/>
              <w:right w:val="single" w:sz="4" w:space="0" w:color="auto"/>
            </w:tcBorders>
            <w:shd w:val="clear" w:color="auto" w:fill="auto"/>
            <w:tcMar>
              <w:left w:w="0" w:type="dxa"/>
              <w:right w:w="43" w:type="dxa"/>
            </w:tcMar>
          </w:tcPr>
          <w:p w14:paraId="69D59E54" w14:textId="77777777" w:rsidR="003D587E" w:rsidRPr="0042463B" w:rsidRDefault="003D587E" w:rsidP="00A326B2">
            <w:pPr>
              <w:jc w:val="right"/>
              <w:rPr>
                <w:sz w:val="20"/>
                <w:szCs w:val="20"/>
              </w:rPr>
            </w:pPr>
            <w:r w:rsidRPr="0042463B">
              <w:rPr>
                <w:sz w:val="20"/>
                <w:szCs w:val="20"/>
              </w:rPr>
              <w:t>10335</w:t>
            </w:r>
          </w:p>
        </w:tc>
        <w:tc>
          <w:tcPr>
            <w:tcW w:w="402" w:type="pct"/>
            <w:tcBorders>
              <w:top w:val="nil"/>
              <w:left w:val="nil"/>
              <w:bottom w:val="single" w:sz="4" w:space="0" w:color="auto"/>
              <w:right w:val="single" w:sz="4" w:space="0" w:color="auto"/>
            </w:tcBorders>
            <w:shd w:val="clear" w:color="auto" w:fill="auto"/>
            <w:tcMar>
              <w:left w:w="0" w:type="dxa"/>
              <w:right w:w="43" w:type="dxa"/>
            </w:tcMar>
          </w:tcPr>
          <w:p w14:paraId="4327DE13" w14:textId="77777777" w:rsidR="003D587E" w:rsidRPr="0042463B" w:rsidRDefault="003D587E" w:rsidP="00A326B2">
            <w:pPr>
              <w:jc w:val="right"/>
              <w:rPr>
                <w:sz w:val="20"/>
                <w:szCs w:val="20"/>
              </w:rPr>
            </w:pPr>
          </w:p>
        </w:tc>
        <w:tc>
          <w:tcPr>
            <w:tcW w:w="405" w:type="pct"/>
            <w:tcBorders>
              <w:top w:val="nil"/>
              <w:left w:val="single" w:sz="4" w:space="0" w:color="auto"/>
              <w:bottom w:val="single" w:sz="4" w:space="0" w:color="auto"/>
              <w:right w:val="single" w:sz="4" w:space="0" w:color="auto"/>
            </w:tcBorders>
            <w:shd w:val="clear" w:color="auto" w:fill="auto"/>
            <w:tcMar>
              <w:left w:w="0" w:type="dxa"/>
              <w:right w:w="43" w:type="dxa"/>
            </w:tcMar>
          </w:tcPr>
          <w:p w14:paraId="6B7F4568" w14:textId="4F1C3888" w:rsidR="003D587E" w:rsidRPr="0042463B" w:rsidRDefault="003D587E" w:rsidP="00A326B2">
            <w:pPr>
              <w:jc w:val="right"/>
              <w:rPr>
                <w:sz w:val="20"/>
                <w:szCs w:val="20"/>
              </w:rPr>
            </w:pPr>
            <w:r w:rsidRPr="0042463B">
              <w:rPr>
                <w:sz w:val="20"/>
                <w:szCs w:val="20"/>
              </w:rPr>
              <w:t>7</w:t>
            </w:r>
            <w:r w:rsidR="0042463B">
              <w:rPr>
                <w:sz w:val="20"/>
                <w:szCs w:val="20"/>
              </w:rPr>
              <w:t>.</w:t>
            </w:r>
            <w:r w:rsidRPr="0042463B">
              <w:rPr>
                <w:sz w:val="20"/>
                <w:szCs w:val="20"/>
              </w:rPr>
              <w:t>150</w:t>
            </w:r>
          </w:p>
        </w:tc>
        <w:tc>
          <w:tcPr>
            <w:tcW w:w="488" w:type="pct"/>
            <w:tcBorders>
              <w:top w:val="nil"/>
              <w:left w:val="nil"/>
              <w:bottom w:val="single" w:sz="4" w:space="0" w:color="auto"/>
              <w:right w:val="single" w:sz="4" w:space="0" w:color="auto"/>
            </w:tcBorders>
            <w:shd w:val="clear" w:color="auto" w:fill="auto"/>
          </w:tcPr>
          <w:p w14:paraId="0C96A411" w14:textId="21F44C55" w:rsidR="003D587E" w:rsidRPr="0042463B" w:rsidRDefault="003D587E" w:rsidP="00A326B2">
            <w:pPr>
              <w:jc w:val="right"/>
              <w:rPr>
                <w:sz w:val="20"/>
                <w:szCs w:val="20"/>
              </w:rPr>
            </w:pPr>
            <w:r w:rsidRPr="0042463B">
              <w:rPr>
                <w:sz w:val="20"/>
                <w:szCs w:val="20"/>
              </w:rPr>
              <w:t>49</w:t>
            </w:r>
            <w:r w:rsidR="0042463B">
              <w:rPr>
                <w:sz w:val="20"/>
                <w:szCs w:val="20"/>
              </w:rPr>
              <w:t>.</w:t>
            </w:r>
            <w:r w:rsidRPr="0042463B">
              <w:rPr>
                <w:sz w:val="20"/>
                <w:szCs w:val="20"/>
              </w:rPr>
              <w:t>920</w:t>
            </w:r>
          </w:p>
        </w:tc>
      </w:tr>
      <w:tr w:rsidR="003D587E" w:rsidRPr="0042463B" w14:paraId="5E5D4453" w14:textId="77777777" w:rsidTr="00A326B2">
        <w:trPr>
          <w:jc w:val="center"/>
        </w:trPr>
        <w:tc>
          <w:tcPr>
            <w:tcW w:w="324" w:type="pct"/>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26AF9300" w14:textId="77777777" w:rsidR="003D587E" w:rsidRPr="0042463B" w:rsidRDefault="003D587E" w:rsidP="00A326B2">
            <w:pPr>
              <w:jc w:val="left"/>
              <w:rPr>
                <w:sz w:val="20"/>
                <w:szCs w:val="20"/>
                <w:lang w:eastAsia="en-CA"/>
              </w:rPr>
            </w:pPr>
            <w:r w:rsidRPr="0042463B">
              <w:rPr>
                <w:sz w:val="20"/>
                <w:szCs w:val="20"/>
                <w:lang w:eastAsia="en-CA"/>
              </w:rPr>
              <w:t>2.3</w:t>
            </w:r>
          </w:p>
        </w:tc>
        <w:tc>
          <w:tcPr>
            <w:tcW w:w="2175" w:type="pct"/>
            <w:tcBorders>
              <w:top w:val="nil"/>
              <w:left w:val="nil"/>
              <w:bottom w:val="single" w:sz="4" w:space="0" w:color="auto"/>
              <w:right w:val="single" w:sz="4" w:space="0" w:color="auto"/>
            </w:tcBorders>
            <w:shd w:val="clear" w:color="auto" w:fill="auto"/>
            <w:hideMark/>
          </w:tcPr>
          <w:p w14:paraId="38A7269D" w14:textId="77777777" w:rsidR="003D587E" w:rsidRPr="0042463B" w:rsidRDefault="003D587E" w:rsidP="00A326B2">
            <w:pPr>
              <w:jc w:val="left"/>
              <w:rPr>
                <w:sz w:val="18"/>
                <w:szCs w:val="18"/>
              </w:rPr>
            </w:pPr>
            <w:r w:rsidRPr="0042463B">
              <w:rPr>
                <w:sz w:val="18"/>
                <w:szCs w:val="18"/>
              </w:rPr>
              <w:t>Financement convenu pour l’agence de coopération (ONUDI) ($US)</w:t>
            </w:r>
          </w:p>
        </w:tc>
        <w:tc>
          <w:tcPr>
            <w:tcW w:w="402" w:type="pct"/>
            <w:tcBorders>
              <w:top w:val="nil"/>
              <w:left w:val="single" w:sz="4" w:space="0" w:color="auto"/>
              <w:bottom w:val="single" w:sz="4" w:space="0" w:color="auto"/>
              <w:right w:val="single" w:sz="4" w:space="0" w:color="auto"/>
            </w:tcBorders>
            <w:shd w:val="clear" w:color="auto" w:fill="auto"/>
            <w:tcMar>
              <w:left w:w="0" w:type="dxa"/>
              <w:right w:w="43" w:type="dxa"/>
            </w:tcMar>
          </w:tcPr>
          <w:p w14:paraId="7F81370A" w14:textId="76FA21A7" w:rsidR="003D587E" w:rsidRPr="0042463B" w:rsidRDefault="003D587E" w:rsidP="00A326B2">
            <w:pPr>
              <w:jc w:val="right"/>
              <w:rPr>
                <w:sz w:val="20"/>
                <w:szCs w:val="20"/>
              </w:rPr>
            </w:pPr>
            <w:r w:rsidRPr="0042463B">
              <w:rPr>
                <w:sz w:val="20"/>
                <w:szCs w:val="20"/>
              </w:rPr>
              <w:t>203</w:t>
            </w:r>
            <w:r w:rsidR="0042463B">
              <w:rPr>
                <w:sz w:val="20"/>
                <w:szCs w:val="20"/>
              </w:rPr>
              <w:t>.</w:t>
            </w:r>
            <w:r w:rsidRPr="0042463B">
              <w:rPr>
                <w:sz w:val="20"/>
                <w:szCs w:val="20"/>
              </w:rPr>
              <w:t>999</w:t>
            </w:r>
          </w:p>
        </w:tc>
        <w:tc>
          <w:tcPr>
            <w:tcW w:w="402" w:type="pct"/>
            <w:tcBorders>
              <w:top w:val="nil"/>
              <w:left w:val="nil"/>
              <w:bottom w:val="single" w:sz="4" w:space="0" w:color="auto"/>
              <w:right w:val="single" w:sz="4" w:space="0" w:color="auto"/>
            </w:tcBorders>
            <w:shd w:val="clear" w:color="auto" w:fill="auto"/>
            <w:tcMar>
              <w:left w:w="0" w:type="dxa"/>
              <w:right w:w="43" w:type="dxa"/>
            </w:tcMar>
          </w:tcPr>
          <w:p w14:paraId="1B296AF4" w14:textId="77777777" w:rsidR="003D587E" w:rsidRPr="0042463B" w:rsidRDefault="003D587E" w:rsidP="00A326B2">
            <w:pPr>
              <w:jc w:val="right"/>
              <w:rPr>
                <w:sz w:val="20"/>
                <w:szCs w:val="20"/>
              </w:rPr>
            </w:pPr>
          </w:p>
        </w:tc>
        <w:tc>
          <w:tcPr>
            <w:tcW w:w="402" w:type="pct"/>
            <w:tcBorders>
              <w:top w:val="nil"/>
              <w:left w:val="single" w:sz="4" w:space="0" w:color="auto"/>
              <w:bottom w:val="single" w:sz="4" w:space="0" w:color="auto"/>
              <w:right w:val="single" w:sz="4" w:space="0" w:color="auto"/>
            </w:tcBorders>
            <w:shd w:val="clear" w:color="auto" w:fill="auto"/>
            <w:tcMar>
              <w:left w:w="0" w:type="dxa"/>
              <w:right w:w="43" w:type="dxa"/>
            </w:tcMar>
          </w:tcPr>
          <w:p w14:paraId="1EF8D0E9" w14:textId="4FFC9B42" w:rsidR="003D587E" w:rsidRPr="0042463B" w:rsidRDefault="003D587E" w:rsidP="00A326B2">
            <w:pPr>
              <w:jc w:val="right"/>
              <w:rPr>
                <w:sz w:val="20"/>
                <w:szCs w:val="20"/>
              </w:rPr>
            </w:pPr>
            <w:r w:rsidRPr="0042463B">
              <w:rPr>
                <w:sz w:val="20"/>
                <w:szCs w:val="20"/>
              </w:rPr>
              <w:t>54</w:t>
            </w:r>
            <w:r w:rsidR="0042463B">
              <w:rPr>
                <w:sz w:val="20"/>
                <w:szCs w:val="20"/>
              </w:rPr>
              <w:t>.</w:t>
            </w:r>
            <w:r w:rsidRPr="0042463B">
              <w:rPr>
                <w:sz w:val="20"/>
                <w:szCs w:val="20"/>
              </w:rPr>
              <w:t>000</w:t>
            </w:r>
          </w:p>
        </w:tc>
        <w:tc>
          <w:tcPr>
            <w:tcW w:w="402" w:type="pct"/>
            <w:tcBorders>
              <w:top w:val="nil"/>
              <w:left w:val="nil"/>
              <w:bottom w:val="single" w:sz="4" w:space="0" w:color="auto"/>
              <w:right w:val="single" w:sz="4" w:space="0" w:color="auto"/>
            </w:tcBorders>
            <w:shd w:val="clear" w:color="auto" w:fill="auto"/>
            <w:tcMar>
              <w:left w:w="0" w:type="dxa"/>
              <w:right w:w="43" w:type="dxa"/>
            </w:tcMar>
          </w:tcPr>
          <w:p w14:paraId="4A732BF2" w14:textId="77777777" w:rsidR="003D587E" w:rsidRPr="0042463B" w:rsidRDefault="003D587E" w:rsidP="00A326B2">
            <w:pPr>
              <w:jc w:val="right"/>
              <w:rPr>
                <w:sz w:val="20"/>
                <w:szCs w:val="20"/>
              </w:rPr>
            </w:pPr>
          </w:p>
        </w:tc>
        <w:tc>
          <w:tcPr>
            <w:tcW w:w="405" w:type="pct"/>
            <w:tcBorders>
              <w:top w:val="nil"/>
              <w:left w:val="single" w:sz="4" w:space="0" w:color="auto"/>
              <w:bottom w:val="single" w:sz="4" w:space="0" w:color="auto"/>
              <w:right w:val="single" w:sz="4" w:space="0" w:color="auto"/>
            </w:tcBorders>
            <w:shd w:val="clear" w:color="auto" w:fill="auto"/>
            <w:tcMar>
              <w:left w:w="0" w:type="dxa"/>
              <w:right w:w="43" w:type="dxa"/>
            </w:tcMar>
          </w:tcPr>
          <w:p w14:paraId="3F69D0AF" w14:textId="4591A4F5" w:rsidR="003D587E" w:rsidRPr="0042463B" w:rsidRDefault="003D587E" w:rsidP="00A326B2">
            <w:pPr>
              <w:jc w:val="right"/>
              <w:rPr>
                <w:sz w:val="20"/>
                <w:szCs w:val="20"/>
              </w:rPr>
            </w:pPr>
            <w:r w:rsidRPr="0042463B">
              <w:rPr>
                <w:sz w:val="20"/>
                <w:szCs w:val="20"/>
              </w:rPr>
              <w:t>21</w:t>
            </w:r>
            <w:r w:rsidR="0042463B">
              <w:rPr>
                <w:sz w:val="20"/>
                <w:szCs w:val="20"/>
              </w:rPr>
              <w:t>.</w:t>
            </w:r>
            <w:r w:rsidRPr="0042463B">
              <w:rPr>
                <w:sz w:val="20"/>
                <w:szCs w:val="20"/>
              </w:rPr>
              <w:t>000</w:t>
            </w:r>
          </w:p>
        </w:tc>
        <w:tc>
          <w:tcPr>
            <w:tcW w:w="488" w:type="pct"/>
            <w:tcBorders>
              <w:top w:val="nil"/>
              <w:left w:val="nil"/>
              <w:bottom w:val="single" w:sz="4" w:space="0" w:color="auto"/>
              <w:right w:val="single" w:sz="4" w:space="0" w:color="auto"/>
            </w:tcBorders>
            <w:shd w:val="clear" w:color="auto" w:fill="auto"/>
          </w:tcPr>
          <w:p w14:paraId="5977A762" w14:textId="582D4D73" w:rsidR="003D587E" w:rsidRPr="0042463B" w:rsidRDefault="003D587E" w:rsidP="00A326B2">
            <w:pPr>
              <w:jc w:val="right"/>
              <w:rPr>
                <w:sz w:val="20"/>
                <w:szCs w:val="20"/>
              </w:rPr>
            </w:pPr>
            <w:r w:rsidRPr="0042463B">
              <w:rPr>
                <w:sz w:val="20"/>
                <w:szCs w:val="20"/>
              </w:rPr>
              <w:t>278</w:t>
            </w:r>
            <w:r w:rsidR="0042463B">
              <w:rPr>
                <w:sz w:val="20"/>
                <w:szCs w:val="20"/>
              </w:rPr>
              <w:t>.</w:t>
            </w:r>
            <w:r w:rsidRPr="0042463B">
              <w:rPr>
                <w:sz w:val="20"/>
                <w:szCs w:val="20"/>
              </w:rPr>
              <w:t>999</w:t>
            </w:r>
          </w:p>
        </w:tc>
      </w:tr>
      <w:tr w:rsidR="003D587E" w:rsidRPr="0042463B" w14:paraId="77AAC687" w14:textId="77777777" w:rsidTr="00A326B2">
        <w:trPr>
          <w:jc w:val="center"/>
        </w:trPr>
        <w:tc>
          <w:tcPr>
            <w:tcW w:w="324" w:type="pct"/>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3B13094E" w14:textId="77777777" w:rsidR="003D587E" w:rsidRPr="0042463B" w:rsidRDefault="003D587E" w:rsidP="00A326B2">
            <w:pPr>
              <w:jc w:val="left"/>
              <w:rPr>
                <w:sz w:val="20"/>
                <w:szCs w:val="20"/>
                <w:lang w:eastAsia="en-CA"/>
              </w:rPr>
            </w:pPr>
            <w:r w:rsidRPr="0042463B">
              <w:rPr>
                <w:sz w:val="20"/>
                <w:szCs w:val="20"/>
                <w:lang w:eastAsia="en-CA"/>
              </w:rPr>
              <w:t>2.4</w:t>
            </w:r>
          </w:p>
        </w:tc>
        <w:tc>
          <w:tcPr>
            <w:tcW w:w="2175" w:type="pct"/>
            <w:tcBorders>
              <w:top w:val="nil"/>
              <w:left w:val="nil"/>
              <w:bottom w:val="single" w:sz="4" w:space="0" w:color="auto"/>
              <w:right w:val="single" w:sz="4" w:space="0" w:color="auto"/>
            </w:tcBorders>
            <w:shd w:val="clear" w:color="auto" w:fill="auto"/>
            <w:hideMark/>
          </w:tcPr>
          <w:p w14:paraId="6458D76A" w14:textId="77777777" w:rsidR="003D587E" w:rsidRPr="0042463B" w:rsidRDefault="003D587E" w:rsidP="00A326B2">
            <w:pPr>
              <w:jc w:val="left"/>
              <w:rPr>
                <w:sz w:val="18"/>
                <w:szCs w:val="18"/>
              </w:rPr>
            </w:pPr>
            <w:r w:rsidRPr="0042463B">
              <w:rPr>
                <w:sz w:val="18"/>
                <w:szCs w:val="18"/>
              </w:rPr>
              <w:t>Coûts d’appui pour l’agence de coopération ($US)</w:t>
            </w:r>
          </w:p>
        </w:tc>
        <w:tc>
          <w:tcPr>
            <w:tcW w:w="402" w:type="pct"/>
            <w:tcBorders>
              <w:top w:val="nil"/>
              <w:left w:val="single" w:sz="4" w:space="0" w:color="auto"/>
              <w:bottom w:val="single" w:sz="4" w:space="0" w:color="auto"/>
              <w:right w:val="single" w:sz="4" w:space="0" w:color="auto"/>
            </w:tcBorders>
            <w:shd w:val="clear" w:color="auto" w:fill="auto"/>
            <w:tcMar>
              <w:left w:w="0" w:type="dxa"/>
              <w:right w:w="43" w:type="dxa"/>
            </w:tcMar>
          </w:tcPr>
          <w:p w14:paraId="3F4CF4CB" w14:textId="10C7E4F7" w:rsidR="003D587E" w:rsidRPr="0042463B" w:rsidRDefault="003D587E" w:rsidP="00A326B2">
            <w:pPr>
              <w:jc w:val="right"/>
              <w:rPr>
                <w:sz w:val="20"/>
                <w:szCs w:val="20"/>
              </w:rPr>
            </w:pPr>
            <w:r w:rsidRPr="0042463B">
              <w:rPr>
                <w:sz w:val="20"/>
                <w:szCs w:val="20"/>
              </w:rPr>
              <w:t>14</w:t>
            </w:r>
            <w:r w:rsidR="0042463B">
              <w:rPr>
                <w:sz w:val="20"/>
                <w:szCs w:val="20"/>
              </w:rPr>
              <w:t>.</w:t>
            </w:r>
            <w:r w:rsidRPr="0042463B">
              <w:rPr>
                <w:sz w:val="20"/>
                <w:szCs w:val="20"/>
              </w:rPr>
              <w:t>280</w:t>
            </w:r>
          </w:p>
        </w:tc>
        <w:tc>
          <w:tcPr>
            <w:tcW w:w="402" w:type="pct"/>
            <w:tcBorders>
              <w:top w:val="nil"/>
              <w:left w:val="nil"/>
              <w:bottom w:val="single" w:sz="4" w:space="0" w:color="auto"/>
              <w:right w:val="single" w:sz="4" w:space="0" w:color="auto"/>
            </w:tcBorders>
            <w:shd w:val="clear" w:color="auto" w:fill="auto"/>
            <w:tcMar>
              <w:left w:w="0" w:type="dxa"/>
              <w:right w:w="43" w:type="dxa"/>
            </w:tcMar>
          </w:tcPr>
          <w:p w14:paraId="0657F02F" w14:textId="77777777" w:rsidR="003D587E" w:rsidRPr="0042463B" w:rsidRDefault="003D587E" w:rsidP="00A326B2">
            <w:pPr>
              <w:jc w:val="right"/>
              <w:rPr>
                <w:sz w:val="20"/>
                <w:szCs w:val="20"/>
              </w:rPr>
            </w:pPr>
          </w:p>
        </w:tc>
        <w:tc>
          <w:tcPr>
            <w:tcW w:w="402" w:type="pct"/>
            <w:tcBorders>
              <w:top w:val="nil"/>
              <w:left w:val="single" w:sz="4" w:space="0" w:color="auto"/>
              <w:bottom w:val="single" w:sz="4" w:space="0" w:color="auto"/>
              <w:right w:val="single" w:sz="4" w:space="0" w:color="auto"/>
            </w:tcBorders>
            <w:shd w:val="clear" w:color="auto" w:fill="auto"/>
            <w:tcMar>
              <w:left w:w="0" w:type="dxa"/>
              <w:right w:w="43" w:type="dxa"/>
            </w:tcMar>
          </w:tcPr>
          <w:p w14:paraId="76A5E5C8" w14:textId="39BC801E" w:rsidR="003D587E" w:rsidRPr="0042463B" w:rsidRDefault="003D587E" w:rsidP="00A326B2">
            <w:pPr>
              <w:jc w:val="right"/>
              <w:rPr>
                <w:sz w:val="20"/>
                <w:szCs w:val="20"/>
              </w:rPr>
            </w:pPr>
            <w:r w:rsidRPr="0042463B">
              <w:rPr>
                <w:sz w:val="20"/>
                <w:szCs w:val="20"/>
              </w:rPr>
              <w:t>3</w:t>
            </w:r>
            <w:r w:rsidR="0042463B">
              <w:rPr>
                <w:sz w:val="20"/>
                <w:szCs w:val="20"/>
              </w:rPr>
              <w:t>.</w:t>
            </w:r>
            <w:r w:rsidRPr="0042463B">
              <w:rPr>
                <w:sz w:val="20"/>
                <w:szCs w:val="20"/>
              </w:rPr>
              <w:t>780</w:t>
            </w:r>
          </w:p>
        </w:tc>
        <w:tc>
          <w:tcPr>
            <w:tcW w:w="402" w:type="pct"/>
            <w:tcBorders>
              <w:top w:val="nil"/>
              <w:left w:val="nil"/>
              <w:bottom w:val="single" w:sz="4" w:space="0" w:color="auto"/>
              <w:right w:val="single" w:sz="4" w:space="0" w:color="auto"/>
            </w:tcBorders>
            <w:shd w:val="clear" w:color="auto" w:fill="auto"/>
            <w:tcMar>
              <w:left w:w="0" w:type="dxa"/>
              <w:right w:w="43" w:type="dxa"/>
            </w:tcMar>
          </w:tcPr>
          <w:p w14:paraId="556D1806" w14:textId="77777777" w:rsidR="003D587E" w:rsidRPr="0042463B" w:rsidRDefault="003D587E" w:rsidP="00A326B2">
            <w:pPr>
              <w:jc w:val="right"/>
              <w:rPr>
                <w:sz w:val="20"/>
                <w:szCs w:val="20"/>
              </w:rPr>
            </w:pPr>
          </w:p>
        </w:tc>
        <w:tc>
          <w:tcPr>
            <w:tcW w:w="405" w:type="pct"/>
            <w:tcBorders>
              <w:top w:val="nil"/>
              <w:left w:val="single" w:sz="4" w:space="0" w:color="auto"/>
              <w:bottom w:val="single" w:sz="4" w:space="0" w:color="auto"/>
              <w:right w:val="single" w:sz="4" w:space="0" w:color="auto"/>
            </w:tcBorders>
            <w:shd w:val="clear" w:color="auto" w:fill="auto"/>
            <w:tcMar>
              <w:left w:w="0" w:type="dxa"/>
              <w:right w:w="43" w:type="dxa"/>
            </w:tcMar>
          </w:tcPr>
          <w:p w14:paraId="553F8D72" w14:textId="000FBE7A" w:rsidR="003D587E" w:rsidRPr="0042463B" w:rsidRDefault="003D587E" w:rsidP="00A326B2">
            <w:pPr>
              <w:jc w:val="right"/>
              <w:rPr>
                <w:sz w:val="20"/>
                <w:szCs w:val="20"/>
              </w:rPr>
            </w:pPr>
            <w:r w:rsidRPr="0042463B">
              <w:rPr>
                <w:sz w:val="20"/>
                <w:szCs w:val="20"/>
              </w:rPr>
              <w:t>1</w:t>
            </w:r>
            <w:r w:rsidR="0042463B">
              <w:rPr>
                <w:sz w:val="20"/>
                <w:szCs w:val="20"/>
              </w:rPr>
              <w:t>.</w:t>
            </w:r>
            <w:r w:rsidRPr="0042463B">
              <w:rPr>
                <w:sz w:val="20"/>
                <w:szCs w:val="20"/>
              </w:rPr>
              <w:t>470</w:t>
            </w:r>
          </w:p>
        </w:tc>
        <w:tc>
          <w:tcPr>
            <w:tcW w:w="488" w:type="pct"/>
            <w:tcBorders>
              <w:top w:val="nil"/>
              <w:left w:val="nil"/>
              <w:bottom w:val="single" w:sz="4" w:space="0" w:color="auto"/>
              <w:right w:val="single" w:sz="4" w:space="0" w:color="auto"/>
            </w:tcBorders>
            <w:shd w:val="clear" w:color="auto" w:fill="auto"/>
          </w:tcPr>
          <w:p w14:paraId="02224481" w14:textId="7E5069C2" w:rsidR="003D587E" w:rsidRPr="0042463B" w:rsidRDefault="003D587E" w:rsidP="00A326B2">
            <w:pPr>
              <w:jc w:val="right"/>
              <w:rPr>
                <w:sz w:val="20"/>
                <w:szCs w:val="20"/>
              </w:rPr>
            </w:pPr>
            <w:r w:rsidRPr="0042463B">
              <w:rPr>
                <w:sz w:val="20"/>
                <w:szCs w:val="20"/>
              </w:rPr>
              <w:t>19</w:t>
            </w:r>
            <w:r w:rsidR="0042463B">
              <w:rPr>
                <w:sz w:val="20"/>
                <w:szCs w:val="20"/>
              </w:rPr>
              <w:t>.</w:t>
            </w:r>
            <w:r w:rsidRPr="0042463B">
              <w:rPr>
                <w:sz w:val="20"/>
                <w:szCs w:val="20"/>
              </w:rPr>
              <w:t>530</w:t>
            </w:r>
          </w:p>
        </w:tc>
      </w:tr>
      <w:tr w:rsidR="003D587E" w:rsidRPr="0042463B" w14:paraId="678F3436" w14:textId="77777777" w:rsidTr="00A326B2">
        <w:trPr>
          <w:jc w:val="center"/>
        </w:trPr>
        <w:tc>
          <w:tcPr>
            <w:tcW w:w="324" w:type="pct"/>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6D8F15B0" w14:textId="77777777" w:rsidR="003D587E" w:rsidRPr="0042463B" w:rsidRDefault="003D587E" w:rsidP="00A326B2">
            <w:pPr>
              <w:jc w:val="left"/>
              <w:rPr>
                <w:sz w:val="20"/>
                <w:szCs w:val="20"/>
                <w:lang w:eastAsia="en-CA"/>
              </w:rPr>
            </w:pPr>
            <w:r w:rsidRPr="0042463B">
              <w:rPr>
                <w:sz w:val="20"/>
                <w:szCs w:val="20"/>
                <w:lang w:eastAsia="en-CA"/>
              </w:rPr>
              <w:t>3.1</w:t>
            </w:r>
          </w:p>
        </w:tc>
        <w:tc>
          <w:tcPr>
            <w:tcW w:w="2175" w:type="pct"/>
            <w:tcBorders>
              <w:top w:val="nil"/>
              <w:left w:val="nil"/>
              <w:bottom w:val="single" w:sz="4" w:space="0" w:color="auto"/>
              <w:right w:val="single" w:sz="4" w:space="0" w:color="auto"/>
            </w:tcBorders>
            <w:shd w:val="clear" w:color="auto" w:fill="auto"/>
            <w:hideMark/>
          </w:tcPr>
          <w:p w14:paraId="25400064" w14:textId="77777777" w:rsidR="003D587E" w:rsidRPr="0042463B" w:rsidRDefault="003D587E" w:rsidP="00A326B2">
            <w:pPr>
              <w:jc w:val="left"/>
              <w:rPr>
                <w:sz w:val="18"/>
                <w:szCs w:val="18"/>
              </w:rPr>
            </w:pPr>
            <w:r w:rsidRPr="0042463B">
              <w:rPr>
                <w:sz w:val="18"/>
                <w:szCs w:val="18"/>
              </w:rPr>
              <w:t>Total du financement convenu ($US)</w:t>
            </w:r>
          </w:p>
        </w:tc>
        <w:tc>
          <w:tcPr>
            <w:tcW w:w="402" w:type="pct"/>
            <w:tcBorders>
              <w:top w:val="nil"/>
              <w:left w:val="single" w:sz="4" w:space="0" w:color="auto"/>
              <w:bottom w:val="single" w:sz="4" w:space="0" w:color="auto"/>
              <w:right w:val="single" w:sz="4" w:space="0" w:color="auto"/>
            </w:tcBorders>
            <w:shd w:val="clear" w:color="auto" w:fill="auto"/>
            <w:tcMar>
              <w:left w:w="0" w:type="dxa"/>
              <w:right w:w="43" w:type="dxa"/>
            </w:tcMar>
          </w:tcPr>
          <w:p w14:paraId="235BD51F" w14:textId="1B1050F5" w:rsidR="003D587E" w:rsidRPr="0042463B" w:rsidRDefault="003D587E" w:rsidP="00A326B2">
            <w:pPr>
              <w:jc w:val="right"/>
              <w:rPr>
                <w:sz w:val="20"/>
                <w:szCs w:val="20"/>
              </w:rPr>
            </w:pPr>
            <w:r w:rsidRPr="0042463B">
              <w:rPr>
                <w:sz w:val="20"/>
                <w:szCs w:val="20"/>
              </w:rPr>
              <w:t>453</w:t>
            </w:r>
            <w:r w:rsidR="0042463B">
              <w:rPr>
                <w:sz w:val="20"/>
                <w:szCs w:val="20"/>
              </w:rPr>
              <w:t>.</w:t>
            </w:r>
            <w:r w:rsidRPr="0042463B">
              <w:rPr>
                <w:sz w:val="20"/>
                <w:szCs w:val="20"/>
              </w:rPr>
              <w:t>499</w:t>
            </w:r>
          </w:p>
        </w:tc>
        <w:tc>
          <w:tcPr>
            <w:tcW w:w="402" w:type="pct"/>
            <w:tcBorders>
              <w:top w:val="nil"/>
              <w:left w:val="nil"/>
              <w:bottom w:val="single" w:sz="4" w:space="0" w:color="auto"/>
              <w:right w:val="single" w:sz="4" w:space="0" w:color="auto"/>
            </w:tcBorders>
            <w:shd w:val="clear" w:color="auto" w:fill="auto"/>
            <w:tcMar>
              <w:left w:w="0" w:type="dxa"/>
              <w:right w:w="43" w:type="dxa"/>
            </w:tcMar>
          </w:tcPr>
          <w:p w14:paraId="150BC31B" w14:textId="77777777" w:rsidR="003D587E" w:rsidRPr="0042463B" w:rsidRDefault="003D587E" w:rsidP="00A326B2">
            <w:pPr>
              <w:jc w:val="right"/>
              <w:rPr>
                <w:sz w:val="20"/>
                <w:szCs w:val="20"/>
              </w:rPr>
            </w:pPr>
          </w:p>
        </w:tc>
        <w:tc>
          <w:tcPr>
            <w:tcW w:w="402" w:type="pct"/>
            <w:tcBorders>
              <w:top w:val="nil"/>
              <w:left w:val="single" w:sz="4" w:space="0" w:color="auto"/>
              <w:bottom w:val="single" w:sz="4" w:space="0" w:color="auto"/>
              <w:right w:val="single" w:sz="4" w:space="0" w:color="auto"/>
            </w:tcBorders>
            <w:shd w:val="clear" w:color="auto" w:fill="auto"/>
            <w:tcMar>
              <w:left w:w="0" w:type="dxa"/>
              <w:right w:w="43" w:type="dxa"/>
            </w:tcMar>
          </w:tcPr>
          <w:p w14:paraId="7F48A92A" w14:textId="50C3E348" w:rsidR="003D587E" w:rsidRPr="0042463B" w:rsidRDefault="003D587E" w:rsidP="00A326B2">
            <w:pPr>
              <w:jc w:val="right"/>
              <w:rPr>
                <w:sz w:val="20"/>
                <w:szCs w:val="20"/>
              </w:rPr>
            </w:pPr>
            <w:r w:rsidRPr="0042463B">
              <w:rPr>
                <w:sz w:val="20"/>
                <w:szCs w:val="20"/>
              </w:rPr>
              <w:t>133</w:t>
            </w:r>
            <w:r w:rsidR="0042463B">
              <w:rPr>
                <w:sz w:val="20"/>
                <w:szCs w:val="20"/>
              </w:rPr>
              <w:t>.</w:t>
            </w:r>
            <w:r w:rsidRPr="0042463B">
              <w:rPr>
                <w:sz w:val="20"/>
                <w:szCs w:val="20"/>
              </w:rPr>
              <w:t>500</w:t>
            </w:r>
          </w:p>
        </w:tc>
        <w:tc>
          <w:tcPr>
            <w:tcW w:w="402" w:type="pct"/>
            <w:tcBorders>
              <w:top w:val="nil"/>
              <w:left w:val="nil"/>
              <w:bottom w:val="single" w:sz="4" w:space="0" w:color="auto"/>
              <w:right w:val="single" w:sz="4" w:space="0" w:color="auto"/>
            </w:tcBorders>
            <w:shd w:val="clear" w:color="auto" w:fill="auto"/>
            <w:tcMar>
              <w:left w:w="0" w:type="dxa"/>
              <w:right w:w="43" w:type="dxa"/>
            </w:tcMar>
          </w:tcPr>
          <w:p w14:paraId="218E9F9A" w14:textId="77777777" w:rsidR="003D587E" w:rsidRPr="0042463B" w:rsidRDefault="003D587E" w:rsidP="00A326B2">
            <w:pPr>
              <w:jc w:val="right"/>
              <w:rPr>
                <w:sz w:val="20"/>
                <w:szCs w:val="20"/>
              </w:rPr>
            </w:pPr>
          </w:p>
        </w:tc>
        <w:tc>
          <w:tcPr>
            <w:tcW w:w="405" w:type="pct"/>
            <w:tcBorders>
              <w:top w:val="nil"/>
              <w:left w:val="single" w:sz="4" w:space="0" w:color="auto"/>
              <w:bottom w:val="single" w:sz="4" w:space="0" w:color="auto"/>
              <w:right w:val="single" w:sz="4" w:space="0" w:color="auto"/>
            </w:tcBorders>
            <w:shd w:val="clear" w:color="auto" w:fill="auto"/>
            <w:tcMar>
              <w:left w:w="0" w:type="dxa"/>
              <w:right w:w="43" w:type="dxa"/>
            </w:tcMar>
          </w:tcPr>
          <w:p w14:paraId="778DADC9" w14:textId="59B8C1CF" w:rsidR="003D587E" w:rsidRPr="0042463B" w:rsidRDefault="003D587E" w:rsidP="00A326B2">
            <w:pPr>
              <w:jc w:val="right"/>
              <w:rPr>
                <w:sz w:val="20"/>
                <w:szCs w:val="20"/>
              </w:rPr>
            </w:pPr>
            <w:r w:rsidRPr="0042463B">
              <w:rPr>
                <w:sz w:val="20"/>
                <w:szCs w:val="20"/>
              </w:rPr>
              <w:t>76</w:t>
            </w:r>
            <w:r w:rsidR="0042463B">
              <w:rPr>
                <w:sz w:val="20"/>
                <w:szCs w:val="20"/>
              </w:rPr>
              <w:t>.</w:t>
            </w:r>
            <w:r w:rsidRPr="0042463B">
              <w:rPr>
                <w:sz w:val="20"/>
                <w:szCs w:val="20"/>
              </w:rPr>
              <w:t>000</w:t>
            </w:r>
          </w:p>
        </w:tc>
        <w:tc>
          <w:tcPr>
            <w:tcW w:w="488" w:type="pct"/>
            <w:tcBorders>
              <w:top w:val="nil"/>
              <w:left w:val="nil"/>
              <w:bottom w:val="single" w:sz="4" w:space="0" w:color="auto"/>
              <w:right w:val="single" w:sz="4" w:space="0" w:color="auto"/>
            </w:tcBorders>
            <w:shd w:val="clear" w:color="auto" w:fill="auto"/>
          </w:tcPr>
          <w:p w14:paraId="1150E5DE" w14:textId="55E6CED2" w:rsidR="003D587E" w:rsidRPr="0042463B" w:rsidRDefault="003D587E" w:rsidP="00A326B2">
            <w:pPr>
              <w:jc w:val="right"/>
              <w:rPr>
                <w:sz w:val="20"/>
                <w:szCs w:val="20"/>
              </w:rPr>
            </w:pPr>
            <w:r w:rsidRPr="0042463B">
              <w:rPr>
                <w:sz w:val="20"/>
                <w:szCs w:val="20"/>
              </w:rPr>
              <w:t>662</w:t>
            </w:r>
            <w:r w:rsidR="0042463B">
              <w:rPr>
                <w:sz w:val="20"/>
                <w:szCs w:val="20"/>
              </w:rPr>
              <w:t>.</w:t>
            </w:r>
            <w:r w:rsidRPr="0042463B">
              <w:rPr>
                <w:sz w:val="20"/>
                <w:szCs w:val="20"/>
              </w:rPr>
              <w:t>999</w:t>
            </w:r>
          </w:p>
        </w:tc>
      </w:tr>
      <w:tr w:rsidR="003D587E" w:rsidRPr="0042463B" w14:paraId="2A934ED7" w14:textId="77777777" w:rsidTr="00A326B2">
        <w:trPr>
          <w:jc w:val="center"/>
        </w:trPr>
        <w:tc>
          <w:tcPr>
            <w:tcW w:w="324" w:type="pct"/>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7BD2EF27" w14:textId="77777777" w:rsidR="003D587E" w:rsidRPr="0042463B" w:rsidRDefault="003D587E" w:rsidP="00A326B2">
            <w:pPr>
              <w:jc w:val="left"/>
              <w:rPr>
                <w:sz w:val="20"/>
                <w:szCs w:val="20"/>
                <w:lang w:eastAsia="en-CA"/>
              </w:rPr>
            </w:pPr>
            <w:r w:rsidRPr="0042463B">
              <w:rPr>
                <w:sz w:val="20"/>
                <w:szCs w:val="20"/>
                <w:lang w:eastAsia="en-CA"/>
              </w:rPr>
              <w:t>3.2</w:t>
            </w:r>
          </w:p>
        </w:tc>
        <w:tc>
          <w:tcPr>
            <w:tcW w:w="2175" w:type="pct"/>
            <w:tcBorders>
              <w:top w:val="nil"/>
              <w:left w:val="nil"/>
              <w:bottom w:val="single" w:sz="4" w:space="0" w:color="auto"/>
              <w:right w:val="single" w:sz="4" w:space="0" w:color="auto"/>
            </w:tcBorders>
            <w:shd w:val="clear" w:color="auto" w:fill="auto"/>
            <w:hideMark/>
          </w:tcPr>
          <w:p w14:paraId="662DAED1" w14:textId="77777777" w:rsidR="003D587E" w:rsidRPr="0042463B" w:rsidRDefault="003D587E" w:rsidP="00A326B2">
            <w:pPr>
              <w:jc w:val="left"/>
              <w:rPr>
                <w:sz w:val="18"/>
                <w:szCs w:val="18"/>
              </w:rPr>
            </w:pPr>
            <w:r w:rsidRPr="0042463B">
              <w:rPr>
                <w:sz w:val="18"/>
                <w:szCs w:val="18"/>
              </w:rPr>
              <w:t>Total des coûts d’appui ($US)</w:t>
            </w:r>
          </w:p>
        </w:tc>
        <w:tc>
          <w:tcPr>
            <w:tcW w:w="402" w:type="pct"/>
            <w:tcBorders>
              <w:top w:val="nil"/>
              <w:left w:val="single" w:sz="4" w:space="0" w:color="auto"/>
              <w:bottom w:val="single" w:sz="4" w:space="0" w:color="auto"/>
              <w:right w:val="single" w:sz="4" w:space="0" w:color="auto"/>
            </w:tcBorders>
            <w:shd w:val="clear" w:color="auto" w:fill="auto"/>
            <w:tcMar>
              <w:left w:w="0" w:type="dxa"/>
              <w:right w:w="43" w:type="dxa"/>
            </w:tcMar>
          </w:tcPr>
          <w:p w14:paraId="01986750" w14:textId="18660E82" w:rsidR="003D587E" w:rsidRPr="0042463B" w:rsidRDefault="003D587E" w:rsidP="00A326B2">
            <w:pPr>
              <w:jc w:val="right"/>
              <w:rPr>
                <w:sz w:val="20"/>
                <w:szCs w:val="20"/>
              </w:rPr>
            </w:pPr>
            <w:r w:rsidRPr="0042463B">
              <w:rPr>
                <w:sz w:val="20"/>
                <w:szCs w:val="20"/>
              </w:rPr>
              <w:t>46</w:t>
            </w:r>
            <w:r w:rsidR="0042463B">
              <w:rPr>
                <w:sz w:val="20"/>
                <w:szCs w:val="20"/>
              </w:rPr>
              <w:t>.</w:t>
            </w:r>
            <w:r w:rsidRPr="0042463B">
              <w:rPr>
                <w:sz w:val="20"/>
                <w:szCs w:val="20"/>
              </w:rPr>
              <w:t>715</w:t>
            </w:r>
          </w:p>
        </w:tc>
        <w:tc>
          <w:tcPr>
            <w:tcW w:w="402" w:type="pct"/>
            <w:tcBorders>
              <w:top w:val="nil"/>
              <w:left w:val="nil"/>
              <w:bottom w:val="single" w:sz="4" w:space="0" w:color="auto"/>
              <w:right w:val="single" w:sz="4" w:space="0" w:color="auto"/>
            </w:tcBorders>
            <w:shd w:val="clear" w:color="auto" w:fill="auto"/>
            <w:tcMar>
              <w:left w:w="0" w:type="dxa"/>
              <w:right w:w="43" w:type="dxa"/>
            </w:tcMar>
          </w:tcPr>
          <w:p w14:paraId="4EC0244E" w14:textId="77777777" w:rsidR="003D587E" w:rsidRPr="0042463B" w:rsidRDefault="003D587E" w:rsidP="00A326B2">
            <w:pPr>
              <w:jc w:val="right"/>
              <w:rPr>
                <w:sz w:val="20"/>
                <w:szCs w:val="20"/>
              </w:rPr>
            </w:pPr>
          </w:p>
        </w:tc>
        <w:tc>
          <w:tcPr>
            <w:tcW w:w="402" w:type="pct"/>
            <w:tcBorders>
              <w:top w:val="nil"/>
              <w:left w:val="single" w:sz="4" w:space="0" w:color="auto"/>
              <w:bottom w:val="single" w:sz="4" w:space="0" w:color="auto"/>
              <w:right w:val="single" w:sz="4" w:space="0" w:color="auto"/>
            </w:tcBorders>
            <w:shd w:val="clear" w:color="auto" w:fill="auto"/>
            <w:tcMar>
              <w:left w:w="0" w:type="dxa"/>
              <w:right w:w="43" w:type="dxa"/>
            </w:tcMar>
          </w:tcPr>
          <w:p w14:paraId="3C3D9FAD" w14:textId="3128E7C9" w:rsidR="003D587E" w:rsidRPr="0042463B" w:rsidRDefault="003D587E" w:rsidP="00A326B2">
            <w:pPr>
              <w:jc w:val="right"/>
              <w:rPr>
                <w:sz w:val="20"/>
                <w:szCs w:val="20"/>
              </w:rPr>
            </w:pPr>
            <w:r w:rsidRPr="0042463B">
              <w:rPr>
                <w:sz w:val="20"/>
                <w:szCs w:val="20"/>
              </w:rPr>
              <w:t>14</w:t>
            </w:r>
            <w:r w:rsidR="0042463B">
              <w:rPr>
                <w:sz w:val="20"/>
                <w:szCs w:val="20"/>
              </w:rPr>
              <w:t>.</w:t>
            </w:r>
            <w:r w:rsidRPr="0042463B">
              <w:rPr>
                <w:sz w:val="20"/>
                <w:szCs w:val="20"/>
              </w:rPr>
              <w:t>115</w:t>
            </w:r>
          </w:p>
        </w:tc>
        <w:tc>
          <w:tcPr>
            <w:tcW w:w="402" w:type="pct"/>
            <w:tcBorders>
              <w:top w:val="nil"/>
              <w:left w:val="nil"/>
              <w:bottom w:val="single" w:sz="4" w:space="0" w:color="auto"/>
              <w:right w:val="single" w:sz="4" w:space="0" w:color="auto"/>
            </w:tcBorders>
            <w:shd w:val="clear" w:color="auto" w:fill="auto"/>
            <w:tcMar>
              <w:left w:w="0" w:type="dxa"/>
              <w:right w:w="43" w:type="dxa"/>
            </w:tcMar>
          </w:tcPr>
          <w:p w14:paraId="23237EE6" w14:textId="77777777" w:rsidR="003D587E" w:rsidRPr="0042463B" w:rsidRDefault="003D587E" w:rsidP="00A326B2">
            <w:pPr>
              <w:jc w:val="right"/>
              <w:rPr>
                <w:sz w:val="20"/>
                <w:szCs w:val="20"/>
              </w:rPr>
            </w:pPr>
          </w:p>
        </w:tc>
        <w:tc>
          <w:tcPr>
            <w:tcW w:w="405" w:type="pct"/>
            <w:tcBorders>
              <w:top w:val="nil"/>
              <w:left w:val="single" w:sz="4" w:space="0" w:color="auto"/>
              <w:bottom w:val="single" w:sz="4" w:space="0" w:color="auto"/>
              <w:right w:val="single" w:sz="4" w:space="0" w:color="auto"/>
            </w:tcBorders>
            <w:shd w:val="clear" w:color="auto" w:fill="auto"/>
            <w:tcMar>
              <w:left w:w="0" w:type="dxa"/>
              <w:right w:w="43" w:type="dxa"/>
            </w:tcMar>
          </w:tcPr>
          <w:p w14:paraId="23C8093C" w14:textId="7D42979C" w:rsidR="003D587E" w:rsidRPr="0042463B" w:rsidRDefault="003D587E" w:rsidP="00A326B2">
            <w:pPr>
              <w:jc w:val="right"/>
              <w:rPr>
                <w:sz w:val="20"/>
                <w:szCs w:val="20"/>
              </w:rPr>
            </w:pPr>
            <w:r w:rsidRPr="0042463B">
              <w:rPr>
                <w:sz w:val="20"/>
                <w:szCs w:val="20"/>
              </w:rPr>
              <w:t>8</w:t>
            </w:r>
            <w:r w:rsidR="0042463B">
              <w:rPr>
                <w:sz w:val="20"/>
                <w:szCs w:val="20"/>
              </w:rPr>
              <w:t>.</w:t>
            </w:r>
            <w:r w:rsidRPr="0042463B">
              <w:rPr>
                <w:sz w:val="20"/>
                <w:szCs w:val="20"/>
              </w:rPr>
              <w:t>620</w:t>
            </w:r>
          </w:p>
        </w:tc>
        <w:tc>
          <w:tcPr>
            <w:tcW w:w="488" w:type="pct"/>
            <w:tcBorders>
              <w:top w:val="nil"/>
              <w:left w:val="nil"/>
              <w:bottom w:val="single" w:sz="4" w:space="0" w:color="auto"/>
              <w:right w:val="single" w:sz="4" w:space="0" w:color="auto"/>
            </w:tcBorders>
            <w:shd w:val="clear" w:color="auto" w:fill="auto"/>
          </w:tcPr>
          <w:p w14:paraId="4C1707CE" w14:textId="0A09CAE2" w:rsidR="003D587E" w:rsidRPr="0042463B" w:rsidRDefault="003D587E" w:rsidP="00A326B2">
            <w:pPr>
              <w:jc w:val="right"/>
              <w:rPr>
                <w:sz w:val="20"/>
                <w:szCs w:val="20"/>
              </w:rPr>
            </w:pPr>
            <w:r w:rsidRPr="0042463B">
              <w:rPr>
                <w:sz w:val="20"/>
                <w:szCs w:val="20"/>
              </w:rPr>
              <w:t>69</w:t>
            </w:r>
            <w:r w:rsidR="0042463B">
              <w:rPr>
                <w:sz w:val="20"/>
                <w:szCs w:val="20"/>
              </w:rPr>
              <w:t>.</w:t>
            </w:r>
            <w:r w:rsidRPr="0042463B">
              <w:rPr>
                <w:sz w:val="20"/>
                <w:szCs w:val="20"/>
              </w:rPr>
              <w:t>450</w:t>
            </w:r>
          </w:p>
        </w:tc>
      </w:tr>
      <w:tr w:rsidR="003D587E" w:rsidRPr="0042463B" w14:paraId="2AEC97BB" w14:textId="77777777" w:rsidTr="00A326B2">
        <w:trPr>
          <w:jc w:val="center"/>
        </w:trPr>
        <w:tc>
          <w:tcPr>
            <w:tcW w:w="324" w:type="pct"/>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7044623F" w14:textId="77777777" w:rsidR="003D587E" w:rsidRPr="0042463B" w:rsidRDefault="003D587E" w:rsidP="00A326B2">
            <w:pPr>
              <w:jc w:val="left"/>
              <w:rPr>
                <w:sz w:val="20"/>
                <w:szCs w:val="20"/>
                <w:lang w:eastAsia="en-CA"/>
              </w:rPr>
            </w:pPr>
            <w:r w:rsidRPr="0042463B">
              <w:rPr>
                <w:sz w:val="20"/>
                <w:szCs w:val="20"/>
                <w:lang w:eastAsia="en-CA"/>
              </w:rPr>
              <w:t>3.3</w:t>
            </w:r>
          </w:p>
        </w:tc>
        <w:tc>
          <w:tcPr>
            <w:tcW w:w="2175" w:type="pct"/>
            <w:tcBorders>
              <w:top w:val="nil"/>
              <w:left w:val="nil"/>
              <w:bottom w:val="single" w:sz="4" w:space="0" w:color="auto"/>
              <w:right w:val="single" w:sz="4" w:space="0" w:color="auto"/>
            </w:tcBorders>
            <w:shd w:val="clear" w:color="auto" w:fill="auto"/>
            <w:hideMark/>
          </w:tcPr>
          <w:p w14:paraId="0A7A0A6B" w14:textId="77777777" w:rsidR="003D587E" w:rsidRPr="0042463B" w:rsidRDefault="003D587E" w:rsidP="00A326B2">
            <w:pPr>
              <w:jc w:val="left"/>
              <w:rPr>
                <w:sz w:val="18"/>
                <w:szCs w:val="18"/>
              </w:rPr>
            </w:pPr>
            <w:r w:rsidRPr="0042463B">
              <w:rPr>
                <w:sz w:val="18"/>
                <w:szCs w:val="18"/>
              </w:rPr>
              <w:t>Total des coûts convenus ($US)</w:t>
            </w:r>
          </w:p>
        </w:tc>
        <w:tc>
          <w:tcPr>
            <w:tcW w:w="402" w:type="pct"/>
            <w:tcBorders>
              <w:top w:val="nil"/>
              <w:left w:val="single" w:sz="4" w:space="0" w:color="auto"/>
              <w:bottom w:val="single" w:sz="4" w:space="0" w:color="auto"/>
              <w:right w:val="single" w:sz="4" w:space="0" w:color="auto"/>
            </w:tcBorders>
            <w:shd w:val="clear" w:color="auto" w:fill="auto"/>
            <w:tcMar>
              <w:left w:w="0" w:type="dxa"/>
              <w:right w:w="43" w:type="dxa"/>
            </w:tcMar>
          </w:tcPr>
          <w:p w14:paraId="06EE6458" w14:textId="374B3C18" w:rsidR="003D587E" w:rsidRPr="0042463B" w:rsidRDefault="003D587E" w:rsidP="00A326B2">
            <w:pPr>
              <w:jc w:val="right"/>
              <w:rPr>
                <w:sz w:val="20"/>
                <w:szCs w:val="20"/>
              </w:rPr>
            </w:pPr>
            <w:r w:rsidRPr="0042463B">
              <w:rPr>
                <w:sz w:val="20"/>
                <w:szCs w:val="20"/>
              </w:rPr>
              <w:t>500</w:t>
            </w:r>
            <w:r w:rsidR="0042463B">
              <w:rPr>
                <w:sz w:val="20"/>
                <w:szCs w:val="20"/>
              </w:rPr>
              <w:t>.</w:t>
            </w:r>
            <w:r w:rsidRPr="0042463B">
              <w:rPr>
                <w:sz w:val="20"/>
                <w:szCs w:val="20"/>
              </w:rPr>
              <w:t>214</w:t>
            </w:r>
          </w:p>
        </w:tc>
        <w:tc>
          <w:tcPr>
            <w:tcW w:w="402" w:type="pct"/>
            <w:tcBorders>
              <w:top w:val="nil"/>
              <w:left w:val="nil"/>
              <w:bottom w:val="single" w:sz="4" w:space="0" w:color="auto"/>
              <w:right w:val="single" w:sz="4" w:space="0" w:color="auto"/>
            </w:tcBorders>
            <w:shd w:val="clear" w:color="auto" w:fill="auto"/>
            <w:tcMar>
              <w:left w:w="0" w:type="dxa"/>
              <w:right w:w="43" w:type="dxa"/>
            </w:tcMar>
          </w:tcPr>
          <w:p w14:paraId="028C43A9" w14:textId="77777777" w:rsidR="003D587E" w:rsidRPr="0042463B" w:rsidRDefault="003D587E" w:rsidP="00A326B2">
            <w:pPr>
              <w:jc w:val="right"/>
              <w:rPr>
                <w:sz w:val="20"/>
                <w:szCs w:val="20"/>
              </w:rPr>
            </w:pPr>
          </w:p>
        </w:tc>
        <w:tc>
          <w:tcPr>
            <w:tcW w:w="402" w:type="pct"/>
            <w:tcBorders>
              <w:top w:val="nil"/>
              <w:left w:val="single" w:sz="4" w:space="0" w:color="auto"/>
              <w:bottom w:val="single" w:sz="4" w:space="0" w:color="auto"/>
              <w:right w:val="single" w:sz="4" w:space="0" w:color="auto"/>
            </w:tcBorders>
            <w:shd w:val="clear" w:color="auto" w:fill="auto"/>
            <w:tcMar>
              <w:left w:w="0" w:type="dxa"/>
              <w:right w:w="43" w:type="dxa"/>
            </w:tcMar>
          </w:tcPr>
          <w:p w14:paraId="5A0C6D01" w14:textId="16EAADB7" w:rsidR="003D587E" w:rsidRPr="0042463B" w:rsidRDefault="003D587E" w:rsidP="00A326B2">
            <w:pPr>
              <w:jc w:val="right"/>
              <w:rPr>
                <w:sz w:val="20"/>
                <w:szCs w:val="20"/>
              </w:rPr>
            </w:pPr>
            <w:r w:rsidRPr="0042463B">
              <w:rPr>
                <w:sz w:val="20"/>
                <w:szCs w:val="20"/>
              </w:rPr>
              <w:t>147</w:t>
            </w:r>
            <w:r w:rsidR="0042463B">
              <w:rPr>
                <w:sz w:val="20"/>
                <w:szCs w:val="20"/>
              </w:rPr>
              <w:t>.</w:t>
            </w:r>
            <w:r w:rsidRPr="0042463B">
              <w:rPr>
                <w:sz w:val="20"/>
                <w:szCs w:val="20"/>
              </w:rPr>
              <w:t>615</w:t>
            </w:r>
          </w:p>
        </w:tc>
        <w:tc>
          <w:tcPr>
            <w:tcW w:w="402" w:type="pct"/>
            <w:tcBorders>
              <w:top w:val="nil"/>
              <w:left w:val="nil"/>
              <w:bottom w:val="single" w:sz="4" w:space="0" w:color="auto"/>
              <w:right w:val="single" w:sz="4" w:space="0" w:color="auto"/>
            </w:tcBorders>
            <w:shd w:val="clear" w:color="auto" w:fill="auto"/>
            <w:tcMar>
              <w:left w:w="0" w:type="dxa"/>
              <w:right w:w="43" w:type="dxa"/>
            </w:tcMar>
          </w:tcPr>
          <w:p w14:paraId="29BEAB90" w14:textId="77777777" w:rsidR="003D587E" w:rsidRPr="0042463B" w:rsidRDefault="003D587E" w:rsidP="00A326B2">
            <w:pPr>
              <w:jc w:val="right"/>
              <w:rPr>
                <w:sz w:val="20"/>
                <w:szCs w:val="20"/>
              </w:rPr>
            </w:pPr>
          </w:p>
        </w:tc>
        <w:tc>
          <w:tcPr>
            <w:tcW w:w="405" w:type="pct"/>
            <w:tcBorders>
              <w:top w:val="nil"/>
              <w:left w:val="single" w:sz="4" w:space="0" w:color="auto"/>
              <w:bottom w:val="single" w:sz="4" w:space="0" w:color="auto"/>
              <w:right w:val="single" w:sz="4" w:space="0" w:color="auto"/>
            </w:tcBorders>
            <w:shd w:val="clear" w:color="auto" w:fill="auto"/>
            <w:tcMar>
              <w:left w:w="0" w:type="dxa"/>
              <w:right w:w="43" w:type="dxa"/>
            </w:tcMar>
          </w:tcPr>
          <w:p w14:paraId="12C888E2" w14:textId="42030D89" w:rsidR="003D587E" w:rsidRPr="0042463B" w:rsidRDefault="003D587E" w:rsidP="00A326B2">
            <w:pPr>
              <w:jc w:val="right"/>
              <w:rPr>
                <w:sz w:val="20"/>
                <w:szCs w:val="20"/>
              </w:rPr>
            </w:pPr>
            <w:r w:rsidRPr="0042463B">
              <w:rPr>
                <w:sz w:val="20"/>
                <w:szCs w:val="20"/>
              </w:rPr>
              <w:t>84</w:t>
            </w:r>
            <w:r w:rsidR="0042463B">
              <w:rPr>
                <w:sz w:val="20"/>
                <w:szCs w:val="20"/>
              </w:rPr>
              <w:t>.</w:t>
            </w:r>
            <w:r w:rsidRPr="0042463B">
              <w:rPr>
                <w:sz w:val="20"/>
                <w:szCs w:val="20"/>
              </w:rPr>
              <w:t>620</w:t>
            </w:r>
          </w:p>
        </w:tc>
        <w:tc>
          <w:tcPr>
            <w:tcW w:w="488" w:type="pct"/>
            <w:tcBorders>
              <w:top w:val="nil"/>
              <w:left w:val="nil"/>
              <w:bottom w:val="single" w:sz="4" w:space="0" w:color="auto"/>
              <w:right w:val="single" w:sz="4" w:space="0" w:color="auto"/>
            </w:tcBorders>
            <w:shd w:val="clear" w:color="auto" w:fill="auto"/>
          </w:tcPr>
          <w:p w14:paraId="32380A36" w14:textId="332CDE65" w:rsidR="003D587E" w:rsidRPr="0042463B" w:rsidRDefault="003D587E" w:rsidP="00A326B2">
            <w:pPr>
              <w:jc w:val="right"/>
              <w:rPr>
                <w:sz w:val="20"/>
                <w:szCs w:val="20"/>
              </w:rPr>
            </w:pPr>
            <w:r w:rsidRPr="0042463B">
              <w:rPr>
                <w:sz w:val="20"/>
                <w:szCs w:val="20"/>
              </w:rPr>
              <w:t>732</w:t>
            </w:r>
            <w:r w:rsidR="0042463B">
              <w:rPr>
                <w:sz w:val="20"/>
                <w:szCs w:val="20"/>
              </w:rPr>
              <w:t>.</w:t>
            </w:r>
            <w:r w:rsidRPr="0042463B">
              <w:rPr>
                <w:sz w:val="20"/>
                <w:szCs w:val="20"/>
              </w:rPr>
              <w:t>449</w:t>
            </w:r>
          </w:p>
        </w:tc>
      </w:tr>
      <w:tr w:rsidR="003D587E" w:rsidRPr="0042463B" w14:paraId="75BCB83F" w14:textId="77777777" w:rsidTr="00A326B2">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tcMar>
              <w:left w:w="29" w:type="dxa"/>
              <w:right w:w="0" w:type="dxa"/>
            </w:tcMar>
            <w:hideMark/>
          </w:tcPr>
          <w:p w14:paraId="518599CE" w14:textId="77777777" w:rsidR="003D587E" w:rsidRPr="0042463B" w:rsidRDefault="003D587E" w:rsidP="00A326B2">
            <w:pPr>
              <w:jc w:val="left"/>
              <w:rPr>
                <w:sz w:val="20"/>
                <w:szCs w:val="20"/>
                <w:lang w:eastAsia="en-CA"/>
              </w:rPr>
            </w:pPr>
            <w:r w:rsidRPr="0042463B">
              <w:rPr>
                <w:sz w:val="20"/>
                <w:szCs w:val="20"/>
                <w:lang w:eastAsia="en-CA"/>
              </w:rPr>
              <w:t>4.1.1</w:t>
            </w:r>
          </w:p>
        </w:tc>
        <w:tc>
          <w:tcPr>
            <w:tcW w:w="4188" w:type="pct"/>
            <w:gridSpan w:val="6"/>
            <w:tcBorders>
              <w:top w:val="single" w:sz="4" w:space="0" w:color="auto"/>
              <w:left w:val="nil"/>
              <w:bottom w:val="single" w:sz="4" w:space="0" w:color="auto"/>
              <w:right w:val="single" w:sz="4" w:space="0" w:color="000000"/>
            </w:tcBorders>
            <w:shd w:val="clear" w:color="auto" w:fill="auto"/>
            <w:hideMark/>
          </w:tcPr>
          <w:p w14:paraId="0D6A4882" w14:textId="77777777" w:rsidR="003D587E" w:rsidRPr="0042463B" w:rsidRDefault="003D587E" w:rsidP="00A326B2">
            <w:pPr>
              <w:jc w:val="left"/>
              <w:rPr>
                <w:sz w:val="18"/>
                <w:szCs w:val="18"/>
              </w:rPr>
            </w:pPr>
            <w:r w:rsidRPr="0042463B">
              <w:rPr>
                <w:sz w:val="18"/>
                <w:szCs w:val="18"/>
              </w:rPr>
              <w:t>Élimination totale de HCFC-22 convenue de réaliser en vertu du présent Accord (tonnes PAO)</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416C6071" w14:textId="2060BB21" w:rsidR="003D587E" w:rsidRPr="0042463B" w:rsidRDefault="003D587E" w:rsidP="00A326B2">
            <w:pPr>
              <w:jc w:val="right"/>
              <w:rPr>
                <w:sz w:val="20"/>
                <w:szCs w:val="20"/>
              </w:rPr>
            </w:pPr>
            <w:r w:rsidRPr="0042463B">
              <w:rPr>
                <w:sz w:val="20"/>
                <w:szCs w:val="20"/>
              </w:rPr>
              <w:t>30</w:t>
            </w:r>
            <w:r w:rsidR="0042463B">
              <w:rPr>
                <w:sz w:val="20"/>
                <w:szCs w:val="20"/>
              </w:rPr>
              <w:t>,</w:t>
            </w:r>
            <w:r w:rsidRPr="0042463B">
              <w:rPr>
                <w:sz w:val="20"/>
                <w:szCs w:val="20"/>
              </w:rPr>
              <w:t>50</w:t>
            </w:r>
          </w:p>
        </w:tc>
      </w:tr>
      <w:tr w:rsidR="003D587E" w:rsidRPr="0042463B" w14:paraId="52E0CD5F" w14:textId="77777777" w:rsidTr="00A326B2">
        <w:trPr>
          <w:jc w:val="center"/>
        </w:trPr>
        <w:tc>
          <w:tcPr>
            <w:tcW w:w="324" w:type="pct"/>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63F549FC" w14:textId="77777777" w:rsidR="003D587E" w:rsidRPr="0042463B" w:rsidRDefault="003D587E" w:rsidP="00A326B2">
            <w:pPr>
              <w:jc w:val="left"/>
              <w:rPr>
                <w:sz w:val="20"/>
                <w:szCs w:val="20"/>
                <w:lang w:eastAsia="en-CA"/>
              </w:rPr>
            </w:pPr>
            <w:r w:rsidRPr="0042463B">
              <w:rPr>
                <w:sz w:val="20"/>
                <w:szCs w:val="20"/>
                <w:lang w:eastAsia="en-CA"/>
              </w:rPr>
              <w:t>4.1.2</w:t>
            </w:r>
          </w:p>
        </w:tc>
        <w:tc>
          <w:tcPr>
            <w:tcW w:w="4188" w:type="pct"/>
            <w:gridSpan w:val="6"/>
            <w:tcBorders>
              <w:top w:val="single" w:sz="4" w:space="0" w:color="auto"/>
              <w:left w:val="nil"/>
              <w:bottom w:val="single" w:sz="4" w:space="0" w:color="auto"/>
              <w:right w:val="single" w:sz="4" w:space="0" w:color="000000"/>
            </w:tcBorders>
            <w:shd w:val="clear" w:color="auto" w:fill="auto"/>
            <w:hideMark/>
          </w:tcPr>
          <w:p w14:paraId="5424478D" w14:textId="77777777" w:rsidR="003D587E" w:rsidRPr="0042463B" w:rsidRDefault="003D587E" w:rsidP="00A326B2">
            <w:pPr>
              <w:jc w:val="left"/>
              <w:rPr>
                <w:sz w:val="18"/>
                <w:szCs w:val="18"/>
              </w:rPr>
            </w:pPr>
            <w:r w:rsidRPr="0042463B">
              <w:rPr>
                <w:sz w:val="18"/>
                <w:szCs w:val="18"/>
              </w:rPr>
              <w:t>Élimination du HCFC-22 réalisée lors de la phase précédente (tonnes PAO)</w:t>
            </w:r>
          </w:p>
        </w:tc>
        <w:tc>
          <w:tcPr>
            <w:tcW w:w="488" w:type="pct"/>
            <w:tcBorders>
              <w:top w:val="nil"/>
              <w:left w:val="single" w:sz="4" w:space="0" w:color="auto"/>
              <w:bottom w:val="single" w:sz="4" w:space="0" w:color="auto"/>
              <w:right w:val="single" w:sz="4" w:space="0" w:color="auto"/>
            </w:tcBorders>
            <w:shd w:val="clear" w:color="auto" w:fill="auto"/>
          </w:tcPr>
          <w:p w14:paraId="0ED9C17F" w14:textId="6B2F7D94" w:rsidR="003D587E" w:rsidRPr="0042463B" w:rsidRDefault="003D587E" w:rsidP="00A326B2">
            <w:pPr>
              <w:jc w:val="right"/>
              <w:rPr>
                <w:sz w:val="20"/>
                <w:szCs w:val="20"/>
              </w:rPr>
            </w:pPr>
            <w:r w:rsidRPr="0042463B">
              <w:rPr>
                <w:sz w:val="20"/>
                <w:szCs w:val="20"/>
              </w:rPr>
              <w:t>17</w:t>
            </w:r>
            <w:r w:rsidR="0042463B">
              <w:rPr>
                <w:sz w:val="20"/>
                <w:szCs w:val="20"/>
              </w:rPr>
              <w:t>,</w:t>
            </w:r>
            <w:r w:rsidRPr="0042463B">
              <w:rPr>
                <w:sz w:val="20"/>
                <w:szCs w:val="20"/>
              </w:rPr>
              <w:t>59</w:t>
            </w:r>
          </w:p>
        </w:tc>
      </w:tr>
      <w:tr w:rsidR="003D587E" w:rsidRPr="0042463B" w14:paraId="78EE20AC" w14:textId="77777777" w:rsidTr="00A326B2">
        <w:trPr>
          <w:jc w:val="center"/>
        </w:trPr>
        <w:tc>
          <w:tcPr>
            <w:tcW w:w="324" w:type="pct"/>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1533A41C" w14:textId="77777777" w:rsidR="003D587E" w:rsidRPr="0042463B" w:rsidRDefault="003D587E" w:rsidP="00A326B2">
            <w:pPr>
              <w:jc w:val="left"/>
              <w:rPr>
                <w:sz w:val="20"/>
                <w:szCs w:val="20"/>
                <w:lang w:eastAsia="en-CA"/>
              </w:rPr>
            </w:pPr>
            <w:r w:rsidRPr="0042463B">
              <w:rPr>
                <w:sz w:val="20"/>
                <w:szCs w:val="20"/>
                <w:lang w:eastAsia="en-CA"/>
              </w:rPr>
              <w:t>4.1.3</w:t>
            </w:r>
          </w:p>
        </w:tc>
        <w:tc>
          <w:tcPr>
            <w:tcW w:w="4188" w:type="pct"/>
            <w:gridSpan w:val="6"/>
            <w:tcBorders>
              <w:top w:val="single" w:sz="4" w:space="0" w:color="auto"/>
              <w:left w:val="nil"/>
              <w:bottom w:val="single" w:sz="4" w:space="0" w:color="auto"/>
              <w:right w:val="single" w:sz="4" w:space="0" w:color="000000"/>
            </w:tcBorders>
            <w:shd w:val="clear" w:color="auto" w:fill="auto"/>
            <w:hideMark/>
          </w:tcPr>
          <w:p w14:paraId="792B7D8A" w14:textId="77777777" w:rsidR="003D587E" w:rsidRPr="0042463B" w:rsidRDefault="003D587E" w:rsidP="00A326B2">
            <w:pPr>
              <w:jc w:val="left"/>
              <w:rPr>
                <w:sz w:val="18"/>
                <w:szCs w:val="18"/>
              </w:rPr>
            </w:pPr>
            <w:r w:rsidRPr="0042463B">
              <w:rPr>
                <w:sz w:val="18"/>
                <w:szCs w:val="18"/>
              </w:rPr>
              <w:t>Consommation restante admissible pour le HCFC-22 (tonnes PAO)</w:t>
            </w:r>
          </w:p>
        </w:tc>
        <w:tc>
          <w:tcPr>
            <w:tcW w:w="488" w:type="pct"/>
            <w:tcBorders>
              <w:top w:val="nil"/>
              <w:left w:val="single" w:sz="4" w:space="0" w:color="auto"/>
              <w:bottom w:val="single" w:sz="4" w:space="0" w:color="auto"/>
              <w:right w:val="single" w:sz="4" w:space="0" w:color="auto"/>
            </w:tcBorders>
            <w:shd w:val="clear" w:color="auto" w:fill="auto"/>
          </w:tcPr>
          <w:p w14:paraId="147C2041" w14:textId="29C95ED0" w:rsidR="003D587E" w:rsidRPr="0042463B" w:rsidRDefault="003D587E" w:rsidP="00A326B2">
            <w:pPr>
              <w:jc w:val="right"/>
              <w:rPr>
                <w:sz w:val="20"/>
                <w:szCs w:val="20"/>
              </w:rPr>
            </w:pPr>
            <w:r w:rsidRPr="0042463B">
              <w:rPr>
                <w:sz w:val="20"/>
                <w:szCs w:val="20"/>
              </w:rPr>
              <w:t>2</w:t>
            </w:r>
            <w:r w:rsidR="0042463B">
              <w:rPr>
                <w:sz w:val="20"/>
                <w:szCs w:val="20"/>
              </w:rPr>
              <w:t>,</w:t>
            </w:r>
            <w:r w:rsidRPr="0042463B">
              <w:rPr>
                <w:sz w:val="20"/>
                <w:szCs w:val="20"/>
              </w:rPr>
              <w:t>75</w:t>
            </w:r>
          </w:p>
        </w:tc>
      </w:tr>
      <w:tr w:rsidR="003D587E" w:rsidRPr="0042463B" w14:paraId="392C5402" w14:textId="77777777" w:rsidTr="00A326B2">
        <w:trPr>
          <w:jc w:val="center"/>
        </w:trPr>
        <w:tc>
          <w:tcPr>
            <w:tcW w:w="324" w:type="pct"/>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62685620" w14:textId="77777777" w:rsidR="003D587E" w:rsidRPr="0042463B" w:rsidRDefault="003D587E" w:rsidP="00A326B2">
            <w:pPr>
              <w:jc w:val="left"/>
              <w:rPr>
                <w:sz w:val="20"/>
                <w:szCs w:val="20"/>
                <w:lang w:eastAsia="en-CA"/>
              </w:rPr>
            </w:pPr>
            <w:r w:rsidRPr="0042463B">
              <w:rPr>
                <w:sz w:val="20"/>
                <w:szCs w:val="20"/>
                <w:lang w:eastAsia="en-CA"/>
              </w:rPr>
              <w:t>4.2.1</w:t>
            </w:r>
          </w:p>
        </w:tc>
        <w:tc>
          <w:tcPr>
            <w:tcW w:w="4188" w:type="pct"/>
            <w:gridSpan w:val="6"/>
            <w:tcBorders>
              <w:top w:val="single" w:sz="4" w:space="0" w:color="auto"/>
              <w:left w:val="nil"/>
              <w:bottom w:val="single" w:sz="4" w:space="0" w:color="auto"/>
              <w:right w:val="single" w:sz="4" w:space="0" w:color="000000"/>
            </w:tcBorders>
            <w:shd w:val="clear" w:color="auto" w:fill="auto"/>
            <w:hideMark/>
          </w:tcPr>
          <w:p w14:paraId="57BCFC57" w14:textId="77777777" w:rsidR="003D587E" w:rsidRPr="0042463B" w:rsidRDefault="003D587E" w:rsidP="00A326B2">
            <w:pPr>
              <w:jc w:val="left"/>
              <w:rPr>
                <w:sz w:val="18"/>
                <w:szCs w:val="18"/>
              </w:rPr>
            </w:pPr>
            <w:r w:rsidRPr="0042463B">
              <w:rPr>
                <w:sz w:val="18"/>
                <w:szCs w:val="18"/>
              </w:rPr>
              <w:t>Élimination totale de HCFC-141b convenue de réaliser en vertu du présent Accord (tonnes PAO)</w:t>
            </w:r>
          </w:p>
        </w:tc>
        <w:tc>
          <w:tcPr>
            <w:tcW w:w="488" w:type="pct"/>
            <w:tcBorders>
              <w:top w:val="nil"/>
              <w:left w:val="single" w:sz="4" w:space="0" w:color="auto"/>
              <w:bottom w:val="single" w:sz="4" w:space="0" w:color="auto"/>
              <w:right w:val="single" w:sz="4" w:space="0" w:color="auto"/>
            </w:tcBorders>
            <w:shd w:val="clear" w:color="auto" w:fill="auto"/>
          </w:tcPr>
          <w:p w14:paraId="082972F8" w14:textId="77777777" w:rsidR="003D587E" w:rsidRPr="0042463B" w:rsidRDefault="003D587E" w:rsidP="00A326B2">
            <w:pPr>
              <w:jc w:val="right"/>
              <w:rPr>
                <w:sz w:val="20"/>
                <w:szCs w:val="20"/>
              </w:rPr>
            </w:pPr>
            <w:r w:rsidRPr="0042463B">
              <w:rPr>
                <w:sz w:val="20"/>
                <w:szCs w:val="20"/>
              </w:rPr>
              <w:t>0</w:t>
            </w:r>
          </w:p>
        </w:tc>
      </w:tr>
      <w:tr w:rsidR="003D587E" w:rsidRPr="0042463B" w14:paraId="55D50204" w14:textId="77777777" w:rsidTr="00A326B2">
        <w:trPr>
          <w:jc w:val="center"/>
        </w:trPr>
        <w:tc>
          <w:tcPr>
            <w:tcW w:w="324" w:type="pct"/>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749FA83D" w14:textId="77777777" w:rsidR="003D587E" w:rsidRPr="0042463B" w:rsidRDefault="003D587E" w:rsidP="00A326B2">
            <w:pPr>
              <w:jc w:val="left"/>
              <w:rPr>
                <w:sz w:val="20"/>
                <w:szCs w:val="20"/>
                <w:lang w:eastAsia="en-CA"/>
              </w:rPr>
            </w:pPr>
            <w:r w:rsidRPr="0042463B">
              <w:rPr>
                <w:sz w:val="20"/>
                <w:szCs w:val="20"/>
                <w:lang w:eastAsia="en-CA"/>
              </w:rPr>
              <w:t>4.2.2</w:t>
            </w:r>
          </w:p>
        </w:tc>
        <w:tc>
          <w:tcPr>
            <w:tcW w:w="4188" w:type="pct"/>
            <w:gridSpan w:val="6"/>
            <w:tcBorders>
              <w:top w:val="single" w:sz="4" w:space="0" w:color="auto"/>
              <w:left w:val="nil"/>
              <w:bottom w:val="single" w:sz="4" w:space="0" w:color="auto"/>
              <w:right w:val="single" w:sz="4" w:space="0" w:color="000000"/>
            </w:tcBorders>
            <w:shd w:val="clear" w:color="auto" w:fill="auto"/>
            <w:hideMark/>
          </w:tcPr>
          <w:p w14:paraId="2C06325C" w14:textId="77777777" w:rsidR="003D587E" w:rsidRPr="0042463B" w:rsidRDefault="003D587E" w:rsidP="00A326B2">
            <w:pPr>
              <w:jc w:val="left"/>
              <w:rPr>
                <w:sz w:val="18"/>
                <w:szCs w:val="18"/>
              </w:rPr>
            </w:pPr>
            <w:r w:rsidRPr="0042463B">
              <w:rPr>
                <w:sz w:val="18"/>
                <w:szCs w:val="18"/>
              </w:rPr>
              <w:t>Élimination du HCFC-141b réalisée lors de la phase précédente (tonnes PAO)</w:t>
            </w:r>
          </w:p>
        </w:tc>
        <w:tc>
          <w:tcPr>
            <w:tcW w:w="488" w:type="pct"/>
            <w:tcBorders>
              <w:top w:val="nil"/>
              <w:left w:val="single" w:sz="4" w:space="0" w:color="auto"/>
              <w:bottom w:val="single" w:sz="4" w:space="0" w:color="auto"/>
              <w:right w:val="single" w:sz="4" w:space="0" w:color="auto"/>
            </w:tcBorders>
            <w:shd w:val="clear" w:color="auto" w:fill="auto"/>
          </w:tcPr>
          <w:p w14:paraId="04C6B331" w14:textId="199EB68A" w:rsidR="003D587E" w:rsidRPr="0042463B" w:rsidRDefault="003D587E" w:rsidP="00A326B2">
            <w:pPr>
              <w:jc w:val="right"/>
              <w:rPr>
                <w:sz w:val="20"/>
                <w:szCs w:val="20"/>
              </w:rPr>
            </w:pPr>
            <w:r w:rsidRPr="0042463B">
              <w:rPr>
                <w:sz w:val="20"/>
                <w:szCs w:val="20"/>
              </w:rPr>
              <w:t>0</w:t>
            </w:r>
            <w:r w:rsidR="0042463B">
              <w:rPr>
                <w:sz w:val="20"/>
                <w:szCs w:val="20"/>
              </w:rPr>
              <w:t>,</w:t>
            </w:r>
            <w:r w:rsidRPr="0042463B">
              <w:rPr>
                <w:sz w:val="20"/>
                <w:szCs w:val="20"/>
              </w:rPr>
              <w:t>44</w:t>
            </w:r>
          </w:p>
        </w:tc>
      </w:tr>
      <w:tr w:rsidR="003D587E" w:rsidRPr="0042463B" w14:paraId="63AC3C97" w14:textId="77777777" w:rsidTr="00A326B2">
        <w:trPr>
          <w:jc w:val="center"/>
        </w:trPr>
        <w:tc>
          <w:tcPr>
            <w:tcW w:w="324" w:type="pct"/>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67BB3B87" w14:textId="77777777" w:rsidR="003D587E" w:rsidRPr="0042463B" w:rsidRDefault="003D587E" w:rsidP="00A326B2">
            <w:pPr>
              <w:jc w:val="left"/>
              <w:rPr>
                <w:sz w:val="20"/>
                <w:szCs w:val="20"/>
                <w:lang w:eastAsia="en-CA"/>
              </w:rPr>
            </w:pPr>
            <w:r w:rsidRPr="0042463B">
              <w:rPr>
                <w:sz w:val="20"/>
                <w:szCs w:val="20"/>
                <w:lang w:eastAsia="en-CA"/>
              </w:rPr>
              <w:t>4.2.3</w:t>
            </w:r>
          </w:p>
        </w:tc>
        <w:tc>
          <w:tcPr>
            <w:tcW w:w="4188" w:type="pct"/>
            <w:gridSpan w:val="6"/>
            <w:tcBorders>
              <w:top w:val="single" w:sz="4" w:space="0" w:color="auto"/>
              <w:left w:val="nil"/>
              <w:bottom w:val="single" w:sz="4" w:space="0" w:color="auto"/>
              <w:right w:val="single" w:sz="4" w:space="0" w:color="000000"/>
            </w:tcBorders>
            <w:shd w:val="clear" w:color="auto" w:fill="auto"/>
            <w:hideMark/>
          </w:tcPr>
          <w:p w14:paraId="14E78F59" w14:textId="77777777" w:rsidR="003D587E" w:rsidRPr="0042463B" w:rsidRDefault="003D587E" w:rsidP="00A326B2">
            <w:pPr>
              <w:jc w:val="left"/>
              <w:rPr>
                <w:sz w:val="18"/>
                <w:szCs w:val="18"/>
              </w:rPr>
            </w:pPr>
            <w:r w:rsidRPr="0042463B">
              <w:rPr>
                <w:sz w:val="18"/>
                <w:szCs w:val="18"/>
              </w:rPr>
              <w:t>Consommation restante admissible de HCFC-141b (tonnes PAO)</w:t>
            </w:r>
          </w:p>
        </w:tc>
        <w:tc>
          <w:tcPr>
            <w:tcW w:w="488" w:type="pct"/>
            <w:tcBorders>
              <w:top w:val="nil"/>
              <w:left w:val="single" w:sz="4" w:space="0" w:color="auto"/>
              <w:bottom w:val="single" w:sz="4" w:space="0" w:color="auto"/>
              <w:right w:val="single" w:sz="4" w:space="0" w:color="auto"/>
            </w:tcBorders>
            <w:shd w:val="clear" w:color="auto" w:fill="auto"/>
          </w:tcPr>
          <w:p w14:paraId="127312FD" w14:textId="77777777" w:rsidR="003D587E" w:rsidRPr="0042463B" w:rsidRDefault="003D587E" w:rsidP="00A326B2">
            <w:pPr>
              <w:jc w:val="right"/>
              <w:rPr>
                <w:sz w:val="20"/>
                <w:szCs w:val="20"/>
              </w:rPr>
            </w:pPr>
            <w:r w:rsidRPr="0042463B">
              <w:rPr>
                <w:sz w:val="20"/>
                <w:szCs w:val="20"/>
              </w:rPr>
              <w:t>0</w:t>
            </w:r>
          </w:p>
        </w:tc>
      </w:tr>
      <w:tr w:rsidR="003D587E" w:rsidRPr="0042463B" w14:paraId="7D676105" w14:textId="77777777" w:rsidTr="00A326B2">
        <w:trPr>
          <w:jc w:val="center"/>
        </w:trPr>
        <w:tc>
          <w:tcPr>
            <w:tcW w:w="324" w:type="pct"/>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619D4E09" w14:textId="77777777" w:rsidR="003D587E" w:rsidRPr="0042463B" w:rsidRDefault="003D587E" w:rsidP="00A326B2">
            <w:pPr>
              <w:jc w:val="left"/>
              <w:rPr>
                <w:sz w:val="20"/>
                <w:szCs w:val="20"/>
                <w:lang w:eastAsia="en-CA"/>
              </w:rPr>
            </w:pPr>
            <w:r w:rsidRPr="0042463B">
              <w:rPr>
                <w:sz w:val="20"/>
                <w:szCs w:val="20"/>
                <w:lang w:eastAsia="en-CA"/>
              </w:rPr>
              <w:t>4.3.1</w:t>
            </w:r>
          </w:p>
        </w:tc>
        <w:tc>
          <w:tcPr>
            <w:tcW w:w="4188" w:type="pct"/>
            <w:gridSpan w:val="6"/>
            <w:tcBorders>
              <w:top w:val="single" w:sz="4" w:space="0" w:color="auto"/>
              <w:left w:val="nil"/>
              <w:bottom w:val="single" w:sz="4" w:space="0" w:color="auto"/>
              <w:right w:val="single" w:sz="4" w:space="0" w:color="000000"/>
            </w:tcBorders>
            <w:shd w:val="clear" w:color="auto" w:fill="auto"/>
            <w:hideMark/>
          </w:tcPr>
          <w:p w14:paraId="6AC79FA9" w14:textId="77777777" w:rsidR="003D587E" w:rsidRPr="0042463B" w:rsidRDefault="003D587E" w:rsidP="00A326B2">
            <w:pPr>
              <w:keepNext/>
              <w:keepLines/>
              <w:widowControl w:val="0"/>
              <w:jc w:val="left"/>
              <w:rPr>
                <w:sz w:val="18"/>
                <w:szCs w:val="18"/>
              </w:rPr>
            </w:pPr>
            <w:r w:rsidRPr="0042463B">
              <w:rPr>
                <w:sz w:val="18"/>
                <w:szCs w:val="18"/>
              </w:rPr>
              <w:t xml:space="preserve">Élimination totale du HCFC-141b contenu dans les polyols </w:t>
            </w:r>
            <w:proofErr w:type="spellStart"/>
            <w:r w:rsidRPr="0042463B">
              <w:rPr>
                <w:sz w:val="18"/>
                <w:szCs w:val="18"/>
              </w:rPr>
              <w:t>prémélangés</w:t>
            </w:r>
            <w:proofErr w:type="spellEnd"/>
            <w:r w:rsidRPr="0042463B">
              <w:rPr>
                <w:sz w:val="18"/>
                <w:szCs w:val="18"/>
              </w:rPr>
              <w:t xml:space="preserve"> importés convenue de réaliser en vertu du présent Accord (tonnes PAO)</w:t>
            </w:r>
          </w:p>
        </w:tc>
        <w:tc>
          <w:tcPr>
            <w:tcW w:w="488" w:type="pct"/>
            <w:tcBorders>
              <w:top w:val="nil"/>
              <w:left w:val="single" w:sz="4" w:space="0" w:color="auto"/>
              <w:bottom w:val="single" w:sz="4" w:space="0" w:color="auto"/>
              <w:right w:val="single" w:sz="4" w:space="0" w:color="auto"/>
            </w:tcBorders>
            <w:shd w:val="clear" w:color="auto" w:fill="auto"/>
          </w:tcPr>
          <w:p w14:paraId="074501EC" w14:textId="7FDEA73E" w:rsidR="003D587E" w:rsidRPr="0042463B" w:rsidRDefault="003D587E" w:rsidP="00A326B2">
            <w:pPr>
              <w:jc w:val="right"/>
              <w:rPr>
                <w:sz w:val="20"/>
                <w:szCs w:val="20"/>
              </w:rPr>
            </w:pPr>
            <w:r w:rsidRPr="0042463B">
              <w:rPr>
                <w:sz w:val="20"/>
                <w:szCs w:val="20"/>
              </w:rPr>
              <w:t>10</w:t>
            </w:r>
            <w:r w:rsidR="0042463B">
              <w:rPr>
                <w:sz w:val="20"/>
                <w:szCs w:val="20"/>
              </w:rPr>
              <w:t>,</w:t>
            </w:r>
            <w:r w:rsidRPr="0042463B">
              <w:rPr>
                <w:sz w:val="20"/>
                <w:szCs w:val="20"/>
              </w:rPr>
              <w:t>11</w:t>
            </w:r>
          </w:p>
        </w:tc>
      </w:tr>
      <w:tr w:rsidR="003D587E" w:rsidRPr="0042463B" w14:paraId="5ED5DCA0" w14:textId="77777777" w:rsidTr="00A326B2">
        <w:trPr>
          <w:jc w:val="center"/>
        </w:trPr>
        <w:tc>
          <w:tcPr>
            <w:tcW w:w="324" w:type="pct"/>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0201F60E" w14:textId="77777777" w:rsidR="003D587E" w:rsidRPr="0042463B" w:rsidRDefault="003D587E" w:rsidP="00A326B2">
            <w:pPr>
              <w:jc w:val="left"/>
              <w:rPr>
                <w:sz w:val="20"/>
                <w:szCs w:val="20"/>
                <w:lang w:eastAsia="en-CA"/>
              </w:rPr>
            </w:pPr>
            <w:r w:rsidRPr="0042463B">
              <w:rPr>
                <w:sz w:val="20"/>
                <w:szCs w:val="20"/>
                <w:lang w:eastAsia="en-CA"/>
              </w:rPr>
              <w:t>4.3.2</w:t>
            </w:r>
          </w:p>
        </w:tc>
        <w:tc>
          <w:tcPr>
            <w:tcW w:w="4188" w:type="pct"/>
            <w:gridSpan w:val="6"/>
            <w:tcBorders>
              <w:top w:val="single" w:sz="4" w:space="0" w:color="auto"/>
              <w:left w:val="nil"/>
              <w:bottom w:val="single" w:sz="4" w:space="0" w:color="auto"/>
              <w:right w:val="single" w:sz="4" w:space="0" w:color="000000"/>
            </w:tcBorders>
            <w:shd w:val="clear" w:color="auto" w:fill="auto"/>
            <w:hideMark/>
          </w:tcPr>
          <w:p w14:paraId="204926AB" w14:textId="77777777" w:rsidR="003D587E" w:rsidRPr="0042463B" w:rsidRDefault="003D587E" w:rsidP="00A326B2">
            <w:pPr>
              <w:jc w:val="left"/>
              <w:rPr>
                <w:sz w:val="18"/>
                <w:szCs w:val="18"/>
              </w:rPr>
            </w:pPr>
            <w:r w:rsidRPr="0042463B">
              <w:rPr>
                <w:sz w:val="18"/>
                <w:szCs w:val="18"/>
              </w:rPr>
              <w:t xml:space="preserve">Élimination du HCFC-141b contenu dans les polyols </w:t>
            </w:r>
            <w:proofErr w:type="spellStart"/>
            <w:r w:rsidRPr="0042463B">
              <w:rPr>
                <w:sz w:val="18"/>
                <w:szCs w:val="18"/>
              </w:rPr>
              <w:t>prémélangés</w:t>
            </w:r>
            <w:proofErr w:type="spellEnd"/>
            <w:r w:rsidRPr="0042463B">
              <w:rPr>
                <w:sz w:val="18"/>
                <w:szCs w:val="18"/>
              </w:rPr>
              <w:t xml:space="preserve"> importés réalisée lors de la phase précédente (tonnes PAO)</w:t>
            </w:r>
          </w:p>
        </w:tc>
        <w:tc>
          <w:tcPr>
            <w:tcW w:w="488" w:type="pct"/>
            <w:tcBorders>
              <w:top w:val="nil"/>
              <w:left w:val="single" w:sz="4" w:space="0" w:color="auto"/>
              <w:bottom w:val="single" w:sz="4" w:space="0" w:color="auto"/>
              <w:right w:val="single" w:sz="4" w:space="0" w:color="auto"/>
            </w:tcBorders>
            <w:shd w:val="clear" w:color="auto" w:fill="auto"/>
          </w:tcPr>
          <w:p w14:paraId="315D2EB6" w14:textId="77777777" w:rsidR="003D587E" w:rsidRPr="0042463B" w:rsidRDefault="003D587E" w:rsidP="00A326B2">
            <w:pPr>
              <w:jc w:val="right"/>
              <w:rPr>
                <w:sz w:val="20"/>
                <w:szCs w:val="20"/>
              </w:rPr>
            </w:pPr>
            <w:r w:rsidRPr="0042463B">
              <w:rPr>
                <w:sz w:val="20"/>
                <w:szCs w:val="20"/>
              </w:rPr>
              <w:t>0</w:t>
            </w:r>
          </w:p>
        </w:tc>
      </w:tr>
      <w:tr w:rsidR="003D587E" w:rsidRPr="0042463B" w14:paraId="15086EA3" w14:textId="77777777" w:rsidTr="00A326B2">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tcMar>
              <w:left w:w="29" w:type="dxa"/>
              <w:right w:w="0" w:type="dxa"/>
            </w:tcMar>
            <w:hideMark/>
          </w:tcPr>
          <w:p w14:paraId="4D7DBE2A" w14:textId="77777777" w:rsidR="003D587E" w:rsidRPr="0042463B" w:rsidRDefault="003D587E" w:rsidP="00A326B2">
            <w:pPr>
              <w:jc w:val="left"/>
              <w:rPr>
                <w:color w:val="000000"/>
                <w:sz w:val="20"/>
                <w:szCs w:val="20"/>
                <w:lang w:eastAsia="en-CA"/>
              </w:rPr>
            </w:pPr>
            <w:r w:rsidRPr="0042463B">
              <w:rPr>
                <w:color w:val="000000"/>
                <w:sz w:val="20"/>
                <w:szCs w:val="20"/>
                <w:lang w:eastAsia="en-CA"/>
              </w:rPr>
              <w:t>4.3.3</w:t>
            </w:r>
          </w:p>
        </w:tc>
        <w:tc>
          <w:tcPr>
            <w:tcW w:w="4188" w:type="pct"/>
            <w:gridSpan w:val="6"/>
            <w:tcBorders>
              <w:top w:val="single" w:sz="4" w:space="0" w:color="auto"/>
              <w:left w:val="single" w:sz="4" w:space="0" w:color="auto"/>
              <w:bottom w:val="single" w:sz="4" w:space="0" w:color="auto"/>
              <w:right w:val="single" w:sz="4" w:space="0" w:color="auto"/>
            </w:tcBorders>
            <w:shd w:val="clear" w:color="auto" w:fill="auto"/>
            <w:hideMark/>
          </w:tcPr>
          <w:p w14:paraId="6BF53B81" w14:textId="77777777" w:rsidR="003D587E" w:rsidRPr="0042463B" w:rsidRDefault="003D587E" w:rsidP="00A326B2">
            <w:pPr>
              <w:jc w:val="left"/>
              <w:rPr>
                <w:color w:val="000000"/>
                <w:sz w:val="18"/>
                <w:szCs w:val="18"/>
              </w:rPr>
            </w:pPr>
            <w:r w:rsidRPr="0042463B">
              <w:rPr>
                <w:color w:val="000000"/>
                <w:sz w:val="18"/>
                <w:szCs w:val="18"/>
              </w:rPr>
              <w:t xml:space="preserve">Consommation restante admissible de HCFC-141b contenu dans les polyols </w:t>
            </w:r>
            <w:proofErr w:type="spellStart"/>
            <w:r w:rsidRPr="0042463B">
              <w:rPr>
                <w:color w:val="000000"/>
                <w:sz w:val="18"/>
                <w:szCs w:val="18"/>
              </w:rPr>
              <w:t>prémélangés</w:t>
            </w:r>
            <w:proofErr w:type="spellEnd"/>
            <w:r w:rsidRPr="0042463B">
              <w:rPr>
                <w:color w:val="000000"/>
                <w:sz w:val="18"/>
                <w:szCs w:val="18"/>
              </w:rPr>
              <w:t xml:space="preserve"> importés (tonnes PAO)</w:t>
            </w:r>
          </w:p>
        </w:tc>
        <w:tc>
          <w:tcPr>
            <w:tcW w:w="488" w:type="pct"/>
            <w:tcBorders>
              <w:top w:val="nil"/>
              <w:left w:val="single" w:sz="4" w:space="0" w:color="auto"/>
              <w:bottom w:val="single" w:sz="4" w:space="0" w:color="auto"/>
              <w:right w:val="single" w:sz="4" w:space="0" w:color="auto"/>
            </w:tcBorders>
            <w:shd w:val="clear" w:color="auto" w:fill="auto"/>
          </w:tcPr>
          <w:p w14:paraId="39F8B36F" w14:textId="77777777" w:rsidR="003D587E" w:rsidRPr="0042463B" w:rsidRDefault="003D587E" w:rsidP="00A326B2">
            <w:pPr>
              <w:jc w:val="right"/>
              <w:rPr>
                <w:color w:val="000000"/>
                <w:sz w:val="20"/>
                <w:szCs w:val="20"/>
              </w:rPr>
            </w:pPr>
            <w:r w:rsidRPr="0042463B">
              <w:rPr>
                <w:color w:val="000000"/>
                <w:sz w:val="20"/>
                <w:szCs w:val="20"/>
              </w:rPr>
              <w:t>0</w:t>
            </w:r>
          </w:p>
        </w:tc>
      </w:tr>
    </w:tbl>
    <w:p w14:paraId="7F89175D" w14:textId="77777777" w:rsidR="003D587E" w:rsidRPr="0042463B" w:rsidRDefault="003D587E" w:rsidP="003D587E">
      <w:pPr>
        <w:pStyle w:val="Heading1"/>
        <w:numPr>
          <w:ilvl w:val="0"/>
          <w:numId w:val="0"/>
        </w:numPr>
        <w:rPr>
          <w:sz w:val="19"/>
          <w:szCs w:val="19"/>
        </w:rPr>
      </w:pPr>
      <w:r w:rsidRPr="0042463B">
        <w:rPr>
          <w:sz w:val="19"/>
          <w:szCs w:val="19"/>
        </w:rPr>
        <w:t xml:space="preserve">*Date d’achèvement de l’étape I selon l’accord de l’étape </w:t>
      </w:r>
      <w:proofErr w:type="gramStart"/>
      <w:r w:rsidRPr="0042463B">
        <w:rPr>
          <w:sz w:val="19"/>
          <w:szCs w:val="19"/>
        </w:rPr>
        <w:t>I:</w:t>
      </w:r>
      <w:proofErr w:type="gramEnd"/>
      <w:r w:rsidRPr="0042463B">
        <w:rPr>
          <w:sz w:val="19"/>
          <w:szCs w:val="19"/>
        </w:rPr>
        <w:t xml:space="preserve"> 31 décembre 2021.</w:t>
      </w:r>
    </w:p>
    <w:p w14:paraId="495234CF" w14:textId="77777777" w:rsidR="003D587E" w:rsidRPr="0042463B" w:rsidRDefault="003D587E" w:rsidP="003D587E">
      <w:pPr>
        <w:keepNext/>
        <w:keepLines/>
        <w:rPr>
          <w:b/>
        </w:rPr>
      </w:pPr>
      <w:r w:rsidRPr="0042463B">
        <w:rPr>
          <w:b/>
        </w:rPr>
        <w:lastRenderedPageBreak/>
        <w:t>APPENDICE 3-A : CALENDRIER DE FINANCEMENT APPROUVÉ</w:t>
      </w:r>
    </w:p>
    <w:p w14:paraId="71C0C3EF" w14:textId="77777777" w:rsidR="003D587E" w:rsidRPr="0042463B" w:rsidRDefault="003D587E" w:rsidP="003D587E">
      <w:pPr>
        <w:keepNext/>
        <w:keepLines/>
      </w:pPr>
    </w:p>
    <w:p w14:paraId="0B29A6C2" w14:textId="77777777" w:rsidR="003D587E" w:rsidRPr="0042463B" w:rsidRDefault="003D587E" w:rsidP="003D587E">
      <w:pPr>
        <w:pStyle w:val="Heading1"/>
        <w:keepNext/>
        <w:keepLines/>
        <w:numPr>
          <w:ilvl w:val="0"/>
          <w:numId w:val="35"/>
        </w:numPr>
      </w:pPr>
      <w:r w:rsidRPr="0042463B">
        <w:t>Le financement des futures tranches sera examiné pour approbation lors de la première réunion de l’année spécifiée à l’Appendice 2-A.</w:t>
      </w:r>
    </w:p>
    <w:p w14:paraId="57EF0890" w14:textId="77777777" w:rsidR="003D587E" w:rsidRPr="0042463B" w:rsidRDefault="003D587E" w:rsidP="003D587E">
      <w:pPr>
        <w:keepNext/>
        <w:keepLines/>
        <w:spacing w:after="240"/>
        <w:rPr>
          <w:b/>
        </w:rPr>
      </w:pPr>
      <w:r w:rsidRPr="0042463B">
        <w:rPr>
          <w:b/>
        </w:rPr>
        <w:t>APPENDICE 4-A : FORMAT DES RAPPORTS ET DES PLANS DE MISE EN ŒUVRE DE LA TRANCHE</w:t>
      </w:r>
    </w:p>
    <w:p w14:paraId="08285CF9" w14:textId="77777777" w:rsidR="003D587E" w:rsidRPr="0042463B" w:rsidRDefault="003D587E" w:rsidP="00690A8B">
      <w:pPr>
        <w:pStyle w:val="Heading1"/>
        <w:numPr>
          <w:ilvl w:val="0"/>
          <w:numId w:val="48"/>
        </w:numPr>
      </w:pPr>
      <w:r w:rsidRPr="0042463B">
        <w:t>La présentation du plan et du rapport de mise en œuvre de la tranche pour chaque demande de tranche comprendra cinq parties :</w:t>
      </w:r>
    </w:p>
    <w:p w14:paraId="0F837C13" w14:textId="77777777" w:rsidR="003D587E" w:rsidRPr="0042463B" w:rsidRDefault="003D587E" w:rsidP="003D587E">
      <w:pPr>
        <w:pStyle w:val="Heading2"/>
        <w:numPr>
          <w:ilvl w:val="1"/>
          <w:numId w:val="1"/>
        </w:numPr>
      </w:pPr>
      <w:r w:rsidRPr="0042463B">
        <w:t xml:space="preserve">Un rapport narratif, avec des données fournies par tranche, décrivant les progrès réalisés depuis le précédent rapport, reflétant la situation du pays en matière d’élimination des Substances, la façon dont les différentes activités y contribuent et comment elles sont reliées entre elles. Le rapport inclura la quantité de SAO éliminée en tant que résultat direct de la mise en œuvre des activités, par substance, et la technologie de remplacement utilisée et l’introduction correspondante des produits de remplacement, afin de permettre au Secrétariat de fournir au Comité exécutif les informations se rapportant aux changements intervenus dans les émissions importantes sur le plan climatique. Ce rapport doit aussi mettre en lumière les réussites, les expériences et les défis correspondant aux différentes activités incluses dans le plan, reflétant tout changement de situation intervenu dans le pays et fournissant d’autres informations utiles. Le rapport doit également éclairer et justifier tout changement par rapport au plan de la tranche soumis précédemment, tels que des retards, l’utilisation de la marge de manœuvre pour la réaffectation des fonds durant la mise en œuvre d’une tranche, tel qu’indiqué au paragraphe 7 du présent Accord, ou autres changements ; </w:t>
      </w:r>
    </w:p>
    <w:p w14:paraId="423BA08C" w14:textId="77777777" w:rsidR="003D587E" w:rsidRPr="0042463B" w:rsidRDefault="003D587E" w:rsidP="003D587E">
      <w:pPr>
        <w:pStyle w:val="Heading2"/>
        <w:numPr>
          <w:ilvl w:val="1"/>
          <w:numId w:val="1"/>
        </w:numPr>
      </w:pPr>
      <w:r w:rsidRPr="0042463B">
        <w:t>Un rapport de vérification indépendant des résultats du plan et de la consommation des substances mentionnées à l’Appendice 1-A, conformément au paragraphe 5 b) de l’Accord. À moins que le Comité exécutif n’en ait décidé autrement, cette vérification doit accompagner chaque demande de tranche et fournir une vérification de la consommation pour toutes les années concernées spécifiées au paragraphe 5 a) de l’Accord pour lesquelles un rapport de vérification n’a pas encore été accepté par le Comité ;</w:t>
      </w:r>
    </w:p>
    <w:p w14:paraId="048AE4D1" w14:textId="77777777" w:rsidR="003D587E" w:rsidRPr="0042463B" w:rsidRDefault="003D587E" w:rsidP="003D587E">
      <w:pPr>
        <w:pStyle w:val="Heading2"/>
        <w:numPr>
          <w:ilvl w:val="1"/>
          <w:numId w:val="1"/>
        </w:numPr>
      </w:pPr>
      <w:r w:rsidRPr="0042463B">
        <w:t xml:space="preserve">Une description écrite des activités à entreprendre au cours de la période visée par la demande de tranche, soulignant les étapes de la mise en œuvre, la date de leur achèvement et leur interdépendance et tenant compte des expériences acquises et des progrès réalisés dans la mise en œuvre des tranches précédentes ; les données du plan seront fournies par année civile. La description doit aussi faire mention du plan d’ensemble et des progrès réalisés ainsi que des changements éventuels prévus au plan d’ensemble. Elle doit également spécifier et expliquer toutes révisions apportées au plan d’ensemble ayant été jugées nécessaires. Cette description des activités futures peut être soumise en tant que partie du même document que le rapport narratif mentionné au paragraphe b) ci-dessus ; </w:t>
      </w:r>
    </w:p>
    <w:p w14:paraId="5F78E41D" w14:textId="77777777" w:rsidR="003D587E" w:rsidRPr="0042463B" w:rsidRDefault="003D587E" w:rsidP="003D587E">
      <w:pPr>
        <w:pStyle w:val="Heading2"/>
        <w:numPr>
          <w:ilvl w:val="1"/>
          <w:numId w:val="1"/>
        </w:numPr>
      </w:pPr>
      <w:r w:rsidRPr="0042463B">
        <w:t xml:space="preserve">Une série d’informations quantitatives pour tous les rapports et les plans annuels de mise en œuvre de la tranche présentées dans une base de données communiquées en ligne ; et  </w:t>
      </w:r>
    </w:p>
    <w:p w14:paraId="3BD42399" w14:textId="77777777" w:rsidR="003D587E" w:rsidRPr="0042463B" w:rsidRDefault="003D587E" w:rsidP="003D587E">
      <w:pPr>
        <w:pStyle w:val="Heading2"/>
        <w:numPr>
          <w:ilvl w:val="1"/>
          <w:numId w:val="1"/>
        </w:numPr>
      </w:pPr>
      <w:r w:rsidRPr="0042463B">
        <w:t>Une synthèse comprenant environ cinq paragraphes, résumant les informations des paragraphes 1 a) à 1 d) ci-dessus.</w:t>
      </w:r>
    </w:p>
    <w:p w14:paraId="5466701C" w14:textId="77777777" w:rsidR="003D587E" w:rsidRPr="0042463B" w:rsidRDefault="003D587E" w:rsidP="003D587E">
      <w:pPr>
        <w:pStyle w:val="Heading1"/>
        <w:keepNext/>
        <w:keepLines/>
        <w:numPr>
          <w:ilvl w:val="0"/>
          <w:numId w:val="1"/>
        </w:numPr>
      </w:pPr>
      <w:r w:rsidRPr="0042463B">
        <w:lastRenderedPageBreak/>
        <w:t>Si deux phases du PGEH sont mises en œuvre en parallèle au cours d’une année donnée, les considérations ci-dessous doivent entrer en ligne de compte dans la préparation du rapport et du plan de mise en œuvre :</w:t>
      </w:r>
    </w:p>
    <w:p w14:paraId="78E7BF9B" w14:textId="77777777" w:rsidR="003D587E" w:rsidRPr="0042463B" w:rsidRDefault="003D587E" w:rsidP="003D587E">
      <w:pPr>
        <w:pStyle w:val="Heading2"/>
        <w:keepNext/>
        <w:keepLines/>
        <w:numPr>
          <w:ilvl w:val="1"/>
          <w:numId w:val="1"/>
        </w:numPr>
      </w:pPr>
      <w:r w:rsidRPr="0042463B">
        <w:t>Les rapports et plans de mise en œuvre de la tranche dont il est question dans le présent Accord ne porteront que sur les activités et les sommes prévues dans cet Accord ; et</w:t>
      </w:r>
    </w:p>
    <w:p w14:paraId="6DAE8A8D" w14:textId="77777777" w:rsidR="003D587E" w:rsidRPr="0042463B" w:rsidRDefault="003D587E" w:rsidP="003D587E">
      <w:pPr>
        <w:pStyle w:val="Heading2"/>
        <w:numPr>
          <w:ilvl w:val="1"/>
          <w:numId w:val="1"/>
        </w:numPr>
      </w:pPr>
      <w:r w:rsidRPr="0042463B">
        <w:t>Si les phases mises en œuvre présentent des objectifs de consommation de HCFC différents pour une même année, selon l’Appendice 2-A de chaque accord, l’objectif de consommation de HCFC le plus bas servira de référence aux fins de conformité à ces accords et de base pour les vérifications indépendantes.</w:t>
      </w:r>
    </w:p>
    <w:p w14:paraId="5C063D21" w14:textId="77777777" w:rsidR="003D587E" w:rsidRPr="0042463B" w:rsidRDefault="003D587E" w:rsidP="003D587E">
      <w:pPr>
        <w:spacing w:after="240"/>
        <w:rPr>
          <w:b/>
        </w:rPr>
      </w:pPr>
      <w:r w:rsidRPr="0042463B">
        <w:rPr>
          <w:b/>
        </w:rPr>
        <w:t xml:space="preserve">APPENDICE 5-A : INSTITUTIONS DE SUIVI ET LEUR RÔLE </w:t>
      </w:r>
    </w:p>
    <w:p w14:paraId="76640934" w14:textId="77777777" w:rsidR="003D587E" w:rsidRPr="0042463B" w:rsidRDefault="003D587E" w:rsidP="008E3EB7">
      <w:pPr>
        <w:pStyle w:val="Heading1"/>
        <w:numPr>
          <w:ilvl w:val="0"/>
          <w:numId w:val="45"/>
        </w:numPr>
        <w:tabs>
          <w:tab w:val="clear" w:pos="0"/>
          <w:tab w:val="num" w:pos="709"/>
          <w:tab w:val="left" w:pos="851"/>
        </w:tabs>
      </w:pPr>
      <w:r w:rsidRPr="0042463B">
        <w:t>L’Unité nationale de l’ozone (UNO) est l’unité administrative centrale établie au sein du ministère de l’Environnement et est responsable de la coordination des agences gouvernementales en ce qui concerne la protection de la couche d’ozone et la facilitation de l’élimination des SAO, et de la mise en œuvre des activités au titre du Plan.</w:t>
      </w:r>
    </w:p>
    <w:p w14:paraId="76C21782" w14:textId="77777777" w:rsidR="003D587E" w:rsidRPr="0042463B" w:rsidRDefault="003D587E" w:rsidP="003D587E">
      <w:pPr>
        <w:pStyle w:val="Heading1"/>
        <w:numPr>
          <w:ilvl w:val="0"/>
          <w:numId w:val="1"/>
        </w:numPr>
      </w:pPr>
      <w:r w:rsidRPr="0042463B">
        <w:t xml:space="preserve">L’UNO gèrera la mise en œuvre des activités au titre du Plan en coopération avec l’agence d’exécution principale. Un vérificateur indépendant et certifié effectuera un audit et vérifiera la consommation de HCFC communiquée par le gouvernement au titre de l’Article 7 du Protocole de Montréal et par les rapports du programme de pays. </w:t>
      </w:r>
    </w:p>
    <w:p w14:paraId="0F0CCDBE" w14:textId="77777777" w:rsidR="003D587E" w:rsidRPr="0042463B" w:rsidRDefault="003D587E" w:rsidP="003D587E">
      <w:pPr>
        <w:pStyle w:val="Heading1"/>
        <w:numPr>
          <w:ilvl w:val="0"/>
          <w:numId w:val="1"/>
        </w:numPr>
      </w:pPr>
      <w:r w:rsidRPr="0042463B">
        <w:t>L’Unité de gestion de projet suivra la mise en œuvre des activités. Voici le détail des responsabilités :</w:t>
      </w:r>
    </w:p>
    <w:p w14:paraId="793D9AB5" w14:textId="77777777" w:rsidR="003D587E" w:rsidRPr="0042463B" w:rsidRDefault="003D587E" w:rsidP="003D587E">
      <w:pPr>
        <w:pStyle w:val="Heading2"/>
        <w:numPr>
          <w:ilvl w:val="1"/>
          <w:numId w:val="1"/>
        </w:numPr>
      </w:pPr>
      <w:proofErr w:type="gramStart"/>
      <w:r w:rsidRPr="0042463B">
        <w:t>mise</w:t>
      </w:r>
      <w:proofErr w:type="gramEnd"/>
      <w:r w:rsidRPr="0042463B">
        <w:t xml:space="preserve"> en œuvre quotidienne des projets d'investissement (le cas échéant), des programmes de formation, de l’assistance technique et des activités de sensibilisation comprises dans le Plan approuvé ;</w:t>
      </w:r>
    </w:p>
    <w:p w14:paraId="4B6503CB" w14:textId="77777777" w:rsidR="003D587E" w:rsidRPr="0042463B" w:rsidRDefault="003D587E" w:rsidP="003D587E">
      <w:pPr>
        <w:pStyle w:val="Heading2"/>
        <w:widowControl/>
        <w:numPr>
          <w:ilvl w:val="1"/>
          <w:numId w:val="1"/>
        </w:numPr>
      </w:pPr>
      <w:proofErr w:type="gramStart"/>
      <w:r w:rsidRPr="0042463B">
        <w:t>assistance</w:t>
      </w:r>
      <w:proofErr w:type="gramEnd"/>
      <w:r w:rsidRPr="0042463B">
        <w:t xml:space="preserve"> à l’UNO et au vérificateur indépendant pendant le processus de vérification (par exemple, réunions avec les parties prenantes concernées, coordination de la collecte des données et contributions sur les conclusions après examen) ;</w:t>
      </w:r>
    </w:p>
    <w:p w14:paraId="7D4F6E44" w14:textId="77777777" w:rsidR="003D587E" w:rsidRPr="0042463B" w:rsidRDefault="003D587E" w:rsidP="003D587E">
      <w:pPr>
        <w:pStyle w:val="Heading2"/>
        <w:numPr>
          <w:ilvl w:val="1"/>
          <w:numId w:val="1"/>
        </w:numPr>
      </w:pPr>
      <w:proofErr w:type="gramStart"/>
      <w:r w:rsidRPr="0042463B">
        <w:t>sous</w:t>
      </w:r>
      <w:proofErr w:type="gramEnd"/>
      <w:r w:rsidRPr="0042463B">
        <w:t xml:space="preserve"> l’égide de l’UNO, coordination des parties prenantes non gouvernementales ou de certains services gouvernementaux, associations industrielles, instituts de recherche, bureaux de normalisation, instituts de formation et bureaux des statistiques pour la mise en œuvre des activités au titre du Plan ; et</w:t>
      </w:r>
    </w:p>
    <w:p w14:paraId="6B4619A4" w14:textId="77777777" w:rsidR="003D587E" w:rsidRPr="0042463B" w:rsidRDefault="003D587E" w:rsidP="003D587E">
      <w:pPr>
        <w:pStyle w:val="Heading2"/>
        <w:numPr>
          <w:ilvl w:val="1"/>
          <w:numId w:val="1"/>
        </w:numPr>
      </w:pPr>
      <w:proofErr w:type="gramStart"/>
      <w:r w:rsidRPr="0042463B">
        <w:t>assistance</w:t>
      </w:r>
      <w:proofErr w:type="gramEnd"/>
      <w:r w:rsidRPr="0042463B">
        <w:t xml:space="preserve"> à l’UNO pour la collecte, l’analyse et la communication des données, y compris la collecte et l’analyse des données de consommation relatives aux substances contrôlées associées à la mise en œuvre du Plan.</w:t>
      </w:r>
    </w:p>
    <w:p w14:paraId="7B529AFE" w14:textId="77777777" w:rsidR="003D587E" w:rsidRPr="0042463B" w:rsidRDefault="003D587E" w:rsidP="003D587E">
      <w:pPr>
        <w:rPr>
          <w:b/>
        </w:rPr>
      </w:pPr>
      <w:r w:rsidRPr="0042463B">
        <w:rPr>
          <w:b/>
        </w:rPr>
        <w:t xml:space="preserve">APPENDICE 6-A : RÔLE DE L’AGENCE D’EXÉCUTION PRINCIPALE </w:t>
      </w:r>
    </w:p>
    <w:p w14:paraId="2B10EA33" w14:textId="77777777" w:rsidR="003D587E" w:rsidRPr="0042463B" w:rsidRDefault="003D587E" w:rsidP="003D587E"/>
    <w:p w14:paraId="42F57DF8" w14:textId="77777777" w:rsidR="003D587E" w:rsidRPr="0042463B" w:rsidRDefault="003D587E" w:rsidP="00690A8B">
      <w:pPr>
        <w:pStyle w:val="Heading1"/>
        <w:numPr>
          <w:ilvl w:val="0"/>
          <w:numId w:val="46"/>
        </w:numPr>
      </w:pPr>
      <w:r w:rsidRPr="0042463B">
        <w:t xml:space="preserve">L’Agence principale sera responsable </w:t>
      </w:r>
      <w:r w:rsidRPr="0042463B">
        <w:rPr>
          <w:color w:val="000000"/>
        </w:rPr>
        <w:t>d’une série d’activités, incluant au moins les activités suivantes :</w:t>
      </w:r>
    </w:p>
    <w:p w14:paraId="5EEE6BF5" w14:textId="77777777" w:rsidR="003D587E" w:rsidRPr="0042463B" w:rsidRDefault="003D587E" w:rsidP="003D587E">
      <w:pPr>
        <w:pStyle w:val="Heading2"/>
        <w:numPr>
          <w:ilvl w:val="1"/>
          <w:numId w:val="1"/>
        </w:numPr>
      </w:pPr>
      <w:r w:rsidRPr="0042463B">
        <w:t>S’assurer du rendement et de la vérification financière conformément au présent Accord et à ses procédures internes et exigences spécifiques définies dans le PGEH du Pays ;</w:t>
      </w:r>
    </w:p>
    <w:p w14:paraId="7BB0802D" w14:textId="77777777" w:rsidR="003D587E" w:rsidRPr="0042463B" w:rsidRDefault="003D587E" w:rsidP="003D587E">
      <w:pPr>
        <w:pStyle w:val="Heading2"/>
        <w:numPr>
          <w:ilvl w:val="1"/>
          <w:numId w:val="1"/>
        </w:numPr>
      </w:pPr>
      <w:r w:rsidRPr="0042463B">
        <w:t>Aider le Pays à préparer les plans de mise en œuvre de la tranche et les rapports ultérieurs conformément à l’Appendice 4-A ;</w:t>
      </w:r>
    </w:p>
    <w:p w14:paraId="3D3226F3" w14:textId="77777777" w:rsidR="003D587E" w:rsidRPr="0042463B" w:rsidRDefault="003D587E" w:rsidP="003D587E">
      <w:pPr>
        <w:pStyle w:val="Heading2"/>
        <w:numPr>
          <w:ilvl w:val="1"/>
          <w:numId w:val="1"/>
        </w:numPr>
      </w:pPr>
      <w:r w:rsidRPr="0042463B">
        <w:lastRenderedPageBreak/>
        <w:t xml:space="preserve">Remettre au Comité exécutif un rapport de vérification indépendante confirmant que les objectifs ont été atteints et que les activités annuelles correspondantes ont été réalisées conformément au plan de mise en œuvre de la tranche, en accord avec l’Appendice 4-A ; </w:t>
      </w:r>
    </w:p>
    <w:p w14:paraId="480D01A2" w14:textId="77777777" w:rsidR="003D587E" w:rsidRPr="0042463B" w:rsidRDefault="003D587E" w:rsidP="003D587E">
      <w:pPr>
        <w:pStyle w:val="Heading2"/>
        <w:numPr>
          <w:ilvl w:val="1"/>
          <w:numId w:val="1"/>
        </w:numPr>
      </w:pPr>
      <w:r w:rsidRPr="0042463B">
        <w:t>Veiller à ce que les expériences et progrès transparaissent dans les mises à jour du plan d’ensemble et les plans annuels de mise en œuvre de la tranche future, conformément aux paragraphes 1 c) et 1 d) de l’Appendice 4-A ;</w:t>
      </w:r>
    </w:p>
    <w:p w14:paraId="36047706" w14:textId="77777777" w:rsidR="003D587E" w:rsidRPr="0042463B" w:rsidRDefault="003D587E" w:rsidP="003D587E">
      <w:pPr>
        <w:pStyle w:val="Heading2"/>
        <w:keepNext/>
        <w:keepLines/>
        <w:numPr>
          <w:ilvl w:val="1"/>
          <w:numId w:val="1"/>
        </w:numPr>
      </w:pPr>
      <w:r w:rsidRPr="0042463B">
        <w:t>Satisfaire aux exigences de rapport pour les rapports et plans de mise en œuvre de la tranche et le plan d’ensemble selon les spécifications de l’Appendice 4-A aux fins de présentation au Comité exécutif, ce qui doit comprendre les activités entreprises par l’Agence de coopération ;</w:t>
      </w:r>
    </w:p>
    <w:p w14:paraId="6456EC7B" w14:textId="77777777" w:rsidR="003D587E" w:rsidRPr="0042463B" w:rsidRDefault="003D587E" w:rsidP="003D587E">
      <w:pPr>
        <w:pStyle w:val="Heading2"/>
        <w:numPr>
          <w:ilvl w:val="1"/>
          <w:numId w:val="1"/>
        </w:numPr>
      </w:pPr>
      <w:r w:rsidRPr="0042463B">
        <w:t>Dans l’éventualité où la dernière tranche de financement est demandée une année ou plus avant la dernière année pour laquelle un objectif de consommation a été établi, les rapports de mise en œuvre de la tranche annuelle et, s’il y a lieu, les rapports de vérification du stage actuel du Plan doivent être soumis jusqu’à ce que toutes les activités prévues aient été menées à terme et que les objectifs de consommation aient été atteints ;</w:t>
      </w:r>
    </w:p>
    <w:p w14:paraId="75BB1993" w14:textId="77777777" w:rsidR="003D587E" w:rsidRPr="0042463B" w:rsidRDefault="003D587E" w:rsidP="003D587E">
      <w:pPr>
        <w:pStyle w:val="Heading2"/>
        <w:numPr>
          <w:ilvl w:val="1"/>
          <w:numId w:val="1"/>
        </w:numPr>
      </w:pPr>
      <w:r w:rsidRPr="0042463B">
        <w:t>Veiller à ce que des experts techniques indépendants et qualifiés réalisent les examens techniques ;</w:t>
      </w:r>
    </w:p>
    <w:p w14:paraId="25D11603" w14:textId="77777777" w:rsidR="003D587E" w:rsidRPr="0042463B" w:rsidRDefault="003D587E" w:rsidP="003D587E">
      <w:pPr>
        <w:pStyle w:val="Heading2"/>
        <w:numPr>
          <w:ilvl w:val="1"/>
          <w:numId w:val="1"/>
        </w:numPr>
      </w:pPr>
      <w:r w:rsidRPr="0042463B">
        <w:t>Exécuter les missions de supervision requises ;</w:t>
      </w:r>
    </w:p>
    <w:p w14:paraId="6146436F" w14:textId="77777777" w:rsidR="003D587E" w:rsidRPr="0042463B" w:rsidRDefault="003D587E" w:rsidP="003D587E">
      <w:pPr>
        <w:pStyle w:val="Heading2"/>
        <w:numPr>
          <w:ilvl w:val="1"/>
          <w:numId w:val="1"/>
        </w:numPr>
      </w:pPr>
      <w:r w:rsidRPr="0042463B">
        <w:t>S’assurer qu’il existe un mécanisme opérationnel permettant la mise en œuvre efficace et transparente du plan de mise en œuvre de la tranche et la communication de données exactes ;</w:t>
      </w:r>
    </w:p>
    <w:p w14:paraId="5F95EB10" w14:textId="77777777" w:rsidR="003D587E" w:rsidRPr="0042463B" w:rsidRDefault="003D587E" w:rsidP="003D587E">
      <w:pPr>
        <w:pStyle w:val="Heading2"/>
        <w:keepNext/>
        <w:keepLines/>
        <w:numPr>
          <w:ilvl w:val="1"/>
          <w:numId w:val="1"/>
        </w:numPr>
      </w:pPr>
      <w:r w:rsidRPr="0042463B">
        <w:t>Coordonner les activités de l’Agence de coopération et veiller au déroulement des activités dans l’ordre établi ;</w:t>
      </w:r>
    </w:p>
    <w:p w14:paraId="1567BAAD" w14:textId="77777777" w:rsidR="003D587E" w:rsidRPr="0042463B" w:rsidRDefault="003D587E" w:rsidP="003D587E">
      <w:pPr>
        <w:pStyle w:val="Heading2"/>
        <w:numPr>
          <w:ilvl w:val="1"/>
          <w:numId w:val="1"/>
        </w:numPr>
      </w:pPr>
      <w:r w:rsidRPr="0042463B">
        <w:t xml:space="preserve">En cas de réduction du soutien financier pour non-conformité au paragraphe 11 de l’Accord, déterminer, en consultation avec le Pays et l’Agence de coopération, la répartition des réductions aux différents postes budgétaires et au financement de l’Agence principale et de chacune des Agences de coopération ; </w:t>
      </w:r>
    </w:p>
    <w:p w14:paraId="47714DF9" w14:textId="77777777" w:rsidR="003D587E" w:rsidRPr="0042463B" w:rsidRDefault="003D587E" w:rsidP="003D587E">
      <w:pPr>
        <w:pStyle w:val="Heading2"/>
        <w:numPr>
          <w:ilvl w:val="1"/>
          <w:numId w:val="1"/>
        </w:numPr>
      </w:pPr>
      <w:r w:rsidRPr="0042463B">
        <w:t xml:space="preserve">Veiller à ce que les versements effectués au Pays reposent sur l’utilisation des indicateurs ; </w:t>
      </w:r>
    </w:p>
    <w:p w14:paraId="60C91C1A" w14:textId="77777777" w:rsidR="003D587E" w:rsidRPr="0042463B" w:rsidRDefault="003D587E" w:rsidP="003D587E">
      <w:pPr>
        <w:pStyle w:val="Heading2"/>
        <w:numPr>
          <w:ilvl w:val="1"/>
          <w:numId w:val="1"/>
        </w:numPr>
      </w:pPr>
      <w:r w:rsidRPr="0042463B">
        <w:t>Fournir si nécessaire une assistance en matière de politique, de gestion et de soutien technique ;</w:t>
      </w:r>
    </w:p>
    <w:p w14:paraId="1E47F8B3" w14:textId="77777777" w:rsidR="003D587E" w:rsidRPr="0042463B" w:rsidRDefault="003D587E" w:rsidP="003D587E">
      <w:pPr>
        <w:pStyle w:val="Heading2"/>
        <w:numPr>
          <w:ilvl w:val="1"/>
          <w:numId w:val="1"/>
        </w:numPr>
      </w:pPr>
      <w:r w:rsidRPr="0042463B">
        <w:t>Faire consensus avec l’Agence de coopération concernant toute mesure de planification, de coordination et de remise de rapports requise afin de faciliter la mise en œuvre du Plan ; et</w:t>
      </w:r>
    </w:p>
    <w:p w14:paraId="4A1CAA0B" w14:textId="77777777" w:rsidR="003D587E" w:rsidRPr="0042463B" w:rsidRDefault="003D587E" w:rsidP="003D587E">
      <w:pPr>
        <w:pStyle w:val="Heading2"/>
        <w:numPr>
          <w:ilvl w:val="1"/>
          <w:numId w:val="1"/>
        </w:numPr>
      </w:pPr>
      <w:r w:rsidRPr="0042463B">
        <w:t>Décaisser les sommes au pays/aux entreprises participants dans les délais nécessaires pour achever les activités reliées au projet.</w:t>
      </w:r>
    </w:p>
    <w:p w14:paraId="48B4389E" w14:textId="77777777" w:rsidR="003D587E" w:rsidRPr="0042463B" w:rsidRDefault="003D587E" w:rsidP="003D587E">
      <w:pPr>
        <w:pStyle w:val="Heading1"/>
        <w:numPr>
          <w:ilvl w:val="0"/>
          <w:numId w:val="1"/>
        </w:numPr>
      </w:pPr>
      <w:r w:rsidRPr="0042463B">
        <w:t>Après avoir consulté le Pays et pris en considération les points de vue exprimés, l’Agence principale sélectionnera et chargera une organisation indépendante de réaliser la vérification des résultats du plan de gestion de l’élimination des HCFC et de la consommation des substances mentionnées à l’Appendice 1-A, conformément au paragraphe 5 b) de l’Accord et au paragraphe 1 b) de l’Appendice 4</w:t>
      </w:r>
      <w:r w:rsidRPr="0042463B">
        <w:noBreakHyphen/>
        <w:t>A.</w:t>
      </w:r>
    </w:p>
    <w:p w14:paraId="44ECF052" w14:textId="77777777" w:rsidR="003D587E" w:rsidRPr="0042463B" w:rsidRDefault="003D587E" w:rsidP="003D587E">
      <w:pPr>
        <w:keepNext/>
        <w:keepLines/>
        <w:widowControl w:val="0"/>
        <w:spacing w:after="240"/>
        <w:rPr>
          <w:b/>
        </w:rPr>
      </w:pPr>
      <w:r w:rsidRPr="0042463B">
        <w:rPr>
          <w:b/>
        </w:rPr>
        <w:lastRenderedPageBreak/>
        <w:t>APPENDICE 6-B : RÔLE DES AGENCES DE COOPÉRATION</w:t>
      </w:r>
    </w:p>
    <w:p w14:paraId="50CC5B58" w14:textId="77777777" w:rsidR="003D587E" w:rsidRPr="0042463B" w:rsidRDefault="003D587E" w:rsidP="00690A8B">
      <w:pPr>
        <w:pStyle w:val="Heading1"/>
        <w:keepNext/>
        <w:keepLines/>
        <w:widowControl w:val="0"/>
        <w:numPr>
          <w:ilvl w:val="0"/>
          <w:numId w:val="47"/>
        </w:numPr>
      </w:pPr>
      <w:r w:rsidRPr="0042463B">
        <w:t>L’Agence de coopération sera responsable de diverses activités précisées dans le plan général et comprenant au moins les activités suivantes :</w:t>
      </w:r>
    </w:p>
    <w:p w14:paraId="4AD92BD7" w14:textId="77777777" w:rsidR="003D587E" w:rsidRPr="0042463B" w:rsidRDefault="003D587E" w:rsidP="003D587E">
      <w:pPr>
        <w:pStyle w:val="ListParagraph"/>
        <w:numPr>
          <w:ilvl w:val="0"/>
          <w:numId w:val="43"/>
        </w:numPr>
        <w:spacing w:after="240"/>
        <w:ind w:left="1440" w:hanging="720"/>
      </w:pPr>
      <w:r w:rsidRPr="0042463B">
        <w:t>Offrir de l’assistance pour l’élaboration de politiques, au besoin ;</w:t>
      </w:r>
    </w:p>
    <w:p w14:paraId="0873AE07" w14:textId="77777777" w:rsidR="003D587E" w:rsidRPr="0042463B" w:rsidRDefault="003D587E" w:rsidP="003D587E">
      <w:pPr>
        <w:pStyle w:val="Heading4"/>
        <w:keepNext w:val="0"/>
        <w:numPr>
          <w:ilvl w:val="0"/>
          <w:numId w:val="43"/>
        </w:numPr>
        <w:spacing w:before="0" w:after="240"/>
        <w:ind w:left="1440" w:hanging="720"/>
      </w:pPr>
      <w:r w:rsidRPr="0042463B">
        <w:t xml:space="preserve">Aider le Pays à mettre en œuvre et à évaluer les activités financées par l’Agence de coopération et consulter l’Agence principale afin de coordonner le déroulement des activités dans l’ordre ; </w:t>
      </w:r>
    </w:p>
    <w:p w14:paraId="58E7EAA1" w14:textId="77777777" w:rsidR="003D587E" w:rsidRPr="0042463B" w:rsidRDefault="003D587E" w:rsidP="003D587E">
      <w:pPr>
        <w:pStyle w:val="Heading4"/>
        <w:keepNext w:val="0"/>
        <w:numPr>
          <w:ilvl w:val="0"/>
          <w:numId w:val="43"/>
        </w:numPr>
        <w:spacing w:before="0" w:after="240"/>
        <w:ind w:left="1440" w:hanging="720"/>
      </w:pPr>
      <w:r w:rsidRPr="0042463B">
        <w:t>Faire rapport à l’Agence principale sur ces activités, afin de les inclure dans les rapports globaux, conformément à l’Appendice 4-A ; et</w:t>
      </w:r>
    </w:p>
    <w:p w14:paraId="54210325" w14:textId="77777777" w:rsidR="003D587E" w:rsidRPr="0042463B" w:rsidRDefault="003D587E" w:rsidP="003D587E">
      <w:pPr>
        <w:pStyle w:val="Heading4"/>
        <w:keepNext w:val="0"/>
        <w:numPr>
          <w:ilvl w:val="0"/>
          <w:numId w:val="43"/>
        </w:numPr>
        <w:spacing w:before="0" w:after="240"/>
        <w:ind w:left="1440" w:hanging="720"/>
      </w:pPr>
      <w:r w:rsidRPr="0042463B">
        <w:t>Faire consensus avec l’Agence principale concernant toute mesure de planification, de coordination et de remise de rapports requise afin de faciliter la mise en œuvre du Plan.</w:t>
      </w:r>
    </w:p>
    <w:p w14:paraId="1182886C" w14:textId="77777777" w:rsidR="003D587E" w:rsidRPr="0042463B" w:rsidRDefault="003D587E" w:rsidP="003D587E"/>
    <w:p w14:paraId="57B852E0" w14:textId="77777777" w:rsidR="003D587E" w:rsidRPr="0042463B" w:rsidRDefault="003D587E" w:rsidP="003D587E">
      <w:pPr>
        <w:rPr>
          <w:b/>
        </w:rPr>
      </w:pPr>
      <w:r w:rsidRPr="0042463B">
        <w:rPr>
          <w:b/>
        </w:rPr>
        <w:t>APPENDICE 7-A : RÉDUCTIONS DU FINANCEMENT EN CAS DE NON</w:t>
      </w:r>
      <w:r w:rsidRPr="0042463B">
        <w:rPr>
          <w:b/>
        </w:rPr>
        <w:noBreakHyphen/>
        <w:t>CONFORMITÉ</w:t>
      </w:r>
    </w:p>
    <w:p w14:paraId="55504BB1" w14:textId="77777777" w:rsidR="003D587E" w:rsidRPr="0042463B" w:rsidRDefault="003D587E" w:rsidP="003D587E"/>
    <w:p w14:paraId="0474A9DC" w14:textId="77777777" w:rsidR="003D587E" w:rsidRPr="0042463B" w:rsidRDefault="003D587E" w:rsidP="003D587E">
      <w:pPr>
        <w:pStyle w:val="Heading1"/>
        <w:numPr>
          <w:ilvl w:val="0"/>
          <w:numId w:val="44"/>
        </w:numPr>
      </w:pPr>
      <w:r w:rsidRPr="0042463B">
        <w:t>Conformément au paragraphe 11 de l’Accord, il pourra être déduit du montant du financement accordé un montant de 32.27 $US par kg PAO de consommation dépassant la quantité précisée à la ligne 1.2 de l’Appendice 2-A pour chaque année de non-conformité à l’objectif précisé à la ligne 1.2 de l’Appendice 2-A, étant entendu que la réduction maximum du financement ne dépassera pas le niveau de financement de la tranche demandé. Des mesures supplémentaires pourront s’appliquer si la situation de non-conformité atteint deux années consécutives.</w:t>
      </w:r>
    </w:p>
    <w:p w14:paraId="0AA50743" w14:textId="77777777" w:rsidR="003D587E" w:rsidRPr="0042463B" w:rsidRDefault="003D587E" w:rsidP="003D587E">
      <w:pPr>
        <w:pStyle w:val="Heading1"/>
        <w:numPr>
          <w:ilvl w:val="0"/>
          <w:numId w:val="1"/>
        </w:numPr>
      </w:pPr>
      <w:r w:rsidRPr="0042463B">
        <w:t>Si la pénalité doit être appliquée pour une année pendant laquelle deux Accords sont en vigueur (deux phases du PGEH mises en œuvre en parallèle) avec différents niveaux de pénalité, l’application de la pénalité sera déterminée au cas par cas en tenant compte des secteurs spécifiques qui mènent à la non-conformité. S’il n’est pas possible de déterminer un secteur, ou si les deux phases concernent le même secteur, le niveau de pénalité à appliquer sera le plus élevé.</w:t>
      </w:r>
    </w:p>
    <w:p w14:paraId="78143A80" w14:textId="77777777" w:rsidR="003D587E" w:rsidRPr="00C8094A" w:rsidRDefault="003D587E" w:rsidP="003D587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3D587E" w:rsidRPr="00720153" w14:paraId="73B26E85" w14:textId="77777777" w:rsidTr="00A326B2">
        <w:tc>
          <w:tcPr>
            <w:tcW w:w="1915" w:type="dxa"/>
          </w:tcPr>
          <w:p w14:paraId="3B15444D" w14:textId="77777777" w:rsidR="003D587E" w:rsidRPr="00C8094A" w:rsidRDefault="003D587E" w:rsidP="00A326B2"/>
        </w:tc>
        <w:tc>
          <w:tcPr>
            <w:tcW w:w="1915" w:type="dxa"/>
          </w:tcPr>
          <w:p w14:paraId="39EA04EE" w14:textId="77777777" w:rsidR="003D587E" w:rsidRPr="00C8094A" w:rsidRDefault="003D587E" w:rsidP="00A326B2"/>
        </w:tc>
        <w:tc>
          <w:tcPr>
            <w:tcW w:w="1915" w:type="dxa"/>
            <w:tcBorders>
              <w:bottom w:val="single" w:sz="4" w:space="0" w:color="auto"/>
            </w:tcBorders>
          </w:tcPr>
          <w:p w14:paraId="61CBF8D3" w14:textId="77777777" w:rsidR="003D587E" w:rsidRPr="00C8094A" w:rsidRDefault="003D587E" w:rsidP="00A326B2"/>
        </w:tc>
        <w:tc>
          <w:tcPr>
            <w:tcW w:w="1915" w:type="dxa"/>
          </w:tcPr>
          <w:p w14:paraId="691592BD" w14:textId="77777777" w:rsidR="003D587E" w:rsidRPr="00C8094A" w:rsidRDefault="003D587E" w:rsidP="00A326B2"/>
        </w:tc>
        <w:tc>
          <w:tcPr>
            <w:tcW w:w="1916" w:type="dxa"/>
          </w:tcPr>
          <w:p w14:paraId="7BAB3F90" w14:textId="77777777" w:rsidR="003D587E" w:rsidRPr="00C8094A" w:rsidRDefault="003D587E" w:rsidP="00A326B2"/>
        </w:tc>
      </w:tr>
    </w:tbl>
    <w:p w14:paraId="1F46E439" w14:textId="77777777" w:rsidR="003D587E" w:rsidRPr="00C8094A" w:rsidRDefault="003D587E" w:rsidP="003D587E"/>
    <w:p w14:paraId="7DAE1494" w14:textId="77777777" w:rsidR="003D587E" w:rsidRPr="00C8094A" w:rsidRDefault="003D587E" w:rsidP="003D587E"/>
    <w:p w14:paraId="77BB6245" w14:textId="77777777" w:rsidR="00515F4D" w:rsidRPr="003D587E" w:rsidRDefault="00515F4D">
      <w:pPr>
        <w:jc w:val="left"/>
      </w:pPr>
      <w:bookmarkStart w:id="0" w:name="_GoBack"/>
      <w:bookmarkEnd w:id="0"/>
    </w:p>
    <w:sectPr w:rsidR="00515F4D" w:rsidRPr="003D587E" w:rsidSect="00515F4D">
      <w:headerReference w:type="default" r:id="rId22"/>
      <w:pgSz w:w="12240" w:h="15840" w:code="1"/>
      <w:pgMar w:top="720" w:right="1440" w:bottom="864" w:left="1440" w:header="720" w:footer="475"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07FFF" w14:textId="77777777" w:rsidR="0070044D" w:rsidRDefault="0070044D" w:rsidP="004A504B">
      <w:r>
        <w:separator/>
      </w:r>
    </w:p>
  </w:endnote>
  <w:endnote w:type="continuationSeparator" w:id="0">
    <w:p w14:paraId="51B83FB3" w14:textId="77777777" w:rsidR="0070044D" w:rsidRDefault="0070044D"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34277" w14:textId="228604DF" w:rsidR="00A326B2" w:rsidRPr="0033525D" w:rsidRDefault="00A326B2">
    <w:pPr>
      <w:jc w:val="center"/>
    </w:pPr>
    <w:r>
      <w:fldChar w:fldCharType="begin"/>
    </w:r>
    <w:r>
      <w:instrText xml:space="preserve"> PAGE </w:instrText>
    </w:r>
    <w:r>
      <w:fldChar w:fldCharType="separate"/>
    </w:r>
    <w:r w:rsidR="00DA225E">
      <w:rPr>
        <w:noProof/>
      </w:rPr>
      <w:t>18</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E65CC" w14:textId="660BA355" w:rsidR="00A326B2" w:rsidRPr="0033525D" w:rsidRDefault="00A326B2">
    <w:pPr>
      <w:jc w:val="center"/>
    </w:pPr>
    <w:r>
      <w:fldChar w:fldCharType="begin"/>
    </w:r>
    <w:r>
      <w:instrText xml:space="preserve"> PAGE </w:instrText>
    </w:r>
    <w:r>
      <w:fldChar w:fldCharType="separate"/>
    </w:r>
    <w:r w:rsidR="00DA225E">
      <w:rPr>
        <w:noProof/>
      </w:rPr>
      <w:t>9</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52170" w14:textId="77777777" w:rsidR="00A326B2" w:rsidRDefault="00A326B2" w:rsidP="004252EC">
    <w:pPr>
      <w:pBdr>
        <w:top w:val="single" w:sz="4" w:space="1" w:color="auto"/>
        <w:left w:val="single" w:sz="4" w:space="4" w:color="auto"/>
        <w:bottom w:val="single" w:sz="4" w:space="1" w:color="auto"/>
        <w:right w:val="single" w:sz="4" w:space="4" w:color="auto"/>
      </w:pBdr>
      <w:jc w:val="center"/>
      <w:rPr>
        <w:sz w:val="18"/>
        <w:szCs w:val="18"/>
      </w:rPr>
    </w:pPr>
    <w:r>
      <w:rPr>
        <w:sz w:val="18"/>
        <w:szCs w:val="18"/>
      </w:rPr>
      <w:t>Les documents de présession du Comité exécutif du Fonds multilatéral aux fins d’application du Protocole de</w:t>
    </w:r>
  </w:p>
  <w:p w14:paraId="7B6D8F58" w14:textId="09A0A18E" w:rsidR="00A326B2" w:rsidRDefault="00A326B2" w:rsidP="004252EC">
    <w:pPr>
      <w:pBdr>
        <w:top w:val="single" w:sz="4" w:space="1" w:color="auto"/>
        <w:left w:val="single" w:sz="4" w:space="4" w:color="auto"/>
        <w:bottom w:val="single" w:sz="4" w:space="1" w:color="auto"/>
        <w:right w:val="single" w:sz="4" w:space="4" w:color="auto"/>
      </w:pBdr>
      <w:jc w:val="center"/>
      <w:rPr>
        <w:sz w:val="18"/>
        <w:szCs w:val="18"/>
      </w:rPr>
    </w:pPr>
    <w:r>
      <w:rPr>
        <w:sz w:val="18"/>
        <w:szCs w:val="18"/>
      </w:rPr>
      <w:t>Montréal sont présentés sous réserve des décisions pouvant être prises par le Comité exécutif après leur publication.</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B8E9B" w14:textId="39501B28" w:rsidR="00A326B2" w:rsidRPr="0033525D" w:rsidRDefault="00A326B2">
    <w:pPr>
      <w:jc w:val="center"/>
    </w:pPr>
    <w:r>
      <w:fldChar w:fldCharType="begin"/>
    </w:r>
    <w:r>
      <w:instrText xml:space="preserve"> PAGE </w:instrText>
    </w:r>
    <w:r>
      <w:fldChar w:fldCharType="separate"/>
    </w:r>
    <w:r w:rsidR="00DA225E">
      <w:rPr>
        <w:noProof/>
      </w:rPr>
      <w:t>8</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BBF60" w14:textId="77777777" w:rsidR="0070044D" w:rsidRDefault="0070044D" w:rsidP="004A504B">
      <w:r>
        <w:separator/>
      </w:r>
    </w:p>
  </w:footnote>
  <w:footnote w:type="continuationSeparator" w:id="0">
    <w:p w14:paraId="1247B567" w14:textId="77777777" w:rsidR="0070044D" w:rsidRDefault="0070044D" w:rsidP="004A504B">
      <w:r>
        <w:continuationSeparator/>
      </w:r>
    </w:p>
  </w:footnote>
  <w:footnote w:id="1">
    <w:p w14:paraId="6EEAB165" w14:textId="77777777" w:rsidR="00A326B2" w:rsidRPr="007F7D65" w:rsidRDefault="00A326B2" w:rsidP="00B86471">
      <w:pPr>
        <w:pStyle w:val="FootnoteText"/>
      </w:pPr>
      <w:r>
        <w:rPr>
          <w:rStyle w:val="FootnoteReference"/>
        </w:rPr>
        <w:footnoteRef/>
      </w:r>
      <w:r>
        <w:t xml:space="preserve"> Des réunions en ligne et un processus d’approbation intersessions se tiendront en novembre et décembre 2021 à cause du coronavirus (COVID-19)</w:t>
      </w:r>
    </w:p>
    <w:p w14:paraId="3CA4590B" w14:textId="77777777" w:rsidR="00A326B2" w:rsidRPr="003F6611" w:rsidRDefault="00A326B2">
      <w:pPr>
        <w:pStyle w:val="FootnoteText"/>
      </w:pPr>
    </w:p>
  </w:footnote>
  <w:footnote w:id="2">
    <w:p w14:paraId="07F8BD76" w14:textId="2873CAB3" w:rsidR="00A326B2" w:rsidRPr="00FE3307" w:rsidRDefault="00A326B2" w:rsidP="00EB31E3">
      <w:pPr>
        <w:pStyle w:val="FootnoteText"/>
      </w:pPr>
      <w:r>
        <w:rPr>
          <w:rStyle w:val="FootnoteReference"/>
        </w:rPr>
        <w:footnoteRef/>
      </w:r>
      <w:r>
        <w:t xml:space="preserve"> Conformément à la lettre du 14 juillet 2021 adressée au PNUE par le Conseil suprême de l’environnement de Bahreïn.</w:t>
      </w:r>
    </w:p>
  </w:footnote>
  <w:footnote w:id="3">
    <w:p w14:paraId="6C890FC3" w14:textId="7ACB9611" w:rsidR="00A326B2" w:rsidRPr="00DB6950" w:rsidRDefault="00A326B2" w:rsidP="00EB31E3">
      <w:pPr>
        <w:pStyle w:val="FootnoteText"/>
      </w:pPr>
      <w:r>
        <w:rPr>
          <w:rStyle w:val="FootnoteReference"/>
        </w:rPr>
        <w:footnoteRef/>
      </w:r>
      <w:r>
        <w:t xml:space="preserve"> UNEP/</w:t>
      </w:r>
      <w:proofErr w:type="spellStart"/>
      <w:r>
        <w:t>OzL.Pro</w:t>
      </w:r>
      <w:proofErr w:type="spellEnd"/>
      <w:r>
        <w:t>/</w:t>
      </w:r>
      <w:proofErr w:type="spellStart"/>
      <w:r>
        <w:t>ExCom</w:t>
      </w:r>
      <w:proofErr w:type="spellEnd"/>
      <w:r>
        <w:t>/68/22 et Annexe XIX de UNEP/</w:t>
      </w:r>
      <w:proofErr w:type="spellStart"/>
      <w:r>
        <w:t>OzL.Pro</w:t>
      </w:r>
      <w:proofErr w:type="spellEnd"/>
      <w:r>
        <w:t>/</w:t>
      </w:r>
      <w:proofErr w:type="spellStart"/>
      <w:r>
        <w:t>ExCom</w:t>
      </w:r>
      <w:proofErr w:type="spellEnd"/>
      <w:r>
        <w:t>/68/53.</w:t>
      </w:r>
    </w:p>
  </w:footnote>
  <w:footnote w:id="4">
    <w:p w14:paraId="612E9902" w14:textId="5893A9E2" w:rsidR="00A326B2" w:rsidRPr="00181E7B" w:rsidRDefault="00A326B2">
      <w:pPr>
        <w:pStyle w:val="FootnoteText"/>
      </w:pPr>
      <w:r>
        <w:rPr>
          <w:rStyle w:val="FootnoteReference"/>
        </w:rPr>
        <w:footnoteRef/>
      </w:r>
      <w:r>
        <w:t xml:space="preserve"> UNEP/</w:t>
      </w:r>
      <w:proofErr w:type="spellStart"/>
      <w:r>
        <w:t>OzL.Pro</w:t>
      </w:r>
      <w:proofErr w:type="spellEnd"/>
      <w:r>
        <w:t>/</w:t>
      </w:r>
      <w:proofErr w:type="spellStart"/>
      <w:r>
        <w:t>ExCom</w:t>
      </w:r>
      <w:proofErr w:type="spellEnd"/>
      <w:r>
        <w:t>/80/12 et Annexe V de UNEP/</w:t>
      </w:r>
      <w:proofErr w:type="spellStart"/>
      <w:r>
        <w:t>OzL.Pro</w:t>
      </w:r>
      <w:proofErr w:type="spellEnd"/>
      <w:r>
        <w:t>/</w:t>
      </w:r>
      <w:proofErr w:type="spellStart"/>
      <w:r>
        <w:t>ExCom</w:t>
      </w:r>
      <w:proofErr w:type="spellEnd"/>
      <w:r>
        <w:t>/80/59.</w:t>
      </w:r>
    </w:p>
  </w:footnote>
  <w:footnote w:id="5">
    <w:p w14:paraId="1AC3DF05" w14:textId="0915AB54" w:rsidR="00A326B2" w:rsidRDefault="00A326B2">
      <w:pPr>
        <w:pStyle w:val="FootnoteText"/>
      </w:pPr>
      <w:r>
        <w:rPr>
          <w:rStyle w:val="FootnoteReference"/>
        </w:rPr>
        <w:footnoteRef/>
      </w:r>
      <w:r>
        <w:t xml:space="preserve"> </w:t>
      </w:r>
      <w:r w:rsidRPr="004252EC">
        <w:t>UNEP/</w:t>
      </w:r>
      <w:proofErr w:type="spellStart"/>
      <w:r w:rsidRPr="004252EC">
        <w:t>OzL.Pro</w:t>
      </w:r>
      <w:proofErr w:type="spellEnd"/>
      <w:r w:rsidRPr="004252EC">
        <w:t>/</w:t>
      </w:r>
      <w:proofErr w:type="spellStart"/>
      <w:r w:rsidRPr="004252EC">
        <w:t>ExCom</w:t>
      </w:r>
      <w:proofErr w:type="spellEnd"/>
      <w:r w:rsidRPr="004252EC">
        <w:t>/84/40 et Annexe XXI de UNEP/</w:t>
      </w:r>
      <w:proofErr w:type="spellStart"/>
      <w:r w:rsidRPr="004252EC">
        <w:t>OzL.Pro</w:t>
      </w:r>
      <w:proofErr w:type="spellEnd"/>
      <w:r w:rsidRPr="004252EC">
        <w:t>/</w:t>
      </w:r>
      <w:proofErr w:type="spellStart"/>
      <w:r w:rsidRPr="004252EC">
        <w:t>ExCom</w:t>
      </w:r>
      <w:proofErr w:type="spellEnd"/>
      <w:r w:rsidRPr="004252EC">
        <w:t>/84/75.</w:t>
      </w:r>
    </w:p>
  </w:footnote>
  <w:footnote w:id="6">
    <w:p w14:paraId="63314840" w14:textId="7629BA4C" w:rsidR="00A326B2" w:rsidRDefault="00A326B2">
      <w:pPr>
        <w:pStyle w:val="FootnoteText"/>
      </w:pPr>
      <w:r>
        <w:rPr>
          <w:rStyle w:val="FootnoteReference"/>
        </w:rPr>
        <w:footnoteRef/>
      </w:r>
      <w:r>
        <w:t xml:space="preserve"> Bahreïn, le Koweït, Oman, le Qatar, l’Arabie saoudite, et les Émirats arabes unis.</w:t>
      </w:r>
    </w:p>
  </w:footnote>
  <w:footnote w:id="7">
    <w:p w14:paraId="41D89027" w14:textId="04DE2D2E" w:rsidR="00A326B2" w:rsidRPr="00B4200B" w:rsidRDefault="00A326B2">
      <w:pPr>
        <w:pStyle w:val="FootnoteText"/>
      </w:pPr>
      <w:r>
        <w:rPr>
          <w:rStyle w:val="FootnoteReference"/>
        </w:rPr>
        <w:footnoteRef/>
      </w:r>
      <w:r>
        <w:t xml:space="preserve"> Les substituts à long terme renvoient à des options à long terme définies dans le rapport d’évaluation du RTOC de 2018 (section 1.6), qui comprennent l’ammoniac (R-717); le dioxyde de carbone (R-744); les hydrocarbures et leurs mélanges (HC, p. ex., HC-290, HC-600a, HC-1270, etc.); les hydrofluorocarbures (HFC insaturés (</w:t>
      </w:r>
      <w:proofErr w:type="spellStart"/>
      <w:r>
        <w:t>hydrofluoroléfine</w:t>
      </w:r>
      <w:proofErr w:type="spellEnd"/>
      <w:r>
        <w:t xml:space="preserve">) (HFO) avec un numéro à quatre chiffres, les HFC à PRG plus faible et les mélanges de HFC-HFO avec les numéros 400 et 500); l’eau (R-718).  </w:t>
      </w:r>
    </w:p>
  </w:footnote>
  <w:footnote w:id="8">
    <w:p w14:paraId="37D10CC3" w14:textId="483C76AC" w:rsidR="00A326B2" w:rsidRDefault="00A326B2">
      <w:pPr>
        <w:pStyle w:val="FootnoteText"/>
      </w:pPr>
      <w:r>
        <w:rPr>
          <w:rStyle w:val="FootnoteReference"/>
        </w:rPr>
        <w:footnoteRef/>
      </w:r>
      <w:r>
        <w:t xml:space="preserve"> </w:t>
      </w:r>
      <w:r w:rsidRPr="004252EC">
        <w:t>Y compris des unités de climatisation avec une capacité de réfrigération de plus de 15 tonnes et des unités de réfrigération commerciale ou industrielle.</w:t>
      </w:r>
    </w:p>
  </w:footnote>
  <w:footnote w:id="9">
    <w:p w14:paraId="461B983D" w14:textId="27D1547F" w:rsidR="00A326B2" w:rsidRDefault="00A326B2">
      <w:pPr>
        <w:pStyle w:val="FootnoteText"/>
      </w:pPr>
      <w:r>
        <w:rPr>
          <w:rStyle w:val="FootnoteReference"/>
        </w:rPr>
        <w:footnoteRef/>
      </w:r>
      <w:r>
        <w:t xml:space="preserve"> </w:t>
      </w:r>
      <w:r w:rsidRPr="004252EC">
        <w:t>Y compris l’exécution du RRR, l’élimination adéquate de l’équipement en fin de vie et une étude à l’échelle du pays pour d’autres mesures.</w:t>
      </w:r>
    </w:p>
  </w:footnote>
  <w:footnote w:id="10">
    <w:p w14:paraId="078DC453" w14:textId="77777777" w:rsidR="00A326B2" w:rsidRPr="000442D7" w:rsidRDefault="00A326B2" w:rsidP="00EB31E3">
      <w:pPr>
        <w:pStyle w:val="FootnoteText"/>
      </w:pPr>
      <w:r>
        <w:rPr>
          <w:rStyle w:val="FootnoteReference"/>
        </w:rPr>
        <w:footnoteRef/>
      </w:r>
      <w:r>
        <w:t xml:space="preserve"> La décision 84/92(d) demandait aux agences bilatérale et d’exécution d’appliquer une politique opérationnelle sur l’intégration des sexes tout au long du cycle du projet.</w:t>
      </w:r>
    </w:p>
  </w:footnote>
  <w:footnote w:id="11">
    <w:p w14:paraId="791E8C8B" w14:textId="6AFA4286" w:rsidR="00A326B2" w:rsidRDefault="00A326B2">
      <w:pPr>
        <w:pStyle w:val="FootnoteText"/>
      </w:pPr>
      <w:r>
        <w:rPr>
          <w:rStyle w:val="FootnoteReference"/>
        </w:rPr>
        <w:footnoteRef/>
      </w:r>
      <w:r>
        <w:t xml:space="preserve"> </w:t>
      </w:r>
      <w:r w:rsidRPr="00313ED8">
        <w:t>Y compris des unités de climatisation avec une capacité de réfrigération de plus de 15 tonnes et des unités de réfrigération commerciale ou industrielle.</w:t>
      </w:r>
    </w:p>
  </w:footnote>
  <w:footnote w:id="12">
    <w:p w14:paraId="6B18042F" w14:textId="43B6BE25" w:rsidR="00A326B2" w:rsidRDefault="00A326B2">
      <w:pPr>
        <w:pStyle w:val="FootnoteText"/>
      </w:pPr>
      <w:r>
        <w:rPr>
          <w:rStyle w:val="FootnoteReference"/>
        </w:rPr>
        <w:footnoteRef/>
      </w:r>
      <w:r>
        <w:t xml:space="preserve"> </w:t>
      </w:r>
      <w:r w:rsidRPr="00313ED8">
        <w:t>Y compris l’exécution du RRR, l’élimination adéquate de l’équipement en fin de vie et une étude à l’échelle du pays pour d’autres mesures.</w:t>
      </w:r>
    </w:p>
  </w:footnote>
  <w:footnote w:id="13">
    <w:p w14:paraId="54D9E9C5" w14:textId="1AD73DE0" w:rsidR="00A326B2" w:rsidRPr="00750E23" w:rsidRDefault="00A326B2" w:rsidP="0008148F">
      <w:pPr>
        <w:pStyle w:val="FootnoteText"/>
      </w:pPr>
      <w:r>
        <w:rPr>
          <w:rStyle w:val="FootnoteReference"/>
        </w:rPr>
        <w:footnoteRef/>
      </w:r>
      <w:r>
        <w:t xml:space="preserve"> Pour demander aux agences bilatérales et d’exécution, lors de la préparation des plans pluriannuels de gestion de l’élimination des HCFC, afin de garantir que la dernière tranche comporte 10 pour cent du financement total pour le secteur de l’entretien en réfrigération dans l’accord et qui était prévu pour la dernière année du plan.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017C8" w14:textId="4C83AEB4" w:rsidR="00A326B2" w:rsidRPr="0033525D" w:rsidRDefault="00A326B2">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/88/38</w:t>
    </w:r>
    <w:r>
      <w:fldChar w:fldCharType="end"/>
    </w:r>
  </w:p>
  <w:p w14:paraId="668CFDFD" w14:textId="77777777" w:rsidR="00A326B2" w:rsidRPr="0033525D" w:rsidRDefault="00A326B2"/>
  <w:p w14:paraId="49F8C4CD" w14:textId="77777777" w:rsidR="00A326B2" w:rsidRPr="0033525D" w:rsidRDefault="00A326B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8B686" w14:textId="6ED5B321" w:rsidR="00A326B2" w:rsidRPr="0033525D" w:rsidRDefault="00A326B2">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/88/38</w:t>
    </w:r>
    <w:r>
      <w:fldChar w:fldCharType="end"/>
    </w:r>
  </w:p>
  <w:p w14:paraId="13EF2C71" w14:textId="77777777" w:rsidR="00A326B2" w:rsidRPr="0033525D" w:rsidRDefault="00A326B2"/>
  <w:p w14:paraId="5988A4F8" w14:textId="77777777" w:rsidR="00A326B2" w:rsidRPr="0033525D" w:rsidRDefault="00A326B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47BC0" w14:textId="77777777" w:rsidR="009A286D" w:rsidRDefault="009A286D">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A852F" w14:textId="25C241DA" w:rsidR="00A326B2" w:rsidRPr="003F6611" w:rsidRDefault="00A326B2">
    <w:pPr>
      <w:rPr>
        <w:lang w:val="en-CA"/>
      </w:rPr>
    </w:pPr>
    <w:r>
      <w:fldChar w:fldCharType="begin"/>
    </w:r>
    <w:r w:rsidRPr="003F6611">
      <w:rPr>
        <w:lang w:val="en-CA"/>
      </w:rPr>
      <w:instrText xml:space="preserve"> DOCPROPERTY "Document number"  \* MERGEFORMAT </w:instrText>
    </w:r>
    <w:r>
      <w:fldChar w:fldCharType="separate"/>
    </w:r>
    <w:r w:rsidRPr="003F6611">
      <w:rPr>
        <w:lang w:val="en-CA"/>
      </w:rPr>
      <w:t>UNEP/</w:t>
    </w:r>
    <w:proofErr w:type="spellStart"/>
    <w:r w:rsidRPr="003F6611">
      <w:rPr>
        <w:lang w:val="en-CA"/>
      </w:rPr>
      <w:t>OzL.Pro</w:t>
    </w:r>
    <w:proofErr w:type="spellEnd"/>
    <w:r w:rsidRPr="003F6611">
      <w:rPr>
        <w:lang w:val="en-CA"/>
      </w:rPr>
      <w:t>/</w:t>
    </w:r>
    <w:proofErr w:type="spellStart"/>
    <w:r w:rsidRPr="003F6611">
      <w:rPr>
        <w:lang w:val="en-CA"/>
      </w:rPr>
      <w:t>ExCom</w:t>
    </w:r>
    <w:proofErr w:type="spellEnd"/>
    <w:r w:rsidRPr="003F6611">
      <w:rPr>
        <w:lang w:val="en-CA"/>
      </w:rPr>
      <w:t>/88/38</w:t>
    </w:r>
    <w:r>
      <w:fldChar w:fldCharType="end"/>
    </w:r>
  </w:p>
  <w:p w14:paraId="0A042C40" w14:textId="5CD3FDE0" w:rsidR="00A326B2" w:rsidRPr="003F6611" w:rsidRDefault="00A326B2">
    <w:pPr>
      <w:rPr>
        <w:lang w:val="en-CA"/>
      </w:rPr>
    </w:pPr>
    <w:r w:rsidRPr="003F6611">
      <w:rPr>
        <w:lang w:val="en-CA"/>
      </w:rPr>
      <w:t>Annex</w:t>
    </w:r>
    <w:r w:rsidR="009A286D">
      <w:rPr>
        <w:lang w:val="en-CA"/>
      </w:rPr>
      <w:t>e</w:t>
    </w:r>
    <w:r w:rsidRPr="003F6611">
      <w:rPr>
        <w:lang w:val="en-CA"/>
      </w:rPr>
      <w:t xml:space="preserve"> II</w:t>
    </w:r>
  </w:p>
  <w:p w14:paraId="5D22545C" w14:textId="77777777" w:rsidR="00A326B2" w:rsidRPr="003F6611" w:rsidRDefault="00A326B2">
    <w:pPr>
      <w:rPr>
        <w:lang w:val="en-CA"/>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8F223" w14:textId="1470DF07" w:rsidR="00A326B2" w:rsidRPr="003F6611" w:rsidRDefault="00A326B2">
    <w:pPr>
      <w:jc w:val="right"/>
      <w:rPr>
        <w:lang w:val="en-CA"/>
      </w:rPr>
    </w:pPr>
    <w:r>
      <w:fldChar w:fldCharType="begin"/>
    </w:r>
    <w:r w:rsidRPr="003F6611">
      <w:rPr>
        <w:lang w:val="en-CA"/>
      </w:rPr>
      <w:instrText xml:space="preserve"> DOCPROPERTY "Document number"  \* MERGEFORMAT </w:instrText>
    </w:r>
    <w:r>
      <w:fldChar w:fldCharType="separate"/>
    </w:r>
    <w:r w:rsidRPr="003F6611">
      <w:rPr>
        <w:lang w:val="en-CA"/>
      </w:rPr>
      <w:t>UNEP/</w:t>
    </w:r>
    <w:proofErr w:type="spellStart"/>
    <w:r w:rsidRPr="003F6611">
      <w:rPr>
        <w:lang w:val="en-CA"/>
      </w:rPr>
      <w:t>OzL.Pro</w:t>
    </w:r>
    <w:proofErr w:type="spellEnd"/>
    <w:r w:rsidRPr="003F6611">
      <w:rPr>
        <w:lang w:val="en-CA"/>
      </w:rPr>
      <w:t>/</w:t>
    </w:r>
    <w:proofErr w:type="spellStart"/>
    <w:r w:rsidRPr="003F6611">
      <w:rPr>
        <w:lang w:val="en-CA"/>
      </w:rPr>
      <w:t>ExCom</w:t>
    </w:r>
    <w:proofErr w:type="spellEnd"/>
    <w:r w:rsidRPr="003F6611">
      <w:rPr>
        <w:lang w:val="en-CA"/>
      </w:rPr>
      <w:t>/88/38</w:t>
    </w:r>
    <w:r>
      <w:fldChar w:fldCharType="end"/>
    </w:r>
  </w:p>
  <w:p w14:paraId="4E5DFFB5" w14:textId="4C0D0B90" w:rsidR="00A326B2" w:rsidRPr="003F6611" w:rsidRDefault="00A326B2" w:rsidP="00515F4D">
    <w:pPr>
      <w:jc w:val="right"/>
      <w:rPr>
        <w:lang w:val="en-CA"/>
      </w:rPr>
    </w:pPr>
    <w:r w:rsidRPr="003F6611">
      <w:rPr>
        <w:lang w:val="en-CA"/>
      </w:rPr>
      <w:t>Annex</w:t>
    </w:r>
    <w:r w:rsidR="009A286D">
      <w:rPr>
        <w:lang w:val="en-CA"/>
      </w:rPr>
      <w:t>e</w:t>
    </w:r>
    <w:r w:rsidRPr="003F6611">
      <w:rPr>
        <w:lang w:val="en-CA"/>
      </w:rPr>
      <w:t xml:space="preserve"> I</w:t>
    </w:r>
  </w:p>
  <w:p w14:paraId="0727982D" w14:textId="77777777" w:rsidR="00A326B2" w:rsidRPr="003F6611" w:rsidRDefault="00A326B2">
    <w:pPr>
      <w:rPr>
        <w:lang w:val="en-CA"/>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6223E" w14:textId="77777777" w:rsidR="00A326B2" w:rsidRDefault="00A326B2">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8F35C" w14:textId="13F9FDEE" w:rsidR="00A326B2" w:rsidRPr="003F6611" w:rsidRDefault="00A326B2">
    <w:pPr>
      <w:jc w:val="right"/>
      <w:rPr>
        <w:lang w:val="en-CA"/>
      </w:rPr>
    </w:pPr>
    <w:r>
      <w:fldChar w:fldCharType="begin"/>
    </w:r>
    <w:r w:rsidRPr="003F6611">
      <w:rPr>
        <w:lang w:val="en-CA"/>
      </w:rPr>
      <w:instrText xml:space="preserve"> DOCPROPERTY "Document number"  \* MERGEFORMAT </w:instrText>
    </w:r>
    <w:r>
      <w:fldChar w:fldCharType="separate"/>
    </w:r>
    <w:r w:rsidRPr="003F6611">
      <w:rPr>
        <w:lang w:val="en-CA"/>
      </w:rPr>
      <w:t>UNEP/</w:t>
    </w:r>
    <w:proofErr w:type="spellStart"/>
    <w:r w:rsidRPr="003F6611">
      <w:rPr>
        <w:lang w:val="en-CA"/>
      </w:rPr>
      <w:t>OzL.Pro</w:t>
    </w:r>
    <w:proofErr w:type="spellEnd"/>
    <w:r w:rsidRPr="003F6611">
      <w:rPr>
        <w:lang w:val="en-CA"/>
      </w:rPr>
      <w:t>/</w:t>
    </w:r>
    <w:proofErr w:type="spellStart"/>
    <w:r w:rsidRPr="003F6611">
      <w:rPr>
        <w:lang w:val="en-CA"/>
      </w:rPr>
      <w:t>ExCom</w:t>
    </w:r>
    <w:proofErr w:type="spellEnd"/>
    <w:r w:rsidRPr="003F6611">
      <w:rPr>
        <w:lang w:val="en-CA"/>
      </w:rPr>
      <w:t>/88/38</w:t>
    </w:r>
    <w:r>
      <w:fldChar w:fldCharType="end"/>
    </w:r>
  </w:p>
  <w:p w14:paraId="03CCD3B6" w14:textId="504A6D2A" w:rsidR="00A326B2" w:rsidRPr="003F6611" w:rsidRDefault="00A326B2" w:rsidP="00515F4D">
    <w:pPr>
      <w:jc w:val="right"/>
      <w:rPr>
        <w:lang w:val="en-CA"/>
      </w:rPr>
    </w:pPr>
    <w:r w:rsidRPr="003F6611">
      <w:rPr>
        <w:lang w:val="en-CA"/>
      </w:rPr>
      <w:t>Annex</w:t>
    </w:r>
    <w:r w:rsidR="009A286D">
      <w:rPr>
        <w:lang w:val="en-CA"/>
      </w:rPr>
      <w:t>e</w:t>
    </w:r>
    <w:r w:rsidRPr="003F6611">
      <w:rPr>
        <w:lang w:val="en-CA"/>
      </w:rPr>
      <w:t xml:space="preserve"> II</w:t>
    </w:r>
  </w:p>
  <w:p w14:paraId="63E2A4F0" w14:textId="77777777" w:rsidR="00A326B2" w:rsidRPr="003F6611" w:rsidRDefault="00A326B2">
    <w:pPr>
      <w:rPr>
        <w:lang w:val="en-C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08FC1BC8"/>
    <w:lvl w:ilvl="0">
      <w:start w:val="1"/>
      <w:numFmt w:val="decimal"/>
      <w:pStyle w:val="Heading1"/>
      <w:lvlText w:val="%1."/>
      <w:lvlJc w:val="left"/>
      <w:pPr>
        <w:tabs>
          <w:tab w:val="num" w:pos="0"/>
        </w:tabs>
        <w:ind w:left="0" w:firstLine="0"/>
      </w:pPr>
      <w:rPr>
        <w:rFonts w:hint="default"/>
        <w:b w:val="0"/>
        <w:bCs/>
      </w:rPr>
    </w:lvl>
    <w:lvl w:ilvl="1">
      <w:start w:val="1"/>
      <w:numFmt w:val="lowerLetter"/>
      <w:pStyle w:val="Heading2"/>
      <w:lvlText w:val="(%2)"/>
      <w:lvlJc w:val="left"/>
      <w:pPr>
        <w:tabs>
          <w:tab w:val="num" w:pos="0"/>
        </w:tabs>
        <w:ind w:left="1440" w:hanging="720"/>
      </w:pPr>
      <w:rPr>
        <w:rFonts w:hint="default"/>
      </w:r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pStyle w:val="Heading6"/>
      <w:lvlText w:val="(%6)"/>
      <w:lvlJc w:val="left"/>
      <w:pPr>
        <w:tabs>
          <w:tab w:val="num" w:pos="0"/>
        </w:tabs>
        <w:ind w:left="4291" w:hanging="720"/>
      </w:pPr>
      <w:rPr>
        <w:rFonts w:hint="default"/>
      </w:rPr>
    </w:lvl>
    <w:lvl w:ilvl="6">
      <w:start w:val="1"/>
      <w:numFmt w:val="lowerRoman"/>
      <w:pStyle w:val="Heading7"/>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pStyle w:val="Heading9"/>
      <w:lvlText w:val="(%9)"/>
      <w:lvlJc w:val="left"/>
      <w:pPr>
        <w:tabs>
          <w:tab w:val="num" w:pos="0"/>
        </w:tabs>
        <w:ind w:left="6408" w:hanging="706"/>
      </w:pPr>
      <w:rPr>
        <w:rFonts w:hint="default"/>
      </w:rPr>
    </w:lvl>
  </w:abstractNum>
  <w:abstractNum w:abstractNumId="11" w15:restartNumberingAfterBreak="0">
    <w:nsid w:val="06EA7408"/>
    <w:multiLevelType w:val="hybridMultilevel"/>
    <w:tmpl w:val="99944C5E"/>
    <w:lvl w:ilvl="0" w:tplc="B4CA558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25A9080D"/>
    <w:multiLevelType w:val="multilevel"/>
    <w:tmpl w:val="13C24AF8"/>
    <w:lvl w:ilvl="0">
      <w:start w:val="25"/>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3"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5" w15:restartNumberingAfterBreak="0">
    <w:nsid w:val="335A39E1"/>
    <w:multiLevelType w:val="hybridMultilevel"/>
    <w:tmpl w:val="91DE881C"/>
    <w:lvl w:ilvl="0" w:tplc="22D4A280">
      <w:start w:val="1"/>
      <w:numFmt w:val="lowerLetter"/>
      <w:lvlText w:val="%1)"/>
      <w:lvlJc w:val="left"/>
      <w:pPr>
        <w:ind w:left="1080" w:hanging="360"/>
      </w:pPr>
      <w:rPr>
        <w:rFonts w:cs="Times New Roman" w:hint="default"/>
      </w:rPr>
    </w:lvl>
    <w:lvl w:ilvl="1" w:tplc="0C0C0019" w:tentative="1">
      <w:start w:val="1"/>
      <w:numFmt w:val="lowerLetter"/>
      <w:lvlText w:val="%2."/>
      <w:lvlJc w:val="left"/>
      <w:pPr>
        <w:ind w:left="1800" w:hanging="360"/>
      </w:pPr>
      <w:rPr>
        <w:rFonts w:cs="Times New Roman"/>
      </w:rPr>
    </w:lvl>
    <w:lvl w:ilvl="2" w:tplc="0C0C001B" w:tentative="1">
      <w:start w:val="1"/>
      <w:numFmt w:val="lowerRoman"/>
      <w:lvlText w:val="%3."/>
      <w:lvlJc w:val="right"/>
      <w:pPr>
        <w:ind w:left="2520" w:hanging="180"/>
      </w:pPr>
      <w:rPr>
        <w:rFonts w:cs="Times New Roman"/>
      </w:rPr>
    </w:lvl>
    <w:lvl w:ilvl="3" w:tplc="0C0C000F">
      <w:start w:val="1"/>
      <w:numFmt w:val="decimal"/>
      <w:lvlText w:val="%4."/>
      <w:lvlJc w:val="left"/>
      <w:pPr>
        <w:ind w:left="3240" w:hanging="360"/>
      </w:pPr>
      <w:rPr>
        <w:rFonts w:cs="Times New Roman"/>
      </w:rPr>
    </w:lvl>
    <w:lvl w:ilvl="4" w:tplc="0C0C0019" w:tentative="1">
      <w:start w:val="1"/>
      <w:numFmt w:val="lowerLetter"/>
      <w:lvlText w:val="%5."/>
      <w:lvlJc w:val="left"/>
      <w:pPr>
        <w:ind w:left="3960" w:hanging="360"/>
      </w:pPr>
      <w:rPr>
        <w:rFonts w:cs="Times New Roman"/>
      </w:rPr>
    </w:lvl>
    <w:lvl w:ilvl="5" w:tplc="0C0C001B" w:tentative="1">
      <w:start w:val="1"/>
      <w:numFmt w:val="lowerRoman"/>
      <w:lvlText w:val="%6."/>
      <w:lvlJc w:val="right"/>
      <w:pPr>
        <w:ind w:left="4680" w:hanging="180"/>
      </w:pPr>
      <w:rPr>
        <w:rFonts w:cs="Times New Roman"/>
      </w:rPr>
    </w:lvl>
    <w:lvl w:ilvl="6" w:tplc="0C0C000F" w:tentative="1">
      <w:start w:val="1"/>
      <w:numFmt w:val="decimal"/>
      <w:lvlText w:val="%7."/>
      <w:lvlJc w:val="left"/>
      <w:pPr>
        <w:ind w:left="5400" w:hanging="360"/>
      </w:pPr>
      <w:rPr>
        <w:rFonts w:cs="Times New Roman"/>
      </w:rPr>
    </w:lvl>
    <w:lvl w:ilvl="7" w:tplc="0C0C0019" w:tentative="1">
      <w:start w:val="1"/>
      <w:numFmt w:val="lowerLetter"/>
      <w:lvlText w:val="%8."/>
      <w:lvlJc w:val="left"/>
      <w:pPr>
        <w:ind w:left="6120" w:hanging="360"/>
      </w:pPr>
      <w:rPr>
        <w:rFonts w:cs="Times New Roman"/>
      </w:rPr>
    </w:lvl>
    <w:lvl w:ilvl="8" w:tplc="0C0C001B" w:tentative="1">
      <w:start w:val="1"/>
      <w:numFmt w:val="lowerRoman"/>
      <w:lvlText w:val="%9."/>
      <w:lvlJc w:val="right"/>
      <w:pPr>
        <w:ind w:left="6840" w:hanging="180"/>
      </w:pPr>
      <w:rPr>
        <w:rFonts w:cs="Times New Roman"/>
      </w:rPr>
    </w:lvl>
  </w:abstractNum>
  <w:abstractNum w:abstractNumId="16" w15:restartNumberingAfterBreak="0">
    <w:nsid w:val="40C216A8"/>
    <w:multiLevelType w:val="hybridMultilevel"/>
    <w:tmpl w:val="CC7C2ACA"/>
    <w:lvl w:ilvl="0" w:tplc="862E1FE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69F7AA9"/>
    <w:multiLevelType w:val="hybridMultilevel"/>
    <w:tmpl w:val="D48A66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7FD0777"/>
    <w:multiLevelType w:val="hybridMultilevel"/>
    <w:tmpl w:val="5D725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95C17E5"/>
    <w:multiLevelType w:val="hybridMultilevel"/>
    <w:tmpl w:val="B850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AA24716"/>
    <w:multiLevelType w:val="hybridMultilevel"/>
    <w:tmpl w:val="8ABE1B32"/>
    <w:lvl w:ilvl="0" w:tplc="B9B4D8E2">
      <w:start w:val="1"/>
      <w:numFmt w:val="decimal"/>
      <w:lvlText w:val="%1."/>
      <w:lvlJc w:val="left"/>
      <w:pPr>
        <w:ind w:left="1300" w:hanging="360"/>
      </w:pPr>
      <w:rPr>
        <w:rFonts w:ascii="Times New Roman" w:eastAsia="Carlito" w:hAnsi="Times New Roman" w:cs="Times New Roman" w:hint="default"/>
        <w:spacing w:val="-1"/>
        <w:w w:val="100"/>
        <w:sz w:val="22"/>
        <w:szCs w:val="22"/>
        <w:lang w:val="en-US" w:eastAsia="en-US" w:bidi="ar-SA"/>
      </w:rPr>
    </w:lvl>
    <w:lvl w:ilvl="1" w:tplc="63F2BC90">
      <w:start w:val="1"/>
      <w:numFmt w:val="upperLetter"/>
      <w:lvlText w:val="%2."/>
      <w:lvlJc w:val="left"/>
      <w:pPr>
        <w:ind w:left="1300" w:hanging="360"/>
      </w:pPr>
      <w:rPr>
        <w:rFonts w:ascii="Times New Roman" w:eastAsia="Carlito" w:hAnsi="Times New Roman" w:cs="Times New Roman" w:hint="default"/>
        <w:b/>
        <w:bCs/>
        <w:w w:val="100"/>
        <w:sz w:val="22"/>
        <w:szCs w:val="22"/>
        <w:lang w:val="en-US" w:eastAsia="en-US" w:bidi="ar-SA"/>
      </w:rPr>
    </w:lvl>
    <w:lvl w:ilvl="2" w:tplc="98D6B6C4">
      <w:start w:val="1"/>
      <w:numFmt w:val="decimal"/>
      <w:lvlText w:val="%3."/>
      <w:lvlJc w:val="left"/>
      <w:pPr>
        <w:ind w:left="1660" w:hanging="360"/>
      </w:pPr>
      <w:rPr>
        <w:rFonts w:ascii="Times New Roman" w:eastAsia="Carlito" w:hAnsi="Times New Roman" w:cs="Times New Roman" w:hint="default"/>
        <w:spacing w:val="-1"/>
        <w:w w:val="100"/>
        <w:sz w:val="22"/>
        <w:szCs w:val="22"/>
        <w:lang w:val="en-US" w:eastAsia="en-US" w:bidi="ar-SA"/>
      </w:rPr>
    </w:lvl>
    <w:lvl w:ilvl="3" w:tplc="BBDA3128">
      <w:numFmt w:val="bullet"/>
      <w:lvlText w:val="•"/>
      <w:lvlJc w:val="left"/>
      <w:pPr>
        <w:ind w:left="3082" w:hanging="360"/>
      </w:pPr>
      <w:rPr>
        <w:rFonts w:hint="default"/>
        <w:lang w:val="en-US" w:eastAsia="en-US" w:bidi="ar-SA"/>
      </w:rPr>
    </w:lvl>
    <w:lvl w:ilvl="4" w:tplc="3B1CF840">
      <w:numFmt w:val="bullet"/>
      <w:lvlText w:val="•"/>
      <w:lvlJc w:val="left"/>
      <w:pPr>
        <w:ind w:left="4145" w:hanging="360"/>
      </w:pPr>
      <w:rPr>
        <w:rFonts w:hint="default"/>
        <w:lang w:val="en-US" w:eastAsia="en-US" w:bidi="ar-SA"/>
      </w:rPr>
    </w:lvl>
    <w:lvl w:ilvl="5" w:tplc="4CCC92F8">
      <w:numFmt w:val="bullet"/>
      <w:lvlText w:val="•"/>
      <w:lvlJc w:val="left"/>
      <w:pPr>
        <w:ind w:left="5207" w:hanging="360"/>
      </w:pPr>
      <w:rPr>
        <w:rFonts w:hint="default"/>
        <w:lang w:val="en-US" w:eastAsia="en-US" w:bidi="ar-SA"/>
      </w:rPr>
    </w:lvl>
    <w:lvl w:ilvl="6" w:tplc="B95C946A">
      <w:numFmt w:val="bullet"/>
      <w:lvlText w:val="•"/>
      <w:lvlJc w:val="left"/>
      <w:pPr>
        <w:ind w:left="6270" w:hanging="360"/>
      </w:pPr>
      <w:rPr>
        <w:rFonts w:hint="default"/>
        <w:lang w:val="en-US" w:eastAsia="en-US" w:bidi="ar-SA"/>
      </w:rPr>
    </w:lvl>
    <w:lvl w:ilvl="7" w:tplc="2EB43DAE">
      <w:numFmt w:val="bullet"/>
      <w:lvlText w:val="•"/>
      <w:lvlJc w:val="left"/>
      <w:pPr>
        <w:ind w:left="7332" w:hanging="360"/>
      </w:pPr>
      <w:rPr>
        <w:rFonts w:hint="default"/>
        <w:lang w:val="en-US" w:eastAsia="en-US" w:bidi="ar-SA"/>
      </w:rPr>
    </w:lvl>
    <w:lvl w:ilvl="8" w:tplc="AB7A0084">
      <w:numFmt w:val="bullet"/>
      <w:lvlText w:val="•"/>
      <w:lvlJc w:val="left"/>
      <w:pPr>
        <w:ind w:left="8395" w:hanging="360"/>
      </w:pPr>
      <w:rPr>
        <w:rFonts w:hint="default"/>
        <w:lang w:val="en-US" w:eastAsia="en-US" w:bidi="ar-SA"/>
      </w:rPr>
    </w:lvl>
  </w:abstractNum>
  <w:abstractNum w:abstractNumId="23"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C2F0D06"/>
    <w:multiLevelType w:val="hybridMultilevel"/>
    <w:tmpl w:val="A328B3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20"/>
  </w:num>
  <w:num w:numId="18">
    <w:abstractNumId w:val="21"/>
  </w:num>
  <w:num w:numId="19">
    <w:abstractNumId w:val="25"/>
  </w:num>
  <w:num w:numId="20">
    <w:abstractNumId w:val="14"/>
  </w:num>
  <w:num w:numId="21">
    <w:abstractNumId w:val="23"/>
  </w:num>
  <w:num w:numId="22">
    <w:abstractNumId w:val="19"/>
  </w:num>
  <w:num w:numId="23">
    <w:abstractNumId w:val="10"/>
  </w:num>
  <w:num w:numId="24">
    <w:abstractNumId w:val="10"/>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4"/>
  </w:num>
  <w:num w:numId="27">
    <w:abstractNumId w:val="22"/>
  </w:num>
  <w:num w:numId="28">
    <w:abstractNumId w:val="11"/>
  </w:num>
  <w:num w:numId="29">
    <w:abstractNumId w:val="16"/>
  </w:num>
  <w:num w:numId="30">
    <w:abstractNumId w:val="17"/>
  </w:num>
  <w:num w:numId="31">
    <w:abstractNumId w:val="1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0"/>
  </w:num>
  <w:num w:numId="34">
    <w:abstractNumId w:val="10"/>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15"/>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6"/>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NK4FANLcE7ItAAAA"/>
  </w:docVars>
  <w:rsids>
    <w:rsidRoot w:val="00A20349"/>
    <w:rsid w:val="00000326"/>
    <w:rsid w:val="000007D8"/>
    <w:rsid w:val="00000ACA"/>
    <w:rsid w:val="00000BB9"/>
    <w:rsid w:val="00000FED"/>
    <w:rsid w:val="0000434E"/>
    <w:rsid w:val="00007D3D"/>
    <w:rsid w:val="00010539"/>
    <w:rsid w:val="00011E53"/>
    <w:rsid w:val="00014241"/>
    <w:rsid w:val="000211A9"/>
    <w:rsid w:val="00021A07"/>
    <w:rsid w:val="00022A8C"/>
    <w:rsid w:val="00023D6A"/>
    <w:rsid w:val="000242BE"/>
    <w:rsid w:val="00025AD9"/>
    <w:rsid w:val="000274FC"/>
    <w:rsid w:val="00030496"/>
    <w:rsid w:val="00031260"/>
    <w:rsid w:val="00032309"/>
    <w:rsid w:val="000327C3"/>
    <w:rsid w:val="0003681A"/>
    <w:rsid w:val="000372B7"/>
    <w:rsid w:val="00041DF0"/>
    <w:rsid w:val="00050F6E"/>
    <w:rsid w:val="00055304"/>
    <w:rsid w:val="00061EC2"/>
    <w:rsid w:val="00066CE8"/>
    <w:rsid w:val="00067E50"/>
    <w:rsid w:val="00070791"/>
    <w:rsid w:val="00070C04"/>
    <w:rsid w:val="0007532D"/>
    <w:rsid w:val="0007634F"/>
    <w:rsid w:val="00080ED0"/>
    <w:rsid w:val="0008104D"/>
    <w:rsid w:val="0008148F"/>
    <w:rsid w:val="00082D6C"/>
    <w:rsid w:val="0008378A"/>
    <w:rsid w:val="00085B8F"/>
    <w:rsid w:val="00090481"/>
    <w:rsid w:val="00092942"/>
    <w:rsid w:val="000A111F"/>
    <w:rsid w:val="000A1704"/>
    <w:rsid w:val="000A3826"/>
    <w:rsid w:val="000A5AC2"/>
    <w:rsid w:val="000A6C26"/>
    <w:rsid w:val="000A71EC"/>
    <w:rsid w:val="000B1ECC"/>
    <w:rsid w:val="000B405D"/>
    <w:rsid w:val="000C1A11"/>
    <w:rsid w:val="000D26AF"/>
    <w:rsid w:val="000D3B01"/>
    <w:rsid w:val="000D4390"/>
    <w:rsid w:val="000D50CF"/>
    <w:rsid w:val="000D52A4"/>
    <w:rsid w:val="000D69A6"/>
    <w:rsid w:val="000D6F56"/>
    <w:rsid w:val="000E07BC"/>
    <w:rsid w:val="000E478B"/>
    <w:rsid w:val="000E511F"/>
    <w:rsid w:val="000E6300"/>
    <w:rsid w:val="000E65D3"/>
    <w:rsid w:val="000E677A"/>
    <w:rsid w:val="000E70DF"/>
    <w:rsid w:val="000F08FC"/>
    <w:rsid w:val="000F1CD4"/>
    <w:rsid w:val="000F30D0"/>
    <w:rsid w:val="000F3741"/>
    <w:rsid w:val="000F4103"/>
    <w:rsid w:val="000F59B2"/>
    <w:rsid w:val="000F70A7"/>
    <w:rsid w:val="00102ED2"/>
    <w:rsid w:val="00103365"/>
    <w:rsid w:val="0010589F"/>
    <w:rsid w:val="0010735F"/>
    <w:rsid w:val="00107409"/>
    <w:rsid w:val="00113CCA"/>
    <w:rsid w:val="001142D8"/>
    <w:rsid w:val="00114AE9"/>
    <w:rsid w:val="001160BC"/>
    <w:rsid w:val="001174BB"/>
    <w:rsid w:val="00117E3E"/>
    <w:rsid w:val="00122F25"/>
    <w:rsid w:val="001240A8"/>
    <w:rsid w:val="001278A7"/>
    <w:rsid w:val="0013126A"/>
    <w:rsid w:val="001326F4"/>
    <w:rsid w:val="00135846"/>
    <w:rsid w:val="00135980"/>
    <w:rsid w:val="00140DBE"/>
    <w:rsid w:val="00140E86"/>
    <w:rsid w:val="00144A6D"/>
    <w:rsid w:val="00145354"/>
    <w:rsid w:val="00152263"/>
    <w:rsid w:val="00154084"/>
    <w:rsid w:val="0015722A"/>
    <w:rsid w:val="001629BA"/>
    <w:rsid w:val="00162FE7"/>
    <w:rsid w:val="00164719"/>
    <w:rsid w:val="00166FC4"/>
    <w:rsid w:val="00167411"/>
    <w:rsid w:val="001677AC"/>
    <w:rsid w:val="0017620F"/>
    <w:rsid w:val="001804EA"/>
    <w:rsid w:val="0018111D"/>
    <w:rsid w:val="00181E7B"/>
    <w:rsid w:val="00182250"/>
    <w:rsid w:val="00184696"/>
    <w:rsid w:val="00185AF2"/>
    <w:rsid w:val="00185CC8"/>
    <w:rsid w:val="00187930"/>
    <w:rsid w:val="00190A61"/>
    <w:rsid w:val="00190C8A"/>
    <w:rsid w:val="001912E2"/>
    <w:rsid w:val="00196731"/>
    <w:rsid w:val="001A2215"/>
    <w:rsid w:val="001A3342"/>
    <w:rsid w:val="001A3E3D"/>
    <w:rsid w:val="001A425E"/>
    <w:rsid w:val="001A7049"/>
    <w:rsid w:val="001B1E40"/>
    <w:rsid w:val="001C13D1"/>
    <w:rsid w:val="001C2F7F"/>
    <w:rsid w:val="001C6198"/>
    <w:rsid w:val="001C764E"/>
    <w:rsid w:val="001D0E2C"/>
    <w:rsid w:val="001D257D"/>
    <w:rsid w:val="001E1052"/>
    <w:rsid w:val="001E1A51"/>
    <w:rsid w:val="001E21B1"/>
    <w:rsid w:val="001E2F93"/>
    <w:rsid w:val="001E4554"/>
    <w:rsid w:val="001E48B5"/>
    <w:rsid w:val="001E61E5"/>
    <w:rsid w:val="001F2159"/>
    <w:rsid w:val="001F6172"/>
    <w:rsid w:val="00202C47"/>
    <w:rsid w:val="00206E45"/>
    <w:rsid w:val="00210B8B"/>
    <w:rsid w:val="002111DF"/>
    <w:rsid w:val="0021149C"/>
    <w:rsid w:val="00213FF8"/>
    <w:rsid w:val="00214863"/>
    <w:rsid w:val="002156B4"/>
    <w:rsid w:val="002208AA"/>
    <w:rsid w:val="00221D7F"/>
    <w:rsid w:val="00222CF2"/>
    <w:rsid w:val="00224FCD"/>
    <w:rsid w:val="0023000C"/>
    <w:rsid w:val="0023163A"/>
    <w:rsid w:val="00233B1E"/>
    <w:rsid w:val="00234773"/>
    <w:rsid w:val="00240AA6"/>
    <w:rsid w:val="0024160B"/>
    <w:rsid w:val="00243126"/>
    <w:rsid w:val="00244798"/>
    <w:rsid w:val="002470F2"/>
    <w:rsid w:val="00253052"/>
    <w:rsid w:val="00253222"/>
    <w:rsid w:val="002606B2"/>
    <w:rsid w:val="00260F49"/>
    <w:rsid w:val="002610B1"/>
    <w:rsid w:val="00262847"/>
    <w:rsid w:val="00263393"/>
    <w:rsid w:val="002638B1"/>
    <w:rsid w:val="00264CB2"/>
    <w:rsid w:val="00265897"/>
    <w:rsid w:val="002675C8"/>
    <w:rsid w:val="00270A7D"/>
    <w:rsid w:val="0027106C"/>
    <w:rsid w:val="002717AC"/>
    <w:rsid w:val="00272CEC"/>
    <w:rsid w:val="00273040"/>
    <w:rsid w:val="002753EA"/>
    <w:rsid w:val="00275B6C"/>
    <w:rsid w:val="00276A4F"/>
    <w:rsid w:val="00276D3C"/>
    <w:rsid w:val="0028054F"/>
    <w:rsid w:val="00281392"/>
    <w:rsid w:val="00281BB2"/>
    <w:rsid w:val="00284998"/>
    <w:rsid w:val="00287401"/>
    <w:rsid w:val="002908E0"/>
    <w:rsid w:val="00290BC6"/>
    <w:rsid w:val="0029220D"/>
    <w:rsid w:val="002943EE"/>
    <w:rsid w:val="00296FE1"/>
    <w:rsid w:val="002A2DB4"/>
    <w:rsid w:val="002B1E67"/>
    <w:rsid w:val="002B254E"/>
    <w:rsid w:val="002B53A7"/>
    <w:rsid w:val="002B600D"/>
    <w:rsid w:val="002B72E9"/>
    <w:rsid w:val="002C5A3E"/>
    <w:rsid w:val="002C7998"/>
    <w:rsid w:val="002D1477"/>
    <w:rsid w:val="002D653E"/>
    <w:rsid w:val="002D6BAD"/>
    <w:rsid w:val="002E0C6F"/>
    <w:rsid w:val="002E28BD"/>
    <w:rsid w:val="002E57D4"/>
    <w:rsid w:val="002F1E53"/>
    <w:rsid w:val="002F21AC"/>
    <w:rsid w:val="002F2CAA"/>
    <w:rsid w:val="002F2FF5"/>
    <w:rsid w:val="002F365E"/>
    <w:rsid w:val="002F61D3"/>
    <w:rsid w:val="003001BA"/>
    <w:rsid w:val="0030052C"/>
    <w:rsid w:val="00302689"/>
    <w:rsid w:val="003046FC"/>
    <w:rsid w:val="00307526"/>
    <w:rsid w:val="00311D60"/>
    <w:rsid w:val="00313ED8"/>
    <w:rsid w:val="00316BDD"/>
    <w:rsid w:val="00317748"/>
    <w:rsid w:val="00321625"/>
    <w:rsid w:val="00322D4A"/>
    <w:rsid w:val="00325279"/>
    <w:rsid w:val="00327B38"/>
    <w:rsid w:val="003306E1"/>
    <w:rsid w:val="0033189F"/>
    <w:rsid w:val="00331EFE"/>
    <w:rsid w:val="003320E4"/>
    <w:rsid w:val="003324E3"/>
    <w:rsid w:val="00332945"/>
    <w:rsid w:val="0033525D"/>
    <w:rsid w:val="00335C7E"/>
    <w:rsid w:val="00337A12"/>
    <w:rsid w:val="003414F3"/>
    <w:rsid w:val="00341FA0"/>
    <w:rsid w:val="0034486B"/>
    <w:rsid w:val="0034645D"/>
    <w:rsid w:val="00350014"/>
    <w:rsid w:val="00351BA2"/>
    <w:rsid w:val="00355167"/>
    <w:rsid w:val="0035613E"/>
    <w:rsid w:val="00356A4B"/>
    <w:rsid w:val="00363BF4"/>
    <w:rsid w:val="00363EE9"/>
    <w:rsid w:val="003666A6"/>
    <w:rsid w:val="00370A65"/>
    <w:rsid w:val="00374EA9"/>
    <w:rsid w:val="00376128"/>
    <w:rsid w:val="0037742E"/>
    <w:rsid w:val="00377948"/>
    <w:rsid w:val="00377D56"/>
    <w:rsid w:val="0038245A"/>
    <w:rsid w:val="003840E6"/>
    <w:rsid w:val="003840F1"/>
    <w:rsid w:val="00385CFC"/>
    <w:rsid w:val="003877D9"/>
    <w:rsid w:val="003879BE"/>
    <w:rsid w:val="0039179B"/>
    <w:rsid w:val="0039337A"/>
    <w:rsid w:val="00393700"/>
    <w:rsid w:val="00396D20"/>
    <w:rsid w:val="003A0020"/>
    <w:rsid w:val="003A0782"/>
    <w:rsid w:val="003A1D8C"/>
    <w:rsid w:val="003A3189"/>
    <w:rsid w:val="003A3CA7"/>
    <w:rsid w:val="003A505A"/>
    <w:rsid w:val="003A7856"/>
    <w:rsid w:val="003B33BD"/>
    <w:rsid w:val="003B48FE"/>
    <w:rsid w:val="003B569D"/>
    <w:rsid w:val="003B6ACE"/>
    <w:rsid w:val="003C33BF"/>
    <w:rsid w:val="003C362C"/>
    <w:rsid w:val="003C3C0E"/>
    <w:rsid w:val="003C5E79"/>
    <w:rsid w:val="003C79FE"/>
    <w:rsid w:val="003C7B9F"/>
    <w:rsid w:val="003D25AE"/>
    <w:rsid w:val="003D42A6"/>
    <w:rsid w:val="003D4F21"/>
    <w:rsid w:val="003D4FAC"/>
    <w:rsid w:val="003D517E"/>
    <w:rsid w:val="003D587E"/>
    <w:rsid w:val="003E11AB"/>
    <w:rsid w:val="003E71C8"/>
    <w:rsid w:val="003E7906"/>
    <w:rsid w:val="003F0A6C"/>
    <w:rsid w:val="003F3C50"/>
    <w:rsid w:val="003F449D"/>
    <w:rsid w:val="003F4EA2"/>
    <w:rsid w:val="003F6611"/>
    <w:rsid w:val="00400F43"/>
    <w:rsid w:val="00402652"/>
    <w:rsid w:val="00406A6A"/>
    <w:rsid w:val="00406B22"/>
    <w:rsid w:val="00407398"/>
    <w:rsid w:val="00412401"/>
    <w:rsid w:val="004150F6"/>
    <w:rsid w:val="0042156C"/>
    <w:rsid w:val="00421B23"/>
    <w:rsid w:val="00423AFC"/>
    <w:rsid w:val="0042463B"/>
    <w:rsid w:val="00424ED0"/>
    <w:rsid w:val="004252EC"/>
    <w:rsid w:val="004268DC"/>
    <w:rsid w:val="004307BE"/>
    <w:rsid w:val="004328A7"/>
    <w:rsid w:val="00434C74"/>
    <w:rsid w:val="0044401C"/>
    <w:rsid w:val="004440FD"/>
    <w:rsid w:val="00445D37"/>
    <w:rsid w:val="00447E99"/>
    <w:rsid w:val="00456EB4"/>
    <w:rsid w:val="00461C45"/>
    <w:rsid w:val="004627AC"/>
    <w:rsid w:val="004636A0"/>
    <w:rsid w:val="00464656"/>
    <w:rsid w:val="00465562"/>
    <w:rsid w:val="00467614"/>
    <w:rsid w:val="00471831"/>
    <w:rsid w:val="004718F3"/>
    <w:rsid w:val="00475040"/>
    <w:rsid w:val="0048101F"/>
    <w:rsid w:val="004816C6"/>
    <w:rsid w:val="004906C4"/>
    <w:rsid w:val="00493D40"/>
    <w:rsid w:val="004967B6"/>
    <w:rsid w:val="004A15FD"/>
    <w:rsid w:val="004A2483"/>
    <w:rsid w:val="004A4501"/>
    <w:rsid w:val="004A4B5E"/>
    <w:rsid w:val="004A504B"/>
    <w:rsid w:val="004A56C7"/>
    <w:rsid w:val="004A6911"/>
    <w:rsid w:val="004A785D"/>
    <w:rsid w:val="004B0073"/>
    <w:rsid w:val="004B54E0"/>
    <w:rsid w:val="004B646E"/>
    <w:rsid w:val="004B6A41"/>
    <w:rsid w:val="004B6B1A"/>
    <w:rsid w:val="004B7384"/>
    <w:rsid w:val="004B7EE9"/>
    <w:rsid w:val="004C4269"/>
    <w:rsid w:val="004C7962"/>
    <w:rsid w:val="004D0E99"/>
    <w:rsid w:val="004D398A"/>
    <w:rsid w:val="004D42AA"/>
    <w:rsid w:val="004D562C"/>
    <w:rsid w:val="004D6236"/>
    <w:rsid w:val="004D7F73"/>
    <w:rsid w:val="004D7F90"/>
    <w:rsid w:val="004E2077"/>
    <w:rsid w:val="004E4DBB"/>
    <w:rsid w:val="004E4E41"/>
    <w:rsid w:val="004E6EB1"/>
    <w:rsid w:val="004E70EC"/>
    <w:rsid w:val="004E7B7F"/>
    <w:rsid w:val="004E7F9C"/>
    <w:rsid w:val="004F02A4"/>
    <w:rsid w:val="004F1624"/>
    <w:rsid w:val="004F3493"/>
    <w:rsid w:val="004F5143"/>
    <w:rsid w:val="004F5A0B"/>
    <w:rsid w:val="004F5BA6"/>
    <w:rsid w:val="004F601F"/>
    <w:rsid w:val="004F648B"/>
    <w:rsid w:val="00500245"/>
    <w:rsid w:val="00500B3A"/>
    <w:rsid w:val="00504959"/>
    <w:rsid w:val="00504E84"/>
    <w:rsid w:val="00510B8D"/>
    <w:rsid w:val="00512B09"/>
    <w:rsid w:val="00515F4D"/>
    <w:rsid w:val="00516826"/>
    <w:rsid w:val="00521BED"/>
    <w:rsid w:val="005220ED"/>
    <w:rsid w:val="00523447"/>
    <w:rsid w:val="00523F8D"/>
    <w:rsid w:val="005276F7"/>
    <w:rsid w:val="00533796"/>
    <w:rsid w:val="00535492"/>
    <w:rsid w:val="00537343"/>
    <w:rsid w:val="005424B6"/>
    <w:rsid w:val="0054263D"/>
    <w:rsid w:val="00545B7A"/>
    <w:rsid w:val="0054765F"/>
    <w:rsid w:val="00550A21"/>
    <w:rsid w:val="00552726"/>
    <w:rsid w:val="00555D75"/>
    <w:rsid w:val="00560A1C"/>
    <w:rsid w:val="00560DF0"/>
    <w:rsid w:val="00561DA1"/>
    <w:rsid w:val="00562B25"/>
    <w:rsid w:val="00564772"/>
    <w:rsid w:val="0056759C"/>
    <w:rsid w:val="00567612"/>
    <w:rsid w:val="00570FB9"/>
    <w:rsid w:val="00573541"/>
    <w:rsid w:val="00573C17"/>
    <w:rsid w:val="005744E8"/>
    <w:rsid w:val="0058018F"/>
    <w:rsid w:val="0058629F"/>
    <w:rsid w:val="0059513E"/>
    <w:rsid w:val="00595417"/>
    <w:rsid w:val="00595D45"/>
    <w:rsid w:val="00596398"/>
    <w:rsid w:val="005969E0"/>
    <w:rsid w:val="005A098D"/>
    <w:rsid w:val="005A1A0E"/>
    <w:rsid w:val="005A1D60"/>
    <w:rsid w:val="005A377E"/>
    <w:rsid w:val="005A6AA4"/>
    <w:rsid w:val="005A6D9F"/>
    <w:rsid w:val="005A7389"/>
    <w:rsid w:val="005B13C5"/>
    <w:rsid w:val="005B2D22"/>
    <w:rsid w:val="005B48FF"/>
    <w:rsid w:val="005C1CCA"/>
    <w:rsid w:val="005C48A0"/>
    <w:rsid w:val="005C7456"/>
    <w:rsid w:val="005D22EB"/>
    <w:rsid w:val="005D363F"/>
    <w:rsid w:val="005D7808"/>
    <w:rsid w:val="005E3012"/>
    <w:rsid w:val="005E4D46"/>
    <w:rsid w:val="005F045A"/>
    <w:rsid w:val="005F2945"/>
    <w:rsid w:val="005F481A"/>
    <w:rsid w:val="005F4AE4"/>
    <w:rsid w:val="00600580"/>
    <w:rsid w:val="00601245"/>
    <w:rsid w:val="00604C15"/>
    <w:rsid w:val="006059E8"/>
    <w:rsid w:val="00614076"/>
    <w:rsid w:val="006158D5"/>
    <w:rsid w:val="00617CFC"/>
    <w:rsid w:val="00622781"/>
    <w:rsid w:val="00622851"/>
    <w:rsid w:val="00625359"/>
    <w:rsid w:val="00625D83"/>
    <w:rsid w:val="00626498"/>
    <w:rsid w:val="0062773E"/>
    <w:rsid w:val="00630C0E"/>
    <w:rsid w:val="0063411D"/>
    <w:rsid w:val="00640CFC"/>
    <w:rsid w:val="00642C57"/>
    <w:rsid w:val="00646535"/>
    <w:rsid w:val="006558A9"/>
    <w:rsid w:val="00661A86"/>
    <w:rsid w:val="006623E7"/>
    <w:rsid w:val="00662B80"/>
    <w:rsid w:val="00670F6C"/>
    <w:rsid w:val="00676D7F"/>
    <w:rsid w:val="00680AA5"/>
    <w:rsid w:val="0068170E"/>
    <w:rsid w:val="006852C7"/>
    <w:rsid w:val="006852CE"/>
    <w:rsid w:val="00685986"/>
    <w:rsid w:val="00690168"/>
    <w:rsid w:val="00690A8B"/>
    <w:rsid w:val="00692D14"/>
    <w:rsid w:val="00696D9D"/>
    <w:rsid w:val="006A2740"/>
    <w:rsid w:val="006B0ED8"/>
    <w:rsid w:val="006B5EA5"/>
    <w:rsid w:val="006B65C7"/>
    <w:rsid w:val="006C1727"/>
    <w:rsid w:val="006C32FD"/>
    <w:rsid w:val="006C39CE"/>
    <w:rsid w:val="006C3E4B"/>
    <w:rsid w:val="006C6A96"/>
    <w:rsid w:val="006D0FCC"/>
    <w:rsid w:val="006D21F5"/>
    <w:rsid w:val="006E0203"/>
    <w:rsid w:val="006E0D11"/>
    <w:rsid w:val="006E126D"/>
    <w:rsid w:val="006E1DBF"/>
    <w:rsid w:val="006E1FC3"/>
    <w:rsid w:val="006E26A8"/>
    <w:rsid w:val="006E4024"/>
    <w:rsid w:val="006F412C"/>
    <w:rsid w:val="0070044D"/>
    <w:rsid w:val="00704CE9"/>
    <w:rsid w:val="0070616B"/>
    <w:rsid w:val="00706295"/>
    <w:rsid w:val="00706980"/>
    <w:rsid w:val="00706FDA"/>
    <w:rsid w:val="007102DF"/>
    <w:rsid w:val="007112FE"/>
    <w:rsid w:val="00711F9A"/>
    <w:rsid w:val="00712907"/>
    <w:rsid w:val="00713191"/>
    <w:rsid w:val="00713810"/>
    <w:rsid w:val="007177B9"/>
    <w:rsid w:val="00727213"/>
    <w:rsid w:val="007303A5"/>
    <w:rsid w:val="00730B3E"/>
    <w:rsid w:val="007310DD"/>
    <w:rsid w:val="0073284F"/>
    <w:rsid w:val="0073420B"/>
    <w:rsid w:val="00736048"/>
    <w:rsid w:val="0073753A"/>
    <w:rsid w:val="00741254"/>
    <w:rsid w:val="00742F42"/>
    <w:rsid w:val="0074760E"/>
    <w:rsid w:val="007516F4"/>
    <w:rsid w:val="007518F8"/>
    <w:rsid w:val="007529D8"/>
    <w:rsid w:val="00752B09"/>
    <w:rsid w:val="00754ABA"/>
    <w:rsid w:val="00757C70"/>
    <w:rsid w:val="00761732"/>
    <w:rsid w:val="0076425E"/>
    <w:rsid w:val="00765F7E"/>
    <w:rsid w:val="00767209"/>
    <w:rsid w:val="00781742"/>
    <w:rsid w:val="00782B0D"/>
    <w:rsid w:val="00791661"/>
    <w:rsid w:val="00795FD0"/>
    <w:rsid w:val="00797E17"/>
    <w:rsid w:val="007A1546"/>
    <w:rsid w:val="007A228C"/>
    <w:rsid w:val="007A368E"/>
    <w:rsid w:val="007A4B9F"/>
    <w:rsid w:val="007A5868"/>
    <w:rsid w:val="007B04CE"/>
    <w:rsid w:val="007B1C49"/>
    <w:rsid w:val="007B4C2C"/>
    <w:rsid w:val="007B5BD6"/>
    <w:rsid w:val="007B6765"/>
    <w:rsid w:val="007B6871"/>
    <w:rsid w:val="007B7A2F"/>
    <w:rsid w:val="007C0C3E"/>
    <w:rsid w:val="007C1340"/>
    <w:rsid w:val="007C1C50"/>
    <w:rsid w:val="007C2252"/>
    <w:rsid w:val="007C3D33"/>
    <w:rsid w:val="007C637F"/>
    <w:rsid w:val="007C68BE"/>
    <w:rsid w:val="007C7146"/>
    <w:rsid w:val="007C7440"/>
    <w:rsid w:val="007D100E"/>
    <w:rsid w:val="007D2047"/>
    <w:rsid w:val="007D23CD"/>
    <w:rsid w:val="007D294A"/>
    <w:rsid w:val="007D3400"/>
    <w:rsid w:val="007D47D2"/>
    <w:rsid w:val="007D4AFD"/>
    <w:rsid w:val="007D4C2F"/>
    <w:rsid w:val="007D53B9"/>
    <w:rsid w:val="007D6EC0"/>
    <w:rsid w:val="007D7E1D"/>
    <w:rsid w:val="007E3731"/>
    <w:rsid w:val="007E6515"/>
    <w:rsid w:val="007F3126"/>
    <w:rsid w:val="007F35D3"/>
    <w:rsid w:val="007F74AC"/>
    <w:rsid w:val="00801DA5"/>
    <w:rsid w:val="008034B7"/>
    <w:rsid w:val="00803B74"/>
    <w:rsid w:val="008066B7"/>
    <w:rsid w:val="008072D5"/>
    <w:rsid w:val="008119B7"/>
    <w:rsid w:val="0081552A"/>
    <w:rsid w:val="008177A4"/>
    <w:rsid w:val="00820D62"/>
    <w:rsid w:val="0082451E"/>
    <w:rsid w:val="00826F72"/>
    <w:rsid w:val="00831979"/>
    <w:rsid w:val="008342F9"/>
    <w:rsid w:val="00844373"/>
    <w:rsid w:val="008451FE"/>
    <w:rsid w:val="00847064"/>
    <w:rsid w:val="00851352"/>
    <w:rsid w:val="008563F2"/>
    <w:rsid w:val="008569C2"/>
    <w:rsid w:val="00857077"/>
    <w:rsid w:val="008602B4"/>
    <w:rsid w:val="00860C07"/>
    <w:rsid w:val="00863230"/>
    <w:rsid w:val="00863D3A"/>
    <w:rsid w:val="00863EE1"/>
    <w:rsid w:val="00864D06"/>
    <w:rsid w:val="00865BD0"/>
    <w:rsid w:val="0087013C"/>
    <w:rsid w:val="008717D8"/>
    <w:rsid w:val="0087215C"/>
    <w:rsid w:val="008733FA"/>
    <w:rsid w:val="00873DCF"/>
    <w:rsid w:val="00875D25"/>
    <w:rsid w:val="00876E98"/>
    <w:rsid w:val="00880E35"/>
    <w:rsid w:val="00886010"/>
    <w:rsid w:val="008875FE"/>
    <w:rsid w:val="00887F8E"/>
    <w:rsid w:val="00891E54"/>
    <w:rsid w:val="0089253C"/>
    <w:rsid w:val="00893FDD"/>
    <w:rsid w:val="00896234"/>
    <w:rsid w:val="00896978"/>
    <w:rsid w:val="00897E43"/>
    <w:rsid w:val="008A00FA"/>
    <w:rsid w:val="008A08AD"/>
    <w:rsid w:val="008A0B6D"/>
    <w:rsid w:val="008A238D"/>
    <w:rsid w:val="008A6D91"/>
    <w:rsid w:val="008B0A31"/>
    <w:rsid w:val="008B4FB0"/>
    <w:rsid w:val="008B7BEB"/>
    <w:rsid w:val="008C021B"/>
    <w:rsid w:val="008C18B5"/>
    <w:rsid w:val="008C5738"/>
    <w:rsid w:val="008C5AFE"/>
    <w:rsid w:val="008C5D87"/>
    <w:rsid w:val="008C7EAD"/>
    <w:rsid w:val="008D0CFE"/>
    <w:rsid w:val="008D6152"/>
    <w:rsid w:val="008D65EA"/>
    <w:rsid w:val="008D7DBD"/>
    <w:rsid w:val="008E0D00"/>
    <w:rsid w:val="008E3EB7"/>
    <w:rsid w:val="008E3F76"/>
    <w:rsid w:val="008E7BA9"/>
    <w:rsid w:val="008F0F81"/>
    <w:rsid w:val="008F27BF"/>
    <w:rsid w:val="008F2F5F"/>
    <w:rsid w:val="008F3697"/>
    <w:rsid w:val="00904CCA"/>
    <w:rsid w:val="0090769D"/>
    <w:rsid w:val="009118E9"/>
    <w:rsid w:val="00913F15"/>
    <w:rsid w:val="009142EC"/>
    <w:rsid w:val="00915491"/>
    <w:rsid w:val="009154C3"/>
    <w:rsid w:val="00923540"/>
    <w:rsid w:val="00923C9A"/>
    <w:rsid w:val="00925A5D"/>
    <w:rsid w:val="009264D1"/>
    <w:rsid w:val="00926767"/>
    <w:rsid w:val="009269B8"/>
    <w:rsid w:val="00934B31"/>
    <w:rsid w:val="00936008"/>
    <w:rsid w:val="009361D5"/>
    <w:rsid w:val="00937151"/>
    <w:rsid w:val="009428A4"/>
    <w:rsid w:val="009435F3"/>
    <w:rsid w:val="0094558B"/>
    <w:rsid w:val="00947C92"/>
    <w:rsid w:val="00953363"/>
    <w:rsid w:val="009550AD"/>
    <w:rsid w:val="009564F7"/>
    <w:rsid w:val="009620F1"/>
    <w:rsid w:val="00964F7E"/>
    <w:rsid w:val="009659F4"/>
    <w:rsid w:val="009678E9"/>
    <w:rsid w:val="00970D60"/>
    <w:rsid w:val="00970DC4"/>
    <w:rsid w:val="00972DA3"/>
    <w:rsid w:val="009813A0"/>
    <w:rsid w:val="009819E0"/>
    <w:rsid w:val="009834E7"/>
    <w:rsid w:val="00983512"/>
    <w:rsid w:val="009844AE"/>
    <w:rsid w:val="00984BC0"/>
    <w:rsid w:val="00984F75"/>
    <w:rsid w:val="0099390E"/>
    <w:rsid w:val="009960E5"/>
    <w:rsid w:val="009A0AAD"/>
    <w:rsid w:val="009A21CE"/>
    <w:rsid w:val="009A286D"/>
    <w:rsid w:val="009A39D4"/>
    <w:rsid w:val="009A7ADC"/>
    <w:rsid w:val="009B0D30"/>
    <w:rsid w:val="009B101B"/>
    <w:rsid w:val="009B200A"/>
    <w:rsid w:val="009B607E"/>
    <w:rsid w:val="009B632C"/>
    <w:rsid w:val="009B6FC9"/>
    <w:rsid w:val="009C19B7"/>
    <w:rsid w:val="009C2002"/>
    <w:rsid w:val="009C2A20"/>
    <w:rsid w:val="009C5ABB"/>
    <w:rsid w:val="009C63A7"/>
    <w:rsid w:val="009C7CA5"/>
    <w:rsid w:val="009D08E2"/>
    <w:rsid w:val="009D18E7"/>
    <w:rsid w:val="009D286F"/>
    <w:rsid w:val="009D6705"/>
    <w:rsid w:val="009D7C51"/>
    <w:rsid w:val="009E0CBC"/>
    <w:rsid w:val="009E12B4"/>
    <w:rsid w:val="009E196C"/>
    <w:rsid w:val="009F337C"/>
    <w:rsid w:val="009F36BF"/>
    <w:rsid w:val="009F3C47"/>
    <w:rsid w:val="009F6699"/>
    <w:rsid w:val="009F76F2"/>
    <w:rsid w:val="00A00D11"/>
    <w:rsid w:val="00A00ECA"/>
    <w:rsid w:val="00A01D0A"/>
    <w:rsid w:val="00A044BD"/>
    <w:rsid w:val="00A05177"/>
    <w:rsid w:val="00A07A24"/>
    <w:rsid w:val="00A111B6"/>
    <w:rsid w:val="00A14B6D"/>
    <w:rsid w:val="00A15479"/>
    <w:rsid w:val="00A200C8"/>
    <w:rsid w:val="00A20349"/>
    <w:rsid w:val="00A21184"/>
    <w:rsid w:val="00A24F61"/>
    <w:rsid w:val="00A263FF"/>
    <w:rsid w:val="00A26D27"/>
    <w:rsid w:val="00A326B2"/>
    <w:rsid w:val="00A32ED6"/>
    <w:rsid w:val="00A334FF"/>
    <w:rsid w:val="00A37423"/>
    <w:rsid w:val="00A376EE"/>
    <w:rsid w:val="00A42A99"/>
    <w:rsid w:val="00A45B2A"/>
    <w:rsid w:val="00A5151A"/>
    <w:rsid w:val="00A53CAA"/>
    <w:rsid w:val="00A54076"/>
    <w:rsid w:val="00A5577B"/>
    <w:rsid w:val="00A5641C"/>
    <w:rsid w:val="00A57E0A"/>
    <w:rsid w:val="00A60B30"/>
    <w:rsid w:val="00A6144B"/>
    <w:rsid w:val="00A6266D"/>
    <w:rsid w:val="00A62D13"/>
    <w:rsid w:val="00A639B7"/>
    <w:rsid w:val="00A66EBA"/>
    <w:rsid w:val="00A72CBE"/>
    <w:rsid w:val="00A75B5E"/>
    <w:rsid w:val="00A76018"/>
    <w:rsid w:val="00A80791"/>
    <w:rsid w:val="00A81BED"/>
    <w:rsid w:val="00A823F6"/>
    <w:rsid w:val="00A82B58"/>
    <w:rsid w:val="00A84D56"/>
    <w:rsid w:val="00A8568F"/>
    <w:rsid w:val="00A8719E"/>
    <w:rsid w:val="00A90259"/>
    <w:rsid w:val="00A9168F"/>
    <w:rsid w:val="00A93388"/>
    <w:rsid w:val="00A95061"/>
    <w:rsid w:val="00A95C77"/>
    <w:rsid w:val="00AA0A89"/>
    <w:rsid w:val="00AA2DC3"/>
    <w:rsid w:val="00AA6429"/>
    <w:rsid w:val="00AA6B33"/>
    <w:rsid w:val="00AA6C81"/>
    <w:rsid w:val="00AB0E9E"/>
    <w:rsid w:val="00AC01AA"/>
    <w:rsid w:val="00AC053F"/>
    <w:rsid w:val="00AC14C5"/>
    <w:rsid w:val="00AC4F72"/>
    <w:rsid w:val="00AD1894"/>
    <w:rsid w:val="00AD262D"/>
    <w:rsid w:val="00AE07F2"/>
    <w:rsid w:val="00AE09B8"/>
    <w:rsid w:val="00AE189C"/>
    <w:rsid w:val="00AE2210"/>
    <w:rsid w:val="00AE3EAE"/>
    <w:rsid w:val="00AE7F8A"/>
    <w:rsid w:val="00AF373E"/>
    <w:rsid w:val="00AF6175"/>
    <w:rsid w:val="00AF66A7"/>
    <w:rsid w:val="00AF741A"/>
    <w:rsid w:val="00B0121D"/>
    <w:rsid w:val="00B01ADB"/>
    <w:rsid w:val="00B04161"/>
    <w:rsid w:val="00B056F9"/>
    <w:rsid w:val="00B11DA1"/>
    <w:rsid w:val="00B11E3D"/>
    <w:rsid w:val="00B15748"/>
    <w:rsid w:val="00B15F3C"/>
    <w:rsid w:val="00B16987"/>
    <w:rsid w:val="00B17E82"/>
    <w:rsid w:val="00B20B48"/>
    <w:rsid w:val="00B22CED"/>
    <w:rsid w:val="00B23640"/>
    <w:rsid w:val="00B2578B"/>
    <w:rsid w:val="00B27B9C"/>
    <w:rsid w:val="00B3646E"/>
    <w:rsid w:val="00B364CE"/>
    <w:rsid w:val="00B37D08"/>
    <w:rsid w:val="00B4200B"/>
    <w:rsid w:val="00B436C7"/>
    <w:rsid w:val="00B43BCB"/>
    <w:rsid w:val="00B4575A"/>
    <w:rsid w:val="00B461BE"/>
    <w:rsid w:val="00B5416B"/>
    <w:rsid w:val="00B54E1C"/>
    <w:rsid w:val="00B555F9"/>
    <w:rsid w:val="00B575BA"/>
    <w:rsid w:val="00B62069"/>
    <w:rsid w:val="00B65E5B"/>
    <w:rsid w:val="00B711FB"/>
    <w:rsid w:val="00B71608"/>
    <w:rsid w:val="00B76429"/>
    <w:rsid w:val="00B76989"/>
    <w:rsid w:val="00B82745"/>
    <w:rsid w:val="00B8360A"/>
    <w:rsid w:val="00B84B62"/>
    <w:rsid w:val="00B854D2"/>
    <w:rsid w:val="00B85EB9"/>
    <w:rsid w:val="00B860AF"/>
    <w:rsid w:val="00B86471"/>
    <w:rsid w:val="00B91F71"/>
    <w:rsid w:val="00B94B16"/>
    <w:rsid w:val="00B956D4"/>
    <w:rsid w:val="00B97446"/>
    <w:rsid w:val="00BA2A2D"/>
    <w:rsid w:val="00BA7432"/>
    <w:rsid w:val="00BB2764"/>
    <w:rsid w:val="00BB2AF0"/>
    <w:rsid w:val="00BB3B7E"/>
    <w:rsid w:val="00BB578B"/>
    <w:rsid w:val="00BB78FC"/>
    <w:rsid w:val="00BC1AA0"/>
    <w:rsid w:val="00BC2495"/>
    <w:rsid w:val="00BC3EFF"/>
    <w:rsid w:val="00BC7EB9"/>
    <w:rsid w:val="00BD2643"/>
    <w:rsid w:val="00BD56B1"/>
    <w:rsid w:val="00BD5D36"/>
    <w:rsid w:val="00BD6558"/>
    <w:rsid w:val="00BE1AEF"/>
    <w:rsid w:val="00BE26DC"/>
    <w:rsid w:val="00BE374C"/>
    <w:rsid w:val="00BF2F76"/>
    <w:rsid w:val="00BF3022"/>
    <w:rsid w:val="00BF3214"/>
    <w:rsid w:val="00BF4824"/>
    <w:rsid w:val="00BF494C"/>
    <w:rsid w:val="00BF4E1D"/>
    <w:rsid w:val="00BF5573"/>
    <w:rsid w:val="00C00035"/>
    <w:rsid w:val="00C01D2F"/>
    <w:rsid w:val="00C032F3"/>
    <w:rsid w:val="00C079DD"/>
    <w:rsid w:val="00C12EA9"/>
    <w:rsid w:val="00C15867"/>
    <w:rsid w:val="00C21248"/>
    <w:rsid w:val="00C2296D"/>
    <w:rsid w:val="00C23155"/>
    <w:rsid w:val="00C277D8"/>
    <w:rsid w:val="00C36F48"/>
    <w:rsid w:val="00C40C41"/>
    <w:rsid w:val="00C40E06"/>
    <w:rsid w:val="00C42AE0"/>
    <w:rsid w:val="00C45885"/>
    <w:rsid w:val="00C46219"/>
    <w:rsid w:val="00C4729A"/>
    <w:rsid w:val="00C50F22"/>
    <w:rsid w:val="00C57290"/>
    <w:rsid w:val="00C57971"/>
    <w:rsid w:val="00C607F2"/>
    <w:rsid w:val="00C60B94"/>
    <w:rsid w:val="00C62A7A"/>
    <w:rsid w:val="00C62E1A"/>
    <w:rsid w:val="00C65BD7"/>
    <w:rsid w:val="00C67668"/>
    <w:rsid w:val="00C713B2"/>
    <w:rsid w:val="00C73C24"/>
    <w:rsid w:val="00C76BA4"/>
    <w:rsid w:val="00C82064"/>
    <w:rsid w:val="00C83A48"/>
    <w:rsid w:val="00C85865"/>
    <w:rsid w:val="00C85E85"/>
    <w:rsid w:val="00C90685"/>
    <w:rsid w:val="00C9077D"/>
    <w:rsid w:val="00C91331"/>
    <w:rsid w:val="00C93907"/>
    <w:rsid w:val="00CA0CDD"/>
    <w:rsid w:val="00CA2EAE"/>
    <w:rsid w:val="00CA3B41"/>
    <w:rsid w:val="00CA4AC1"/>
    <w:rsid w:val="00CB0316"/>
    <w:rsid w:val="00CB0B11"/>
    <w:rsid w:val="00CB22BC"/>
    <w:rsid w:val="00CB22DF"/>
    <w:rsid w:val="00CB426A"/>
    <w:rsid w:val="00CB5354"/>
    <w:rsid w:val="00CC2BF0"/>
    <w:rsid w:val="00CC2FAA"/>
    <w:rsid w:val="00CC3C9E"/>
    <w:rsid w:val="00CC6A14"/>
    <w:rsid w:val="00CC70A3"/>
    <w:rsid w:val="00CD168E"/>
    <w:rsid w:val="00CD271E"/>
    <w:rsid w:val="00CD4442"/>
    <w:rsid w:val="00CD52E3"/>
    <w:rsid w:val="00CD53C3"/>
    <w:rsid w:val="00CD574E"/>
    <w:rsid w:val="00CD7A99"/>
    <w:rsid w:val="00CE018E"/>
    <w:rsid w:val="00CE4C22"/>
    <w:rsid w:val="00CE76E5"/>
    <w:rsid w:val="00CF0CEF"/>
    <w:rsid w:val="00CF284F"/>
    <w:rsid w:val="00CF3799"/>
    <w:rsid w:val="00CF41EC"/>
    <w:rsid w:val="00CF5D04"/>
    <w:rsid w:val="00D00B90"/>
    <w:rsid w:val="00D04DE4"/>
    <w:rsid w:val="00D063F1"/>
    <w:rsid w:val="00D072DA"/>
    <w:rsid w:val="00D10842"/>
    <w:rsid w:val="00D12197"/>
    <w:rsid w:val="00D14F22"/>
    <w:rsid w:val="00D20506"/>
    <w:rsid w:val="00D22188"/>
    <w:rsid w:val="00D27775"/>
    <w:rsid w:val="00D3182A"/>
    <w:rsid w:val="00D332EA"/>
    <w:rsid w:val="00D40C16"/>
    <w:rsid w:val="00D43328"/>
    <w:rsid w:val="00D43BF0"/>
    <w:rsid w:val="00D44DD7"/>
    <w:rsid w:val="00D4741C"/>
    <w:rsid w:val="00D47FD2"/>
    <w:rsid w:val="00D54916"/>
    <w:rsid w:val="00D56CF8"/>
    <w:rsid w:val="00D573F6"/>
    <w:rsid w:val="00D57918"/>
    <w:rsid w:val="00D70373"/>
    <w:rsid w:val="00D7153C"/>
    <w:rsid w:val="00D73DC6"/>
    <w:rsid w:val="00D74226"/>
    <w:rsid w:val="00D74C1A"/>
    <w:rsid w:val="00D754C1"/>
    <w:rsid w:val="00D7614E"/>
    <w:rsid w:val="00D76CAF"/>
    <w:rsid w:val="00D77393"/>
    <w:rsid w:val="00D7746C"/>
    <w:rsid w:val="00D77A35"/>
    <w:rsid w:val="00D80296"/>
    <w:rsid w:val="00D80D57"/>
    <w:rsid w:val="00D81B3E"/>
    <w:rsid w:val="00D84640"/>
    <w:rsid w:val="00D86E2D"/>
    <w:rsid w:val="00D90C70"/>
    <w:rsid w:val="00D90E49"/>
    <w:rsid w:val="00D95077"/>
    <w:rsid w:val="00D9565D"/>
    <w:rsid w:val="00D96ADE"/>
    <w:rsid w:val="00D96AE3"/>
    <w:rsid w:val="00DA0CE2"/>
    <w:rsid w:val="00DA0F37"/>
    <w:rsid w:val="00DA225E"/>
    <w:rsid w:val="00DA79DA"/>
    <w:rsid w:val="00DB2B47"/>
    <w:rsid w:val="00DB69AF"/>
    <w:rsid w:val="00DB6D16"/>
    <w:rsid w:val="00DC6A10"/>
    <w:rsid w:val="00DC7DD4"/>
    <w:rsid w:val="00DD157F"/>
    <w:rsid w:val="00DD31DF"/>
    <w:rsid w:val="00DD6746"/>
    <w:rsid w:val="00DE1169"/>
    <w:rsid w:val="00DE23ED"/>
    <w:rsid w:val="00DE657E"/>
    <w:rsid w:val="00DE7816"/>
    <w:rsid w:val="00DF08E8"/>
    <w:rsid w:val="00DF0973"/>
    <w:rsid w:val="00DF1CD5"/>
    <w:rsid w:val="00DF4704"/>
    <w:rsid w:val="00DF487C"/>
    <w:rsid w:val="00DF5DAC"/>
    <w:rsid w:val="00DF71FB"/>
    <w:rsid w:val="00E0143A"/>
    <w:rsid w:val="00E024AA"/>
    <w:rsid w:val="00E03C26"/>
    <w:rsid w:val="00E05D5E"/>
    <w:rsid w:val="00E12E65"/>
    <w:rsid w:val="00E15C77"/>
    <w:rsid w:val="00E22461"/>
    <w:rsid w:val="00E22AF6"/>
    <w:rsid w:val="00E250F1"/>
    <w:rsid w:val="00E30530"/>
    <w:rsid w:val="00E32F14"/>
    <w:rsid w:val="00E3550D"/>
    <w:rsid w:val="00E4440A"/>
    <w:rsid w:val="00E4570D"/>
    <w:rsid w:val="00E472D2"/>
    <w:rsid w:val="00E52838"/>
    <w:rsid w:val="00E6015B"/>
    <w:rsid w:val="00E60409"/>
    <w:rsid w:val="00E614E0"/>
    <w:rsid w:val="00E63CCE"/>
    <w:rsid w:val="00E64DD0"/>
    <w:rsid w:val="00E6579B"/>
    <w:rsid w:val="00E67737"/>
    <w:rsid w:val="00E704CD"/>
    <w:rsid w:val="00E71B86"/>
    <w:rsid w:val="00E73F7F"/>
    <w:rsid w:val="00E83A63"/>
    <w:rsid w:val="00E83DA5"/>
    <w:rsid w:val="00E85409"/>
    <w:rsid w:val="00E87965"/>
    <w:rsid w:val="00E96643"/>
    <w:rsid w:val="00EA11DE"/>
    <w:rsid w:val="00EA3274"/>
    <w:rsid w:val="00EA429F"/>
    <w:rsid w:val="00EA4F9E"/>
    <w:rsid w:val="00EA63CA"/>
    <w:rsid w:val="00EA6D3B"/>
    <w:rsid w:val="00EB00AD"/>
    <w:rsid w:val="00EB136C"/>
    <w:rsid w:val="00EB310B"/>
    <w:rsid w:val="00EB31E3"/>
    <w:rsid w:val="00EB382A"/>
    <w:rsid w:val="00EB480E"/>
    <w:rsid w:val="00EB4B7A"/>
    <w:rsid w:val="00EB5EC6"/>
    <w:rsid w:val="00EB65B5"/>
    <w:rsid w:val="00EB7FC9"/>
    <w:rsid w:val="00EC0E2A"/>
    <w:rsid w:val="00EC2B61"/>
    <w:rsid w:val="00EC42D5"/>
    <w:rsid w:val="00EC4B5A"/>
    <w:rsid w:val="00EC612E"/>
    <w:rsid w:val="00ED27E8"/>
    <w:rsid w:val="00ED2864"/>
    <w:rsid w:val="00ED4F3B"/>
    <w:rsid w:val="00ED7137"/>
    <w:rsid w:val="00ED76F1"/>
    <w:rsid w:val="00ED7AE6"/>
    <w:rsid w:val="00EE6AB9"/>
    <w:rsid w:val="00EF06EA"/>
    <w:rsid w:val="00EF54E8"/>
    <w:rsid w:val="00F00E56"/>
    <w:rsid w:val="00F03BCA"/>
    <w:rsid w:val="00F054F9"/>
    <w:rsid w:val="00F06143"/>
    <w:rsid w:val="00F128F8"/>
    <w:rsid w:val="00F13CF8"/>
    <w:rsid w:val="00F15DF3"/>
    <w:rsid w:val="00F207EF"/>
    <w:rsid w:val="00F21088"/>
    <w:rsid w:val="00F2490C"/>
    <w:rsid w:val="00F327E7"/>
    <w:rsid w:val="00F35051"/>
    <w:rsid w:val="00F350E8"/>
    <w:rsid w:val="00F35746"/>
    <w:rsid w:val="00F363CF"/>
    <w:rsid w:val="00F438C7"/>
    <w:rsid w:val="00F4405C"/>
    <w:rsid w:val="00F447C7"/>
    <w:rsid w:val="00F459B4"/>
    <w:rsid w:val="00F45FEC"/>
    <w:rsid w:val="00F5211B"/>
    <w:rsid w:val="00F54790"/>
    <w:rsid w:val="00F554A9"/>
    <w:rsid w:val="00F62093"/>
    <w:rsid w:val="00F63A53"/>
    <w:rsid w:val="00F6668E"/>
    <w:rsid w:val="00F713B4"/>
    <w:rsid w:val="00F716FD"/>
    <w:rsid w:val="00F7661B"/>
    <w:rsid w:val="00F80355"/>
    <w:rsid w:val="00F80C4E"/>
    <w:rsid w:val="00F811F3"/>
    <w:rsid w:val="00F81DBC"/>
    <w:rsid w:val="00F87C43"/>
    <w:rsid w:val="00F945D7"/>
    <w:rsid w:val="00F95DF9"/>
    <w:rsid w:val="00F97426"/>
    <w:rsid w:val="00F97D35"/>
    <w:rsid w:val="00FA26FF"/>
    <w:rsid w:val="00FA426E"/>
    <w:rsid w:val="00FA5722"/>
    <w:rsid w:val="00FA644B"/>
    <w:rsid w:val="00FB0C81"/>
    <w:rsid w:val="00FB1C08"/>
    <w:rsid w:val="00FC2200"/>
    <w:rsid w:val="00FC2540"/>
    <w:rsid w:val="00FC53DC"/>
    <w:rsid w:val="00FC54F5"/>
    <w:rsid w:val="00FD096A"/>
    <w:rsid w:val="00FD303E"/>
    <w:rsid w:val="00FD568D"/>
    <w:rsid w:val="00FD76C3"/>
    <w:rsid w:val="00FE365A"/>
    <w:rsid w:val="00FE40D5"/>
    <w:rsid w:val="00FF0204"/>
    <w:rsid w:val="00FF1228"/>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7C943"/>
  <w15:docId w15:val="{F21A6B79-B3FE-4F76-B0E9-449451F6C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33525D"/>
    <w:pPr>
      <w:numPr>
        <w:numId w:val="23"/>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3"/>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link w:val="Heading3Char3"/>
    <w:qFormat/>
    <w:rsid w:val="0033525D"/>
    <w:pPr>
      <w:widowControl w:val="0"/>
      <w:numPr>
        <w:ilvl w:val="2"/>
        <w:numId w:val="23"/>
      </w:numPr>
      <w:spacing w:after="240"/>
      <w:outlineLvl w:val="2"/>
    </w:pPr>
  </w:style>
  <w:style w:type="paragraph" w:styleId="Heading4">
    <w:name w:val="heading 4"/>
    <w:aliases w:val="Heading 11,para 4,Título 41,heading 4,Heading 41,标题 41"/>
    <w:basedOn w:val="Normal"/>
    <w:next w:val="Heading9"/>
    <w:link w:val="Heading4Char"/>
    <w:qFormat/>
    <w:rsid w:val="007B6871"/>
    <w:pPr>
      <w:keepNext/>
      <w:numPr>
        <w:ilvl w:val="3"/>
        <w:numId w:val="23"/>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23"/>
      </w:numPr>
      <w:spacing w:before="240" w:after="60"/>
      <w:outlineLvl w:val="5"/>
    </w:pPr>
    <w:rPr>
      <w:rFonts w:ascii="Arial" w:hAnsi="Arial"/>
      <w:i/>
    </w:rPr>
  </w:style>
  <w:style w:type="paragraph" w:styleId="Heading7">
    <w:name w:val="heading 7"/>
    <w:basedOn w:val="Normal"/>
    <w:next w:val="Normal"/>
    <w:qFormat/>
    <w:rsid w:val="00A5151A"/>
    <w:pPr>
      <w:numPr>
        <w:ilvl w:val="6"/>
        <w:numId w:val="23"/>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23"/>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uiPriority w:val="9"/>
    <w:rsid w:val="0033525D"/>
    <w:rPr>
      <w:sz w:val="22"/>
      <w:szCs w:val="22"/>
      <w:lang w:val="fr-CA"/>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fr-CA"/>
    </w:rPr>
  </w:style>
  <w:style w:type="paragraph" w:styleId="CommentText">
    <w:name w:val="annotation text"/>
    <w:basedOn w:val="Normal"/>
    <w:link w:val="CommentTextChar"/>
    <w:uiPriority w:val="99"/>
    <w:unhideWhenUsed/>
    <w:rsid w:val="00B04161"/>
    <w:rPr>
      <w:sz w:val="20"/>
      <w:szCs w:val="20"/>
    </w:rPr>
  </w:style>
  <w:style w:type="character" w:customStyle="1" w:styleId="CommentTextChar">
    <w:name w:val="Comment Text Char"/>
    <w:basedOn w:val="DefaultParagraphFont"/>
    <w:link w:val="CommentText"/>
    <w:uiPriority w:val="99"/>
    <w:rsid w:val="00B04161"/>
    <w:rPr>
      <w:lang w:val="fr-CA"/>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fr-CA"/>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Char1,Char1 Char Char"/>
    <w:basedOn w:val="Normal"/>
    <w:link w:val="FootnoteTextChar"/>
    <w:uiPriority w:val="99"/>
    <w:unhideWhenUsed/>
    <w:qFormat/>
    <w:rsid w:val="006E126D"/>
    <w:rPr>
      <w:sz w:val="20"/>
      <w:szCs w:val="20"/>
    </w:rPr>
  </w:style>
  <w:style w:type="character" w:customStyle="1" w:styleId="FootnoteTextChar">
    <w:name w:val="Footnote Text Char"/>
    <w:aliases w:val="Char1 Char,Char1 Char Char Char"/>
    <w:basedOn w:val="DefaultParagraphFont"/>
    <w:link w:val="FootnoteText"/>
    <w:uiPriority w:val="99"/>
    <w:rsid w:val="006E126D"/>
    <w:rPr>
      <w:lang w:val="fr-CA"/>
    </w:rPr>
  </w:style>
  <w:style w:type="character" w:styleId="FootnoteReference">
    <w:name w:val="footnote reference"/>
    <w:basedOn w:val="DefaultParagraphFont"/>
    <w:uiPriority w:val="99"/>
    <w:unhideWhenUsed/>
    <w:rsid w:val="006E126D"/>
    <w:rPr>
      <w:vertAlign w:val="superscript"/>
    </w:rPr>
  </w:style>
  <w:style w:type="paragraph" w:styleId="ListParagraph">
    <w:name w:val="List Paragraph"/>
    <w:aliases w:val="Lista viñetas,Viñetas (Inicio Parrafo),3 Txt tabla,Zerrenda-paragrafoa,1st level - Bullet List Paragraph,Lettre d'introduction,Task Body,figures,Bullet List,Bullets_normal,Bullet WP tables,Bullet OSM,Bullets,CORE-1.1.1"/>
    <w:basedOn w:val="Normal"/>
    <w:link w:val="ListParagraphChar"/>
    <w:uiPriority w:val="99"/>
    <w:qFormat/>
    <w:rsid w:val="00EB31E3"/>
    <w:pPr>
      <w:ind w:left="720"/>
      <w:contextualSpacing/>
    </w:pPr>
  </w:style>
  <w:style w:type="character" w:customStyle="1" w:styleId="ListParagraphChar">
    <w:name w:val="List Paragraph Char"/>
    <w:aliases w:val="Lista viñetas Char,Viñetas (Inicio Parrafo) Char,3 Txt tabla Char,Zerrenda-paragrafoa Char,1st level - Bullet List Paragraph Char,Lettre d'introduction Char,Task Body Char,figures Char,Bullet List Char,Bullets_normal Char"/>
    <w:basedOn w:val="DefaultParagraphFont"/>
    <w:link w:val="ListParagraph"/>
    <w:uiPriority w:val="34"/>
    <w:qFormat/>
    <w:locked/>
    <w:rsid w:val="00EB31E3"/>
    <w:rPr>
      <w:sz w:val="22"/>
      <w:szCs w:val="22"/>
      <w:lang w:val="fr-CA"/>
    </w:rPr>
  </w:style>
  <w:style w:type="paragraph" w:customStyle="1" w:styleId="Default">
    <w:name w:val="Default"/>
    <w:rsid w:val="00EB31E3"/>
    <w:pPr>
      <w:widowControl w:val="0"/>
      <w:autoSpaceDE w:val="0"/>
      <w:autoSpaceDN w:val="0"/>
      <w:adjustRightInd w:val="0"/>
    </w:pPr>
    <w:rPr>
      <w:color w:val="000000"/>
      <w:sz w:val="24"/>
      <w:szCs w:val="24"/>
    </w:rPr>
  </w:style>
  <w:style w:type="table" w:customStyle="1" w:styleId="TableGrid10">
    <w:name w:val="Table Grid1"/>
    <w:basedOn w:val="TableNormal"/>
    <w:next w:val="TableGrid"/>
    <w:uiPriority w:val="59"/>
    <w:rsid w:val="00EB31E3"/>
    <w:pPr>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B31E3"/>
    <w:rPr>
      <w:sz w:val="22"/>
      <w:szCs w:val="22"/>
    </w:rPr>
  </w:style>
  <w:style w:type="paragraph" w:styleId="NormalWeb">
    <w:name w:val="Normal (Web)"/>
    <w:basedOn w:val="Normal"/>
    <w:uiPriority w:val="99"/>
    <w:semiHidden/>
    <w:unhideWhenUsed/>
    <w:rsid w:val="00EB31E3"/>
    <w:pPr>
      <w:jc w:val="left"/>
    </w:pPr>
    <w:rPr>
      <w:rFonts w:eastAsiaTheme="minorHAnsi"/>
      <w:sz w:val="24"/>
      <w:szCs w:val="24"/>
    </w:rPr>
  </w:style>
  <w:style w:type="paragraph" w:styleId="EndnoteText">
    <w:name w:val="endnote text"/>
    <w:basedOn w:val="Normal"/>
    <w:link w:val="EndnoteTextChar"/>
    <w:uiPriority w:val="99"/>
    <w:semiHidden/>
    <w:unhideWhenUsed/>
    <w:rsid w:val="00EB31E3"/>
    <w:rPr>
      <w:sz w:val="20"/>
      <w:szCs w:val="20"/>
    </w:rPr>
  </w:style>
  <w:style w:type="character" w:customStyle="1" w:styleId="EndnoteTextChar">
    <w:name w:val="Endnote Text Char"/>
    <w:basedOn w:val="DefaultParagraphFont"/>
    <w:link w:val="EndnoteText"/>
    <w:uiPriority w:val="99"/>
    <w:semiHidden/>
    <w:rsid w:val="00EB31E3"/>
    <w:rPr>
      <w:lang w:val="fr-CA"/>
    </w:rPr>
  </w:style>
  <w:style w:type="character" w:styleId="EndnoteReference">
    <w:name w:val="endnote reference"/>
    <w:basedOn w:val="DefaultParagraphFont"/>
    <w:uiPriority w:val="99"/>
    <w:semiHidden/>
    <w:unhideWhenUsed/>
    <w:rsid w:val="00EB31E3"/>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link w:val="Heading2"/>
    <w:locked/>
    <w:rsid w:val="0076425E"/>
    <w:rPr>
      <w:sz w:val="22"/>
      <w:szCs w:val="22"/>
      <w:lang w:val="fr-CA"/>
    </w:rPr>
  </w:style>
  <w:style w:type="character" w:customStyle="1" w:styleId="Heading3Char3">
    <w:name w:val="Heading 3 Char3"/>
    <w:aliases w:val="Char Char3,Char Char Char2,Heading 3 Char Char1,Heading 3 Char1 Char1,Heading 3 Char Char Char1,Char Char Char Char1,Char Char1 Char1,Heading 3 Char1 Char Char,Heading 3 Char Char Char Char,Char Char Char Char Char,Char Char1 Char Char"/>
    <w:basedOn w:val="DefaultParagraphFont"/>
    <w:link w:val="Heading3"/>
    <w:uiPriority w:val="99"/>
    <w:rsid w:val="00C00035"/>
    <w:rPr>
      <w:sz w:val="22"/>
      <w:szCs w:val="22"/>
      <w:lang w:val="fr-CA"/>
    </w:rPr>
  </w:style>
  <w:style w:type="paragraph" w:styleId="BodyText2">
    <w:name w:val="Body Text 2"/>
    <w:basedOn w:val="Normal"/>
    <w:link w:val="BodyText2Char"/>
    <w:uiPriority w:val="99"/>
    <w:semiHidden/>
    <w:unhideWhenUsed/>
    <w:rsid w:val="007102DF"/>
    <w:pPr>
      <w:spacing w:after="120" w:line="480" w:lineRule="auto"/>
    </w:pPr>
  </w:style>
  <w:style w:type="character" w:customStyle="1" w:styleId="BodyText2Char">
    <w:name w:val="Body Text 2 Char"/>
    <w:basedOn w:val="DefaultParagraphFont"/>
    <w:link w:val="BodyText2"/>
    <w:uiPriority w:val="99"/>
    <w:semiHidden/>
    <w:rsid w:val="007102DF"/>
    <w:rPr>
      <w:sz w:val="22"/>
      <w:szCs w:val="22"/>
      <w:lang w:val="fr-CA"/>
    </w:rPr>
  </w:style>
  <w:style w:type="paragraph" w:styleId="BodyText">
    <w:name w:val="Body Text"/>
    <w:basedOn w:val="Normal"/>
    <w:link w:val="BodyTextChar"/>
    <w:uiPriority w:val="99"/>
    <w:semiHidden/>
    <w:unhideWhenUsed/>
    <w:rsid w:val="00B2578B"/>
    <w:pPr>
      <w:spacing w:after="120"/>
    </w:pPr>
  </w:style>
  <w:style w:type="character" w:customStyle="1" w:styleId="BodyTextChar">
    <w:name w:val="Body Text Char"/>
    <w:basedOn w:val="DefaultParagraphFont"/>
    <w:link w:val="BodyText"/>
    <w:uiPriority w:val="99"/>
    <w:semiHidden/>
    <w:rsid w:val="00B2578B"/>
    <w:rPr>
      <w:sz w:val="22"/>
      <w:szCs w:val="22"/>
      <w:lang w:val="fr-CA"/>
    </w:rPr>
  </w:style>
  <w:style w:type="character" w:styleId="Hyperlink">
    <w:name w:val="Hyperlink"/>
    <w:basedOn w:val="DefaultParagraphFont"/>
    <w:uiPriority w:val="99"/>
    <w:unhideWhenUsed/>
    <w:rsid w:val="00FE40D5"/>
    <w:rPr>
      <w:color w:val="0000FF" w:themeColor="hyperlink"/>
      <w:u w:val="single"/>
    </w:rPr>
  </w:style>
  <w:style w:type="character" w:styleId="FollowedHyperlink">
    <w:name w:val="FollowedHyperlink"/>
    <w:basedOn w:val="DefaultParagraphFont"/>
    <w:uiPriority w:val="99"/>
    <w:semiHidden/>
    <w:unhideWhenUsed/>
    <w:rsid w:val="00FE40D5"/>
    <w:rPr>
      <w:color w:val="800080" w:themeColor="followedHyperlink"/>
      <w:u w:val="single"/>
    </w:rPr>
  </w:style>
  <w:style w:type="character" w:customStyle="1" w:styleId="Heading4Char">
    <w:name w:val="Heading 4 Char"/>
    <w:aliases w:val="Heading 11 Char,para 4 Char,Título 41 Char,heading 4 Char,Heading 41 Char,标题 41 Char"/>
    <w:basedOn w:val="DefaultParagraphFont"/>
    <w:link w:val="Heading4"/>
    <w:uiPriority w:val="9"/>
    <w:locked/>
    <w:rsid w:val="003D587E"/>
    <w:rPr>
      <w:sz w:val="22"/>
      <w:szCs w:val="22"/>
    </w:rPr>
  </w:style>
  <w:style w:type="paragraph" w:customStyle="1" w:styleId="StyleHeading1Para1Heading1CharHeading1Char3CharHeadin">
    <w:name w:val="Style Heading 1Para (1)Heading 1 CharHeading 1 Char3 CharHeadin..."/>
    <w:basedOn w:val="Heading1"/>
    <w:uiPriority w:val="99"/>
    <w:rsid w:val="003D587E"/>
    <w:pPr>
      <w:numPr>
        <w:numId w:val="0"/>
      </w:numPr>
      <w:tabs>
        <w:tab w:val="left" w:pos="720"/>
      </w:tabs>
    </w:pPr>
    <w:rPr>
      <w:szCs w:val="20"/>
      <w:lang w:val="en-GB"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08927">
      <w:bodyDiv w:val="1"/>
      <w:marLeft w:val="0"/>
      <w:marRight w:val="0"/>
      <w:marTop w:val="0"/>
      <w:marBottom w:val="0"/>
      <w:divBdr>
        <w:top w:val="none" w:sz="0" w:space="0" w:color="auto"/>
        <w:left w:val="none" w:sz="0" w:space="0" w:color="auto"/>
        <w:bottom w:val="none" w:sz="0" w:space="0" w:color="auto"/>
        <w:right w:val="none" w:sz="0" w:space="0" w:color="auto"/>
      </w:divBdr>
    </w:div>
    <w:div w:id="152137634">
      <w:bodyDiv w:val="1"/>
      <w:marLeft w:val="0"/>
      <w:marRight w:val="0"/>
      <w:marTop w:val="0"/>
      <w:marBottom w:val="0"/>
      <w:divBdr>
        <w:top w:val="none" w:sz="0" w:space="0" w:color="auto"/>
        <w:left w:val="none" w:sz="0" w:space="0" w:color="auto"/>
        <w:bottom w:val="none" w:sz="0" w:space="0" w:color="auto"/>
        <w:right w:val="none" w:sz="0" w:space="0" w:color="auto"/>
      </w:divBdr>
    </w:div>
    <w:div w:id="254442983">
      <w:bodyDiv w:val="1"/>
      <w:marLeft w:val="0"/>
      <w:marRight w:val="0"/>
      <w:marTop w:val="0"/>
      <w:marBottom w:val="0"/>
      <w:divBdr>
        <w:top w:val="none" w:sz="0" w:space="0" w:color="auto"/>
        <w:left w:val="none" w:sz="0" w:space="0" w:color="auto"/>
        <w:bottom w:val="none" w:sz="0" w:space="0" w:color="auto"/>
        <w:right w:val="none" w:sz="0" w:space="0" w:color="auto"/>
      </w:divBdr>
    </w:div>
    <w:div w:id="324675771">
      <w:bodyDiv w:val="1"/>
      <w:marLeft w:val="0"/>
      <w:marRight w:val="0"/>
      <w:marTop w:val="0"/>
      <w:marBottom w:val="0"/>
      <w:divBdr>
        <w:top w:val="none" w:sz="0" w:space="0" w:color="auto"/>
        <w:left w:val="none" w:sz="0" w:space="0" w:color="auto"/>
        <w:bottom w:val="none" w:sz="0" w:space="0" w:color="auto"/>
        <w:right w:val="none" w:sz="0" w:space="0" w:color="auto"/>
      </w:divBdr>
    </w:div>
    <w:div w:id="348411381">
      <w:bodyDiv w:val="1"/>
      <w:marLeft w:val="0"/>
      <w:marRight w:val="0"/>
      <w:marTop w:val="0"/>
      <w:marBottom w:val="0"/>
      <w:divBdr>
        <w:top w:val="none" w:sz="0" w:space="0" w:color="auto"/>
        <w:left w:val="none" w:sz="0" w:space="0" w:color="auto"/>
        <w:bottom w:val="none" w:sz="0" w:space="0" w:color="auto"/>
        <w:right w:val="none" w:sz="0" w:space="0" w:color="auto"/>
      </w:divBdr>
    </w:div>
    <w:div w:id="380708968">
      <w:bodyDiv w:val="1"/>
      <w:marLeft w:val="0"/>
      <w:marRight w:val="0"/>
      <w:marTop w:val="0"/>
      <w:marBottom w:val="0"/>
      <w:divBdr>
        <w:top w:val="none" w:sz="0" w:space="0" w:color="auto"/>
        <w:left w:val="none" w:sz="0" w:space="0" w:color="auto"/>
        <w:bottom w:val="none" w:sz="0" w:space="0" w:color="auto"/>
        <w:right w:val="none" w:sz="0" w:space="0" w:color="auto"/>
      </w:divBdr>
    </w:div>
    <w:div w:id="445926790">
      <w:bodyDiv w:val="1"/>
      <w:marLeft w:val="0"/>
      <w:marRight w:val="0"/>
      <w:marTop w:val="0"/>
      <w:marBottom w:val="0"/>
      <w:divBdr>
        <w:top w:val="none" w:sz="0" w:space="0" w:color="auto"/>
        <w:left w:val="none" w:sz="0" w:space="0" w:color="auto"/>
        <w:bottom w:val="none" w:sz="0" w:space="0" w:color="auto"/>
        <w:right w:val="none" w:sz="0" w:space="0" w:color="auto"/>
      </w:divBdr>
    </w:div>
    <w:div w:id="554661304">
      <w:bodyDiv w:val="1"/>
      <w:marLeft w:val="0"/>
      <w:marRight w:val="0"/>
      <w:marTop w:val="0"/>
      <w:marBottom w:val="0"/>
      <w:divBdr>
        <w:top w:val="none" w:sz="0" w:space="0" w:color="auto"/>
        <w:left w:val="none" w:sz="0" w:space="0" w:color="auto"/>
        <w:bottom w:val="none" w:sz="0" w:space="0" w:color="auto"/>
        <w:right w:val="none" w:sz="0" w:space="0" w:color="auto"/>
      </w:divBdr>
    </w:div>
    <w:div w:id="599871677">
      <w:bodyDiv w:val="1"/>
      <w:marLeft w:val="0"/>
      <w:marRight w:val="0"/>
      <w:marTop w:val="0"/>
      <w:marBottom w:val="0"/>
      <w:divBdr>
        <w:top w:val="none" w:sz="0" w:space="0" w:color="auto"/>
        <w:left w:val="none" w:sz="0" w:space="0" w:color="auto"/>
        <w:bottom w:val="none" w:sz="0" w:space="0" w:color="auto"/>
        <w:right w:val="none" w:sz="0" w:space="0" w:color="auto"/>
      </w:divBdr>
    </w:div>
    <w:div w:id="645206369">
      <w:bodyDiv w:val="1"/>
      <w:marLeft w:val="0"/>
      <w:marRight w:val="0"/>
      <w:marTop w:val="0"/>
      <w:marBottom w:val="0"/>
      <w:divBdr>
        <w:top w:val="none" w:sz="0" w:space="0" w:color="auto"/>
        <w:left w:val="none" w:sz="0" w:space="0" w:color="auto"/>
        <w:bottom w:val="none" w:sz="0" w:space="0" w:color="auto"/>
        <w:right w:val="none" w:sz="0" w:space="0" w:color="auto"/>
      </w:divBdr>
    </w:div>
    <w:div w:id="786851334">
      <w:bodyDiv w:val="1"/>
      <w:marLeft w:val="0"/>
      <w:marRight w:val="0"/>
      <w:marTop w:val="0"/>
      <w:marBottom w:val="0"/>
      <w:divBdr>
        <w:top w:val="none" w:sz="0" w:space="0" w:color="auto"/>
        <w:left w:val="none" w:sz="0" w:space="0" w:color="auto"/>
        <w:bottom w:val="none" w:sz="0" w:space="0" w:color="auto"/>
        <w:right w:val="none" w:sz="0" w:space="0" w:color="auto"/>
      </w:divBdr>
    </w:div>
    <w:div w:id="1010331122">
      <w:bodyDiv w:val="1"/>
      <w:marLeft w:val="0"/>
      <w:marRight w:val="0"/>
      <w:marTop w:val="0"/>
      <w:marBottom w:val="0"/>
      <w:divBdr>
        <w:top w:val="none" w:sz="0" w:space="0" w:color="auto"/>
        <w:left w:val="none" w:sz="0" w:space="0" w:color="auto"/>
        <w:bottom w:val="none" w:sz="0" w:space="0" w:color="auto"/>
        <w:right w:val="none" w:sz="0" w:space="0" w:color="auto"/>
      </w:divBdr>
    </w:div>
    <w:div w:id="1189640222">
      <w:bodyDiv w:val="1"/>
      <w:marLeft w:val="0"/>
      <w:marRight w:val="0"/>
      <w:marTop w:val="0"/>
      <w:marBottom w:val="0"/>
      <w:divBdr>
        <w:top w:val="none" w:sz="0" w:space="0" w:color="auto"/>
        <w:left w:val="none" w:sz="0" w:space="0" w:color="auto"/>
        <w:bottom w:val="none" w:sz="0" w:space="0" w:color="auto"/>
        <w:right w:val="none" w:sz="0" w:space="0" w:color="auto"/>
      </w:divBdr>
    </w:div>
    <w:div w:id="1194343234">
      <w:bodyDiv w:val="1"/>
      <w:marLeft w:val="0"/>
      <w:marRight w:val="0"/>
      <w:marTop w:val="0"/>
      <w:marBottom w:val="0"/>
      <w:divBdr>
        <w:top w:val="none" w:sz="0" w:space="0" w:color="auto"/>
        <w:left w:val="none" w:sz="0" w:space="0" w:color="auto"/>
        <w:bottom w:val="none" w:sz="0" w:space="0" w:color="auto"/>
        <w:right w:val="none" w:sz="0" w:space="0" w:color="auto"/>
      </w:divBdr>
    </w:div>
    <w:div w:id="1207908288">
      <w:bodyDiv w:val="1"/>
      <w:marLeft w:val="0"/>
      <w:marRight w:val="0"/>
      <w:marTop w:val="0"/>
      <w:marBottom w:val="0"/>
      <w:divBdr>
        <w:top w:val="none" w:sz="0" w:space="0" w:color="auto"/>
        <w:left w:val="none" w:sz="0" w:space="0" w:color="auto"/>
        <w:bottom w:val="none" w:sz="0" w:space="0" w:color="auto"/>
        <w:right w:val="none" w:sz="0" w:space="0" w:color="auto"/>
      </w:divBdr>
    </w:div>
    <w:div w:id="1299460863">
      <w:bodyDiv w:val="1"/>
      <w:marLeft w:val="0"/>
      <w:marRight w:val="0"/>
      <w:marTop w:val="0"/>
      <w:marBottom w:val="0"/>
      <w:divBdr>
        <w:top w:val="none" w:sz="0" w:space="0" w:color="auto"/>
        <w:left w:val="none" w:sz="0" w:space="0" w:color="auto"/>
        <w:bottom w:val="none" w:sz="0" w:space="0" w:color="auto"/>
        <w:right w:val="none" w:sz="0" w:space="0" w:color="auto"/>
      </w:divBdr>
    </w:div>
    <w:div w:id="1323702432">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605915052">
      <w:bodyDiv w:val="1"/>
      <w:marLeft w:val="0"/>
      <w:marRight w:val="0"/>
      <w:marTop w:val="0"/>
      <w:marBottom w:val="0"/>
      <w:divBdr>
        <w:top w:val="none" w:sz="0" w:space="0" w:color="auto"/>
        <w:left w:val="none" w:sz="0" w:space="0" w:color="auto"/>
        <w:bottom w:val="none" w:sz="0" w:space="0" w:color="auto"/>
        <w:right w:val="none" w:sz="0" w:space="0" w:color="auto"/>
      </w:divBdr>
    </w:div>
    <w:div w:id="1683818625">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2043938619">
      <w:bodyDiv w:val="1"/>
      <w:marLeft w:val="0"/>
      <w:marRight w:val="0"/>
      <w:marTop w:val="0"/>
      <w:marBottom w:val="0"/>
      <w:divBdr>
        <w:top w:val="none" w:sz="0" w:space="0" w:color="auto"/>
        <w:left w:val="none" w:sz="0" w:space="0" w:color="auto"/>
        <w:bottom w:val="none" w:sz="0" w:space="0" w:color="auto"/>
        <w:right w:val="none" w:sz="0" w:space="0" w:color="auto"/>
      </w:divBdr>
    </w:div>
    <w:div w:id="209964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Type xmlns="310e179b-1379-4e79-9b74-d5a32b1812d3">Pre-session</DocumentType>
    <Document_x0020_Number xmlns="8662b4aa-cf42-4f00-a3f0-9d3b4acad230">UNEP/OzL.Pro/ExCom/88/38</Document_x0020_Numb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9F56DB39A5B9F46AA87ED0A960035E8" ma:contentTypeVersion="2" ma:contentTypeDescription="Create a new document." ma:contentTypeScope="" ma:versionID="9a9384c066cc674c8397f85f8985ec5f">
  <xsd:schema xmlns:xsd="http://www.w3.org/2001/XMLSchema" xmlns:p="http://schemas.microsoft.com/office/2006/metadata/properties" xmlns:ns2="8662b4aa-cf42-4f00-a3f0-9d3b4acad230" xmlns:ns3="310e179b-1379-4e79-9b74-d5a32b1812d3" targetNamespace="http://schemas.microsoft.com/office/2006/metadata/properties" ma:root="true" ma:fieldsID="e0755585b90475625861c97e4ef1469a" ns2:_="" ns3:_="">
    <xsd:import namespace="8662b4aa-cf42-4f00-a3f0-9d3b4acad230"/>
    <xsd:import namespace="310e179b-1379-4e79-9b74-d5a32b1812d3"/>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88/"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8E12EC9-9736-4D66-94C4-1B5E348A649F}"/>
</file>

<file path=customXml/itemProps2.xml><?xml version="1.0" encoding="utf-8"?>
<ds:datastoreItem xmlns:ds="http://schemas.openxmlformats.org/officeDocument/2006/customXml" ds:itemID="{A4034C90-6349-4A64-953A-D1B73BA2C69E}"/>
</file>

<file path=customXml/itemProps3.xml><?xml version="1.0" encoding="utf-8"?>
<ds:datastoreItem xmlns:ds="http://schemas.openxmlformats.org/officeDocument/2006/customXml" ds:itemID="{828719DA-A99E-46A7-9C5D-2DFBC2BCC2CA}"/>
</file>

<file path=customXml/itemProps4.xml><?xml version="1.0" encoding="utf-8"?>
<ds:datastoreItem xmlns:ds="http://schemas.openxmlformats.org/officeDocument/2006/customXml" ds:itemID="{CE092B45-246B-43E7-97F9-A12EFF1C2B06}"/>
</file>

<file path=docProps/app.xml><?xml version="1.0" encoding="utf-8"?>
<Properties xmlns="http://schemas.openxmlformats.org/officeDocument/2006/extended-properties" xmlns:vt="http://schemas.openxmlformats.org/officeDocument/2006/docPropsVTypes">
  <Template>Normal</Template>
  <TotalTime>59</TotalTime>
  <Pages>31</Pages>
  <Words>12593</Words>
  <Characters>71786</Characters>
  <Application>Microsoft Office Word</Application>
  <DocSecurity>0</DocSecurity>
  <Lines>598</Lines>
  <Paragraphs>168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Proposition de projet : Bahreïn</vt:lpstr>
      <vt:lpstr>Project proposal:  Bahrain</vt:lpstr>
    </vt:vector>
  </TitlesOfParts>
  <Company>UNMFS</Company>
  <LinksUpToDate>false</LinksUpToDate>
  <CharactersWithSpaces>84211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projet : Bahreïn</dc:title>
  <dc:subject>88th</dc:subject>
  <dc:creator>Dominika Anna Suwik</dc:creator>
  <cp:keywords/>
  <dc:description/>
  <cp:lastModifiedBy>HBE</cp:lastModifiedBy>
  <cp:revision>21</cp:revision>
  <cp:lastPrinted>2001-05-26T16:40:00Z</cp:lastPrinted>
  <dcterms:created xsi:type="dcterms:W3CDTF">2021-11-09T17:20:00Z</dcterms:created>
  <dcterms:modified xsi:type="dcterms:W3CDTF">2021-11-24T17:29:00Z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UNEP/OzL.Pro/ExCom/88/38</vt:lpwstr>
  </property>
  <property fmtid="{D5CDD505-2E9C-101B-9397-08002B2CF9AE}" pid="3" name="Revision date">
    <vt:lpwstr>11/6/2021</vt:lpwstr>
  </property>
  <property fmtid="{D5CDD505-2E9C-101B-9397-08002B2CF9AE}" pid="4" name="ContentTypeId">
    <vt:lpwstr>0x01010009F56DB39A5B9F46AA87ED0A960035E8</vt:lpwstr>
  </property>
</Properties>
</file>