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9" w:type="dxa"/>
        <w:tblInd w:w="-432" w:type="dxa"/>
        <w:tblLayout w:type="fixed"/>
        <w:tblLook w:val="0000" w:firstRow="0" w:lastRow="0" w:firstColumn="0" w:lastColumn="0" w:noHBand="0" w:noVBand="0"/>
      </w:tblPr>
      <w:tblGrid>
        <w:gridCol w:w="2005"/>
        <w:gridCol w:w="3638"/>
        <w:gridCol w:w="4446"/>
      </w:tblGrid>
      <w:tr w:rsidR="00726C89" w:rsidRPr="0052685A" w14:paraId="694A74A5" w14:textId="77777777" w:rsidTr="00A7342F">
        <w:trPr>
          <w:trHeight w:val="702"/>
        </w:trPr>
        <w:tc>
          <w:tcPr>
            <w:tcW w:w="5643" w:type="dxa"/>
            <w:gridSpan w:val="2"/>
            <w:tcBorders>
              <w:bottom w:val="single" w:sz="18" w:space="0" w:color="auto"/>
            </w:tcBorders>
          </w:tcPr>
          <w:p w14:paraId="1E657330" w14:textId="77777777" w:rsidR="00726C89" w:rsidRPr="0052685A" w:rsidRDefault="00726C89" w:rsidP="00BA2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52685A">
              <w:rPr>
                <w:rFonts w:ascii="Univers" w:hAnsi="Univers"/>
                <w:b/>
                <w:sz w:val="28"/>
                <w:szCs w:val="28"/>
                <w:lang w:val="fr-CA"/>
              </w:rPr>
              <w:t>NATIONS</w:t>
            </w:r>
          </w:p>
          <w:p w14:paraId="3500ADF0" w14:textId="77777777" w:rsidR="00726C89" w:rsidRPr="0052685A" w:rsidRDefault="00726C89" w:rsidP="00BA2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52685A">
              <w:rPr>
                <w:rFonts w:ascii="Univers" w:hAnsi="Univers"/>
                <w:b/>
                <w:sz w:val="28"/>
                <w:szCs w:val="28"/>
                <w:lang w:val="fr-CA"/>
              </w:rPr>
              <w:t>UNIES</w:t>
            </w:r>
          </w:p>
        </w:tc>
        <w:tc>
          <w:tcPr>
            <w:tcW w:w="4446" w:type="dxa"/>
            <w:tcBorders>
              <w:bottom w:val="single" w:sz="18" w:space="0" w:color="auto"/>
            </w:tcBorders>
          </w:tcPr>
          <w:p w14:paraId="761D9E2F" w14:textId="77777777" w:rsidR="00726C89" w:rsidRPr="0052685A" w:rsidRDefault="00726C89" w:rsidP="00BA262E">
            <w:pPr>
              <w:jc w:val="right"/>
              <w:rPr>
                <w:sz w:val="52"/>
                <w:szCs w:val="52"/>
                <w:lang w:val="fr-CA"/>
              </w:rPr>
            </w:pPr>
            <w:r w:rsidRPr="0052685A">
              <w:rPr>
                <w:rFonts w:ascii="Univers Bold" w:hAnsi="Univers Bold"/>
                <w:b/>
                <w:sz w:val="72"/>
                <w:lang w:val="fr-CA"/>
              </w:rPr>
              <w:t>EP</w:t>
            </w:r>
          </w:p>
        </w:tc>
      </w:tr>
      <w:tr w:rsidR="00726C89" w:rsidRPr="0052685A" w14:paraId="7A576477" w14:textId="77777777" w:rsidTr="00A73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2"/>
        </w:trPr>
        <w:tc>
          <w:tcPr>
            <w:tcW w:w="2005" w:type="dxa"/>
            <w:tcBorders>
              <w:top w:val="nil"/>
              <w:left w:val="nil"/>
              <w:bottom w:val="single" w:sz="36" w:space="0" w:color="auto"/>
              <w:right w:val="nil"/>
            </w:tcBorders>
          </w:tcPr>
          <w:p w14:paraId="6869DCA5" w14:textId="77777777" w:rsidR="00726C89" w:rsidRPr="0052685A" w:rsidRDefault="00726C89" w:rsidP="00BA262E">
            <w:pPr>
              <w:spacing w:before="120"/>
              <w:rPr>
                <w:lang w:val="fr-CA"/>
              </w:rPr>
            </w:pPr>
            <w:r w:rsidRPr="0052685A">
              <w:rPr>
                <w:noProof/>
                <w:lang w:eastAsia="en-CA"/>
              </w:rPr>
              <mc:AlternateContent>
                <mc:Choice Requires="wpg">
                  <w:drawing>
                    <wp:anchor distT="0" distB="0" distL="114300" distR="114300" simplePos="0" relativeHeight="251658240" behindDoc="0" locked="0" layoutInCell="1" allowOverlap="1" wp14:anchorId="381B5C2D" wp14:editId="0CABFA86">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ED8F4B" id="Group 1" o:spid="_x0000_s1026" style="position:absolute;margin-left:.2pt;margin-top:2.85pt;width:66.5pt;height:127.25pt;z-index:251658240"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KAAAAAAAAACEAfhWsvxIGAAASBgAAFAAAAGRycy9t&#10;ZWRpYS9pbWFnZTEucG5niVBORw0KGgoAAAANSUhEUgAAAMAAAACqAQMAAADBfdJ4AAAAAXNSR0IA&#10;rs4c6QAAAARnQU1BAACxjwv8YQUAAAAgY0hSTQAAeiYAAICEAAD6AAAAgOgAAHUwAADqYAAAOpgA&#10;ABdwnLpRPAAAAAZQTFRFAAAA////pdmf3QAAAAlwSFlzAAAh1QAAIdUBBJy0nQAABWlJREFUWMPN&#10;1z1uHDcUAGCOJxBdBKFKF4KI3CClCifMUZIbpHQhLGezRrbcI+goprABXOoIpqBCpbhQYQZhyLwf&#10;cn60q94LJBbm2yH53uPfivLKR3zr8HASkonCnIJQnDj5xm0Z5EnoM7T0Gdu0C8gydoV7kQuIMkjo&#10;BR+6BQTlTRYEfjUHr29bI9GYGTjzRsLIKCK1m+DTsBLCeo5wux0hWwFDUlETPO9HSLmDv/okA8n9&#10;CDH30L9Y9fyOH+GQeEDrTP8G2+A+Kh50gTeLiiPs4xXFlgyO2H0wDTbhV6Fr9uG9ixH6IGqgmNtw&#10;1iBLL1RNPzxL3S8Vkpyq9wX+Gy4bKKfnxQuXliGq7aKqSZsGi/lRitYMQdsl3I2wfF6eFIN/CVhL&#10;ApMXnTxN4BedPFf46uxydoayqfChW0A0DI/O98sAFcOdc5xCUXOf+luG9UAPIPfcZO4Ybja8ZAYh&#10;6toRDPpPnlzwvJZl+J3hI7UQEXgU7keErHkteQQOyJ9X0K2L2kkgSGYwPFj8aG6VgbpIDJL//krQ&#10;j33X3jNBNKqGhx8OcSDQehpUHZZ7IDBP+HcFqownuLR3PNret2EFhHBZdjxaGSt8jRU0Z0qlmq3n&#10;dI+gk+YwdK6BHDJDNBwG7g0USIQlj+AblBpItAzOcnwTGIbBcnwEtC40gyhzsDhNCC5FDXyELBm6&#10;WiYaLpYq9wjxol8ARttvEN71tX4UOeWkY5AVKFeUkzVCeqfqpOpDg4HgvOZQyHHOuS3A9bnhHEp2&#10;2kkRVueWoM34CSgJoi1QSm9QReRVR2tlXDYbzKL6ArBcTvj5L2oAI/89gvQaZH0jklHP1Fv7dLjd&#10;GoTdAxawSsYSxmK0SPqGgCVTbaNl2LeSl1r0aFcA6mbDIOtawMlwbQAwJM9f9Q2SEbCd9+MTVwHm&#10;4BwsL1CcPgh9bsCzBEEFAlmBJwOBtyJ36TSUGaQGEjc9MYKaAVRQXKsGcYQBYDiGLNcI709AB+BG&#10;kBP0CO/0SyhnCB6BJqcMbTc5k7g+TsBfCmf7W3MEHxHS25+PQX9CuH4JT38bgNX317WmDD1u6taI&#10;YsW1PQJ4WuwQX8LO4Z3AOIA0AeR6d5sQPOw+S1APCPoEPEYAFQDyBJBS+RggwG2EK8QCsnzyABuE&#10;MgF8S95hadfpGApVkM7aCWAkslAFLcIwFgohUwUNrjM31hyilYlAH0PECnoV62xQbd3gvQ1ALqAj&#10;wAqGHgEHpBsoR9BF9YnyTpO6J9A4GURUN7zp110rKjjnoObiQwVTj4mocHFB/t7DPS+300CXFC9h&#10;zHgUXqjPlBMCU/6JF3RAluEHvaec2EzxHeL7jsCdwR6PodtC8d3HK75l+F45CgTbg+/exj8UQegQ&#10;IkOPN7rfNEHqdo4mEHYE391EZ3FUuYidgwmPrQy4y/ZxnQmsk3gtGnocgYUzIshETZlIgLcW1+Hh&#10;AQcgXz+K9JgI3AckLvJQDgS7ssca0l6j8QuHsifYl+eAO/0dXyyjesQdTND1Ns4u8/B2qpHbBUBz&#10;oUYOX5lt/HDyDhw53PHzDBzUy3BKRJdnVzJnMUwEqIKZAWxVuJ0IPpeGCdaRTqN6AM/ug3DXkBVg&#10;Fl6ZESSlmG+vQnw3Qr6s5wIfGuNpV9JPfM2h/7l6fSr8ej/C/JeSr2fPdAtt1+fM96IRBmxh1peY&#10;mhbai3qNmgGu2jd1V5oDvqC8GkS7dTI80+Zjt5/rypkNF9vI+sAXVT0C30eiTTaI1r9oXXc4Kdry&#10;HIGO2i0GObRQRBttyQqnWGw/UaaUJBjnYSrkBPhbKNoT4OtbR4C/0LI+AZR2dQLUvCgzyKq19xL0&#10;K8Cfp9egfBvwP1tZ93s3t5HAAAAAAElFTkSuQmCCUEsDBAoAAAAAAAAAIQDgid0cbQkAAG0JAAAU&#10;AAAAZHJzL21lZGlhL2ltYWdlMi5wbmeJUE5HDQoaCgAAAA1JSERSAAAAxgAAALABAwAAAG4ug8IA&#10;AAABc1JHQgCuzhzpAAAABGdBTUEAALGPC/xhBQAAACBjSFJNAAB6JgAAgIQAAPoAAACA6AAAdTAA&#10;AOpgAAA6mAAAF3CculE8AAAABlBMVEUAAAD///+l2Z/dAAAACXBIWXMAACHVAAAh1QEEnLSdAAAI&#10;xElEQVRYw83XT28bxxUA8Dcem+MDy1WRQwhY5ajoF5CRQxmU1ahogfRU9NhbGegDhIIPZRDWuyyN&#10;6CKUPfZgRMdec8zNozAIVcCweuypGWKN6GIgw6hIV/B6X9+b2ZVlRz71UgWkGf64M2/f/Nk3gG/4&#10;K+H/S3z6BnEA+lqpAEBcK04WFSSvyzf0grTAQrwuc/qosEDM0lelop6dIXleUHP/uSKFQZzSP6gr&#10;ifj8irgUK0XyTKNFvLgiNg2XFQ/C3ZbppTyid8eN0nWlxtJcyg7FesyypDdFeFZLNRH8Bck5vc2o&#10;y/NayrEMcfP9cLOVXNdSeBUDAIgJF0UtnsRzegA4BINQpFGcS3DFl4wLSLndbFLLsf0RLugHukBL&#10;rwTtwDTyLv0vAkVQyhNcot3UUaZ2n5rgXKenGWCOrpFZllO3nnKdfuOBgnGdJIqcLigYF+6HYvD4&#10;6aXMDuiCWZASjEs/a6kg38lErXSVBKlAf24e1vK13EwW85AElmSunygZpTVKDpYeG9HzpYzyRcvp&#10;eb7iAUyeV9AyB6uZNCyHyhq9piR4oOTQa+Fy+ShKdt8UBzSjAJKUb9XfE0csbQVlyoMsilKcZwLX&#10;/k4tLRZKAmf0FokvkumcpGq3aaRILMVW3LKU2FI1QqNLc1OSVHACaTmR04Mgt9Ua10tKAs/rAZjy&#10;vghStiHJMV8UPK9pAEBXBhoxS1zkPuaaBE12PIvyhyUe+FXM9W1aXDr7RS3LOc6LX9Z5o/kzt4Kl&#10;aMv5HHWp4kz8E4sTU5aOSnTVjA8NvcTTT2vpkBiSI5apk7j8ay2bPUPpodYymtzgBC6f1NJlKRY0&#10;OwRWG78VmJ+KLMj2Dq339Qpd15qyP6FhODuOMhykF7jyOC3KpBgbSNf5Koqd4Brz4n5SoPTV21m6&#10;Xq0hSDYmWZYTU+AqR23Ttb8IkmQFzeWDqk+9+SXecWnhU5JqrOCCZI6C10KCiTeFN0FagtpCTdOX&#10;pVLfmaLQQTq1HPBo6+oWmjJKvyPP8bQy4RqrSHQ5SeAZSZuW/5zkhyQnCoMoeArVoK2o/zKt+ljk&#10;mcIHeEQiSDZv0zQ4opRO0s/eA0krbF7dl1HeOqMGsPyNAQ27KTVQ7Ygo75BQWFKDAjDfcjhCfAFV&#10;B+4tWbw4pE0EtGOBKHtLNBdoIfy1HS4rk81IWpDTxzXLbZLukG57x8oHJGLBwjt8my8KsstyQ8yo&#10;4XXJfdDagl+zDNVNqKRkOWdJua9/4BnubEeRLLTtQYhig6S33SERSs2rlEXwGoZtlm6Qj1lyEski&#10;/s2yudmGCg4V5TO/sCBSlpKlQ4K1rEn4qSXpM0mX5bHK4u3/7ZGLH6Cn+iwnSRSxOPKXsk2S/S7h&#10;1lZW/J1FhdbkFVmSqIKFI5B+k+5uHOTLXZAskkVLx7L9Nt/Pn+nLG8/qqI1gcdtvsXyyCzdbxXXy&#10;8FfQTlgeUq6NsAPA0fbd0yq1/3ovg+QvFHH/pWyQGNs5c0MNUaqfC0tLr7+xT5K19tz7X7F8yJKx&#10;DDZGPFla97z9PT+BLmjuvJtZWlm9DU/zAOR+edjhcV0HyZ4BfgKOugR58ULDFo3rmubofjZ9DDgX&#10;JBqoBDCWx5UXxr5lOZgGESVNemhNkaf/vpWHgLNjdxZkzFuYJNEk6iHg4tjtPe2AqO6y3OR8lu87&#10;Rdk5zu1e6ICfEsNuSk2XK9fhXDdCD1WwWyndXOHcJss9+o/lIEy3dM7iB5Q3947d57lJrXkB8JWu&#10;0gvn+yw/s/s8Raof0+TdAurlj2vnRyT+jv2QZTJO7cpBRbvg2hWOJbFjlnGpjx9ZMaF96dxdcK69&#10;suN/kuyjOum1YECSu48ykkLZyQnJHma7tOL6vAu6j8L+Ju3kA5JlCBru8i7o7rOUwj75gMLmBzLE&#10;xJEIFnBPfhpKN152tPcvafefsFTgvjbUkKnlBctYBhmeac/XhH6UocfHcMSCsJX3Ku4nrJ6fGI29&#10;4UiRPM+28jly10FGWleD4ZDlhd3I5/ToFVHGPcOScGxuY7XknSDKYDMtx8NdzeJ5WuUUXIig18Vi&#10;7DJ+1pdjcDmuoJWEqFsbVE25LOWoB+D20W8ls5CDFj/RHZyz9MCNsBghJYv+kgWunBNnLEnmxlyL&#10;FWrNSZpRqr1a8p0q6wap16EWI6HHnPVJFOcGJk8wRk2xzTMqTFikdz2zPOACrkv76CSl5lO+U5yW&#10;Q63nXEHylrlR7ejMlXynmJUjqn58LQJ7RqyKIHZnlHxpuEZiUXiYityHesfq0Q9sysUlC1V8lchd&#10;EJf4m8NQkLIYXH0rzkJ20Cnf2g5FLG/nKeZPxSmEusrLotVNueZbIxfyy8eyilJA0WobfmCukYoD&#10;TNqSivYokxuKk0NiFWW4K32s0koYSPkx90cRUHk16CobpYKeFJ9jnKJUgo/7KovVIEJLCi7sslAR&#10;r3w/gbq2zKSEcCSxXEUvXL8DdaVqhcgmXF+vWZQdbUJd9zqYZjtJLaW2oy7UtTJVJpmZ1VKk2Wgb&#10;mmodhNWuFovgh6KWIxKqF6JQZvyuqmXphEsoOSxUOgiXJbWsaNkpKjZYaGCEg52mjjcZ1fiOc03J&#10;K6WDsqn9lacUFpKEzweSBqw5L9B+SG2BppHjqWr18WXU1HiciDQ8nma2bM4loGJmeRbQ4eDIN1HT&#10;V1X8BR9vnEZooqb0a7g8/lnj+MAXxYHMTCNZFRqNQgvUXco0FOC10ALduDwxyji0UXgGNMfCqh1i&#10;b85m8U6w+ZV6KdnLUyZvCvrKSQ8uz5wuTK2Xp0NeHGEqUc7j5c1ZM8OmDqFTlnn15Mpb9uaVU20t&#10;BpvKIHR/eiXqsBUo2r7DRVdii9XWpK35g3TmlajpG29k2MhejZo7sLSsoQmiOQdDfNB5kzWJaqKm&#10;9jXNxTLxTXIbKemHhaaTaRknw2tn9JQP0Fl9r1fFhldRn/qvyrS+Dr8nHJI310gVzsj6GuEFFN9e&#10;l/DzayV0EZr83jXpmyT+JW8U/J/kv7pTGFLfDSCtAAAAAElFTkSuQmCCUEsDBBQABgAIAAAAIQCo&#10;nDHH3AAAAAYBAAAPAAAAZHJzL2Rvd25yZXYueG1sTI5NS8NAFEX3gv9heII7O/mwVWJeSinqqgi2&#10;QulumnlNQjNvQmaapP/e6UqXl3s59+TLybRioN41lhHiWQSCuLS64QrhZ/fx9ArCecVatZYJ4UoO&#10;lsX9Xa4ybUf+pmHrKxEg7DKFUHvfZVK6siaj3Mx2xKE72d4oH2JfSd2rMcBNK5MoWkijGg4Ptepo&#10;XVN53l4MwueoxlUavw+b82l9PezmX/tNTIiPD9PqDYSnyf+N4aYf1KEITkd7Ye1Ei/AcdgjzFxC3&#10;Mk1DPiIkiygBWeTyv37x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xBK96WAgAA0QcAAA4AAAAAAAAAAAAAAAAAOgIAAGRycy9lMm9Eb2MueG1s&#10;UEsBAi0ACgAAAAAAAAAhAH4VrL8SBgAAEgYAABQAAAAAAAAAAAAAAAAA/AQAAGRycy9tZWRpYS9p&#10;bWFnZTEucG5nUEsBAi0ACgAAAAAAAAAhAOCJ3RxtCQAAbQkAABQAAAAAAAAAAAAAAAAAQAsAAGRy&#10;cy9tZWRpYS9pbWFnZTIucG5nUEsBAi0AFAAGAAgAAAAhAKicMcfcAAAABgEAAA8AAAAAAAAAAAAA&#10;AAAA3xQAAGRycy9kb3ducmV2LnhtbFBLAQItABQABgAIAAAAIQAubPAAxQAAAKUBAAAZAAAAAAAA&#10;AAAAAAAAAOgVAABkcnMvX3JlbHMvZTJvRG9jLnhtbC5yZWxz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3638" w:type="dxa"/>
            <w:tcBorders>
              <w:top w:val="nil"/>
              <w:left w:val="nil"/>
              <w:bottom w:val="single" w:sz="36" w:space="0" w:color="auto"/>
              <w:right w:val="nil"/>
            </w:tcBorders>
          </w:tcPr>
          <w:p w14:paraId="4704FD7E" w14:textId="77777777" w:rsidR="00C874B6" w:rsidRDefault="00C874B6" w:rsidP="00BA2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5310031C" w14:textId="742192AD" w:rsidR="00726C89" w:rsidRPr="0052685A" w:rsidRDefault="00726C89" w:rsidP="00BA2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sidRPr="0052685A">
              <w:rPr>
                <w:rFonts w:ascii="Univers" w:hAnsi="Univers"/>
                <w:b/>
                <w:sz w:val="32"/>
                <w:lang w:val="fr-CA"/>
              </w:rPr>
              <w:t>Programme des Nations Unies pour l</w:t>
            </w:r>
            <w:r w:rsidR="00BA262E">
              <w:rPr>
                <w:rFonts w:ascii="Univers" w:hAnsi="Univers"/>
                <w:b/>
                <w:sz w:val="32"/>
                <w:lang w:val="fr-CA"/>
              </w:rPr>
              <w:t>’</w:t>
            </w:r>
            <w:r w:rsidRPr="0052685A">
              <w:rPr>
                <w:rFonts w:ascii="Univers" w:hAnsi="Univers"/>
                <w:b/>
                <w:sz w:val="32"/>
                <w:lang w:val="fr-CA"/>
              </w:rPr>
              <w:t>environnement</w:t>
            </w:r>
          </w:p>
          <w:p w14:paraId="28543645" w14:textId="77777777" w:rsidR="00726C89" w:rsidRPr="0052685A" w:rsidRDefault="00726C89" w:rsidP="00BA262E">
            <w:pPr>
              <w:spacing w:before="720"/>
              <w:ind w:left="158"/>
              <w:rPr>
                <w:lang w:val="fr-CA"/>
              </w:rPr>
            </w:pPr>
          </w:p>
        </w:tc>
        <w:tc>
          <w:tcPr>
            <w:tcW w:w="4446" w:type="dxa"/>
            <w:tcBorders>
              <w:top w:val="nil"/>
              <w:left w:val="nil"/>
              <w:bottom w:val="single" w:sz="36" w:space="0" w:color="auto"/>
              <w:right w:val="nil"/>
            </w:tcBorders>
          </w:tcPr>
          <w:p w14:paraId="742615DC" w14:textId="77777777" w:rsidR="00C874B6" w:rsidRDefault="00C874B6" w:rsidP="00BA262E">
            <w:pPr>
              <w:rPr>
                <w:lang w:val="fr-CA"/>
              </w:rPr>
            </w:pPr>
          </w:p>
          <w:p w14:paraId="00AA8F22" w14:textId="6A024536" w:rsidR="00726C89" w:rsidRPr="0052685A" w:rsidRDefault="00726C89" w:rsidP="00BA262E">
            <w:pPr>
              <w:rPr>
                <w:lang w:val="fr-CA"/>
              </w:rPr>
            </w:pPr>
            <w:proofErr w:type="spellStart"/>
            <w:r w:rsidRPr="0052685A">
              <w:rPr>
                <w:lang w:val="fr-CA"/>
              </w:rPr>
              <w:t>Distr</w:t>
            </w:r>
            <w:proofErr w:type="spellEnd"/>
            <w:r w:rsidRPr="0052685A">
              <w:rPr>
                <w:lang w:val="fr-CA"/>
              </w:rPr>
              <w:t>.</w:t>
            </w:r>
          </w:p>
          <w:p w14:paraId="2A41C6C5" w14:textId="77777777" w:rsidR="00726C89" w:rsidRPr="0052685A" w:rsidRDefault="00726C89" w:rsidP="00BA262E">
            <w:pPr>
              <w:rPr>
                <w:lang w:val="fr-CA"/>
              </w:rPr>
            </w:pPr>
            <w:r w:rsidRPr="0052685A">
              <w:rPr>
                <w:lang w:val="fr-CA"/>
              </w:rPr>
              <w:t>GÉNÉRALE</w:t>
            </w:r>
          </w:p>
          <w:p w14:paraId="38734EFB" w14:textId="77777777" w:rsidR="00726C89" w:rsidRPr="0052685A" w:rsidRDefault="00726C89" w:rsidP="00BA262E">
            <w:pPr>
              <w:rPr>
                <w:lang w:val="fr-CA"/>
              </w:rPr>
            </w:pPr>
          </w:p>
          <w:p w14:paraId="3AA9C93D" w14:textId="181E4177" w:rsidR="00726C89" w:rsidRPr="0052685A" w:rsidRDefault="00726C89" w:rsidP="00BA262E">
            <w:pPr>
              <w:rPr>
                <w:lang w:val="fr-CA"/>
              </w:rPr>
            </w:pPr>
            <w:r w:rsidRPr="0052685A">
              <w:rPr>
                <w:lang w:val="fr-CA"/>
              </w:rPr>
              <w:fldChar w:fldCharType="begin"/>
            </w:r>
            <w:r w:rsidRPr="0052685A">
              <w:rPr>
                <w:lang w:val="fr-CA"/>
              </w:rPr>
              <w:instrText xml:space="preserve"> DOCPROPERTY "Document number"  \* MERGEFORMAT </w:instrText>
            </w:r>
            <w:r w:rsidRPr="0052685A">
              <w:rPr>
                <w:lang w:val="fr-CA"/>
              </w:rPr>
              <w:fldChar w:fldCharType="separate"/>
            </w:r>
            <w:r w:rsidR="00A7342F">
              <w:rPr>
                <w:lang w:val="fr-CA"/>
              </w:rPr>
              <w:t>UNEP/</w:t>
            </w:r>
            <w:proofErr w:type="spellStart"/>
            <w:r w:rsidR="00A7342F">
              <w:rPr>
                <w:lang w:val="fr-CA"/>
              </w:rPr>
              <w:t>OzL.Pro</w:t>
            </w:r>
            <w:proofErr w:type="spellEnd"/>
            <w:r w:rsidR="00A7342F">
              <w:rPr>
                <w:lang w:val="fr-CA"/>
              </w:rPr>
              <w:t>/</w:t>
            </w:r>
            <w:proofErr w:type="spellStart"/>
            <w:r w:rsidR="00A7342F">
              <w:rPr>
                <w:lang w:val="fr-CA"/>
              </w:rPr>
              <w:t>ExCom</w:t>
            </w:r>
            <w:proofErr w:type="spellEnd"/>
            <w:r w:rsidR="00A7342F">
              <w:rPr>
                <w:lang w:val="fr-CA"/>
              </w:rPr>
              <w:t>/88/36</w:t>
            </w:r>
            <w:r w:rsidRPr="0052685A">
              <w:rPr>
                <w:lang w:val="fr-CA"/>
              </w:rPr>
              <w:fldChar w:fldCharType="end"/>
            </w:r>
          </w:p>
          <w:p w14:paraId="1E9A076C" w14:textId="752139A2" w:rsidR="00726C89" w:rsidRPr="0052685A" w:rsidRDefault="00726C89" w:rsidP="00BA262E">
            <w:pPr>
              <w:rPr>
                <w:lang w:val="fr-CA"/>
              </w:rPr>
            </w:pPr>
            <w:r w:rsidRPr="0052685A">
              <w:rPr>
                <w:lang w:val="fr-CA"/>
              </w:rPr>
              <w:fldChar w:fldCharType="begin"/>
            </w:r>
            <w:r w:rsidRPr="0052685A">
              <w:rPr>
                <w:lang w:val="fr-CA"/>
              </w:rPr>
              <w:instrText xml:space="preserve"> DOCPROPERTY "Revision date" \@ "d MMMM YYYY"  \* MERGEFORMAT </w:instrText>
            </w:r>
            <w:r w:rsidRPr="0052685A">
              <w:rPr>
                <w:lang w:val="fr-CA"/>
              </w:rPr>
              <w:fldChar w:fldCharType="separate"/>
            </w:r>
            <w:r w:rsidRPr="0052685A">
              <w:rPr>
                <w:lang w:val="fr-CA"/>
              </w:rPr>
              <w:t>2</w:t>
            </w:r>
            <w:r>
              <w:rPr>
                <w:lang w:val="fr-CA"/>
              </w:rPr>
              <w:t>8 octobre</w:t>
            </w:r>
            <w:r w:rsidRPr="0052685A">
              <w:rPr>
                <w:lang w:val="fr-CA"/>
              </w:rPr>
              <w:t xml:space="preserve"> 2021</w:t>
            </w:r>
            <w:r w:rsidRPr="0052685A">
              <w:rPr>
                <w:lang w:val="fr-CA"/>
              </w:rPr>
              <w:fldChar w:fldCharType="end"/>
            </w:r>
          </w:p>
          <w:p w14:paraId="161B810B" w14:textId="77777777" w:rsidR="00726C89" w:rsidRPr="0052685A" w:rsidRDefault="00726C89" w:rsidP="00BA262E">
            <w:pPr>
              <w:rPr>
                <w:caps/>
                <w:lang w:val="fr-CA"/>
              </w:rPr>
            </w:pPr>
          </w:p>
          <w:p w14:paraId="38324F6C" w14:textId="77777777" w:rsidR="00726C89" w:rsidRPr="0052685A" w:rsidRDefault="00726C89" w:rsidP="00BA262E">
            <w:pPr>
              <w:rPr>
                <w:lang w:val="fr-CA"/>
              </w:rPr>
            </w:pPr>
            <w:r w:rsidRPr="0052685A">
              <w:rPr>
                <w:lang w:val="fr-CA"/>
              </w:rPr>
              <w:t>FRANÇAIS</w:t>
            </w:r>
          </w:p>
          <w:p w14:paraId="7D1DC68F" w14:textId="77777777" w:rsidR="00726C89" w:rsidRPr="0052685A" w:rsidRDefault="00726C89" w:rsidP="00BA262E">
            <w:pPr>
              <w:rPr>
                <w:lang w:val="fr-CA"/>
              </w:rPr>
            </w:pPr>
            <w:r w:rsidRPr="0052685A">
              <w:rPr>
                <w:lang w:val="fr-CA"/>
              </w:rPr>
              <w:t>ORIGINAL : ANGLAIS</w:t>
            </w:r>
          </w:p>
        </w:tc>
      </w:tr>
    </w:tbl>
    <w:p w14:paraId="450C4488" w14:textId="3100B950" w:rsidR="00B86471" w:rsidRPr="00A7342F" w:rsidRDefault="00726C89" w:rsidP="00D325B1">
      <w:pPr>
        <w:suppressAutoHyphens/>
        <w:jc w:val="left"/>
        <w:rPr>
          <w:lang w:val="fr-FR"/>
        </w:rPr>
      </w:pPr>
      <w:r w:rsidRPr="0052685A">
        <w:rPr>
          <w:lang w:val="fr-CA"/>
        </w:rPr>
        <w:t xml:space="preserve">COMITÉ EXÉCUTIF </w:t>
      </w:r>
      <w:r w:rsidRPr="0052685A">
        <w:rPr>
          <w:lang w:val="fr-CA"/>
        </w:rPr>
        <w:br/>
      </w:r>
      <w:r w:rsidR="00BA262E">
        <w:rPr>
          <w:lang w:val="fr-CA"/>
        </w:rPr>
        <w:t> </w:t>
      </w:r>
      <w:r w:rsidR="00D325B1" w:rsidRPr="00D325B1">
        <w:rPr>
          <w:lang w:val="fr-FR"/>
        </w:rPr>
        <w:t xml:space="preserve">DU FONDS MULTILATÉRAL AUX FINS </w:t>
      </w:r>
      <w:r w:rsidR="00D325B1" w:rsidRPr="00D325B1">
        <w:rPr>
          <w:lang w:val="fr-FR"/>
        </w:rPr>
        <w:br/>
      </w:r>
      <w:r w:rsidR="00BA262E">
        <w:rPr>
          <w:lang w:val="fr-FR"/>
        </w:rPr>
        <w:t> </w:t>
      </w:r>
      <w:r w:rsidR="00D325B1" w:rsidRPr="00D325B1">
        <w:rPr>
          <w:lang w:val="fr-FR"/>
        </w:rPr>
        <w:t>D</w:t>
      </w:r>
      <w:r w:rsidR="00BA262E">
        <w:rPr>
          <w:lang w:val="fr-FR"/>
        </w:rPr>
        <w:t>’</w:t>
      </w:r>
      <w:r w:rsidR="00D325B1" w:rsidRPr="00D325B1">
        <w:rPr>
          <w:lang w:val="fr-FR"/>
        </w:rPr>
        <w:t>APPLICATION DU PROTOCOLE DE MONTRÉAL</w:t>
      </w:r>
      <w:r w:rsidR="00D325B1" w:rsidRPr="00D325B1">
        <w:rPr>
          <w:lang w:val="fr-FR"/>
        </w:rPr>
        <w:br/>
        <w:t>Quatre-vingt-huitième réunion</w:t>
      </w:r>
    </w:p>
    <w:p w14:paraId="02ADFF95" w14:textId="4B1A6F5E" w:rsidR="00066CE8" w:rsidRPr="00A7342F" w:rsidRDefault="00D325B1" w:rsidP="00B832BB">
      <w:pPr>
        <w:suppressAutoHyphens/>
        <w:jc w:val="left"/>
        <w:rPr>
          <w:lang w:val="fr-FR"/>
        </w:rPr>
      </w:pPr>
      <w:r w:rsidRPr="00D325B1">
        <w:rPr>
          <w:lang w:val="fr-FR"/>
        </w:rPr>
        <w:t>Montréal, 15-19 novembre 2021</w:t>
      </w:r>
      <w:r w:rsidRPr="00D325B1">
        <w:rPr>
          <w:rStyle w:val="FootnoteReference"/>
          <w:lang w:val="fr-FR"/>
        </w:rPr>
        <w:footnoteReference w:id="1"/>
      </w:r>
    </w:p>
    <w:p w14:paraId="6832B95D" w14:textId="77777777" w:rsidR="00C15867" w:rsidRPr="00A7342F" w:rsidRDefault="00C15867" w:rsidP="00B832BB">
      <w:pPr>
        <w:suppressAutoHyphens/>
        <w:jc w:val="left"/>
        <w:rPr>
          <w:lang w:val="fr-FR"/>
        </w:rPr>
      </w:pPr>
    </w:p>
    <w:p w14:paraId="7CFE1481" w14:textId="77777777" w:rsidR="00066CE8" w:rsidRPr="00A7342F" w:rsidRDefault="00066CE8" w:rsidP="00B832BB">
      <w:pPr>
        <w:suppressAutoHyphens/>
        <w:jc w:val="left"/>
        <w:rPr>
          <w:lang w:val="fr-FR"/>
        </w:rPr>
      </w:pPr>
    </w:p>
    <w:p w14:paraId="3A65830A" w14:textId="77777777" w:rsidR="00066CE8" w:rsidRPr="00A7342F" w:rsidRDefault="00066CE8" w:rsidP="00B832BB">
      <w:pPr>
        <w:suppressAutoHyphens/>
        <w:jc w:val="left"/>
        <w:rPr>
          <w:lang w:val="fr-FR"/>
        </w:rPr>
      </w:pPr>
    </w:p>
    <w:p w14:paraId="6360D8F1" w14:textId="77777777" w:rsidR="00A343FC" w:rsidRPr="00A7342F" w:rsidRDefault="00A343FC" w:rsidP="00B832BB">
      <w:pPr>
        <w:suppressAutoHyphens/>
        <w:rPr>
          <w:lang w:val="fr-FR"/>
        </w:rPr>
      </w:pPr>
    </w:p>
    <w:p w14:paraId="156F8C3D" w14:textId="239D7FD0" w:rsidR="00A343FC" w:rsidRDefault="00715FD8" w:rsidP="00B832BB">
      <w:pPr>
        <w:suppressAutoHyphens/>
        <w:jc w:val="center"/>
        <w:rPr>
          <w:b/>
          <w:lang w:val="fr-FR"/>
        </w:rPr>
      </w:pPr>
      <w:r>
        <w:rPr>
          <w:b/>
          <w:lang w:val="fr-FR"/>
        </w:rPr>
        <w:t>P</w:t>
      </w:r>
      <w:bookmarkStart w:id="0" w:name="_GoBack"/>
      <w:bookmarkEnd w:id="0"/>
      <w:r w:rsidR="00D325B1" w:rsidRPr="00D325B1">
        <w:rPr>
          <w:b/>
          <w:lang w:val="fr-FR"/>
        </w:rPr>
        <w:t>ROPOSITION DE PROJET :</w:t>
      </w:r>
      <w:r w:rsidR="000E52C2" w:rsidRPr="00A7342F">
        <w:rPr>
          <w:b/>
          <w:lang w:val="fr-FR"/>
        </w:rPr>
        <w:t xml:space="preserve"> </w:t>
      </w:r>
      <w:r w:rsidR="00D325B1" w:rsidRPr="00D325B1">
        <w:rPr>
          <w:b/>
          <w:lang w:val="fr-FR"/>
        </w:rPr>
        <w:t>ANGOLA</w:t>
      </w:r>
    </w:p>
    <w:p w14:paraId="0F9169D4" w14:textId="77777777" w:rsidR="00C874B6" w:rsidRPr="00A7342F" w:rsidRDefault="00C874B6" w:rsidP="00B832BB">
      <w:pPr>
        <w:suppressAutoHyphens/>
        <w:jc w:val="center"/>
        <w:rPr>
          <w:b/>
          <w:lang w:val="fr-FR"/>
        </w:rPr>
      </w:pPr>
    </w:p>
    <w:p w14:paraId="7363CF35" w14:textId="77777777" w:rsidR="00A343FC" w:rsidRPr="00A7342F" w:rsidRDefault="00A343FC" w:rsidP="00B832BB">
      <w:pPr>
        <w:suppressAutoHyphens/>
        <w:rPr>
          <w:lang w:val="fr-FR"/>
        </w:rPr>
      </w:pPr>
    </w:p>
    <w:p w14:paraId="5711164B" w14:textId="77777777" w:rsidR="00A343FC" w:rsidRPr="00A7342F" w:rsidRDefault="00A343FC" w:rsidP="00B832BB">
      <w:pPr>
        <w:suppressAutoHyphens/>
        <w:rPr>
          <w:lang w:val="fr-FR"/>
        </w:rPr>
      </w:pPr>
    </w:p>
    <w:p w14:paraId="459126C5" w14:textId="536A5FBF" w:rsidR="00A343FC" w:rsidRPr="00A7342F" w:rsidRDefault="00D325B1" w:rsidP="00B832BB">
      <w:pPr>
        <w:suppressAutoHyphens/>
        <w:ind w:firstLine="720"/>
        <w:rPr>
          <w:lang w:val="fr-FR"/>
        </w:rPr>
      </w:pPr>
      <w:r w:rsidRPr="00D325B1">
        <w:rPr>
          <w:lang w:val="fr-FR"/>
        </w:rPr>
        <w:t>Le présent document comporte les observations et la recommandation du Secrétariat sur la proposition de projet suivante :</w:t>
      </w:r>
      <w:r w:rsidR="00A343FC" w:rsidRPr="00A7342F">
        <w:rPr>
          <w:lang w:val="fr-FR"/>
        </w:rPr>
        <w:t xml:space="preserve"> </w:t>
      </w:r>
    </w:p>
    <w:p w14:paraId="6C892024" w14:textId="77777777" w:rsidR="00A343FC" w:rsidRPr="00A7342F" w:rsidRDefault="00A343FC" w:rsidP="00B832BB">
      <w:pPr>
        <w:suppressAutoHyphens/>
        <w:rPr>
          <w:lang w:val="fr-FR"/>
        </w:rPr>
      </w:pPr>
    </w:p>
    <w:p w14:paraId="63A2F758" w14:textId="34DF352C" w:rsidR="00A343FC" w:rsidRPr="00D325B1" w:rsidRDefault="00D325B1" w:rsidP="00B832BB">
      <w:pPr>
        <w:suppressAutoHyphens/>
        <w:rPr>
          <w:u w:val="single"/>
        </w:rPr>
      </w:pPr>
      <w:r w:rsidRPr="00D325B1">
        <w:rPr>
          <w:u w:val="single"/>
          <w:lang w:val="fr-FR"/>
        </w:rPr>
        <w:t>Élimination</w:t>
      </w:r>
    </w:p>
    <w:p w14:paraId="7DF7C4F4" w14:textId="77777777" w:rsidR="00A343FC" w:rsidRPr="00C0764B" w:rsidRDefault="00A343FC" w:rsidP="00B832BB">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2409"/>
      </w:tblGrid>
      <w:tr w:rsidR="00A343FC" w:rsidRPr="00C0764B" w14:paraId="4EFB6C0C" w14:textId="77777777" w:rsidTr="00D325B1">
        <w:tc>
          <w:tcPr>
            <w:tcW w:w="6941" w:type="dxa"/>
          </w:tcPr>
          <w:p w14:paraId="254BCA9D" w14:textId="2B4D9808" w:rsidR="00A343FC" w:rsidRPr="00A7342F" w:rsidRDefault="00D325B1" w:rsidP="00A7342F">
            <w:pPr>
              <w:pStyle w:val="ListParagraph"/>
              <w:numPr>
                <w:ilvl w:val="0"/>
                <w:numId w:val="22"/>
              </w:numPr>
              <w:suppressAutoHyphens/>
              <w:ind w:hanging="830"/>
              <w:rPr>
                <w:lang w:val="fr-FR"/>
              </w:rPr>
            </w:pPr>
            <w:r w:rsidRPr="00D325B1">
              <w:rPr>
                <w:lang w:val="fr-FR"/>
              </w:rPr>
              <w:t>Plan de gestion de l</w:t>
            </w:r>
            <w:r w:rsidR="00BA262E">
              <w:rPr>
                <w:lang w:val="fr-FR"/>
              </w:rPr>
              <w:t>’</w:t>
            </w:r>
            <w:r w:rsidRPr="00D325B1">
              <w:rPr>
                <w:lang w:val="fr-FR"/>
              </w:rPr>
              <w:t>élimination des HCFC (phase II, deuxième tranche)</w:t>
            </w:r>
          </w:p>
        </w:tc>
        <w:tc>
          <w:tcPr>
            <w:tcW w:w="2409" w:type="dxa"/>
          </w:tcPr>
          <w:p w14:paraId="67A8BA2E" w14:textId="0DDB1086" w:rsidR="00A343FC" w:rsidRPr="00D325B1" w:rsidRDefault="00D325B1" w:rsidP="00723649">
            <w:pPr>
              <w:suppressAutoHyphens/>
              <w:jc w:val="right"/>
            </w:pPr>
            <w:r w:rsidRPr="00D325B1">
              <w:rPr>
                <w:lang w:val="fr-FR"/>
              </w:rPr>
              <w:t>PNUD</w:t>
            </w:r>
          </w:p>
        </w:tc>
      </w:tr>
    </w:tbl>
    <w:p w14:paraId="1E6CF36F" w14:textId="77777777" w:rsidR="00A343FC" w:rsidRPr="00C0764B" w:rsidRDefault="00A343FC" w:rsidP="00B832BB">
      <w:pPr>
        <w:suppressAutoHyphens/>
      </w:pPr>
    </w:p>
    <w:p w14:paraId="54C3B274" w14:textId="77777777" w:rsidR="00A343FC" w:rsidRPr="00C0764B" w:rsidRDefault="00A343FC" w:rsidP="00B832BB">
      <w:pPr>
        <w:suppressAutoHyphens/>
      </w:pPr>
    </w:p>
    <w:p w14:paraId="72A1F0C4" w14:textId="77777777" w:rsidR="00A343FC" w:rsidRPr="00C0764B" w:rsidRDefault="00A343FC" w:rsidP="00B832BB">
      <w:pPr>
        <w:suppressAutoHyphens/>
      </w:pPr>
    </w:p>
    <w:p w14:paraId="499E8D3B" w14:textId="77777777" w:rsidR="00A343FC" w:rsidRPr="00C0764B" w:rsidRDefault="00A343FC" w:rsidP="00B832BB">
      <w:pPr>
        <w:suppressAutoHyphens/>
      </w:pPr>
      <w:r w:rsidRPr="00C0764B">
        <w:br w:type="page"/>
      </w:r>
    </w:p>
    <w:p w14:paraId="629CFE5A" w14:textId="35361050" w:rsidR="0072549C" w:rsidRPr="00A7342F" w:rsidRDefault="00D325B1" w:rsidP="00A7342F">
      <w:pPr>
        <w:suppressAutoHyphens/>
        <w:spacing w:after="240"/>
        <w:jc w:val="center"/>
        <w:rPr>
          <w:b/>
          <w:lang w:val="fr-FR"/>
        </w:rPr>
      </w:pPr>
      <w:r w:rsidRPr="00D325B1">
        <w:rPr>
          <w:b/>
          <w:lang w:val="fr-FR"/>
        </w:rPr>
        <w:lastRenderedPageBreak/>
        <w:t>FICHE D</w:t>
      </w:r>
      <w:r w:rsidR="00BA262E">
        <w:rPr>
          <w:b/>
          <w:lang w:val="fr-FR"/>
        </w:rPr>
        <w:t>’</w:t>
      </w:r>
      <w:r w:rsidRPr="00D325B1">
        <w:rPr>
          <w:b/>
          <w:lang w:val="fr-FR"/>
        </w:rPr>
        <w:t>ÉVALUATION DE PROJET - PROJETS PLURIANNUELS</w:t>
      </w:r>
    </w:p>
    <w:p w14:paraId="35EF0689" w14:textId="143AF6BB" w:rsidR="0072549C" w:rsidRPr="00D325B1" w:rsidRDefault="00D325B1" w:rsidP="00A7342F">
      <w:pPr>
        <w:suppressAutoHyphens/>
        <w:spacing w:after="240"/>
        <w:jc w:val="center"/>
        <w:rPr>
          <w:b/>
        </w:rPr>
      </w:pPr>
      <w:r w:rsidRPr="00D325B1">
        <w:rPr>
          <w:b/>
          <w:lang w:val="fr-FR"/>
        </w:rPr>
        <w:t>ANGOLA</w:t>
      </w:r>
    </w:p>
    <w:tbl>
      <w:tblPr>
        <w:tblStyle w:val="TableGrid"/>
        <w:tblW w:w="10081" w:type="dxa"/>
        <w:tblLayout w:type="fixed"/>
        <w:tblLook w:val="04A0" w:firstRow="1" w:lastRow="0" w:firstColumn="1" w:lastColumn="0" w:noHBand="0" w:noVBand="1"/>
      </w:tblPr>
      <w:tblGrid>
        <w:gridCol w:w="2704"/>
        <w:gridCol w:w="2378"/>
        <w:gridCol w:w="2541"/>
        <w:gridCol w:w="2458"/>
      </w:tblGrid>
      <w:tr w:rsidR="0072549C" w:rsidRPr="00C0764B" w14:paraId="45FBBC44" w14:textId="77777777" w:rsidTr="00A7342F">
        <w:trPr>
          <w:trHeight w:val="257"/>
        </w:trPr>
        <w:tc>
          <w:tcPr>
            <w:tcW w:w="2704" w:type="dxa"/>
            <w:shd w:val="clear" w:color="auto" w:fill="auto"/>
          </w:tcPr>
          <w:p w14:paraId="30D332BD" w14:textId="21F611AE" w:rsidR="0072549C" w:rsidRPr="00D325B1" w:rsidRDefault="00D325B1" w:rsidP="00723649">
            <w:pPr>
              <w:suppressAutoHyphens/>
              <w:spacing w:after="80"/>
              <w:jc w:val="left"/>
              <w:rPr>
                <w:b/>
                <w:sz w:val="18"/>
                <w:szCs w:val="18"/>
              </w:rPr>
            </w:pPr>
            <w:bookmarkStart w:id="1" w:name="tblHere"/>
            <w:r w:rsidRPr="00D325B1">
              <w:rPr>
                <w:b/>
                <w:sz w:val="18"/>
                <w:szCs w:val="18"/>
                <w:lang w:val="fr-FR"/>
              </w:rPr>
              <w:t>(I) TITRE DU PROJET</w:t>
            </w:r>
          </w:p>
        </w:tc>
        <w:tc>
          <w:tcPr>
            <w:tcW w:w="2378" w:type="dxa"/>
            <w:shd w:val="clear" w:color="auto" w:fill="auto"/>
          </w:tcPr>
          <w:p w14:paraId="314E4ABD" w14:textId="420A62F0" w:rsidR="0072549C" w:rsidRPr="00D325B1" w:rsidRDefault="00D325B1" w:rsidP="00723649">
            <w:pPr>
              <w:suppressAutoHyphens/>
              <w:spacing w:after="80"/>
              <w:jc w:val="center"/>
              <w:rPr>
                <w:b/>
                <w:sz w:val="18"/>
                <w:szCs w:val="18"/>
              </w:rPr>
            </w:pPr>
            <w:r w:rsidRPr="00D325B1">
              <w:rPr>
                <w:b/>
                <w:sz w:val="18"/>
                <w:szCs w:val="18"/>
                <w:lang w:val="fr-FR"/>
              </w:rPr>
              <w:t>AGENCE</w:t>
            </w:r>
          </w:p>
        </w:tc>
        <w:tc>
          <w:tcPr>
            <w:tcW w:w="2541" w:type="dxa"/>
            <w:shd w:val="clear" w:color="auto" w:fill="auto"/>
          </w:tcPr>
          <w:p w14:paraId="2395F27A" w14:textId="406789B1" w:rsidR="0072549C" w:rsidRPr="00D325B1" w:rsidRDefault="00D325B1" w:rsidP="00723649">
            <w:pPr>
              <w:suppressAutoHyphens/>
              <w:spacing w:after="80"/>
              <w:jc w:val="center"/>
              <w:rPr>
                <w:b/>
                <w:sz w:val="18"/>
                <w:szCs w:val="18"/>
              </w:rPr>
            </w:pPr>
            <w:r w:rsidRPr="00D325B1">
              <w:rPr>
                <w:b/>
                <w:sz w:val="18"/>
                <w:szCs w:val="18"/>
                <w:lang w:val="fr-FR"/>
              </w:rPr>
              <w:t>RÉUNION D</w:t>
            </w:r>
            <w:r w:rsidR="00BA262E">
              <w:rPr>
                <w:b/>
                <w:sz w:val="18"/>
                <w:szCs w:val="18"/>
                <w:lang w:val="fr-FR"/>
              </w:rPr>
              <w:t>’</w:t>
            </w:r>
            <w:r w:rsidRPr="00D325B1">
              <w:rPr>
                <w:b/>
                <w:sz w:val="18"/>
                <w:szCs w:val="18"/>
                <w:lang w:val="fr-FR"/>
              </w:rPr>
              <w:t>APPROBATION</w:t>
            </w:r>
          </w:p>
        </w:tc>
        <w:tc>
          <w:tcPr>
            <w:tcW w:w="2458" w:type="dxa"/>
            <w:shd w:val="clear" w:color="auto" w:fill="auto"/>
          </w:tcPr>
          <w:p w14:paraId="4A84068A" w14:textId="2AB59552" w:rsidR="0072549C" w:rsidRPr="00D325B1" w:rsidRDefault="00D325B1" w:rsidP="00723649">
            <w:pPr>
              <w:suppressAutoHyphens/>
              <w:spacing w:after="80"/>
              <w:jc w:val="center"/>
              <w:rPr>
                <w:b/>
                <w:sz w:val="18"/>
                <w:szCs w:val="18"/>
              </w:rPr>
            </w:pPr>
            <w:r w:rsidRPr="00D325B1">
              <w:rPr>
                <w:b/>
                <w:sz w:val="18"/>
                <w:szCs w:val="18"/>
                <w:lang w:val="fr-FR"/>
              </w:rPr>
              <w:t>MESURE DE RÉGLEMENTATION</w:t>
            </w:r>
          </w:p>
        </w:tc>
      </w:tr>
      <w:tr w:rsidR="0072549C" w:rsidRPr="00C0764B" w14:paraId="2AD23CAB" w14:textId="77777777" w:rsidTr="00A7342F">
        <w:trPr>
          <w:trHeight w:val="120"/>
        </w:trPr>
        <w:tc>
          <w:tcPr>
            <w:tcW w:w="2704" w:type="dxa"/>
            <w:shd w:val="clear" w:color="auto" w:fill="auto"/>
          </w:tcPr>
          <w:p w14:paraId="65725843" w14:textId="06E200D8" w:rsidR="0072549C" w:rsidRPr="00A7342F" w:rsidRDefault="00D325B1" w:rsidP="00723649">
            <w:pPr>
              <w:suppressAutoHyphens/>
              <w:spacing w:after="80"/>
              <w:jc w:val="center"/>
              <w:rPr>
                <w:sz w:val="18"/>
                <w:szCs w:val="18"/>
                <w:lang w:val="fr-FR"/>
              </w:rPr>
            </w:pPr>
            <w:r w:rsidRPr="00D325B1">
              <w:rPr>
                <w:sz w:val="18"/>
                <w:szCs w:val="18"/>
                <w:lang w:val="fr-FR"/>
              </w:rPr>
              <w:t>Plan de gestion de l</w:t>
            </w:r>
            <w:r w:rsidR="00BA262E">
              <w:rPr>
                <w:sz w:val="18"/>
                <w:szCs w:val="18"/>
                <w:lang w:val="fr-FR"/>
              </w:rPr>
              <w:t>’</w:t>
            </w:r>
            <w:r w:rsidRPr="00D325B1">
              <w:rPr>
                <w:sz w:val="18"/>
                <w:szCs w:val="18"/>
                <w:lang w:val="fr-FR"/>
              </w:rPr>
              <w:t>élimination des HCFC (Phase II)</w:t>
            </w:r>
          </w:p>
        </w:tc>
        <w:tc>
          <w:tcPr>
            <w:tcW w:w="2378" w:type="dxa"/>
            <w:shd w:val="clear" w:color="auto" w:fill="auto"/>
          </w:tcPr>
          <w:p w14:paraId="6EB10131" w14:textId="3E9E9850" w:rsidR="0072549C" w:rsidRPr="00D325B1" w:rsidRDefault="00D325B1" w:rsidP="00723649">
            <w:pPr>
              <w:suppressAutoHyphens/>
              <w:spacing w:after="80"/>
              <w:jc w:val="center"/>
              <w:rPr>
                <w:sz w:val="18"/>
                <w:szCs w:val="18"/>
              </w:rPr>
            </w:pPr>
            <w:r w:rsidRPr="00D325B1">
              <w:rPr>
                <w:sz w:val="18"/>
                <w:szCs w:val="18"/>
                <w:lang w:val="fr-FR"/>
              </w:rPr>
              <w:t>PNUD (agence principale)</w:t>
            </w:r>
          </w:p>
        </w:tc>
        <w:tc>
          <w:tcPr>
            <w:tcW w:w="2541" w:type="dxa"/>
            <w:shd w:val="clear" w:color="auto" w:fill="auto"/>
          </w:tcPr>
          <w:p w14:paraId="1787A280" w14:textId="4A9BFFBA" w:rsidR="0072549C" w:rsidRPr="00C0764B" w:rsidRDefault="00D325B1" w:rsidP="00723649">
            <w:pPr>
              <w:suppressAutoHyphens/>
              <w:spacing w:after="80"/>
              <w:jc w:val="center"/>
              <w:rPr>
                <w:sz w:val="18"/>
                <w:szCs w:val="18"/>
              </w:rPr>
            </w:pPr>
            <w:r w:rsidRPr="00D325B1">
              <w:rPr>
                <w:sz w:val="18"/>
                <w:szCs w:val="18"/>
                <w:lang w:val="fr-FR"/>
              </w:rPr>
              <w:t>79</w:t>
            </w:r>
            <w:r w:rsidRPr="00D325B1">
              <w:rPr>
                <w:sz w:val="18"/>
                <w:szCs w:val="18"/>
                <w:vertAlign w:val="superscript"/>
                <w:lang w:val="fr-FR"/>
              </w:rPr>
              <w:t>e</w:t>
            </w:r>
            <w:r w:rsidR="00BA262E">
              <w:rPr>
                <w:sz w:val="18"/>
                <w:szCs w:val="18"/>
                <w:lang w:val="fr-FR"/>
              </w:rPr>
              <w:t> </w:t>
            </w:r>
          </w:p>
        </w:tc>
        <w:tc>
          <w:tcPr>
            <w:tcW w:w="2458" w:type="dxa"/>
            <w:shd w:val="clear" w:color="auto" w:fill="auto"/>
          </w:tcPr>
          <w:p w14:paraId="4971B8FA" w14:textId="6B8B4DF7" w:rsidR="0072549C" w:rsidRPr="00D325B1" w:rsidRDefault="00D325B1" w:rsidP="00723649">
            <w:pPr>
              <w:suppressAutoHyphens/>
              <w:spacing w:after="80"/>
              <w:jc w:val="center"/>
              <w:rPr>
                <w:sz w:val="18"/>
                <w:szCs w:val="18"/>
              </w:rPr>
            </w:pPr>
            <w:r w:rsidRPr="00D325B1">
              <w:rPr>
                <w:sz w:val="18"/>
                <w:szCs w:val="18"/>
                <w:lang w:val="fr-FR"/>
              </w:rPr>
              <w:t>67,5 % d</w:t>
            </w:r>
            <w:r w:rsidR="00BA262E">
              <w:rPr>
                <w:sz w:val="18"/>
                <w:szCs w:val="18"/>
                <w:lang w:val="fr-FR"/>
              </w:rPr>
              <w:t>’</w:t>
            </w:r>
            <w:r w:rsidRPr="00D325B1">
              <w:rPr>
                <w:sz w:val="18"/>
                <w:szCs w:val="18"/>
                <w:lang w:val="fr-FR"/>
              </w:rPr>
              <w:t>ici 2025</w:t>
            </w:r>
          </w:p>
        </w:tc>
      </w:tr>
      <w:bookmarkEnd w:id="1"/>
    </w:tbl>
    <w:p w14:paraId="5E6E2A89" w14:textId="77777777" w:rsidR="0072549C" w:rsidRPr="00C0764B" w:rsidRDefault="0072549C" w:rsidP="00B832BB">
      <w:pPr>
        <w:suppressAutoHyphens/>
        <w:spacing w:after="60"/>
        <w:jc w:val="center"/>
        <w:rPr>
          <w:sz w:val="18"/>
          <w:szCs w:val="18"/>
        </w:rPr>
      </w:pPr>
    </w:p>
    <w:tbl>
      <w:tblPr>
        <w:tblStyle w:val="TableGrid"/>
        <w:tblW w:w="10127" w:type="dxa"/>
        <w:tblLook w:val="04A0" w:firstRow="1" w:lastRow="0" w:firstColumn="1" w:lastColumn="0" w:noHBand="0" w:noVBand="1"/>
      </w:tblPr>
      <w:tblGrid>
        <w:gridCol w:w="5310"/>
        <w:gridCol w:w="2450"/>
        <w:gridCol w:w="2367"/>
      </w:tblGrid>
      <w:tr w:rsidR="0072549C" w:rsidRPr="00C0764B" w14:paraId="664D7D7B" w14:textId="77777777" w:rsidTr="00A7342F">
        <w:trPr>
          <w:trHeight w:val="307"/>
        </w:trPr>
        <w:tc>
          <w:tcPr>
            <w:tcW w:w="5310" w:type="dxa"/>
            <w:shd w:val="clear" w:color="auto" w:fill="auto"/>
          </w:tcPr>
          <w:p w14:paraId="4362AF5F" w14:textId="20D0138F" w:rsidR="0072549C" w:rsidRPr="00A7342F" w:rsidRDefault="00D325B1" w:rsidP="00723649">
            <w:pPr>
              <w:suppressAutoHyphens/>
              <w:spacing w:after="60"/>
              <w:jc w:val="left"/>
              <w:rPr>
                <w:b/>
                <w:sz w:val="18"/>
                <w:szCs w:val="18"/>
                <w:lang w:val="fr-FR"/>
              </w:rPr>
            </w:pPr>
            <w:r w:rsidRPr="00D325B1">
              <w:rPr>
                <w:b/>
                <w:sz w:val="18"/>
                <w:szCs w:val="18"/>
                <w:lang w:val="fr-FR"/>
              </w:rPr>
              <w:t>(II) DERNIÈRES DONNÉES CONFORMÉMENT À L</w:t>
            </w:r>
            <w:r w:rsidR="00BA262E">
              <w:rPr>
                <w:b/>
                <w:sz w:val="18"/>
                <w:szCs w:val="18"/>
                <w:lang w:val="fr-FR"/>
              </w:rPr>
              <w:t>’</w:t>
            </w:r>
            <w:r w:rsidRPr="00D325B1">
              <w:rPr>
                <w:b/>
                <w:sz w:val="18"/>
                <w:szCs w:val="18"/>
                <w:lang w:val="fr-FR"/>
              </w:rPr>
              <w:t>ARTICLE 7 (Annexe C Groupe l)</w:t>
            </w:r>
          </w:p>
        </w:tc>
        <w:tc>
          <w:tcPr>
            <w:tcW w:w="2450" w:type="dxa"/>
            <w:shd w:val="clear" w:color="auto" w:fill="auto"/>
          </w:tcPr>
          <w:p w14:paraId="3BEEB50A" w14:textId="4A683739" w:rsidR="0072549C" w:rsidRPr="00C0764B" w:rsidRDefault="00D325B1" w:rsidP="00723649">
            <w:pPr>
              <w:suppressAutoHyphens/>
              <w:spacing w:after="60"/>
              <w:jc w:val="center"/>
              <w:rPr>
                <w:sz w:val="18"/>
                <w:szCs w:val="18"/>
              </w:rPr>
            </w:pPr>
            <w:r w:rsidRPr="00D325B1">
              <w:rPr>
                <w:sz w:val="18"/>
                <w:szCs w:val="18"/>
                <w:lang w:val="fr-FR"/>
              </w:rPr>
              <w:t>Année :</w:t>
            </w:r>
            <w:r w:rsidR="0072549C" w:rsidRPr="00D325B1">
              <w:rPr>
                <w:sz w:val="18"/>
                <w:szCs w:val="18"/>
              </w:rPr>
              <w:t xml:space="preserve"> </w:t>
            </w:r>
            <w:r w:rsidR="0072549C" w:rsidRPr="00C0764B">
              <w:rPr>
                <w:sz w:val="18"/>
                <w:szCs w:val="18"/>
              </w:rPr>
              <w:t>20</w:t>
            </w:r>
            <w:r w:rsidR="00C83853">
              <w:rPr>
                <w:sz w:val="18"/>
                <w:szCs w:val="18"/>
              </w:rPr>
              <w:t>20</w:t>
            </w:r>
          </w:p>
        </w:tc>
        <w:tc>
          <w:tcPr>
            <w:tcW w:w="2367" w:type="dxa"/>
            <w:shd w:val="clear" w:color="auto" w:fill="auto"/>
          </w:tcPr>
          <w:p w14:paraId="4FA41F31" w14:textId="2D78E359" w:rsidR="0072549C" w:rsidRPr="00D325B1" w:rsidRDefault="00D325B1" w:rsidP="00723649">
            <w:pPr>
              <w:suppressAutoHyphens/>
              <w:spacing w:after="60"/>
              <w:jc w:val="right"/>
              <w:rPr>
                <w:sz w:val="18"/>
                <w:szCs w:val="18"/>
              </w:rPr>
            </w:pPr>
            <w:r w:rsidRPr="00D325B1">
              <w:rPr>
                <w:sz w:val="18"/>
                <w:szCs w:val="18"/>
                <w:lang w:val="fr-FR"/>
              </w:rPr>
              <w:t>9</w:t>
            </w:r>
            <w:r w:rsidR="00BA262E">
              <w:rPr>
                <w:sz w:val="18"/>
                <w:szCs w:val="18"/>
                <w:lang w:val="fr-FR"/>
              </w:rPr>
              <w:t>,</w:t>
            </w:r>
            <w:r w:rsidRPr="00D325B1">
              <w:rPr>
                <w:sz w:val="18"/>
                <w:szCs w:val="18"/>
                <w:lang w:val="fr-FR"/>
              </w:rPr>
              <w:t>16 (tonnes PAO)</w:t>
            </w:r>
          </w:p>
        </w:tc>
      </w:tr>
    </w:tbl>
    <w:p w14:paraId="45D3B9FD" w14:textId="77777777" w:rsidR="0072549C" w:rsidRPr="00C0764B" w:rsidRDefault="0072549C" w:rsidP="00B832BB">
      <w:pPr>
        <w:suppressAutoHyphens/>
        <w:spacing w:after="60"/>
        <w:jc w:val="center"/>
        <w:rPr>
          <w:sz w:val="18"/>
          <w:szCs w:val="18"/>
        </w:rPr>
      </w:pPr>
    </w:p>
    <w:tbl>
      <w:tblPr>
        <w:tblStyle w:val="TableGrid"/>
        <w:tblW w:w="10126" w:type="dxa"/>
        <w:tblLook w:val="04A0" w:firstRow="1" w:lastRow="0" w:firstColumn="1" w:lastColumn="0" w:noHBand="0" w:noVBand="1"/>
      </w:tblPr>
      <w:tblGrid>
        <w:gridCol w:w="1027"/>
        <w:gridCol w:w="873"/>
        <w:gridCol w:w="847"/>
        <w:gridCol w:w="985"/>
        <w:gridCol w:w="1036"/>
        <w:gridCol w:w="876"/>
        <w:gridCol w:w="767"/>
        <w:gridCol w:w="1317"/>
        <w:gridCol w:w="1050"/>
        <w:gridCol w:w="1348"/>
      </w:tblGrid>
      <w:tr w:rsidR="0072549C" w:rsidRPr="00C0764B" w14:paraId="2421CA22" w14:textId="77777777" w:rsidTr="00A7342F">
        <w:trPr>
          <w:trHeight w:val="261"/>
        </w:trPr>
        <w:tc>
          <w:tcPr>
            <w:tcW w:w="0" w:type="auto"/>
            <w:gridSpan w:val="8"/>
            <w:shd w:val="clear" w:color="auto" w:fill="auto"/>
          </w:tcPr>
          <w:p w14:paraId="669304BC" w14:textId="7E0ACF44" w:rsidR="0072549C" w:rsidRPr="00A7342F" w:rsidRDefault="00D325B1" w:rsidP="00723649">
            <w:pPr>
              <w:suppressAutoHyphens/>
              <w:spacing w:after="60"/>
              <w:jc w:val="left"/>
              <w:rPr>
                <w:b/>
                <w:sz w:val="18"/>
                <w:szCs w:val="18"/>
                <w:lang w:val="fr-FR"/>
              </w:rPr>
            </w:pPr>
            <w:r w:rsidRPr="00D325B1">
              <w:rPr>
                <w:b/>
                <w:sz w:val="18"/>
                <w:szCs w:val="18"/>
                <w:lang w:val="fr-FR"/>
              </w:rPr>
              <w:t>(III) DERNIÈRES DONNÉES SECTORIELLES DU PROGRAMME DE PAYS (tonnes PAO)</w:t>
            </w:r>
          </w:p>
        </w:tc>
        <w:tc>
          <w:tcPr>
            <w:tcW w:w="2424" w:type="dxa"/>
            <w:gridSpan w:val="2"/>
            <w:shd w:val="clear" w:color="auto" w:fill="auto"/>
          </w:tcPr>
          <w:p w14:paraId="31299ABB" w14:textId="474D7E8B" w:rsidR="0072549C" w:rsidRPr="00C0764B" w:rsidRDefault="00D325B1" w:rsidP="00723649">
            <w:pPr>
              <w:suppressAutoHyphens/>
              <w:spacing w:after="60"/>
              <w:jc w:val="right"/>
              <w:rPr>
                <w:b/>
                <w:sz w:val="18"/>
                <w:szCs w:val="18"/>
              </w:rPr>
            </w:pPr>
            <w:r w:rsidRPr="00D325B1">
              <w:rPr>
                <w:b/>
                <w:sz w:val="18"/>
                <w:szCs w:val="18"/>
                <w:lang w:val="fr-FR"/>
              </w:rPr>
              <w:t>Année :</w:t>
            </w:r>
            <w:r w:rsidR="0072549C" w:rsidRPr="00D325B1">
              <w:rPr>
                <w:b/>
                <w:sz w:val="18"/>
                <w:szCs w:val="18"/>
              </w:rPr>
              <w:t xml:space="preserve"> </w:t>
            </w:r>
            <w:r w:rsidR="0072549C" w:rsidRPr="00C0764B">
              <w:rPr>
                <w:b/>
                <w:sz w:val="18"/>
                <w:szCs w:val="18"/>
              </w:rPr>
              <w:t>2020</w:t>
            </w:r>
          </w:p>
        </w:tc>
      </w:tr>
      <w:tr w:rsidR="0072549C" w:rsidRPr="00C0764B" w14:paraId="41BEB04B" w14:textId="77777777" w:rsidTr="00A7342F">
        <w:trPr>
          <w:trHeight w:val="261"/>
        </w:trPr>
        <w:tc>
          <w:tcPr>
            <w:tcW w:w="1027" w:type="dxa"/>
            <w:shd w:val="clear" w:color="auto" w:fill="auto"/>
          </w:tcPr>
          <w:p w14:paraId="3F5437CB" w14:textId="2AD6CF9B" w:rsidR="0072549C" w:rsidRPr="00D325B1" w:rsidRDefault="00D325B1" w:rsidP="00723649">
            <w:pPr>
              <w:suppressAutoHyphens/>
              <w:spacing w:after="60"/>
              <w:jc w:val="center"/>
              <w:rPr>
                <w:sz w:val="18"/>
                <w:szCs w:val="18"/>
              </w:rPr>
            </w:pPr>
            <w:r w:rsidRPr="00D325B1">
              <w:rPr>
                <w:sz w:val="18"/>
                <w:szCs w:val="18"/>
                <w:lang w:val="fr-FR"/>
              </w:rPr>
              <w:t>Substance chimique</w:t>
            </w:r>
          </w:p>
        </w:tc>
        <w:tc>
          <w:tcPr>
            <w:tcW w:w="873" w:type="dxa"/>
            <w:shd w:val="clear" w:color="auto" w:fill="auto"/>
          </w:tcPr>
          <w:p w14:paraId="1CED3E7D" w14:textId="785756E1" w:rsidR="0072549C" w:rsidRPr="00D325B1" w:rsidRDefault="00D325B1" w:rsidP="00723649">
            <w:pPr>
              <w:suppressAutoHyphens/>
              <w:spacing w:after="60"/>
              <w:jc w:val="center"/>
              <w:rPr>
                <w:sz w:val="18"/>
                <w:szCs w:val="18"/>
              </w:rPr>
            </w:pPr>
            <w:r w:rsidRPr="00D325B1">
              <w:rPr>
                <w:sz w:val="18"/>
                <w:szCs w:val="18"/>
                <w:lang w:val="fr-FR"/>
              </w:rPr>
              <w:t>Aérosols</w:t>
            </w:r>
          </w:p>
        </w:tc>
        <w:tc>
          <w:tcPr>
            <w:tcW w:w="0" w:type="auto"/>
            <w:shd w:val="clear" w:color="auto" w:fill="auto"/>
          </w:tcPr>
          <w:p w14:paraId="54830FC9" w14:textId="0A2A9E79" w:rsidR="0072549C" w:rsidRPr="00D325B1" w:rsidRDefault="00D325B1" w:rsidP="00723649">
            <w:pPr>
              <w:suppressAutoHyphens/>
              <w:spacing w:after="60"/>
              <w:jc w:val="center"/>
              <w:rPr>
                <w:sz w:val="18"/>
                <w:szCs w:val="18"/>
              </w:rPr>
            </w:pPr>
            <w:r w:rsidRPr="00D325B1">
              <w:rPr>
                <w:sz w:val="18"/>
                <w:szCs w:val="18"/>
                <w:lang w:val="fr-FR"/>
              </w:rPr>
              <w:t>Mousses</w:t>
            </w:r>
          </w:p>
        </w:tc>
        <w:tc>
          <w:tcPr>
            <w:tcW w:w="0" w:type="auto"/>
            <w:shd w:val="clear" w:color="auto" w:fill="auto"/>
          </w:tcPr>
          <w:p w14:paraId="43016BB5" w14:textId="1AF0B42C" w:rsidR="0072549C" w:rsidRPr="00D325B1" w:rsidRDefault="00D325B1" w:rsidP="00723649">
            <w:pPr>
              <w:suppressAutoHyphens/>
              <w:spacing w:after="60"/>
              <w:jc w:val="center"/>
              <w:rPr>
                <w:sz w:val="18"/>
                <w:szCs w:val="18"/>
              </w:rPr>
            </w:pPr>
            <w:r w:rsidRPr="00D325B1">
              <w:rPr>
                <w:sz w:val="18"/>
                <w:szCs w:val="18"/>
                <w:lang w:val="fr-FR"/>
              </w:rPr>
              <w:t>Lutte contre l</w:t>
            </w:r>
            <w:r w:rsidR="00BA262E">
              <w:rPr>
                <w:sz w:val="18"/>
                <w:szCs w:val="18"/>
                <w:lang w:val="fr-FR"/>
              </w:rPr>
              <w:t>’</w:t>
            </w:r>
            <w:r w:rsidRPr="00D325B1">
              <w:rPr>
                <w:sz w:val="18"/>
                <w:szCs w:val="18"/>
                <w:lang w:val="fr-FR"/>
              </w:rPr>
              <w:t>incendie</w:t>
            </w:r>
          </w:p>
        </w:tc>
        <w:tc>
          <w:tcPr>
            <w:tcW w:w="0" w:type="auto"/>
            <w:gridSpan w:val="2"/>
            <w:shd w:val="clear" w:color="auto" w:fill="auto"/>
          </w:tcPr>
          <w:p w14:paraId="288DE8DB" w14:textId="2B9DD30E" w:rsidR="0072549C" w:rsidRPr="00D325B1" w:rsidRDefault="00D325B1" w:rsidP="00723649">
            <w:pPr>
              <w:suppressAutoHyphens/>
              <w:spacing w:after="60"/>
              <w:jc w:val="center"/>
              <w:rPr>
                <w:sz w:val="18"/>
                <w:szCs w:val="18"/>
              </w:rPr>
            </w:pPr>
            <w:r w:rsidRPr="00D325B1">
              <w:rPr>
                <w:sz w:val="18"/>
                <w:szCs w:val="18"/>
                <w:lang w:val="fr-FR"/>
              </w:rPr>
              <w:t>Réfrigération</w:t>
            </w:r>
          </w:p>
        </w:tc>
        <w:tc>
          <w:tcPr>
            <w:tcW w:w="0" w:type="auto"/>
            <w:shd w:val="clear" w:color="auto" w:fill="auto"/>
          </w:tcPr>
          <w:p w14:paraId="672AD4D3" w14:textId="570298DD" w:rsidR="0072549C" w:rsidRPr="00D325B1" w:rsidRDefault="00D325B1" w:rsidP="00723649">
            <w:pPr>
              <w:suppressAutoHyphens/>
              <w:spacing w:after="60"/>
              <w:jc w:val="center"/>
              <w:rPr>
                <w:sz w:val="18"/>
                <w:szCs w:val="18"/>
              </w:rPr>
            </w:pPr>
            <w:r w:rsidRPr="00D325B1">
              <w:rPr>
                <w:sz w:val="18"/>
                <w:szCs w:val="18"/>
                <w:lang w:val="fr-FR"/>
              </w:rPr>
              <w:t>Solvant</w:t>
            </w:r>
          </w:p>
        </w:tc>
        <w:tc>
          <w:tcPr>
            <w:tcW w:w="0" w:type="auto"/>
            <w:shd w:val="clear" w:color="auto" w:fill="auto"/>
          </w:tcPr>
          <w:p w14:paraId="7133967D" w14:textId="74D83F20" w:rsidR="0072549C" w:rsidRPr="00D325B1" w:rsidRDefault="00D325B1" w:rsidP="00723649">
            <w:pPr>
              <w:suppressAutoHyphens/>
              <w:spacing w:after="60"/>
              <w:jc w:val="center"/>
              <w:rPr>
                <w:sz w:val="18"/>
                <w:szCs w:val="18"/>
              </w:rPr>
            </w:pPr>
            <w:r w:rsidRPr="00D325B1">
              <w:rPr>
                <w:sz w:val="18"/>
                <w:szCs w:val="18"/>
                <w:lang w:val="fr-FR"/>
              </w:rPr>
              <w:t>Agents de transformation</w:t>
            </w:r>
          </w:p>
        </w:tc>
        <w:tc>
          <w:tcPr>
            <w:tcW w:w="0" w:type="auto"/>
            <w:shd w:val="clear" w:color="auto" w:fill="auto"/>
          </w:tcPr>
          <w:p w14:paraId="63213291" w14:textId="77FE04C2" w:rsidR="0072549C" w:rsidRPr="00D325B1" w:rsidRDefault="00D325B1" w:rsidP="00723649">
            <w:pPr>
              <w:suppressAutoHyphens/>
              <w:spacing w:after="60"/>
              <w:jc w:val="center"/>
              <w:rPr>
                <w:sz w:val="18"/>
                <w:szCs w:val="18"/>
              </w:rPr>
            </w:pPr>
            <w:r w:rsidRPr="00D325B1">
              <w:rPr>
                <w:sz w:val="18"/>
                <w:szCs w:val="18"/>
                <w:lang w:val="fr-FR"/>
              </w:rPr>
              <w:t>Utilisation en laboratoire</w:t>
            </w:r>
          </w:p>
        </w:tc>
        <w:tc>
          <w:tcPr>
            <w:tcW w:w="1348" w:type="dxa"/>
            <w:shd w:val="clear" w:color="auto" w:fill="auto"/>
          </w:tcPr>
          <w:p w14:paraId="0B9DD9F1" w14:textId="74CB2428" w:rsidR="0072549C" w:rsidRPr="00D325B1" w:rsidRDefault="00D325B1" w:rsidP="00723649">
            <w:pPr>
              <w:suppressAutoHyphens/>
              <w:spacing w:after="60"/>
              <w:jc w:val="center"/>
              <w:rPr>
                <w:sz w:val="18"/>
                <w:szCs w:val="18"/>
              </w:rPr>
            </w:pPr>
            <w:r w:rsidRPr="00D325B1">
              <w:rPr>
                <w:sz w:val="18"/>
                <w:szCs w:val="18"/>
                <w:lang w:val="fr-FR"/>
              </w:rPr>
              <w:t>Consommation totale par secteur</w:t>
            </w:r>
          </w:p>
        </w:tc>
      </w:tr>
      <w:tr w:rsidR="0072549C" w:rsidRPr="00C0764B" w14:paraId="1B449BAC" w14:textId="77777777" w:rsidTr="00A7342F">
        <w:trPr>
          <w:trHeight w:val="261"/>
        </w:trPr>
        <w:tc>
          <w:tcPr>
            <w:tcW w:w="0" w:type="auto"/>
            <w:gridSpan w:val="4"/>
            <w:shd w:val="clear" w:color="auto" w:fill="auto"/>
          </w:tcPr>
          <w:p w14:paraId="4B7DFA7F" w14:textId="77777777" w:rsidR="0072549C" w:rsidRPr="00C0764B" w:rsidRDefault="0072549C" w:rsidP="00B832BB">
            <w:pPr>
              <w:suppressAutoHyphens/>
              <w:spacing w:after="60"/>
              <w:jc w:val="center"/>
              <w:rPr>
                <w:sz w:val="18"/>
                <w:szCs w:val="18"/>
              </w:rPr>
            </w:pPr>
            <w:r w:rsidRPr="00C0764B">
              <w:rPr>
                <w:sz w:val="18"/>
                <w:szCs w:val="18"/>
              </w:rPr>
              <w:t xml:space="preserve"> </w:t>
            </w:r>
          </w:p>
        </w:tc>
        <w:tc>
          <w:tcPr>
            <w:tcW w:w="0" w:type="auto"/>
            <w:shd w:val="clear" w:color="auto" w:fill="auto"/>
          </w:tcPr>
          <w:p w14:paraId="3AFFBE64" w14:textId="4BD3A83F" w:rsidR="0072549C" w:rsidRPr="00D325B1" w:rsidRDefault="00D325B1" w:rsidP="00723649">
            <w:pPr>
              <w:suppressAutoHyphens/>
              <w:spacing w:after="60"/>
              <w:jc w:val="center"/>
              <w:rPr>
                <w:sz w:val="18"/>
                <w:szCs w:val="18"/>
              </w:rPr>
            </w:pPr>
            <w:r w:rsidRPr="00D325B1">
              <w:rPr>
                <w:sz w:val="18"/>
                <w:szCs w:val="18"/>
                <w:lang w:val="fr-FR"/>
              </w:rPr>
              <w:t>Fabrication</w:t>
            </w:r>
          </w:p>
        </w:tc>
        <w:tc>
          <w:tcPr>
            <w:tcW w:w="0" w:type="auto"/>
            <w:shd w:val="clear" w:color="auto" w:fill="auto"/>
          </w:tcPr>
          <w:p w14:paraId="0037DD85" w14:textId="6817FCD9" w:rsidR="0072549C" w:rsidRPr="00D325B1" w:rsidRDefault="00D325B1" w:rsidP="00723649">
            <w:pPr>
              <w:suppressAutoHyphens/>
              <w:spacing w:after="60"/>
              <w:jc w:val="center"/>
              <w:rPr>
                <w:sz w:val="18"/>
                <w:szCs w:val="18"/>
              </w:rPr>
            </w:pPr>
            <w:r w:rsidRPr="00D325B1">
              <w:rPr>
                <w:sz w:val="18"/>
                <w:szCs w:val="18"/>
                <w:lang w:val="fr-FR"/>
              </w:rPr>
              <w:t>Entretien</w:t>
            </w:r>
          </w:p>
        </w:tc>
        <w:tc>
          <w:tcPr>
            <w:tcW w:w="4506" w:type="dxa"/>
            <w:gridSpan w:val="4"/>
            <w:shd w:val="clear" w:color="auto" w:fill="auto"/>
          </w:tcPr>
          <w:p w14:paraId="7A39ECF6" w14:textId="77777777" w:rsidR="0072549C" w:rsidRPr="00C0764B" w:rsidRDefault="0072549C" w:rsidP="00B832BB">
            <w:pPr>
              <w:suppressAutoHyphens/>
              <w:spacing w:after="60"/>
              <w:jc w:val="center"/>
              <w:rPr>
                <w:sz w:val="18"/>
                <w:szCs w:val="18"/>
              </w:rPr>
            </w:pPr>
          </w:p>
        </w:tc>
      </w:tr>
      <w:tr w:rsidR="0072549C" w:rsidRPr="00C0764B" w14:paraId="67A7BA85" w14:textId="77777777" w:rsidTr="00A7342F">
        <w:trPr>
          <w:trHeight w:val="261"/>
        </w:trPr>
        <w:tc>
          <w:tcPr>
            <w:tcW w:w="1027" w:type="dxa"/>
            <w:shd w:val="clear" w:color="auto" w:fill="auto"/>
          </w:tcPr>
          <w:p w14:paraId="3214D28D" w14:textId="2EBDC8E2" w:rsidR="0072549C" w:rsidRPr="00D325B1" w:rsidRDefault="00D325B1" w:rsidP="00723649">
            <w:pPr>
              <w:suppressAutoHyphens/>
              <w:spacing w:after="60"/>
              <w:jc w:val="left"/>
              <w:rPr>
                <w:sz w:val="18"/>
                <w:szCs w:val="18"/>
              </w:rPr>
            </w:pPr>
            <w:r w:rsidRPr="00D325B1">
              <w:rPr>
                <w:sz w:val="18"/>
                <w:szCs w:val="18"/>
                <w:lang w:val="fr-FR"/>
              </w:rPr>
              <w:t>HCFC-141b</w:t>
            </w:r>
          </w:p>
        </w:tc>
        <w:tc>
          <w:tcPr>
            <w:tcW w:w="873" w:type="dxa"/>
            <w:shd w:val="clear" w:color="auto" w:fill="auto"/>
          </w:tcPr>
          <w:p w14:paraId="63DE467C" w14:textId="77777777" w:rsidR="0072549C" w:rsidRPr="00C0764B" w:rsidRDefault="0072549C" w:rsidP="00B832BB">
            <w:pPr>
              <w:suppressAutoHyphens/>
              <w:spacing w:after="60"/>
              <w:jc w:val="right"/>
              <w:rPr>
                <w:sz w:val="18"/>
                <w:szCs w:val="18"/>
              </w:rPr>
            </w:pPr>
          </w:p>
        </w:tc>
        <w:tc>
          <w:tcPr>
            <w:tcW w:w="0" w:type="auto"/>
            <w:shd w:val="clear" w:color="auto" w:fill="auto"/>
          </w:tcPr>
          <w:p w14:paraId="6142E607" w14:textId="77777777" w:rsidR="0072549C" w:rsidRPr="00C0764B" w:rsidRDefault="0072549C" w:rsidP="00B832BB">
            <w:pPr>
              <w:suppressAutoHyphens/>
              <w:spacing w:after="60"/>
              <w:jc w:val="right"/>
              <w:rPr>
                <w:sz w:val="18"/>
                <w:szCs w:val="18"/>
              </w:rPr>
            </w:pPr>
          </w:p>
        </w:tc>
        <w:tc>
          <w:tcPr>
            <w:tcW w:w="0" w:type="auto"/>
            <w:shd w:val="clear" w:color="auto" w:fill="auto"/>
          </w:tcPr>
          <w:p w14:paraId="5E7F725B" w14:textId="77777777" w:rsidR="0072549C" w:rsidRPr="00C0764B" w:rsidRDefault="0072549C" w:rsidP="00B832BB">
            <w:pPr>
              <w:suppressAutoHyphens/>
              <w:spacing w:after="60"/>
              <w:jc w:val="right"/>
              <w:rPr>
                <w:sz w:val="18"/>
                <w:szCs w:val="18"/>
              </w:rPr>
            </w:pPr>
          </w:p>
        </w:tc>
        <w:tc>
          <w:tcPr>
            <w:tcW w:w="0" w:type="auto"/>
            <w:shd w:val="clear" w:color="auto" w:fill="auto"/>
          </w:tcPr>
          <w:p w14:paraId="5A5308C4" w14:textId="77777777" w:rsidR="0072549C" w:rsidRPr="00C0764B" w:rsidRDefault="0072549C" w:rsidP="00B832BB">
            <w:pPr>
              <w:suppressAutoHyphens/>
              <w:spacing w:after="60"/>
              <w:jc w:val="right"/>
              <w:rPr>
                <w:sz w:val="18"/>
                <w:szCs w:val="18"/>
              </w:rPr>
            </w:pPr>
          </w:p>
        </w:tc>
        <w:tc>
          <w:tcPr>
            <w:tcW w:w="0" w:type="auto"/>
            <w:shd w:val="clear" w:color="auto" w:fill="auto"/>
          </w:tcPr>
          <w:p w14:paraId="3E841CC6" w14:textId="250D4D9E" w:rsidR="0072549C" w:rsidRPr="00C0764B" w:rsidRDefault="00663982" w:rsidP="00B832BB">
            <w:pPr>
              <w:suppressAutoHyphens/>
              <w:spacing w:after="60"/>
              <w:jc w:val="right"/>
              <w:rPr>
                <w:sz w:val="18"/>
                <w:szCs w:val="18"/>
              </w:rPr>
            </w:pPr>
            <w:r w:rsidRPr="00C0764B">
              <w:rPr>
                <w:sz w:val="18"/>
                <w:szCs w:val="18"/>
              </w:rPr>
              <w:t>0</w:t>
            </w:r>
            <w:r w:rsidR="00BA262E">
              <w:rPr>
                <w:sz w:val="18"/>
                <w:szCs w:val="18"/>
              </w:rPr>
              <w:t>,</w:t>
            </w:r>
            <w:r w:rsidRPr="00C0764B">
              <w:rPr>
                <w:sz w:val="18"/>
                <w:szCs w:val="18"/>
              </w:rPr>
              <w:t>44</w:t>
            </w:r>
          </w:p>
        </w:tc>
        <w:tc>
          <w:tcPr>
            <w:tcW w:w="0" w:type="auto"/>
            <w:shd w:val="clear" w:color="auto" w:fill="auto"/>
          </w:tcPr>
          <w:p w14:paraId="6D509C09" w14:textId="77777777" w:rsidR="0072549C" w:rsidRPr="00C0764B" w:rsidRDefault="0072549C" w:rsidP="00B832BB">
            <w:pPr>
              <w:suppressAutoHyphens/>
              <w:spacing w:after="60"/>
              <w:jc w:val="right"/>
              <w:rPr>
                <w:sz w:val="18"/>
                <w:szCs w:val="18"/>
              </w:rPr>
            </w:pPr>
          </w:p>
        </w:tc>
        <w:tc>
          <w:tcPr>
            <w:tcW w:w="0" w:type="auto"/>
            <w:shd w:val="clear" w:color="auto" w:fill="auto"/>
          </w:tcPr>
          <w:p w14:paraId="487F09BE" w14:textId="77777777" w:rsidR="0072549C" w:rsidRPr="00C0764B" w:rsidRDefault="0072549C" w:rsidP="00B832BB">
            <w:pPr>
              <w:suppressAutoHyphens/>
              <w:spacing w:after="60"/>
              <w:jc w:val="right"/>
              <w:rPr>
                <w:sz w:val="18"/>
                <w:szCs w:val="18"/>
              </w:rPr>
            </w:pPr>
          </w:p>
        </w:tc>
        <w:tc>
          <w:tcPr>
            <w:tcW w:w="0" w:type="auto"/>
            <w:shd w:val="clear" w:color="auto" w:fill="auto"/>
          </w:tcPr>
          <w:p w14:paraId="4CA59D42" w14:textId="77777777" w:rsidR="0072549C" w:rsidRPr="00C0764B" w:rsidRDefault="0072549C" w:rsidP="00B832BB">
            <w:pPr>
              <w:suppressAutoHyphens/>
              <w:spacing w:after="60"/>
              <w:jc w:val="right"/>
              <w:rPr>
                <w:sz w:val="18"/>
                <w:szCs w:val="18"/>
              </w:rPr>
            </w:pPr>
          </w:p>
        </w:tc>
        <w:tc>
          <w:tcPr>
            <w:tcW w:w="1348" w:type="dxa"/>
            <w:shd w:val="clear" w:color="auto" w:fill="auto"/>
          </w:tcPr>
          <w:p w14:paraId="088EC1A6" w14:textId="3E146853" w:rsidR="0072549C" w:rsidRPr="00C0764B" w:rsidRDefault="00663982" w:rsidP="00B832BB">
            <w:pPr>
              <w:suppressAutoHyphens/>
              <w:spacing w:after="60"/>
              <w:jc w:val="right"/>
              <w:rPr>
                <w:sz w:val="18"/>
                <w:szCs w:val="18"/>
              </w:rPr>
            </w:pPr>
            <w:r w:rsidRPr="00C0764B">
              <w:rPr>
                <w:sz w:val="18"/>
                <w:szCs w:val="18"/>
              </w:rPr>
              <w:t>0</w:t>
            </w:r>
            <w:r w:rsidR="00BA262E">
              <w:rPr>
                <w:sz w:val="18"/>
                <w:szCs w:val="18"/>
              </w:rPr>
              <w:t>,</w:t>
            </w:r>
            <w:r w:rsidRPr="00C0764B">
              <w:rPr>
                <w:sz w:val="18"/>
                <w:szCs w:val="18"/>
              </w:rPr>
              <w:t>44</w:t>
            </w:r>
          </w:p>
        </w:tc>
      </w:tr>
      <w:tr w:rsidR="0072549C" w:rsidRPr="00C0764B" w14:paraId="355D8381" w14:textId="77777777" w:rsidTr="00A7342F">
        <w:trPr>
          <w:trHeight w:val="261"/>
        </w:trPr>
        <w:tc>
          <w:tcPr>
            <w:tcW w:w="1027" w:type="dxa"/>
            <w:shd w:val="clear" w:color="auto" w:fill="auto"/>
          </w:tcPr>
          <w:p w14:paraId="28AB6984" w14:textId="72596E15" w:rsidR="0072549C" w:rsidRPr="00D325B1" w:rsidRDefault="00D325B1" w:rsidP="00723649">
            <w:pPr>
              <w:suppressAutoHyphens/>
              <w:spacing w:after="60"/>
              <w:jc w:val="left"/>
              <w:rPr>
                <w:sz w:val="18"/>
                <w:szCs w:val="18"/>
              </w:rPr>
            </w:pPr>
            <w:r w:rsidRPr="00D325B1">
              <w:rPr>
                <w:sz w:val="18"/>
                <w:szCs w:val="18"/>
                <w:lang w:val="fr-FR"/>
              </w:rPr>
              <w:t>HCFC-22</w:t>
            </w:r>
          </w:p>
        </w:tc>
        <w:tc>
          <w:tcPr>
            <w:tcW w:w="873" w:type="dxa"/>
            <w:shd w:val="clear" w:color="auto" w:fill="auto"/>
          </w:tcPr>
          <w:p w14:paraId="52FBC7B1" w14:textId="77777777" w:rsidR="0072549C" w:rsidRPr="00C0764B" w:rsidRDefault="0072549C" w:rsidP="00B832BB">
            <w:pPr>
              <w:suppressAutoHyphens/>
              <w:spacing w:after="60"/>
              <w:jc w:val="right"/>
              <w:rPr>
                <w:sz w:val="18"/>
                <w:szCs w:val="18"/>
              </w:rPr>
            </w:pPr>
          </w:p>
        </w:tc>
        <w:tc>
          <w:tcPr>
            <w:tcW w:w="0" w:type="auto"/>
            <w:shd w:val="clear" w:color="auto" w:fill="auto"/>
          </w:tcPr>
          <w:p w14:paraId="2028A9DE" w14:textId="77777777" w:rsidR="0072549C" w:rsidRPr="00C0764B" w:rsidRDefault="0072549C" w:rsidP="00B832BB">
            <w:pPr>
              <w:suppressAutoHyphens/>
              <w:spacing w:after="60"/>
              <w:jc w:val="right"/>
              <w:rPr>
                <w:sz w:val="18"/>
                <w:szCs w:val="18"/>
              </w:rPr>
            </w:pPr>
          </w:p>
        </w:tc>
        <w:tc>
          <w:tcPr>
            <w:tcW w:w="0" w:type="auto"/>
            <w:shd w:val="clear" w:color="auto" w:fill="auto"/>
          </w:tcPr>
          <w:p w14:paraId="530977F3" w14:textId="77777777" w:rsidR="0072549C" w:rsidRPr="00C0764B" w:rsidRDefault="0072549C" w:rsidP="00B832BB">
            <w:pPr>
              <w:suppressAutoHyphens/>
              <w:spacing w:after="60"/>
              <w:jc w:val="right"/>
              <w:rPr>
                <w:sz w:val="18"/>
                <w:szCs w:val="18"/>
              </w:rPr>
            </w:pPr>
          </w:p>
        </w:tc>
        <w:tc>
          <w:tcPr>
            <w:tcW w:w="0" w:type="auto"/>
            <w:shd w:val="clear" w:color="auto" w:fill="auto"/>
          </w:tcPr>
          <w:p w14:paraId="2D4B7800" w14:textId="77777777" w:rsidR="0072549C" w:rsidRPr="00C0764B" w:rsidRDefault="0072549C" w:rsidP="00B832BB">
            <w:pPr>
              <w:suppressAutoHyphens/>
              <w:spacing w:after="60"/>
              <w:jc w:val="right"/>
              <w:rPr>
                <w:sz w:val="18"/>
                <w:szCs w:val="18"/>
              </w:rPr>
            </w:pPr>
          </w:p>
        </w:tc>
        <w:tc>
          <w:tcPr>
            <w:tcW w:w="0" w:type="auto"/>
            <w:shd w:val="clear" w:color="auto" w:fill="auto"/>
          </w:tcPr>
          <w:p w14:paraId="43475FDB" w14:textId="1D0897CC" w:rsidR="0072549C" w:rsidRPr="00C0764B" w:rsidRDefault="00663982" w:rsidP="00B832BB">
            <w:pPr>
              <w:suppressAutoHyphens/>
              <w:spacing w:after="60"/>
              <w:jc w:val="right"/>
              <w:rPr>
                <w:sz w:val="18"/>
                <w:szCs w:val="18"/>
              </w:rPr>
            </w:pPr>
            <w:r w:rsidRPr="00C0764B">
              <w:rPr>
                <w:color w:val="000000"/>
                <w:sz w:val="20"/>
                <w:szCs w:val="20"/>
              </w:rPr>
              <w:t>8</w:t>
            </w:r>
            <w:r w:rsidR="00BA262E">
              <w:rPr>
                <w:color w:val="000000"/>
                <w:sz w:val="20"/>
                <w:szCs w:val="20"/>
              </w:rPr>
              <w:t>,</w:t>
            </w:r>
            <w:r w:rsidRPr="00C0764B">
              <w:rPr>
                <w:color w:val="000000"/>
                <w:sz w:val="20"/>
                <w:szCs w:val="20"/>
              </w:rPr>
              <w:t>72</w:t>
            </w:r>
          </w:p>
        </w:tc>
        <w:tc>
          <w:tcPr>
            <w:tcW w:w="0" w:type="auto"/>
            <w:shd w:val="clear" w:color="auto" w:fill="auto"/>
          </w:tcPr>
          <w:p w14:paraId="243535D1" w14:textId="77777777" w:rsidR="0072549C" w:rsidRPr="00C0764B" w:rsidRDefault="0072549C" w:rsidP="00B832BB">
            <w:pPr>
              <w:suppressAutoHyphens/>
              <w:spacing w:after="60"/>
              <w:jc w:val="right"/>
              <w:rPr>
                <w:sz w:val="18"/>
                <w:szCs w:val="18"/>
              </w:rPr>
            </w:pPr>
          </w:p>
        </w:tc>
        <w:tc>
          <w:tcPr>
            <w:tcW w:w="0" w:type="auto"/>
            <w:shd w:val="clear" w:color="auto" w:fill="auto"/>
          </w:tcPr>
          <w:p w14:paraId="285E63ED" w14:textId="77777777" w:rsidR="0072549C" w:rsidRPr="00C0764B" w:rsidRDefault="0072549C" w:rsidP="00B832BB">
            <w:pPr>
              <w:suppressAutoHyphens/>
              <w:spacing w:after="60"/>
              <w:jc w:val="right"/>
              <w:rPr>
                <w:sz w:val="18"/>
                <w:szCs w:val="18"/>
              </w:rPr>
            </w:pPr>
          </w:p>
        </w:tc>
        <w:tc>
          <w:tcPr>
            <w:tcW w:w="0" w:type="auto"/>
            <w:shd w:val="clear" w:color="auto" w:fill="auto"/>
          </w:tcPr>
          <w:p w14:paraId="482C3C23" w14:textId="77777777" w:rsidR="0072549C" w:rsidRPr="00C0764B" w:rsidRDefault="0072549C" w:rsidP="00B832BB">
            <w:pPr>
              <w:suppressAutoHyphens/>
              <w:spacing w:after="60"/>
              <w:jc w:val="right"/>
              <w:rPr>
                <w:sz w:val="18"/>
                <w:szCs w:val="18"/>
              </w:rPr>
            </w:pPr>
          </w:p>
        </w:tc>
        <w:tc>
          <w:tcPr>
            <w:tcW w:w="1348" w:type="dxa"/>
            <w:shd w:val="clear" w:color="auto" w:fill="auto"/>
          </w:tcPr>
          <w:p w14:paraId="640BD7AA" w14:textId="36B119DB" w:rsidR="0072549C" w:rsidRPr="00C0764B" w:rsidRDefault="00663982" w:rsidP="00B832BB">
            <w:pPr>
              <w:suppressAutoHyphens/>
              <w:spacing w:after="60"/>
              <w:jc w:val="right"/>
              <w:rPr>
                <w:sz w:val="18"/>
                <w:szCs w:val="18"/>
              </w:rPr>
            </w:pPr>
            <w:r w:rsidRPr="00C0764B">
              <w:rPr>
                <w:color w:val="000000"/>
                <w:sz w:val="20"/>
                <w:szCs w:val="20"/>
              </w:rPr>
              <w:t>8</w:t>
            </w:r>
            <w:r w:rsidR="00BA262E">
              <w:rPr>
                <w:color w:val="000000"/>
                <w:sz w:val="20"/>
                <w:szCs w:val="20"/>
              </w:rPr>
              <w:t>,</w:t>
            </w:r>
            <w:r w:rsidRPr="00C0764B">
              <w:rPr>
                <w:color w:val="000000"/>
                <w:sz w:val="20"/>
                <w:szCs w:val="20"/>
              </w:rPr>
              <w:t>72</w:t>
            </w:r>
          </w:p>
        </w:tc>
      </w:tr>
    </w:tbl>
    <w:p w14:paraId="5F8AB12C" w14:textId="77777777" w:rsidR="0072549C" w:rsidRPr="00C0764B" w:rsidRDefault="0072549C" w:rsidP="00B832BB">
      <w:pPr>
        <w:suppressAutoHyphens/>
        <w:spacing w:after="60"/>
        <w:jc w:val="center"/>
        <w:rPr>
          <w:sz w:val="18"/>
          <w:szCs w:val="18"/>
        </w:rPr>
      </w:pPr>
    </w:p>
    <w:tbl>
      <w:tblPr>
        <w:tblStyle w:val="TableGrid"/>
        <w:tblW w:w="10127" w:type="dxa"/>
        <w:tblLook w:val="04A0" w:firstRow="1" w:lastRow="0" w:firstColumn="1" w:lastColumn="0" w:noHBand="0" w:noVBand="1"/>
      </w:tblPr>
      <w:tblGrid>
        <w:gridCol w:w="2137"/>
        <w:gridCol w:w="1446"/>
        <w:gridCol w:w="4039"/>
        <w:gridCol w:w="2505"/>
      </w:tblGrid>
      <w:tr w:rsidR="0072549C" w:rsidRPr="00C874B6" w14:paraId="4BAE5529" w14:textId="77777777" w:rsidTr="00A7342F">
        <w:trPr>
          <w:trHeight w:val="273"/>
        </w:trPr>
        <w:tc>
          <w:tcPr>
            <w:tcW w:w="10127" w:type="dxa"/>
            <w:gridSpan w:val="4"/>
            <w:shd w:val="clear" w:color="auto" w:fill="auto"/>
          </w:tcPr>
          <w:p w14:paraId="66BBBF7F" w14:textId="336069DF" w:rsidR="0072549C" w:rsidRPr="00A7342F" w:rsidRDefault="00D325B1" w:rsidP="00723649">
            <w:pPr>
              <w:suppressAutoHyphens/>
              <w:spacing w:after="60"/>
              <w:jc w:val="left"/>
              <w:rPr>
                <w:b/>
                <w:sz w:val="18"/>
                <w:szCs w:val="18"/>
                <w:lang w:val="fr-FR"/>
              </w:rPr>
            </w:pPr>
            <w:r w:rsidRPr="00D325B1">
              <w:rPr>
                <w:b/>
                <w:sz w:val="18"/>
                <w:szCs w:val="18"/>
                <w:lang w:val="fr-FR"/>
              </w:rPr>
              <w:t>(IV) DONNÉES SUR LA CONSOMMATION (tonnes PAO)</w:t>
            </w:r>
          </w:p>
        </w:tc>
      </w:tr>
      <w:tr w:rsidR="0072549C" w:rsidRPr="00C0764B" w14:paraId="48D44622" w14:textId="77777777" w:rsidTr="00A7342F">
        <w:trPr>
          <w:trHeight w:val="273"/>
        </w:trPr>
        <w:tc>
          <w:tcPr>
            <w:tcW w:w="2137" w:type="dxa"/>
            <w:shd w:val="clear" w:color="auto" w:fill="auto"/>
          </w:tcPr>
          <w:p w14:paraId="7A05E08E" w14:textId="339969E3" w:rsidR="0072549C" w:rsidRPr="00D325B1" w:rsidRDefault="00D325B1" w:rsidP="00723649">
            <w:pPr>
              <w:suppressAutoHyphens/>
              <w:spacing w:after="60"/>
              <w:jc w:val="center"/>
              <w:rPr>
                <w:sz w:val="18"/>
                <w:szCs w:val="18"/>
              </w:rPr>
            </w:pPr>
            <w:r w:rsidRPr="00D325B1">
              <w:rPr>
                <w:sz w:val="18"/>
                <w:szCs w:val="18"/>
                <w:lang w:val="fr-FR"/>
              </w:rPr>
              <w:t>Valeur de référence 2009-2010 :</w:t>
            </w:r>
          </w:p>
        </w:tc>
        <w:tc>
          <w:tcPr>
            <w:tcW w:w="1446" w:type="dxa"/>
            <w:shd w:val="clear" w:color="auto" w:fill="auto"/>
          </w:tcPr>
          <w:p w14:paraId="4E849F8C" w14:textId="1AC1CD47" w:rsidR="0072549C" w:rsidRPr="00C0764B" w:rsidRDefault="0072549C" w:rsidP="00B832BB">
            <w:pPr>
              <w:suppressAutoHyphens/>
              <w:spacing w:after="60"/>
              <w:jc w:val="right"/>
              <w:rPr>
                <w:sz w:val="18"/>
                <w:szCs w:val="18"/>
              </w:rPr>
            </w:pPr>
            <w:r w:rsidRPr="00C0764B">
              <w:rPr>
                <w:sz w:val="18"/>
                <w:szCs w:val="18"/>
              </w:rPr>
              <w:t>15</w:t>
            </w:r>
            <w:r w:rsidR="00BA262E">
              <w:rPr>
                <w:sz w:val="18"/>
                <w:szCs w:val="18"/>
              </w:rPr>
              <w:t>,</w:t>
            </w:r>
            <w:r w:rsidRPr="00C0764B">
              <w:rPr>
                <w:sz w:val="18"/>
                <w:szCs w:val="18"/>
              </w:rPr>
              <w:t>95</w:t>
            </w:r>
          </w:p>
        </w:tc>
        <w:tc>
          <w:tcPr>
            <w:tcW w:w="4039" w:type="dxa"/>
            <w:shd w:val="clear" w:color="auto" w:fill="auto"/>
          </w:tcPr>
          <w:p w14:paraId="50E9905B" w14:textId="0B06304A" w:rsidR="0072549C" w:rsidRPr="00A7342F" w:rsidRDefault="00D325B1" w:rsidP="00723649">
            <w:pPr>
              <w:suppressAutoHyphens/>
              <w:spacing w:after="60"/>
              <w:jc w:val="center"/>
              <w:rPr>
                <w:sz w:val="18"/>
                <w:szCs w:val="18"/>
                <w:lang w:val="fr-FR"/>
              </w:rPr>
            </w:pPr>
            <w:r w:rsidRPr="00D325B1">
              <w:rPr>
                <w:sz w:val="18"/>
                <w:szCs w:val="18"/>
                <w:lang w:val="fr-FR"/>
              </w:rPr>
              <w:t>Point de départ des réductions globales durables :</w:t>
            </w:r>
          </w:p>
        </w:tc>
        <w:tc>
          <w:tcPr>
            <w:tcW w:w="2505" w:type="dxa"/>
            <w:shd w:val="clear" w:color="auto" w:fill="auto"/>
          </w:tcPr>
          <w:p w14:paraId="2B53CC60" w14:textId="77B042AD" w:rsidR="0072549C" w:rsidRPr="00C0764B" w:rsidRDefault="0072549C" w:rsidP="00B832BB">
            <w:pPr>
              <w:suppressAutoHyphens/>
              <w:spacing w:after="60"/>
              <w:jc w:val="right"/>
              <w:rPr>
                <w:sz w:val="18"/>
                <w:szCs w:val="18"/>
              </w:rPr>
            </w:pPr>
            <w:r w:rsidRPr="00C0764B">
              <w:rPr>
                <w:sz w:val="18"/>
                <w:szCs w:val="18"/>
              </w:rPr>
              <w:t>15</w:t>
            </w:r>
            <w:r w:rsidR="00BA262E">
              <w:rPr>
                <w:sz w:val="18"/>
                <w:szCs w:val="18"/>
              </w:rPr>
              <w:t>,</w:t>
            </w:r>
            <w:r w:rsidRPr="00C0764B">
              <w:rPr>
                <w:sz w:val="18"/>
                <w:szCs w:val="18"/>
              </w:rPr>
              <w:t>95</w:t>
            </w:r>
          </w:p>
        </w:tc>
      </w:tr>
      <w:tr w:rsidR="0072549C" w:rsidRPr="00C874B6" w14:paraId="395FBAAC" w14:textId="77777777" w:rsidTr="00A7342F">
        <w:trPr>
          <w:trHeight w:val="273"/>
        </w:trPr>
        <w:tc>
          <w:tcPr>
            <w:tcW w:w="10127" w:type="dxa"/>
            <w:gridSpan w:val="4"/>
            <w:shd w:val="clear" w:color="auto" w:fill="auto"/>
          </w:tcPr>
          <w:p w14:paraId="1293563A" w14:textId="05E3D7A1" w:rsidR="0072549C" w:rsidRPr="00A7342F" w:rsidRDefault="00D325B1" w:rsidP="00723649">
            <w:pPr>
              <w:suppressAutoHyphens/>
              <w:spacing w:after="60"/>
              <w:jc w:val="center"/>
              <w:rPr>
                <w:b/>
                <w:sz w:val="18"/>
                <w:szCs w:val="18"/>
                <w:lang w:val="fr-FR"/>
              </w:rPr>
            </w:pPr>
            <w:r w:rsidRPr="00D325B1">
              <w:rPr>
                <w:b/>
                <w:sz w:val="18"/>
                <w:szCs w:val="18"/>
                <w:lang w:val="fr-FR"/>
              </w:rPr>
              <w:t>CONSOMMATION ÉLIGIBLE AU FINANCEMENT (tonnes PAO)</w:t>
            </w:r>
          </w:p>
        </w:tc>
      </w:tr>
      <w:tr w:rsidR="0072549C" w:rsidRPr="00C0764B" w14:paraId="4E0C687D" w14:textId="77777777" w:rsidTr="00A7342F">
        <w:trPr>
          <w:trHeight w:val="273"/>
        </w:trPr>
        <w:tc>
          <w:tcPr>
            <w:tcW w:w="0" w:type="auto"/>
            <w:shd w:val="clear" w:color="auto" w:fill="auto"/>
          </w:tcPr>
          <w:p w14:paraId="28893CE4" w14:textId="2E69410F" w:rsidR="0072549C" w:rsidRPr="00D325B1" w:rsidRDefault="00D325B1" w:rsidP="00723649">
            <w:pPr>
              <w:suppressAutoHyphens/>
              <w:spacing w:after="60"/>
              <w:jc w:val="center"/>
              <w:rPr>
                <w:sz w:val="18"/>
                <w:szCs w:val="18"/>
              </w:rPr>
            </w:pPr>
            <w:r w:rsidRPr="00D325B1">
              <w:rPr>
                <w:sz w:val="18"/>
                <w:szCs w:val="18"/>
                <w:lang w:val="fr-FR"/>
              </w:rPr>
              <w:t>Déjà approuvée :</w:t>
            </w:r>
          </w:p>
        </w:tc>
        <w:tc>
          <w:tcPr>
            <w:tcW w:w="0" w:type="auto"/>
            <w:shd w:val="clear" w:color="auto" w:fill="auto"/>
          </w:tcPr>
          <w:p w14:paraId="33F1B997" w14:textId="17FD29C8" w:rsidR="0072549C" w:rsidRPr="00865C12" w:rsidRDefault="00C83853" w:rsidP="00B832BB">
            <w:pPr>
              <w:suppressAutoHyphens/>
              <w:spacing w:after="60"/>
              <w:jc w:val="right"/>
              <w:rPr>
                <w:sz w:val="18"/>
                <w:szCs w:val="18"/>
              </w:rPr>
            </w:pPr>
            <w:r>
              <w:rPr>
                <w:sz w:val="18"/>
                <w:szCs w:val="18"/>
              </w:rPr>
              <w:t>10</w:t>
            </w:r>
            <w:r w:rsidR="00BA262E">
              <w:rPr>
                <w:sz w:val="18"/>
                <w:szCs w:val="18"/>
              </w:rPr>
              <w:t>,</w:t>
            </w:r>
            <w:r>
              <w:rPr>
                <w:sz w:val="18"/>
                <w:szCs w:val="18"/>
              </w:rPr>
              <w:t>77</w:t>
            </w:r>
          </w:p>
        </w:tc>
        <w:tc>
          <w:tcPr>
            <w:tcW w:w="0" w:type="auto"/>
            <w:shd w:val="clear" w:color="auto" w:fill="auto"/>
          </w:tcPr>
          <w:p w14:paraId="5B69A9A0" w14:textId="4E6FEEA5" w:rsidR="0072549C" w:rsidRPr="00D325B1" w:rsidRDefault="00D325B1" w:rsidP="00723649">
            <w:pPr>
              <w:suppressAutoHyphens/>
              <w:spacing w:after="60"/>
              <w:jc w:val="center"/>
              <w:rPr>
                <w:sz w:val="18"/>
                <w:szCs w:val="18"/>
              </w:rPr>
            </w:pPr>
            <w:r w:rsidRPr="00D325B1">
              <w:rPr>
                <w:sz w:val="18"/>
                <w:szCs w:val="18"/>
                <w:lang w:val="fr-FR"/>
              </w:rPr>
              <w:t>Restante :</w:t>
            </w:r>
          </w:p>
        </w:tc>
        <w:tc>
          <w:tcPr>
            <w:tcW w:w="2505" w:type="dxa"/>
            <w:shd w:val="clear" w:color="auto" w:fill="auto"/>
          </w:tcPr>
          <w:p w14:paraId="7F9D3BCF" w14:textId="25B119AB" w:rsidR="0072549C" w:rsidRPr="00865C12" w:rsidRDefault="00C83853" w:rsidP="00B832BB">
            <w:pPr>
              <w:suppressAutoHyphens/>
              <w:spacing w:after="60"/>
              <w:jc w:val="right"/>
              <w:rPr>
                <w:sz w:val="18"/>
                <w:szCs w:val="18"/>
              </w:rPr>
            </w:pPr>
            <w:r>
              <w:rPr>
                <w:sz w:val="18"/>
                <w:szCs w:val="18"/>
              </w:rPr>
              <w:t>5</w:t>
            </w:r>
            <w:r w:rsidR="00BA262E">
              <w:rPr>
                <w:sz w:val="18"/>
                <w:szCs w:val="18"/>
              </w:rPr>
              <w:t>,</w:t>
            </w:r>
            <w:r>
              <w:rPr>
                <w:sz w:val="18"/>
                <w:szCs w:val="18"/>
              </w:rPr>
              <w:t>18</w:t>
            </w:r>
          </w:p>
        </w:tc>
      </w:tr>
    </w:tbl>
    <w:p w14:paraId="4D1159A7" w14:textId="77777777" w:rsidR="0072549C" w:rsidRPr="00C0764B" w:rsidRDefault="0072549C" w:rsidP="00B832BB">
      <w:pPr>
        <w:suppressAutoHyphens/>
        <w:spacing w:after="60"/>
        <w:jc w:val="center"/>
        <w:rPr>
          <w:sz w:val="18"/>
          <w:szCs w:val="18"/>
        </w:rPr>
      </w:pPr>
    </w:p>
    <w:tbl>
      <w:tblPr>
        <w:tblStyle w:val="TableGrid"/>
        <w:tblW w:w="10137" w:type="dxa"/>
        <w:tblLook w:val="04A0" w:firstRow="1" w:lastRow="0" w:firstColumn="1" w:lastColumn="0" w:noHBand="0" w:noVBand="1"/>
      </w:tblPr>
      <w:tblGrid>
        <w:gridCol w:w="1270"/>
        <w:gridCol w:w="4083"/>
        <w:gridCol w:w="1152"/>
        <w:gridCol w:w="1152"/>
        <w:gridCol w:w="1152"/>
        <w:gridCol w:w="1328"/>
      </w:tblGrid>
      <w:tr w:rsidR="0072549C" w:rsidRPr="00C0764B" w14:paraId="2CA51C15" w14:textId="77777777" w:rsidTr="00A7342F">
        <w:trPr>
          <w:trHeight w:val="273"/>
        </w:trPr>
        <w:tc>
          <w:tcPr>
            <w:tcW w:w="5353" w:type="dxa"/>
            <w:gridSpan w:val="2"/>
            <w:hideMark/>
          </w:tcPr>
          <w:p w14:paraId="2DA93822" w14:textId="758BBA64" w:rsidR="0072549C" w:rsidRPr="00D325B1" w:rsidRDefault="00D325B1" w:rsidP="00723649">
            <w:pPr>
              <w:suppressAutoHyphens/>
              <w:spacing w:after="60"/>
              <w:jc w:val="left"/>
              <w:rPr>
                <w:b/>
                <w:sz w:val="18"/>
                <w:szCs w:val="18"/>
              </w:rPr>
            </w:pPr>
            <w:r w:rsidRPr="00D325B1">
              <w:rPr>
                <w:b/>
                <w:sz w:val="18"/>
                <w:szCs w:val="18"/>
                <w:lang w:val="fr-FR"/>
              </w:rPr>
              <w:t>(V) PLAN D</w:t>
            </w:r>
            <w:r w:rsidR="00BA262E">
              <w:rPr>
                <w:b/>
                <w:sz w:val="18"/>
                <w:szCs w:val="18"/>
                <w:lang w:val="fr-FR"/>
              </w:rPr>
              <w:t>’</w:t>
            </w:r>
            <w:r w:rsidRPr="00D325B1">
              <w:rPr>
                <w:b/>
                <w:sz w:val="18"/>
                <w:szCs w:val="18"/>
                <w:lang w:val="fr-FR"/>
              </w:rPr>
              <w:t>ACTIVITÉS</w:t>
            </w:r>
          </w:p>
        </w:tc>
        <w:tc>
          <w:tcPr>
            <w:tcW w:w="1152" w:type="dxa"/>
          </w:tcPr>
          <w:p w14:paraId="4FDB295F" w14:textId="77777777" w:rsidR="0072549C" w:rsidRPr="00C0764B" w:rsidRDefault="00524890" w:rsidP="00B832BB">
            <w:pPr>
              <w:suppressAutoHyphens/>
              <w:spacing w:after="60"/>
              <w:jc w:val="center"/>
              <w:rPr>
                <w:b/>
                <w:sz w:val="18"/>
                <w:szCs w:val="18"/>
              </w:rPr>
            </w:pPr>
            <w:r w:rsidRPr="00C0764B">
              <w:rPr>
                <w:b/>
                <w:sz w:val="18"/>
                <w:szCs w:val="18"/>
              </w:rPr>
              <w:t>2021</w:t>
            </w:r>
          </w:p>
        </w:tc>
        <w:tc>
          <w:tcPr>
            <w:tcW w:w="1152" w:type="dxa"/>
          </w:tcPr>
          <w:p w14:paraId="25CF041F" w14:textId="77777777" w:rsidR="0072549C" w:rsidRPr="00C0764B" w:rsidRDefault="00524890" w:rsidP="00B832BB">
            <w:pPr>
              <w:suppressAutoHyphens/>
              <w:spacing w:after="60"/>
              <w:jc w:val="center"/>
              <w:rPr>
                <w:b/>
                <w:sz w:val="18"/>
                <w:szCs w:val="18"/>
              </w:rPr>
            </w:pPr>
            <w:r w:rsidRPr="00C0764B">
              <w:rPr>
                <w:b/>
                <w:sz w:val="18"/>
                <w:szCs w:val="18"/>
              </w:rPr>
              <w:t>2022</w:t>
            </w:r>
          </w:p>
        </w:tc>
        <w:tc>
          <w:tcPr>
            <w:tcW w:w="1152" w:type="dxa"/>
          </w:tcPr>
          <w:p w14:paraId="11DDCE3D" w14:textId="77777777" w:rsidR="0072549C" w:rsidRPr="00C0764B" w:rsidRDefault="00524890" w:rsidP="00B832BB">
            <w:pPr>
              <w:suppressAutoHyphens/>
              <w:spacing w:after="60"/>
              <w:jc w:val="center"/>
              <w:rPr>
                <w:b/>
                <w:sz w:val="18"/>
                <w:szCs w:val="18"/>
              </w:rPr>
            </w:pPr>
            <w:r w:rsidRPr="00C0764B">
              <w:rPr>
                <w:b/>
                <w:sz w:val="18"/>
                <w:szCs w:val="18"/>
              </w:rPr>
              <w:t>2023</w:t>
            </w:r>
          </w:p>
        </w:tc>
        <w:tc>
          <w:tcPr>
            <w:tcW w:w="1328" w:type="dxa"/>
            <w:hideMark/>
          </w:tcPr>
          <w:p w14:paraId="053DBDC0" w14:textId="21770A85" w:rsidR="0072549C" w:rsidRPr="00D325B1" w:rsidRDefault="00D325B1" w:rsidP="00723649">
            <w:pPr>
              <w:suppressAutoHyphens/>
              <w:spacing w:after="60"/>
              <w:jc w:val="center"/>
              <w:rPr>
                <w:b/>
                <w:sz w:val="18"/>
                <w:szCs w:val="18"/>
              </w:rPr>
            </w:pPr>
            <w:r w:rsidRPr="00D325B1">
              <w:rPr>
                <w:b/>
                <w:sz w:val="18"/>
                <w:szCs w:val="18"/>
                <w:lang w:val="fr-FR"/>
              </w:rPr>
              <w:t>Total</w:t>
            </w:r>
          </w:p>
        </w:tc>
      </w:tr>
      <w:tr w:rsidR="00865C12" w:rsidRPr="00C0764B" w14:paraId="55067E78" w14:textId="77777777" w:rsidTr="00A7342F">
        <w:trPr>
          <w:trHeight w:val="273"/>
        </w:trPr>
        <w:tc>
          <w:tcPr>
            <w:tcW w:w="1270" w:type="dxa"/>
            <w:vMerge w:val="restart"/>
            <w:hideMark/>
          </w:tcPr>
          <w:p w14:paraId="55332759" w14:textId="6D099150" w:rsidR="00865C12" w:rsidRPr="00D325B1" w:rsidRDefault="00D325B1" w:rsidP="00723649">
            <w:pPr>
              <w:suppressAutoHyphens/>
              <w:spacing w:after="60"/>
              <w:jc w:val="center"/>
              <w:rPr>
                <w:sz w:val="18"/>
                <w:szCs w:val="18"/>
              </w:rPr>
            </w:pPr>
            <w:r w:rsidRPr="00D325B1">
              <w:rPr>
                <w:sz w:val="18"/>
                <w:szCs w:val="18"/>
                <w:lang w:val="fr-FR"/>
              </w:rPr>
              <w:t>PNUD</w:t>
            </w:r>
          </w:p>
        </w:tc>
        <w:tc>
          <w:tcPr>
            <w:tcW w:w="4083" w:type="dxa"/>
            <w:hideMark/>
          </w:tcPr>
          <w:p w14:paraId="26795361" w14:textId="00EA6B40" w:rsidR="00865C12" w:rsidRPr="00A7342F" w:rsidRDefault="00D325B1" w:rsidP="00723649">
            <w:pPr>
              <w:suppressAutoHyphens/>
              <w:spacing w:after="60"/>
              <w:jc w:val="left"/>
              <w:rPr>
                <w:sz w:val="18"/>
                <w:szCs w:val="18"/>
                <w:lang w:val="fr-FR"/>
              </w:rPr>
            </w:pPr>
            <w:r w:rsidRPr="00D325B1">
              <w:rPr>
                <w:sz w:val="18"/>
                <w:szCs w:val="18"/>
                <w:lang w:val="fr-FR"/>
              </w:rPr>
              <w:t>Elimination des SAO (tonnes PAO)</w:t>
            </w:r>
          </w:p>
        </w:tc>
        <w:tc>
          <w:tcPr>
            <w:tcW w:w="1152" w:type="dxa"/>
            <w:shd w:val="clear" w:color="auto" w:fill="auto"/>
          </w:tcPr>
          <w:p w14:paraId="1780861C" w14:textId="2A5BBF4B" w:rsidR="00865C12" w:rsidRPr="00865C12" w:rsidRDefault="00865C12" w:rsidP="00B832BB">
            <w:pPr>
              <w:suppressAutoHyphens/>
              <w:spacing w:after="60"/>
              <w:jc w:val="right"/>
              <w:rPr>
                <w:sz w:val="20"/>
                <w:szCs w:val="20"/>
              </w:rPr>
            </w:pPr>
            <w:r w:rsidRPr="00865C12">
              <w:rPr>
                <w:sz w:val="20"/>
                <w:szCs w:val="20"/>
              </w:rPr>
              <w:t>3</w:t>
            </w:r>
            <w:r w:rsidR="00BA262E">
              <w:rPr>
                <w:sz w:val="20"/>
                <w:szCs w:val="20"/>
              </w:rPr>
              <w:t>,</w:t>
            </w:r>
            <w:r w:rsidRPr="00865C12">
              <w:rPr>
                <w:sz w:val="20"/>
                <w:szCs w:val="20"/>
              </w:rPr>
              <w:t>69</w:t>
            </w:r>
          </w:p>
        </w:tc>
        <w:tc>
          <w:tcPr>
            <w:tcW w:w="1152" w:type="dxa"/>
            <w:shd w:val="clear" w:color="auto" w:fill="auto"/>
          </w:tcPr>
          <w:p w14:paraId="38A599CB" w14:textId="2A359542" w:rsidR="00865C12" w:rsidRPr="00865C12" w:rsidRDefault="00865C12" w:rsidP="00B832BB">
            <w:pPr>
              <w:suppressAutoHyphens/>
              <w:spacing w:after="60"/>
              <w:jc w:val="right"/>
              <w:rPr>
                <w:sz w:val="20"/>
                <w:szCs w:val="20"/>
              </w:rPr>
            </w:pPr>
            <w:r w:rsidRPr="00865C12">
              <w:rPr>
                <w:sz w:val="20"/>
                <w:szCs w:val="20"/>
              </w:rPr>
              <w:t>0</w:t>
            </w:r>
          </w:p>
        </w:tc>
        <w:tc>
          <w:tcPr>
            <w:tcW w:w="1152" w:type="dxa"/>
            <w:shd w:val="clear" w:color="auto" w:fill="auto"/>
          </w:tcPr>
          <w:p w14:paraId="4409CE5F" w14:textId="64ABD2D3" w:rsidR="00865C12" w:rsidRPr="00865C12" w:rsidRDefault="00865C12" w:rsidP="00B832BB">
            <w:pPr>
              <w:suppressAutoHyphens/>
              <w:spacing w:after="60"/>
              <w:jc w:val="right"/>
              <w:rPr>
                <w:sz w:val="20"/>
                <w:szCs w:val="20"/>
              </w:rPr>
            </w:pPr>
            <w:r w:rsidRPr="00865C12">
              <w:rPr>
                <w:sz w:val="20"/>
                <w:szCs w:val="20"/>
              </w:rPr>
              <w:t>0</w:t>
            </w:r>
          </w:p>
        </w:tc>
        <w:tc>
          <w:tcPr>
            <w:tcW w:w="1328" w:type="dxa"/>
            <w:shd w:val="clear" w:color="auto" w:fill="auto"/>
          </w:tcPr>
          <w:p w14:paraId="473EF33E" w14:textId="04189D3F" w:rsidR="00865C12" w:rsidRPr="00865C12" w:rsidRDefault="00865C12" w:rsidP="00B832BB">
            <w:pPr>
              <w:suppressAutoHyphens/>
              <w:spacing w:after="60"/>
              <w:jc w:val="right"/>
              <w:rPr>
                <w:sz w:val="20"/>
                <w:szCs w:val="20"/>
              </w:rPr>
            </w:pPr>
            <w:r w:rsidRPr="00865C12">
              <w:rPr>
                <w:sz w:val="20"/>
                <w:szCs w:val="20"/>
              </w:rPr>
              <w:t>3</w:t>
            </w:r>
            <w:r w:rsidR="00BA262E">
              <w:rPr>
                <w:sz w:val="20"/>
                <w:szCs w:val="20"/>
              </w:rPr>
              <w:t>,</w:t>
            </w:r>
            <w:r w:rsidRPr="00865C12">
              <w:rPr>
                <w:sz w:val="20"/>
                <w:szCs w:val="20"/>
              </w:rPr>
              <w:t>69</w:t>
            </w:r>
          </w:p>
        </w:tc>
      </w:tr>
      <w:tr w:rsidR="00865C12" w:rsidRPr="00C0764B" w14:paraId="26B5EE6E" w14:textId="77777777" w:rsidTr="00A7342F">
        <w:trPr>
          <w:trHeight w:val="273"/>
        </w:trPr>
        <w:tc>
          <w:tcPr>
            <w:tcW w:w="1270" w:type="dxa"/>
            <w:vMerge/>
            <w:vAlign w:val="center"/>
            <w:hideMark/>
          </w:tcPr>
          <w:p w14:paraId="752E9F7A" w14:textId="77777777" w:rsidR="00865C12" w:rsidRPr="00C0764B" w:rsidRDefault="00865C12" w:rsidP="00B832BB">
            <w:pPr>
              <w:suppressAutoHyphens/>
              <w:jc w:val="left"/>
              <w:rPr>
                <w:sz w:val="18"/>
                <w:szCs w:val="18"/>
              </w:rPr>
            </w:pPr>
          </w:p>
        </w:tc>
        <w:tc>
          <w:tcPr>
            <w:tcW w:w="4083" w:type="dxa"/>
            <w:hideMark/>
          </w:tcPr>
          <w:p w14:paraId="18A8FC04" w14:textId="61921BFD" w:rsidR="00865C12" w:rsidRPr="00D325B1" w:rsidRDefault="00D325B1" w:rsidP="00723649">
            <w:pPr>
              <w:suppressAutoHyphens/>
              <w:spacing w:after="60"/>
              <w:jc w:val="left"/>
              <w:rPr>
                <w:sz w:val="18"/>
                <w:szCs w:val="18"/>
              </w:rPr>
            </w:pPr>
            <w:r w:rsidRPr="00D325B1">
              <w:rPr>
                <w:sz w:val="18"/>
                <w:szCs w:val="18"/>
                <w:lang w:val="fr-FR"/>
              </w:rPr>
              <w:t>Financement ($US)</w:t>
            </w:r>
          </w:p>
        </w:tc>
        <w:tc>
          <w:tcPr>
            <w:tcW w:w="1152" w:type="dxa"/>
            <w:shd w:val="clear" w:color="auto" w:fill="auto"/>
          </w:tcPr>
          <w:p w14:paraId="25D8E020" w14:textId="4F88DE7E" w:rsidR="00865C12" w:rsidRPr="00865C12" w:rsidRDefault="00865C12" w:rsidP="00B832BB">
            <w:pPr>
              <w:suppressAutoHyphens/>
              <w:spacing w:after="60"/>
              <w:jc w:val="right"/>
              <w:rPr>
                <w:sz w:val="20"/>
                <w:szCs w:val="20"/>
              </w:rPr>
            </w:pPr>
            <w:r w:rsidRPr="00865C12">
              <w:rPr>
                <w:sz w:val="20"/>
                <w:szCs w:val="20"/>
              </w:rPr>
              <w:t>389</w:t>
            </w:r>
            <w:r w:rsidR="00BA262E">
              <w:rPr>
                <w:sz w:val="20"/>
                <w:szCs w:val="20"/>
              </w:rPr>
              <w:t> </w:t>
            </w:r>
            <w:r w:rsidRPr="00865C12">
              <w:rPr>
                <w:sz w:val="20"/>
                <w:szCs w:val="20"/>
              </w:rPr>
              <w:t>052</w:t>
            </w:r>
          </w:p>
        </w:tc>
        <w:tc>
          <w:tcPr>
            <w:tcW w:w="1152" w:type="dxa"/>
            <w:shd w:val="clear" w:color="auto" w:fill="auto"/>
          </w:tcPr>
          <w:p w14:paraId="0C1AE7B9" w14:textId="762CBD3D" w:rsidR="00865C12" w:rsidRPr="00865C12" w:rsidRDefault="00865C12" w:rsidP="00B832BB">
            <w:pPr>
              <w:suppressAutoHyphens/>
              <w:spacing w:after="60"/>
              <w:jc w:val="right"/>
              <w:rPr>
                <w:sz w:val="20"/>
                <w:szCs w:val="20"/>
              </w:rPr>
            </w:pPr>
            <w:r w:rsidRPr="00865C12">
              <w:rPr>
                <w:sz w:val="20"/>
                <w:szCs w:val="20"/>
              </w:rPr>
              <w:t>0</w:t>
            </w:r>
          </w:p>
        </w:tc>
        <w:tc>
          <w:tcPr>
            <w:tcW w:w="1152" w:type="dxa"/>
            <w:shd w:val="clear" w:color="auto" w:fill="auto"/>
          </w:tcPr>
          <w:p w14:paraId="7F384B3E" w14:textId="2D64B34A" w:rsidR="00865C12" w:rsidRPr="00865C12" w:rsidRDefault="00865C12" w:rsidP="00B832BB">
            <w:pPr>
              <w:suppressAutoHyphens/>
              <w:spacing w:after="60"/>
              <w:jc w:val="right"/>
              <w:rPr>
                <w:sz w:val="20"/>
                <w:szCs w:val="20"/>
              </w:rPr>
            </w:pPr>
            <w:r w:rsidRPr="00865C12">
              <w:rPr>
                <w:sz w:val="20"/>
                <w:szCs w:val="20"/>
              </w:rPr>
              <w:t>0</w:t>
            </w:r>
          </w:p>
        </w:tc>
        <w:tc>
          <w:tcPr>
            <w:tcW w:w="1328" w:type="dxa"/>
            <w:shd w:val="clear" w:color="auto" w:fill="auto"/>
          </w:tcPr>
          <w:p w14:paraId="2DAB7BB7" w14:textId="4EDD3245" w:rsidR="00865C12" w:rsidRPr="00865C12" w:rsidRDefault="00865C12" w:rsidP="00B832BB">
            <w:pPr>
              <w:suppressAutoHyphens/>
              <w:spacing w:after="60"/>
              <w:jc w:val="right"/>
              <w:rPr>
                <w:sz w:val="20"/>
                <w:szCs w:val="20"/>
              </w:rPr>
            </w:pPr>
            <w:r w:rsidRPr="00865C12">
              <w:rPr>
                <w:sz w:val="20"/>
                <w:szCs w:val="20"/>
              </w:rPr>
              <w:t>389</w:t>
            </w:r>
            <w:r w:rsidR="00BA262E">
              <w:rPr>
                <w:sz w:val="20"/>
                <w:szCs w:val="20"/>
              </w:rPr>
              <w:t> </w:t>
            </w:r>
            <w:r w:rsidRPr="00865C12">
              <w:rPr>
                <w:sz w:val="20"/>
                <w:szCs w:val="20"/>
              </w:rPr>
              <w:t>052</w:t>
            </w:r>
          </w:p>
        </w:tc>
      </w:tr>
    </w:tbl>
    <w:p w14:paraId="2C88A85C" w14:textId="77777777" w:rsidR="0072549C" w:rsidRPr="00C0764B" w:rsidRDefault="0072549C" w:rsidP="00B832BB">
      <w:pPr>
        <w:suppressAutoHyphens/>
        <w:spacing w:after="60"/>
        <w:jc w:val="center"/>
        <w:rPr>
          <w:sz w:val="18"/>
          <w:szCs w:val="18"/>
        </w:rPr>
      </w:pPr>
    </w:p>
    <w:tbl>
      <w:tblPr>
        <w:tblStyle w:val="TableGrid"/>
        <w:tblW w:w="53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050"/>
        <w:gridCol w:w="709"/>
        <w:gridCol w:w="895"/>
        <w:gridCol w:w="726"/>
        <w:gridCol w:w="726"/>
        <w:gridCol w:w="726"/>
        <w:gridCol w:w="726"/>
        <w:gridCol w:w="726"/>
        <w:gridCol w:w="725"/>
        <w:gridCol w:w="725"/>
        <w:gridCol w:w="725"/>
        <w:gridCol w:w="725"/>
        <w:gridCol w:w="727"/>
      </w:tblGrid>
      <w:tr w:rsidR="008C5114" w:rsidRPr="00C0764B" w14:paraId="78F7BD76" w14:textId="77777777" w:rsidTr="009F7F41">
        <w:tc>
          <w:tcPr>
            <w:tcW w:w="1337" w:type="pct"/>
            <w:gridSpan w:val="3"/>
            <w:tcBorders>
              <w:top w:val="single" w:sz="4" w:space="0" w:color="666699"/>
              <w:left w:val="single" w:sz="4" w:space="0" w:color="666699"/>
              <w:bottom w:val="single" w:sz="4" w:space="0" w:color="666699"/>
              <w:right w:val="single" w:sz="4" w:space="0" w:color="666699"/>
            </w:tcBorders>
            <w:hideMark/>
          </w:tcPr>
          <w:p w14:paraId="11AFA652" w14:textId="26F5C19C" w:rsidR="0072549C" w:rsidRPr="00D325B1" w:rsidRDefault="00D325B1" w:rsidP="00723649">
            <w:pPr>
              <w:suppressAutoHyphens/>
              <w:spacing w:after="60"/>
              <w:jc w:val="left"/>
              <w:rPr>
                <w:b/>
                <w:sz w:val="18"/>
                <w:szCs w:val="18"/>
              </w:rPr>
            </w:pPr>
            <w:r w:rsidRPr="00D325B1">
              <w:rPr>
                <w:b/>
                <w:sz w:val="18"/>
                <w:szCs w:val="18"/>
                <w:lang w:val="fr-FR"/>
              </w:rPr>
              <w:t>(VI) DONNÉES DU PROJET</w:t>
            </w:r>
          </w:p>
        </w:tc>
        <w:tc>
          <w:tcPr>
            <w:tcW w:w="366" w:type="pct"/>
            <w:tcBorders>
              <w:top w:val="single" w:sz="4" w:space="0" w:color="666699"/>
              <w:left w:val="single" w:sz="4" w:space="0" w:color="666699"/>
              <w:bottom w:val="single" w:sz="4" w:space="0" w:color="666699"/>
              <w:right w:val="single" w:sz="4" w:space="0" w:color="666699"/>
            </w:tcBorders>
            <w:hideMark/>
          </w:tcPr>
          <w:p w14:paraId="1A8C438D" w14:textId="77777777" w:rsidR="0072549C" w:rsidRPr="00C0764B" w:rsidRDefault="0072549C" w:rsidP="00B832BB">
            <w:pPr>
              <w:suppressAutoHyphens/>
              <w:spacing w:after="60"/>
              <w:jc w:val="center"/>
              <w:rPr>
                <w:b/>
                <w:sz w:val="18"/>
                <w:szCs w:val="18"/>
              </w:rPr>
            </w:pPr>
            <w:r w:rsidRPr="00C0764B">
              <w:rPr>
                <w:b/>
                <w:sz w:val="18"/>
                <w:szCs w:val="18"/>
              </w:rPr>
              <w:t>2017</w:t>
            </w:r>
          </w:p>
        </w:tc>
        <w:tc>
          <w:tcPr>
            <w:tcW w:w="366" w:type="pct"/>
            <w:tcBorders>
              <w:top w:val="single" w:sz="4" w:space="0" w:color="666699"/>
              <w:left w:val="single" w:sz="4" w:space="0" w:color="666699"/>
              <w:bottom w:val="single" w:sz="4" w:space="0" w:color="666699"/>
              <w:right w:val="single" w:sz="4" w:space="0" w:color="666699"/>
            </w:tcBorders>
            <w:hideMark/>
          </w:tcPr>
          <w:p w14:paraId="12082EB3" w14:textId="77777777" w:rsidR="0072549C" w:rsidRPr="00C0764B" w:rsidRDefault="0072549C" w:rsidP="00B832BB">
            <w:pPr>
              <w:suppressAutoHyphens/>
              <w:spacing w:after="60"/>
              <w:jc w:val="center"/>
              <w:rPr>
                <w:b/>
                <w:sz w:val="18"/>
                <w:szCs w:val="18"/>
              </w:rPr>
            </w:pPr>
            <w:r w:rsidRPr="00C0764B">
              <w:rPr>
                <w:b/>
                <w:sz w:val="18"/>
                <w:szCs w:val="18"/>
              </w:rPr>
              <w:t>2018</w:t>
            </w:r>
          </w:p>
        </w:tc>
        <w:tc>
          <w:tcPr>
            <w:tcW w:w="366" w:type="pct"/>
            <w:tcBorders>
              <w:top w:val="single" w:sz="4" w:space="0" w:color="666699"/>
              <w:left w:val="single" w:sz="4" w:space="0" w:color="666699"/>
              <w:bottom w:val="single" w:sz="4" w:space="0" w:color="666699"/>
              <w:right w:val="single" w:sz="4" w:space="0" w:color="666699"/>
            </w:tcBorders>
            <w:hideMark/>
          </w:tcPr>
          <w:p w14:paraId="5EF43E86" w14:textId="77777777" w:rsidR="0072549C" w:rsidRPr="00C0764B" w:rsidRDefault="0072549C" w:rsidP="00B832BB">
            <w:pPr>
              <w:suppressAutoHyphens/>
              <w:spacing w:after="60"/>
              <w:jc w:val="center"/>
              <w:rPr>
                <w:b/>
                <w:sz w:val="18"/>
                <w:szCs w:val="18"/>
              </w:rPr>
            </w:pPr>
            <w:r w:rsidRPr="00C0764B">
              <w:rPr>
                <w:b/>
                <w:sz w:val="18"/>
                <w:szCs w:val="18"/>
              </w:rPr>
              <w:t>2019</w:t>
            </w:r>
          </w:p>
        </w:tc>
        <w:tc>
          <w:tcPr>
            <w:tcW w:w="366" w:type="pct"/>
            <w:tcBorders>
              <w:top w:val="single" w:sz="4" w:space="0" w:color="666699"/>
              <w:left w:val="single" w:sz="4" w:space="0" w:color="666699"/>
              <w:bottom w:val="single" w:sz="4" w:space="0" w:color="666699"/>
              <w:right w:val="single" w:sz="4" w:space="0" w:color="666699"/>
            </w:tcBorders>
            <w:hideMark/>
          </w:tcPr>
          <w:p w14:paraId="5B0F8F0B" w14:textId="77777777" w:rsidR="0072549C" w:rsidRPr="00C0764B" w:rsidRDefault="0072549C" w:rsidP="00B832BB">
            <w:pPr>
              <w:suppressAutoHyphens/>
              <w:spacing w:after="60"/>
              <w:jc w:val="center"/>
              <w:rPr>
                <w:b/>
                <w:sz w:val="18"/>
                <w:szCs w:val="18"/>
              </w:rPr>
            </w:pPr>
            <w:r w:rsidRPr="00C0764B">
              <w:rPr>
                <w:b/>
                <w:sz w:val="18"/>
                <w:szCs w:val="18"/>
              </w:rPr>
              <w:t>2020</w:t>
            </w:r>
          </w:p>
        </w:tc>
        <w:tc>
          <w:tcPr>
            <w:tcW w:w="366" w:type="pct"/>
            <w:tcBorders>
              <w:top w:val="single" w:sz="4" w:space="0" w:color="666699"/>
              <w:left w:val="single" w:sz="4" w:space="0" w:color="666699"/>
              <w:bottom w:val="single" w:sz="4" w:space="0" w:color="666699"/>
              <w:right w:val="single" w:sz="4" w:space="0" w:color="666699"/>
            </w:tcBorders>
            <w:hideMark/>
          </w:tcPr>
          <w:p w14:paraId="7EEF7634" w14:textId="77777777" w:rsidR="0072549C" w:rsidRPr="00C0764B" w:rsidRDefault="0072549C" w:rsidP="00B832BB">
            <w:pPr>
              <w:suppressAutoHyphens/>
              <w:spacing w:after="60"/>
              <w:jc w:val="center"/>
              <w:rPr>
                <w:b/>
                <w:sz w:val="18"/>
                <w:szCs w:val="18"/>
              </w:rPr>
            </w:pPr>
            <w:r w:rsidRPr="00C0764B">
              <w:rPr>
                <w:b/>
                <w:sz w:val="18"/>
                <w:szCs w:val="18"/>
              </w:rPr>
              <w:t>2021</w:t>
            </w:r>
          </w:p>
        </w:tc>
        <w:tc>
          <w:tcPr>
            <w:tcW w:w="366" w:type="pct"/>
            <w:tcBorders>
              <w:top w:val="single" w:sz="4" w:space="0" w:color="666699"/>
              <w:left w:val="single" w:sz="4" w:space="0" w:color="666699"/>
              <w:bottom w:val="single" w:sz="4" w:space="0" w:color="666699"/>
              <w:right w:val="single" w:sz="4" w:space="0" w:color="666699"/>
            </w:tcBorders>
          </w:tcPr>
          <w:p w14:paraId="4396A798" w14:textId="77777777" w:rsidR="0072549C" w:rsidRPr="00C0764B" w:rsidRDefault="0072549C" w:rsidP="00B832BB">
            <w:pPr>
              <w:suppressAutoHyphens/>
              <w:spacing w:after="60"/>
              <w:jc w:val="center"/>
              <w:rPr>
                <w:b/>
                <w:sz w:val="18"/>
                <w:szCs w:val="18"/>
              </w:rPr>
            </w:pPr>
            <w:r w:rsidRPr="00C0764B">
              <w:rPr>
                <w:b/>
                <w:sz w:val="18"/>
                <w:szCs w:val="18"/>
              </w:rPr>
              <w:t>2022</w:t>
            </w:r>
          </w:p>
        </w:tc>
        <w:tc>
          <w:tcPr>
            <w:tcW w:w="366" w:type="pct"/>
            <w:tcBorders>
              <w:top w:val="single" w:sz="4" w:space="0" w:color="666699"/>
              <w:left w:val="single" w:sz="4" w:space="0" w:color="666699"/>
              <w:bottom w:val="single" w:sz="4" w:space="0" w:color="666699"/>
              <w:right w:val="single" w:sz="4" w:space="0" w:color="666699"/>
            </w:tcBorders>
          </w:tcPr>
          <w:p w14:paraId="05A8520E" w14:textId="77777777" w:rsidR="0072549C" w:rsidRPr="00C0764B" w:rsidRDefault="0072549C" w:rsidP="00B832BB">
            <w:pPr>
              <w:suppressAutoHyphens/>
              <w:spacing w:after="60"/>
              <w:jc w:val="center"/>
              <w:rPr>
                <w:b/>
                <w:sz w:val="18"/>
                <w:szCs w:val="18"/>
              </w:rPr>
            </w:pPr>
            <w:r w:rsidRPr="00C0764B">
              <w:rPr>
                <w:b/>
                <w:sz w:val="18"/>
                <w:szCs w:val="18"/>
              </w:rPr>
              <w:t>2023</w:t>
            </w:r>
          </w:p>
        </w:tc>
        <w:tc>
          <w:tcPr>
            <w:tcW w:w="366" w:type="pct"/>
            <w:tcBorders>
              <w:top w:val="single" w:sz="4" w:space="0" w:color="666699"/>
              <w:left w:val="single" w:sz="4" w:space="0" w:color="666699"/>
              <w:bottom w:val="single" w:sz="4" w:space="0" w:color="666699"/>
              <w:right w:val="single" w:sz="4" w:space="0" w:color="666699"/>
            </w:tcBorders>
          </w:tcPr>
          <w:p w14:paraId="2560A2C7" w14:textId="77777777" w:rsidR="0072549C" w:rsidRPr="00C0764B" w:rsidRDefault="0072549C" w:rsidP="00B832BB">
            <w:pPr>
              <w:suppressAutoHyphens/>
              <w:spacing w:after="60"/>
              <w:jc w:val="center"/>
              <w:rPr>
                <w:b/>
                <w:sz w:val="18"/>
                <w:szCs w:val="18"/>
              </w:rPr>
            </w:pPr>
            <w:r w:rsidRPr="00C0764B">
              <w:rPr>
                <w:b/>
                <w:sz w:val="18"/>
                <w:szCs w:val="18"/>
              </w:rPr>
              <w:t>2024</w:t>
            </w:r>
          </w:p>
        </w:tc>
        <w:tc>
          <w:tcPr>
            <w:tcW w:w="366" w:type="pct"/>
            <w:tcBorders>
              <w:top w:val="single" w:sz="4" w:space="0" w:color="666699"/>
              <w:left w:val="single" w:sz="4" w:space="0" w:color="666699"/>
              <w:bottom w:val="single" w:sz="4" w:space="0" w:color="666699"/>
              <w:right w:val="single" w:sz="4" w:space="0" w:color="666699"/>
            </w:tcBorders>
          </w:tcPr>
          <w:p w14:paraId="07516EE8" w14:textId="77777777" w:rsidR="0072549C" w:rsidRPr="00C0764B" w:rsidRDefault="0072549C" w:rsidP="00B832BB">
            <w:pPr>
              <w:suppressAutoHyphens/>
              <w:spacing w:after="60"/>
              <w:jc w:val="center"/>
              <w:rPr>
                <w:b/>
                <w:sz w:val="18"/>
                <w:szCs w:val="18"/>
              </w:rPr>
            </w:pPr>
            <w:r w:rsidRPr="00C0764B">
              <w:rPr>
                <w:b/>
                <w:sz w:val="18"/>
                <w:szCs w:val="18"/>
              </w:rPr>
              <w:t>2025</w:t>
            </w:r>
          </w:p>
        </w:tc>
        <w:tc>
          <w:tcPr>
            <w:tcW w:w="367" w:type="pct"/>
            <w:tcBorders>
              <w:top w:val="single" w:sz="4" w:space="0" w:color="666699"/>
              <w:left w:val="single" w:sz="4" w:space="0" w:color="666699"/>
              <w:bottom w:val="single" w:sz="4" w:space="0" w:color="666699"/>
              <w:right w:val="single" w:sz="4" w:space="0" w:color="666699"/>
            </w:tcBorders>
            <w:hideMark/>
          </w:tcPr>
          <w:p w14:paraId="5A18801D" w14:textId="5AD32B3B" w:rsidR="0072549C" w:rsidRPr="00D325B1" w:rsidRDefault="00D325B1" w:rsidP="00723649">
            <w:pPr>
              <w:suppressAutoHyphens/>
              <w:spacing w:after="60"/>
              <w:jc w:val="center"/>
              <w:rPr>
                <w:b/>
                <w:sz w:val="18"/>
                <w:szCs w:val="18"/>
              </w:rPr>
            </w:pPr>
            <w:r w:rsidRPr="00D325B1">
              <w:rPr>
                <w:b/>
                <w:sz w:val="18"/>
                <w:szCs w:val="18"/>
                <w:lang w:val="fr-FR"/>
              </w:rPr>
              <w:t>Total</w:t>
            </w:r>
          </w:p>
        </w:tc>
      </w:tr>
      <w:tr w:rsidR="008C5114" w:rsidRPr="00C0764B" w14:paraId="7294674A" w14:textId="77777777" w:rsidTr="009F7F41">
        <w:tc>
          <w:tcPr>
            <w:tcW w:w="1337" w:type="pct"/>
            <w:gridSpan w:val="3"/>
            <w:tcBorders>
              <w:top w:val="single" w:sz="4" w:space="0" w:color="666699"/>
              <w:left w:val="single" w:sz="4" w:space="0" w:color="666699"/>
              <w:bottom w:val="single" w:sz="4" w:space="0" w:color="666699"/>
              <w:right w:val="single" w:sz="4" w:space="0" w:color="666699"/>
            </w:tcBorders>
            <w:hideMark/>
          </w:tcPr>
          <w:p w14:paraId="532C4B68" w14:textId="76151BBC" w:rsidR="0072549C" w:rsidRPr="00A7342F" w:rsidRDefault="00D325B1" w:rsidP="00723649">
            <w:pPr>
              <w:suppressAutoHyphens/>
              <w:spacing w:after="60"/>
              <w:jc w:val="left"/>
              <w:rPr>
                <w:sz w:val="18"/>
                <w:szCs w:val="18"/>
                <w:lang w:val="fr-FR"/>
              </w:rPr>
            </w:pPr>
            <w:r w:rsidRPr="00D325B1">
              <w:rPr>
                <w:sz w:val="18"/>
                <w:szCs w:val="18"/>
                <w:lang w:val="fr-FR"/>
              </w:rPr>
              <w:t>Limites de consommation du Protocole de Montréal</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555B237" w14:textId="4343E8BD" w:rsidR="0072549C" w:rsidRPr="00C0764B" w:rsidRDefault="0072549C" w:rsidP="00B832BB">
            <w:pPr>
              <w:suppressAutoHyphens/>
              <w:spacing w:after="60"/>
              <w:jc w:val="right"/>
              <w:rPr>
                <w:sz w:val="18"/>
                <w:szCs w:val="18"/>
              </w:rPr>
            </w:pPr>
            <w:r w:rsidRPr="00C0764B">
              <w:rPr>
                <w:sz w:val="18"/>
                <w:szCs w:val="18"/>
              </w:rPr>
              <w:t>14</w:t>
            </w:r>
            <w:r w:rsidR="00BA262E">
              <w:rPr>
                <w:sz w:val="18"/>
                <w:szCs w:val="18"/>
              </w:rPr>
              <w:t>,</w:t>
            </w:r>
            <w:r w:rsidRPr="00C0764B">
              <w:rPr>
                <w:sz w:val="18"/>
                <w:szCs w:val="18"/>
              </w:rPr>
              <w:t>36</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23A2D53A" w14:textId="21C5B233" w:rsidR="0072549C" w:rsidRPr="00C0764B" w:rsidRDefault="0072549C" w:rsidP="00B832BB">
            <w:pPr>
              <w:suppressAutoHyphens/>
              <w:spacing w:after="60"/>
              <w:jc w:val="right"/>
              <w:rPr>
                <w:sz w:val="18"/>
                <w:szCs w:val="18"/>
              </w:rPr>
            </w:pPr>
            <w:r w:rsidRPr="00C0764B">
              <w:rPr>
                <w:sz w:val="18"/>
                <w:szCs w:val="18"/>
              </w:rPr>
              <w:t>14</w:t>
            </w:r>
            <w:r w:rsidR="00BA262E">
              <w:rPr>
                <w:sz w:val="18"/>
                <w:szCs w:val="18"/>
              </w:rPr>
              <w:t>,</w:t>
            </w:r>
            <w:r w:rsidRPr="00C0764B">
              <w:rPr>
                <w:sz w:val="18"/>
                <w:szCs w:val="18"/>
              </w:rPr>
              <w:t>36</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38DAE577" w14:textId="3D770E49" w:rsidR="0072549C" w:rsidRPr="00C0764B" w:rsidRDefault="0072549C" w:rsidP="00B832BB">
            <w:pPr>
              <w:suppressAutoHyphens/>
              <w:spacing w:after="60"/>
              <w:jc w:val="right"/>
              <w:rPr>
                <w:sz w:val="18"/>
                <w:szCs w:val="18"/>
              </w:rPr>
            </w:pPr>
            <w:r w:rsidRPr="00C0764B">
              <w:rPr>
                <w:sz w:val="18"/>
                <w:szCs w:val="18"/>
              </w:rPr>
              <w:t>14</w:t>
            </w:r>
            <w:r w:rsidR="00BA262E">
              <w:rPr>
                <w:sz w:val="18"/>
                <w:szCs w:val="18"/>
              </w:rPr>
              <w:t>,</w:t>
            </w:r>
            <w:r w:rsidRPr="00C0764B">
              <w:rPr>
                <w:sz w:val="18"/>
                <w:szCs w:val="18"/>
              </w:rPr>
              <w:t>36</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40A1E670" w14:textId="13D02381" w:rsidR="0072549C" w:rsidRPr="00C0764B" w:rsidRDefault="0072549C" w:rsidP="00B832BB">
            <w:pPr>
              <w:suppressAutoHyphens/>
              <w:spacing w:after="60"/>
              <w:jc w:val="right"/>
              <w:rPr>
                <w:sz w:val="18"/>
                <w:szCs w:val="18"/>
              </w:rPr>
            </w:pPr>
            <w:r w:rsidRPr="00C0764B">
              <w:rPr>
                <w:sz w:val="18"/>
                <w:szCs w:val="18"/>
              </w:rPr>
              <w:t>10</w:t>
            </w:r>
            <w:r w:rsidR="00BA262E">
              <w:rPr>
                <w:sz w:val="18"/>
                <w:szCs w:val="18"/>
              </w:rPr>
              <w:t>,</w:t>
            </w:r>
            <w:r w:rsidRPr="00C0764B">
              <w:rPr>
                <w:sz w:val="18"/>
                <w:szCs w:val="18"/>
              </w:rPr>
              <w:t>37</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E123938" w14:textId="0C042038" w:rsidR="0072549C" w:rsidRPr="00C0764B" w:rsidRDefault="0072549C" w:rsidP="00B832BB">
            <w:pPr>
              <w:suppressAutoHyphens/>
              <w:spacing w:after="60"/>
              <w:jc w:val="right"/>
              <w:rPr>
                <w:sz w:val="18"/>
                <w:szCs w:val="18"/>
              </w:rPr>
            </w:pPr>
            <w:r w:rsidRPr="00C0764B">
              <w:rPr>
                <w:sz w:val="18"/>
                <w:szCs w:val="18"/>
              </w:rPr>
              <w:t>10</w:t>
            </w:r>
            <w:r w:rsidR="00BA262E">
              <w:rPr>
                <w:sz w:val="18"/>
                <w:szCs w:val="18"/>
              </w:rPr>
              <w:t>,</w:t>
            </w:r>
            <w:r w:rsidRPr="00C0764B">
              <w:rPr>
                <w:sz w:val="18"/>
                <w:szCs w:val="18"/>
              </w:rPr>
              <w:t>37</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3C29EDB7" w14:textId="718F3D41" w:rsidR="0072549C" w:rsidRPr="00C0764B" w:rsidRDefault="0072549C" w:rsidP="00B832BB">
            <w:pPr>
              <w:suppressAutoHyphens/>
              <w:spacing w:after="60"/>
              <w:jc w:val="right"/>
              <w:rPr>
                <w:sz w:val="18"/>
                <w:szCs w:val="18"/>
              </w:rPr>
            </w:pPr>
            <w:r w:rsidRPr="00C0764B">
              <w:rPr>
                <w:sz w:val="18"/>
                <w:szCs w:val="18"/>
              </w:rPr>
              <w:t>10</w:t>
            </w:r>
            <w:r w:rsidR="00BA262E">
              <w:rPr>
                <w:sz w:val="18"/>
                <w:szCs w:val="18"/>
              </w:rPr>
              <w:t>,</w:t>
            </w:r>
            <w:r w:rsidRPr="00C0764B">
              <w:rPr>
                <w:sz w:val="18"/>
                <w:szCs w:val="18"/>
              </w:rPr>
              <w:t>37</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2F914D30" w14:textId="3F0B10F4" w:rsidR="0072549C" w:rsidRPr="00C0764B" w:rsidRDefault="0072549C" w:rsidP="00B832BB">
            <w:pPr>
              <w:suppressAutoHyphens/>
              <w:spacing w:after="60"/>
              <w:jc w:val="right"/>
              <w:rPr>
                <w:sz w:val="18"/>
                <w:szCs w:val="18"/>
              </w:rPr>
            </w:pPr>
            <w:r w:rsidRPr="00C0764B">
              <w:rPr>
                <w:sz w:val="18"/>
                <w:szCs w:val="18"/>
              </w:rPr>
              <w:t>10</w:t>
            </w:r>
            <w:r w:rsidR="00BA262E">
              <w:rPr>
                <w:sz w:val="18"/>
                <w:szCs w:val="18"/>
              </w:rPr>
              <w:t>,</w:t>
            </w:r>
            <w:r w:rsidRPr="00C0764B">
              <w:rPr>
                <w:sz w:val="18"/>
                <w:szCs w:val="18"/>
              </w:rPr>
              <w:t>37</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744AFDC1" w14:textId="692696B2" w:rsidR="0072549C" w:rsidRPr="00C0764B" w:rsidRDefault="0072549C" w:rsidP="00B832BB">
            <w:pPr>
              <w:suppressAutoHyphens/>
              <w:spacing w:after="60"/>
              <w:jc w:val="right"/>
              <w:rPr>
                <w:sz w:val="18"/>
                <w:szCs w:val="18"/>
              </w:rPr>
            </w:pPr>
            <w:r w:rsidRPr="00C0764B">
              <w:rPr>
                <w:sz w:val="18"/>
                <w:szCs w:val="18"/>
              </w:rPr>
              <w:t>10</w:t>
            </w:r>
            <w:r w:rsidR="00BA262E">
              <w:rPr>
                <w:sz w:val="18"/>
                <w:szCs w:val="18"/>
              </w:rPr>
              <w:t>,</w:t>
            </w:r>
            <w:r w:rsidRPr="00C0764B">
              <w:rPr>
                <w:sz w:val="18"/>
                <w:szCs w:val="18"/>
              </w:rPr>
              <w:t>37</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7BF5D4B6" w14:textId="4D696F06" w:rsidR="0072549C" w:rsidRPr="00C0764B" w:rsidRDefault="0072549C" w:rsidP="00B832BB">
            <w:pPr>
              <w:suppressAutoHyphens/>
              <w:spacing w:after="60"/>
              <w:jc w:val="right"/>
              <w:rPr>
                <w:sz w:val="18"/>
                <w:szCs w:val="18"/>
              </w:rPr>
            </w:pPr>
            <w:r w:rsidRPr="00C0764B">
              <w:rPr>
                <w:sz w:val="18"/>
                <w:szCs w:val="18"/>
              </w:rPr>
              <w:t>5</w:t>
            </w:r>
            <w:r w:rsidR="00BA262E">
              <w:rPr>
                <w:sz w:val="18"/>
                <w:szCs w:val="18"/>
              </w:rPr>
              <w:t>,</w:t>
            </w:r>
            <w:r w:rsidRPr="00C0764B">
              <w:rPr>
                <w:sz w:val="18"/>
                <w:szCs w:val="18"/>
              </w:rPr>
              <w:t>18</w:t>
            </w:r>
          </w:p>
        </w:tc>
        <w:tc>
          <w:tcPr>
            <w:tcW w:w="367" w:type="pct"/>
            <w:tcBorders>
              <w:top w:val="single" w:sz="4" w:space="0" w:color="666699"/>
              <w:left w:val="single" w:sz="4" w:space="0" w:color="666699"/>
              <w:bottom w:val="single" w:sz="4" w:space="0" w:color="666699"/>
              <w:right w:val="single" w:sz="4" w:space="0" w:color="666699"/>
            </w:tcBorders>
            <w:tcMar>
              <w:left w:w="115" w:type="dxa"/>
              <w:right w:w="0" w:type="dxa"/>
            </w:tcMar>
            <w:hideMark/>
          </w:tcPr>
          <w:p w14:paraId="20EE5736" w14:textId="77777777" w:rsidR="0072549C" w:rsidRPr="00C0764B" w:rsidRDefault="0072549C" w:rsidP="00B832BB">
            <w:pPr>
              <w:suppressAutoHyphens/>
              <w:jc w:val="right"/>
              <w:rPr>
                <w:sz w:val="18"/>
                <w:szCs w:val="18"/>
                <w:lang w:eastAsia="es-CO"/>
              </w:rPr>
            </w:pPr>
            <w:r w:rsidRPr="00C0764B">
              <w:rPr>
                <w:sz w:val="18"/>
                <w:szCs w:val="18"/>
                <w:lang w:eastAsia="es-CO"/>
              </w:rPr>
              <w:t>0</w:t>
            </w:r>
          </w:p>
        </w:tc>
      </w:tr>
      <w:tr w:rsidR="008C5114" w:rsidRPr="00C0764B" w14:paraId="53CB22BB" w14:textId="77777777" w:rsidTr="009F7F41">
        <w:tc>
          <w:tcPr>
            <w:tcW w:w="1337" w:type="pct"/>
            <w:gridSpan w:val="3"/>
            <w:tcBorders>
              <w:top w:val="single" w:sz="4" w:space="0" w:color="666699"/>
              <w:left w:val="single" w:sz="4" w:space="0" w:color="666699"/>
              <w:bottom w:val="single" w:sz="4" w:space="0" w:color="666699"/>
              <w:right w:val="single" w:sz="4" w:space="0" w:color="666699"/>
            </w:tcBorders>
            <w:hideMark/>
          </w:tcPr>
          <w:p w14:paraId="424B7652" w14:textId="073DA251" w:rsidR="0072549C" w:rsidRPr="00A7342F" w:rsidRDefault="00D325B1" w:rsidP="00723649">
            <w:pPr>
              <w:suppressAutoHyphens/>
              <w:spacing w:after="60"/>
              <w:jc w:val="left"/>
              <w:rPr>
                <w:sz w:val="18"/>
                <w:szCs w:val="18"/>
                <w:lang w:val="fr-FR"/>
              </w:rPr>
            </w:pPr>
            <w:r w:rsidRPr="00D325B1">
              <w:rPr>
                <w:sz w:val="18"/>
                <w:szCs w:val="18"/>
                <w:lang w:val="fr-FR"/>
              </w:rPr>
              <w:t>Consommation maximale autorisée (tonnes PAO)</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4070C1E" w14:textId="6BBCFC2A" w:rsidR="0072549C" w:rsidRPr="00C0764B" w:rsidRDefault="0072549C" w:rsidP="00B832BB">
            <w:pPr>
              <w:suppressAutoHyphens/>
              <w:spacing w:after="60"/>
              <w:jc w:val="right"/>
              <w:rPr>
                <w:sz w:val="18"/>
                <w:szCs w:val="18"/>
              </w:rPr>
            </w:pPr>
            <w:r w:rsidRPr="00C0764B">
              <w:rPr>
                <w:sz w:val="18"/>
                <w:szCs w:val="18"/>
              </w:rPr>
              <w:t>14</w:t>
            </w:r>
            <w:r w:rsidR="00BA262E">
              <w:rPr>
                <w:sz w:val="18"/>
                <w:szCs w:val="18"/>
              </w:rPr>
              <w:t>,</w:t>
            </w:r>
            <w:r w:rsidRPr="00C0764B">
              <w:rPr>
                <w:sz w:val="18"/>
                <w:szCs w:val="18"/>
              </w:rPr>
              <w:t>36</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7D68BD0D" w14:textId="6C9A1F1A" w:rsidR="0072549C" w:rsidRPr="00C0764B" w:rsidRDefault="0072549C" w:rsidP="00B832BB">
            <w:pPr>
              <w:suppressAutoHyphens/>
              <w:spacing w:after="60"/>
              <w:jc w:val="right"/>
              <w:rPr>
                <w:sz w:val="18"/>
                <w:szCs w:val="18"/>
              </w:rPr>
            </w:pPr>
            <w:r w:rsidRPr="00C0764B">
              <w:rPr>
                <w:sz w:val="18"/>
                <w:szCs w:val="18"/>
              </w:rPr>
              <w:t>14</w:t>
            </w:r>
            <w:r w:rsidR="00BA262E">
              <w:rPr>
                <w:sz w:val="18"/>
                <w:szCs w:val="18"/>
              </w:rPr>
              <w:t>,</w:t>
            </w:r>
            <w:r w:rsidRPr="00C0764B">
              <w:rPr>
                <w:sz w:val="18"/>
                <w:szCs w:val="18"/>
              </w:rPr>
              <w:t>36</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362999FA" w14:textId="1E77794C" w:rsidR="0072549C" w:rsidRPr="00C0764B" w:rsidRDefault="0072549C" w:rsidP="00B832BB">
            <w:pPr>
              <w:suppressAutoHyphens/>
              <w:spacing w:after="60"/>
              <w:jc w:val="right"/>
              <w:rPr>
                <w:sz w:val="18"/>
                <w:szCs w:val="18"/>
              </w:rPr>
            </w:pPr>
            <w:r w:rsidRPr="00C0764B">
              <w:rPr>
                <w:sz w:val="18"/>
                <w:szCs w:val="18"/>
              </w:rPr>
              <w:t>14</w:t>
            </w:r>
            <w:r w:rsidR="00BA262E">
              <w:rPr>
                <w:sz w:val="18"/>
                <w:szCs w:val="18"/>
              </w:rPr>
              <w:t>,</w:t>
            </w:r>
            <w:r w:rsidRPr="00C0764B">
              <w:rPr>
                <w:sz w:val="18"/>
                <w:szCs w:val="18"/>
              </w:rPr>
              <w:t>36</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7504E834" w14:textId="6EC1E9A0" w:rsidR="0072549C" w:rsidRPr="00C0764B" w:rsidRDefault="0072549C" w:rsidP="00B832BB">
            <w:pPr>
              <w:suppressAutoHyphens/>
              <w:spacing w:after="60"/>
              <w:jc w:val="right"/>
              <w:rPr>
                <w:sz w:val="18"/>
                <w:szCs w:val="18"/>
              </w:rPr>
            </w:pPr>
            <w:r w:rsidRPr="00C0764B">
              <w:rPr>
                <w:sz w:val="18"/>
                <w:szCs w:val="18"/>
              </w:rPr>
              <w:t>10</w:t>
            </w:r>
            <w:r w:rsidR="00BA262E">
              <w:rPr>
                <w:sz w:val="18"/>
                <w:szCs w:val="18"/>
              </w:rPr>
              <w:t>,</w:t>
            </w:r>
            <w:r w:rsidRPr="00C0764B">
              <w:rPr>
                <w:sz w:val="18"/>
                <w:szCs w:val="18"/>
              </w:rPr>
              <w:t>37</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584D11AB" w14:textId="6900813F" w:rsidR="0072549C" w:rsidRPr="00C0764B" w:rsidRDefault="0072549C" w:rsidP="00B832BB">
            <w:pPr>
              <w:suppressAutoHyphens/>
              <w:spacing w:after="60"/>
              <w:jc w:val="right"/>
              <w:rPr>
                <w:sz w:val="18"/>
                <w:szCs w:val="18"/>
              </w:rPr>
            </w:pPr>
            <w:r w:rsidRPr="00C0764B">
              <w:rPr>
                <w:sz w:val="18"/>
                <w:szCs w:val="18"/>
              </w:rPr>
              <w:t>10</w:t>
            </w:r>
            <w:r w:rsidR="00BA262E">
              <w:rPr>
                <w:sz w:val="18"/>
                <w:szCs w:val="18"/>
              </w:rPr>
              <w:t>,</w:t>
            </w:r>
            <w:r w:rsidRPr="00C0764B">
              <w:rPr>
                <w:sz w:val="18"/>
                <w:szCs w:val="18"/>
              </w:rPr>
              <w:t>37</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FABB3DA" w14:textId="535B1FA9" w:rsidR="0072549C" w:rsidRPr="00C0764B" w:rsidRDefault="0072549C" w:rsidP="00B832BB">
            <w:pPr>
              <w:suppressAutoHyphens/>
              <w:spacing w:after="60"/>
              <w:jc w:val="right"/>
              <w:rPr>
                <w:sz w:val="18"/>
                <w:szCs w:val="18"/>
              </w:rPr>
            </w:pPr>
            <w:r w:rsidRPr="00C0764B">
              <w:rPr>
                <w:sz w:val="18"/>
                <w:szCs w:val="18"/>
              </w:rPr>
              <w:t>10</w:t>
            </w:r>
            <w:r w:rsidR="00BA262E">
              <w:rPr>
                <w:sz w:val="18"/>
                <w:szCs w:val="18"/>
              </w:rPr>
              <w:t>,</w:t>
            </w:r>
            <w:r w:rsidRPr="00C0764B">
              <w:rPr>
                <w:sz w:val="18"/>
                <w:szCs w:val="18"/>
              </w:rPr>
              <w:t>37</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91F66CC" w14:textId="7D7D8F0A" w:rsidR="0072549C" w:rsidRPr="00C0764B" w:rsidRDefault="0072549C" w:rsidP="00B832BB">
            <w:pPr>
              <w:suppressAutoHyphens/>
              <w:spacing w:after="60"/>
              <w:jc w:val="right"/>
              <w:rPr>
                <w:sz w:val="18"/>
                <w:szCs w:val="18"/>
              </w:rPr>
            </w:pPr>
            <w:r w:rsidRPr="00C0764B">
              <w:rPr>
                <w:sz w:val="18"/>
                <w:szCs w:val="18"/>
              </w:rPr>
              <w:t>10</w:t>
            </w:r>
            <w:r w:rsidR="00BA262E">
              <w:rPr>
                <w:sz w:val="18"/>
                <w:szCs w:val="18"/>
              </w:rPr>
              <w:t>,</w:t>
            </w:r>
            <w:r w:rsidRPr="00C0764B">
              <w:rPr>
                <w:sz w:val="18"/>
                <w:szCs w:val="18"/>
              </w:rPr>
              <w:t>37</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4B76737" w14:textId="03701687" w:rsidR="0072549C" w:rsidRPr="00C0764B" w:rsidRDefault="0072549C" w:rsidP="00B832BB">
            <w:pPr>
              <w:suppressAutoHyphens/>
              <w:spacing w:after="60"/>
              <w:jc w:val="right"/>
              <w:rPr>
                <w:sz w:val="18"/>
                <w:szCs w:val="18"/>
              </w:rPr>
            </w:pPr>
            <w:r w:rsidRPr="00C0764B">
              <w:rPr>
                <w:sz w:val="18"/>
                <w:szCs w:val="18"/>
              </w:rPr>
              <w:t>10</w:t>
            </w:r>
            <w:r w:rsidR="00BA262E">
              <w:rPr>
                <w:sz w:val="18"/>
                <w:szCs w:val="18"/>
              </w:rPr>
              <w:t>,</w:t>
            </w:r>
            <w:r w:rsidRPr="00C0764B">
              <w:rPr>
                <w:sz w:val="18"/>
                <w:szCs w:val="18"/>
              </w:rPr>
              <w:t>37</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AFF9147" w14:textId="36851DAC" w:rsidR="0072549C" w:rsidRPr="00C0764B" w:rsidRDefault="0072549C" w:rsidP="00B832BB">
            <w:pPr>
              <w:suppressAutoHyphens/>
              <w:spacing w:after="60"/>
              <w:jc w:val="right"/>
              <w:rPr>
                <w:sz w:val="18"/>
                <w:szCs w:val="18"/>
              </w:rPr>
            </w:pPr>
            <w:r w:rsidRPr="00C0764B">
              <w:rPr>
                <w:sz w:val="18"/>
                <w:szCs w:val="18"/>
              </w:rPr>
              <w:t>5</w:t>
            </w:r>
            <w:r w:rsidR="00BA262E">
              <w:rPr>
                <w:sz w:val="18"/>
                <w:szCs w:val="18"/>
              </w:rPr>
              <w:t>,</w:t>
            </w:r>
            <w:r w:rsidRPr="00C0764B">
              <w:rPr>
                <w:sz w:val="18"/>
                <w:szCs w:val="18"/>
              </w:rPr>
              <w:t>18</w:t>
            </w:r>
          </w:p>
        </w:tc>
        <w:tc>
          <w:tcPr>
            <w:tcW w:w="367" w:type="pct"/>
            <w:tcBorders>
              <w:top w:val="single" w:sz="4" w:space="0" w:color="666699"/>
              <w:left w:val="single" w:sz="4" w:space="0" w:color="666699"/>
              <w:bottom w:val="single" w:sz="4" w:space="0" w:color="666699"/>
              <w:right w:val="single" w:sz="4" w:space="0" w:color="666699"/>
            </w:tcBorders>
            <w:tcMar>
              <w:left w:w="115" w:type="dxa"/>
              <w:right w:w="0" w:type="dxa"/>
            </w:tcMar>
            <w:hideMark/>
          </w:tcPr>
          <w:p w14:paraId="69754B00" w14:textId="77777777" w:rsidR="0072549C" w:rsidRPr="00C0764B" w:rsidRDefault="0072549C" w:rsidP="00B832BB">
            <w:pPr>
              <w:suppressAutoHyphens/>
              <w:jc w:val="right"/>
              <w:rPr>
                <w:sz w:val="18"/>
                <w:szCs w:val="18"/>
                <w:lang w:eastAsia="es-CO"/>
              </w:rPr>
            </w:pPr>
            <w:r w:rsidRPr="00C0764B">
              <w:rPr>
                <w:sz w:val="18"/>
                <w:szCs w:val="18"/>
                <w:lang w:eastAsia="es-CO"/>
              </w:rPr>
              <w:t>0</w:t>
            </w:r>
          </w:p>
        </w:tc>
      </w:tr>
      <w:tr w:rsidR="008C5114" w:rsidRPr="00C0764B" w14:paraId="0BD9FC5D" w14:textId="77777777" w:rsidTr="009F7F41">
        <w:tc>
          <w:tcPr>
            <w:tcW w:w="529" w:type="pct"/>
            <w:vMerge w:val="restart"/>
            <w:tcBorders>
              <w:top w:val="single" w:sz="4" w:space="0" w:color="666699"/>
              <w:left w:val="single" w:sz="4" w:space="0" w:color="666699"/>
              <w:bottom w:val="single" w:sz="4" w:space="0" w:color="auto"/>
              <w:right w:val="single" w:sz="4" w:space="0" w:color="666699"/>
            </w:tcBorders>
            <w:hideMark/>
          </w:tcPr>
          <w:p w14:paraId="330030B5" w14:textId="336CE345" w:rsidR="0072549C" w:rsidRPr="00D325B1" w:rsidRDefault="00D325B1" w:rsidP="00723649">
            <w:pPr>
              <w:suppressAutoHyphens/>
              <w:spacing w:after="60"/>
              <w:jc w:val="left"/>
              <w:rPr>
                <w:sz w:val="18"/>
                <w:szCs w:val="18"/>
              </w:rPr>
            </w:pPr>
            <w:r w:rsidRPr="00D325B1">
              <w:rPr>
                <w:sz w:val="18"/>
                <w:szCs w:val="18"/>
                <w:lang w:val="fr-FR"/>
              </w:rPr>
              <w:t>Financement convenu ($US)</w:t>
            </w:r>
          </w:p>
        </w:tc>
        <w:tc>
          <w:tcPr>
            <w:tcW w:w="357" w:type="pct"/>
            <w:vMerge w:val="restart"/>
            <w:tcBorders>
              <w:top w:val="single" w:sz="4" w:space="0" w:color="666699"/>
              <w:left w:val="single" w:sz="4" w:space="0" w:color="666699"/>
              <w:bottom w:val="single" w:sz="4" w:space="0" w:color="666699"/>
              <w:right w:val="single" w:sz="4" w:space="0" w:color="666699"/>
            </w:tcBorders>
            <w:hideMark/>
          </w:tcPr>
          <w:p w14:paraId="29596240" w14:textId="01BAC486" w:rsidR="0072549C" w:rsidRPr="00D325B1" w:rsidRDefault="00D325B1" w:rsidP="00723649">
            <w:pPr>
              <w:suppressAutoHyphens/>
              <w:spacing w:after="60"/>
              <w:jc w:val="center"/>
              <w:rPr>
                <w:sz w:val="18"/>
                <w:szCs w:val="18"/>
              </w:rPr>
            </w:pPr>
            <w:r w:rsidRPr="00D325B1">
              <w:rPr>
                <w:sz w:val="18"/>
                <w:szCs w:val="18"/>
                <w:lang w:val="fr-FR"/>
              </w:rPr>
              <w:t>PNUD</w:t>
            </w:r>
          </w:p>
        </w:tc>
        <w:tc>
          <w:tcPr>
            <w:tcW w:w="451" w:type="pct"/>
            <w:tcBorders>
              <w:top w:val="single" w:sz="4" w:space="0" w:color="666699"/>
              <w:left w:val="single" w:sz="4" w:space="0" w:color="666699"/>
              <w:bottom w:val="single" w:sz="4" w:space="0" w:color="666699"/>
              <w:right w:val="single" w:sz="4" w:space="0" w:color="666699"/>
            </w:tcBorders>
            <w:hideMark/>
          </w:tcPr>
          <w:p w14:paraId="651B0A90" w14:textId="258D3279" w:rsidR="0072549C" w:rsidRPr="00D325B1" w:rsidRDefault="00D325B1" w:rsidP="000F235A">
            <w:pPr>
              <w:suppressAutoHyphens/>
              <w:spacing w:after="60"/>
              <w:jc w:val="left"/>
              <w:rPr>
                <w:sz w:val="18"/>
                <w:szCs w:val="18"/>
              </w:rPr>
            </w:pPr>
            <w:r w:rsidRPr="00D325B1">
              <w:rPr>
                <w:sz w:val="18"/>
                <w:szCs w:val="18"/>
                <w:lang w:val="fr-FR"/>
              </w:rPr>
              <w:t>Coûts d</w:t>
            </w:r>
            <w:r w:rsidR="000F235A">
              <w:rPr>
                <w:sz w:val="18"/>
                <w:szCs w:val="18"/>
                <w:lang w:val="fr-FR"/>
              </w:rPr>
              <w:t xml:space="preserve">u </w:t>
            </w:r>
            <w:r w:rsidRPr="00D325B1">
              <w:rPr>
                <w:sz w:val="18"/>
                <w:szCs w:val="18"/>
                <w:lang w:val="fr-FR"/>
              </w:rPr>
              <w:t>projet</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597123EE" w14:textId="6E82A339" w:rsidR="0072549C" w:rsidRPr="00C0764B" w:rsidRDefault="0072549C" w:rsidP="00B832BB">
            <w:pPr>
              <w:suppressAutoHyphens/>
              <w:jc w:val="right"/>
              <w:rPr>
                <w:sz w:val="18"/>
                <w:szCs w:val="18"/>
                <w:lang w:eastAsia="es-CO"/>
              </w:rPr>
            </w:pPr>
            <w:r w:rsidRPr="00C0764B">
              <w:rPr>
                <w:sz w:val="18"/>
                <w:szCs w:val="18"/>
                <w:lang w:eastAsia="es-CO"/>
              </w:rPr>
              <w:t>450</w:t>
            </w:r>
            <w:r w:rsidR="00BA262E">
              <w:rPr>
                <w:sz w:val="18"/>
                <w:szCs w:val="18"/>
                <w:lang w:eastAsia="es-CO"/>
              </w:rPr>
              <w:t> </w:t>
            </w:r>
            <w:r w:rsidRPr="00C0764B">
              <w:rPr>
                <w:sz w:val="18"/>
                <w:szCs w:val="18"/>
                <w:lang w:eastAsia="es-CO"/>
              </w:rPr>
              <w:t>000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47C57B2" w14:textId="77777777" w:rsidR="0072549C" w:rsidRPr="00C0764B" w:rsidRDefault="0072549C"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13D39A2" w14:textId="77777777" w:rsidR="0072549C" w:rsidRPr="00C0764B" w:rsidRDefault="0072549C"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74D8B9E4" w14:textId="77777777" w:rsidR="0072549C" w:rsidRPr="00C0764B" w:rsidRDefault="0072549C"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396048F4" w14:textId="756B3BCA" w:rsidR="0072549C" w:rsidRPr="00C0764B" w:rsidRDefault="0072549C" w:rsidP="00B832BB">
            <w:pPr>
              <w:suppressAutoHyphens/>
              <w:jc w:val="right"/>
              <w:rPr>
                <w:sz w:val="18"/>
                <w:szCs w:val="18"/>
                <w:lang w:eastAsia="es-CO"/>
              </w:rPr>
            </w:pPr>
            <w:r w:rsidRPr="00C0764B">
              <w:rPr>
                <w:sz w:val="18"/>
                <w:szCs w:val="18"/>
                <w:lang w:eastAsia="es-CO"/>
              </w:rPr>
              <w:t>363</w:t>
            </w:r>
            <w:r w:rsidR="00BA262E">
              <w:rPr>
                <w:sz w:val="18"/>
                <w:szCs w:val="18"/>
                <w:lang w:eastAsia="es-CO"/>
              </w:rPr>
              <w:t> </w:t>
            </w:r>
            <w:r w:rsidRPr="00C0764B">
              <w:rPr>
                <w:sz w:val="18"/>
                <w:szCs w:val="18"/>
                <w:lang w:eastAsia="es-CO"/>
              </w:rPr>
              <w:t>600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3DDB8C7C" w14:textId="77777777" w:rsidR="0072549C" w:rsidRPr="00C0764B" w:rsidRDefault="0072549C"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2AA954B4" w14:textId="77777777" w:rsidR="0072549C" w:rsidRPr="00C0764B" w:rsidRDefault="0072549C"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3D234732" w14:textId="77777777" w:rsidR="0072549C" w:rsidRPr="00C0764B" w:rsidRDefault="0072549C"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0D6F1FC9" w14:textId="4561211B" w:rsidR="0072549C" w:rsidRPr="00C0764B" w:rsidRDefault="0072549C" w:rsidP="00B832BB">
            <w:pPr>
              <w:suppressAutoHyphens/>
              <w:jc w:val="right"/>
              <w:rPr>
                <w:sz w:val="18"/>
                <w:szCs w:val="18"/>
                <w:lang w:eastAsia="es-CO"/>
              </w:rPr>
            </w:pPr>
            <w:r w:rsidRPr="00C0764B">
              <w:rPr>
                <w:sz w:val="18"/>
                <w:szCs w:val="18"/>
                <w:lang w:eastAsia="es-CO"/>
              </w:rPr>
              <w:t>90</w:t>
            </w:r>
            <w:r w:rsidR="00BA262E">
              <w:rPr>
                <w:sz w:val="18"/>
                <w:szCs w:val="18"/>
                <w:lang w:eastAsia="es-CO"/>
              </w:rPr>
              <w:t> </w:t>
            </w:r>
            <w:r w:rsidRPr="00C0764B">
              <w:rPr>
                <w:sz w:val="18"/>
                <w:szCs w:val="18"/>
                <w:lang w:eastAsia="es-CO"/>
              </w:rPr>
              <w:t>400</w:t>
            </w:r>
          </w:p>
        </w:tc>
        <w:tc>
          <w:tcPr>
            <w:tcW w:w="367" w:type="pct"/>
            <w:tcBorders>
              <w:top w:val="single" w:sz="4" w:space="0" w:color="666699"/>
              <w:left w:val="single" w:sz="4" w:space="0" w:color="666699"/>
              <w:bottom w:val="single" w:sz="4" w:space="0" w:color="666699"/>
              <w:right w:val="single" w:sz="4" w:space="0" w:color="666699"/>
            </w:tcBorders>
            <w:tcMar>
              <w:left w:w="115" w:type="dxa"/>
              <w:right w:w="0" w:type="dxa"/>
            </w:tcMar>
          </w:tcPr>
          <w:p w14:paraId="7B231498" w14:textId="403FE7F8" w:rsidR="0072549C" w:rsidRPr="00C0764B" w:rsidRDefault="0072549C" w:rsidP="00B832BB">
            <w:pPr>
              <w:suppressAutoHyphens/>
              <w:jc w:val="right"/>
              <w:rPr>
                <w:sz w:val="18"/>
                <w:szCs w:val="18"/>
                <w:lang w:eastAsia="es-CO"/>
              </w:rPr>
            </w:pPr>
            <w:r w:rsidRPr="00C0764B">
              <w:rPr>
                <w:sz w:val="18"/>
                <w:szCs w:val="18"/>
                <w:lang w:eastAsia="es-CO"/>
              </w:rPr>
              <w:t>904</w:t>
            </w:r>
            <w:r w:rsidR="00BA262E">
              <w:rPr>
                <w:sz w:val="18"/>
                <w:szCs w:val="18"/>
                <w:lang w:eastAsia="es-CO"/>
              </w:rPr>
              <w:t> </w:t>
            </w:r>
            <w:r w:rsidRPr="00C0764B">
              <w:rPr>
                <w:sz w:val="18"/>
                <w:szCs w:val="18"/>
                <w:lang w:eastAsia="es-CO"/>
              </w:rPr>
              <w:t>000</w:t>
            </w:r>
          </w:p>
        </w:tc>
      </w:tr>
      <w:tr w:rsidR="008C5114" w:rsidRPr="00C0764B" w14:paraId="7DFEC084" w14:textId="77777777" w:rsidTr="009F7F41">
        <w:tc>
          <w:tcPr>
            <w:tcW w:w="529" w:type="pct"/>
            <w:vMerge/>
            <w:tcBorders>
              <w:top w:val="single" w:sz="4" w:space="0" w:color="666699"/>
              <w:left w:val="single" w:sz="4" w:space="0" w:color="666699"/>
              <w:bottom w:val="single" w:sz="4" w:space="0" w:color="auto"/>
              <w:right w:val="single" w:sz="4" w:space="0" w:color="666699"/>
            </w:tcBorders>
            <w:vAlign w:val="center"/>
            <w:hideMark/>
          </w:tcPr>
          <w:p w14:paraId="44B33A0D" w14:textId="77777777" w:rsidR="0072549C" w:rsidRPr="00C0764B" w:rsidRDefault="0072549C" w:rsidP="00B832BB">
            <w:pPr>
              <w:suppressAutoHyphens/>
              <w:jc w:val="left"/>
              <w:rPr>
                <w:sz w:val="18"/>
                <w:szCs w:val="18"/>
              </w:rPr>
            </w:pPr>
          </w:p>
        </w:tc>
        <w:tc>
          <w:tcPr>
            <w:tcW w:w="357" w:type="pct"/>
            <w:vMerge/>
            <w:tcBorders>
              <w:top w:val="single" w:sz="4" w:space="0" w:color="666699"/>
              <w:left w:val="single" w:sz="4" w:space="0" w:color="666699"/>
              <w:bottom w:val="single" w:sz="4" w:space="0" w:color="666699"/>
              <w:right w:val="single" w:sz="4" w:space="0" w:color="666699"/>
            </w:tcBorders>
            <w:vAlign w:val="center"/>
            <w:hideMark/>
          </w:tcPr>
          <w:p w14:paraId="2AC6DC64" w14:textId="77777777" w:rsidR="0072549C" w:rsidRPr="00C0764B" w:rsidRDefault="0072549C" w:rsidP="00B832BB">
            <w:pPr>
              <w:suppressAutoHyphens/>
              <w:jc w:val="left"/>
              <w:rPr>
                <w:sz w:val="18"/>
                <w:szCs w:val="18"/>
              </w:rPr>
            </w:pPr>
          </w:p>
        </w:tc>
        <w:tc>
          <w:tcPr>
            <w:tcW w:w="451" w:type="pct"/>
            <w:tcBorders>
              <w:top w:val="single" w:sz="4" w:space="0" w:color="666699"/>
              <w:left w:val="single" w:sz="4" w:space="0" w:color="666699"/>
              <w:bottom w:val="single" w:sz="4" w:space="0" w:color="666699"/>
              <w:right w:val="single" w:sz="4" w:space="0" w:color="666699"/>
            </w:tcBorders>
            <w:hideMark/>
          </w:tcPr>
          <w:p w14:paraId="2A01AFBD" w14:textId="52E63E28" w:rsidR="0072549C" w:rsidRPr="00D325B1" w:rsidRDefault="00D325B1" w:rsidP="00723649">
            <w:pPr>
              <w:suppressAutoHyphens/>
              <w:spacing w:after="60"/>
              <w:jc w:val="left"/>
              <w:rPr>
                <w:sz w:val="18"/>
                <w:szCs w:val="18"/>
              </w:rPr>
            </w:pPr>
            <w:r w:rsidRPr="00D325B1">
              <w:rPr>
                <w:sz w:val="18"/>
                <w:szCs w:val="18"/>
                <w:lang w:val="fr-FR"/>
              </w:rPr>
              <w:t>Coûts d</w:t>
            </w:r>
            <w:r w:rsidR="00BA262E">
              <w:rPr>
                <w:sz w:val="18"/>
                <w:szCs w:val="18"/>
                <w:lang w:val="fr-FR"/>
              </w:rPr>
              <w:t>’</w:t>
            </w:r>
            <w:r w:rsidRPr="00D325B1">
              <w:rPr>
                <w:sz w:val="18"/>
                <w:szCs w:val="18"/>
                <w:lang w:val="fr-FR"/>
              </w:rPr>
              <w:t>appui</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DBF9D1C" w14:textId="5F8E0F20" w:rsidR="0072549C" w:rsidRPr="00C0764B" w:rsidRDefault="0072549C" w:rsidP="00B832BB">
            <w:pPr>
              <w:suppressAutoHyphens/>
              <w:jc w:val="right"/>
              <w:rPr>
                <w:sz w:val="18"/>
                <w:szCs w:val="18"/>
                <w:lang w:eastAsia="es-CO"/>
              </w:rPr>
            </w:pPr>
            <w:r w:rsidRPr="00C0764B">
              <w:rPr>
                <w:sz w:val="18"/>
                <w:szCs w:val="18"/>
                <w:lang w:eastAsia="es-CO"/>
              </w:rPr>
              <w:t>31</w:t>
            </w:r>
            <w:r w:rsidR="00BA262E">
              <w:rPr>
                <w:sz w:val="18"/>
                <w:szCs w:val="18"/>
                <w:lang w:eastAsia="es-CO"/>
              </w:rPr>
              <w:t> </w:t>
            </w:r>
            <w:r w:rsidRPr="00C0764B">
              <w:rPr>
                <w:sz w:val="18"/>
                <w:szCs w:val="18"/>
                <w:lang w:eastAsia="es-CO"/>
              </w:rPr>
              <w:t>500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5AFAFE88" w14:textId="77777777" w:rsidR="0072549C" w:rsidRPr="00C0764B" w:rsidRDefault="0072549C"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A038C8F" w14:textId="77777777" w:rsidR="0072549C" w:rsidRPr="00C0764B" w:rsidRDefault="0072549C"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25342C08" w14:textId="77777777" w:rsidR="0072549C" w:rsidRPr="00C0764B" w:rsidRDefault="0072549C"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5D89FFD4" w14:textId="2C2BAAA8" w:rsidR="0072549C" w:rsidRPr="00C0764B" w:rsidRDefault="0072549C" w:rsidP="00B832BB">
            <w:pPr>
              <w:suppressAutoHyphens/>
              <w:jc w:val="right"/>
              <w:rPr>
                <w:sz w:val="18"/>
                <w:szCs w:val="18"/>
                <w:lang w:eastAsia="es-CO"/>
              </w:rPr>
            </w:pPr>
            <w:r w:rsidRPr="00C0764B">
              <w:rPr>
                <w:sz w:val="18"/>
                <w:szCs w:val="18"/>
                <w:lang w:eastAsia="es-CO"/>
              </w:rPr>
              <w:t>25</w:t>
            </w:r>
            <w:r w:rsidR="00BA262E">
              <w:rPr>
                <w:sz w:val="18"/>
                <w:szCs w:val="18"/>
                <w:lang w:eastAsia="es-CO"/>
              </w:rPr>
              <w:t> </w:t>
            </w:r>
            <w:r w:rsidRPr="00C0764B">
              <w:rPr>
                <w:sz w:val="18"/>
                <w:szCs w:val="18"/>
                <w:lang w:eastAsia="es-CO"/>
              </w:rPr>
              <w:t>452</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2284874" w14:textId="77777777" w:rsidR="0072549C" w:rsidRPr="00C0764B" w:rsidRDefault="0072549C"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2E7034DA" w14:textId="77777777" w:rsidR="0072549C" w:rsidRPr="00C0764B" w:rsidRDefault="0072549C"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21A85734" w14:textId="77777777" w:rsidR="0072549C" w:rsidRPr="00C0764B" w:rsidRDefault="0072549C"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52262EB8" w14:textId="5B513FD7" w:rsidR="0072549C" w:rsidRPr="00C0764B" w:rsidRDefault="0072549C" w:rsidP="00B832BB">
            <w:pPr>
              <w:suppressAutoHyphens/>
              <w:jc w:val="right"/>
              <w:rPr>
                <w:sz w:val="18"/>
                <w:szCs w:val="18"/>
                <w:lang w:eastAsia="es-CO"/>
              </w:rPr>
            </w:pPr>
            <w:r w:rsidRPr="00C0764B">
              <w:rPr>
                <w:sz w:val="18"/>
                <w:szCs w:val="18"/>
                <w:lang w:eastAsia="es-CO"/>
              </w:rPr>
              <w:t>6</w:t>
            </w:r>
            <w:r w:rsidR="00BA262E">
              <w:rPr>
                <w:sz w:val="18"/>
                <w:szCs w:val="18"/>
                <w:lang w:eastAsia="es-CO"/>
              </w:rPr>
              <w:t> </w:t>
            </w:r>
            <w:r w:rsidRPr="00C0764B">
              <w:rPr>
                <w:sz w:val="18"/>
                <w:szCs w:val="18"/>
                <w:lang w:eastAsia="es-CO"/>
              </w:rPr>
              <w:t>328</w:t>
            </w:r>
          </w:p>
        </w:tc>
        <w:tc>
          <w:tcPr>
            <w:tcW w:w="367"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DDB37F7" w14:textId="5D889560" w:rsidR="0072549C" w:rsidRPr="00C0764B" w:rsidRDefault="0072549C" w:rsidP="00B832BB">
            <w:pPr>
              <w:suppressAutoHyphens/>
              <w:jc w:val="right"/>
              <w:rPr>
                <w:sz w:val="18"/>
                <w:szCs w:val="18"/>
                <w:lang w:eastAsia="es-CO"/>
              </w:rPr>
            </w:pPr>
            <w:r w:rsidRPr="00C0764B">
              <w:rPr>
                <w:sz w:val="18"/>
                <w:szCs w:val="18"/>
                <w:lang w:eastAsia="es-CO"/>
              </w:rPr>
              <w:t>63</w:t>
            </w:r>
            <w:r w:rsidR="00BA262E">
              <w:rPr>
                <w:sz w:val="18"/>
                <w:szCs w:val="18"/>
                <w:lang w:eastAsia="es-CO"/>
              </w:rPr>
              <w:t> </w:t>
            </w:r>
            <w:r w:rsidRPr="00C0764B">
              <w:rPr>
                <w:sz w:val="18"/>
                <w:szCs w:val="18"/>
                <w:lang w:eastAsia="es-CO"/>
              </w:rPr>
              <w:t>280</w:t>
            </w:r>
          </w:p>
        </w:tc>
      </w:tr>
      <w:tr w:rsidR="008C5114" w:rsidRPr="00C0764B" w14:paraId="6292925D" w14:textId="77777777" w:rsidTr="009F7F41">
        <w:tc>
          <w:tcPr>
            <w:tcW w:w="886" w:type="pct"/>
            <w:gridSpan w:val="2"/>
            <w:vMerge w:val="restart"/>
            <w:tcBorders>
              <w:top w:val="single" w:sz="4" w:space="0" w:color="auto"/>
              <w:left w:val="single" w:sz="4" w:space="0" w:color="666699"/>
              <w:right w:val="single" w:sz="4" w:space="0" w:color="666699"/>
            </w:tcBorders>
          </w:tcPr>
          <w:p w14:paraId="312C743A" w14:textId="146D3335" w:rsidR="008C5114" w:rsidRPr="00A7342F" w:rsidRDefault="00D325B1" w:rsidP="00723649">
            <w:pPr>
              <w:suppressAutoHyphens/>
              <w:spacing w:after="60"/>
              <w:jc w:val="left"/>
              <w:rPr>
                <w:sz w:val="18"/>
                <w:szCs w:val="18"/>
                <w:lang w:val="fr-FR"/>
              </w:rPr>
            </w:pPr>
            <w:r w:rsidRPr="00D325B1">
              <w:rPr>
                <w:sz w:val="18"/>
                <w:szCs w:val="18"/>
                <w:lang w:val="fr-FR"/>
              </w:rPr>
              <w:t>Financements approuvés par l</w:t>
            </w:r>
            <w:r w:rsidR="00BA262E">
              <w:rPr>
                <w:sz w:val="18"/>
                <w:szCs w:val="18"/>
                <w:lang w:val="fr-FR"/>
              </w:rPr>
              <w:t>’</w:t>
            </w:r>
            <w:r w:rsidRPr="00D325B1">
              <w:rPr>
                <w:sz w:val="18"/>
                <w:szCs w:val="18"/>
                <w:lang w:val="fr-FR"/>
              </w:rPr>
              <w:t>ExCom ($US)</w:t>
            </w:r>
          </w:p>
        </w:tc>
        <w:tc>
          <w:tcPr>
            <w:tcW w:w="451" w:type="pct"/>
            <w:tcBorders>
              <w:top w:val="single" w:sz="4" w:space="0" w:color="auto"/>
              <w:left w:val="single" w:sz="4" w:space="0" w:color="666699"/>
              <w:bottom w:val="single" w:sz="4" w:space="0" w:color="auto"/>
              <w:right w:val="single" w:sz="4" w:space="0" w:color="666699"/>
            </w:tcBorders>
          </w:tcPr>
          <w:p w14:paraId="11739AAF" w14:textId="12BA7FB8" w:rsidR="008C5114" w:rsidRPr="00D325B1" w:rsidRDefault="00D325B1" w:rsidP="000F235A">
            <w:pPr>
              <w:suppressAutoHyphens/>
              <w:spacing w:after="60"/>
              <w:jc w:val="left"/>
              <w:rPr>
                <w:sz w:val="18"/>
                <w:szCs w:val="18"/>
              </w:rPr>
            </w:pPr>
            <w:r w:rsidRPr="00D325B1">
              <w:rPr>
                <w:sz w:val="18"/>
                <w:szCs w:val="18"/>
                <w:lang w:val="fr-FR"/>
              </w:rPr>
              <w:t>Coûts d</w:t>
            </w:r>
            <w:r w:rsidR="000F235A">
              <w:rPr>
                <w:sz w:val="18"/>
                <w:szCs w:val="18"/>
                <w:lang w:val="fr-FR"/>
              </w:rPr>
              <w:t>u</w:t>
            </w:r>
            <w:r w:rsidRPr="00D325B1">
              <w:rPr>
                <w:sz w:val="18"/>
                <w:szCs w:val="18"/>
                <w:lang w:val="fr-FR"/>
              </w:rPr>
              <w:t xml:space="preserve"> projet</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B01D53D" w14:textId="6FAECD19" w:rsidR="008C5114" w:rsidRPr="00C0764B" w:rsidRDefault="008C5114" w:rsidP="00B832BB">
            <w:pPr>
              <w:suppressAutoHyphens/>
              <w:jc w:val="right"/>
              <w:rPr>
                <w:sz w:val="18"/>
                <w:szCs w:val="18"/>
                <w:lang w:eastAsia="es-CO"/>
              </w:rPr>
            </w:pPr>
            <w:r w:rsidRPr="00C0764B">
              <w:rPr>
                <w:sz w:val="18"/>
                <w:szCs w:val="18"/>
                <w:lang w:eastAsia="es-CO"/>
              </w:rPr>
              <w:t>450</w:t>
            </w:r>
            <w:r w:rsidR="00BA262E">
              <w:rPr>
                <w:sz w:val="18"/>
                <w:szCs w:val="18"/>
                <w:lang w:eastAsia="es-CO"/>
              </w:rPr>
              <w:t> </w:t>
            </w:r>
            <w:r w:rsidRPr="00C0764B">
              <w:rPr>
                <w:sz w:val="18"/>
                <w:szCs w:val="18"/>
                <w:lang w:eastAsia="es-CO"/>
              </w:rPr>
              <w:t>000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305E3856"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29A41768"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722B44B"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296B6DF9"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966C34C"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65F0C49"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5766FF8B"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25666C16"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7"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54D53BE" w14:textId="1CB79EED" w:rsidR="008C5114" w:rsidRPr="00C0764B" w:rsidRDefault="008C5114" w:rsidP="00B832BB">
            <w:pPr>
              <w:suppressAutoHyphens/>
              <w:jc w:val="right"/>
              <w:rPr>
                <w:sz w:val="18"/>
                <w:szCs w:val="18"/>
                <w:lang w:eastAsia="es-CO"/>
              </w:rPr>
            </w:pPr>
            <w:r w:rsidRPr="00C0764B">
              <w:rPr>
                <w:sz w:val="18"/>
                <w:szCs w:val="18"/>
                <w:lang w:eastAsia="es-CO"/>
              </w:rPr>
              <w:t>450</w:t>
            </w:r>
            <w:r w:rsidR="00BA262E">
              <w:rPr>
                <w:sz w:val="18"/>
                <w:szCs w:val="18"/>
                <w:lang w:eastAsia="es-CO"/>
              </w:rPr>
              <w:t> </w:t>
            </w:r>
            <w:r w:rsidRPr="00C0764B">
              <w:rPr>
                <w:sz w:val="18"/>
                <w:szCs w:val="18"/>
                <w:lang w:eastAsia="es-CO"/>
              </w:rPr>
              <w:t>000</w:t>
            </w:r>
          </w:p>
        </w:tc>
      </w:tr>
      <w:tr w:rsidR="008C5114" w:rsidRPr="00C0764B" w14:paraId="29760EDB" w14:textId="77777777" w:rsidTr="009F7F41">
        <w:tc>
          <w:tcPr>
            <w:tcW w:w="886" w:type="pct"/>
            <w:gridSpan w:val="2"/>
            <w:vMerge/>
            <w:tcBorders>
              <w:left w:val="single" w:sz="4" w:space="0" w:color="666699"/>
              <w:bottom w:val="single" w:sz="4" w:space="0" w:color="666699"/>
              <w:right w:val="single" w:sz="4" w:space="0" w:color="666699"/>
            </w:tcBorders>
          </w:tcPr>
          <w:p w14:paraId="2C05DAAB" w14:textId="77777777" w:rsidR="008C5114" w:rsidRPr="00C0764B" w:rsidRDefault="008C5114" w:rsidP="00B832BB">
            <w:pPr>
              <w:suppressAutoHyphens/>
              <w:spacing w:after="60"/>
              <w:jc w:val="center"/>
              <w:rPr>
                <w:sz w:val="18"/>
                <w:szCs w:val="18"/>
              </w:rPr>
            </w:pPr>
          </w:p>
        </w:tc>
        <w:tc>
          <w:tcPr>
            <w:tcW w:w="451" w:type="pct"/>
            <w:tcBorders>
              <w:top w:val="single" w:sz="4" w:space="0" w:color="auto"/>
              <w:left w:val="single" w:sz="4" w:space="0" w:color="666699"/>
              <w:bottom w:val="single" w:sz="4" w:space="0" w:color="666699"/>
              <w:right w:val="single" w:sz="4" w:space="0" w:color="666699"/>
            </w:tcBorders>
          </w:tcPr>
          <w:p w14:paraId="77A2A6A3" w14:textId="3AD12F29" w:rsidR="008C5114" w:rsidRPr="00D325B1" w:rsidRDefault="00D325B1" w:rsidP="00723649">
            <w:pPr>
              <w:suppressAutoHyphens/>
              <w:spacing w:after="60"/>
              <w:jc w:val="left"/>
              <w:rPr>
                <w:sz w:val="18"/>
                <w:szCs w:val="18"/>
              </w:rPr>
            </w:pPr>
            <w:r w:rsidRPr="00D325B1">
              <w:rPr>
                <w:sz w:val="18"/>
                <w:szCs w:val="18"/>
                <w:lang w:val="fr-FR"/>
              </w:rPr>
              <w:t>Coûts d</w:t>
            </w:r>
            <w:r w:rsidR="00BA262E">
              <w:rPr>
                <w:sz w:val="18"/>
                <w:szCs w:val="18"/>
                <w:lang w:val="fr-FR"/>
              </w:rPr>
              <w:t>’</w:t>
            </w:r>
            <w:r w:rsidRPr="00D325B1">
              <w:rPr>
                <w:sz w:val="18"/>
                <w:szCs w:val="18"/>
                <w:lang w:val="fr-FR"/>
              </w:rPr>
              <w:t>appui</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35DFB739" w14:textId="21D87F9F" w:rsidR="008C5114" w:rsidRPr="00C0764B" w:rsidRDefault="008C5114" w:rsidP="00B832BB">
            <w:pPr>
              <w:suppressAutoHyphens/>
              <w:jc w:val="right"/>
              <w:rPr>
                <w:sz w:val="18"/>
                <w:szCs w:val="18"/>
                <w:lang w:eastAsia="es-CO"/>
              </w:rPr>
            </w:pPr>
            <w:r w:rsidRPr="00C0764B">
              <w:rPr>
                <w:sz w:val="18"/>
                <w:szCs w:val="18"/>
                <w:lang w:eastAsia="es-CO"/>
              </w:rPr>
              <w:t>31</w:t>
            </w:r>
            <w:r w:rsidR="00BA262E">
              <w:rPr>
                <w:sz w:val="18"/>
                <w:szCs w:val="18"/>
                <w:lang w:eastAsia="es-CO"/>
              </w:rPr>
              <w:t> </w:t>
            </w:r>
            <w:r w:rsidRPr="00C0764B">
              <w:rPr>
                <w:sz w:val="18"/>
                <w:szCs w:val="18"/>
                <w:lang w:eastAsia="es-CO"/>
              </w:rPr>
              <w:t>500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284D0DC"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C4D68E2"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0BD5B39"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5B619197"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491B3FAC"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35667FF4"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38477EA5"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29D252F7"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7" w:type="pct"/>
            <w:tcBorders>
              <w:top w:val="single" w:sz="4" w:space="0" w:color="666699"/>
              <w:left w:val="single" w:sz="4" w:space="0" w:color="666699"/>
              <w:bottom w:val="single" w:sz="4" w:space="0" w:color="666699"/>
              <w:right w:val="single" w:sz="4" w:space="0" w:color="666699"/>
            </w:tcBorders>
            <w:tcMar>
              <w:left w:w="115" w:type="dxa"/>
              <w:right w:w="0" w:type="dxa"/>
            </w:tcMar>
          </w:tcPr>
          <w:p w14:paraId="04C58B1A" w14:textId="0CD61B54" w:rsidR="008C5114" w:rsidRPr="00C0764B" w:rsidRDefault="008C5114" w:rsidP="00B832BB">
            <w:pPr>
              <w:suppressAutoHyphens/>
              <w:jc w:val="right"/>
              <w:rPr>
                <w:sz w:val="18"/>
                <w:szCs w:val="18"/>
                <w:lang w:eastAsia="es-CO"/>
              </w:rPr>
            </w:pPr>
            <w:r w:rsidRPr="00C0764B">
              <w:rPr>
                <w:sz w:val="18"/>
                <w:szCs w:val="18"/>
                <w:lang w:eastAsia="es-CO"/>
              </w:rPr>
              <w:t>31</w:t>
            </w:r>
            <w:r w:rsidR="00BA262E">
              <w:rPr>
                <w:sz w:val="18"/>
                <w:szCs w:val="18"/>
                <w:lang w:eastAsia="es-CO"/>
              </w:rPr>
              <w:t> </w:t>
            </w:r>
            <w:r w:rsidRPr="00C0764B">
              <w:rPr>
                <w:sz w:val="18"/>
                <w:szCs w:val="18"/>
                <w:lang w:eastAsia="es-CO"/>
              </w:rPr>
              <w:t>500</w:t>
            </w:r>
          </w:p>
        </w:tc>
      </w:tr>
      <w:tr w:rsidR="008C5114" w:rsidRPr="00C0764B" w14:paraId="1D99AEF1" w14:textId="77777777" w:rsidTr="009F7F41">
        <w:trPr>
          <w:trHeight w:val="187"/>
        </w:trPr>
        <w:tc>
          <w:tcPr>
            <w:tcW w:w="886" w:type="pct"/>
            <w:gridSpan w:val="2"/>
            <w:vMerge w:val="restart"/>
            <w:tcBorders>
              <w:top w:val="single" w:sz="4" w:space="0" w:color="666699"/>
              <w:left w:val="single" w:sz="4" w:space="0" w:color="666699"/>
              <w:right w:val="single" w:sz="4" w:space="0" w:color="666699"/>
            </w:tcBorders>
          </w:tcPr>
          <w:p w14:paraId="3124BA0E" w14:textId="79984327" w:rsidR="008C5114" w:rsidRPr="00A7342F" w:rsidRDefault="00D325B1" w:rsidP="00723649">
            <w:pPr>
              <w:suppressAutoHyphens/>
              <w:spacing w:after="60"/>
              <w:jc w:val="left"/>
              <w:rPr>
                <w:sz w:val="18"/>
                <w:szCs w:val="18"/>
                <w:lang w:val="fr-FR"/>
              </w:rPr>
            </w:pPr>
            <w:r w:rsidRPr="00D325B1">
              <w:rPr>
                <w:sz w:val="18"/>
                <w:szCs w:val="18"/>
                <w:lang w:val="fr-FR"/>
              </w:rPr>
              <w:t>Total du financement demandé soumis pour approbation à la présente réunion (US $)</w:t>
            </w:r>
          </w:p>
        </w:tc>
        <w:tc>
          <w:tcPr>
            <w:tcW w:w="451" w:type="pct"/>
            <w:tcBorders>
              <w:top w:val="single" w:sz="4" w:space="0" w:color="666699"/>
              <w:left w:val="single" w:sz="4" w:space="0" w:color="666699"/>
              <w:bottom w:val="single" w:sz="4" w:space="0" w:color="666699"/>
              <w:right w:val="single" w:sz="4" w:space="0" w:color="666699"/>
            </w:tcBorders>
          </w:tcPr>
          <w:p w14:paraId="69028466" w14:textId="1C0F5545" w:rsidR="008C5114" w:rsidRPr="00D325B1" w:rsidRDefault="00D325B1" w:rsidP="000F235A">
            <w:pPr>
              <w:suppressAutoHyphens/>
              <w:spacing w:after="60"/>
              <w:jc w:val="left"/>
              <w:rPr>
                <w:sz w:val="18"/>
                <w:szCs w:val="18"/>
              </w:rPr>
            </w:pPr>
            <w:r w:rsidRPr="00D325B1">
              <w:rPr>
                <w:sz w:val="18"/>
                <w:szCs w:val="18"/>
                <w:lang w:val="fr-FR"/>
              </w:rPr>
              <w:t>Coûts d</w:t>
            </w:r>
            <w:r w:rsidR="000F235A">
              <w:rPr>
                <w:sz w:val="18"/>
                <w:szCs w:val="18"/>
                <w:lang w:val="fr-FR"/>
              </w:rPr>
              <w:t>u</w:t>
            </w:r>
            <w:r w:rsidRPr="00D325B1">
              <w:rPr>
                <w:sz w:val="18"/>
                <w:szCs w:val="18"/>
                <w:lang w:val="fr-FR"/>
              </w:rPr>
              <w:t xml:space="preserve"> projet</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209E2AAD"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ED7FEB8"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F53CACF"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7C984BAD"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799C1C03" w14:textId="7E9EC150" w:rsidR="008C5114" w:rsidRPr="00C0764B" w:rsidRDefault="008C5114" w:rsidP="00B832BB">
            <w:pPr>
              <w:suppressAutoHyphens/>
              <w:jc w:val="right"/>
              <w:rPr>
                <w:sz w:val="18"/>
                <w:szCs w:val="18"/>
                <w:lang w:eastAsia="es-CO"/>
              </w:rPr>
            </w:pPr>
            <w:r w:rsidRPr="00C0764B">
              <w:rPr>
                <w:sz w:val="18"/>
                <w:szCs w:val="18"/>
                <w:lang w:eastAsia="es-CO"/>
              </w:rPr>
              <w:t>363</w:t>
            </w:r>
            <w:r w:rsidR="00BA262E">
              <w:rPr>
                <w:sz w:val="18"/>
                <w:szCs w:val="18"/>
                <w:lang w:eastAsia="es-CO"/>
              </w:rPr>
              <w:t> </w:t>
            </w:r>
            <w:r w:rsidRPr="00C0764B">
              <w:rPr>
                <w:sz w:val="18"/>
                <w:szCs w:val="18"/>
                <w:lang w:eastAsia="es-CO"/>
              </w:rPr>
              <w:t>600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74EB9C24"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0DD2176E"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4FD97E4C"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5CF114F"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7" w:type="pct"/>
            <w:tcBorders>
              <w:top w:val="single" w:sz="4" w:space="0" w:color="666699"/>
              <w:left w:val="single" w:sz="4" w:space="0" w:color="666699"/>
              <w:bottom w:val="single" w:sz="4" w:space="0" w:color="666699"/>
              <w:right w:val="single" w:sz="4" w:space="0" w:color="666699"/>
            </w:tcBorders>
            <w:tcMar>
              <w:left w:w="115" w:type="dxa"/>
              <w:right w:w="0" w:type="dxa"/>
            </w:tcMar>
          </w:tcPr>
          <w:p w14:paraId="53D7EC86" w14:textId="477F4D01" w:rsidR="008C5114" w:rsidRPr="00C0764B" w:rsidRDefault="008C5114" w:rsidP="00B832BB">
            <w:pPr>
              <w:suppressAutoHyphens/>
              <w:jc w:val="right"/>
              <w:rPr>
                <w:sz w:val="18"/>
                <w:szCs w:val="18"/>
                <w:lang w:eastAsia="es-CO"/>
              </w:rPr>
            </w:pPr>
            <w:r w:rsidRPr="00C0764B">
              <w:rPr>
                <w:sz w:val="18"/>
                <w:szCs w:val="18"/>
                <w:lang w:eastAsia="es-CO"/>
              </w:rPr>
              <w:t>363</w:t>
            </w:r>
            <w:r w:rsidR="00BA262E">
              <w:rPr>
                <w:sz w:val="18"/>
                <w:szCs w:val="18"/>
                <w:lang w:eastAsia="es-CO"/>
              </w:rPr>
              <w:t> </w:t>
            </w:r>
            <w:r w:rsidRPr="00C0764B">
              <w:rPr>
                <w:sz w:val="18"/>
                <w:szCs w:val="18"/>
                <w:lang w:eastAsia="es-CO"/>
              </w:rPr>
              <w:t>600</w:t>
            </w:r>
          </w:p>
        </w:tc>
      </w:tr>
      <w:tr w:rsidR="008C5114" w:rsidRPr="00C0764B" w14:paraId="32A382F7" w14:textId="77777777" w:rsidTr="009F7F41">
        <w:trPr>
          <w:trHeight w:val="31"/>
        </w:trPr>
        <w:tc>
          <w:tcPr>
            <w:tcW w:w="886" w:type="pct"/>
            <w:gridSpan w:val="2"/>
            <w:vMerge/>
            <w:tcBorders>
              <w:left w:val="single" w:sz="4" w:space="0" w:color="666699"/>
              <w:bottom w:val="single" w:sz="4" w:space="0" w:color="666699"/>
              <w:right w:val="single" w:sz="4" w:space="0" w:color="666699"/>
            </w:tcBorders>
          </w:tcPr>
          <w:p w14:paraId="2BD91A5C" w14:textId="77777777" w:rsidR="008C5114" w:rsidRPr="00C0764B" w:rsidRDefault="008C5114" w:rsidP="00B832BB">
            <w:pPr>
              <w:suppressAutoHyphens/>
              <w:spacing w:after="60"/>
              <w:jc w:val="left"/>
              <w:rPr>
                <w:sz w:val="18"/>
                <w:szCs w:val="18"/>
              </w:rPr>
            </w:pPr>
          </w:p>
        </w:tc>
        <w:tc>
          <w:tcPr>
            <w:tcW w:w="451" w:type="pct"/>
            <w:tcBorders>
              <w:top w:val="single" w:sz="4" w:space="0" w:color="666699"/>
              <w:left w:val="single" w:sz="4" w:space="0" w:color="666699"/>
              <w:bottom w:val="single" w:sz="4" w:space="0" w:color="666699"/>
              <w:right w:val="single" w:sz="4" w:space="0" w:color="666699"/>
            </w:tcBorders>
          </w:tcPr>
          <w:p w14:paraId="42D507D9" w14:textId="72FEBC18" w:rsidR="008C5114" w:rsidRPr="00D325B1" w:rsidRDefault="00D325B1" w:rsidP="00723649">
            <w:pPr>
              <w:suppressAutoHyphens/>
              <w:spacing w:after="60"/>
              <w:jc w:val="left"/>
              <w:rPr>
                <w:sz w:val="18"/>
                <w:szCs w:val="18"/>
              </w:rPr>
            </w:pPr>
            <w:r w:rsidRPr="00D325B1">
              <w:rPr>
                <w:sz w:val="18"/>
                <w:szCs w:val="18"/>
                <w:lang w:val="fr-FR"/>
              </w:rPr>
              <w:t>Coûts d</w:t>
            </w:r>
            <w:r w:rsidR="00BA262E">
              <w:rPr>
                <w:sz w:val="18"/>
                <w:szCs w:val="18"/>
                <w:lang w:val="fr-FR"/>
              </w:rPr>
              <w:t>’</w:t>
            </w:r>
            <w:r w:rsidRPr="00D325B1">
              <w:rPr>
                <w:sz w:val="18"/>
                <w:szCs w:val="18"/>
                <w:lang w:val="fr-FR"/>
              </w:rPr>
              <w:t>appui</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019AF42A"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3095AB0D"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78CFE99D"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5B4213D9"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1004BF8" w14:textId="6DD3BA7C" w:rsidR="008C5114" w:rsidRPr="00C0764B" w:rsidRDefault="008C5114" w:rsidP="00B832BB">
            <w:pPr>
              <w:suppressAutoHyphens/>
              <w:jc w:val="right"/>
              <w:rPr>
                <w:sz w:val="18"/>
                <w:szCs w:val="18"/>
                <w:lang w:eastAsia="es-CO"/>
              </w:rPr>
            </w:pPr>
            <w:r w:rsidRPr="00C0764B">
              <w:rPr>
                <w:sz w:val="18"/>
                <w:szCs w:val="18"/>
                <w:lang w:eastAsia="es-CO"/>
              </w:rPr>
              <w:t>25</w:t>
            </w:r>
            <w:r w:rsidR="00BA262E">
              <w:rPr>
                <w:sz w:val="18"/>
                <w:szCs w:val="18"/>
                <w:lang w:eastAsia="es-CO"/>
              </w:rPr>
              <w:t> </w:t>
            </w:r>
            <w:r w:rsidRPr="00C0764B">
              <w:rPr>
                <w:sz w:val="18"/>
                <w:szCs w:val="18"/>
                <w:lang w:eastAsia="es-CO"/>
              </w:rPr>
              <w:t>452</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536F1E4B"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68E9FBBC"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736B48FD"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6" w:type="pct"/>
            <w:tcBorders>
              <w:top w:val="single" w:sz="4" w:space="0" w:color="666699"/>
              <w:left w:val="single" w:sz="4" w:space="0" w:color="666699"/>
              <w:bottom w:val="single" w:sz="4" w:space="0" w:color="666699"/>
              <w:right w:val="single" w:sz="4" w:space="0" w:color="666699"/>
            </w:tcBorders>
            <w:tcMar>
              <w:left w:w="115" w:type="dxa"/>
              <w:right w:w="0" w:type="dxa"/>
            </w:tcMar>
          </w:tcPr>
          <w:p w14:paraId="75DC0F1D" w14:textId="77777777" w:rsidR="008C5114" w:rsidRPr="00C0764B" w:rsidRDefault="008C5114" w:rsidP="00B832BB">
            <w:pPr>
              <w:suppressAutoHyphens/>
              <w:jc w:val="right"/>
              <w:rPr>
                <w:sz w:val="18"/>
                <w:szCs w:val="18"/>
                <w:lang w:eastAsia="es-CO"/>
              </w:rPr>
            </w:pPr>
            <w:r w:rsidRPr="00C0764B">
              <w:rPr>
                <w:sz w:val="18"/>
                <w:szCs w:val="18"/>
                <w:lang w:eastAsia="es-CO"/>
              </w:rPr>
              <w:t>0</w:t>
            </w:r>
          </w:p>
        </w:tc>
        <w:tc>
          <w:tcPr>
            <w:tcW w:w="367" w:type="pct"/>
            <w:tcBorders>
              <w:top w:val="single" w:sz="4" w:space="0" w:color="666699"/>
              <w:left w:val="single" w:sz="4" w:space="0" w:color="666699"/>
              <w:bottom w:val="single" w:sz="4" w:space="0" w:color="666699"/>
              <w:right w:val="single" w:sz="4" w:space="0" w:color="666699"/>
            </w:tcBorders>
            <w:tcMar>
              <w:left w:w="115" w:type="dxa"/>
              <w:right w:w="0" w:type="dxa"/>
            </w:tcMar>
          </w:tcPr>
          <w:p w14:paraId="163CB975" w14:textId="73CCFB91" w:rsidR="008C5114" w:rsidRPr="00C0764B" w:rsidRDefault="008C5114" w:rsidP="00B832BB">
            <w:pPr>
              <w:suppressAutoHyphens/>
              <w:jc w:val="right"/>
              <w:rPr>
                <w:sz w:val="18"/>
                <w:szCs w:val="18"/>
                <w:lang w:eastAsia="es-CO"/>
              </w:rPr>
            </w:pPr>
            <w:r w:rsidRPr="00C0764B">
              <w:rPr>
                <w:sz w:val="18"/>
                <w:szCs w:val="18"/>
                <w:lang w:eastAsia="es-CO"/>
              </w:rPr>
              <w:t>25</w:t>
            </w:r>
            <w:r w:rsidR="00BA262E">
              <w:rPr>
                <w:sz w:val="18"/>
                <w:szCs w:val="18"/>
                <w:lang w:eastAsia="es-CO"/>
              </w:rPr>
              <w:t> </w:t>
            </w:r>
            <w:r w:rsidRPr="00C0764B">
              <w:rPr>
                <w:sz w:val="18"/>
                <w:szCs w:val="18"/>
                <w:lang w:eastAsia="es-CO"/>
              </w:rPr>
              <w:t>452</w:t>
            </w:r>
          </w:p>
        </w:tc>
      </w:tr>
    </w:tbl>
    <w:p w14:paraId="45E3FFD1" w14:textId="77777777" w:rsidR="0072549C" w:rsidRPr="00C0764B" w:rsidRDefault="0072549C" w:rsidP="00B832BB">
      <w:pPr>
        <w:suppressAutoHyphens/>
        <w:jc w:val="center"/>
        <w:rPr>
          <w:sz w:val="18"/>
          <w:szCs w:val="18"/>
        </w:rPr>
      </w:pPr>
    </w:p>
    <w:tbl>
      <w:tblPr>
        <w:tblStyle w:val="TableGrid10"/>
        <w:tblW w:w="5300" w:type="pct"/>
        <w:tblInd w:w="18" w:type="dxa"/>
        <w:tblBorders>
          <w:top w:val="single" w:sz="4" w:space="0" w:color="666699"/>
          <w:left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558"/>
        <w:gridCol w:w="6353"/>
      </w:tblGrid>
      <w:tr w:rsidR="0072549C" w:rsidRPr="00C0764B" w14:paraId="15E2712D" w14:textId="77777777" w:rsidTr="005D5B50">
        <w:trPr>
          <w:trHeight w:val="102"/>
        </w:trPr>
        <w:tc>
          <w:tcPr>
            <w:tcW w:w="1795" w:type="pct"/>
            <w:hideMark/>
          </w:tcPr>
          <w:p w14:paraId="56D9D6B5" w14:textId="3DE07D1D" w:rsidR="0072549C" w:rsidRPr="00D325B1" w:rsidRDefault="00D325B1" w:rsidP="00723649">
            <w:pPr>
              <w:suppressAutoHyphens/>
              <w:spacing w:after="60"/>
              <w:rPr>
                <w:sz w:val="18"/>
                <w:szCs w:val="18"/>
              </w:rPr>
            </w:pPr>
            <w:r w:rsidRPr="00D325B1">
              <w:rPr>
                <w:b/>
                <w:sz w:val="18"/>
                <w:szCs w:val="18"/>
                <w:lang w:val="fr-FR"/>
              </w:rPr>
              <w:t>Recommandation du Secrétariat :</w:t>
            </w:r>
          </w:p>
        </w:tc>
        <w:tc>
          <w:tcPr>
            <w:tcW w:w="3205" w:type="pct"/>
            <w:hideMark/>
          </w:tcPr>
          <w:p w14:paraId="7E0EB92A" w14:textId="0F69050C" w:rsidR="0072549C" w:rsidRPr="00D325B1" w:rsidRDefault="00D325B1" w:rsidP="00723649">
            <w:pPr>
              <w:suppressAutoHyphens/>
              <w:spacing w:after="60"/>
              <w:jc w:val="center"/>
              <w:rPr>
                <w:sz w:val="18"/>
                <w:szCs w:val="18"/>
              </w:rPr>
            </w:pPr>
            <w:r w:rsidRPr="00D325B1">
              <w:rPr>
                <w:sz w:val="18"/>
                <w:szCs w:val="18"/>
                <w:lang w:val="fr-FR"/>
              </w:rPr>
              <w:t>Approbation globale</w:t>
            </w:r>
          </w:p>
        </w:tc>
      </w:tr>
    </w:tbl>
    <w:p w14:paraId="2B1C9AFF" w14:textId="77777777" w:rsidR="0072549C" w:rsidRPr="00C0764B" w:rsidRDefault="0072549C" w:rsidP="00B832BB">
      <w:pPr>
        <w:suppressAutoHyphens/>
        <w:jc w:val="left"/>
        <w:rPr>
          <w:b/>
        </w:rPr>
      </w:pPr>
    </w:p>
    <w:p w14:paraId="037305B4" w14:textId="77777777" w:rsidR="0010665E" w:rsidRPr="00C0764B" w:rsidRDefault="0010665E" w:rsidP="00B832BB">
      <w:pPr>
        <w:suppressAutoHyphens/>
        <w:jc w:val="left"/>
        <w:rPr>
          <w:b/>
        </w:rPr>
      </w:pPr>
      <w:r w:rsidRPr="00C0764B">
        <w:rPr>
          <w:b/>
        </w:rPr>
        <w:br w:type="page"/>
      </w:r>
    </w:p>
    <w:p w14:paraId="6EAE6E6E" w14:textId="725A1FF5" w:rsidR="00A343FC" w:rsidRPr="00D325B1" w:rsidRDefault="00D325B1" w:rsidP="00A7342F">
      <w:pPr>
        <w:suppressAutoHyphens/>
        <w:spacing w:after="240"/>
        <w:jc w:val="center"/>
        <w:rPr>
          <w:b/>
        </w:rPr>
      </w:pPr>
      <w:r w:rsidRPr="00D325B1">
        <w:rPr>
          <w:b/>
          <w:lang w:val="fr-FR"/>
        </w:rPr>
        <w:lastRenderedPageBreak/>
        <w:t>DESCRIPTION DU PROJET</w:t>
      </w:r>
    </w:p>
    <w:p w14:paraId="5D0FC2E6" w14:textId="511992A9" w:rsidR="00D325B1" w:rsidRPr="00A7342F" w:rsidRDefault="00D325B1" w:rsidP="00A7342F">
      <w:pPr>
        <w:pStyle w:val="Heading1"/>
        <w:suppressAutoHyphens/>
        <w:rPr>
          <w:lang w:val="fr-FR"/>
        </w:rPr>
      </w:pPr>
      <w:r w:rsidRPr="00D325B1">
        <w:rPr>
          <w:lang w:val="fr-FR"/>
        </w:rPr>
        <w:t>Au</w:t>
      </w:r>
      <w:r w:rsidR="00BA262E">
        <w:rPr>
          <w:lang w:val="fr-FR"/>
        </w:rPr>
        <w:t> </w:t>
      </w:r>
      <w:r w:rsidRPr="00D325B1">
        <w:rPr>
          <w:lang w:val="fr-FR"/>
        </w:rPr>
        <w:t>nom du gouvernement de l</w:t>
      </w:r>
      <w:r w:rsidR="00BA262E">
        <w:rPr>
          <w:lang w:val="fr-FR"/>
        </w:rPr>
        <w:t>’</w:t>
      </w:r>
      <w:r w:rsidRPr="00D325B1">
        <w:rPr>
          <w:lang w:val="fr-FR"/>
        </w:rPr>
        <w:t>Angola, le PNUD, en qualité d</w:t>
      </w:r>
      <w:r w:rsidR="00BA262E">
        <w:rPr>
          <w:lang w:val="fr-FR"/>
        </w:rPr>
        <w:t>’</w:t>
      </w:r>
      <w:r w:rsidRPr="00D325B1">
        <w:rPr>
          <w:lang w:val="fr-FR"/>
        </w:rPr>
        <w:t>agence d</w:t>
      </w:r>
      <w:r w:rsidR="00BA262E">
        <w:rPr>
          <w:lang w:val="fr-FR"/>
        </w:rPr>
        <w:t>’</w:t>
      </w:r>
      <w:r w:rsidRPr="00D325B1">
        <w:rPr>
          <w:lang w:val="fr-FR"/>
        </w:rPr>
        <w:t>exécution désignée, a soumis une demande de financement pour la deuxième tranche de la phase II du plan de gestion de l</w:t>
      </w:r>
      <w:r w:rsidR="00BA262E">
        <w:rPr>
          <w:lang w:val="fr-FR"/>
        </w:rPr>
        <w:t>’</w:t>
      </w:r>
      <w:r w:rsidRPr="00D325B1">
        <w:rPr>
          <w:lang w:val="fr-FR"/>
        </w:rPr>
        <w:t>élimination des HCFC (PGEH), correspondant à un montant de 363 600 $US, plus 25 452 $US de frais d</w:t>
      </w:r>
      <w:r w:rsidR="00BA262E">
        <w:rPr>
          <w:lang w:val="fr-FR"/>
        </w:rPr>
        <w:t>’</w:t>
      </w:r>
      <w:r w:rsidRPr="00D325B1">
        <w:rPr>
          <w:lang w:val="fr-FR"/>
        </w:rPr>
        <w:t>appui d</w:t>
      </w:r>
      <w:r w:rsidR="00BA262E">
        <w:rPr>
          <w:lang w:val="fr-FR"/>
        </w:rPr>
        <w:t>’</w:t>
      </w:r>
      <w:r w:rsidRPr="00D325B1">
        <w:rPr>
          <w:lang w:val="fr-FR"/>
        </w:rPr>
        <w:t>agence</w:t>
      </w:r>
      <w:r w:rsidRPr="00D325B1">
        <w:rPr>
          <w:rStyle w:val="FootnoteReference"/>
        </w:rPr>
        <w:footnoteReference w:id="2"/>
      </w:r>
      <w:r w:rsidR="000F235A">
        <w:rPr>
          <w:lang w:val="fr-FR"/>
        </w:rPr>
        <w:t>.</w:t>
      </w:r>
      <w:r w:rsidRPr="00A7342F">
        <w:rPr>
          <w:lang w:val="fr-FR"/>
        </w:rPr>
        <w:t xml:space="preserve"> </w:t>
      </w:r>
      <w:r w:rsidRPr="00D325B1">
        <w:rPr>
          <w:lang w:val="fr-FR"/>
        </w:rPr>
        <w:t xml:space="preserve">Cette demande comprend un rapport périodique sur la mise en œuvre de la première tranche, le rapport de vérification de la consommation de HCFC </w:t>
      </w:r>
      <w:r w:rsidR="000F235A">
        <w:rPr>
          <w:lang w:val="fr-FR"/>
        </w:rPr>
        <w:t>de 2017 à 2020 et</w:t>
      </w:r>
      <w:r w:rsidRPr="00D325B1">
        <w:rPr>
          <w:lang w:val="fr-FR"/>
        </w:rPr>
        <w:t xml:space="preserve"> le plan de mise en œuvre de la tranche pour la période 2022-2024.</w:t>
      </w:r>
    </w:p>
    <w:p w14:paraId="507C972A" w14:textId="2EC5DB04" w:rsidR="00A343FC" w:rsidRPr="00A7342F" w:rsidRDefault="00D325B1" w:rsidP="00A7342F">
      <w:pPr>
        <w:suppressAutoHyphens/>
        <w:spacing w:after="240"/>
        <w:rPr>
          <w:u w:val="single"/>
          <w:lang w:val="fr-FR"/>
        </w:rPr>
      </w:pPr>
      <w:r w:rsidRPr="00D325B1">
        <w:rPr>
          <w:u w:val="single"/>
          <w:lang w:val="fr-FR"/>
        </w:rPr>
        <w:t>Rapport sur la consommation de HCFC</w:t>
      </w:r>
    </w:p>
    <w:p w14:paraId="4DCE8DC8" w14:textId="1CC80097" w:rsidR="00D325B1" w:rsidRPr="00A7342F" w:rsidRDefault="00D325B1" w:rsidP="00A7342F">
      <w:pPr>
        <w:pStyle w:val="Heading1"/>
        <w:suppressAutoHyphens/>
        <w:rPr>
          <w:lang w:val="fr-FR"/>
        </w:rPr>
      </w:pPr>
      <w:r w:rsidRPr="00D325B1">
        <w:rPr>
          <w:lang w:val="fr-FR"/>
        </w:rPr>
        <w:t>Le</w:t>
      </w:r>
      <w:r w:rsidR="00BA262E">
        <w:rPr>
          <w:lang w:val="fr-FR"/>
        </w:rPr>
        <w:t> </w:t>
      </w:r>
      <w:r w:rsidRPr="00D325B1">
        <w:rPr>
          <w:lang w:val="fr-FR"/>
        </w:rPr>
        <w:t>gouvernement de</w:t>
      </w:r>
      <w:r w:rsidR="00BA262E">
        <w:rPr>
          <w:lang w:val="fr-FR"/>
        </w:rPr>
        <w:t> </w:t>
      </w:r>
      <w:r w:rsidRPr="00D325B1">
        <w:rPr>
          <w:lang w:val="fr-FR"/>
        </w:rPr>
        <w:t>l</w:t>
      </w:r>
      <w:r w:rsidR="00BA262E">
        <w:rPr>
          <w:lang w:val="fr-FR"/>
        </w:rPr>
        <w:t>’</w:t>
      </w:r>
      <w:r w:rsidRPr="00D325B1">
        <w:rPr>
          <w:lang w:val="fr-FR"/>
        </w:rPr>
        <w:t>Angola a fait part d</w:t>
      </w:r>
      <w:r w:rsidR="00BA262E">
        <w:rPr>
          <w:lang w:val="fr-FR"/>
        </w:rPr>
        <w:t>’</w:t>
      </w:r>
      <w:r w:rsidRPr="00D325B1">
        <w:rPr>
          <w:lang w:val="fr-FR"/>
        </w:rPr>
        <w:t>une consommation de</w:t>
      </w:r>
      <w:r w:rsidR="00BA262E">
        <w:rPr>
          <w:lang w:val="fr-FR"/>
        </w:rPr>
        <w:t> </w:t>
      </w:r>
      <w:r w:rsidRPr="00D325B1">
        <w:rPr>
          <w:lang w:val="fr-FR"/>
        </w:rPr>
        <w:t>9</w:t>
      </w:r>
      <w:r w:rsidR="000F235A">
        <w:rPr>
          <w:lang w:val="fr-FR"/>
        </w:rPr>
        <w:t>,</w:t>
      </w:r>
      <w:r w:rsidRPr="00D325B1">
        <w:rPr>
          <w:lang w:val="fr-FR"/>
        </w:rPr>
        <w:t>16 tonnes PAO de HCFC en 2020, quantité de 42,5 pour cent inférieure à la valeur de référence des HCFC aux fins de conformité.</w:t>
      </w:r>
      <w:r w:rsidRPr="00A7342F">
        <w:rPr>
          <w:lang w:val="fr-FR"/>
        </w:rPr>
        <w:t xml:space="preserve"> </w:t>
      </w:r>
      <w:r w:rsidRPr="00D325B1">
        <w:rPr>
          <w:lang w:val="fr-FR"/>
        </w:rPr>
        <w:t>La</w:t>
      </w:r>
      <w:r w:rsidR="00A7342F">
        <w:rPr>
          <w:lang w:val="fr-FR"/>
        </w:rPr>
        <w:t> </w:t>
      </w:r>
      <w:r w:rsidRPr="00D325B1">
        <w:rPr>
          <w:lang w:val="fr-FR"/>
        </w:rPr>
        <w:t>consommation de HCFC pour la période 2016-2020 est indiquée au tableau 1.</w:t>
      </w:r>
      <w:r w:rsidRPr="00A7342F">
        <w:rPr>
          <w:lang w:val="fr-FR"/>
        </w:rPr>
        <w:t xml:space="preserve"> </w:t>
      </w:r>
    </w:p>
    <w:p w14:paraId="02C5131C" w14:textId="6DDCC74B" w:rsidR="00A343FC" w:rsidRPr="00A7342F" w:rsidRDefault="00D325B1" w:rsidP="00B832BB">
      <w:pPr>
        <w:suppressAutoHyphens/>
        <w:rPr>
          <w:b/>
          <w:lang w:val="fr-FR"/>
        </w:rPr>
      </w:pPr>
      <w:r w:rsidRPr="00D325B1">
        <w:rPr>
          <w:b/>
          <w:lang w:val="fr-FR"/>
        </w:rPr>
        <w:t>Tableau 1. Consommation de HCFC en Angola (2016-2020, données au titre de l</w:t>
      </w:r>
      <w:r w:rsidR="00BA262E">
        <w:rPr>
          <w:b/>
          <w:lang w:val="fr-FR"/>
        </w:rPr>
        <w:t>’</w:t>
      </w:r>
      <w:r w:rsidRPr="00D325B1">
        <w:rPr>
          <w:b/>
          <w:lang w:val="fr-FR"/>
        </w:rPr>
        <w:t>article 7)</w:t>
      </w:r>
    </w:p>
    <w:tbl>
      <w:tblPr>
        <w:tblW w:w="5003" w:type="pct"/>
        <w:tblInd w:w="-5" w:type="dxa"/>
        <w:tblLayout w:type="fixed"/>
        <w:tblLook w:val="04A0" w:firstRow="1" w:lastRow="0" w:firstColumn="1" w:lastColumn="0" w:noHBand="0" w:noVBand="1"/>
      </w:tblPr>
      <w:tblGrid>
        <w:gridCol w:w="3146"/>
        <w:gridCol w:w="1035"/>
        <w:gridCol w:w="1035"/>
        <w:gridCol w:w="1035"/>
        <w:gridCol w:w="1035"/>
        <w:gridCol w:w="1035"/>
        <w:gridCol w:w="1035"/>
      </w:tblGrid>
      <w:tr w:rsidR="00A343FC" w:rsidRPr="00C0764B" w14:paraId="03B7F427" w14:textId="77777777" w:rsidTr="00432413">
        <w:trPr>
          <w:tblHeader/>
        </w:trPr>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D7ADC75" w14:textId="039599A9" w:rsidR="00A343FC" w:rsidRPr="00D325B1" w:rsidRDefault="00D325B1" w:rsidP="00723649">
            <w:pPr>
              <w:suppressAutoHyphens/>
              <w:jc w:val="left"/>
              <w:rPr>
                <w:b/>
                <w:bCs/>
                <w:color w:val="000000"/>
                <w:sz w:val="20"/>
                <w:szCs w:val="20"/>
              </w:rPr>
            </w:pPr>
            <w:r w:rsidRPr="00D325B1">
              <w:rPr>
                <w:b/>
                <w:bCs/>
                <w:color w:val="000000"/>
                <w:sz w:val="20"/>
                <w:szCs w:val="20"/>
                <w:lang w:val="fr-FR"/>
              </w:rPr>
              <w:t>HCFC</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4D6852B1" w14:textId="77777777" w:rsidR="00A343FC" w:rsidRPr="00C0764B" w:rsidRDefault="00A343FC" w:rsidP="00B832BB">
            <w:pPr>
              <w:suppressAutoHyphens/>
              <w:jc w:val="center"/>
              <w:rPr>
                <w:b/>
                <w:bCs/>
                <w:color w:val="000000"/>
                <w:sz w:val="20"/>
                <w:szCs w:val="20"/>
              </w:rPr>
            </w:pPr>
            <w:r w:rsidRPr="00C0764B">
              <w:rPr>
                <w:b/>
                <w:bCs/>
                <w:color w:val="000000"/>
                <w:sz w:val="20"/>
                <w:szCs w:val="20"/>
              </w:rPr>
              <w:t>2016</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36392725" w14:textId="77777777" w:rsidR="00A343FC" w:rsidRPr="00C0764B" w:rsidRDefault="00A343FC" w:rsidP="00B832BB">
            <w:pPr>
              <w:suppressAutoHyphens/>
              <w:jc w:val="center"/>
              <w:rPr>
                <w:b/>
                <w:bCs/>
                <w:color w:val="000000"/>
                <w:sz w:val="20"/>
                <w:szCs w:val="20"/>
              </w:rPr>
            </w:pPr>
            <w:r w:rsidRPr="00C0764B">
              <w:rPr>
                <w:b/>
                <w:bCs/>
                <w:color w:val="000000"/>
                <w:sz w:val="20"/>
                <w:szCs w:val="20"/>
              </w:rPr>
              <w:t>2017</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499F7DEC" w14:textId="77777777" w:rsidR="00A343FC" w:rsidRPr="00C0764B" w:rsidRDefault="00A343FC" w:rsidP="00B832BB">
            <w:pPr>
              <w:suppressAutoHyphens/>
              <w:jc w:val="center"/>
              <w:rPr>
                <w:b/>
                <w:bCs/>
                <w:color w:val="000000"/>
                <w:sz w:val="20"/>
                <w:szCs w:val="20"/>
              </w:rPr>
            </w:pPr>
            <w:r w:rsidRPr="00C0764B">
              <w:rPr>
                <w:b/>
                <w:bCs/>
                <w:color w:val="000000"/>
                <w:sz w:val="20"/>
                <w:szCs w:val="20"/>
              </w:rPr>
              <w:t>2018</w:t>
            </w:r>
          </w:p>
        </w:tc>
        <w:tc>
          <w:tcPr>
            <w:tcW w:w="553" w:type="pct"/>
            <w:tcBorders>
              <w:top w:val="single" w:sz="4" w:space="0" w:color="auto"/>
              <w:left w:val="nil"/>
              <w:bottom w:val="single" w:sz="4" w:space="0" w:color="auto"/>
              <w:right w:val="single" w:sz="4" w:space="0" w:color="auto"/>
            </w:tcBorders>
            <w:vAlign w:val="center"/>
          </w:tcPr>
          <w:p w14:paraId="06AEAB84" w14:textId="77777777" w:rsidR="00A343FC" w:rsidRPr="00C0764B" w:rsidRDefault="00A343FC" w:rsidP="00432413">
            <w:pPr>
              <w:suppressAutoHyphens/>
              <w:jc w:val="center"/>
              <w:rPr>
                <w:b/>
                <w:bCs/>
                <w:color w:val="000000"/>
                <w:sz w:val="20"/>
                <w:szCs w:val="20"/>
              </w:rPr>
            </w:pPr>
            <w:r w:rsidRPr="00C0764B">
              <w:rPr>
                <w:b/>
                <w:bCs/>
                <w:color w:val="000000"/>
                <w:sz w:val="20"/>
                <w:szCs w:val="20"/>
              </w:rPr>
              <w:t>2019</w:t>
            </w:r>
          </w:p>
        </w:tc>
        <w:tc>
          <w:tcPr>
            <w:tcW w:w="553" w:type="pct"/>
            <w:tcBorders>
              <w:top w:val="single" w:sz="4" w:space="0" w:color="auto"/>
              <w:left w:val="single" w:sz="4" w:space="0" w:color="auto"/>
              <w:bottom w:val="single" w:sz="4" w:space="0" w:color="auto"/>
              <w:right w:val="single" w:sz="4" w:space="0" w:color="auto"/>
            </w:tcBorders>
            <w:vAlign w:val="center"/>
          </w:tcPr>
          <w:p w14:paraId="75F6A631" w14:textId="77777777" w:rsidR="00A343FC" w:rsidRPr="00C0764B" w:rsidRDefault="00A343FC" w:rsidP="00432413">
            <w:pPr>
              <w:suppressAutoHyphens/>
              <w:jc w:val="center"/>
              <w:rPr>
                <w:b/>
                <w:bCs/>
                <w:color w:val="000000"/>
                <w:sz w:val="20"/>
                <w:szCs w:val="20"/>
              </w:rPr>
            </w:pPr>
            <w:r w:rsidRPr="00C0764B">
              <w:rPr>
                <w:b/>
                <w:bCs/>
                <w:color w:val="000000"/>
                <w:sz w:val="20"/>
                <w:szCs w:val="20"/>
              </w:rPr>
              <w:t>2020</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8B55" w14:textId="03E8473C" w:rsidR="00A343FC" w:rsidRPr="00D325B1" w:rsidRDefault="00D325B1" w:rsidP="00723649">
            <w:pPr>
              <w:suppressAutoHyphens/>
              <w:jc w:val="center"/>
              <w:rPr>
                <w:b/>
                <w:bCs/>
                <w:color w:val="000000"/>
                <w:sz w:val="20"/>
                <w:szCs w:val="20"/>
              </w:rPr>
            </w:pPr>
            <w:r w:rsidRPr="00D325B1">
              <w:rPr>
                <w:b/>
                <w:bCs/>
                <w:color w:val="000000"/>
                <w:sz w:val="20"/>
                <w:szCs w:val="20"/>
                <w:lang w:val="fr-FR"/>
              </w:rPr>
              <w:t>Valeur de référence</w:t>
            </w:r>
          </w:p>
        </w:tc>
      </w:tr>
      <w:tr w:rsidR="009353A2" w:rsidRPr="00C0764B" w14:paraId="3B1C41CF" w14:textId="77777777" w:rsidTr="00E26807">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31E3F74" w14:textId="249FDCEF" w:rsidR="009353A2" w:rsidRPr="00D325B1" w:rsidRDefault="00D325B1" w:rsidP="00723649">
            <w:pPr>
              <w:suppressAutoHyphens/>
              <w:jc w:val="left"/>
              <w:rPr>
                <w:b/>
                <w:bCs/>
                <w:color w:val="000000"/>
                <w:sz w:val="20"/>
                <w:szCs w:val="20"/>
              </w:rPr>
            </w:pPr>
            <w:r w:rsidRPr="00D325B1">
              <w:rPr>
                <w:b/>
                <w:bCs/>
                <w:color w:val="000000"/>
                <w:sz w:val="20"/>
                <w:szCs w:val="20"/>
                <w:lang w:val="fr-FR"/>
              </w:rPr>
              <w:t>Tonnes</w:t>
            </w:r>
            <w:r w:rsidR="00BA262E">
              <w:rPr>
                <w:b/>
                <w:bCs/>
                <w:color w:val="000000"/>
                <w:sz w:val="20"/>
                <w:szCs w:val="20"/>
                <w:lang w:val="fr-FR"/>
              </w:rPr>
              <w:t> </w:t>
            </w:r>
            <w:r w:rsidRPr="00D325B1">
              <w:rPr>
                <w:b/>
                <w:bCs/>
                <w:color w:val="000000"/>
                <w:sz w:val="20"/>
                <w:szCs w:val="20"/>
                <w:lang w:val="fr-FR"/>
              </w:rPr>
              <w:t>métriques (tm)</w:t>
            </w:r>
          </w:p>
        </w:tc>
        <w:tc>
          <w:tcPr>
            <w:tcW w:w="553" w:type="pct"/>
            <w:tcBorders>
              <w:top w:val="nil"/>
              <w:left w:val="nil"/>
              <w:bottom w:val="single" w:sz="4" w:space="0" w:color="auto"/>
              <w:right w:val="single" w:sz="4" w:space="0" w:color="auto"/>
            </w:tcBorders>
            <w:shd w:val="clear" w:color="auto" w:fill="auto"/>
            <w:noWrap/>
          </w:tcPr>
          <w:p w14:paraId="7A752352" w14:textId="77777777" w:rsidR="009353A2" w:rsidRPr="00C0764B" w:rsidRDefault="009353A2" w:rsidP="00B832BB">
            <w:pPr>
              <w:suppressAutoHyphens/>
              <w:jc w:val="right"/>
              <w:rPr>
                <w:sz w:val="20"/>
                <w:szCs w:val="20"/>
              </w:rPr>
            </w:pPr>
          </w:p>
        </w:tc>
        <w:tc>
          <w:tcPr>
            <w:tcW w:w="553" w:type="pct"/>
            <w:tcBorders>
              <w:top w:val="nil"/>
              <w:left w:val="nil"/>
              <w:bottom w:val="single" w:sz="4" w:space="0" w:color="auto"/>
              <w:right w:val="single" w:sz="4" w:space="0" w:color="auto"/>
            </w:tcBorders>
            <w:shd w:val="clear" w:color="auto" w:fill="auto"/>
            <w:noWrap/>
          </w:tcPr>
          <w:p w14:paraId="7AD90D5A" w14:textId="77777777" w:rsidR="009353A2" w:rsidRPr="00C0764B" w:rsidRDefault="009353A2" w:rsidP="00B832BB">
            <w:pPr>
              <w:suppressAutoHyphens/>
              <w:jc w:val="right"/>
              <w:rPr>
                <w:sz w:val="20"/>
                <w:szCs w:val="20"/>
              </w:rPr>
            </w:pPr>
          </w:p>
        </w:tc>
        <w:tc>
          <w:tcPr>
            <w:tcW w:w="553" w:type="pct"/>
            <w:tcBorders>
              <w:top w:val="nil"/>
              <w:left w:val="nil"/>
              <w:bottom w:val="single" w:sz="4" w:space="0" w:color="auto"/>
              <w:right w:val="single" w:sz="4" w:space="0" w:color="auto"/>
            </w:tcBorders>
            <w:shd w:val="clear" w:color="auto" w:fill="auto"/>
            <w:noWrap/>
          </w:tcPr>
          <w:p w14:paraId="73E22C9B" w14:textId="77777777" w:rsidR="009353A2" w:rsidRPr="00C0764B" w:rsidRDefault="009353A2" w:rsidP="00B832BB">
            <w:pPr>
              <w:suppressAutoHyphens/>
              <w:jc w:val="right"/>
              <w:rPr>
                <w:sz w:val="20"/>
                <w:szCs w:val="20"/>
              </w:rPr>
            </w:pPr>
          </w:p>
        </w:tc>
        <w:tc>
          <w:tcPr>
            <w:tcW w:w="553" w:type="pct"/>
            <w:tcBorders>
              <w:top w:val="single" w:sz="4" w:space="0" w:color="auto"/>
              <w:left w:val="nil"/>
              <w:bottom w:val="single" w:sz="4" w:space="0" w:color="auto"/>
              <w:right w:val="single" w:sz="4" w:space="0" w:color="auto"/>
            </w:tcBorders>
          </w:tcPr>
          <w:p w14:paraId="46D61A56" w14:textId="77777777" w:rsidR="009353A2" w:rsidRPr="00C0764B" w:rsidRDefault="009353A2" w:rsidP="00B832BB">
            <w:pPr>
              <w:suppressAutoHyphens/>
              <w:jc w:val="right"/>
              <w:rPr>
                <w:bCs/>
                <w:sz w:val="20"/>
                <w:szCs w:val="20"/>
              </w:rPr>
            </w:pPr>
          </w:p>
        </w:tc>
        <w:tc>
          <w:tcPr>
            <w:tcW w:w="553" w:type="pct"/>
            <w:tcBorders>
              <w:top w:val="nil"/>
              <w:left w:val="single" w:sz="4" w:space="0" w:color="auto"/>
              <w:bottom w:val="single" w:sz="4" w:space="0" w:color="auto"/>
              <w:right w:val="single" w:sz="4" w:space="0" w:color="auto"/>
            </w:tcBorders>
          </w:tcPr>
          <w:p w14:paraId="1EBD41F7" w14:textId="77777777" w:rsidR="009353A2" w:rsidRPr="00C0764B" w:rsidRDefault="009353A2" w:rsidP="00B832BB">
            <w:pPr>
              <w:suppressAutoHyphens/>
              <w:jc w:val="right"/>
              <w:rPr>
                <w:bCs/>
                <w:sz w:val="20"/>
                <w:szCs w:val="20"/>
              </w:rPr>
            </w:pP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5D9869B6" w14:textId="77777777" w:rsidR="009353A2" w:rsidRPr="00C0764B" w:rsidRDefault="009353A2" w:rsidP="00B832BB">
            <w:pPr>
              <w:suppressAutoHyphens/>
              <w:jc w:val="center"/>
              <w:rPr>
                <w:b/>
                <w:bCs/>
                <w:color w:val="000000"/>
                <w:sz w:val="20"/>
                <w:szCs w:val="20"/>
              </w:rPr>
            </w:pPr>
          </w:p>
        </w:tc>
      </w:tr>
      <w:tr w:rsidR="009353A2" w:rsidRPr="00C0764B" w14:paraId="19F02700" w14:textId="77777777" w:rsidTr="00E26807">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615821B" w14:textId="5D0466E2" w:rsidR="009353A2" w:rsidRPr="00D325B1" w:rsidRDefault="00D325B1" w:rsidP="00723649">
            <w:pPr>
              <w:suppressAutoHyphens/>
              <w:jc w:val="left"/>
              <w:rPr>
                <w:color w:val="000000"/>
                <w:sz w:val="20"/>
                <w:szCs w:val="20"/>
              </w:rPr>
            </w:pPr>
            <w:r w:rsidRPr="00D325B1">
              <w:rPr>
                <w:color w:val="000000"/>
                <w:sz w:val="20"/>
                <w:szCs w:val="20"/>
                <w:lang w:val="fr-FR"/>
              </w:rPr>
              <w:t>HCFC-22</w:t>
            </w:r>
          </w:p>
        </w:tc>
        <w:tc>
          <w:tcPr>
            <w:tcW w:w="553" w:type="pct"/>
            <w:tcBorders>
              <w:top w:val="nil"/>
              <w:left w:val="nil"/>
              <w:bottom w:val="single" w:sz="4" w:space="0" w:color="auto"/>
              <w:right w:val="single" w:sz="4" w:space="0" w:color="auto"/>
            </w:tcBorders>
            <w:shd w:val="clear" w:color="auto" w:fill="auto"/>
            <w:noWrap/>
          </w:tcPr>
          <w:p w14:paraId="422D32D4" w14:textId="68478F6E" w:rsidR="009353A2" w:rsidRPr="00C0764B" w:rsidRDefault="009353A2" w:rsidP="00B832BB">
            <w:pPr>
              <w:suppressAutoHyphens/>
              <w:jc w:val="right"/>
              <w:rPr>
                <w:sz w:val="20"/>
                <w:szCs w:val="20"/>
              </w:rPr>
            </w:pPr>
            <w:r w:rsidRPr="00C0764B">
              <w:rPr>
                <w:color w:val="000000"/>
                <w:sz w:val="20"/>
                <w:szCs w:val="20"/>
                <w:lang w:eastAsia="es-CO"/>
              </w:rPr>
              <w:t>210</w:t>
            </w:r>
            <w:r w:rsidR="00BA262E">
              <w:rPr>
                <w:color w:val="000000"/>
                <w:sz w:val="20"/>
                <w:szCs w:val="20"/>
                <w:lang w:eastAsia="es-CO"/>
              </w:rPr>
              <w:t>,</w:t>
            </w:r>
            <w:r w:rsidRPr="00C0764B">
              <w:rPr>
                <w:color w:val="000000"/>
                <w:sz w:val="20"/>
                <w:szCs w:val="20"/>
                <w:lang w:eastAsia="es-CO"/>
              </w:rPr>
              <w:t>00</w:t>
            </w:r>
          </w:p>
        </w:tc>
        <w:tc>
          <w:tcPr>
            <w:tcW w:w="553" w:type="pct"/>
            <w:tcBorders>
              <w:top w:val="nil"/>
              <w:left w:val="nil"/>
              <w:bottom w:val="single" w:sz="4" w:space="0" w:color="auto"/>
              <w:right w:val="single" w:sz="4" w:space="0" w:color="auto"/>
            </w:tcBorders>
            <w:shd w:val="clear" w:color="auto" w:fill="auto"/>
            <w:noWrap/>
          </w:tcPr>
          <w:p w14:paraId="5B03D3DE" w14:textId="3955828E" w:rsidR="009353A2" w:rsidRPr="00C0764B" w:rsidRDefault="00231D75" w:rsidP="00B832BB">
            <w:pPr>
              <w:suppressAutoHyphens/>
              <w:jc w:val="right"/>
              <w:rPr>
                <w:color w:val="000000" w:themeColor="text1"/>
                <w:sz w:val="20"/>
                <w:szCs w:val="20"/>
              </w:rPr>
            </w:pPr>
            <w:r w:rsidRPr="00C0764B">
              <w:rPr>
                <w:color w:val="000000" w:themeColor="text1"/>
                <w:sz w:val="20"/>
                <w:szCs w:val="20"/>
                <w:lang w:eastAsia="en-CA"/>
              </w:rPr>
              <w:t>189</w:t>
            </w:r>
            <w:r w:rsidR="00BA262E">
              <w:rPr>
                <w:color w:val="000000" w:themeColor="text1"/>
                <w:sz w:val="20"/>
                <w:szCs w:val="20"/>
                <w:lang w:eastAsia="en-CA"/>
              </w:rPr>
              <w:t>,</w:t>
            </w:r>
            <w:r w:rsidRPr="00C0764B">
              <w:rPr>
                <w:color w:val="000000" w:themeColor="text1"/>
                <w:sz w:val="20"/>
                <w:szCs w:val="20"/>
                <w:lang w:eastAsia="en-CA"/>
              </w:rPr>
              <w:t>96</w:t>
            </w:r>
          </w:p>
        </w:tc>
        <w:tc>
          <w:tcPr>
            <w:tcW w:w="553" w:type="pct"/>
            <w:tcBorders>
              <w:top w:val="nil"/>
              <w:left w:val="nil"/>
              <w:bottom w:val="single" w:sz="4" w:space="0" w:color="auto"/>
              <w:right w:val="single" w:sz="4" w:space="0" w:color="auto"/>
            </w:tcBorders>
            <w:shd w:val="clear" w:color="auto" w:fill="auto"/>
            <w:noWrap/>
          </w:tcPr>
          <w:p w14:paraId="3CE3D838" w14:textId="27671A39" w:rsidR="009353A2" w:rsidRPr="00C0764B" w:rsidRDefault="00231D75" w:rsidP="00B832BB">
            <w:pPr>
              <w:suppressAutoHyphens/>
              <w:jc w:val="right"/>
              <w:rPr>
                <w:color w:val="000000" w:themeColor="text1"/>
                <w:sz w:val="20"/>
                <w:szCs w:val="20"/>
              </w:rPr>
            </w:pPr>
            <w:r w:rsidRPr="00C0764B">
              <w:rPr>
                <w:color w:val="000000" w:themeColor="text1"/>
                <w:sz w:val="20"/>
                <w:szCs w:val="20"/>
                <w:lang w:eastAsia="en-CA"/>
              </w:rPr>
              <w:t>189</w:t>
            </w:r>
            <w:r w:rsidR="00BA262E">
              <w:rPr>
                <w:color w:val="000000" w:themeColor="text1"/>
                <w:sz w:val="20"/>
                <w:szCs w:val="20"/>
                <w:lang w:eastAsia="en-CA"/>
              </w:rPr>
              <w:t>,</w:t>
            </w:r>
            <w:r w:rsidRPr="00C0764B">
              <w:rPr>
                <w:color w:val="000000" w:themeColor="text1"/>
                <w:sz w:val="20"/>
                <w:szCs w:val="20"/>
                <w:lang w:eastAsia="en-CA"/>
              </w:rPr>
              <w:t>95</w:t>
            </w:r>
          </w:p>
        </w:tc>
        <w:tc>
          <w:tcPr>
            <w:tcW w:w="553" w:type="pct"/>
            <w:tcBorders>
              <w:top w:val="single" w:sz="4" w:space="0" w:color="auto"/>
              <w:left w:val="nil"/>
              <w:bottom w:val="single" w:sz="4" w:space="0" w:color="auto"/>
              <w:right w:val="single" w:sz="4" w:space="0" w:color="auto"/>
            </w:tcBorders>
          </w:tcPr>
          <w:p w14:paraId="0BEABDC1" w14:textId="120A145D" w:rsidR="009353A2" w:rsidRPr="00C0764B" w:rsidRDefault="009353A2" w:rsidP="00B832BB">
            <w:pPr>
              <w:suppressAutoHyphens/>
              <w:jc w:val="right"/>
              <w:rPr>
                <w:bCs/>
                <w:sz w:val="20"/>
                <w:szCs w:val="20"/>
              </w:rPr>
            </w:pPr>
            <w:r w:rsidRPr="00C0764B">
              <w:rPr>
                <w:bCs/>
                <w:sz w:val="20"/>
                <w:szCs w:val="20"/>
              </w:rPr>
              <w:t>170</w:t>
            </w:r>
            <w:r w:rsidR="00BA262E">
              <w:rPr>
                <w:bCs/>
                <w:sz w:val="20"/>
                <w:szCs w:val="20"/>
              </w:rPr>
              <w:t>,</w:t>
            </w:r>
            <w:r w:rsidRPr="00C0764B">
              <w:rPr>
                <w:bCs/>
                <w:sz w:val="20"/>
                <w:szCs w:val="20"/>
              </w:rPr>
              <w:t>00</w:t>
            </w:r>
          </w:p>
        </w:tc>
        <w:tc>
          <w:tcPr>
            <w:tcW w:w="553" w:type="pct"/>
            <w:tcBorders>
              <w:top w:val="nil"/>
              <w:left w:val="single" w:sz="4" w:space="0" w:color="auto"/>
              <w:bottom w:val="single" w:sz="4" w:space="0" w:color="auto"/>
              <w:right w:val="single" w:sz="4" w:space="0" w:color="auto"/>
            </w:tcBorders>
          </w:tcPr>
          <w:p w14:paraId="477E4DAF" w14:textId="6F83FCEC" w:rsidR="009353A2" w:rsidRPr="00C0764B" w:rsidRDefault="009353A2" w:rsidP="00B832BB">
            <w:pPr>
              <w:suppressAutoHyphens/>
              <w:jc w:val="right"/>
              <w:rPr>
                <w:color w:val="000000"/>
                <w:sz w:val="20"/>
                <w:szCs w:val="20"/>
              </w:rPr>
            </w:pPr>
            <w:r w:rsidRPr="00C0764B">
              <w:rPr>
                <w:bCs/>
                <w:sz w:val="20"/>
                <w:szCs w:val="20"/>
              </w:rPr>
              <w:t>158</w:t>
            </w:r>
            <w:r w:rsidR="00BA262E">
              <w:rPr>
                <w:bCs/>
                <w:sz w:val="20"/>
                <w:szCs w:val="20"/>
              </w:rPr>
              <w:t>,</w:t>
            </w:r>
            <w:r w:rsidRPr="00C0764B">
              <w:rPr>
                <w:bCs/>
                <w:sz w:val="20"/>
                <w:szCs w:val="20"/>
              </w:rPr>
              <w:t>5</w:t>
            </w:r>
            <w:r w:rsidR="00E26807">
              <w:rPr>
                <w:bCs/>
                <w:sz w:val="20"/>
                <w:szCs w:val="20"/>
              </w:rPr>
              <w:t>0</w:t>
            </w:r>
          </w:p>
        </w:tc>
        <w:tc>
          <w:tcPr>
            <w:tcW w:w="553" w:type="pct"/>
            <w:tcBorders>
              <w:top w:val="nil"/>
              <w:left w:val="single" w:sz="4" w:space="0" w:color="auto"/>
              <w:bottom w:val="single" w:sz="4" w:space="0" w:color="auto"/>
              <w:right w:val="single" w:sz="4" w:space="0" w:color="auto"/>
            </w:tcBorders>
            <w:shd w:val="clear" w:color="auto" w:fill="auto"/>
            <w:noWrap/>
            <w:vAlign w:val="center"/>
          </w:tcPr>
          <w:p w14:paraId="537711BB" w14:textId="2AFE87CD" w:rsidR="009353A2" w:rsidRPr="00C0764B" w:rsidRDefault="003C227A" w:rsidP="00B832BB">
            <w:pPr>
              <w:suppressAutoHyphens/>
              <w:jc w:val="right"/>
              <w:rPr>
                <w:color w:val="000000"/>
                <w:sz w:val="20"/>
                <w:szCs w:val="20"/>
              </w:rPr>
            </w:pPr>
            <w:r w:rsidRPr="00C0764B">
              <w:rPr>
                <w:sz w:val="20"/>
                <w:szCs w:val="20"/>
              </w:rPr>
              <w:t>290</w:t>
            </w:r>
            <w:r w:rsidR="00BA262E">
              <w:rPr>
                <w:sz w:val="20"/>
                <w:szCs w:val="20"/>
              </w:rPr>
              <w:t>,</w:t>
            </w:r>
            <w:r w:rsidR="00E26807">
              <w:rPr>
                <w:sz w:val="20"/>
                <w:szCs w:val="20"/>
              </w:rPr>
              <w:t>00</w:t>
            </w:r>
          </w:p>
        </w:tc>
      </w:tr>
      <w:tr w:rsidR="009353A2" w:rsidRPr="00C0764B" w14:paraId="02A20A57" w14:textId="77777777" w:rsidTr="00E26807">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D14EC57" w14:textId="4D0CB51A" w:rsidR="009353A2" w:rsidRPr="00D325B1" w:rsidRDefault="00D325B1" w:rsidP="00723649">
            <w:pPr>
              <w:suppressAutoHyphens/>
              <w:jc w:val="left"/>
              <w:rPr>
                <w:color w:val="000000"/>
                <w:sz w:val="20"/>
                <w:szCs w:val="20"/>
              </w:rPr>
            </w:pPr>
            <w:r w:rsidRPr="00D325B1">
              <w:rPr>
                <w:color w:val="000000"/>
                <w:sz w:val="20"/>
                <w:szCs w:val="20"/>
                <w:lang w:val="fr-FR"/>
              </w:rPr>
              <w:t>HCFC-141b</w:t>
            </w:r>
          </w:p>
        </w:tc>
        <w:tc>
          <w:tcPr>
            <w:tcW w:w="553" w:type="pct"/>
            <w:tcBorders>
              <w:top w:val="nil"/>
              <w:left w:val="nil"/>
              <w:bottom w:val="single" w:sz="4" w:space="0" w:color="auto"/>
              <w:right w:val="single" w:sz="4" w:space="0" w:color="auto"/>
            </w:tcBorders>
            <w:shd w:val="clear" w:color="auto" w:fill="auto"/>
            <w:noWrap/>
            <w:vAlign w:val="center"/>
          </w:tcPr>
          <w:p w14:paraId="16BB8812" w14:textId="541F0EA0" w:rsidR="009353A2" w:rsidRPr="00C0764B" w:rsidRDefault="00E26807" w:rsidP="00B832BB">
            <w:pPr>
              <w:suppressAutoHyphens/>
              <w:jc w:val="right"/>
              <w:rPr>
                <w:sz w:val="20"/>
                <w:szCs w:val="20"/>
              </w:rPr>
            </w:pPr>
            <w:r>
              <w:rPr>
                <w:sz w:val="20"/>
                <w:szCs w:val="20"/>
              </w:rPr>
              <w:t>0</w:t>
            </w:r>
            <w:r w:rsidR="00BA262E">
              <w:rPr>
                <w:sz w:val="20"/>
                <w:szCs w:val="20"/>
              </w:rPr>
              <w:t>,</w:t>
            </w:r>
            <w:r>
              <w:rPr>
                <w:sz w:val="20"/>
                <w:szCs w:val="20"/>
              </w:rPr>
              <w:t>0</w:t>
            </w:r>
            <w:r w:rsidR="009353A2" w:rsidRPr="00C0764B">
              <w:rPr>
                <w:sz w:val="20"/>
                <w:szCs w:val="20"/>
              </w:rPr>
              <w:t>0</w:t>
            </w:r>
          </w:p>
        </w:tc>
        <w:tc>
          <w:tcPr>
            <w:tcW w:w="553" w:type="pct"/>
            <w:tcBorders>
              <w:top w:val="nil"/>
              <w:left w:val="nil"/>
              <w:bottom w:val="single" w:sz="4" w:space="0" w:color="auto"/>
              <w:right w:val="single" w:sz="4" w:space="0" w:color="auto"/>
            </w:tcBorders>
            <w:shd w:val="clear" w:color="auto" w:fill="auto"/>
            <w:noWrap/>
            <w:vAlign w:val="center"/>
          </w:tcPr>
          <w:p w14:paraId="335FD270" w14:textId="5A9F7146" w:rsidR="009353A2" w:rsidRPr="00C0764B" w:rsidRDefault="00E26807" w:rsidP="00B832BB">
            <w:pPr>
              <w:suppressAutoHyphens/>
              <w:jc w:val="right"/>
              <w:rPr>
                <w:color w:val="000000" w:themeColor="text1"/>
                <w:sz w:val="20"/>
                <w:szCs w:val="20"/>
              </w:rPr>
            </w:pPr>
            <w:r>
              <w:rPr>
                <w:color w:val="000000" w:themeColor="text1"/>
                <w:sz w:val="20"/>
                <w:szCs w:val="20"/>
              </w:rPr>
              <w:t>0</w:t>
            </w:r>
            <w:r w:rsidR="00BA262E">
              <w:rPr>
                <w:color w:val="000000" w:themeColor="text1"/>
                <w:sz w:val="20"/>
                <w:szCs w:val="20"/>
              </w:rPr>
              <w:t>,</w:t>
            </w:r>
            <w:r>
              <w:rPr>
                <w:color w:val="000000" w:themeColor="text1"/>
                <w:sz w:val="20"/>
                <w:szCs w:val="20"/>
              </w:rPr>
              <w:t>0</w:t>
            </w:r>
            <w:r w:rsidR="009353A2" w:rsidRPr="00C0764B">
              <w:rPr>
                <w:color w:val="000000" w:themeColor="text1"/>
                <w:sz w:val="20"/>
                <w:szCs w:val="20"/>
              </w:rPr>
              <w:t>0</w:t>
            </w:r>
          </w:p>
        </w:tc>
        <w:tc>
          <w:tcPr>
            <w:tcW w:w="553" w:type="pct"/>
            <w:tcBorders>
              <w:top w:val="nil"/>
              <w:left w:val="nil"/>
              <w:bottom w:val="single" w:sz="4" w:space="0" w:color="auto"/>
              <w:right w:val="single" w:sz="4" w:space="0" w:color="auto"/>
            </w:tcBorders>
            <w:shd w:val="clear" w:color="auto" w:fill="auto"/>
            <w:noWrap/>
            <w:vAlign w:val="center"/>
          </w:tcPr>
          <w:p w14:paraId="7E18D97E" w14:textId="19CD1210" w:rsidR="009353A2" w:rsidRPr="00C0764B" w:rsidRDefault="00E26807" w:rsidP="00B832BB">
            <w:pPr>
              <w:suppressAutoHyphens/>
              <w:jc w:val="right"/>
              <w:rPr>
                <w:color w:val="000000" w:themeColor="text1"/>
                <w:sz w:val="20"/>
                <w:szCs w:val="20"/>
              </w:rPr>
            </w:pPr>
            <w:r>
              <w:rPr>
                <w:color w:val="000000" w:themeColor="text1"/>
                <w:sz w:val="20"/>
                <w:szCs w:val="20"/>
              </w:rPr>
              <w:t>0</w:t>
            </w:r>
            <w:r w:rsidR="00BA262E">
              <w:rPr>
                <w:color w:val="000000" w:themeColor="text1"/>
                <w:sz w:val="20"/>
                <w:szCs w:val="20"/>
              </w:rPr>
              <w:t>,</w:t>
            </w:r>
            <w:r>
              <w:rPr>
                <w:color w:val="000000" w:themeColor="text1"/>
                <w:sz w:val="20"/>
                <w:szCs w:val="20"/>
              </w:rPr>
              <w:t>0</w:t>
            </w:r>
            <w:r w:rsidR="009353A2" w:rsidRPr="00C0764B">
              <w:rPr>
                <w:color w:val="000000" w:themeColor="text1"/>
                <w:sz w:val="20"/>
                <w:szCs w:val="20"/>
              </w:rPr>
              <w:t>0</w:t>
            </w:r>
          </w:p>
        </w:tc>
        <w:tc>
          <w:tcPr>
            <w:tcW w:w="553" w:type="pct"/>
            <w:tcBorders>
              <w:top w:val="single" w:sz="4" w:space="0" w:color="auto"/>
              <w:left w:val="nil"/>
              <w:bottom w:val="single" w:sz="4" w:space="0" w:color="auto"/>
              <w:right w:val="single" w:sz="4" w:space="0" w:color="auto"/>
            </w:tcBorders>
            <w:vAlign w:val="center"/>
          </w:tcPr>
          <w:p w14:paraId="1A5CA991" w14:textId="46B07BDC" w:rsidR="009353A2" w:rsidRPr="00C0764B" w:rsidRDefault="00E26807" w:rsidP="00B832BB">
            <w:pPr>
              <w:suppressAutoHyphens/>
              <w:jc w:val="right"/>
              <w:rPr>
                <w:bCs/>
                <w:sz w:val="20"/>
                <w:szCs w:val="20"/>
              </w:rPr>
            </w:pPr>
            <w:r>
              <w:rPr>
                <w:bCs/>
                <w:sz w:val="20"/>
                <w:szCs w:val="20"/>
              </w:rPr>
              <w:t>0</w:t>
            </w:r>
            <w:r w:rsidR="00BA262E">
              <w:rPr>
                <w:bCs/>
                <w:sz w:val="20"/>
                <w:szCs w:val="20"/>
              </w:rPr>
              <w:t>,</w:t>
            </w:r>
            <w:r>
              <w:rPr>
                <w:bCs/>
                <w:sz w:val="20"/>
                <w:szCs w:val="20"/>
              </w:rPr>
              <w:t>0</w:t>
            </w:r>
            <w:r w:rsidR="009353A2" w:rsidRPr="00C0764B">
              <w:rPr>
                <w:bCs/>
                <w:sz w:val="20"/>
                <w:szCs w:val="20"/>
              </w:rPr>
              <w:t>0</w:t>
            </w:r>
          </w:p>
        </w:tc>
        <w:tc>
          <w:tcPr>
            <w:tcW w:w="553" w:type="pct"/>
            <w:tcBorders>
              <w:top w:val="nil"/>
              <w:left w:val="single" w:sz="4" w:space="0" w:color="auto"/>
              <w:bottom w:val="single" w:sz="4" w:space="0" w:color="auto"/>
              <w:right w:val="single" w:sz="4" w:space="0" w:color="auto"/>
            </w:tcBorders>
            <w:vAlign w:val="center"/>
          </w:tcPr>
          <w:p w14:paraId="6FE1DDA4" w14:textId="5A2E73C0" w:rsidR="009353A2" w:rsidRPr="00C0764B" w:rsidRDefault="009353A2" w:rsidP="00B832BB">
            <w:pPr>
              <w:suppressAutoHyphens/>
              <w:jc w:val="right"/>
              <w:rPr>
                <w:bCs/>
                <w:sz w:val="20"/>
                <w:szCs w:val="20"/>
              </w:rPr>
            </w:pPr>
            <w:r w:rsidRPr="00C0764B">
              <w:rPr>
                <w:bCs/>
                <w:sz w:val="20"/>
                <w:szCs w:val="20"/>
              </w:rPr>
              <w:t>4</w:t>
            </w:r>
            <w:r w:rsidR="00BA262E">
              <w:rPr>
                <w:bCs/>
                <w:sz w:val="20"/>
                <w:szCs w:val="20"/>
              </w:rPr>
              <w:t>,</w:t>
            </w:r>
            <w:r w:rsidR="00E26807">
              <w:rPr>
                <w:bCs/>
                <w:sz w:val="20"/>
                <w:szCs w:val="20"/>
              </w:rPr>
              <w:t>0</w:t>
            </w:r>
            <w:r w:rsidRPr="00C0764B">
              <w:rPr>
                <w:bCs/>
                <w:sz w:val="20"/>
                <w:szCs w:val="20"/>
              </w:rPr>
              <w:t>0</w:t>
            </w:r>
          </w:p>
        </w:tc>
        <w:tc>
          <w:tcPr>
            <w:tcW w:w="553" w:type="pct"/>
            <w:tcBorders>
              <w:top w:val="nil"/>
              <w:left w:val="single" w:sz="4" w:space="0" w:color="auto"/>
              <w:bottom w:val="single" w:sz="4" w:space="0" w:color="auto"/>
              <w:right w:val="single" w:sz="4" w:space="0" w:color="auto"/>
            </w:tcBorders>
            <w:shd w:val="clear" w:color="auto" w:fill="auto"/>
            <w:noWrap/>
            <w:vAlign w:val="center"/>
          </w:tcPr>
          <w:p w14:paraId="4700BEBC" w14:textId="0DB9FAD7" w:rsidR="009353A2" w:rsidRPr="00C0764B" w:rsidRDefault="0072549C" w:rsidP="00B832BB">
            <w:pPr>
              <w:suppressAutoHyphens/>
              <w:jc w:val="right"/>
              <w:rPr>
                <w:color w:val="000000"/>
                <w:sz w:val="20"/>
                <w:szCs w:val="20"/>
              </w:rPr>
            </w:pPr>
            <w:r w:rsidRPr="00C0764B">
              <w:rPr>
                <w:color w:val="000000"/>
                <w:sz w:val="20"/>
                <w:szCs w:val="20"/>
              </w:rPr>
              <w:t>0</w:t>
            </w:r>
            <w:r w:rsidR="00BA262E">
              <w:rPr>
                <w:color w:val="000000"/>
                <w:sz w:val="20"/>
                <w:szCs w:val="20"/>
              </w:rPr>
              <w:t>,</w:t>
            </w:r>
            <w:r w:rsidR="00E26807">
              <w:rPr>
                <w:color w:val="000000"/>
                <w:sz w:val="20"/>
                <w:szCs w:val="20"/>
              </w:rPr>
              <w:t>00</w:t>
            </w:r>
          </w:p>
        </w:tc>
      </w:tr>
      <w:tr w:rsidR="00231D75" w:rsidRPr="00C0764B" w14:paraId="55EA76EF" w14:textId="77777777" w:rsidTr="00E26807">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1D736F7E" w14:textId="56B252BE" w:rsidR="00231D75" w:rsidRPr="00D325B1" w:rsidRDefault="00D325B1" w:rsidP="00723649">
            <w:pPr>
              <w:suppressAutoHyphens/>
              <w:jc w:val="left"/>
              <w:rPr>
                <w:rFonts w:eastAsiaTheme="minorHAnsi"/>
                <w:b/>
                <w:color w:val="000000"/>
                <w:sz w:val="20"/>
                <w:szCs w:val="20"/>
              </w:rPr>
            </w:pPr>
            <w:r w:rsidRPr="00D325B1">
              <w:rPr>
                <w:b/>
                <w:color w:val="000000"/>
                <w:sz w:val="20"/>
                <w:szCs w:val="20"/>
                <w:lang w:val="fr-FR"/>
              </w:rPr>
              <w:t>Total (tm)</w:t>
            </w:r>
          </w:p>
        </w:tc>
        <w:tc>
          <w:tcPr>
            <w:tcW w:w="553" w:type="pct"/>
            <w:tcBorders>
              <w:top w:val="nil"/>
              <w:left w:val="nil"/>
              <w:bottom w:val="single" w:sz="4" w:space="0" w:color="auto"/>
              <w:right w:val="single" w:sz="4" w:space="0" w:color="auto"/>
            </w:tcBorders>
            <w:shd w:val="clear" w:color="auto" w:fill="auto"/>
            <w:noWrap/>
          </w:tcPr>
          <w:p w14:paraId="7088FDFA" w14:textId="416EFD79" w:rsidR="00231D75" w:rsidRPr="00C0764B" w:rsidRDefault="00231D75" w:rsidP="00B832BB">
            <w:pPr>
              <w:suppressAutoHyphens/>
              <w:jc w:val="right"/>
              <w:rPr>
                <w:sz w:val="20"/>
                <w:szCs w:val="20"/>
              </w:rPr>
            </w:pPr>
            <w:r w:rsidRPr="00C0764B">
              <w:rPr>
                <w:color w:val="000000"/>
                <w:sz w:val="20"/>
                <w:szCs w:val="20"/>
                <w:lang w:eastAsia="es-CO"/>
              </w:rPr>
              <w:t>210</w:t>
            </w:r>
            <w:r w:rsidR="00BA262E">
              <w:rPr>
                <w:color w:val="000000"/>
                <w:sz w:val="20"/>
                <w:szCs w:val="20"/>
                <w:lang w:eastAsia="es-CO"/>
              </w:rPr>
              <w:t>,</w:t>
            </w:r>
            <w:r w:rsidRPr="00C0764B">
              <w:rPr>
                <w:color w:val="000000"/>
                <w:sz w:val="20"/>
                <w:szCs w:val="20"/>
                <w:lang w:eastAsia="es-CO"/>
              </w:rPr>
              <w:t>00</w:t>
            </w:r>
          </w:p>
        </w:tc>
        <w:tc>
          <w:tcPr>
            <w:tcW w:w="553" w:type="pct"/>
            <w:tcBorders>
              <w:top w:val="nil"/>
              <w:left w:val="nil"/>
              <w:bottom w:val="single" w:sz="4" w:space="0" w:color="auto"/>
              <w:right w:val="single" w:sz="4" w:space="0" w:color="auto"/>
            </w:tcBorders>
            <w:shd w:val="clear" w:color="auto" w:fill="auto"/>
            <w:noWrap/>
          </w:tcPr>
          <w:p w14:paraId="5284626B" w14:textId="204652AF" w:rsidR="00231D75" w:rsidRPr="00C0764B" w:rsidRDefault="00231D75" w:rsidP="00B832BB">
            <w:pPr>
              <w:suppressAutoHyphens/>
              <w:jc w:val="right"/>
              <w:rPr>
                <w:color w:val="000000" w:themeColor="text1"/>
                <w:sz w:val="20"/>
                <w:szCs w:val="20"/>
              </w:rPr>
            </w:pPr>
            <w:r w:rsidRPr="00C0764B">
              <w:rPr>
                <w:color w:val="000000" w:themeColor="text1"/>
                <w:sz w:val="20"/>
                <w:szCs w:val="20"/>
                <w:lang w:eastAsia="en-CA"/>
              </w:rPr>
              <w:t>189</w:t>
            </w:r>
            <w:r w:rsidR="00BA262E">
              <w:rPr>
                <w:color w:val="000000" w:themeColor="text1"/>
                <w:sz w:val="20"/>
                <w:szCs w:val="20"/>
                <w:lang w:eastAsia="en-CA"/>
              </w:rPr>
              <w:t>,</w:t>
            </w:r>
            <w:r w:rsidRPr="00C0764B">
              <w:rPr>
                <w:color w:val="000000" w:themeColor="text1"/>
                <w:sz w:val="20"/>
                <w:szCs w:val="20"/>
                <w:lang w:eastAsia="en-CA"/>
              </w:rPr>
              <w:t>96</w:t>
            </w:r>
          </w:p>
        </w:tc>
        <w:tc>
          <w:tcPr>
            <w:tcW w:w="553" w:type="pct"/>
            <w:tcBorders>
              <w:top w:val="nil"/>
              <w:left w:val="nil"/>
              <w:bottom w:val="single" w:sz="4" w:space="0" w:color="auto"/>
              <w:right w:val="single" w:sz="4" w:space="0" w:color="auto"/>
            </w:tcBorders>
            <w:shd w:val="clear" w:color="auto" w:fill="auto"/>
            <w:noWrap/>
          </w:tcPr>
          <w:p w14:paraId="3BC093CA" w14:textId="3109E969" w:rsidR="00231D75" w:rsidRPr="00C0764B" w:rsidRDefault="00231D75" w:rsidP="00B832BB">
            <w:pPr>
              <w:suppressAutoHyphens/>
              <w:jc w:val="right"/>
              <w:rPr>
                <w:color w:val="000000" w:themeColor="text1"/>
                <w:sz w:val="20"/>
                <w:szCs w:val="20"/>
              </w:rPr>
            </w:pPr>
            <w:r w:rsidRPr="00C0764B">
              <w:rPr>
                <w:color w:val="000000" w:themeColor="text1"/>
                <w:sz w:val="20"/>
                <w:szCs w:val="20"/>
                <w:lang w:eastAsia="en-CA"/>
              </w:rPr>
              <w:t>189</w:t>
            </w:r>
            <w:r w:rsidR="00BA262E">
              <w:rPr>
                <w:color w:val="000000" w:themeColor="text1"/>
                <w:sz w:val="20"/>
                <w:szCs w:val="20"/>
                <w:lang w:eastAsia="en-CA"/>
              </w:rPr>
              <w:t>,</w:t>
            </w:r>
            <w:r w:rsidRPr="00C0764B">
              <w:rPr>
                <w:color w:val="000000" w:themeColor="text1"/>
                <w:sz w:val="20"/>
                <w:szCs w:val="20"/>
                <w:lang w:eastAsia="en-CA"/>
              </w:rPr>
              <w:t>95</w:t>
            </w:r>
          </w:p>
        </w:tc>
        <w:tc>
          <w:tcPr>
            <w:tcW w:w="553" w:type="pct"/>
            <w:tcBorders>
              <w:top w:val="single" w:sz="4" w:space="0" w:color="auto"/>
              <w:left w:val="nil"/>
              <w:bottom w:val="single" w:sz="4" w:space="0" w:color="auto"/>
              <w:right w:val="single" w:sz="4" w:space="0" w:color="auto"/>
            </w:tcBorders>
          </w:tcPr>
          <w:p w14:paraId="65F27BF4" w14:textId="59ED3953" w:rsidR="00231D75" w:rsidRPr="00C0764B" w:rsidRDefault="00231D75" w:rsidP="00B832BB">
            <w:pPr>
              <w:suppressAutoHyphens/>
              <w:jc w:val="right"/>
              <w:rPr>
                <w:bCs/>
                <w:sz w:val="20"/>
                <w:szCs w:val="20"/>
              </w:rPr>
            </w:pPr>
            <w:r w:rsidRPr="00C0764B">
              <w:rPr>
                <w:bCs/>
                <w:sz w:val="20"/>
                <w:szCs w:val="20"/>
              </w:rPr>
              <w:t>170</w:t>
            </w:r>
            <w:r w:rsidR="00BA262E">
              <w:rPr>
                <w:bCs/>
                <w:sz w:val="20"/>
                <w:szCs w:val="20"/>
              </w:rPr>
              <w:t>,</w:t>
            </w:r>
            <w:r w:rsidRPr="00C0764B">
              <w:rPr>
                <w:bCs/>
                <w:sz w:val="20"/>
                <w:szCs w:val="20"/>
              </w:rPr>
              <w:t>00</w:t>
            </w:r>
          </w:p>
        </w:tc>
        <w:tc>
          <w:tcPr>
            <w:tcW w:w="553" w:type="pct"/>
            <w:tcBorders>
              <w:top w:val="nil"/>
              <w:left w:val="single" w:sz="4" w:space="0" w:color="auto"/>
              <w:bottom w:val="single" w:sz="4" w:space="0" w:color="auto"/>
              <w:right w:val="single" w:sz="4" w:space="0" w:color="auto"/>
            </w:tcBorders>
          </w:tcPr>
          <w:p w14:paraId="228A3C19" w14:textId="79B76622" w:rsidR="00231D75" w:rsidRPr="00C0764B" w:rsidRDefault="00231D75" w:rsidP="00B832BB">
            <w:pPr>
              <w:suppressAutoHyphens/>
              <w:jc w:val="right"/>
              <w:rPr>
                <w:color w:val="000000"/>
                <w:sz w:val="20"/>
                <w:szCs w:val="20"/>
              </w:rPr>
            </w:pPr>
            <w:r w:rsidRPr="00C0764B">
              <w:rPr>
                <w:color w:val="000000"/>
                <w:sz w:val="20"/>
                <w:szCs w:val="20"/>
              </w:rPr>
              <w:t>162</w:t>
            </w:r>
            <w:r w:rsidR="00BA262E">
              <w:rPr>
                <w:color w:val="000000"/>
                <w:sz w:val="20"/>
                <w:szCs w:val="20"/>
              </w:rPr>
              <w:t>,</w:t>
            </w:r>
            <w:r w:rsidRPr="00C0764B">
              <w:rPr>
                <w:color w:val="000000"/>
                <w:sz w:val="20"/>
                <w:szCs w:val="20"/>
              </w:rPr>
              <w:t>5</w:t>
            </w:r>
            <w:r w:rsidR="00E26807">
              <w:rPr>
                <w:color w:val="000000"/>
                <w:sz w:val="20"/>
                <w:szCs w:val="20"/>
              </w:rPr>
              <w:t>0</w:t>
            </w:r>
          </w:p>
        </w:tc>
        <w:tc>
          <w:tcPr>
            <w:tcW w:w="553" w:type="pct"/>
            <w:tcBorders>
              <w:top w:val="nil"/>
              <w:left w:val="single" w:sz="4" w:space="0" w:color="auto"/>
              <w:bottom w:val="single" w:sz="4" w:space="0" w:color="auto"/>
              <w:right w:val="single" w:sz="4" w:space="0" w:color="auto"/>
            </w:tcBorders>
            <w:shd w:val="clear" w:color="auto" w:fill="auto"/>
            <w:noWrap/>
            <w:vAlign w:val="center"/>
          </w:tcPr>
          <w:p w14:paraId="2C30599C" w14:textId="2E9B097A" w:rsidR="00231D75" w:rsidRPr="00732B2A" w:rsidRDefault="00C83853" w:rsidP="00B832BB">
            <w:pPr>
              <w:suppressAutoHyphens/>
              <w:jc w:val="right"/>
              <w:rPr>
                <w:bCs/>
                <w:color w:val="000000"/>
                <w:sz w:val="20"/>
                <w:szCs w:val="20"/>
              </w:rPr>
            </w:pPr>
            <w:r w:rsidRPr="00732B2A">
              <w:rPr>
                <w:bCs/>
                <w:color w:val="000000"/>
                <w:sz w:val="20"/>
                <w:szCs w:val="20"/>
              </w:rPr>
              <w:t>290</w:t>
            </w:r>
            <w:r w:rsidR="00BA262E">
              <w:rPr>
                <w:bCs/>
                <w:color w:val="000000"/>
                <w:sz w:val="20"/>
                <w:szCs w:val="20"/>
              </w:rPr>
              <w:t>,</w:t>
            </w:r>
            <w:r w:rsidR="00E26807">
              <w:rPr>
                <w:bCs/>
                <w:color w:val="000000"/>
                <w:sz w:val="20"/>
                <w:szCs w:val="20"/>
              </w:rPr>
              <w:t>00</w:t>
            </w:r>
          </w:p>
        </w:tc>
      </w:tr>
      <w:tr w:rsidR="00A343FC" w:rsidRPr="00C0764B" w14:paraId="6D767053" w14:textId="77777777" w:rsidTr="00E26807">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EE190AF" w14:textId="062D6AD1" w:rsidR="00A343FC" w:rsidRPr="00D325B1" w:rsidRDefault="00D325B1" w:rsidP="00723649">
            <w:pPr>
              <w:suppressAutoHyphens/>
              <w:jc w:val="left"/>
              <w:rPr>
                <w:b/>
                <w:bCs/>
                <w:color w:val="000000"/>
                <w:sz w:val="20"/>
                <w:szCs w:val="20"/>
              </w:rPr>
            </w:pPr>
            <w:r w:rsidRPr="00D325B1">
              <w:rPr>
                <w:b/>
                <w:bCs/>
                <w:color w:val="000000"/>
                <w:sz w:val="20"/>
                <w:szCs w:val="20"/>
                <w:lang w:val="fr-FR"/>
              </w:rPr>
              <w:t>Tonnes PAO</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84597" w14:textId="77777777" w:rsidR="00A343FC" w:rsidRPr="00C0764B" w:rsidRDefault="00A343FC" w:rsidP="00B832BB">
            <w:pPr>
              <w:suppressAutoHyphens/>
              <w:jc w:val="right"/>
              <w:rPr>
                <w:color w:val="000000"/>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29EA6" w14:textId="77777777" w:rsidR="00A343FC" w:rsidRPr="0023077B" w:rsidRDefault="00A343FC" w:rsidP="00B832BB">
            <w:pPr>
              <w:suppressAutoHyphens/>
              <w:jc w:val="right"/>
              <w:rPr>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D3C9E" w14:textId="77777777" w:rsidR="00A343FC" w:rsidRPr="0023077B" w:rsidRDefault="00A343FC" w:rsidP="00B832BB">
            <w:pPr>
              <w:suppressAutoHyphens/>
              <w:jc w:val="right"/>
              <w:rPr>
                <w:sz w:val="20"/>
                <w:szCs w:val="20"/>
              </w:rPr>
            </w:pPr>
          </w:p>
        </w:tc>
        <w:tc>
          <w:tcPr>
            <w:tcW w:w="553" w:type="pct"/>
            <w:tcBorders>
              <w:top w:val="single" w:sz="4" w:space="0" w:color="auto"/>
              <w:left w:val="single" w:sz="4" w:space="0" w:color="auto"/>
              <w:bottom w:val="single" w:sz="4" w:space="0" w:color="auto"/>
              <w:right w:val="single" w:sz="4" w:space="0" w:color="auto"/>
            </w:tcBorders>
          </w:tcPr>
          <w:p w14:paraId="33EB4C0C" w14:textId="77777777" w:rsidR="00A343FC" w:rsidRPr="00C0764B" w:rsidRDefault="00A343FC" w:rsidP="00B832BB">
            <w:pPr>
              <w:suppressAutoHyphens/>
              <w:jc w:val="right"/>
              <w:rPr>
                <w:color w:val="000000"/>
                <w:sz w:val="20"/>
                <w:szCs w:val="20"/>
              </w:rPr>
            </w:pPr>
          </w:p>
        </w:tc>
        <w:tc>
          <w:tcPr>
            <w:tcW w:w="553" w:type="pct"/>
            <w:tcBorders>
              <w:top w:val="single" w:sz="4" w:space="0" w:color="auto"/>
              <w:left w:val="single" w:sz="4" w:space="0" w:color="auto"/>
              <w:bottom w:val="single" w:sz="4" w:space="0" w:color="auto"/>
              <w:right w:val="single" w:sz="4" w:space="0" w:color="auto"/>
            </w:tcBorders>
          </w:tcPr>
          <w:p w14:paraId="64D1293F" w14:textId="77777777" w:rsidR="00A343FC" w:rsidRPr="00C0764B" w:rsidRDefault="00A343FC" w:rsidP="00B832BB">
            <w:pPr>
              <w:suppressAutoHyphens/>
              <w:jc w:val="right"/>
              <w:rPr>
                <w:color w:val="000000"/>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83B44" w14:textId="77777777" w:rsidR="00A343FC" w:rsidRPr="00C0764B" w:rsidRDefault="00A343FC" w:rsidP="00B832BB">
            <w:pPr>
              <w:suppressAutoHyphens/>
              <w:jc w:val="right"/>
              <w:rPr>
                <w:color w:val="000000"/>
                <w:sz w:val="20"/>
                <w:szCs w:val="20"/>
              </w:rPr>
            </w:pPr>
          </w:p>
        </w:tc>
      </w:tr>
      <w:tr w:rsidR="00663982" w:rsidRPr="00C0764B" w14:paraId="614616D8" w14:textId="77777777" w:rsidTr="00E26807">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3C00B12" w14:textId="7AB980F7" w:rsidR="00663982" w:rsidRPr="00D325B1" w:rsidRDefault="00D325B1" w:rsidP="00723649">
            <w:pPr>
              <w:suppressAutoHyphens/>
              <w:jc w:val="left"/>
              <w:rPr>
                <w:color w:val="000000"/>
                <w:sz w:val="20"/>
                <w:szCs w:val="20"/>
              </w:rPr>
            </w:pPr>
            <w:r w:rsidRPr="00D325B1">
              <w:rPr>
                <w:color w:val="000000"/>
                <w:sz w:val="20"/>
                <w:szCs w:val="20"/>
                <w:lang w:val="fr-FR"/>
              </w:rPr>
              <w:t>HCFC-22</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975B989" w14:textId="5618A0BC" w:rsidR="00663982" w:rsidRPr="00C0764B" w:rsidRDefault="00663982" w:rsidP="00B832BB">
            <w:pPr>
              <w:suppressAutoHyphens/>
              <w:jc w:val="right"/>
              <w:rPr>
                <w:sz w:val="20"/>
                <w:szCs w:val="20"/>
                <w:lang w:eastAsia="es-CO"/>
              </w:rPr>
            </w:pPr>
            <w:r w:rsidRPr="00C0764B">
              <w:rPr>
                <w:sz w:val="20"/>
                <w:szCs w:val="20"/>
                <w:lang w:eastAsia="es-CO"/>
              </w:rPr>
              <w:t>11</w:t>
            </w:r>
            <w:r w:rsidR="00BA262E">
              <w:rPr>
                <w:sz w:val="20"/>
                <w:szCs w:val="20"/>
                <w:lang w:eastAsia="es-CO"/>
              </w:rPr>
              <w:t>,</w:t>
            </w:r>
            <w:r w:rsidRPr="00C0764B">
              <w:rPr>
                <w:sz w:val="20"/>
                <w:szCs w:val="20"/>
                <w:lang w:eastAsia="es-CO"/>
              </w:rPr>
              <w:t>55</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45B8A53" w14:textId="369DC689" w:rsidR="00663982" w:rsidRPr="00732B2A" w:rsidRDefault="00663982" w:rsidP="00B832BB">
            <w:pPr>
              <w:suppressAutoHyphens/>
              <w:jc w:val="right"/>
              <w:rPr>
                <w:sz w:val="20"/>
                <w:szCs w:val="20"/>
              </w:rPr>
            </w:pPr>
            <w:r w:rsidRPr="00732B2A">
              <w:rPr>
                <w:sz w:val="20"/>
                <w:szCs w:val="20"/>
              </w:rPr>
              <w:t>10</w:t>
            </w:r>
            <w:r w:rsidR="00BA262E">
              <w:rPr>
                <w:sz w:val="20"/>
                <w:szCs w:val="20"/>
              </w:rPr>
              <w:t>,</w:t>
            </w:r>
            <w:r w:rsidRPr="00732B2A">
              <w:rPr>
                <w:sz w:val="20"/>
                <w:szCs w:val="20"/>
              </w:rPr>
              <w:t>45</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66D6458D" w14:textId="00519583" w:rsidR="00663982" w:rsidRPr="00732B2A" w:rsidRDefault="00663982" w:rsidP="00B832BB">
            <w:pPr>
              <w:suppressAutoHyphens/>
              <w:jc w:val="right"/>
              <w:rPr>
                <w:sz w:val="20"/>
                <w:szCs w:val="20"/>
              </w:rPr>
            </w:pPr>
            <w:r w:rsidRPr="00732B2A">
              <w:rPr>
                <w:sz w:val="20"/>
                <w:szCs w:val="20"/>
              </w:rPr>
              <w:t>10</w:t>
            </w:r>
            <w:r w:rsidR="00BA262E">
              <w:rPr>
                <w:sz w:val="20"/>
                <w:szCs w:val="20"/>
              </w:rPr>
              <w:t>,</w:t>
            </w:r>
            <w:r w:rsidRPr="00732B2A">
              <w:rPr>
                <w:sz w:val="20"/>
                <w:szCs w:val="20"/>
              </w:rPr>
              <w:t>45</w:t>
            </w:r>
          </w:p>
        </w:tc>
        <w:tc>
          <w:tcPr>
            <w:tcW w:w="553" w:type="pct"/>
            <w:tcBorders>
              <w:top w:val="single" w:sz="4" w:space="0" w:color="auto"/>
              <w:left w:val="single" w:sz="4" w:space="0" w:color="auto"/>
              <w:bottom w:val="single" w:sz="4" w:space="0" w:color="auto"/>
              <w:right w:val="single" w:sz="4" w:space="0" w:color="auto"/>
            </w:tcBorders>
          </w:tcPr>
          <w:p w14:paraId="4537234A" w14:textId="6ADF804D" w:rsidR="00663982" w:rsidRPr="00C0764B" w:rsidRDefault="00663982" w:rsidP="00B832BB">
            <w:pPr>
              <w:suppressAutoHyphens/>
              <w:jc w:val="right"/>
              <w:rPr>
                <w:color w:val="000000"/>
                <w:sz w:val="20"/>
                <w:szCs w:val="20"/>
              </w:rPr>
            </w:pPr>
            <w:r w:rsidRPr="00C0764B">
              <w:rPr>
                <w:color w:val="000000"/>
                <w:sz w:val="20"/>
                <w:szCs w:val="20"/>
              </w:rPr>
              <w:t>9</w:t>
            </w:r>
            <w:r w:rsidR="00BA262E">
              <w:rPr>
                <w:color w:val="000000"/>
                <w:sz w:val="20"/>
                <w:szCs w:val="20"/>
              </w:rPr>
              <w:t>,</w:t>
            </w:r>
            <w:r w:rsidRPr="00C0764B">
              <w:rPr>
                <w:color w:val="000000"/>
                <w:sz w:val="20"/>
                <w:szCs w:val="20"/>
              </w:rPr>
              <w:t>35</w:t>
            </w:r>
          </w:p>
        </w:tc>
        <w:tc>
          <w:tcPr>
            <w:tcW w:w="553" w:type="pct"/>
            <w:tcBorders>
              <w:top w:val="single" w:sz="4" w:space="0" w:color="auto"/>
              <w:left w:val="single" w:sz="4" w:space="0" w:color="auto"/>
              <w:bottom w:val="single" w:sz="4" w:space="0" w:color="auto"/>
              <w:right w:val="single" w:sz="4" w:space="0" w:color="auto"/>
            </w:tcBorders>
          </w:tcPr>
          <w:p w14:paraId="6F51AB64" w14:textId="7F7B7470" w:rsidR="00663982" w:rsidRPr="00C0764B" w:rsidRDefault="00663982" w:rsidP="00B832BB">
            <w:pPr>
              <w:suppressAutoHyphens/>
              <w:jc w:val="right"/>
              <w:rPr>
                <w:color w:val="000000"/>
                <w:sz w:val="20"/>
                <w:szCs w:val="20"/>
              </w:rPr>
            </w:pPr>
            <w:r w:rsidRPr="00C0764B">
              <w:rPr>
                <w:color w:val="000000"/>
                <w:sz w:val="20"/>
                <w:szCs w:val="20"/>
              </w:rPr>
              <w:t>8</w:t>
            </w:r>
            <w:r w:rsidR="00BA262E">
              <w:rPr>
                <w:color w:val="000000"/>
                <w:sz w:val="20"/>
                <w:szCs w:val="20"/>
              </w:rPr>
              <w:t>,</w:t>
            </w:r>
            <w:r w:rsidRPr="00C0764B">
              <w:rPr>
                <w:color w:val="000000"/>
                <w:sz w:val="20"/>
                <w:szCs w:val="20"/>
              </w:rPr>
              <w:t>72</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B290F8B" w14:textId="283764AE" w:rsidR="00663982" w:rsidRPr="00C0764B" w:rsidRDefault="00663982" w:rsidP="00B832BB">
            <w:pPr>
              <w:suppressAutoHyphens/>
              <w:jc w:val="right"/>
              <w:rPr>
                <w:sz w:val="20"/>
                <w:szCs w:val="20"/>
                <w:lang w:eastAsia="es-CO"/>
              </w:rPr>
            </w:pPr>
            <w:r w:rsidRPr="00C0764B">
              <w:rPr>
                <w:sz w:val="20"/>
                <w:szCs w:val="20"/>
                <w:lang w:eastAsia="es-CO"/>
              </w:rPr>
              <w:t>15</w:t>
            </w:r>
            <w:r w:rsidR="00BA262E">
              <w:rPr>
                <w:sz w:val="20"/>
                <w:szCs w:val="20"/>
                <w:lang w:eastAsia="es-CO"/>
              </w:rPr>
              <w:t>,</w:t>
            </w:r>
            <w:r w:rsidRPr="00C0764B">
              <w:rPr>
                <w:sz w:val="20"/>
                <w:szCs w:val="20"/>
                <w:lang w:eastAsia="es-CO"/>
              </w:rPr>
              <w:t>95</w:t>
            </w:r>
          </w:p>
        </w:tc>
      </w:tr>
      <w:tr w:rsidR="00E26807" w:rsidRPr="00C0764B" w14:paraId="755E9FD0" w14:textId="77777777" w:rsidTr="00E26807">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8E74405" w14:textId="36834A20" w:rsidR="00E26807" w:rsidRPr="00D325B1" w:rsidRDefault="00D325B1" w:rsidP="00723649">
            <w:pPr>
              <w:suppressAutoHyphens/>
              <w:jc w:val="left"/>
              <w:rPr>
                <w:color w:val="000000"/>
                <w:sz w:val="20"/>
                <w:szCs w:val="20"/>
              </w:rPr>
            </w:pPr>
            <w:r w:rsidRPr="00D325B1">
              <w:rPr>
                <w:color w:val="000000"/>
                <w:sz w:val="20"/>
                <w:szCs w:val="20"/>
                <w:lang w:val="fr-FR"/>
              </w:rPr>
              <w:t>HCFC-141b</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94EB4" w14:textId="4FE9ACFA" w:rsidR="00E26807" w:rsidRPr="00C0764B" w:rsidRDefault="00E26807" w:rsidP="00B832BB">
            <w:pPr>
              <w:suppressAutoHyphens/>
              <w:jc w:val="right"/>
            </w:pPr>
            <w:r>
              <w:rPr>
                <w:sz w:val="20"/>
                <w:szCs w:val="20"/>
              </w:rPr>
              <w:t>0</w:t>
            </w:r>
            <w:r w:rsidR="00BA262E">
              <w:rPr>
                <w:sz w:val="20"/>
                <w:szCs w:val="20"/>
              </w:rPr>
              <w:t>,</w:t>
            </w:r>
            <w:r>
              <w:rPr>
                <w:sz w:val="20"/>
                <w:szCs w:val="20"/>
              </w:rPr>
              <w:t>0</w:t>
            </w:r>
            <w:r w:rsidRPr="00C0764B">
              <w:rPr>
                <w:sz w:val="20"/>
                <w:szCs w:val="20"/>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D35E5" w14:textId="0BDAF465" w:rsidR="00E26807" w:rsidRPr="00C0764B" w:rsidRDefault="00E26807" w:rsidP="00B832BB">
            <w:pPr>
              <w:suppressAutoHyphens/>
              <w:jc w:val="right"/>
            </w:pPr>
            <w:r>
              <w:rPr>
                <w:color w:val="000000" w:themeColor="text1"/>
                <w:sz w:val="20"/>
                <w:szCs w:val="20"/>
              </w:rPr>
              <w:t>0</w:t>
            </w:r>
            <w:r w:rsidR="00BA262E">
              <w:rPr>
                <w:color w:val="000000" w:themeColor="text1"/>
                <w:sz w:val="20"/>
                <w:szCs w:val="20"/>
              </w:rPr>
              <w:t>,</w:t>
            </w:r>
            <w:r>
              <w:rPr>
                <w:color w:val="000000" w:themeColor="text1"/>
                <w:sz w:val="20"/>
                <w:szCs w:val="20"/>
              </w:rPr>
              <w:t>0</w:t>
            </w:r>
            <w:r w:rsidRPr="00C0764B">
              <w:rPr>
                <w:color w:val="000000" w:themeColor="text1"/>
                <w:sz w:val="20"/>
                <w:szCs w:val="20"/>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95841" w14:textId="19A7F6C6" w:rsidR="00E26807" w:rsidRPr="00C0764B" w:rsidRDefault="00E26807" w:rsidP="00B832BB">
            <w:pPr>
              <w:suppressAutoHyphens/>
              <w:jc w:val="right"/>
            </w:pPr>
            <w:r>
              <w:rPr>
                <w:color w:val="000000" w:themeColor="text1"/>
                <w:sz w:val="20"/>
                <w:szCs w:val="20"/>
              </w:rPr>
              <w:t>0</w:t>
            </w:r>
            <w:r w:rsidR="00BA262E">
              <w:rPr>
                <w:color w:val="000000" w:themeColor="text1"/>
                <w:sz w:val="20"/>
                <w:szCs w:val="20"/>
              </w:rPr>
              <w:t>,</w:t>
            </w:r>
            <w:r>
              <w:rPr>
                <w:color w:val="000000" w:themeColor="text1"/>
                <w:sz w:val="20"/>
                <w:szCs w:val="20"/>
              </w:rPr>
              <w:t>0</w:t>
            </w:r>
            <w:r w:rsidRPr="00C0764B">
              <w:rPr>
                <w:color w:val="000000" w:themeColor="text1"/>
                <w:sz w:val="20"/>
                <w:szCs w:val="20"/>
              </w:rPr>
              <w:t>0</w:t>
            </w:r>
          </w:p>
        </w:tc>
        <w:tc>
          <w:tcPr>
            <w:tcW w:w="553" w:type="pct"/>
            <w:tcBorders>
              <w:top w:val="single" w:sz="4" w:space="0" w:color="auto"/>
              <w:left w:val="single" w:sz="4" w:space="0" w:color="auto"/>
              <w:bottom w:val="single" w:sz="4" w:space="0" w:color="auto"/>
              <w:right w:val="single" w:sz="4" w:space="0" w:color="auto"/>
            </w:tcBorders>
            <w:vAlign w:val="center"/>
          </w:tcPr>
          <w:p w14:paraId="524B62B8" w14:textId="76C2264A" w:rsidR="00E26807" w:rsidRPr="00C0764B" w:rsidRDefault="00E26807" w:rsidP="00B832BB">
            <w:pPr>
              <w:suppressAutoHyphens/>
              <w:jc w:val="right"/>
            </w:pPr>
            <w:r>
              <w:rPr>
                <w:bCs/>
                <w:sz w:val="20"/>
                <w:szCs w:val="20"/>
              </w:rPr>
              <w:t>0</w:t>
            </w:r>
            <w:r w:rsidR="00BA262E">
              <w:rPr>
                <w:bCs/>
                <w:sz w:val="20"/>
                <w:szCs w:val="20"/>
              </w:rPr>
              <w:t>,</w:t>
            </w:r>
            <w:r>
              <w:rPr>
                <w:bCs/>
                <w:sz w:val="20"/>
                <w:szCs w:val="20"/>
              </w:rPr>
              <w:t>0</w:t>
            </w:r>
            <w:r w:rsidRPr="00C0764B">
              <w:rPr>
                <w:bCs/>
                <w:sz w:val="20"/>
                <w:szCs w:val="20"/>
              </w:rPr>
              <w:t>0</w:t>
            </w:r>
          </w:p>
        </w:tc>
        <w:tc>
          <w:tcPr>
            <w:tcW w:w="553" w:type="pct"/>
            <w:tcBorders>
              <w:top w:val="single" w:sz="4" w:space="0" w:color="auto"/>
              <w:left w:val="single" w:sz="4" w:space="0" w:color="auto"/>
              <w:bottom w:val="single" w:sz="4" w:space="0" w:color="auto"/>
              <w:right w:val="single" w:sz="4" w:space="0" w:color="auto"/>
            </w:tcBorders>
          </w:tcPr>
          <w:p w14:paraId="31171405" w14:textId="748A50CE" w:rsidR="00E26807" w:rsidRPr="00C0764B" w:rsidRDefault="00E26807" w:rsidP="00B832BB">
            <w:pPr>
              <w:suppressAutoHyphens/>
              <w:jc w:val="right"/>
              <w:rPr>
                <w:color w:val="000000"/>
                <w:sz w:val="20"/>
                <w:szCs w:val="20"/>
              </w:rPr>
            </w:pPr>
            <w:r w:rsidRPr="00C0764B">
              <w:rPr>
                <w:color w:val="000000"/>
                <w:sz w:val="20"/>
                <w:szCs w:val="20"/>
              </w:rPr>
              <w:t>0</w:t>
            </w:r>
            <w:r w:rsidR="00BA262E">
              <w:rPr>
                <w:color w:val="000000"/>
                <w:sz w:val="20"/>
                <w:szCs w:val="20"/>
              </w:rPr>
              <w:t>,</w:t>
            </w:r>
            <w:r w:rsidRPr="00C0764B">
              <w:rPr>
                <w:color w:val="000000"/>
                <w:sz w:val="20"/>
                <w:szCs w:val="20"/>
              </w:rPr>
              <w:t>44</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5D67E239" w14:textId="4A1D4BD3" w:rsidR="00E26807" w:rsidRPr="00C0764B" w:rsidRDefault="00E26807" w:rsidP="00B832BB">
            <w:pPr>
              <w:suppressAutoHyphens/>
              <w:jc w:val="right"/>
              <w:rPr>
                <w:sz w:val="20"/>
                <w:szCs w:val="20"/>
                <w:lang w:eastAsia="es-CO"/>
              </w:rPr>
            </w:pPr>
            <w:r w:rsidRPr="00C0764B">
              <w:rPr>
                <w:sz w:val="20"/>
                <w:szCs w:val="20"/>
                <w:lang w:eastAsia="es-CO"/>
              </w:rPr>
              <w:t>0</w:t>
            </w:r>
            <w:r w:rsidR="00BA262E">
              <w:rPr>
                <w:sz w:val="20"/>
                <w:szCs w:val="20"/>
                <w:lang w:eastAsia="es-CO"/>
              </w:rPr>
              <w:t>,</w:t>
            </w:r>
            <w:r>
              <w:rPr>
                <w:sz w:val="20"/>
                <w:szCs w:val="20"/>
                <w:lang w:eastAsia="es-CO"/>
              </w:rPr>
              <w:t>00</w:t>
            </w:r>
          </w:p>
        </w:tc>
      </w:tr>
      <w:tr w:rsidR="00473607" w:rsidRPr="00C0764B" w14:paraId="23328905" w14:textId="77777777" w:rsidTr="00E26807">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4A25D91C" w14:textId="7F46D733" w:rsidR="00473607" w:rsidRPr="00D325B1" w:rsidRDefault="00D325B1" w:rsidP="00723649">
            <w:pPr>
              <w:suppressAutoHyphens/>
              <w:jc w:val="left"/>
              <w:rPr>
                <w:rFonts w:eastAsiaTheme="minorHAnsi"/>
                <w:b/>
                <w:sz w:val="20"/>
                <w:szCs w:val="20"/>
              </w:rPr>
            </w:pPr>
            <w:r w:rsidRPr="00D325B1">
              <w:rPr>
                <w:b/>
                <w:sz w:val="20"/>
                <w:szCs w:val="20"/>
                <w:lang w:val="fr-FR"/>
              </w:rPr>
              <w:t>Total (tonnes PAO)</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06EC67" w14:textId="5D338EE3" w:rsidR="00473607" w:rsidRPr="00C0764B" w:rsidRDefault="00473607" w:rsidP="00B832BB">
            <w:pPr>
              <w:suppressAutoHyphens/>
              <w:jc w:val="right"/>
              <w:rPr>
                <w:sz w:val="20"/>
                <w:szCs w:val="20"/>
              </w:rPr>
            </w:pPr>
            <w:r w:rsidRPr="00C0764B">
              <w:rPr>
                <w:sz w:val="20"/>
                <w:szCs w:val="20"/>
              </w:rPr>
              <w:t>11</w:t>
            </w:r>
            <w:r w:rsidR="00BA262E">
              <w:rPr>
                <w:sz w:val="20"/>
                <w:szCs w:val="20"/>
              </w:rPr>
              <w:t>,</w:t>
            </w:r>
            <w:r w:rsidRPr="00C0764B">
              <w:rPr>
                <w:sz w:val="20"/>
                <w:szCs w:val="20"/>
              </w:rPr>
              <w:t>55</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A7EE1C" w14:textId="23DBB28A" w:rsidR="00473607" w:rsidRPr="00C0764B" w:rsidRDefault="00473607" w:rsidP="00B832BB">
            <w:pPr>
              <w:suppressAutoHyphens/>
              <w:jc w:val="right"/>
              <w:rPr>
                <w:sz w:val="20"/>
                <w:szCs w:val="20"/>
              </w:rPr>
            </w:pPr>
            <w:r w:rsidRPr="00C0764B">
              <w:rPr>
                <w:sz w:val="20"/>
                <w:szCs w:val="20"/>
              </w:rPr>
              <w:t>10</w:t>
            </w:r>
            <w:r w:rsidR="00BA262E">
              <w:rPr>
                <w:sz w:val="20"/>
                <w:szCs w:val="20"/>
              </w:rPr>
              <w:t>,</w:t>
            </w:r>
            <w:r w:rsidRPr="00C0764B">
              <w:rPr>
                <w:sz w:val="20"/>
                <w:szCs w:val="20"/>
              </w:rPr>
              <w:t>45</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664E9D" w14:textId="13EC21D4" w:rsidR="00473607" w:rsidRPr="00C0764B" w:rsidRDefault="00473607" w:rsidP="00B832BB">
            <w:pPr>
              <w:suppressAutoHyphens/>
              <w:jc w:val="right"/>
              <w:rPr>
                <w:sz w:val="20"/>
                <w:szCs w:val="20"/>
              </w:rPr>
            </w:pPr>
            <w:r w:rsidRPr="00C0764B">
              <w:rPr>
                <w:sz w:val="20"/>
                <w:szCs w:val="20"/>
              </w:rPr>
              <w:t>10</w:t>
            </w:r>
            <w:r w:rsidR="00BA262E">
              <w:rPr>
                <w:sz w:val="20"/>
                <w:szCs w:val="20"/>
              </w:rPr>
              <w:t>,</w:t>
            </w:r>
            <w:r w:rsidRPr="00C0764B">
              <w:rPr>
                <w:sz w:val="20"/>
                <w:szCs w:val="20"/>
              </w:rPr>
              <w:t>45</w:t>
            </w:r>
          </w:p>
        </w:tc>
        <w:tc>
          <w:tcPr>
            <w:tcW w:w="553" w:type="pct"/>
            <w:tcBorders>
              <w:top w:val="single" w:sz="4" w:space="0" w:color="auto"/>
              <w:left w:val="single" w:sz="4" w:space="0" w:color="auto"/>
              <w:bottom w:val="single" w:sz="4" w:space="0" w:color="auto"/>
              <w:right w:val="single" w:sz="4" w:space="0" w:color="auto"/>
            </w:tcBorders>
            <w:vAlign w:val="bottom"/>
          </w:tcPr>
          <w:p w14:paraId="11E2977B" w14:textId="2C69EDFB" w:rsidR="00473607" w:rsidRPr="00C0764B" w:rsidRDefault="00473607" w:rsidP="00B832BB">
            <w:pPr>
              <w:suppressAutoHyphens/>
              <w:jc w:val="right"/>
              <w:rPr>
                <w:sz w:val="20"/>
                <w:szCs w:val="20"/>
              </w:rPr>
            </w:pPr>
            <w:r w:rsidRPr="00C0764B">
              <w:rPr>
                <w:sz w:val="20"/>
                <w:szCs w:val="20"/>
              </w:rPr>
              <w:t>9</w:t>
            </w:r>
            <w:r w:rsidR="00BA262E">
              <w:rPr>
                <w:sz w:val="20"/>
                <w:szCs w:val="20"/>
              </w:rPr>
              <w:t>,</w:t>
            </w:r>
            <w:r w:rsidRPr="00C0764B">
              <w:rPr>
                <w:sz w:val="20"/>
                <w:szCs w:val="20"/>
              </w:rPr>
              <w:t>35</w:t>
            </w:r>
          </w:p>
        </w:tc>
        <w:tc>
          <w:tcPr>
            <w:tcW w:w="553" w:type="pct"/>
            <w:tcBorders>
              <w:top w:val="single" w:sz="4" w:space="0" w:color="auto"/>
              <w:left w:val="single" w:sz="4" w:space="0" w:color="auto"/>
              <w:bottom w:val="single" w:sz="4" w:space="0" w:color="auto"/>
              <w:right w:val="single" w:sz="4" w:space="0" w:color="auto"/>
            </w:tcBorders>
            <w:vAlign w:val="bottom"/>
          </w:tcPr>
          <w:p w14:paraId="3CDA173C" w14:textId="5DFDA133" w:rsidR="00473607" w:rsidRPr="00C0764B" w:rsidRDefault="00473607" w:rsidP="00B832BB">
            <w:pPr>
              <w:suppressAutoHyphens/>
              <w:jc w:val="right"/>
              <w:rPr>
                <w:sz w:val="20"/>
                <w:szCs w:val="20"/>
              </w:rPr>
            </w:pPr>
            <w:r w:rsidRPr="00C0764B">
              <w:rPr>
                <w:sz w:val="20"/>
                <w:szCs w:val="20"/>
              </w:rPr>
              <w:t>9</w:t>
            </w:r>
            <w:r w:rsidR="00BA262E">
              <w:rPr>
                <w:sz w:val="20"/>
                <w:szCs w:val="20"/>
              </w:rPr>
              <w:t>,</w:t>
            </w:r>
            <w:r w:rsidRPr="00C0764B">
              <w:rPr>
                <w:sz w:val="20"/>
                <w:szCs w:val="20"/>
              </w:rPr>
              <w:t>16</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15BA3290" w14:textId="278613B8" w:rsidR="00473607" w:rsidRPr="00C0764B" w:rsidRDefault="00473607" w:rsidP="00B832BB">
            <w:pPr>
              <w:suppressAutoHyphens/>
              <w:jc w:val="right"/>
              <w:rPr>
                <w:rFonts w:eastAsiaTheme="minorHAnsi"/>
                <w:color w:val="000000"/>
                <w:sz w:val="20"/>
                <w:szCs w:val="20"/>
              </w:rPr>
            </w:pPr>
            <w:r w:rsidRPr="00C0764B">
              <w:rPr>
                <w:sz w:val="20"/>
                <w:szCs w:val="20"/>
                <w:lang w:eastAsia="es-CO"/>
              </w:rPr>
              <w:t>15</w:t>
            </w:r>
            <w:r w:rsidR="00BA262E">
              <w:rPr>
                <w:sz w:val="20"/>
                <w:szCs w:val="20"/>
                <w:lang w:eastAsia="es-CO"/>
              </w:rPr>
              <w:t>,</w:t>
            </w:r>
            <w:r w:rsidRPr="00C0764B">
              <w:rPr>
                <w:sz w:val="20"/>
                <w:szCs w:val="20"/>
                <w:lang w:eastAsia="es-CO"/>
              </w:rPr>
              <w:t>95</w:t>
            </w:r>
          </w:p>
        </w:tc>
      </w:tr>
    </w:tbl>
    <w:p w14:paraId="64BF3BF6" w14:textId="77777777" w:rsidR="00231D75" w:rsidRPr="00C0764B" w:rsidRDefault="00231D75" w:rsidP="00B832BB">
      <w:pPr>
        <w:suppressAutoHyphens/>
      </w:pPr>
    </w:p>
    <w:p w14:paraId="2F176148" w14:textId="64E0960F" w:rsidR="00D325B1" w:rsidRPr="00A7342F" w:rsidRDefault="00D325B1" w:rsidP="00D325B1">
      <w:pPr>
        <w:pStyle w:val="Heading1"/>
        <w:suppressAutoHyphens/>
        <w:rPr>
          <w:lang w:val="fr-FR"/>
        </w:rPr>
      </w:pPr>
      <w:r w:rsidRPr="00D325B1">
        <w:rPr>
          <w:lang w:val="fr-FR"/>
        </w:rPr>
        <w:t>La consommation de HCFC-22 a diminué en raison de la mise en œuvre des activités dans le cadre du PGEH, tout particulièrement l</w:t>
      </w:r>
      <w:r w:rsidR="00BA262E">
        <w:rPr>
          <w:lang w:val="fr-FR"/>
        </w:rPr>
        <w:t>’</w:t>
      </w:r>
      <w:r w:rsidRPr="00D325B1">
        <w:rPr>
          <w:lang w:val="fr-FR"/>
        </w:rPr>
        <w:t>application du système d</w:t>
      </w:r>
      <w:r w:rsidR="00BA262E">
        <w:rPr>
          <w:lang w:val="fr-FR"/>
        </w:rPr>
        <w:t>’</w:t>
      </w:r>
      <w:r w:rsidRPr="00D325B1">
        <w:rPr>
          <w:lang w:val="fr-FR"/>
        </w:rPr>
        <w:t>autorisation et de quotas, la formation des agents des douanes, l</w:t>
      </w:r>
      <w:r w:rsidR="00BA262E">
        <w:rPr>
          <w:lang w:val="fr-FR"/>
        </w:rPr>
        <w:t>’</w:t>
      </w:r>
      <w:r w:rsidRPr="00D325B1">
        <w:rPr>
          <w:lang w:val="fr-FR"/>
        </w:rPr>
        <w:t>amélioration des pratiques d</w:t>
      </w:r>
      <w:r w:rsidR="00BA262E">
        <w:rPr>
          <w:lang w:val="fr-FR"/>
        </w:rPr>
        <w:t>’</w:t>
      </w:r>
      <w:r w:rsidRPr="00D325B1">
        <w:rPr>
          <w:lang w:val="fr-FR"/>
        </w:rPr>
        <w:t>entretien et des stratégies de confinement dans le secteur de l</w:t>
      </w:r>
      <w:r w:rsidR="00BA262E">
        <w:rPr>
          <w:lang w:val="fr-FR"/>
        </w:rPr>
        <w:t>’</w:t>
      </w:r>
      <w:r w:rsidRPr="00D325B1">
        <w:rPr>
          <w:lang w:val="fr-FR"/>
        </w:rPr>
        <w:t>entretien des équipements de réfrigération.</w:t>
      </w:r>
      <w:r w:rsidRPr="00A7342F">
        <w:rPr>
          <w:lang w:val="fr-FR"/>
        </w:rPr>
        <w:t xml:space="preserve"> </w:t>
      </w:r>
      <w:r w:rsidRPr="00D325B1">
        <w:rPr>
          <w:lang w:val="fr-FR"/>
        </w:rPr>
        <w:t>De plus, les anciens équipements à base de HCFC ont été remplacés par des équipements à base de HFC, contenant principalement les frigorigènes</w:t>
      </w:r>
      <w:r w:rsidR="00BA262E">
        <w:rPr>
          <w:lang w:val="fr-FR"/>
        </w:rPr>
        <w:t> </w:t>
      </w:r>
      <w:r w:rsidRPr="00D325B1">
        <w:rPr>
          <w:lang w:val="fr-FR"/>
        </w:rPr>
        <w:t>R-410A et R-404A.</w:t>
      </w:r>
      <w:r w:rsidRPr="00A7342F">
        <w:rPr>
          <w:lang w:val="fr-FR"/>
        </w:rPr>
        <w:t xml:space="preserve"> </w:t>
      </w:r>
      <w:r w:rsidRPr="00D325B1">
        <w:rPr>
          <w:lang w:val="fr-FR"/>
        </w:rPr>
        <w:t>Pour la première fois, le HCFC-141b a été importé en 2020 pour servir au rinçage des circuits de réfrigération</w:t>
      </w:r>
      <w:r w:rsidR="000F235A">
        <w:rPr>
          <w:lang w:val="fr-FR"/>
        </w:rPr>
        <w:t xml:space="preserve"> </w:t>
      </w:r>
      <w:r w:rsidRPr="00D325B1">
        <w:rPr>
          <w:lang w:val="fr-FR"/>
        </w:rPr>
        <w:t>;</w:t>
      </w:r>
      <w:r w:rsidR="000F235A">
        <w:rPr>
          <w:lang w:val="fr-FR"/>
        </w:rPr>
        <w:t xml:space="preserve"> </w:t>
      </w:r>
      <w:r w:rsidRPr="00D325B1">
        <w:rPr>
          <w:lang w:val="fr-FR"/>
        </w:rPr>
        <w:t>cette consommation sera prise en charge par le gouvernement</w:t>
      </w:r>
      <w:r w:rsidR="000337DF">
        <w:rPr>
          <w:lang w:val="fr-FR"/>
        </w:rPr>
        <w:t xml:space="preserve"> </w:t>
      </w:r>
      <w:r w:rsidRPr="00D325B1">
        <w:rPr>
          <w:lang w:val="fr-FR"/>
        </w:rPr>
        <w:t>par le biais de réglementations.</w:t>
      </w:r>
    </w:p>
    <w:p w14:paraId="2EF66368" w14:textId="0B9351C6" w:rsidR="000803CE" w:rsidRPr="00A7342F" w:rsidRDefault="00D325B1" w:rsidP="00D325B1">
      <w:pPr>
        <w:pStyle w:val="Heading1"/>
        <w:numPr>
          <w:ilvl w:val="0"/>
          <w:numId w:val="0"/>
        </w:numPr>
        <w:suppressAutoHyphens/>
        <w:rPr>
          <w:lang w:val="fr-FR"/>
        </w:rPr>
      </w:pPr>
      <w:r w:rsidRPr="00D325B1">
        <w:rPr>
          <w:i/>
          <w:lang w:val="fr-FR"/>
        </w:rPr>
        <w:t>Rapport de mise en œuvre du programme de pays</w:t>
      </w:r>
      <w:r w:rsidR="000803CE" w:rsidRPr="00A7342F">
        <w:rPr>
          <w:i/>
          <w:lang w:val="fr-FR"/>
        </w:rPr>
        <w:t xml:space="preserve"> </w:t>
      </w:r>
    </w:p>
    <w:p w14:paraId="316B9CFE" w14:textId="722D6FDC" w:rsidR="00D325B1" w:rsidRPr="00A7342F" w:rsidRDefault="00D325B1" w:rsidP="00D325B1">
      <w:pPr>
        <w:pStyle w:val="Heading1"/>
        <w:suppressAutoHyphens/>
        <w:rPr>
          <w:lang w:val="fr-FR"/>
        </w:rPr>
      </w:pPr>
      <w:r w:rsidRPr="00D325B1">
        <w:rPr>
          <w:lang w:val="fr-FR"/>
        </w:rPr>
        <w:t>Le gouvernement de l</w:t>
      </w:r>
      <w:r w:rsidR="00BA262E">
        <w:rPr>
          <w:lang w:val="fr-FR"/>
        </w:rPr>
        <w:t>’</w:t>
      </w:r>
      <w:r w:rsidRPr="00D325B1">
        <w:rPr>
          <w:lang w:val="fr-FR"/>
        </w:rPr>
        <w:t>Angola a communiqué, dans le cadre du rapport de mise en œuvre de son programme de pays de 2020, des données de consommation de HCFC par secteur qui sont conformes aux données communiquées au titre de l</w:t>
      </w:r>
      <w:r w:rsidR="00BA262E">
        <w:rPr>
          <w:lang w:val="fr-FR"/>
        </w:rPr>
        <w:t>’</w:t>
      </w:r>
      <w:r w:rsidRPr="00D325B1">
        <w:rPr>
          <w:lang w:val="fr-FR"/>
        </w:rPr>
        <w:t>article 7 du Protocole de Montréal.</w:t>
      </w:r>
      <w:r w:rsidRPr="00A7342F">
        <w:rPr>
          <w:lang w:val="fr-FR"/>
        </w:rPr>
        <w:t xml:space="preserve"> </w:t>
      </w:r>
    </w:p>
    <w:p w14:paraId="4BC0AA02" w14:textId="3E7D2DDE" w:rsidR="00231D75" w:rsidRPr="00C0764B" w:rsidRDefault="00D325B1" w:rsidP="00A7342F">
      <w:pPr>
        <w:suppressAutoHyphens/>
        <w:spacing w:after="240"/>
        <w:rPr>
          <w:i/>
        </w:rPr>
      </w:pPr>
      <w:r w:rsidRPr="00D325B1">
        <w:rPr>
          <w:i/>
          <w:lang w:val="fr-FR"/>
        </w:rPr>
        <w:t>Rapport de vérification</w:t>
      </w:r>
      <w:r w:rsidR="000803CE" w:rsidRPr="00D325B1">
        <w:rPr>
          <w:i/>
        </w:rPr>
        <w:t xml:space="preserve"> </w:t>
      </w:r>
    </w:p>
    <w:p w14:paraId="36BA3B10" w14:textId="6372886D" w:rsidR="001502F0" w:rsidRPr="00A7342F" w:rsidRDefault="00D325B1" w:rsidP="00A7342F">
      <w:pPr>
        <w:pStyle w:val="Heading1"/>
        <w:suppressAutoHyphens/>
        <w:rPr>
          <w:lang w:val="fr-FR"/>
        </w:rPr>
      </w:pPr>
      <w:r w:rsidRPr="00D325B1">
        <w:rPr>
          <w:lang w:val="fr-FR"/>
        </w:rPr>
        <w:t>En raison des restrictions imposées par la pandémie de C</w:t>
      </w:r>
      <w:r w:rsidR="000337DF">
        <w:rPr>
          <w:lang w:val="fr-FR"/>
        </w:rPr>
        <w:t>ovid</w:t>
      </w:r>
      <w:r w:rsidRPr="00D325B1">
        <w:rPr>
          <w:lang w:val="fr-FR"/>
        </w:rPr>
        <w:t xml:space="preserve">-19, la vérification a été effectuée </w:t>
      </w:r>
      <w:r w:rsidR="00AE4E2A">
        <w:rPr>
          <w:lang w:val="fr-FR"/>
        </w:rPr>
        <w:t xml:space="preserve">en ligne </w:t>
      </w:r>
      <w:r w:rsidRPr="00D325B1">
        <w:rPr>
          <w:lang w:val="fr-FR"/>
        </w:rPr>
        <w:t>par un consultant international, avec l</w:t>
      </w:r>
      <w:r w:rsidR="00BA262E">
        <w:rPr>
          <w:lang w:val="fr-FR"/>
        </w:rPr>
        <w:t>’</w:t>
      </w:r>
      <w:r w:rsidRPr="00D325B1">
        <w:rPr>
          <w:lang w:val="fr-FR"/>
        </w:rPr>
        <w:t>aide de l</w:t>
      </w:r>
      <w:r w:rsidR="00BA262E">
        <w:rPr>
          <w:lang w:val="fr-FR"/>
        </w:rPr>
        <w:t>’</w:t>
      </w:r>
      <w:r w:rsidRPr="00D325B1">
        <w:rPr>
          <w:lang w:val="fr-FR"/>
        </w:rPr>
        <w:t>Unité nationale de l</w:t>
      </w:r>
      <w:r w:rsidR="00BA262E">
        <w:rPr>
          <w:lang w:val="fr-FR"/>
        </w:rPr>
        <w:t>’</w:t>
      </w:r>
      <w:r w:rsidRPr="00D325B1">
        <w:rPr>
          <w:lang w:val="fr-FR"/>
        </w:rPr>
        <w:t>ozone (UNO).</w:t>
      </w:r>
      <w:r w:rsidRPr="00A7342F">
        <w:rPr>
          <w:lang w:val="fr-FR"/>
        </w:rPr>
        <w:t xml:space="preserve"> </w:t>
      </w:r>
      <w:r w:rsidR="001502F0" w:rsidRPr="001502F0">
        <w:rPr>
          <w:lang w:val="fr-FR"/>
        </w:rPr>
        <w:t>Le rapport de vérification a confirmé que le gouvernement met en œuvre un système d</w:t>
      </w:r>
      <w:r w:rsidR="00BA262E">
        <w:rPr>
          <w:lang w:val="fr-FR"/>
        </w:rPr>
        <w:t>’</w:t>
      </w:r>
      <w:r w:rsidR="001502F0" w:rsidRPr="001502F0">
        <w:rPr>
          <w:lang w:val="fr-FR"/>
        </w:rPr>
        <w:t xml:space="preserve">autorisation et de quotas pour les importations et les exportations de HCFC, </w:t>
      </w:r>
      <w:r w:rsidR="000F235A">
        <w:rPr>
          <w:lang w:val="fr-FR"/>
        </w:rPr>
        <w:t xml:space="preserve">et </w:t>
      </w:r>
      <w:r w:rsidR="001502F0" w:rsidRPr="001502F0">
        <w:rPr>
          <w:lang w:val="fr-FR"/>
        </w:rPr>
        <w:t xml:space="preserve">que la consommation totale de HCFC communiquée </w:t>
      </w:r>
      <w:r w:rsidR="000F235A">
        <w:rPr>
          <w:lang w:val="fr-FR"/>
        </w:rPr>
        <w:t xml:space="preserve">au titre </w:t>
      </w:r>
      <w:r w:rsidR="001502F0" w:rsidRPr="001502F0">
        <w:rPr>
          <w:lang w:val="fr-FR"/>
        </w:rPr>
        <w:t>de l</w:t>
      </w:r>
      <w:r w:rsidR="00BA262E">
        <w:rPr>
          <w:lang w:val="fr-FR"/>
        </w:rPr>
        <w:t>’</w:t>
      </w:r>
      <w:r w:rsidR="001502F0" w:rsidRPr="001502F0">
        <w:rPr>
          <w:lang w:val="fr-FR"/>
        </w:rPr>
        <w:t>article 7 du Protocole de Montréal et du rapport de</w:t>
      </w:r>
      <w:r w:rsidR="000337DF">
        <w:rPr>
          <w:lang w:val="fr-FR"/>
        </w:rPr>
        <w:t>s</w:t>
      </w:r>
      <w:r w:rsidR="001502F0" w:rsidRPr="001502F0">
        <w:rPr>
          <w:lang w:val="fr-FR"/>
        </w:rPr>
        <w:t xml:space="preserve"> données de programme de pays</w:t>
      </w:r>
      <w:r w:rsidR="000F235A">
        <w:rPr>
          <w:lang w:val="fr-FR"/>
        </w:rPr>
        <w:t xml:space="preserve"> </w:t>
      </w:r>
      <w:r w:rsidR="001502F0" w:rsidRPr="001502F0">
        <w:rPr>
          <w:lang w:val="fr-FR"/>
        </w:rPr>
        <w:t>présent</w:t>
      </w:r>
      <w:r w:rsidR="000F235A">
        <w:rPr>
          <w:lang w:val="fr-FR"/>
        </w:rPr>
        <w:t xml:space="preserve">ait </w:t>
      </w:r>
      <w:r w:rsidR="001502F0" w:rsidRPr="001502F0">
        <w:rPr>
          <w:lang w:val="fr-FR"/>
        </w:rPr>
        <w:t xml:space="preserve">pour 2017 et 2018 </w:t>
      </w:r>
      <w:r w:rsidR="000F235A">
        <w:rPr>
          <w:lang w:val="fr-FR"/>
        </w:rPr>
        <w:t xml:space="preserve">des divergences </w:t>
      </w:r>
      <w:r w:rsidR="001502F0" w:rsidRPr="001502F0">
        <w:rPr>
          <w:lang w:val="fr-FR"/>
        </w:rPr>
        <w:t>par rapport à la consommation vérifiée</w:t>
      </w:r>
      <w:r w:rsidR="000F235A">
        <w:rPr>
          <w:lang w:val="fr-FR"/>
        </w:rPr>
        <w:t xml:space="preserve">, avec des quantités inférieures </w:t>
      </w:r>
      <w:r w:rsidR="001502F0" w:rsidRPr="001502F0">
        <w:rPr>
          <w:lang w:val="fr-FR"/>
        </w:rPr>
        <w:t>de respectivement 40</w:t>
      </w:r>
      <w:r w:rsidR="00E07976">
        <w:rPr>
          <w:lang w:val="fr-FR"/>
        </w:rPr>
        <w:t xml:space="preserve"> kg </w:t>
      </w:r>
      <w:r w:rsidR="001502F0" w:rsidRPr="001502F0">
        <w:rPr>
          <w:lang w:val="fr-FR"/>
        </w:rPr>
        <w:t xml:space="preserve"> et 50 kg </w:t>
      </w:r>
      <w:r w:rsidR="000F235A">
        <w:rPr>
          <w:lang w:val="fr-FR"/>
        </w:rPr>
        <w:t>aux</w:t>
      </w:r>
      <w:r w:rsidR="001502F0" w:rsidRPr="001502F0">
        <w:rPr>
          <w:lang w:val="fr-FR"/>
        </w:rPr>
        <w:t xml:space="preserve"> données déclarées, et était correct pour 2019 et 2020 (comme indiqué </w:t>
      </w:r>
      <w:r w:rsidR="000337DF">
        <w:rPr>
          <w:lang w:val="fr-FR"/>
        </w:rPr>
        <w:lastRenderedPageBreak/>
        <w:t>au</w:t>
      </w:r>
      <w:r w:rsidR="001502F0" w:rsidRPr="001502F0">
        <w:rPr>
          <w:lang w:val="fr-FR"/>
        </w:rPr>
        <w:t xml:space="preserve"> tableau 1 ci-dessus).</w:t>
      </w:r>
      <w:r w:rsidR="001502F0" w:rsidRPr="00A7342F">
        <w:rPr>
          <w:lang w:val="fr-FR"/>
        </w:rPr>
        <w:t xml:space="preserve"> </w:t>
      </w:r>
      <w:r w:rsidR="001502F0" w:rsidRPr="001502F0">
        <w:rPr>
          <w:lang w:val="fr-FR"/>
        </w:rPr>
        <w:t>Le rapport a également confirmé que la consommation vérifiée correspond à la consommation maximale autorisée, que le système d</w:t>
      </w:r>
      <w:r w:rsidR="00BA262E">
        <w:rPr>
          <w:lang w:val="fr-FR"/>
        </w:rPr>
        <w:t>’</w:t>
      </w:r>
      <w:r w:rsidR="001502F0" w:rsidRPr="001502F0">
        <w:rPr>
          <w:lang w:val="fr-FR"/>
        </w:rPr>
        <w:t xml:space="preserve">allocation de quotas/autorisations fonctionne correctement et que les registres douaniers </w:t>
      </w:r>
      <w:r w:rsidR="000F235A">
        <w:rPr>
          <w:lang w:val="fr-FR"/>
        </w:rPr>
        <w:t>présentent des informations</w:t>
      </w:r>
      <w:r w:rsidR="00BA262E">
        <w:rPr>
          <w:lang w:val="fr-FR"/>
        </w:rPr>
        <w:t> </w:t>
      </w:r>
      <w:r w:rsidR="001502F0" w:rsidRPr="001502F0">
        <w:rPr>
          <w:lang w:val="fr-FR"/>
        </w:rPr>
        <w:t>exact</w:t>
      </w:r>
      <w:r w:rsidR="000F235A">
        <w:rPr>
          <w:lang w:val="fr-FR"/>
        </w:rPr>
        <w:t>e</w:t>
      </w:r>
      <w:r w:rsidR="001502F0" w:rsidRPr="001502F0">
        <w:rPr>
          <w:lang w:val="fr-FR"/>
        </w:rPr>
        <w:t>s.</w:t>
      </w:r>
      <w:r w:rsidR="001502F0" w:rsidRPr="00A7342F">
        <w:rPr>
          <w:lang w:val="fr-FR"/>
        </w:rPr>
        <w:t xml:space="preserve"> </w:t>
      </w:r>
      <w:r w:rsidR="001502F0" w:rsidRPr="001502F0">
        <w:rPr>
          <w:lang w:val="fr-FR"/>
        </w:rPr>
        <w:t>Le pays a soumis à nouveau les rapports de données révisés correspondants pour 2017 et 2018.</w:t>
      </w:r>
    </w:p>
    <w:p w14:paraId="110D2D2A" w14:textId="7BC349C4" w:rsidR="00EF01DE" w:rsidRPr="00A7342F" w:rsidRDefault="00EF01DE" w:rsidP="00A7342F">
      <w:pPr>
        <w:pStyle w:val="Heading1"/>
        <w:suppressAutoHyphens/>
        <w:rPr>
          <w:lang w:val="fr-FR"/>
        </w:rPr>
      </w:pPr>
      <w:r w:rsidRPr="00EF01DE">
        <w:rPr>
          <w:lang w:val="fr-FR"/>
        </w:rPr>
        <w:t>Le rapport de vérification a recommandé l</w:t>
      </w:r>
      <w:r w:rsidR="00BA262E">
        <w:rPr>
          <w:lang w:val="fr-FR"/>
        </w:rPr>
        <w:t>’</w:t>
      </w:r>
      <w:r w:rsidRPr="00EF01DE">
        <w:rPr>
          <w:lang w:val="fr-FR"/>
        </w:rPr>
        <w:t>adoption d</w:t>
      </w:r>
      <w:r w:rsidR="00BA262E">
        <w:rPr>
          <w:lang w:val="fr-FR"/>
        </w:rPr>
        <w:t>’</w:t>
      </w:r>
      <w:r w:rsidRPr="00EF01DE">
        <w:rPr>
          <w:lang w:val="fr-FR"/>
        </w:rPr>
        <w:t>un processus d</w:t>
      </w:r>
      <w:r w:rsidR="00BA262E">
        <w:rPr>
          <w:lang w:val="fr-FR"/>
        </w:rPr>
        <w:t>’</w:t>
      </w:r>
      <w:r w:rsidRPr="00EF01DE">
        <w:rPr>
          <w:lang w:val="fr-FR"/>
        </w:rPr>
        <w:t>octroi d</w:t>
      </w:r>
      <w:r w:rsidR="00BA262E">
        <w:rPr>
          <w:lang w:val="fr-FR"/>
        </w:rPr>
        <w:t>’</w:t>
      </w:r>
      <w:r w:rsidRPr="00EF01DE">
        <w:rPr>
          <w:lang w:val="fr-FR"/>
        </w:rPr>
        <w:t>autorisations de HCFC entièrement en ligne, notant que la délivrance des autorisations d</w:t>
      </w:r>
      <w:r w:rsidR="00BA262E">
        <w:rPr>
          <w:lang w:val="fr-FR"/>
        </w:rPr>
        <w:t>’</w:t>
      </w:r>
      <w:r w:rsidRPr="00EF01DE">
        <w:rPr>
          <w:lang w:val="fr-FR"/>
        </w:rPr>
        <w:t>importation se fait actuellement manuellement et que la mise en place d</w:t>
      </w:r>
      <w:r w:rsidR="00BA262E">
        <w:rPr>
          <w:lang w:val="fr-FR"/>
        </w:rPr>
        <w:t>’</w:t>
      </w:r>
      <w:r w:rsidRPr="00EF01DE">
        <w:rPr>
          <w:lang w:val="fr-FR"/>
        </w:rPr>
        <w:t>un système intégral d</w:t>
      </w:r>
      <w:r w:rsidR="00BA262E">
        <w:rPr>
          <w:lang w:val="fr-FR"/>
        </w:rPr>
        <w:t>’</w:t>
      </w:r>
      <w:r w:rsidRPr="00EF01DE">
        <w:rPr>
          <w:lang w:val="fr-FR"/>
        </w:rPr>
        <w:t xml:space="preserve">autorisation en ligne permettrait de contrôler </w:t>
      </w:r>
      <w:r w:rsidR="000337DF">
        <w:rPr>
          <w:lang w:val="fr-FR"/>
        </w:rPr>
        <w:t>l</w:t>
      </w:r>
      <w:r w:rsidRPr="00EF01DE">
        <w:rPr>
          <w:lang w:val="fr-FR"/>
        </w:rPr>
        <w:t>es informations aux différentes étapes du processus ; l</w:t>
      </w:r>
      <w:r w:rsidR="00BA262E">
        <w:rPr>
          <w:lang w:val="fr-FR"/>
        </w:rPr>
        <w:t>’</w:t>
      </w:r>
      <w:r w:rsidRPr="00EF01DE">
        <w:rPr>
          <w:lang w:val="fr-FR"/>
        </w:rPr>
        <w:t>adaptation des mécanismes de sanction pour non-respect du système d</w:t>
      </w:r>
      <w:r w:rsidR="00BA262E">
        <w:rPr>
          <w:lang w:val="fr-FR"/>
        </w:rPr>
        <w:t>’</w:t>
      </w:r>
      <w:r w:rsidRPr="00EF01DE">
        <w:rPr>
          <w:lang w:val="fr-FR"/>
        </w:rPr>
        <w:t>octroi d</w:t>
      </w:r>
      <w:r w:rsidR="00BA262E">
        <w:rPr>
          <w:lang w:val="fr-FR"/>
        </w:rPr>
        <w:t>’</w:t>
      </w:r>
      <w:r w:rsidRPr="00EF01DE">
        <w:rPr>
          <w:lang w:val="fr-FR"/>
        </w:rPr>
        <w:t xml:space="preserve">autorisations et de quotas (article 9 du décret exécutif 528/18) </w:t>
      </w:r>
      <w:r w:rsidR="000337DF">
        <w:rPr>
          <w:lang w:val="fr-FR"/>
        </w:rPr>
        <w:t xml:space="preserve">pour </w:t>
      </w:r>
      <w:r w:rsidRPr="00EF01DE">
        <w:rPr>
          <w:lang w:val="fr-FR"/>
        </w:rPr>
        <w:t>inclure une procédure précise de recouvrement des amendes afin d</w:t>
      </w:r>
      <w:r w:rsidR="00BA262E">
        <w:rPr>
          <w:lang w:val="fr-FR"/>
        </w:rPr>
        <w:t>’</w:t>
      </w:r>
      <w:r w:rsidRPr="00EF01DE">
        <w:rPr>
          <w:lang w:val="fr-FR"/>
        </w:rPr>
        <w:t>éviter un traitement différencié ; la révision des codes douaniers pour différencier les frigorigènes individuels des mélanges ; le blocage des codes tarifaires pour les HCFC à l</w:t>
      </w:r>
      <w:r w:rsidR="00BA262E">
        <w:rPr>
          <w:lang w:val="fr-FR"/>
        </w:rPr>
        <w:t>’</w:t>
      </w:r>
      <w:r w:rsidRPr="00EF01DE">
        <w:rPr>
          <w:lang w:val="fr-FR"/>
        </w:rPr>
        <w:t>exception du HCFC-22 ; et l</w:t>
      </w:r>
      <w:r w:rsidR="00BA262E">
        <w:rPr>
          <w:lang w:val="fr-FR"/>
        </w:rPr>
        <w:t>’</w:t>
      </w:r>
      <w:r w:rsidRPr="00EF01DE">
        <w:rPr>
          <w:lang w:val="fr-FR"/>
        </w:rPr>
        <w:t>interdiction de l</w:t>
      </w:r>
      <w:r w:rsidR="00BA262E">
        <w:rPr>
          <w:lang w:val="fr-FR"/>
        </w:rPr>
        <w:t>’</w:t>
      </w:r>
      <w:r w:rsidRPr="00EF01DE">
        <w:rPr>
          <w:lang w:val="fr-FR"/>
        </w:rPr>
        <w:t>importation d</w:t>
      </w:r>
      <w:r w:rsidR="00BA262E">
        <w:rPr>
          <w:lang w:val="fr-FR"/>
        </w:rPr>
        <w:t>’</w:t>
      </w:r>
      <w:r w:rsidRPr="00EF01DE">
        <w:rPr>
          <w:lang w:val="fr-FR"/>
        </w:rPr>
        <w:t>équipements à base de HCFC.</w:t>
      </w:r>
    </w:p>
    <w:p w14:paraId="1C775C77" w14:textId="767A86BD" w:rsidR="00A343FC" w:rsidRPr="00A7342F" w:rsidRDefault="00EF01DE" w:rsidP="00A7342F">
      <w:pPr>
        <w:suppressAutoHyphens/>
        <w:spacing w:after="240"/>
        <w:rPr>
          <w:u w:val="single"/>
          <w:lang w:val="fr-FR"/>
        </w:rPr>
      </w:pPr>
      <w:r w:rsidRPr="00EF01DE">
        <w:rPr>
          <w:u w:val="single"/>
          <w:lang w:val="fr-FR"/>
        </w:rPr>
        <w:t>Rapport périodique sur la mise en œuvre de la première tranche du PGEH</w:t>
      </w:r>
    </w:p>
    <w:p w14:paraId="1CA1F7F1" w14:textId="3B97DA87" w:rsidR="00A343FC" w:rsidRPr="00EF01DE" w:rsidRDefault="00EF01DE" w:rsidP="00A7342F">
      <w:pPr>
        <w:suppressAutoHyphens/>
        <w:spacing w:after="240"/>
        <w:rPr>
          <w:i/>
        </w:rPr>
      </w:pPr>
      <w:r w:rsidRPr="00EF01DE">
        <w:rPr>
          <w:i/>
          <w:lang w:val="fr-FR"/>
        </w:rPr>
        <w:t>Cadre</w:t>
      </w:r>
      <w:r w:rsidR="00BA262E">
        <w:rPr>
          <w:i/>
          <w:lang w:val="fr-FR"/>
        </w:rPr>
        <w:t> </w:t>
      </w:r>
      <w:r w:rsidRPr="00EF01DE">
        <w:rPr>
          <w:i/>
          <w:lang w:val="fr-FR"/>
        </w:rPr>
        <w:t>juridique</w:t>
      </w:r>
    </w:p>
    <w:p w14:paraId="5FC807B4" w14:textId="60739D6A" w:rsidR="00EF01DE" w:rsidRPr="00EF01DE" w:rsidRDefault="00EF01DE" w:rsidP="00A7342F">
      <w:pPr>
        <w:pStyle w:val="Heading1"/>
        <w:suppressAutoHyphens/>
      </w:pPr>
      <w:r w:rsidRPr="00EF01DE">
        <w:rPr>
          <w:lang w:val="fr-FR"/>
        </w:rPr>
        <w:t>Le système d</w:t>
      </w:r>
      <w:r w:rsidR="00BA262E">
        <w:rPr>
          <w:lang w:val="fr-FR"/>
        </w:rPr>
        <w:t>’</w:t>
      </w:r>
      <w:r w:rsidRPr="00EF01DE">
        <w:rPr>
          <w:lang w:val="fr-FR"/>
        </w:rPr>
        <w:t>autorisation des HCFC est opérationnel depuis 2013. La réglementation comprend un système de quotas pour contrôler les quantités importées de HCFC et d</w:t>
      </w:r>
      <w:r w:rsidR="00BA262E">
        <w:rPr>
          <w:lang w:val="fr-FR"/>
        </w:rPr>
        <w:t>’</w:t>
      </w:r>
      <w:r w:rsidRPr="00EF01DE">
        <w:rPr>
          <w:lang w:val="fr-FR"/>
        </w:rPr>
        <w:t>équipements à base de HCFC.</w:t>
      </w:r>
      <w:r w:rsidRPr="00A7342F">
        <w:rPr>
          <w:lang w:val="fr-FR"/>
        </w:rPr>
        <w:t xml:space="preserve"> </w:t>
      </w:r>
      <w:r w:rsidRPr="00EF01DE">
        <w:rPr>
          <w:lang w:val="fr-FR"/>
        </w:rPr>
        <w:t>Le ministère de l</w:t>
      </w:r>
      <w:r w:rsidR="00BA262E">
        <w:rPr>
          <w:lang w:val="fr-FR"/>
        </w:rPr>
        <w:t>’</w:t>
      </w:r>
      <w:r w:rsidRPr="00EF01DE">
        <w:rPr>
          <w:lang w:val="fr-FR"/>
        </w:rPr>
        <w:t>Environnement est chargé d</w:t>
      </w:r>
      <w:r w:rsidR="00BA262E">
        <w:rPr>
          <w:lang w:val="fr-FR"/>
        </w:rPr>
        <w:t>’</w:t>
      </w:r>
      <w:r w:rsidRPr="00EF01DE">
        <w:rPr>
          <w:lang w:val="fr-FR"/>
        </w:rPr>
        <w:t>approuver les demandes d</w:t>
      </w:r>
      <w:r w:rsidR="00BA262E">
        <w:rPr>
          <w:lang w:val="fr-FR"/>
        </w:rPr>
        <w:t>’</w:t>
      </w:r>
      <w:r w:rsidRPr="00EF01DE">
        <w:rPr>
          <w:lang w:val="fr-FR"/>
        </w:rPr>
        <w:t>importation ; le ministère du Commerce délivre l</w:t>
      </w:r>
      <w:r w:rsidR="00BA262E">
        <w:rPr>
          <w:lang w:val="fr-FR"/>
        </w:rPr>
        <w:t>’</w:t>
      </w:r>
      <w:r w:rsidRPr="00EF01DE">
        <w:rPr>
          <w:lang w:val="fr-FR"/>
        </w:rPr>
        <w:t>autorisation</w:t>
      </w:r>
      <w:r w:rsidR="00BA262E">
        <w:rPr>
          <w:lang w:val="fr-FR"/>
        </w:rPr>
        <w:t> </w:t>
      </w:r>
      <w:r w:rsidRPr="00EF01DE">
        <w:rPr>
          <w:lang w:val="fr-FR"/>
        </w:rPr>
        <w:t>d</w:t>
      </w:r>
      <w:r w:rsidR="00BA262E">
        <w:rPr>
          <w:lang w:val="fr-FR"/>
        </w:rPr>
        <w:t>’</w:t>
      </w:r>
      <w:r w:rsidRPr="00EF01DE">
        <w:rPr>
          <w:lang w:val="fr-FR"/>
        </w:rPr>
        <w:t>importation après consultation avec le ministère de l</w:t>
      </w:r>
      <w:r w:rsidR="00BA262E">
        <w:rPr>
          <w:lang w:val="fr-FR"/>
        </w:rPr>
        <w:t>’</w:t>
      </w:r>
      <w:r w:rsidRPr="00EF01DE">
        <w:rPr>
          <w:lang w:val="fr-FR"/>
        </w:rPr>
        <w:t>Environnement.</w:t>
      </w:r>
      <w:r w:rsidRPr="00A7342F">
        <w:rPr>
          <w:lang w:val="fr-FR"/>
        </w:rPr>
        <w:t xml:space="preserve"> </w:t>
      </w:r>
      <w:r w:rsidRPr="00EF01DE">
        <w:rPr>
          <w:lang w:val="fr-FR"/>
        </w:rPr>
        <w:t>L</w:t>
      </w:r>
      <w:r w:rsidR="00BA262E">
        <w:rPr>
          <w:lang w:val="fr-FR"/>
        </w:rPr>
        <w:t>’</w:t>
      </w:r>
      <w:r w:rsidRPr="00EF01DE">
        <w:rPr>
          <w:lang w:val="fr-FR"/>
        </w:rPr>
        <w:t>Angola a ratifié l</w:t>
      </w:r>
      <w:r w:rsidR="00BA262E">
        <w:rPr>
          <w:lang w:val="fr-FR"/>
        </w:rPr>
        <w:t>’</w:t>
      </w:r>
      <w:r w:rsidRPr="00EF01DE">
        <w:rPr>
          <w:lang w:val="fr-FR"/>
        </w:rPr>
        <w:t>Amendement de Kigali le 16 novembre 2020.</w:t>
      </w:r>
    </w:p>
    <w:p w14:paraId="040A909A" w14:textId="285166C7" w:rsidR="002B2454" w:rsidRPr="00A7342F" w:rsidRDefault="00EF01DE" w:rsidP="00A7342F">
      <w:pPr>
        <w:pStyle w:val="Heading1"/>
        <w:suppressAutoHyphens/>
        <w:rPr>
          <w:bCs/>
          <w:lang w:val="fr-FR"/>
        </w:rPr>
      </w:pPr>
      <w:r w:rsidRPr="00EF01DE">
        <w:rPr>
          <w:lang w:val="fr-FR"/>
        </w:rPr>
        <w:t>Le gouvernement de l</w:t>
      </w:r>
      <w:r w:rsidR="00BA262E">
        <w:rPr>
          <w:lang w:val="fr-FR"/>
        </w:rPr>
        <w:t>’</w:t>
      </w:r>
      <w:r w:rsidRPr="00EF01DE">
        <w:rPr>
          <w:lang w:val="fr-FR"/>
        </w:rPr>
        <w:t>Angola a confirmé que la réglementation interdisant l</w:t>
      </w:r>
      <w:r w:rsidR="00BA262E">
        <w:rPr>
          <w:lang w:val="fr-FR"/>
        </w:rPr>
        <w:t>’</w:t>
      </w:r>
      <w:r w:rsidRPr="00EF01DE">
        <w:rPr>
          <w:lang w:val="fr-FR"/>
        </w:rPr>
        <w:t>importation de substances réglementées ayant déjà été éliminées est en vigueur.</w:t>
      </w:r>
      <w:r w:rsidRPr="00A7342F">
        <w:rPr>
          <w:lang w:val="fr-FR"/>
        </w:rPr>
        <w:t xml:space="preserve"> </w:t>
      </w:r>
      <w:r w:rsidRPr="00EF01DE">
        <w:rPr>
          <w:lang w:val="fr-FR"/>
        </w:rPr>
        <w:t xml:space="preserve">Le département des </w:t>
      </w:r>
      <w:r w:rsidR="000337DF">
        <w:rPr>
          <w:lang w:val="fr-FR"/>
        </w:rPr>
        <w:t>d</w:t>
      </w:r>
      <w:r w:rsidRPr="00EF01DE">
        <w:rPr>
          <w:lang w:val="fr-FR"/>
        </w:rPr>
        <w:t>ouanes continue à contrôler toutes les SAO réglementées.</w:t>
      </w:r>
      <w:r w:rsidRPr="00A7342F">
        <w:rPr>
          <w:lang w:val="fr-FR"/>
        </w:rPr>
        <w:t xml:space="preserve"> </w:t>
      </w:r>
      <w:r w:rsidR="002B2454" w:rsidRPr="002B2454">
        <w:rPr>
          <w:lang w:val="fr-FR"/>
        </w:rPr>
        <w:t>La prévention du commerce illégal est assurée au moyen d</w:t>
      </w:r>
      <w:r w:rsidR="00BA262E">
        <w:rPr>
          <w:lang w:val="fr-FR"/>
        </w:rPr>
        <w:t>’</w:t>
      </w:r>
      <w:r w:rsidR="002B2454" w:rsidRPr="002B2454">
        <w:rPr>
          <w:lang w:val="fr-FR"/>
        </w:rPr>
        <w:t xml:space="preserve">une inspection du matériel et des documents </w:t>
      </w:r>
      <w:r w:rsidR="000F235A">
        <w:rPr>
          <w:lang w:val="fr-FR"/>
        </w:rPr>
        <w:t>accompagnant les expéditions</w:t>
      </w:r>
      <w:r w:rsidR="002B2454" w:rsidRPr="002B2454">
        <w:rPr>
          <w:lang w:val="fr-FR"/>
        </w:rPr>
        <w:t xml:space="preserve"> de SAO </w:t>
      </w:r>
      <w:r w:rsidR="00D21C79">
        <w:rPr>
          <w:lang w:val="fr-FR"/>
        </w:rPr>
        <w:t>basée sur</w:t>
      </w:r>
      <w:r w:rsidR="002B2454" w:rsidRPr="002B2454">
        <w:rPr>
          <w:lang w:val="fr-FR"/>
        </w:rPr>
        <w:t xml:space="preserve"> l</w:t>
      </w:r>
      <w:r w:rsidR="00BA262E">
        <w:rPr>
          <w:lang w:val="fr-FR"/>
        </w:rPr>
        <w:t>’</w:t>
      </w:r>
      <w:r w:rsidR="002B2454" w:rsidRPr="002B2454">
        <w:rPr>
          <w:lang w:val="fr-FR"/>
        </w:rPr>
        <w:t>analyse d</w:t>
      </w:r>
      <w:r w:rsidR="00BA262E">
        <w:rPr>
          <w:lang w:val="fr-FR"/>
        </w:rPr>
        <w:t>’</w:t>
      </w:r>
      <w:r w:rsidR="00D21C79">
        <w:rPr>
          <w:lang w:val="fr-FR"/>
        </w:rPr>
        <w:t xml:space="preserve">un profil de </w:t>
      </w:r>
      <w:r w:rsidR="002B2454" w:rsidRPr="002B2454">
        <w:rPr>
          <w:lang w:val="fr-FR"/>
        </w:rPr>
        <w:t>risque</w:t>
      </w:r>
      <w:r w:rsidR="00D21C79">
        <w:rPr>
          <w:lang w:val="fr-FR"/>
        </w:rPr>
        <w:t>s</w:t>
      </w:r>
      <w:r w:rsidR="002B2454" w:rsidRPr="002B2454">
        <w:rPr>
          <w:lang w:val="fr-FR"/>
        </w:rPr>
        <w:t xml:space="preserve"> à tous les points d</w:t>
      </w:r>
      <w:r w:rsidR="00BA262E">
        <w:rPr>
          <w:lang w:val="fr-FR"/>
        </w:rPr>
        <w:t>’</w:t>
      </w:r>
      <w:r w:rsidR="002B2454" w:rsidRPr="002B2454">
        <w:rPr>
          <w:lang w:val="fr-FR"/>
        </w:rPr>
        <w:t>entrée douaniers.</w:t>
      </w:r>
      <w:r w:rsidR="002B2454" w:rsidRPr="00A7342F">
        <w:rPr>
          <w:lang w:val="fr-FR"/>
        </w:rPr>
        <w:t xml:space="preserve"> </w:t>
      </w:r>
      <w:r w:rsidR="002B2454" w:rsidRPr="002B2454">
        <w:rPr>
          <w:lang w:val="fr-FR"/>
        </w:rPr>
        <w:t xml:space="preserve">En outre, un réseau de surveillance </w:t>
      </w:r>
      <w:r w:rsidR="00D21C79">
        <w:rPr>
          <w:lang w:val="fr-FR"/>
        </w:rPr>
        <w:t>sur la base des</w:t>
      </w:r>
      <w:r w:rsidR="002B2454" w:rsidRPr="002B2454">
        <w:rPr>
          <w:lang w:val="fr-FR"/>
        </w:rPr>
        <w:t xml:space="preserve"> provinces a été mis en place depuis 2019. Aucun cas de commerce illégal de SAO éliminées ou de stocks commerciaux de ces substances n</w:t>
      </w:r>
      <w:r w:rsidR="00BA262E">
        <w:rPr>
          <w:lang w:val="fr-FR"/>
        </w:rPr>
        <w:t>’</w:t>
      </w:r>
      <w:r w:rsidR="002B2454" w:rsidRPr="002B2454">
        <w:rPr>
          <w:lang w:val="fr-FR"/>
        </w:rPr>
        <w:t>a été identifié dans le pays.</w:t>
      </w:r>
      <w:r w:rsidR="002B2454" w:rsidRPr="00A7342F">
        <w:rPr>
          <w:lang w:val="fr-FR"/>
        </w:rPr>
        <w:t xml:space="preserve"> </w:t>
      </w:r>
      <w:r w:rsidR="002B2E49" w:rsidRPr="002B2E49">
        <w:rPr>
          <w:bCs/>
          <w:lang w:val="fr-FR"/>
        </w:rPr>
        <w:t xml:space="preserve">Le </w:t>
      </w:r>
      <w:r w:rsidR="000337DF">
        <w:rPr>
          <w:bCs/>
          <w:lang w:val="fr-FR"/>
        </w:rPr>
        <w:t>d</w:t>
      </w:r>
      <w:r w:rsidR="002B2E49" w:rsidRPr="002B2E49">
        <w:rPr>
          <w:bCs/>
          <w:lang w:val="fr-FR"/>
        </w:rPr>
        <w:t>épartement des douanes a inclus le système d</w:t>
      </w:r>
      <w:r w:rsidR="00BA262E">
        <w:rPr>
          <w:bCs/>
          <w:lang w:val="fr-FR"/>
        </w:rPr>
        <w:t>’</w:t>
      </w:r>
      <w:r w:rsidR="002B2E49" w:rsidRPr="002B2E49">
        <w:rPr>
          <w:bCs/>
          <w:lang w:val="fr-FR"/>
        </w:rPr>
        <w:t>autorisation des SAO et les questions liées aux SAO dans le programme de formation douanière.</w:t>
      </w:r>
    </w:p>
    <w:p w14:paraId="4E87033D" w14:textId="2754B2EA" w:rsidR="00A343FC" w:rsidRPr="00A7342F" w:rsidRDefault="002B2E49" w:rsidP="00A7342F">
      <w:pPr>
        <w:suppressAutoHyphens/>
        <w:spacing w:after="240"/>
        <w:rPr>
          <w:i/>
          <w:lang w:val="fr-FR"/>
        </w:rPr>
      </w:pPr>
      <w:r w:rsidRPr="002B2E49">
        <w:rPr>
          <w:i/>
          <w:lang w:val="fr-FR"/>
        </w:rPr>
        <w:t>Secteur de l</w:t>
      </w:r>
      <w:r w:rsidR="00BA262E">
        <w:rPr>
          <w:i/>
          <w:lang w:val="fr-FR"/>
        </w:rPr>
        <w:t>’</w:t>
      </w:r>
      <w:r w:rsidRPr="002B2E49">
        <w:rPr>
          <w:i/>
          <w:lang w:val="fr-FR"/>
        </w:rPr>
        <w:t>entretien des équipements de réfrigération</w:t>
      </w:r>
    </w:p>
    <w:p w14:paraId="3DBEEF8F" w14:textId="77777777" w:rsidR="00E03AF5" w:rsidRPr="00A7342F" w:rsidRDefault="002B2E49" w:rsidP="00A7342F">
      <w:pPr>
        <w:pStyle w:val="Heading1"/>
        <w:suppressAutoHyphens/>
        <w:rPr>
          <w:i/>
          <w:lang w:val="fr-FR"/>
        </w:rPr>
      </w:pPr>
      <w:r w:rsidRPr="00D21C79">
        <w:rPr>
          <w:lang w:val="fr-FR"/>
        </w:rPr>
        <w:t>Au cours de la première tranche, les résultats suivants ont été atteints</w:t>
      </w:r>
      <w:r w:rsidR="00D21C79">
        <w:rPr>
          <w:lang w:val="fr-FR"/>
        </w:rPr>
        <w:t> :</w:t>
      </w:r>
      <w:r w:rsidRPr="00D21C79">
        <w:rPr>
          <w:lang w:val="fr-FR"/>
        </w:rPr>
        <w:t> </w:t>
      </w:r>
    </w:p>
    <w:p w14:paraId="5B06FC78" w14:textId="1F472B67" w:rsidR="002B2E49" w:rsidRPr="00A7342F" w:rsidRDefault="002B2E49" w:rsidP="00A7342F">
      <w:pPr>
        <w:pStyle w:val="Heading2"/>
        <w:rPr>
          <w:i/>
          <w:lang w:val="fr-FR"/>
        </w:rPr>
      </w:pPr>
      <w:r w:rsidRPr="00D21C79">
        <w:rPr>
          <w:i/>
          <w:lang w:val="fr-FR"/>
        </w:rPr>
        <w:t>Renforcement de la capacité de la mise en application du contrôle de la consommation de HCFC :</w:t>
      </w:r>
      <w:r w:rsidRPr="00A7342F">
        <w:rPr>
          <w:i/>
          <w:lang w:val="fr-FR"/>
        </w:rPr>
        <w:t xml:space="preserve"> </w:t>
      </w:r>
      <w:r w:rsidRPr="00D21C79">
        <w:rPr>
          <w:lang w:val="fr-FR"/>
        </w:rPr>
        <w:t xml:space="preserve">Examen continu du programme de formation du personnel des douanes intégrant les nouvelles exigences dans le manuel de formation ; un spécialiste international des procédures douanières et du Protocole de Montréal a été </w:t>
      </w:r>
      <w:r w:rsidR="000337DF" w:rsidRPr="00D21C79">
        <w:rPr>
          <w:lang w:val="fr-FR"/>
        </w:rPr>
        <w:t>engagé</w:t>
      </w:r>
      <w:r w:rsidRPr="00D21C79">
        <w:rPr>
          <w:lang w:val="fr-FR"/>
        </w:rPr>
        <w:t xml:space="preserve"> pour fournir un </w:t>
      </w:r>
      <w:r w:rsidR="00E03AF5">
        <w:rPr>
          <w:lang w:val="fr-FR"/>
        </w:rPr>
        <w:t xml:space="preserve">soutien </w:t>
      </w:r>
      <w:r w:rsidRPr="00D21C79">
        <w:rPr>
          <w:lang w:val="fr-FR"/>
        </w:rPr>
        <w:t>technique ; tous les bureaux de douane situés en province et dans la capitale (sept au total) ont accès à des identificateurs de frigorigènes ; deux sessions de formation destinées à 175 participants et un séminaire de formation virtuel destiné à 145 agents des douanes et autres agents d</w:t>
      </w:r>
      <w:r w:rsidR="00BA262E">
        <w:rPr>
          <w:lang w:val="fr-FR"/>
        </w:rPr>
        <w:t>’</w:t>
      </w:r>
      <w:r w:rsidRPr="00D21C79">
        <w:rPr>
          <w:lang w:val="fr-FR"/>
        </w:rPr>
        <w:t>exécution ont été organisés, traitant des contrôles à l</w:t>
      </w:r>
      <w:r w:rsidR="00BA262E">
        <w:rPr>
          <w:lang w:val="fr-FR"/>
        </w:rPr>
        <w:t>’</w:t>
      </w:r>
      <w:r w:rsidRPr="00D21C79">
        <w:rPr>
          <w:lang w:val="fr-FR"/>
        </w:rPr>
        <w:t>importation et de l</w:t>
      </w:r>
      <w:r w:rsidR="00BA262E">
        <w:rPr>
          <w:lang w:val="fr-FR"/>
        </w:rPr>
        <w:t>’</w:t>
      </w:r>
      <w:r w:rsidRPr="00D21C79">
        <w:rPr>
          <w:lang w:val="fr-FR"/>
        </w:rPr>
        <w:t xml:space="preserve">identification des HCFC ; deux ateliers pour les parties prenantes sur </w:t>
      </w:r>
      <w:r w:rsidRPr="00E03AF5">
        <w:rPr>
          <w:lang w:val="fr-FR"/>
        </w:rPr>
        <w:t>les quotas du système d</w:t>
      </w:r>
      <w:r w:rsidR="00BA262E">
        <w:rPr>
          <w:lang w:val="fr-FR"/>
        </w:rPr>
        <w:t>’</w:t>
      </w:r>
      <w:r w:rsidRPr="00E03AF5">
        <w:rPr>
          <w:lang w:val="fr-FR"/>
        </w:rPr>
        <w:t>autorisation</w:t>
      </w:r>
      <w:r w:rsidRPr="00D21C79">
        <w:rPr>
          <w:lang w:val="fr-FR"/>
        </w:rPr>
        <w:t xml:space="preserve"> des HCFC et les futures procédures d</w:t>
      </w:r>
      <w:r w:rsidR="00BA262E">
        <w:rPr>
          <w:lang w:val="fr-FR"/>
        </w:rPr>
        <w:t>’</w:t>
      </w:r>
      <w:r w:rsidRPr="00D21C79">
        <w:rPr>
          <w:lang w:val="fr-FR"/>
        </w:rPr>
        <w:t>enregistrement des substances de remplacement, et un atelier de sensibilisation aux données de consommation et aux stocks de frigorigènes réglementés par le Protocole de Montréal ont été organisés, comptant en moyenne</w:t>
      </w:r>
      <w:r w:rsidR="00BA262E">
        <w:rPr>
          <w:lang w:val="fr-FR"/>
        </w:rPr>
        <w:t> </w:t>
      </w:r>
      <w:r w:rsidRPr="00D21C79">
        <w:rPr>
          <w:lang w:val="fr-FR"/>
        </w:rPr>
        <w:t>85 participants par atelier ;</w:t>
      </w:r>
      <w:r w:rsidRPr="00A7342F">
        <w:rPr>
          <w:lang w:val="fr-FR"/>
        </w:rPr>
        <w:t xml:space="preserve"> </w:t>
      </w:r>
    </w:p>
    <w:p w14:paraId="1868E99A" w14:textId="137D5DFB" w:rsidR="00DD3F95" w:rsidRPr="00A7342F" w:rsidRDefault="002B2E49" w:rsidP="00C874B6">
      <w:pPr>
        <w:pStyle w:val="Heading2"/>
        <w:keepNext/>
        <w:keepLines/>
        <w:rPr>
          <w:rFonts w:eastAsia="SimSun"/>
          <w:lang w:val="fr-FR" w:eastAsia="zh-CN"/>
        </w:rPr>
      </w:pPr>
      <w:r w:rsidRPr="00E03AF5">
        <w:rPr>
          <w:rFonts w:eastAsia="SimSun"/>
          <w:i/>
          <w:lang w:val="fr-FR" w:eastAsia="zh-CN"/>
        </w:rPr>
        <w:lastRenderedPageBreak/>
        <w:t>Renforcement des capacités et sensibilisation du secteur de l</w:t>
      </w:r>
      <w:r w:rsidR="00BA262E">
        <w:rPr>
          <w:rFonts w:eastAsia="SimSun"/>
          <w:i/>
          <w:lang w:val="fr-FR" w:eastAsia="zh-CN"/>
        </w:rPr>
        <w:t>’</w:t>
      </w:r>
      <w:r w:rsidRPr="00E03AF5">
        <w:rPr>
          <w:rFonts w:eastAsia="SimSun"/>
          <w:i/>
          <w:lang w:val="fr-FR" w:eastAsia="zh-CN"/>
        </w:rPr>
        <w:t xml:space="preserve">entretien </w:t>
      </w:r>
      <w:r w:rsidR="00E03AF5" w:rsidRPr="00E03AF5">
        <w:rPr>
          <w:rFonts w:eastAsia="SimSun"/>
          <w:i/>
          <w:lang w:val="fr-FR" w:eastAsia="zh-CN"/>
        </w:rPr>
        <w:t xml:space="preserve">et des utilisateurs finaux </w:t>
      </w:r>
      <w:r w:rsidRPr="00E03AF5">
        <w:rPr>
          <w:rFonts w:eastAsia="SimSun"/>
          <w:i/>
          <w:lang w:val="fr-FR" w:eastAsia="zh-CN"/>
        </w:rPr>
        <w:t>des équipements</w:t>
      </w:r>
      <w:r w:rsidR="00BA262E">
        <w:rPr>
          <w:rFonts w:eastAsia="SimSun"/>
          <w:i/>
          <w:lang w:val="fr-FR" w:eastAsia="zh-CN"/>
        </w:rPr>
        <w:t> </w:t>
      </w:r>
      <w:r w:rsidRPr="00E03AF5">
        <w:rPr>
          <w:rFonts w:eastAsia="SimSun"/>
          <w:i/>
          <w:lang w:val="fr-FR" w:eastAsia="zh-CN"/>
        </w:rPr>
        <w:t>de réfrigération et de climatisation, en vue d</w:t>
      </w:r>
      <w:r w:rsidR="00BA262E">
        <w:rPr>
          <w:rFonts w:eastAsia="SimSun"/>
          <w:i/>
          <w:lang w:val="fr-FR" w:eastAsia="zh-CN"/>
        </w:rPr>
        <w:t>’</w:t>
      </w:r>
      <w:r w:rsidRPr="00E03AF5">
        <w:rPr>
          <w:rFonts w:eastAsia="SimSun"/>
          <w:i/>
          <w:lang w:val="fr-FR" w:eastAsia="zh-CN"/>
        </w:rPr>
        <w:t>éliminer la consommation de HCFC</w:t>
      </w:r>
      <w:r w:rsidRPr="002B2E49">
        <w:rPr>
          <w:rFonts w:eastAsia="SimSun"/>
          <w:lang w:val="fr-FR" w:eastAsia="zh-CN"/>
        </w:rPr>
        <w:t> :</w:t>
      </w:r>
      <w:r w:rsidRPr="00A7342F">
        <w:rPr>
          <w:rFonts w:eastAsia="SimSun"/>
          <w:lang w:val="fr-FR" w:eastAsia="zh-CN"/>
        </w:rPr>
        <w:t xml:space="preserve"> </w:t>
      </w:r>
      <w:r w:rsidRPr="002B2E49">
        <w:rPr>
          <w:rFonts w:eastAsia="SimSun"/>
          <w:lang w:val="fr-FR" w:eastAsia="zh-CN"/>
        </w:rPr>
        <w:t>Un expert technique du Brésil</w:t>
      </w:r>
      <w:r w:rsidR="00BD1F07">
        <w:rPr>
          <w:rFonts w:eastAsia="SimSun"/>
          <w:lang w:val="fr-FR" w:eastAsia="zh-CN"/>
        </w:rPr>
        <w:t>,</w:t>
      </w:r>
      <w:r w:rsidRPr="002B2E49">
        <w:rPr>
          <w:rFonts w:eastAsia="SimSun"/>
          <w:lang w:val="fr-FR" w:eastAsia="zh-CN"/>
        </w:rPr>
        <w:t xml:space="preserve"> engagé en qualité de formateur pour assurer les cours de formation</w:t>
      </w:r>
      <w:r w:rsidR="00BD1F07">
        <w:rPr>
          <w:rFonts w:eastAsia="SimSun"/>
          <w:lang w:val="fr-FR" w:eastAsia="zh-CN"/>
        </w:rPr>
        <w:t>, a</w:t>
      </w:r>
      <w:r w:rsidRPr="002B2E49">
        <w:rPr>
          <w:rFonts w:eastAsia="SimSun"/>
          <w:lang w:val="fr-FR" w:eastAsia="zh-CN"/>
        </w:rPr>
        <w:t xml:space="preserve"> aid</w:t>
      </w:r>
      <w:r w:rsidR="00BD1F07">
        <w:rPr>
          <w:rFonts w:eastAsia="SimSun"/>
          <w:lang w:val="fr-FR" w:eastAsia="zh-CN"/>
        </w:rPr>
        <w:t>é</w:t>
      </w:r>
      <w:r w:rsidRPr="002B2E49">
        <w:rPr>
          <w:rFonts w:eastAsia="SimSun"/>
          <w:lang w:val="fr-FR" w:eastAsia="zh-CN"/>
        </w:rPr>
        <w:t xml:space="preserve"> à l</w:t>
      </w:r>
      <w:r w:rsidR="00BA262E">
        <w:rPr>
          <w:rFonts w:eastAsia="SimSun"/>
          <w:lang w:val="fr-FR" w:eastAsia="zh-CN"/>
        </w:rPr>
        <w:t>’</w:t>
      </w:r>
      <w:r w:rsidRPr="002B2E49">
        <w:rPr>
          <w:rFonts w:eastAsia="SimSun"/>
          <w:lang w:val="fr-FR" w:eastAsia="zh-CN"/>
        </w:rPr>
        <w:t>élaboration du matériel de formation visant les équipements de réfrigération et de climatisation</w:t>
      </w:r>
      <w:r w:rsidR="000337DF">
        <w:rPr>
          <w:rFonts w:eastAsia="SimSun"/>
          <w:lang w:val="fr-FR" w:eastAsia="zh-CN"/>
        </w:rPr>
        <w:t>,</w:t>
      </w:r>
      <w:r w:rsidRPr="002B2E49">
        <w:rPr>
          <w:rFonts w:eastAsia="SimSun"/>
          <w:lang w:val="fr-FR" w:eastAsia="zh-CN"/>
        </w:rPr>
        <w:t xml:space="preserve"> et </w:t>
      </w:r>
      <w:r w:rsidR="00BD1F07">
        <w:rPr>
          <w:rFonts w:eastAsia="SimSun"/>
          <w:lang w:val="fr-FR" w:eastAsia="zh-CN"/>
        </w:rPr>
        <w:t xml:space="preserve">a </w:t>
      </w:r>
      <w:r w:rsidRPr="002B2E49">
        <w:rPr>
          <w:rFonts w:eastAsia="SimSun"/>
          <w:lang w:val="fr-FR" w:eastAsia="zh-CN"/>
        </w:rPr>
        <w:t>fourni un soutien technique pour renforcer les capacités des instituts de formation en Angola.</w:t>
      </w:r>
      <w:r w:rsidRPr="00A7342F">
        <w:rPr>
          <w:rFonts w:eastAsia="SimSun"/>
          <w:lang w:val="fr-FR" w:eastAsia="zh-CN"/>
        </w:rPr>
        <w:t xml:space="preserve"> </w:t>
      </w:r>
      <w:r w:rsidR="00DD3F95" w:rsidRPr="00DD3F95">
        <w:rPr>
          <w:rFonts w:eastAsia="SimSun"/>
          <w:lang w:val="fr-FR" w:eastAsia="zh-CN"/>
        </w:rPr>
        <w:t xml:space="preserve">Depuis 2018, </w:t>
      </w:r>
      <w:r w:rsidR="00E03AF5">
        <w:rPr>
          <w:rFonts w:eastAsia="SimSun"/>
          <w:lang w:val="fr-FR" w:eastAsia="zh-CN"/>
        </w:rPr>
        <w:t>l</w:t>
      </w:r>
      <w:r w:rsidR="00BA262E">
        <w:rPr>
          <w:rFonts w:eastAsia="SimSun"/>
          <w:lang w:val="fr-FR" w:eastAsia="zh-CN"/>
        </w:rPr>
        <w:t>’</w:t>
      </w:r>
      <w:r w:rsidR="00DD3F95" w:rsidRPr="00DD3F95">
        <w:rPr>
          <w:rFonts w:eastAsia="SimSun"/>
          <w:lang w:val="fr-FR" w:eastAsia="zh-CN"/>
        </w:rPr>
        <w:t>engagement des autorités éducatives et des centres d</w:t>
      </w:r>
      <w:r w:rsidR="00BA262E">
        <w:rPr>
          <w:rFonts w:eastAsia="SimSun"/>
          <w:lang w:val="fr-FR" w:eastAsia="zh-CN"/>
        </w:rPr>
        <w:t>’</w:t>
      </w:r>
      <w:r w:rsidR="00DD3F95" w:rsidRPr="00DD3F95">
        <w:rPr>
          <w:rFonts w:eastAsia="SimSun"/>
          <w:lang w:val="fr-FR" w:eastAsia="zh-CN"/>
        </w:rPr>
        <w:t>éducation et de formation dans six provinces a permis d</w:t>
      </w:r>
      <w:r w:rsidR="00BA262E">
        <w:rPr>
          <w:rFonts w:eastAsia="SimSun"/>
          <w:lang w:val="fr-FR" w:eastAsia="zh-CN"/>
        </w:rPr>
        <w:t>’</w:t>
      </w:r>
      <w:r w:rsidR="00DD3F95" w:rsidRPr="00DD3F95">
        <w:rPr>
          <w:rFonts w:eastAsia="SimSun"/>
          <w:lang w:val="fr-FR" w:eastAsia="zh-CN"/>
        </w:rPr>
        <w:t>inclure les bonnes pratiques, la récupération et le recyclage</w:t>
      </w:r>
      <w:r w:rsidR="00D318DB">
        <w:rPr>
          <w:rFonts w:eastAsia="SimSun"/>
          <w:lang w:val="fr-FR" w:eastAsia="zh-CN"/>
        </w:rPr>
        <w:t xml:space="preserve"> </w:t>
      </w:r>
      <w:r w:rsidR="00D318DB" w:rsidRPr="00DD3F95">
        <w:rPr>
          <w:rFonts w:eastAsia="SimSun"/>
          <w:lang w:val="fr-FR" w:eastAsia="zh-CN"/>
        </w:rPr>
        <w:t>(R&amp;R)</w:t>
      </w:r>
      <w:r w:rsidR="00BA262E">
        <w:rPr>
          <w:rFonts w:eastAsia="SimSun"/>
          <w:lang w:val="fr-FR" w:eastAsia="zh-CN"/>
        </w:rPr>
        <w:t> </w:t>
      </w:r>
      <w:r w:rsidR="00DD3F95" w:rsidRPr="00DD3F95">
        <w:rPr>
          <w:rFonts w:eastAsia="SimSun"/>
          <w:lang w:val="fr-FR" w:eastAsia="zh-CN"/>
        </w:rPr>
        <w:t>des frigorigènes et la manipulation sans danger des frigorigènes dans leur programme d</w:t>
      </w:r>
      <w:r w:rsidR="00BA262E">
        <w:rPr>
          <w:rFonts w:eastAsia="SimSun"/>
          <w:lang w:val="fr-FR" w:eastAsia="zh-CN"/>
        </w:rPr>
        <w:t>’</w:t>
      </w:r>
      <w:r w:rsidR="00DD3F95" w:rsidRPr="00DD3F95">
        <w:rPr>
          <w:rFonts w:eastAsia="SimSun"/>
          <w:lang w:val="fr-FR" w:eastAsia="zh-CN"/>
        </w:rPr>
        <w:t xml:space="preserve">études, et des cours sont </w:t>
      </w:r>
      <w:r w:rsidR="000337DF">
        <w:rPr>
          <w:rFonts w:eastAsia="SimSun"/>
          <w:lang w:val="fr-FR" w:eastAsia="zh-CN"/>
        </w:rPr>
        <w:t>proposés</w:t>
      </w:r>
      <w:r w:rsidR="00DD3F95" w:rsidRPr="00DD3F95">
        <w:rPr>
          <w:rFonts w:eastAsia="SimSun"/>
          <w:lang w:val="fr-FR" w:eastAsia="zh-CN"/>
        </w:rPr>
        <w:t xml:space="preserve"> à environ 100 étudiants par province tous les deux ans.</w:t>
      </w:r>
      <w:r w:rsidR="00DD3F95" w:rsidRPr="00A7342F">
        <w:rPr>
          <w:rFonts w:eastAsia="SimSun"/>
          <w:lang w:val="fr-FR" w:eastAsia="zh-CN"/>
        </w:rPr>
        <w:t xml:space="preserve"> </w:t>
      </w:r>
      <w:r w:rsidR="00DD3F95" w:rsidRPr="00DD3F95">
        <w:rPr>
          <w:rFonts w:eastAsia="SimSun"/>
          <w:lang w:val="fr-FR" w:eastAsia="zh-CN"/>
        </w:rPr>
        <w:t>Un séminaire de formation des formateurs destiné à dix formateurs a eu lieu en 2019 ; quatre sessions virtuelles de formation des formateurs, ciblant chacune un à dix formateurs de quatre différentes écoles professionnelles provinciales, ont été organisées en 2020 ; 390 techniciens frigoristes ont été formés en 2018 et 2019 dans le cadre d</w:t>
      </w:r>
      <w:r w:rsidR="00BA262E">
        <w:rPr>
          <w:rFonts w:eastAsia="SimSun"/>
          <w:lang w:val="fr-FR" w:eastAsia="zh-CN"/>
        </w:rPr>
        <w:t>’</w:t>
      </w:r>
      <w:r w:rsidR="00DD3F95" w:rsidRPr="00DD3F95">
        <w:rPr>
          <w:rFonts w:eastAsia="SimSun"/>
          <w:lang w:val="fr-FR" w:eastAsia="zh-CN"/>
        </w:rPr>
        <w:t>ateliers en présentiel sur les bonnes pratiques en matière de réfrigération, la</w:t>
      </w:r>
      <w:r w:rsidR="00BA262E">
        <w:rPr>
          <w:rFonts w:eastAsia="SimSun"/>
          <w:lang w:val="fr-FR" w:eastAsia="zh-CN"/>
        </w:rPr>
        <w:t> </w:t>
      </w:r>
      <w:r w:rsidR="00DD3F95" w:rsidRPr="00DD3F95">
        <w:rPr>
          <w:rFonts w:eastAsia="SimSun"/>
          <w:lang w:val="fr-FR" w:eastAsia="zh-CN"/>
        </w:rPr>
        <w:t>récupération et le recyclage et les frigorigènes inflammables, tandis qu</w:t>
      </w:r>
      <w:r w:rsidR="00BA262E">
        <w:rPr>
          <w:rFonts w:eastAsia="SimSun"/>
          <w:lang w:val="fr-FR" w:eastAsia="zh-CN"/>
        </w:rPr>
        <w:t>’</w:t>
      </w:r>
      <w:r w:rsidR="00DD3F95" w:rsidRPr="00DD3F95">
        <w:rPr>
          <w:rFonts w:eastAsia="SimSun"/>
          <w:lang w:val="fr-FR" w:eastAsia="zh-CN"/>
        </w:rPr>
        <w:t xml:space="preserve">en 2020, la formation </w:t>
      </w:r>
      <w:r w:rsidR="00D318DB">
        <w:rPr>
          <w:rFonts w:eastAsia="SimSun"/>
          <w:lang w:val="fr-FR" w:eastAsia="zh-CN"/>
        </w:rPr>
        <w:t>correspondante</w:t>
      </w:r>
      <w:r w:rsidR="00DD3F95" w:rsidRPr="00DD3F95">
        <w:rPr>
          <w:rFonts w:eastAsia="SimSun"/>
          <w:lang w:val="fr-FR" w:eastAsia="zh-CN"/>
        </w:rPr>
        <w:t xml:space="preserve"> a été dispensée en ligne pour 90 techniciens, du matériel de formation et des directives ont été élaborés (en portugais) </w:t>
      </w:r>
      <w:r w:rsidR="00D318DB">
        <w:rPr>
          <w:rFonts w:eastAsia="SimSun"/>
          <w:lang w:val="fr-FR" w:eastAsia="zh-CN"/>
        </w:rPr>
        <w:t>concernant</w:t>
      </w:r>
      <w:r w:rsidR="00DD3F95" w:rsidRPr="00DD3F95">
        <w:rPr>
          <w:rFonts w:eastAsia="SimSun"/>
          <w:lang w:val="fr-FR" w:eastAsia="zh-CN"/>
        </w:rPr>
        <w:t xml:space="preserve"> les procédures de sécurité pour les frigorigènes inflammables conformément aux normes de sécurité adoptées au Brésil ; et six ateliers de sensibilisation sur les substances réglementées par le Protocole de Montréal ont été organisés avec en moyenne 50 étudiants spécialisés dans l</w:t>
      </w:r>
      <w:r w:rsidR="00BA262E">
        <w:rPr>
          <w:rFonts w:eastAsia="SimSun"/>
          <w:lang w:val="fr-FR" w:eastAsia="zh-CN"/>
        </w:rPr>
        <w:t>’</w:t>
      </w:r>
      <w:r w:rsidR="00DD3F95" w:rsidRPr="00DD3F95">
        <w:rPr>
          <w:rFonts w:eastAsia="SimSun"/>
          <w:lang w:val="fr-FR" w:eastAsia="zh-CN"/>
        </w:rPr>
        <w:t>entretien des équipements de climatisation et de réfrigération par atelier ;</w:t>
      </w:r>
      <w:r w:rsidR="00DD3F95" w:rsidRPr="00A7342F">
        <w:rPr>
          <w:rFonts w:eastAsia="SimSun"/>
          <w:lang w:val="fr-FR" w:eastAsia="zh-CN"/>
        </w:rPr>
        <w:t xml:space="preserve"> </w:t>
      </w:r>
    </w:p>
    <w:p w14:paraId="78BE5742" w14:textId="58FE8C49" w:rsidR="00DD3F95" w:rsidRPr="00A7342F" w:rsidRDefault="00DD3F95" w:rsidP="00A7342F">
      <w:pPr>
        <w:pStyle w:val="Heading2"/>
        <w:rPr>
          <w:lang w:val="fr-FR" w:eastAsia="zh-CN"/>
        </w:rPr>
      </w:pPr>
      <w:r w:rsidRPr="00DD3F95">
        <w:rPr>
          <w:i/>
          <w:lang w:val="fr-FR" w:eastAsia="zh-CN"/>
        </w:rPr>
        <w:t xml:space="preserve">Renforcement du réseau </w:t>
      </w:r>
      <w:r w:rsidR="009A08C7">
        <w:rPr>
          <w:i/>
          <w:lang w:val="fr-FR" w:eastAsia="zh-CN"/>
        </w:rPr>
        <w:t xml:space="preserve">de </w:t>
      </w:r>
      <w:r w:rsidRPr="00DD3F95">
        <w:rPr>
          <w:i/>
          <w:lang w:val="fr-FR" w:eastAsia="zh-CN"/>
        </w:rPr>
        <w:t>R&amp;R et des instituts de formation professionnelle :</w:t>
      </w:r>
      <w:r w:rsidRPr="00A7342F">
        <w:rPr>
          <w:lang w:val="fr-FR" w:eastAsia="zh-CN"/>
        </w:rPr>
        <w:t xml:space="preserve"> </w:t>
      </w:r>
      <w:r w:rsidR="005A7832" w:rsidRPr="005A7832">
        <w:rPr>
          <w:lang w:val="fr-FR" w:eastAsia="zh-CN"/>
        </w:rPr>
        <w:t xml:space="preserve">Un centre pilote de R&amp;R a été mis en place dans </w:t>
      </w:r>
      <w:r w:rsidR="00D318DB">
        <w:rPr>
          <w:lang w:val="fr-FR" w:eastAsia="zh-CN"/>
        </w:rPr>
        <w:t>le</w:t>
      </w:r>
      <w:r w:rsidR="005A7832" w:rsidRPr="005A7832">
        <w:rPr>
          <w:lang w:val="fr-FR" w:eastAsia="zh-CN"/>
        </w:rPr>
        <w:t xml:space="preserve"> laboratoire d</w:t>
      </w:r>
      <w:r w:rsidR="00BA262E">
        <w:rPr>
          <w:lang w:val="fr-FR" w:eastAsia="zh-CN"/>
        </w:rPr>
        <w:t>’</w:t>
      </w:r>
      <w:r w:rsidR="005A7832" w:rsidRPr="005A7832">
        <w:rPr>
          <w:lang w:val="fr-FR" w:eastAsia="zh-CN"/>
        </w:rPr>
        <w:t>un établissement de formation (situé dans la province d</w:t>
      </w:r>
      <w:r w:rsidR="00BA262E">
        <w:rPr>
          <w:lang w:val="fr-FR" w:eastAsia="zh-CN"/>
        </w:rPr>
        <w:t>’</w:t>
      </w:r>
      <w:r w:rsidR="005A7832" w:rsidRPr="005A7832">
        <w:rPr>
          <w:lang w:val="fr-FR" w:eastAsia="zh-CN"/>
        </w:rPr>
        <w:t>Ugie) ; 20 identificateurs de frigorigènes ont été acquis et distribués aux institutions de formation au niveau des provinces ; et quatre unités de récupération et 80 kits d</w:t>
      </w:r>
      <w:r w:rsidR="00BA262E">
        <w:rPr>
          <w:lang w:val="fr-FR" w:eastAsia="zh-CN"/>
        </w:rPr>
        <w:t>’</w:t>
      </w:r>
      <w:r w:rsidR="005A7832" w:rsidRPr="005A7832">
        <w:rPr>
          <w:lang w:val="fr-FR" w:eastAsia="zh-CN"/>
        </w:rPr>
        <w:t>outils de bonnes pratiques</w:t>
      </w:r>
      <w:r w:rsidR="005A7832" w:rsidRPr="005A7832">
        <w:rPr>
          <w:rStyle w:val="FootnoteReference"/>
          <w:lang w:val="fr-FR" w:eastAsia="zh-CN"/>
        </w:rPr>
        <w:footnoteReference w:id="3"/>
      </w:r>
      <w:r w:rsidR="005A7832" w:rsidRPr="005A7832">
        <w:rPr>
          <w:lang w:val="fr-FR" w:eastAsia="zh-CN"/>
        </w:rPr>
        <w:t xml:space="preserve"> ont été acquis et seront distribués aux centres </w:t>
      </w:r>
      <w:r w:rsidR="000337DF">
        <w:rPr>
          <w:lang w:val="fr-FR" w:eastAsia="zh-CN"/>
        </w:rPr>
        <w:t xml:space="preserve">de </w:t>
      </w:r>
      <w:r w:rsidR="005A7832" w:rsidRPr="005A7832">
        <w:rPr>
          <w:lang w:val="fr-FR" w:eastAsia="zh-CN"/>
        </w:rPr>
        <w:t>R&amp;R et aux techniciens de l</w:t>
      </w:r>
      <w:r w:rsidR="00BA262E">
        <w:rPr>
          <w:lang w:val="fr-FR" w:eastAsia="zh-CN"/>
        </w:rPr>
        <w:t>’</w:t>
      </w:r>
      <w:r w:rsidR="005A7832" w:rsidRPr="005A7832">
        <w:rPr>
          <w:lang w:val="fr-FR" w:eastAsia="zh-CN"/>
        </w:rPr>
        <w:t>entretien</w:t>
      </w:r>
      <w:r w:rsidR="00BA262E">
        <w:rPr>
          <w:lang w:val="fr-FR" w:eastAsia="zh-CN"/>
        </w:rPr>
        <w:t> </w:t>
      </w:r>
      <w:r w:rsidR="005A7832" w:rsidRPr="005A7832">
        <w:rPr>
          <w:lang w:val="fr-FR" w:eastAsia="zh-CN"/>
        </w:rPr>
        <w:t xml:space="preserve">en novembre 2021, car les mesures de restriction liée </w:t>
      </w:r>
      <w:r w:rsidR="000337DF">
        <w:rPr>
          <w:lang w:val="fr-FR" w:eastAsia="zh-CN"/>
        </w:rPr>
        <w:t xml:space="preserve">à </w:t>
      </w:r>
      <w:r w:rsidR="005A7832" w:rsidRPr="005A7832">
        <w:rPr>
          <w:lang w:val="fr-FR" w:eastAsia="zh-CN"/>
        </w:rPr>
        <w:t>la Covid-19 dans le pays ont empêché l</w:t>
      </w:r>
      <w:r w:rsidR="00BA262E">
        <w:rPr>
          <w:lang w:val="fr-FR" w:eastAsia="zh-CN"/>
        </w:rPr>
        <w:t>’</w:t>
      </w:r>
      <w:r w:rsidR="005A7832" w:rsidRPr="005A7832">
        <w:rPr>
          <w:lang w:val="fr-FR" w:eastAsia="zh-CN"/>
        </w:rPr>
        <w:t>achèvement de l</w:t>
      </w:r>
      <w:r w:rsidR="00BA262E">
        <w:rPr>
          <w:lang w:val="fr-FR" w:eastAsia="zh-CN"/>
        </w:rPr>
        <w:t>’</w:t>
      </w:r>
      <w:r w:rsidR="005A7832" w:rsidRPr="005A7832">
        <w:rPr>
          <w:lang w:val="fr-FR" w:eastAsia="zh-CN"/>
        </w:rPr>
        <w:t xml:space="preserve">activité en 2020. En outre, un séminaire est prévu pour novembre 2021 avec une démonstration en direct par les laboratoires </w:t>
      </w:r>
      <w:r w:rsidR="000337DF">
        <w:rPr>
          <w:lang w:val="fr-FR" w:eastAsia="zh-CN"/>
        </w:rPr>
        <w:t xml:space="preserve">de </w:t>
      </w:r>
      <w:r w:rsidR="005A7832" w:rsidRPr="005A7832">
        <w:rPr>
          <w:lang w:val="fr-FR" w:eastAsia="zh-CN"/>
        </w:rPr>
        <w:t>R&amp;R de l</w:t>
      </w:r>
      <w:r w:rsidR="00BA262E">
        <w:rPr>
          <w:lang w:val="fr-FR" w:eastAsia="zh-CN"/>
        </w:rPr>
        <w:t>’</w:t>
      </w:r>
      <w:r w:rsidR="005A7832" w:rsidRPr="005A7832">
        <w:rPr>
          <w:lang w:val="fr-FR" w:eastAsia="zh-CN"/>
        </w:rPr>
        <w:t xml:space="preserve">Association Brésilienne de chauffage, de ventilation et de climatisation (ABRAVA) pour montrer les </w:t>
      </w:r>
      <w:r w:rsidR="000337DF">
        <w:rPr>
          <w:lang w:val="fr-FR" w:eastAsia="zh-CN"/>
        </w:rPr>
        <w:t xml:space="preserve">exigences </w:t>
      </w:r>
      <w:r w:rsidR="005A7832" w:rsidRPr="005A7832">
        <w:rPr>
          <w:lang w:val="fr-FR" w:eastAsia="zh-CN"/>
        </w:rPr>
        <w:t>de fonctionnement d</w:t>
      </w:r>
      <w:r w:rsidR="00BA262E">
        <w:rPr>
          <w:lang w:val="fr-FR" w:eastAsia="zh-CN"/>
        </w:rPr>
        <w:t>’</w:t>
      </w:r>
      <w:r w:rsidR="005A7832" w:rsidRPr="005A7832">
        <w:rPr>
          <w:lang w:val="fr-FR" w:eastAsia="zh-CN"/>
        </w:rPr>
        <w:t xml:space="preserve">un centre </w:t>
      </w:r>
      <w:r w:rsidR="000337DF">
        <w:rPr>
          <w:lang w:val="fr-FR" w:eastAsia="zh-CN"/>
        </w:rPr>
        <w:t xml:space="preserve">de </w:t>
      </w:r>
      <w:r w:rsidR="005A7832" w:rsidRPr="005A7832">
        <w:rPr>
          <w:lang w:val="fr-FR" w:eastAsia="zh-CN"/>
        </w:rPr>
        <w:t>R&amp;R </w:t>
      </w:r>
      <w:r w:rsidR="005A7832" w:rsidRPr="005A7832">
        <w:rPr>
          <w:iCs/>
          <w:lang w:val="fr-FR" w:eastAsia="zh-CN"/>
        </w:rPr>
        <w:t xml:space="preserve">; </w:t>
      </w:r>
    </w:p>
    <w:p w14:paraId="17F232C0" w14:textId="1A30F226" w:rsidR="005A7832" w:rsidRPr="00A7342F" w:rsidRDefault="005A7832" w:rsidP="00A7342F">
      <w:pPr>
        <w:pStyle w:val="Heading2"/>
        <w:rPr>
          <w:lang w:val="fr-FR"/>
        </w:rPr>
      </w:pPr>
      <w:r w:rsidRPr="005A7832">
        <w:rPr>
          <w:i/>
          <w:lang w:val="fr-FR"/>
        </w:rPr>
        <w:t>Surveillance, coordination et rapports du projet :</w:t>
      </w:r>
      <w:r w:rsidRPr="00A7342F">
        <w:rPr>
          <w:lang w:val="fr-FR"/>
        </w:rPr>
        <w:t xml:space="preserve"> </w:t>
      </w:r>
      <w:r w:rsidRPr="005A7832">
        <w:rPr>
          <w:lang w:val="fr-FR"/>
        </w:rPr>
        <w:t>L</w:t>
      </w:r>
      <w:r w:rsidR="00BA262E">
        <w:rPr>
          <w:lang w:val="fr-FR"/>
        </w:rPr>
        <w:t>’</w:t>
      </w:r>
      <w:r w:rsidRPr="005A7832">
        <w:rPr>
          <w:lang w:val="fr-FR"/>
        </w:rPr>
        <w:t>Unité nationale de l</w:t>
      </w:r>
      <w:r w:rsidR="00BA262E">
        <w:rPr>
          <w:lang w:val="fr-FR"/>
        </w:rPr>
        <w:t>’</w:t>
      </w:r>
      <w:r w:rsidRPr="005A7832">
        <w:rPr>
          <w:lang w:val="fr-FR"/>
        </w:rPr>
        <w:t>ozone (UNO) a surveillé et coordonné la mise en œuvre du PGEH.</w:t>
      </w:r>
      <w:r w:rsidRPr="00A7342F">
        <w:rPr>
          <w:lang w:val="fr-FR"/>
        </w:rPr>
        <w:t xml:space="preserve"> </w:t>
      </w:r>
      <w:r w:rsidRPr="005A7832">
        <w:rPr>
          <w:lang w:val="fr-FR"/>
        </w:rPr>
        <w:t xml:space="preserve">Sur les 60 000 $US budgétisés pour la première tranche, 36 092 $US ont été décaissés (9 023 $US pour les réunions, 21 655 $US pour les déplacements liés au suivi et 5 414 $US pour les frais de communication et </w:t>
      </w:r>
      <w:r w:rsidR="00D318DB">
        <w:rPr>
          <w:lang w:val="fr-FR"/>
        </w:rPr>
        <w:t>de maintenance</w:t>
      </w:r>
      <w:r w:rsidRPr="005A7832">
        <w:rPr>
          <w:lang w:val="fr-FR"/>
        </w:rPr>
        <w:t>).</w:t>
      </w:r>
    </w:p>
    <w:p w14:paraId="237AAE45" w14:textId="7D449414" w:rsidR="00AE3C61" w:rsidRPr="005A7832" w:rsidRDefault="005A7832" w:rsidP="00A7342F">
      <w:pPr>
        <w:suppressAutoHyphens/>
        <w:spacing w:after="240"/>
        <w:rPr>
          <w:u w:val="single"/>
        </w:rPr>
      </w:pPr>
      <w:r w:rsidRPr="005A7832">
        <w:rPr>
          <w:u w:val="single"/>
          <w:lang w:val="fr-FR"/>
        </w:rPr>
        <w:t>Niveau de décaissement du financement</w:t>
      </w:r>
    </w:p>
    <w:p w14:paraId="56D7CC82" w14:textId="7A3993AB" w:rsidR="005A7832" w:rsidRPr="00A7342F" w:rsidRDefault="005A7832" w:rsidP="00A7342F">
      <w:pPr>
        <w:pStyle w:val="Heading1"/>
        <w:suppressAutoHyphens/>
        <w:rPr>
          <w:lang w:val="fr-FR"/>
        </w:rPr>
      </w:pPr>
      <w:r w:rsidRPr="005A7832">
        <w:rPr>
          <w:lang w:val="fr-FR"/>
        </w:rPr>
        <w:t>Au 1</w:t>
      </w:r>
      <w:r w:rsidRPr="005A7832">
        <w:rPr>
          <w:vertAlign w:val="superscript"/>
          <w:lang w:val="fr-FR"/>
        </w:rPr>
        <w:t>er</w:t>
      </w:r>
      <w:r w:rsidRPr="005A7832">
        <w:rPr>
          <w:lang w:val="fr-FR"/>
        </w:rPr>
        <w:t xml:space="preserve"> septembre 2021, sur les 450 000 $US approuvés jusqu</w:t>
      </w:r>
      <w:r w:rsidR="00BA262E">
        <w:rPr>
          <w:lang w:val="fr-FR"/>
        </w:rPr>
        <w:t>’</w:t>
      </w:r>
      <w:r w:rsidRPr="005A7832">
        <w:rPr>
          <w:lang w:val="fr-FR"/>
        </w:rPr>
        <w:t>à présent, 341 411 $US (76</w:t>
      </w:r>
      <w:r w:rsidR="00A7342F">
        <w:rPr>
          <w:lang w:val="fr-FR"/>
        </w:rPr>
        <w:t> </w:t>
      </w:r>
      <w:r w:rsidRPr="005A7832">
        <w:rPr>
          <w:lang w:val="fr-FR"/>
        </w:rPr>
        <w:t>pour</w:t>
      </w:r>
      <w:r w:rsidR="00A7342F">
        <w:rPr>
          <w:lang w:val="fr-FR"/>
        </w:rPr>
        <w:t> </w:t>
      </w:r>
      <w:r w:rsidRPr="005A7832">
        <w:rPr>
          <w:lang w:val="fr-FR"/>
        </w:rPr>
        <w:t>cent) avaient été décaissés.</w:t>
      </w:r>
      <w:r w:rsidRPr="00A7342F">
        <w:rPr>
          <w:lang w:val="fr-FR"/>
        </w:rPr>
        <w:t xml:space="preserve"> </w:t>
      </w:r>
      <w:r w:rsidRPr="005A7832">
        <w:rPr>
          <w:lang w:val="fr-FR"/>
        </w:rPr>
        <w:t>Le solde de 108 589 $US sera décaissé en 2021 et 2022.</w:t>
      </w:r>
    </w:p>
    <w:p w14:paraId="25426496" w14:textId="13690A6B" w:rsidR="00A343FC" w:rsidRPr="00A7342F" w:rsidRDefault="005A7832" w:rsidP="00A7342F">
      <w:pPr>
        <w:keepNext/>
        <w:keepLines/>
        <w:widowControl w:val="0"/>
        <w:spacing w:after="240"/>
        <w:rPr>
          <w:u w:val="single"/>
          <w:lang w:val="fr-FR"/>
        </w:rPr>
      </w:pPr>
      <w:r w:rsidRPr="005A7832">
        <w:rPr>
          <w:u w:val="single"/>
          <w:lang w:val="fr-FR"/>
        </w:rPr>
        <w:lastRenderedPageBreak/>
        <w:t>Plan de mise en œuvre pour la deuxième tranche du PGEH</w:t>
      </w:r>
    </w:p>
    <w:p w14:paraId="5CC89084" w14:textId="7BD5802A" w:rsidR="00387D4E" w:rsidRPr="00A7342F" w:rsidRDefault="005A7832" w:rsidP="00A7342F">
      <w:pPr>
        <w:pStyle w:val="Heading2"/>
        <w:keepNext/>
        <w:keepLines/>
        <w:rPr>
          <w:lang w:val="fr-FR"/>
        </w:rPr>
      </w:pPr>
      <w:r w:rsidRPr="005A7832">
        <w:rPr>
          <w:i/>
          <w:lang w:val="fr-FR"/>
        </w:rPr>
        <w:t>Renforcement de la capacité de la mise en application du contrôle de la consommation de HCFC :</w:t>
      </w:r>
      <w:r w:rsidRPr="00A7342F">
        <w:rPr>
          <w:i/>
          <w:lang w:val="fr-FR"/>
        </w:rPr>
        <w:t xml:space="preserve"> </w:t>
      </w:r>
      <w:r w:rsidR="00387D4E" w:rsidRPr="00387D4E">
        <w:rPr>
          <w:lang w:val="fr-FR"/>
        </w:rPr>
        <w:t>Mise à jour du matériel destiné aux cours de formation des agents des douanes ; organisation d</w:t>
      </w:r>
      <w:r w:rsidR="00BA262E">
        <w:rPr>
          <w:lang w:val="fr-FR"/>
        </w:rPr>
        <w:t>’</w:t>
      </w:r>
      <w:r w:rsidR="00387D4E" w:rsidRPr="00387D4E">
        <w:rPr>
          <w:lang w:val="fr-FR"/>
        </w:rPr>
        <w:t>au moins six cours de formation</w:t>
      </w:r>
      <w:r w:rsidR="00387D4E" w:rsidRPr="00387D4E">
        <w:rPr>
          <w:rStyle w:val="FootnoteReference"/>
          <w:lang w:val="fr-FR"/>
        </w:rPr>
        <w:footnoteReference w:id="4"/>
      </w:r>
      <w:r w:rsidR="00387D4E" w:rsidRPr="00387D4E">
        <w:rPr>
          <w:lang w:val="fr-FR"/>
        </w:rPr>
        <w:t xml:space="preserve"> (25 participants venus du </w:t>
      </w:r>
      <w:r w:rsidR="00077A19">
        <w:rPr>
          <w:lang w:val="fr-FR"/>
        </w:rPr>
        <w:t>d</w:t>
      </w:r>
      <w:r w:rsidR="00387D4E" w:rsidRPr="00387D4E">
        <w:rPr>
          <w:lang w:val="fr-FR"/>
        </w:rPr>
        <w:t xml:space="preserve">épartement des douanes et </w:t>
      </w:r>
      <w:r w:rsidR="00387D4E" w:rsidRPr="005D65F7">
        <w:rPr>
          <w:lang w:val="fr-FR"/>
        </w:rPr>
        <w:t>d</w:t>
      </w:r>
      <w:r w:rsidR="00BA262E">
        <w:rPr>
          <w:lang w:val="fr-FR"/>
        </w:rPr>
        <w:t>’</w:t>
      </w:r>
      <w:r w:rsidR="00387D4E" w:rsidRPr="005D65F7">
        <w:rPr>
          <w:lang w:val="fr-FR"/>
        </w:rPr>
        <w:t>autres organismes d</w:t>
      </w:r>
      <w:r w:rsidR="00BA262E">
        <w:rPr>
          <w:lang w:val="fr-FR"/>
        </w:rPr>
        <w:t>’</w:t>
      </w:r>
      <w:r w:rsidR="00387D4E" w:rsidRPr="005D65F7">
        <w:rPr>
          <w:lang w:val="fr-FR"/>
        </w:rPr>
        <w:t>exécution)</w:t>
      </w:r>
      <w:r w:rsidR="00387D4E" w:rsidRPr="00387D4E">
        <w:rPr>
          <w:lang w:val="fr-FR"/>
        </w:rPr>
        <w:t xml:space="preserve"> traitant de la législation sur les SAO, notamment les codes douaniers, et de la prévention du commerce illégal des SAO, l</w:t>
      </w:r>
      <w:r w:rsidR="00BA262E">
        <w:rPr>
          <w:lang w:val="fr-FR"/>
        </w:rPr>
        <w:t>’</w:t>
      </w:r>
      <w:r w:rsidR="00387D4E" w:rsidRPr="00387D4E">
        <w:rPr>
          <w:lang w:val="fr-FR"/>
        </w:rPr>
        <w:t>identification des frigorigènes et l</w:t>
      </w:r>
      <w:r w:rsidR="00BA262E">
        <w:rPr>
          <w:lang w:val="fr-FR"/>
        </w:rPr>
        <w:t>’</w:t>
      </w:r>
      <w:r w:rsidR="00387D4E" w:rsidRPr="00387D4E">
        <w:rPr>
          <w:lang w:val="fr-FR"/>
        </w:rPr>
        <w:t xml:space="preserve">inspection des </w:t>
      </w:r>
      <w:r w:rsidR="00387D4E" w:rsidRPr="00387D4E">
        <w:rPr>
          <w:lang w:val="fr-FR" w:eastAsia="zh-CN"/>
        </w:rPr>
        <w:t>équipements de réfrigération et de climatisation</w:t>
      </w:r>
      <w:r w:rsidR="00387D4E" w:rsidRPr="00387D4E">
        <w:rPr>
          <w:lang w:val="fr-FR"/>
        </w:rPr>
        <w:t> ; organisation</w:t>
      </w:r>
      <w:r w:rsidR="00BA262E">
        <w:rPr>
          <w:lang w:val="fr-FR"/>
        </w:rPr>
        <w:t> </w:t>
      </w:r>
      <w:r w:rsidR="00387D4E" w:rsidRPr="00387D4E">
        <w:rPr>
          <w:lang w:val="fr-FR"/>
        </w:rPr>
        <w:t>d</w:t>
      </w:r>
      <w:r w:rsidR="00BA262E">
        <w:rPr>
          <w:lang w:val="fr-FR"/>
        </w:rPr>
        <w:t>’</w:t>
      </w:r>
      <w:r w:rsidR="00387D4E" w:rsidRPr="00387D4E">
        <w:rPr>
          <w:lang w:val="fr-FR"/>
        </w:rPr>
        <w:t>un atelier annuel de sensibilisation sur les substances réglementées et les quotas de HCFC pour au moins 60 importateurs ; élaboration et distribution aux principales parties prenantes de 3000 calendriers des mesures de réglementation de l</w:t>
      </w:r>
      <w:r w:rsidR="00BA262E">
        <w:rPr>
          <w:lang w:val="fr-FR"/>
        </w:rPr>
        <w:t>’</w:t>
      </w:r>
      <w:r w:rsidR="00387D4E" w:rsidRPr="00387D4E">
        <w:rPr>
          <w:lang w:val="fr-FR"/>
        </w:rPr>
        <w:t>élimination des SAO ; les lignes directrices et les outils d</w:t>
      </w:r>
      <w:r w:rsidR="00BA262E">
        <w:rPr>
          <w:lang w:val="fr-FR"/>
        </w:rPr>
        <w:t>’</w:t>
      </w:r>
      <w:r w:rsidR="00387D4E" w:rsidRPr="00387D4E">
        <w:rPr>
          <w:lang w:val="fr-FR"/>
        </w:rPr>
        <w:t>information à l</w:t>
      </w:r>
      <w:r w:rsidR="00BA262E">
        <w:rPr>
          <w:lang w:val="fr-FR"/>
        </w:rPr>
        <w:t>’</w:t>
      </w:r>
      <w:r w:rsidR="00387D4E" w:rsidRPr="00387D4E">
        <w:rPr>
          <w:lang w:val="fr-FR"/>
        </w:rPr>
        <w:t>appui du contrôle des SAO seront imprimés et distribués aux agents des douanes ayant suivi une formation ; (38 800 $US et 7 982 $US de la première tranche) ;</w:t>
      </w:r>
      <w:r w:rsidR="00387D4E" w:rsidRPr="00A7342F">
        <w:rPr>
          <w:lang w:val="fr-FR"/>
        </w:rPr>
        <w:t xml:space="preserve"> </w:t>
      </w:r>
    </w:p>
    <w:p w14:paraId="2CB4FCA2" w14:textId="5AE75E1A" w:rsidR="00387D4E" w:rsidRPr="00A7342F" w:rsidRDefault="00387D4E" w:rsidP="00A7342F">
      <w:pPr>
        <w:pStyle w:val="Heading2"/>
        <w:widowControl/>
        <w:suppressAutoHyphens/>
        <w:rPr>
          <w:rFonts w:eastAsia="SimSun"/>
          <w:lang w:val="fr-FR" w:eastAsia="zh-CN"/>
        </w:rPr>
      </w:pPr>
      <w:r w:rsidRPr="00387D4E">
        <w:rPr>
          <w:rFonts w:eastAsia="SimSun"/>
          <w:i/>
          <w:lang w:val="fr-FR" w:eastAsia="zh-CN"/>
        </w:rPr>
        <w:t>Renforcement des capacités et sensibilisation du secteur de l</w:t>
      </w:r>
      <w:r w:rsidR="00BA262E">
        <w:rPr>
          <w:rFonts w:eastAsia="SimSun"/>
          <w:i/>
          <w:lang w:val="fr-FR" w:eastAsia="zh-CN"/>
        </w:rPr>
        <w:t>’</w:t>
      </w:r>
      <w:r w:rsidRPr="00387D4E">
        <w:rPr>
          <w:rFonts w:eastAsia="SimSun"/>
          <w:i/>
          <w:lang w:val="fr-FR" w:eastAsia="zh-CN"/>
        </w:rPr>
        <w:t xml:space="preserve">entretien </w:t>
      </w:r>
      <w:r w:rsidR="005D65F7" w:rsidRPr="00387D4E">
        <w:rPr>
          <w:rFonts w:eastAsia="SimSun"/>
          <w:i/>
          <w:lang w:val="fr-FR" w:eastAsia="zh-CN"/>
        </w:rPr>
        <w:t xml:space="preserve">et des utilisateurs finaux </w:t>
      </w:r>
      <w:r w:rsidRPr="00387D4E">
        <w:rPr>
          <w:rFonts w:eastAsia="SimSun"/>
          <w:i/>
          <w:lang w:val="fr-FR" w:eastAsia="zh-CN"/>
        </w:rPr>
        <w:t>des équipements de réfrigération et de climatisation, en vue d</w:t>
      </w:r>
      <w:r w:rsidR="00BA262E">
        <w:rPr>
          <w:rFonts w:eastAsia="SimSun"/>
          <w:i/>
          <w:lang w:val="fr-FR" w:eastAsia="zh-CN"/>
        </w:rPr>
        <w:t>’</w:t>
      </w:r>
      <w:r w:rsidRPr="00387D4E">
        <w:rPr>
          <w:rFonts w:eastAsia="SimSun"/>
          <w:i/>
          <w:lang w:val="fr-FR" w:eastAsia="zh-CN"/>
        </w:rPr>
        <w:t>éliminer la consommation de HCFC :</w:t>
      </w:r>
      <w:r w:rsidRPr="00A7342F">
        <w:rPr>
          <w:rFonts w:eastAsia="SimSun"/>
          <w:lang w:val="fr-FR" w:eastAsia="zh-CN"/>
        </w:rPr>
        <w:t xml:space="preserve"> </w:t>
      </w:r>
      <w:r w:rsidR="009A08C7" w:rsidRPr="009A08C7">
        <w:rPr>
          <w:rFonts w:eastAsia="SimSun"/>
          <w:lang w:val="fr-FR" w:eastAsia="zh-CN"/>
        </w:rPr>
        <w:t>Deux séminaires de formation des formateurs sur les bonnes pratiques et les frigorigènes de remplacement mettant l</w:t>
      </w:r>
      <w:r w:rsidR="00BA262E">
        <w:rPr>
          <w:rFonts w:eastAsia="SimSun"/>
          <w:lang w:val="fr-FR" w:eastAsia="zh-CN"/>
        </w:rPr>
        <w:t>’</w:t>
      </w:r>
      <w:r w:rsidR="009A08C7" w:rsidRPr="009A08C7">
        <w:rPr>
          <w:rFonts w:eastAsia="SimSun"/>
          <w:lang w:val="fr-FR" w:eastAsia="zh-CN"/>
        </w:rPr>
        <w:t>accent sur les frigorigènes naturels et autres frigorigènes à faible PRP visant 20 formateurs ; un atelier de formation de six jours destinés à 160 techniciens frigoristes sur les bonnes pratiques de l</w:t>
      </w:r>
      <w:r w:rsidR="00BA262E">
        <w:rPr>
          <w:rFonts w:eastAsia="SimSun"/>
          <w:lang w:val="fr-FR" w:eastAsia="zh-CN"/>
        </w:rPr>
        <w:t>’</w:t>
      </w:r>
      <w:r w:rsidR="009A08C7" w:rsidRPr="009A08C7">
        <w:rPr>
          <w:rFonts w:eastAsia="SimSun"/>
          <w:lang w:val="fr-FR" w:eastAsia="zh-CN"/>
        </w:rPr>
        <w:t xml:space="preserve">entretien, les techniques de R&amp;R et la manipulation sûre des </w:t>
      </w:r>
      <w:r w:rsidR="00E07976">
        <w:rPr>
          <w:rFonts w:eastAsia="SimSun"/>
          <w:lang w:val="fr-FR" w:eastAsia="zh-CN"/>
        </w:rPr>
        <w:t>frigorigènes</w:t>
      </w:r>
      <w:r w:rsidR="009A08C7" w:rsidRPr="009A08C7">
        <w:rPr>
          <w:rFonts w:eastAsia="SimSun"/>
          <w:lang w:val="fr-FR" w:eastAsia="zh-CN"/>
        </w:rPr>
        <w:t xml:space="preserve"> inflammables, accordant la priorité aux provinces n</w:t>
      </w:r>
      <w:r w:rsidR="00BA262E">
        <w:rPr>
          <w:rFonts w:eastAsia="SimSun"/>
          <w:lang w:val="fr-FR" w:eastAsia="zh-CN"/>
        </w:rPr>
        <w:t>’</w:t>
      </w:r>
      <w:r w:rsidR="009A08C7" w:rsidRPr="009A08C7">
        <w:rPr>
          <w:rFonts w:eastAsia="SimSun"/>
          <w:lang w:val="fr-FR" w:eastAsia="zh-CN"/>
        </w:rPr>
        <w:t xml:space="preserve">ayant pas reçu de formation dans </w:t>
      </w:r>
      <w:r w:rsidR="00E07976">
        <w:rPr>
          <w:rFonts w:eastAsia="SimSun"/>
          <w:lang w:val="fr-FR" w:eastAsia="zh-CN"/>
        </w:rPr>
        <w:t>l</w:t>
      </w:r>
      <w:r w:rsidR="009A08C7" w:rsidRPr="009A08C7">
        <w:rPr>
          <w:rFonts w:eastAsia="SimSun"/>
          <w:lang w:val="fr-FR" w:eastAsia="zh-CN"/>
        </w:rPr>
        <w:t>e</w:t>
      </w:r>
      <w:r w:rsidR="00BA262E">
        <w:rPr>
          <w:rFonts w:eastAsia="SimSun"/>
          <w:lang w:val="fr-FR" w:eastAsia="zh-CN"/>
        </w:rPr>
        <w:t> </w:t>
      </w:r>
      <w:r w:rsidR="009A08C7" w:rsidRPr="009A08C7">
        <w:rPr>
          <w:rFonts w:eastAsia="SimSun"/>
          <w:lang w:val="fr-FR" w:eastAsia="zh-CN"/>
        </w:rPr>
        <w:t>cadre de la première tranche ; remplacement de dispositifs dans quatre installations d</w:t>
      </w:r>
      <w:r w:rsidR="00BA262E">
        <w:rPr>
          <w:rFonts w:eastAsia="SimSun"/>
          <w:lang w:val="fr-FR" w:eastAsia="zh-CN"/>
        </w:rPr>
        <w:t>’</w:t>
      </w:r>
      <w:r w:rsidR="009A08C7" w:rsidRPr="009A08C7">
        <w:rPr>
          <w:rFonts w:eastAsia="SimSun"/>
          <w:lang w:val="fr-FR" w:eastAsia="zh-CN"/>
        </w:rPr>
        <w:t>utilisateurs finaux par une technologie à faible PRP à des fins de démonstration, et quatre séminaires sur les solutions de remplacement à faible PR</w:t>
      </w:r>
      <w:r w:rsidR="00BD1F07">
        <w:rPr>
          <w:rFonts w:eastAsia="SimSun"/>
          <w:lang w:val="fr-FR" w:eastAsia="zh-CN"/>
        </w:rPr>
        <w:t>P</w:t>
      </w:r>
      <w:r w:rsidR="009A08C7" w:rsidRPr="009A08C7">
        <w:rPr>
          <w:rFonts w:eastAsia="SimSun"/>
          <w:lang w:val="fr-FR" w:eastAsia="zh-CN"/>
        </w:rPr>
        <w:t xml:space="preserve"> ciblant au moins 100 utilisateurs finaux d</w:t>
      </w:r>
      <w:r w:rsidR="00BA262E">
        <w:rPr>
          <w:rFonts w:eastAsia="SimSun"/>
          <w:lang w:val="fr-FR" w:eastAsia="zh-CN"/>
        </w:rPr>
        <w:t>’</w:t>
      </w:r>
      <w:r w:rsidR="009A08C7" w:rsidRPr="009A08C7">
        <w:rPr>
          <w:rFonts w:eastAsia="SimSun"/>
          <w:lang w:val="fr-FR" w:eastAsia="zh-CN"/>
        </w:rPr>
        <w:t>équipements de réfrigération et de climatisation d</w:t>
      </w:r>
      <w:r w:rsidR="00BA262E">
        <w:rPr>
          <w:rFonts w:eastAsia="SimSun"/>
          <w:lang w:val="fr-FR" w:eastAsia="zh-CN"/>
        </w:rPr>
        <w:t>’</w:t>
      </w:r>
      <w:r w:rsidR="009A08C7" w:rsidRPr="009A08C7">
        <w:rPr>
          <w:rFonts w:eastAsia="SimSun"/>
          <w:lang w:val="fr-FR" w:eastAsia="zh-CN"/>
        </w:rPr>
        <w:t>hôtels et de supermarchés ; activités de sensibilisation, y compris l</w:t>
      </w:r>
      <w:r w:rsidR="00BA262E">
        <w:rPr>
          <w:rFonts w:eastAsia="SimSun"/>
          <w:lang w:val="fr-FR" w:eastAsia="zh-CN"/>
        </w:rPr>
        <w:t>’</w:t>
      </w:r>
      <w:r w:rsidR="009A08C7" w:rsidRPr="009A08C7">
        <w:rPr>
          <w:rFonts w:eastAsia="SimSun"/>
          <w:lang w:val="fr-FR" w:eastAsia="zh-CN"/>
        </w:rPr>
        <w:t>élaboration d</w:t>
      </w:r>
      <w:r w:rsidR="00BA262E">
        <w:rPr>
          <w:rFonts w:eastAsia="SimSun"/>
          <w:lang w:val="fr-FR" w:eastAsia="zh-CN"/>
        </w:rPr>
        <w:t>’</w:t>
      </w:r>
      <w:r w:rsidR="009A08C7" w:rsidRPr="009A08C7">
        <w:rPr>
          <w:rFonts w:eastAsia="SimSun"/>
          <w:lang w:val="fr-FR" w:eastAsia="zh-CN"/>
        </w:rPr>
        <w:t>affiches, de brochures d</w:t>
      </w:r>
      <w:r w:rsidR="00BA262E">
        <w:rPr>
          <w:rFonts w:eastAsia="SimSun"/>
          <w:lang w:val="fr-FR" w:eastAsia="zh-CN"/>
        </w:rPr>
        <w:t>’</w:t>
      </w:r>
      <w:r w:rsidR="009A08C7" w:rsidRPr="009A08C7">
        <w:rPr>
          <w:rFonts w:eastAsia="SimSun"/>
          <w:lang w:val="fr-FR" w:eastAsia="zh-CN"/>
        </w:rPr>
        <w:t>information, de livrets, de fiches techniques et d</w:t>
      </w:r>
      <w:r w:rsidR="00BA262E">
        <w:rPr>
          <w:rFonts w:eastAsia="SimSun"/>
          <w:lang w:val="fr-FR" w:eastAsia="zh-CN"/>
        </w:rPr>
        <w:t>’</w:t>
      </w:r>
      <w:r w:rsidR="009A08C7" w:rsidRPr="009A08C7">
        <w:rPr>
          <w:rFonts w:eastAsia="SimSun"/>
          <w:lang w:val="fr-FR" w:eastAsia="zh-CN"/>
        </w:rPr>
        <w:t>une vidéo sur les activités du PGEH (167 540 $US et 35</w:t>
      </w:r>
      <w:r w:rsidR="00A7342F">
        <w:rPr>
          <w:rFonts w:eastAsia="SimSun"/>
          <w:lang w:val="fr-FR" w:eastAsia="zh-CN"/>
        </w:rPr>
        <w:t> </w:t>
      </w:r>
      <w:r w:rsidR="009A08C7" w:rsidRPr="009A08C7">
        <w:rPr>
          <w:rFonts w:eastAsia="SimSun"/>
          <w:lang w:val="fr-FR" w:eastAsia="zh-CN"/>
        </w:rPr>
        <w:t>714 $US provenant de la première tranche</w:t>
      </w:r>
      <w:r w:rsidR="009A08C7" w:rsidRPr="009A08C7">
        <w:rPr>
          <w:lang w:val="fr-FR"/>
        </w:rPr>
        <w:t>) ;</w:t>
      </w:r>
      <w:r w:rsidR="009A08C7" w:rsidRPr="00A7342F">
        <w:rPr>
          <w:lang w:val="fr-FR"/>
        </w:rPr>
        <w:t xml:space="preserve"> </w:t>
      </w:r>
    </w:p>
    <w:p w14:paraId="5E0A5E57" w14:textId="01D3F802" w:rsidR="009A08C7" w:rsidRPr="00A7342F" w:rsidRDefault="009A08C7" w:rsidP="00A7342F">
      <w:pPr>
        <w:pStyle w:val="Heading2"/>
        <w:widowControl/>
        <w:suppressAutoHyphens/>
        <w:rPr>
          <w:lang w:val="fr-FR"/>
        </w:rPr>
      </w:pPr>
      <w:r w:rsidRPr="009A08C7">
        <w:rPr>
          <w:rFonts w:eastAsia="SimSun"/>
          <w:i/>
          <w:lang w:val="fr-FR" w:eastAsia="zh-CN"/>
        </w:rPr>
        <w:t>Renforcement du réseau de R&amp;R et des instituts de formation professionnelle :</w:t>
      </w:r>
      <w:r w:rsidRPr="00A7342F">
        <w:rPr>
          <w:lang w:val="fr-FR"/>
        </w:rPr>
        <w:t xml:space="preserve"> </w:t>
      </w:r>
      <w:r w:rsidRPr="009A08C7">
        <w:rPr>
          <w:lang w:val="fr-FR"/>
        </w:rPr>
        <w:t>Développement d</w:t>
      </w:r>
      <w:r w:rsidR="00BA262E">
        <w:rPr>
          <w:lang w:val="fr-FR"/>
        </w:rPr>
        <w:t>’</w:t>
      </w:r>
      <w:r w:rsidRPr="009A08C7">
        <w:rPr>
          <w:lang w:val="fr-FR"/>
        </w:rPr>
        <w:t>un modèle de fonctionnement d</w:t>
      </w:r>
      <w:r w:rsidR="00BA262E">
        <w:rPr>
          <w:lang w:val="fr-FR"/>
        </w:rPr>
        <w:t>’</w:t>
      </w:r>
      <w:r w:rsidRPr="009A08C7">
        <w:rPr>
          <w:lang w:val="fr-FR"/>
        </w:rPr>
        <w:t>un réseau de R&amp;R ; acquisition de quatre dispositifs de R&amp;R pour soutenir les centres de R&amp;R et de 50 boîtes à outils pour les techniciens de l</w:t>
      </w:r>
      <w:r w:rsidR="00BA262E">
        <w:rPr>
          <w:lang w:val="fr-FR"/>
        </w:rPr>
        <w:t>’</w:t>
      </w:r>
      <w:r w:rsidRPr="009A08C7">
        <w:rPr>
          <w:lang w:val="fr-FR"/>
        </w:rPr>
        <w:t>entretien (95 220 $ US et 40 985 $ US provenant de la première tranche) ;</w:t>
      </w:r>
    </w:p>
    <w:p w14:paraId="194D41FD" w14:textId="4F952FCD" w:rsidR="009A08C7" w:rsidRPr="00A7342F" w:rsidRDefault="009A08C7" w:rsidP="00A7342F">
      <w:pPr>
        <w:pStyle w:val="Heading2"/>
        <w:widowControl/>
        <w:suppressAutoHyphens/>
        <w:rPr>
          <w:lang w:val="fr-FR" w:eastAsia="zh-CN"/>
        </w:rPr>
      </w:pPr>
      <w:r w:rsidRPr="009A08C7">
        <w:rPr>
          <w:i/>
          <w:lang w:val="fr-FR"/>
        </w:rPr>
        <w:t>Surveillance, coordination et rapports d</w:t>
      </w:r>
      <w:r w:rsidR="00BD1F07">
        <w:rPr>
          <w:i/>
          <w:lang w:val="fr-FR"/>
        </w:rPr>
        <w:t>e</w:t>
      </w:r>
      <w:r w:rsidRPr="009A08C7">
        <w:rPr>
          <w:i/>
          <w:lang w:val="fr-FR"/>
        </w:rPr>
        <w:t xml:space="preserve"> projet :</w:t>
      </w:r>
      <w:r w:rsidRPr="00A7342F">
        <w:rPr>
          <w:lang w:val="fr-FR"/>
        </w:rPr>
        <w:t xml:space="preserve"> </w:t>
      </w:r>
      <w:r w:rsidRPr="009A08C7">
        <w:rPr>
          <w:lang w:val="fr-FR" w:eastAsia="zh-CN"/>
        </w:rPr>
        <w:t>L</w:t>
      </w:r>
      <w:r w:rsidR="00BA262E">
        <w:rPr>
          <w:lang w:val="fr-FR" w:eastAsia="zh-CN"/>
        </w:rPr>
        <w:t>’</w:t>
      </w:r>
      <w:r w:rsidRPr="009A08C7">
        <w:rPr>
          <w:lang w:val="fr-FR" w:eastAsia="zh-CN"/>
        </w:rPr>
        <w:t>UNO coordonnera et assurera le suivi du PGEH par le biais de réunions et de visites sur place dans toutes les provinces étant donné que des activités locales seront mises en œuvre ;</w:t>
      </w:r>
      <w:r w:rsidR="00BA262E">
        <w:rPr>
          <w:lang w:val="fr-FR" w:eastAsia="zh-CN"/>
        </w:rPr>
        <w:t> </w:t>
      </w:r>
      <w:r w:rsidRPr="009A08C7">
        <w:rPr>
          <w:lang w:val="fr-FR" w:eastAsia="zh-CN"/>
        </w:rPr>
        <w:t>au moins deux réunions annuelles seront organisées entre l</w:t>
      </w:r>
      <w:r w:rsidR="00BA262E">
        <w:rPr>
          <w:lang w:val="fr-FR" w:eastAsia="zh-CN"/>
        </w:rPr>
        <w:t>’</w:t>
      </w:r>
      <w:r w:rsidRPr="009A08C7">
        <w:rPr>
          <w:lang w:val="fr-FR" w:eastAsia="zh-CN"/>
        </w:rPr>
        <w:t>UNO, le PNUD et le ministère de l</w:t>
      </w:r>
      <w:r w:rsidR="00BA262E">
        <w:rPr>
          <w:lang w:val="fr-FR" w:eastAsia="zh-CN"/>
        </w:rPr>
        <w:t>’</w:t>
      </w:r>
      <w:r w:rsidRPr="009A08C7">
        <w:rPr>
          <w:lang w:val="fr-FR" w:eastAsia="zh-CN"/>
        </w:rPr>
        <w:t>Environnement pour examiner la mise en œuvre du PGEH.</w:t>
      </w:r>
      <w:r w:rsidRPr="00A7342F">
        <w:rPr>
          <w:lang w:val="fr-FR" w:eastAsia="zh-CN"/>
        </w:rPr>
        <w:t xml:space="preserve"> </w:t>
      </w:r>
      <w:r w:rsidRPr="009A08C7">
        <w:rPr>
          <w:lang w:val="fr-FR"/>
        </w:rPr>
        <w:t>(54 040 $ US et 23 908 $ US provenant de la première tranche, y compris les coûts des consultants et des déplacements dans toutes les provinces).</w:t>
      </w:r>
      <w:r w:rsidRPr="00A7342F">
        <w:rPr>
          <w:lang w:val="fr-FR"/>
        </w:rPr>
        <w:t xml:space="preserve"> </w:t>
      </w:r>
    </w:p>
    <w:p w14:paraId="32E3693D" w14:textId="77777777" w:rsidR="00B832BB" w:rsidRPr="00A7342F" w:rsidRDefault="00B832BB" w:rsidP="00A7342F">
      <w:pPr>
        <w:suppressAutoHyphens/>
        <w:spacing w:after="240"/>
        <w:jc w:val="center"/>
        <w:rPr>
          <w:lang w:val="fr-FR"/>
        </w:rPr>
      </w:pPr>
    </w:p>
    <w:p w14:paraId="2831E386" w14:textId="48ED3F2B" w:rsidR="00A343FC" w:rsidRPr="00A7342F" w:rsidRDefault="009A08C7" w:rsidP="00A7342F">
      <w:pPr>
        <w:keepNext/>
        <w:keepLines/>
        <w:widowControl w:val="0"/>
        <w:suppressAutoHyphens/>
        <w:spacing w:after="240"/>
        <w:jc w:val="center"/>
        <w:rPr>
          <w:b/>
          <w:lang w:val="fr-FR"/>
        </w:rPr>
      </w:pPr>
      <w:r w:rsidRPr="009A08C7">
        <w:rPr>
          <w:b/>
          <w:lang w:val="fr-FR"/>
        </w:rPr>
        <w:lastRenderedPageBreak/>
        <w:t>OBSERVATIONS ET RECOMMANDATION DU SECRÉTARIAT</w:t>
      </w:r>
    </w:p>
    <w:p w14:paraId="18F41F16" w14:textId="153EE7E8" w:rsidR="00A343FC" w:rsidRPr="00A7342F" w:rsidRDefault="009A08C7" w:rsidP="00A7342F">
      <w:pPr>
        <w:keepNext/>
        <w:keepLines/>
        <w:widowControl w:val="0"/>
        <w:suppressAutoHyphens/>
        <w:spacing w:after="240"/>
        <w:rPr>
          <w:b/>
          <w:lang w:val="fr-FR"/>
        </w:rPr>
      </w:pPr>
      <w:r w:rsidRPr="009A08C7">
        <w:rPr>
          <w:b/>
          <w:lang w:val="fr-FR"/>
        </w:rPr>
        <w:t>OBSERVATIONS</w:t>
      </w:r>
    </w:p>
    <w:p w14:paraId="20F9EBB3" w14:textId="661E581C" w:rsidR="00A343FC" w:rsidRPr="00A7342F" w:rsidRDefault="009A08C7" w:rsidP="00A7342F">
      <w:pPr>
        <w:suppressAutoHyphens/>
        <w:spacing w:after="240"/>
        <w:rPr>
          <w:u w:val="single"/>
          <w:lang w:val="fr-FR"/>
        </w:rPr>
      </w:pPr>
      <w:r w:rsidRPr="009A08C7">
        <w:rPr>
          <w:u w:val="single"/>
          <w:lang w:val="fr-FR"/>
        </w:rPr>
        <w:t>Rapport périodique sur la mise en œuvre de la première tranche du PGEH</w:t>
      </w:r>
    </w:p>
    <w:p w14:paraId="15A1CECD" w14:textId="2F8E4810" w:rsidR="00A343FC" w:rsidRPr="009A08C7" w:rsidRDefault="009A08C7" w:rsidP="00A7342F">
      <w:pPr>
        <w:suppressAutoHyphens/>
        <w:spacing w:after="240"/>
        <w:rPr>
          <w:i/>
        </w:rPr>
      </w:pPr>
      <w:r w:rsidRPr="009A08C7">
        <w:rPr>
          <w:i/>
          <w:lang w:val="fr-FR"/>
        </w:rPr>
        <w:t>Cadre</w:t>
      </w:r>
      <w:r w:rsidR="00BA262E">
        <w:rPr>
          <w:i/>
          <w:lang w:val="fr-FR"/>
        </w:rPr>
        <w:t> </w:t>
      </w:r>
      <w:r w:rsidRPr="009A08C7">
        <w:rPr>
          <w:i/>
          <w:lang w:val="fr-FR"/>
        </w:rPr>
        <w:t>juridique</w:t>
      </w:r>
    </w:p>
    <w:p w14:paraId="60585CB0" w14:textId="38910737" w:rsidR="009A08C7" w:rsidRPr="00A7342F" w:rsidRDefault="009A08C7" w:rsidP="00A7342F">
      <w:pPr>
        <w:pStyle w:val="Heading1"/>
        <w:suppressAutoHyphens/>
        <w:rPr>
          <w:lang w:val="fr-FR"/>
        </w:rPr>
      </w:pPr>
      <w:r w:rsidRPr="009A08C7">
        <w:rPr>
          <w:lang w:val="fr-FR"/>
        </w:rPr>
        <w:t>Le</w:t>
      </w:r>
      <w:r w:rsidR="00BA262E">
        <w:rPr>
          <w:lang w:val="fr-FR"/>
        </w:rPr>
        <w:t> </w:t>
      </w:r>
      <w:r w:rsidRPr="009A08C7">
        <w:rPr>
          <w:lang w:val="fr-FR"/>
        </w:rPr>
        <w:t>gouvernement de l</w:t>
      </w:r>
      <w:r w:rsidR="00BA262E">
        <w:rPr>
          <w:lang w:val="fr-FR"/>
        </w:rPr>
        <w:t>’</w:t>
      </w:r>
      <w:r w:rsidRPr="009A08C7">
        <w:rPr>
          <w:lang w:val="fr-FR"/>
        </w:rPr>
        <w:t>Angola a déjà émis pour 2021 des quotas d</w:t>
      </w:r>
      <w:r w:rsidR="00BA262E">
        <w:rPr>
          <w:lang w:val="fr-FR"/>
        </w:rPr>
        <w:t>’</w:t>
      </w:r>
      <w:r w:rsidRPr="009A08C7">
        <w:rPr>
          <w:lang w:val="fr-FR"/>
        </w:rPr>
        <w:t>importation de HCFC fixés à 6,05 tonnes PAO, quantité inférieure aux objectifs de réglementation du Protocole de Montréal.</w:t>
      </w:r>
    </w:p>
    <w:p w14:paraId="679358CC" w14:textId="7C27BC1D" w:rsidR="00D26327" w:rsidRPr="009A08C7" w:rsidRDefault="009A08C7" w:rsidP="00A7342F">
      <w:pPr>
        <w:suppressAutoHyphens/>
        <w:spacing w:after="240"/>
        <w:rPr>
          <w:i/>
        </w:rPr>
      </w:pPr>
      <w:r w:rsidRPr="009A08C7">
        <w:rPr>
          <w:i/>
          <w:lang w:val="fr-FR"/>
        </w:rPr>
        <w:t>Rapport de vérification</w:t>
      </w:r>
    </w:p>
    <w:p w14:paraId="79BC4CD6" w14:textId="7C55F9E5" w:rsidR="009A08C7" w:rsidRPr="00A7342F" w:rsidRDefault="009A08C7" w:rsidP="00A7342F">
      <w:pPr>
        <w:pStyle w:val="Heading1"/>
        <w:suppressAutoHyphens/>
        <w:rPr>
          <w:lang w:val="fr-FR"/>
        </w:rPr>
      </w:pPr>
      <w:r w:rsidRPr="009A08C7">
        <w:rPr>
          <w:lang w:val="fr-FR" w:eastAsia="zh-CN"/>
        </w:rPr>
        <w:t>Conformément aux recommandations du rapport de vérification, le gouvernement de l</w:t>
      </w:r>
      <w:r w:rsidR="00BA262E">
        <w:rPr>
          <w:lang w:val="fr-FR" w:eastAsia="zh-CN"/>
        </w:rPr>
        <w:t>’</w:t>
      </w:r>
      <w:r w:rsidRPr="009A08C7">
        <w:rPr>
          <w:lang w:val="fr-FR" w:eastAsia="zh-CN"/>
        </w:rPr>
        <w:t>Angola adoptera les mesures appropriées suivantes : interdiction à compter du 1</w:t>
      </w:r>
      <w:r w:rsidRPr="009A08C7">
        <w:rPr>
          <w:vertAlign w:val="superscript"/>
          <w:lang w:val="fr-FR" w:eastAsia="zh-CN"/>
        </w:rPr>
        <w:t>er</w:t>
      </w:r>
      <w:r w:rsidRPr="009A08C7">
        <w:rPr>
          <w:lang w:val="fr-FR" w:eastAsia="zh-CN"/>
        </w:rPr>
        <w:t xml:space="preserve"> janvier 2025 des importations de HCFC à l</w:t>
      </w:r>
      <w:r w:rsidR="00BA262E">
        <w:rPr>
          <w:lang w:val="fr-FR" w:eastAsia="zh-CN"/>
        </w:rPr>
        <w:t>’</w:t>
      </w:r>
      <w:r w:rsidRPr="009A08C7">
        <w:rPr>
          <w:lang w:val="fr-FR" w:eastAsia="zh-CN"/>
        </w:rPr>
        <w:t>exception du HCFC-22 et des équipements à base de HCFC ; modification de la législation</w:t>
      </w:r>
      <w:r w:rsidRPr="009A08C7">
        <w:rPr>
          <w:rStyle w:val="FootnoteReference"/>
          <w:lang w:val="fr-FR"/>
        </w:rPr>
        <w:footnoteReference w:id="5"/>
      </w:r>
      <w:r w:rsidRPr="009A08C7">
        <w:rPr>
          <w:lang w:val="fr-FR"/>
        </w:rPr>
        <w:t xml:space="preserve"> </w:t>
      </w:r>
      <w:r w:rsidRPr="009A08C7">
        <w:rPr>
          <w:lang w:val="fr-FR" w:eastAsia="zh-CN"/>
        </w:rPr>
        <w:t>sur les SAO quant à la définition de la procédure de recouvrement des amendes en cas de violation des réglementations sur les SAO à compter du 1</w:t>
      </w:r>
      <w:r w:rsidRPr="009A08C7">
        <w:rPr>
          <w:vertAlign w:val="superscript"/>
          <w:lang w:val="fr-FR" w:eastAsia="zh-CN"/>
        </w:rPr>
        <w:t>er</w:t>
      </w:r>
      <w:r w:rsidR="00BA262E">
        <w:rPr>
          <w:lang w:val="fr-FR" w:eastAsia="zh-CN"/>
        </w:rPr>
        <w:t> </w:t>
      </w:r>
      <w:r w:rsidRPr="009A08C7">
        <w:rPr>
          <w:lang w:val="fr-FR" w:eastAsia="zh-CN"/>
        </w:rPr>
        <w:t>janvier 2025 ; adoption des codes du système harmonisé (SH) et élaboration d</w:t>
      </w:r>
      <w:r w:rsidR="00BA262E">
        <w:rPr>
          <w:lang w:val="fr-FR" w:eastAsia="zh-CN"/>
        </w:rPr>
        <w:t>’</w:t>
      </w:r>
      <w:r w:rsidRPr="009A08C7">
        <w:rPr>
          <w:lang w:val="fr-FR" w:eastAsia="zh-CN"/>
        </w:rPr>
        <w:t>un système d</w:t>
      </w:r>
      <w:r w:rsidR="00BA262E">
        <w:rPr>
          <w:lang w:val="fr-FR" w:eastAsia="zh-CN"/>
        </w:rPr>
        <w:t>’</w:t>
      </w:r>
      <w:r w:rsidRPr="009A08C7">
        <w:rPr>
          <w:lang w:val="fr-FR" w:eastAsia="zh-CN"/>
        </w:rPr>
        <w:t>autorisation et de quotas en ligne d</w:t>
      </w:r>
      <w:r w:rsidR="00BA262E">
        <w:rPr>
          <w:lang w:val="fr-FR" w:eastAsia="zh-CN"/>
        </w:rPr>
        <w:t>’</w:t>
      </w:r>
      <w:r w:rsidRPr="009A08C7">
        <w:rPr>
          <w:lang w:val="fr-FR" w:eastAsia="zh-CN"/>
        </w:rPr>
        <w:t>ici le 1</w:t>
      </w:r>
      <w:r w:rsidRPr="009A08C7">
        <w:rPr>
          <w:vertAlign w:val="superscript"/>
          <w:lang w:val="fr-FR" w:eastAsia="zh-CN"/>
        </w:rPr>
        <w:t>er</w:t>
      </w:r>
      <w:r w:rsidR="00BA262E">
        <w:rPr>
          <w:lang w:val="fr-FR" w:eastAsia="zh-CN"/>
        </w:rPr>
        <w:t> </w:t>
      </w:r>
      <w:r w:rsidRPr="009A08C7">
        <w:rPr>
          <w:lang w:val="fr-FR" w:eastAsia="zh-CN"/>
        </w:rPr>
        <w:t>janvier 2024. En conséquence, le financement pour le renforcement de la capacité d</w:t>
      </w:r>
      <w:r w:rsidR="00BA262E">
        <w:rPr>
          <w:lang w:val="fr-FR" w:eastAsia="zh-CN"/>
        </w:rPr>
        <w:t>’</w:t>
      </w:r>
      <w:r w:rsidRPr="009A08C7">
        <w:rPr>
          <w:lang w:val="fr-FR" w:eastAsia="zh-CN"/>
        </w:rPr>
        <w:t>application du contrôle de la consommation de HCFC a été ajusté, passant de 38 800 $US à 64 750 $US</w:t>
      </w:r>
      <w:r w:rsidRPr="009A08C7">
        <w:rPr>
          <w:lang w:val="fr-FR"/>
        </w:rPr>
        <w:t>.</w:t>
      </w:r>
    </w:p>
    <w:p w14:paraId="4D329553" w14:textId="5F7FCFAF" w:rsidR="00A343FC" w:rsidRPr="00A7342F" w:rsidRDefault="009A08C7" w:rsidP="00A7342F">
      <w:pPr>
        <w:pStyle w:val="Heading1"/>
        <w:keepNext/>
        <w:numPr>
          <w:ilvl w:val="0"/>
          <w:numId w:val="0"/>
        </w:numPr>
        <w:suppressAutoHyphens/>
        <w:rPr>
          <w:lang w:val="fr-FR"/>
        </w:rPr>
      </w:pPr>
      <w:r w:rsidRPr="009A08C7">
        <w:rPr>
          <w:i/>
          <w:lang w:val="fr-FR"/>
        </w:rPr>
        <w:t>Secteur de l</w:t>
      </w:r>
      <w:r w:rsidR="00BA262E">
        <w:rPr>
          <w:i/>
          <w:lang w:val="fr-FR"/>
        </w:rPr>
        <w:t>’</w:t>
      </w:r>
      <w:r w:rsidRPr="009A08C7">
        <w:rPr>
          <w:i/>
          <w:lang w:val="fr-FR"/>
        </w:rPr>
        <w:t>entretien des équipements de réfrigération</w:t>
      </w:r>
    </w:p>
    <w:p w14:paraId="4B507FC1" w14:textId="5D20E602" w:rsidR="00BD1F07" w:rsidRPr="00A7342F" w:rsidRDefault="008E1A63" w:rsidP="00A7342F">
      <w:pPr>
        <w:pStyle w:val="Heading1"/>
        <w:keepNext/>
        <w:suppressAutoHyphens/>
        <w:rPr>
          <w:lang w:val="fr-FR"/>
        </w:rPr>
      </w:pPr>
      <w:r w:rsidRPr="00BD1F07">
        <w:rPr>
          <w:lang w:val="fr-FR"/>
        </w:rPr>
        <w:t>Au</w:t>
      </w:r>
      <w:r w:rsidR="00BA262E">
        <w:rPr>
          <w:lang w:val="fr-FR"/>
        </w:rPr>
        <w:t> </w:t>
      </w:r>
      <w:r w:rsidRPr="00BD1F07">
        <w:rPr>
          <w:lang w:val="fr-FR"/>
        </w:rPr>
        <w:t>cours du processus d</w:t>
      </w:r>
      <w:r w:rsidR="00BA262E">
        <w:rPr>
          <w:lang w:val="fr-FR"/>
        </w:rPr>
        <w:t>’</w:t>
      </w:r>
      <w:r w:rsidRPr="00BD1F07">
        <w:rPr>
          <w:lang w:val="fr-FR"/>
        </w:rPr>
        <w:t>examen du projet, le PNUD a confirmé que le gouvernement de l</w:t>
      </w:r>
      <w:r w:rsidR="00BA262E">
        <w:rPr>
          <w:lang w:val="fr-FR"/>
        </w:rPr>
        <w:t>’</w:t>
      </w:r>
      <w:r w:rsidRPr="00BD1F07">
        <w:rPr>
          <w:lang w:val="fr-FR"/>
        </w:rPr>
        <w:t>Angola était au courant des décisions 72/17 et 73/34 au sujet des reconversions éventuelles des équipements de réfrigération et de climatisation, et que les reconversions</w:t>
      </w:r>
      <w:r w:rsidR="00BA262E">
        <w:rPr>
          <w:lang w:val="fr-FR"/>
        </w:rPr>
        <w:t> </w:t>
      </w:r>
      <w:r w:rsidRPr="00BD1F07">
        <w:rPr>
          <w:lang w:val="fr-FR"/>
        </w:rPr>
        <w:t>n</w:t>
      </w:r>
      <w:r w:rsidR="00BA262E">
        <w:rPr>
          <w:lang w:val="fr-FR"/>
        </w:rPr>
        <w:t>’</w:t>
      </w:r>
      <w:r w:rsidRPr="00BD1F07">
        <w:rPr>
          <w:lang w:val="fr-FR"/>
        </w:rPr>
        <w:t>avaient pas été encouragées et n</w:t>
      </w:r>
      <w:r w:rsidR="00BA262E">
        <w:rPr>
          <w:lang w:val="fr-FR"/>
        </w:rPr>
        <w:t>’</w:t>
      </w:r>
      <w:r w:rsidRPr="00BD1F07">
        <w:rPr>
          <w:lang w:val="fr-FR"/>
        </w:rPr>
        <w:t>avaient pas eu lieu dans le cadre du PGEH.</w:t>
      </w:r>
      <w:r w:rsidRPr="00A7342F">
        <w:rPr>
          <w:lang w:val="fr-FR"/>
        </w:rPr>
        <w:t xml:space="preserve"> </w:t>
      </w:r>
      <w:r w:rsidRPr="00BD1F07">
        <w:rPr>
          <w:lang w:val="fr-FR"/>
        </w:rPr>
        <w:t>Le PNUD a également précisé que le R-600a est importé pour des applications de réfrigération et que des unités de réfrigération commerciale à base de R-290 sont déjà présentes sur le marché local en Angola ; les ateliers de formation se sont concentrés sur le renforcement des compétences des techniciens dans les bonnes pratiques de l</w:t>
      </w:r>
      <w:r w:rsidR="00BA262E">
        <w:rPr>
          <w:lang w:val="fr-FR"/>
        </w:rPr>
        <w:t>’</w:t>
      </w:r>
      <w:r w:rsidRPr="00BD1F07">
        <w:rPr>
          <w:lang w:val="fr-FR"/>
        </w:rPr>
        <w:t>entretien, y compris la récupération et le recyclage des frigorigènes et la manipulation sûre des frigorigènes inflammables, mais pas dans la reconversion des équipements à base de HCFC.</w:t>
      </w:r>
    </w:p>
    <w:p w14:paraId="29AA0573" w14:textId="55CAA968" w:rsidR="00A40BD9" w:rsidRPr="00A7342F" w:rsidRDefault="00A40BD9" w:rsidP="00A7342F">
      <w:pPr>
        <w:pStyle w:val="Heading1"/>
        <w:keepNext/>
        <w:suppressAutoHyphens/>
        <w:rPr>
          <w:lang w:val="fr-FR"/>
        </w:rPr>
      </w:pPr>
      <w:r w:rsidRPr="00BD1F07">
        <w:rPr>
          <w:lang w:val="fr-FR"/>
        </w:rPr>
        <w:t>En ce qui concerne les activités de remplacement des systèmes de réfrigération dans quatre installations d</w:t>
      </w:r>
      <w:r w:rsidR="00BA262E">
        <w:rPr>
          <w:lang w:val="fr-FR"/>
        </w:rPr>
        <w:t>’</w:t>
      </w:r>
      <w:r w:rsidRPr="00BD1F07">
        <w:rPr>
          <w:lang w:val="fr-FR"/>
        </w:rPr>
        <w:t xml:space="preserve">utilisateurs finaux </w:t>
      </w:r>
      <w:r w:rsidR="00E07976">
        <w:rPr>
          <w:lang w:val="fr-FR"/>
        </w:rPr>
        <w:t>à l’aide de</w:t>
      </w:r>
      <w:r w:rsidRPr="00BD1F07">
        <w:rPr>
          <w:lang w:val="fr-FR"/>
        </w:rPr>
        <w:t xml:space="preserve"> frigorigènes à faible PRP à des fins de démonstration, le PNUD a indiqué qu</w:t>
      </w:r>
      <w:r w:rsidR="00BA262E">
        <w:rPr>
          <w:lang w:val="fr-FR"/>
        </w:rPr>
        <w:t>’</w:t>
      </w:r>
      <w:r w:rsidRPr="00BD1F07">
        <w:rPr>
          <w:lang w:val="fr-FR"/>
        </w:rPr>
        <w:t>après de nouvelles consultations avec le gouvernement et en prenant note des exigences de la décision 84/84, l</w:t>
      </w:r>
      <w:r w:rsidR="00BA262E">
        <w:rPr>
          <w:lang w:val="fr-FR"/>
        </w:rPr>
        <w:t>’</w:t>
      </w:r>
      <w:r w:rsidRPr="00BD1F07">
        <w:rPr>
          <w:lang w:val="fr-FR"/>
        </w:rPr>
        <w:t>activité de démonstration proposée sera remplacée par le renforcement du réseau de R&amp;R et des instituts de formation avec 30 unités et kits d</w:t>
      </w:r>
      <w:r w:rsidR="00BA262E">
        <w:rPr>
          <w:lang w:val="fr-FR"/>
        </w:rPr>
        <w:t>’</w:t>
      </w:r>
      <w:r w:rsidRPr="00BD1F07">
        <w:rPr>
          <w:lang w:val="fr-FR"/>
        </w:rPr>
        <w:t>outils R&amp;R supplémentaires, et quatre simulateurs de dispositifs bibloc à base de R-290 installés</w:t>
      </w:r>
      <w:r w:rsidR="00077A19" w:rsidRPr="00BD1F07">
        <w:rPr>
          <w:lang w:val="fr-FR"/>
        </w:rPr>
        <w:t xml:space="preserve"> </w:t>
      </w:r>
      <w:r w:rsidRPr="00BD1F07">
        <w:rPr>
          <w:lang w:val="fr-FR"/>
        </w:rPr>
        <w:t>dans une configuration particulière à des fins de formation sur les équipements de réfrigération et de climatisation.</w:t>
      </w:r>
      <w:r w:rsidRPr="00A7342F">
        <w:rPr>
          <w:lang w:val="fr-FR"/>
        </w:rPr>
        <w:t xml:space="preserve"> </w:t>
      </w:r>
      <w:r w:rsidRPr="00BD1F07">
        <w:rPr>
          <w:lang w:val="fr-FR"/>
        </w:rPr>
        <w:t>En outre, le PNUD a confirmé qu</w:t>
      </w:r>
      <w:r w:rsidR="00BA262E">
        <w:rPr>
          <w:lang w:val="fr-FR"/>
        </w:rPr>
        <w:t>’</w:t>
      </w:r>
      <w:r w:rsidRPr="00BD1F07">
        <w:rPr>
          <w:lang w:val="fr-FR"/>
        </w:rPr>
        <w:t>aucun remplacement des dispositifs de réfrigération et de climatisation dans le secteur des utilisateurs finaux ne serait financé à l</w:t>
      </w:r>
      <w:r w:rsidR="00BA262E">
        <w:rPr>
          <w:lang w:val="fr-FR"/>
        </w:rPr>
        <w:t>’</w:t>
      </w:r>
      <w:r w:rsidRPr="00BD1F07">
        <w:rPr>
          <w:lang w:val="fr-FR"/>
        </w:rPr>
        <w:t>aide du PGEH.</w:t>
      </w:r>
    </w:p>
    <w:p w14:paraId="0746EDE3" w14:textId="7D8C7E81" w:rsidR="00A40BD9" w:rsidRPr="00A7342F" w:rsidRDefault="00A40BD9" w:rsidP="00A7342F">
      <w:pPr>
        <w:pStyle w:val="Heading1"/>
        <w:suppressAutoHyphens/>
        <w:rPr>
          <w:lang w:val="fr-FR"/>
        </w:rPr>
      </w:pPr>
      <w:r w:rsidRPr="00A40BD9">
        <w:rPr>
          <w:lang w:val="fr-FR"/>
        </w:rPr>
        <w:t>Concernant le réseau de R&amp;R, les résultats attendus et les raisons de la demande d</w:t>
      </w:r>
      <w:r w:rsidR="00BA262E">
        <w:rPr>
          <w:lang w:val="fr-FR"/>
        </w:rPr>
        <w:t>’</w:t>
      </w:r>
      <w:r w:rsidRPr="00A40BD9">
        <w:rPr>
          <w:lang w:val="fr-FR"/>
        </w:rPr>
        <w:t>unités de R&amp;R supplémentaires, le PNUD a précisé que le succès de cette composante du projet serait assuré par le calendrier d</w:t>
      </w:r>
      <w:r w:rsidR="00BA262E">
        <w:rPr>
          <w:lang w:val="fr-FR"/>
        </w:rPr>
        <w:t>’</w:t>
      </w:r>
      <w:r w:rsidRPr="00A40BD9">
        <w:rPr>
          <w:lang w:val="fr-FR"/>
        </w:rPr>
        <w:t>élimination accélérée du pays, et soutenu par la sensibilisation et le renforcement des capacités des techniciens.</w:t>
      </w:r>
      <w:r w:rsidRPr="00A7342F">
        <w:rPr>
          <w:lang w:val="fr-FR"/>
        </w:rPr>
        <w:t xml:space="preserve"> </w:t>
      </w:r>
      <w:r w:rsidRPr="00A40BD9">
        <w:rPr>
          <w:lang w:val="fr-FR"/>
        </w:rPr>
        <w:t>L</w:t>
      </w:r>
      <w:r w:rsidR="00BA262E">
        <w:rPr>
          <w:lang w:val="fr-FR"/>
        </w:rPr>
        <w:t>’</w:t>
      </w:r>
      <w:r w:rsidRPr="00A40BD9">
        <w:rPr>
          <w:lang w:val="fr-FR"/>
        </w:rPr>
        <w:t>augmentation attendue du coût du HCFC-22 vierge à la suite de la réduction prévue des quotas de HCFC en 2025 et une augmentation potentielle de la taxation pour les importations de HCFC après 2025</w:t>
      </w:r>
      <w:r w:rsidR="00BD1F07">
        <w:rPr>
          <w:lang w:val="fr-FR"/>
        </w:rPr>
        <w:t xml:space="preserve"> </w:t>
      </w:r>
      <w:r w:rsidRPr="00A40BD9">
        <w:rPr>
          <w:lang w:val="fr-FR"/>
        </w:rPr>
        <w:t>encourageront le programme de R&amp;R</w:t>
      </w:r>
      <w:r w:rsidRPr="00A40BD9">
        <w:rPr>
          <w:iCs/>
          <w:lang w:val="fr-FR"/>
        </w:rPr>
        <w:t>.</w:t>
      </w:r>
      <w:r w:rsidRPr="00A7342F">
        <w:rPr>
          <w:iCs/>
          <w:lang w:val="fr-FR"/>
        </w:rPr>
        <w:t xml:space="preserve"> </w:t>
      </w:r>
      <w:r w:rsidRPr="00A40BD9">
        <w:rPr>
          <w:lang w:val="fr-FR"/>
        </w:rPr>
        <w:t>Le PNUD et le gouvernement de l</w:t>
      </w:r>
      <w:r w:rsidR="00BA262E">
        <w:rPr>
          <w:lang w:val="fr-FR"/>
        </w:rPr>
        <w:t>’</w:t>
      </w:r>
      <w:r w:rsidRPr="00A40BD9">
        <w:rPr>
          <w:lang w:val="fr-FR"/>
        </w:rPr>
        <w:t xml:space="preserve">Angola sont convaincus que le réseau de récupération et de recyclage pourra fonctionner de façon autonome, car il </w:t>
      </w:r>
      <w:r w:rsidRPr="00A40BD9">
        <w:rPr>
          <w:lang w:val="fr-FR"/>
        </w:rPr>
        <w:lastRenderedPageBreak/>
        <w:t xml:space="preserve">devrait récupérer </w:t>
      </w:r>
      <w:r w:rsidR="00BD1F07">
        <w:rPr>
          <w:lang w:val="fr-FR"/>
        </w:rPr>
        <w:t>une quantité suffisante pour servir à</w:t>
      </w:r>
      <w:r w:rsidRPr="00A40BD9">
        <w:rPr>
          <w:lang w:val="fr-FR"/>
        </w:rPr>
        <w:t xml:space="preserve"> l</w:t>
      </w:r>
      <w:r w:rsidR="00BA262E">
        <w:rPr>
          <w:lang w:val="fr-FR"/>
        </w:rPr>
        <w:t>’</w:t>
      </w:r>
      <w:r w:rsidRPr="00A40BD9">
        <w:rPr>
          <w:lang w:val="fr-FR"/>
        </w:rPr>
        <w:t xml:space="preserve">entretien des équipements </w:t>
      </w:r>
      <w:r w:rsidR="00BD1F07" w:rsidRPr="00A40BD9">
        <w:rPr>
          <w:lang w:val="fr-FR"/>
        </w:rPr>
        <w:t xml:space="preserve">restants </w:t>
      </w:r>
      <w:r w:rsidR="00BD1F07">
        <w:rPr>
          <w:lang w:val="fr-FR"/>
        </w:rPr>
        <w:t>contenant du</w:t>
      </w:r>
      <w:r w:rsidR="00BA262E">
        <w:rPr>
          <w:lang w:val="fr-FR"/>
        </w:rPr>
        <w:t> </w:t>
      </w:r>
      <w:r w:rsidRPr="00A40BD9">
        <w:rPr>
          <w:lang w:val="fr-FR"/>
        </w:rPr>
        <w:t xml:space="preserve">HCFC-22 </w:t>
      </w:r>
      <w:r w:rsidR="00BD1F07">
        <w:rPr>
          <w:lang w:val="fr-FR"/>
        </w:rPr>
        <w:t>j</w:t>
      </w:r>
      <w:r w:rsidRPr="00A40BD9">
        <w:rPr>
          <w:lang w:val="fr-FR"/>
        </w:rPr>
        <w:t>usqu</w:t>
      </w:r>
      <w:r w:rsidR="00BA262E">
        <w:rPr>
          <w:lang w:val="fr-FR"/>
        </w:rPr>
        <w:t>’</w:t>
      </w:r>
      <w:r w:rsidRPr="00A40BD9">
        <w:rPr>
          <w:lang w:val="fr-FR"/>
        </w:rPr>
        <w:t>à leur fin de vie.</w:t>
      </w:r>
      <w:r w:rsidRPr="00A7342F">
        <w:rPr>
          <w:lang w:val="fr-FR"/>
        </w:rPr>
        <w:t xml:space="preserve"> </w:t>
      </w:r>
      <w:r w:rsidRPr="00A40BD9">
        <w:rPr>
          <w:lang w:val="fr-FR"/>
        </w:rPr>
        <w:t>L</w:t>
      </w:r>
      <w:r w:rsidR="00BA262E">
        <w:rPr>
          <w:lang w:val="fr-FR"/>
        </w:rPr>
        <w:t>’</w:t>
      </w:r>
      <w:r w:rsidRPr="00A40BD9">
        <w:rPr>
          <w:lang w:val="fr-FR"/>
        </w:rPr>
        <w:t>expérience acquise par les principales parties prenantes et l</w:t>
      </w:r>
      <w:r w:rsidR="00BA262E">
        <w:rPr>
          <w:lang w:val="fr-FR"/>
        </w:rPr>
        <w:t>’</w:t>
      </w:r>
      <w:r w:rsidRPr="00A40BD9">
        <w:rPr>
          <w:lang w:val="fr-FR"/>
        </w:rPr>
        <w:t>infrastructure mise en place dans le cadre de cette composante du projet seront également utilisées pour la récupération et le recyclage des HFC.</w:t>
      </w:r>
    </w:p>
    <w:p w14:paraId="7DD005E5" w14:textId="03D540FE" w:rsidR="00A40BD9" w:rsidRPr="00A7342F" w:rsidRDefault="00A40BD9" w:rsidP="00A7342F">
      <w:pPr>
        <w:pStyle w:val="Heading1"/>
        <w:suppressAutoHyphens/>
        <w:rPr>
          <w:lang w:val="fr-FR"/>
        </w:rPr>
      </w:pPr>
      <w:r w:rsidRPr="00A40BD9">
        <w:rPr>
          <w:lang w:val="fr-FR"/>
        </w:rPr>
        <w:t>À la suite des consultations entre le gouvernement de l</w:t>
      </w:r>
      <w:r w:rsidR="00BA262E">
        <w:rPr>
          <w:lang w:val="fr-FR"/>
        </w:rPr>
        <w:t>’</w:t>
      </w:r>
      <w:r w:rsidRPr="00A40BD9">
        <w:rPr>
          <w:lang w:val="fr-FR"/>
        </w:rPr>
        <w:t>Angola et le PNUD, le budget initial de la tranche a été révisé, comme l</w:t>
      </w:r>
      <w:r w:rsidR="00BA262E">
        <w:rPr>
          <w:lang w:val="fr-FR"/>
        </w:rPr>
        <w:t>’</w:t>
      </w:r>
      <w:r w:rsidRPr="00A40BD9">
        <w:rPr>
          <w:lang w:val="fr-FR"/>
        </w:rPr>
        <w:t>indique le tableau 2.</w:t>
      </w:r>
    </w:p>
    <w:p w14:paraId="47CD4576" w14:textId="39020580" w:rsidR="00266D5F" w:rsidRPr="00A7342F" w:rsidRDefault="00A40BD9" w:rsidP="00B832BB">
      <w:pPr>
        <w:keepNext/>
        <w:suppressAutoHyphens/>
        <w:rPr>
          <w:b/>
          <w:lang w:val="fr-FR"/>
        </w:rPr>
      </w:pPr>
      <w:r w:rsidRPr="0085107D">
        <w:rPr>
          <w:b/>
          <w:lang w:val="fr-FR"/>
        </w:rPr>
        <w:t>Tableau 2. Budget révisé de la deuxième tranche de la phase II du PGEH pour l</w:t>
      </w:r>
      <w:r w:rsidR="00BA262E">
        <w:rPr>
          <w:b/>
          <w:lang w:val="fr-FR"/>
        </w:rPr>
        <w:t>’</w:t>
      </w:r>
      <w:r w:rsidRPr="0085107D">
        <w:rPr>
          <w:b/>
          <w:lang w:val="fr-FR"/>
        </w:rPr>
        <w:t>Angola ($US)</w:t>
      </w:r>
    </w:p>
    <w:tbl>
      <w:tblPr>
        <w:tblpPr w:leftFromText="180" w:rightFromText="180" w:vertAnchor="text" w:tblpX="-5"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420"/>
        <w:gridCol w:w="1420"/>
      </w:tblGrid>
      <w:tr w:rsidR="00266D5F" w:rsidRPr="00C0764B" w14:paraId="78B2AA2F" w14:textId="77777777" w:rsidTr="00732B2A">
        <w:trPr>
          <w:trHeight w:val="251"/>
          <w:tblHeader/>
        </w:trPr>
        <w:tc>
          <w:tcPr>
            <w:tcW w:w="3482" w:type="pct"/>
            <w:shd w:val="clear" w:color="auto" w:fill="auto"/>
            <w:vAlign w:val="center"/>
            <w:hideMark/>
          </w:tcPr>
          <w:p w14:paraId="28EE90B7" w14:textId="6C3079B0" w:rsidR="00266D5F" w:rsidRPr="0085107D" w:rsidRDefault="0085107D" w:rsidP="00723649">
            <w:pPr>
              <w:keepNext/>
              <w:suppressAutoHyphens/>
              <w:jc w:val="left"/>
              <w:rPr>
                <w:b/>
                <w:color w:val="000000"/>
                <w:sz w:val="20"/>
                <w:szCs w:val="20"/>
              </w:rPr>
            </w:pPr>
            <w:r w:rsidRPr="0085107D">
              <w:rPr>
                <w:b/>
                <w:color w:val="000000"/>
                <w:sz w:val="20"/>
                <w:szCs w:val="20"/>
                <w:lang w:val="fr-FR"/>
              </w:rPr>
              <w:t>Activité</w:t>
            </w:r>
          </w:p>
        </w:tc>
        <w:tc>
          <w:tcPr>
            <w:tcW w:w="759" w:type="pct"/>
            <w:vAlign w:val="center"/>
          </w:tcPr>
          <w:p w14:paraId="633295F1" w14:textId="4F412313" w:rsidR="00266D5F" w:rsidRPr="00C0764B" w:rsidRDefault="0085107D" w:rsidP="00723649">
            <w:pPr>
              <w:keepNext/>
              <w:suppressAutoHyphens/>
              <w:jc w:val="center"/>
              <w:rPr>
                <w:b/>
                <w:color w:val="000000"/>
                <w:sz w:val="20"/>
                <w:szCs w:val="20"/>
              </w:rPr>
            </w:pPr>
            <w:r w:rsidRPr="0085107D">
              <w:rPr>
                <w:b/>
                <w:color w:val="000000"/>
                <w:sz w:val="20"/>
                <w:szCs w:val="20"/>
                <w:lang w:val="fr-FR"/>
              </w:rPr>
              <w:t>Initialement proposée</w:t>
            </w:r>
            <w:r w:rsidR="00266D5F" w:rsidRPr="0085107D">
              <w:rPr>
                <w:b/>
                <w:color w:val="000000"/>
                <w:sz w:val="20"/>
                <w:szCs w:val="20"/>
              </w:rPr>
              <w:t xml:space="preserve"> </w:t>
            </w:r>
          </w:p>
        </w:tc>
        <w:tc>
          <w:tcPr>
            <w:tcW w:w="759" w:type="pct"/>
            <w:shd w:val="clear" w:color="auto" w:fill="auto"/>
            <w:vAlign w:val="center"/>
            <w:hideMark/>
          </w:tcPr>
          <w:p w14:paraId="2B550BCE" w14:textId="321F1161" w:rsidR="00266D5F" w:rsidRPr="00C0764B" w:rsidRDefault="0085107D" w:rsidP="00723649">
            <w:pPr>
              <w:keepNext/>
              <w:suppressAutoHyphens/>
              <w:jc w:val="center"/>
              <w:rPr>
                <w:b/>
                <w:color w:val="000000"/>
                <w:sz w:val="20"/>
                <w:szCs w:val="20"/>
              </w:rPr>
            </w:pPr>
            <w:r w:rsidRPr="0085107D">
              <w:rPr>
                <w:b/>
                <w:color w:val="000000"/>
                <w:sz w:val="20"/>
                <w:szCs w:val="20"/>
                <w:lang w:val="fr-FR"/>
              </w:rPr>
              <w:t>Révisée</w:t>
            </w:r>
            <w:r w:rsidR="00266D5F" w:rsidRPr="0085107D">
              <w:rPr>
                <w:b/>
                <w:color w:val="000000"/>
                <w:sz w:val="20"/>
                <w:szCs w:val="20"/>
              </w:rPr>
              <w:t xml:space="preserve"> </w:t>
            </w:r>
          </w:p>
        </w:tc>
      </w:tr>
      <w:tr w:rsidR="00266D5F" w:rsidRPr="00C0764B" w14:paraId="49BB233E" w14:textId="77777777" w:rsidTr="00732B2A">
        <w:trPr>
          <w:trHeight w:val="31"/>
        </w:trPr>
        <w:tc>
          <w:tcPr>
            <w:tcW w:w="3482" w:type="pct"/>
            <w:shd w:val="clear" w:color="auto" w:fill="auto"/>
            <w:noWrap/>
          </w:tcPr>
          <w:p w14:paraId="7937D0CC" w14:textId="7A1CA9AC" w:rsidR="00266D5F" w:rsidRPr="00A7342F" w:rsidRDefault="0085107D" w:rsidP="00723649">
            <w:pPr>
              <w:suppressAutoHyphens/>
              <w:jc w:val="left"/>
              <w:rPr>
                <w:sz w:val="20"/>
                <w:szCs w:val="20"/>
                <w:lang w:val="fr-FR"/>
              </w:rPr>
            </w:pPr>
            <w:r w:rsidRPr="0085107D">
              <w:rPr>
                <w:sz w:val="20"/>
                <w:szCs w:val="20"/>
                <w:lang w:val="fr-FR"/>
              </w:rPr>
              <w:t>Renforcement de la capacité de la mise en application du contrôle de la consommation de HCFC</w:t>
            </w:r>
          </w:p>
        </w:tc>
        <w:tc>
          <w:tcPr>
            <w:tcW w:w="759" w:type="pct"/>
            <w:shd w:val="clear" w:color="auto" w:fill="FFFFFF" w:themeFill="background1"/>
            <w:tcMar>
              <w:left w:w="85" w:type="dxa"/>
              <w:right w:w="85" w:type="dxa"/>
            </w:tcMar>
          </w:tcPr>
          <w:p w14:paraId="6D520889" w14:textId="6D30F8C8" w:rsidR="00266D5F" w:rsidRPr="00C0764B" w:rsidRDefault="00266D5F" w:rsidP="00B832BB">
            <w:pPr>
              <w:suppressAutoHyphens/>
              <w:ind w:right="63"/>
              <w:jc w:val="right"/>
              <w:rPr>
                <w:sz w:val="20"/>
                <w:szCs w:val="20"/>
              </w:rPr>
            </w:pPr>
            <w:r w:rsidRPr="00C0764B">
              <w:rPr>
                <w:sz w:val="20"/>
                <w:szCs w:val="20"/>
                <w:lang w:eastAsia="en-CA"/>
              </w:rPr>
              <w:t>38</w:t>
            </w:r>
            <w:r w:rsidR="00BA262E">
              <w:rPr>
                <w:sz w:val="20"/>
                <w:szCs w:val="20"/>
                <w:lang w:eastAsia="en-CA"/>
              </w:rPr>
              <w:t> </w:t>
            </w:r>
            <w:r w:rsidRPr="00C0764B">
              <w:rPr>
                <w:sz w:val="20"/>
                <w:szCs w:val="20"/>
                <w:lang w:eastAsia="en-CA"/>
              </w:rPr>
              <w:t>800</w:t>
            </w:r>
          </w:p>
        </w:tc>
        <w:tc>
          <w:tcPr>
            <w:tcW w:w="759" w:type="pct"/>
            <w:shd w:val="clear" w:color="auto" w:fill="FFFFFF" w:themeFill="background1"/>
            <w:tcMar>
              <w:left w:w="85" w:type="dxa"/>
              <w:right w:w="85" w:type="dxa"/>
            </w:tcMar>
          </w:tcPr>
          <w:p w14:paraId="7F1E554B" w14:textId="41700459" w:rsidR="00266D5F" w:rsidRPr="00C0764B" w:rsidRDefault="00266D5F" w:rsidP="00B832BB">
            <w:pPr>
              <w:suppressAutoHyphens/>
              <w:jc w:val="right"/>
              <w:rPr>
                <w:sz w:val="20"/>
                <w:szCs w:val="20"/>
              </w:rPr>
            </w:pPr>
            <w:r w:rsidRPr="00C0764B">
              <w:rPr>
                <w:sz w:val="20"/>
                <w:szCs w:val="20"/>
              </w:rPr>
              <w:t>64</w:t>
            </w:r>
            <w:r w:rsidR="00BA262E">
              <w:rPr>
                <w:sz w:val="20"/>
                <w:szCs w:val="20"/>
              </w:rPr>
              <w:t> </w:t>
            </w:r>
            <w:r w:rsidR="00755CA8" w:rsidRPr="00C0764B">
              <w:rPr>
                <w:sz w:val="20"/>
                <w:szCs w:val="20"/>
              </w:rPr>
              <w:t>7</w:t>
            </w:r>
            <w:r w:rsidR="00755CA8">
              <w:rPr>
                <w:sz w:val="20"/>
                <w:szCs w:val="20"/>
              </w:rPr>
              <w:t>50</w:t>
            </w:r>
          </w:p>
        </w:tc>
      </w:tr>
      <w:tr w:rsidR="00266D5F" w:rsidRPr="00C0764B" w14:paraId="0F4F2ADB" w14:textId="77777777" w:rsidTr="00732B2A">
        <w:tc>
          <w:tcPr>
            <w:tcW w:w="3482" w:type="pct"/>
            <w:shd w:val="clear" w:color="auto" w:fill="auto"/>
            <w:noWrap/>
          </w:tcPr>
          <w:p w14:paraId="2B43EB40" w14:textId="2FC3EC58" w:rsidR="00266D5F" w:rsidRPr="00A7342F" w:rsidRDefault="0085107D" w:rsidP="00723649">
            <w:pPr>
              <w:suppressAutoHyphens/>
              <w:jc w:val="left"/>
              <w:rPr>
                <w:sz w:val="20"/>
                <w:szCs w:val="20"/>
                <w:lang w:val="fr-FR" w:eastAsia="zh-CN"/>
              </w:rPr>
            </w:pPr>
            <w:r w:rsidRPr="0085107D">
              <w:rPr>
                <w:rFonts w:eastAsia="SimSun"/>
                <w:sz w:val="20"/>
                <w:szCs w:val="20"/>
                <w:lang w:val="fr-FR" w:eastAsia="zh-CN"/>
              </w:rPr>
              <w:t>Renforcement</w:t>
            </w:r>
            <w:r w:rsidR="00BA262E">
              <w:rPr>
                <w:rFonts w:eastAsia="SimSun"/>
                <w:sz w:val="20"/>
                <w:szCs w:val="20"/>
                <w:lang w:val="fr-FR" w:eastAsia="zh-CN"/>
              </w:rPr>
              <w:t> </w:t>
            </w:r>
            <w:r w:rsidRPr="0085107D">
              <w:rPr>
                <w:rFonts w:eastAsia="SimSun"/>
                <w:sz w:val="20"/>
                <w:szCs w:val="20"/>
                <w:lang w:val="fr-FR" w:eastAsia="zh-CN"/>
              </w:rPr>
              <w:t>des capacités et sensibilisation dans le secteur de l</w:t>
            </w:r>
            <w:r w:rsidR="00BA262E">
              <w:rPr>
                <w:rFonts w:eastAsia="SimSun"/>
                <w:sz w:val="20"/>
                <w:szCs w:val="20"/>
                <w:lang w:val="fr-FR" w:eastAsia="zh-CN"/>
              </w:rPr>
              <w:t>’</w:t>
            </w:r>
            <w:r w:rsidRPr="0085107D">
              <w:rPr>
                <w:rFonts w:eastAsia="SimSun"/>
                <w:sz w:val="20"/>
                <w:szCs w:val="20"/>
                <w:lang w:val="fr-FR" w:eastAsia="zh-CN"/>
              </w:rPr>
              <w:t>entretien des équipements de réfrigération et de climatisation</w:t>
            </w:r>
            <w:r w:rsidR="00266D5F" w:rsidRPr="00A7342F">
              <w:rPr>
                <w:rFonts w:eastAsia="SimSun"/>
                <w:sz w:val="20"/>
                <w:szCs w:val="20"/>
                <w:lang w:val="fr-FR" w:eastAsia="zh-CN"/>
              </w:rPr>
              <w:t xml:space="preserve"> </w:t>
            </w:r>
          </w:p>
        </w:tc>
        <w:tc>
          <w:tcPr>
            <w:tcW w:w="759" w:type="pct"/>
            <w:shd w:val="clear" w:color="auto" w:fill="FFFFFF" w:themeFill="background1"/>
            <w:tcMar>
              <w:left w:w="85" w:type="dxa"/>
              <w:right w:w="85" w:type="dxa"/>
            </w:tcMar>
          </w:tcPr>
          <w:p w14:paraId="67A4B50A" w14:textId="646D76DF" w:rsidR="00266D5F" w:rsidRPr="00C0764B" w:rsidRDefault="00266D5F" w:rsidP="00B832BB">
            <w:pPr>
              <w:suppressAutoHyphens/>
              <w:ind w:right="63"/>
              <w:jc w:val="right"/>
              <w:rPr>
                <w:bCs/>
                <w:sz w:val="20"/>
                <w:szCs w:val="20"/>
              </w:rPr>
            </w:pPr>
            <w:r w:rsidRPr="00C0764B">
              <w:rPr>
                <w:color w:val="000000"/>
                <w:sz w:val="20"/>
                <w:szCs w:val="20"/>
                <w:lang w:eastAsia="en-CA"/>
              </w:rPr>
              <w:t>167</w:t>
            </w:r>
            <w:r w:rsidR="00BA262E">
              <w:rPr>
                <w:color w:val="000000"/>
                <w:sz w:val="20"/>
                <w:szCs w:val="20"/>
                <w:lang w:eastAsia="en-CA"/>
              </w:rPr>
              <w:t> </w:t>
            </w:r>
            <w:r w:rsidRPr="00C0764B">
              <w:rPr>
                <w:color w:val="000000"/>
                <w:sz w:val="20"/>
                <w:szCs w:val="20"/>
                <w:lang w:eastAsia="en-CA"/>
              </w:rPr>
              <w:t>540</w:t>
            </w:r>
          </w:p>
        </w:tc>
        <w:tc>
          <w:tcPr>
            <w:tcW w:w="759" w:type="pct"/>
            <w:shd w:val="clear" w:color="auto" w:fill="FFFFFF" w:themeFill="background1"/>
            <w:tcMar>
              <w:left w:w="85" w:type="dxa"/>
              <w:right w:w="85" w:type="dxa"/>
            </w:tcMar>
          </w:tcPr>
          <w:p w14:paraId="16BA9768" w14:textId="1284C463" w:rsidR="00266D5F" w:rsidRPr="00C0764B" w:rsidRDefault="00266D5F" w:rsidP="00B832BB">
            <w:pPr>
              <w:suppressAutoHyphens/>
              <w:jc w:val="right"/>
              <w:rPr>
                <w:sz w:val="20"/>
                <w:szCs w:val="20"/>
              </w:rPr>
            </w:pPr>
            <w:r w:rsidRPr="00C0764B">
              <w:rPr>
                <w:sz w:val="20"/>
                <w:szCs w:val="20"/>
              </w:rPr>
              <w:t>99</w:t>
            </w:r>
            <w:r w:rsidR="00BA262E">
              <w:rPr>
                <w:sz w:val="20"/>
                <w:szCs w:val="20"/>
              </w:rPr>
              <w:t> </w:t>
            </w:r>
            <w:r w:rsidRPr="00C0764B">
              <w:rPr>
                <w:sz w:val="20"/>
                <w:szCs w:val="20"/>
              </w:rPr>
              <w:t>035</w:t>
            </w:r>
          </w:p>
        </w:tc>
      </w:tr>
      <w:tr w:rsidR="00266D5F" w:rsidRPr="00C0764B" w14:paraId="18145EED" w14:textId="77777777" w:rsidTr="00732B2A">
        <w:trPr>
          <w:trHeight w:val="188"/>
        </w:trPr>
        <w:tc>
          <w:tcPr>
            <w:tcW w:w="3482" w:type="pct"/>
            <w:shd w:val="clear" w:color="auto" w:fill="auto"/>
            <w:noWrap/>
            <w:vAlign w:val="center"/>
          </w:tcPr>
          <w:p w14:paraId="6B2BBE44" w14:textId="51A86E16" w:rsidR="00266D5F" w:rsidRPr="00A7342F" w:rsidRDefault="0085107D" w:rsidP="00723649">
            <w:pPr>
              <w:suppressAutoHyphens/>
              <w:rPr>
                <w:sz w:val="20"/>
                <w:szCs w:val="20"/>
                <w:lang w:val="fr-FR" w:eastAsia="en-CA"/>
              </w:rPr>
            </w:pPr>
            <w:r w:rsidRPr="0085107D">
              <w:rPr>
                <w:rFonts w:eastAsia="SimSun"/>
                <w:sz w:val="20"/>
                <w:szCs w:val="20"/>
                <w:lang w:val="fr-FR" w:eastAsia="zh-CN"/>
              </w:rPr>
              <w:t>Renforcement du réseau de R&amp;R des frigorigènes et des instituts de formation professionnelle</w:t>
            </w:r>
          </w:p>
        </w:tc>
        <w:tc>
          <w:tcPr>
            <w:tcW w:w="759" w:type="pct"/>
            <w:shd w:val="clear" w:color="auto" w:fill="FFFFFF" w:themeFill="background1"/>
            <w:tcMar>
              <w:left w:w="85" w:type="dxa"/>
              <w:right w:w="85" w:type="dxa"/>
            </w:tcMar>
          </w:tcPr>
          <w:p w14:paraId="082F2514" w14:textId="57439441" w:rsidR="00266D5F" w:rsidRPr="00C0764B" w:rsidRDefault="00266D5F" w:rsidP="00B832BB">
            <w:pPr>
              <w:suppressAutoHyphens/>
              <w:ind w:right="63"/>
              <w:jc w:val="right"/>
              <w:rPr>
                <w:sz w:val="20"/>
                <w:szCs w:val="20"/>
              </w:rPr>
            </w:pPr>
            <w:r w:rsidRPr="00C0764B">
              <w:rPr>
                <w:color w:val="000000" w:themeColor="text1"/>
                <w:sz w:val="20"/>
                <w:szCs w:val="20"/>
              </w:rPr>
              <w:t>95</w:t>
            </w:r>
            <w:r w:rsidR="00BA262E">
              <w:rPr>
                <w:color w:val="000000" w:themeColor="text1"/>
                <w:sz w:val="20"/>
                <w:szCs w:val="20"/>
              </w:rPr>
              <w:t> </w:t>
            </w:r>
            <w:r w:rsidRPr="00C0764B">
              <w:rPr>
                <w:color w:val="000000" w:themeColor="text1"/>
                <w:sz w:val="20"/>
                <w:szCs w:val="20"/>
              </w:rPr>
              <w:t>220</w:t>
            </w:r>
          </w:p>
        </w:tc>
        <w:tc>
          <w:tcPr>
            <w:tcW w:w="759" w:type="pct"/>
            <w:shd w:val="clear" w:color="auto" w:fill="FFFFFF" w:themeFill="background1"/>
            <w:tcMar>
              <w:left w:w="85" w:type="dxa"/>
              <w:right w:w="85" w:type="dxa"/>
            </w:tcMar>
          </w:tcPr>
          <w:p w14:paraId="13AE12D0" w14:textId="21F63878" w:rsidR="00266D5F" w:rsidRPr="00C0764B" w:rsidRDefault="00266D5F" w:rsidP="00B832BB">
            <w:pPr>
              <w:suppressAutoHyphens/>
              <w:jc w:val="right"/>
              <w:rPr>
                <w:sz w:val="20"/>
                <w:szCs w:val="20"/>
              </w:rPr>
            </w:pPr>
            <w:r w:rsidRPr="00C0764B">
              <w:rPr>
                <w:sz w:val="20"/>
                <w:szCs w:val="20"/>
              </w:rPr>
              <w:t>163</w:t>
            </w:r>
            <w:r w:rsidR="00BA262E">
              <w:rPr>
                <w:sz w:val="20"/>
                <w:szCs w:val="20"/>
              </w:rPr>
              <w:t> </w:t>
            </w:r>
            <w:r w:rsidRPr="00C0764B">
              <w:rPr>
                <w:sz w:val="20"/>
                <w:szCs w:val="20"/>
              </w:rPr>
              <w:t>725</w:t>
            </w:r>
          </w:p>
        </w:tc>
      </w:tr>
      <w:tr w:rsidR="00266D5F" w:rsidRPr="00C0764B" w14:paraId="16AF830D" w14:textId="77777777" w:rsidTr="00732B2A">
        <w:trPr>
          <w:trHeight w:val="137"/>
        </w:trPr>
        <w:tc>
          <w:tcPr>
            <w:tcW w:w="3482" w:type="pct"/>
            <w:shd w:val="clear" w:color="auto" w:fill="auto"/>
            <w:noWrap/>
          </w:tcPr>
          <w:p w14:paraId="608A67C3" w14:textId="5C617E8B" w:rsidR="00266D5F" w:rsidRPr="0085107D" w:rsidRDefault="0085107D" w:rsidP="00723649">
            <w:pPr>
              <w:tabs>
                <w:tab w:val="left" w:pos="360"/>
              </w:tabs>
              <w:suppressAutoHyphens/>
              <w:jc w:val="left"/>
              <w:rPr>
                <w:color w:val="000000"/>
                <w:sz w:val="20"/>
                <w:szCs w:val="20"/>
              </w:rPr>
            </w:pPr>
            <w:r w:rsidRPr="0085107D">
              <w:rPr>
                <w:bCs/>
                <w:color w:val="000000"/>
                <w:sz w:val="20"/>
                <w:szCs w:val="20"/>
                <w:lang w:val="fr-FR"/>
              </w:rPr>
              <w:t>Suivi et coordination</w:t>
            </w:r>
          </w:p>
        </w:tc>
        <w:tc>
          <w:tcPr>
            <w:tcW w:w="759" w:type="pct"/>
            <w:shd w:val="clear" w:color="auto" w:fill="FFFFFF" w:themeFill="background1"/>
            <w:tcMar>
              <w:left w:w="85" w:type="dxa"/>
              <w:right w:w="85" w:type="dxa"/>
            </w:tcMar>
          </w:tcPr>
          <w:p w14:paraId="38BB907D" w14:textId="3F1DB516" w:rsidR="00266D5F" w:rsidRPr="00C0764B" w:rsidRDefault="00266D5F" w:rsidP="00B832BB">
            <w:pPr>
              <w:suppressAutoHyphens/>
              <w:ind w:right="63"/>
              <w:jc w:val="right"/>
              <w:rPr>
                <w:bCs/>
                <w:sz w:val="20"/>
                <w:szCs w:val="20"/>
              </w:rPr>
            </w:pPr>
            <w:r w:rsidRPr="00C0764B">
              <w:rPr>
                <w:sz w:val="20"/>
                <w:szCs w:val="20"/>
              </w:rPr>
              <w:t>54</w:t>
            </w:r>
            <w:r w:rsidR="00BA262E">
              <w:rPr>
                <w:sz w:val="20"/>
                <w:szCs w:val="20"/>
                <w:lang w:eastAsia="en-CA"/>
              </w:rPr>
              <w:t> </w:t>
            </w:r>
            <w:r w:rsidRPr="00C0764B">
              <w:rPr>
                <w:sz w:val="20"/>
                <w:szCs w:val="20"/>
                <w:lang w:eastAsia="en-CA"/>
              </w:rPr>
              <w:t>040</w:t>
            </w:r>
          </w:p>
        </w:tc>
        <w:tc>
          <w:tcPr>
            <w:tcW w:w="759" w:type="pct"/>
            <w:shd w:val="clear" w:color="auto" w:fill="FFFFFF" w:themeFill="background1"/>
            <w:noWrap/>
            <w:tcMar>
              <w:left w:w="85" w:type="dxa"/>
              <w:right w:w="85" w:type="dxa"/>
            </w:tcMar>
          </w:tcPr>
          <w:p w14:paraId="0EA2CD6D" w14:textId="5F25B7E9" w:rsidR="00266D5F" w:rsidRPr="00C0764B" w:rsidRDefault="00266D5F" w:rsidP="00B832BB">
            <w:pPr>
              <w:suppressAutoHyphens/>
              <w:ind w:right="65"/>
              <w:jc w:val="right"/>
              <w:rPr>
                <w:sz w:val="20"/>
                <w:szCs w:val="20"/>
              </w:rPr>
            </w:pPr>
            <w:r w:rsidRPr="00C0764B">
              <w:rPr>
                <w:sz w:val="20"/>
                <w:szCs w:val="20"/>
              </w:rPr>
              <w:t>36</w:t>
            </w:r>
            <w:r w:rsidR="00BA262E">
              <w:rPr>
                <w:sz w:val="20"/>
                <w:szCs w:val="20"/>
              </w:rPr>
              <w:t> </w:t>
            </w:r>
            <w:r w:rsidR="00755CA8" w:rsidRPr="00C0764B">
              <w:rPr>
                <w:sz w:val="20"/>
                <w:szCs w:val="20"/>
              </w:rPr>
              <w:t>09</w:t>
            </w:r>
            <w:r w:rsidR="00755CA8">
              <w:rPr>
                <w:sz w:val="20"/>
                <w:szCs w:val="20"/>
              </w:rPr>
              <w:t>0</w:t>
            </w:r>
          </w:p>
        </w:tc>
      </w:tr>
      <w:tr w:rsidR="00266D5F" w:rsidRPr="00C0764B" w14:paraId="2CFE1502" w14:textId="77777777" w:rsidTr="00732B2A">
        <w:trPr>
          <w:trHeight w:val="43"/>
        </w:trPr>
        <w:tc>
          <w:tcPr>
            <w:tcW w:w="3482" w:type="pct"/>
            <w:shd w:val="clear" w:color="auto" w:fill="auto"/>
            <w:noWrap/>
            <w:hideMark/>
          </w:tcPr>
          <w:p w14:paraId="664342E4" w14:textId="7CBE61C3" w:rsidR="00266D5F" w:rsidRPr="00C0764B" w:rsidRDefault="0085107D" w:rsidP="00723649">
            <w:pPr>
              <w:suppressAutoHyphens/>
              <w:jc w:val="left"/>
              <w:rPr>
                <w:b/>
                <w:color w:val="000000"/>
                <w:sz w:val="20"/>
                <w:szCs w:val="20"/>
              </w:rPr>
            </w:pPr>
            <w:r w:rsidRPr="0085107D">
              <w:rPr>
                <w:b/>
                <w:color w:val="000000"/>
                <w:sz w:val="20"/>
                <w:szCs w:val="20"/>
                <w:lang w:val="fr-FR"/>
              </w:rPr>
              <w:t>Total</w:t>
            </w:r>
            <w:r w:rsidR="00266D5F" w:rsidRPr="0085107D">
              <w:rPr>
                <w:b/>
                <w:color w:val="000000"/>
                <w:sz w:val="20"/>
                <w:szCs w:val="20"/>
              </w:rPr>
              <w:t xml:space="preserve"> </w:t>
            </w:r>
          </w:p>
        </w:tc>
        <w:tc>
          <w:tcPr>
            <w:tcW w:w="759" w:type="pct"/>
            <w:shd w:val="clear" w:color="auto" w:fill="FFFFFF" w:themeFill="background1"/>
            <w:tcMar>
              <w:left w:w="85" w:type="dxa"/>
              <w:right w:w="85" w:type="dxa"/>
            </w:tcMar>
          </w:tcPr>
          <w:p w14:paraId="3D6A155F" w14:textId="28D34383" w:rsidR="00266D5F" w:rsidRPr="00C0764B" w:rsidRDefault="00266D5F" w:rsidP="00B832BB">
            <w:pPr>
              <w:suppressAutoHyphens/>
              <w:ind w:right="63"/>
              <w:jc w:val="right"/>
              <w:rPr>
                <w:b/>
                <w:bCs/>
                <w:sz w:val="20"/>
                <w:szCs w:val="20"/>
              </w:rPr>
            </w:pPr>
            <w:r w:rsidRPr="00C0764B">
              <w:rPr>
                <w:b/>
                <w:bCs/>
                <w:sz w:val="20"/>
                <w:szCs w:val="20"/>
                <w:lang w:eastAsia="en-CA"/>
              </w:rPr>
              <w:t>363</w:t>
            </w:r>
            <w:r w:rsidR="00BA262E">
              <w:rPr>
                <w:b/>
                <w:bCs/>
                <w:sz w:val="20"/>
                <w:szCs w:val="20"/>
                <w:lang w:eastAsia="en-CA"/>
              </w:rPr>
              <w:t> </w:t>
            </w:r>
            <w:r w:rsidRPr="00C0764B">
              <w:rPr>
                <w:b/>
                <w:bCs/>
                <w:sz w:val="20"/>
                <w:szCs w:val="20"/>
                <w:lang w:eastAsia="en-CA"/>
              </w:rPr>
              <w:t>600</w:t>
            </w:r>
          </w:p>
        </w:tc>
        <w:tc>
          <w:tcPr>
            <w:tcW w:w="759" w:type="pct"/>
            <w:shd w:val="clear" w:color="auto" w:fill="auto"/>
            <w:tcMar>
              <w:left w:w="85" w:type="dxa"/>
              <w:right w:w="85" w:type="dxa"/>
            </w:tcMar>
          </w:tcPr>
          <w:p w14:paraId="29C2B09C" w14:textId="4A8B62C1" w:rsidR="00266D5F" w:rsidRPr="00C0764B" w:rsidRDefault="00266D5F" w:rsidP="00B832BB">
            <w:pPr>
              <w:suppressAutoHyphens/>
              <w:ind w:right="65"/>
              <w:jc w:val="right"/>
              <w:rPr>
                <w:b/>
                <w:color w:val="000000"/>
                <w:sz w:val="20"/>
                <w:szCs w:val="20"/>
              </w:rPr>
            </w:pPr>
            <w:r w:rsidRPr="00C0764B">
              <w:rPr>
                <w:b/>
                <w:color w:val="000000"/>
                <w:sz w:val="20"/>
                <w:szCs w:val="20"/>
              </w:rPr>
              <w:t>363</w:t>
            </w:r>
            <w:r w:rsidR="00BA262E">
              <w:rPr>
                <w:b/>
                <w:color w:val="000000"/>
                <w:sz w:val="20"/>
                <w:szCs w:val="20"/>
              </w:rPr>
              <w:t> </w:t>
            </w:r>
            <w:r w:rsidRPr="00C0764B">
              <w:rPr>
                <w:b/>
                <w:color w:val="000000"/>
                <w:sz w:val="20"/>
                <w:szCs w:val="20"/>
              </w:rPr>
              <w:t>600</w:t>
            </w:r>
          </w:p>
        </w:tc>
      </w:tr>
    </w:tbl>
    <w:p w14:paraId="2A78BA61" w14:textId="77777777" w:rsidR="00266D5F" w:rsidRPr="00C0764B" w:rsidRDefault="00266D5F" w:rsidP="00B832BB">
      <w:pPr>
        <w:suppressAutoHyphens/>
      </w:pPr>
    </w:p>
    <w:p w14:paraId="17A6A859" w14:textId="1A90C594" w:rsidR="00A343FC" w:rsidRPr="00A7342F" w:rsidRDefault="0085107D" w:rsidP="00A7342F">
      <w:pPr>
        <w:pStyle w:val="Heading1"/>
        <w:numPr>
          <w:ilvl w:val="0"/>
          <w:numId w:val="0"/>
        </w:numPr>
        <w:rPr>
          <w:u w:val="single"/>
          <w:lang w:val="fr-FR"/>
        </w:rPr>
      </w:pPr>
      <w:r w:rsidRPr="0085107D">
        <w:rPr>
          <w:u w:val="single"/>
          <w:lang w:val="fr-FR"/>
        </w:rPr>
        <w:t>Mise en œuvre de la politique de gendérisation</w:t>
      </w:r>
      <w:r w:rsidRPr="0085107D">
        <w:rPr>
          <w:rStyle w:val="FootnoteReference"/>
          <w:u w:val="single"/>
          <w:lang w:val="fr-FR"/>
        </w:rPr>
        <w:footnoteReference w:id="6"/>
      </w:r>
    </w:p>
    <w:p w14:paraId="0F788D07" w14:textId="283D6448" w:rsidR="0085107D" w:rsidRPr="00A7342F" w:rsidRDefault="0085107D" w:rsidP="00A7342F">
      <w:pPr>
        <w:pStyle w:val="Heading1"/>
        <w:rPr>
          <w:rFonts w:eastAsia="SimSun"/>
          <w:lang w:val="fr-FR"/>
        </w:rPr>
      </w:pPr>
      <w:r w:rsidRPr="0085107D">
        <w:rPr>
          <w:rFonts w:eastAsia="SimSun"/>
          <w:lang w:val="fr-FR"/>
        </w:rPr>
        <w:t>Conformément au mandat de promotion de l</w:t>
      </w:r>
      <w:r w:rsidR="00BA262E">
        <w:rPr>
          <w:rFonts w:eastAsia="SimSun"/>
          <w:lang w:val="fr-FR"/>
        </w:rPr>
        <w:t>’</w:t>
      </w:r>
      <w:r w:rsidRPr="0085107D">
        <w:rPr>
          <w:rFonts w:eastAsia="SimSun"/>
          <w:lang w:val="fr-FR"/>
        </w:rPr>
        <w:t>égalité des sexes, le gouvernement de l</w:t>
      </w:r>
      <w:r w:rsidR="00BA262E">
        <w:rPr>
          <w:rFonts w:eastAsia="SimSun"/>
          <w:lang w:val="fr-FR"/>
        </w:rPr>
        <w:t>’</w:t>
      </w:r>
      <w:r w:rsidRPr="0085107D">
        <w:rPr>
          <w:rFonts w:eastAsia="SimSun"/>
          <w:lang w:val="fr-FR"/>
        </w:rPr>
        <w:t>Angola et le PNUD ont intégré les considérations sur la dimension hommes-femmes dans les travaux menés en Angola au titre du Protocole de Montréal et ont enregistré des données ventilées par sexe.</w:t>
      </w:r>
      <w:r w:rsidRPr="00A7342F">
        <w:rPr>
          <w:rFonts w:eastAsia="SimSun"/>
          <w:lang w:val="fr-FR"/>
        </w:rPr>
        <w:t xml:space="preserve"> </w:t>
      </w:r>
      <w:r w:rsidRPr="0085107D">
        <w:rPr>
          <w:rFonts w:eastAsia="SimSun"/>
          <w:lang w:val="fr-FR"/>
        </w:rPr>
        <w:t>La deuxième tranche continuera d</w:t>
      </w:r>
      <w:r w:rsidR="00BA262E">
        <w:rPr>
          <w:rFonts w:eastAsia="SimSun"/>
          <w:lang w:val="fr-FR"/>
        </w:rPr>
        <w:t>’</w:t>
      </w:r>
      <w:r w:rsidRPr="0085107D">
        <w:rPr>
          <w:rFonts w:eastAsia="SimSun"/>
          <w:lang w:val="fr-FR"/>
        </w:rPr>
        <w:t>intégrer les considérations sur la problématique hommes-femmes, qui seront renforcées par le développement d</w:t>
      </w:r>
      <w:r w:rsidR="00BA262E">
        <w:rPr>
          <w:rFonts w:eastAsia="SimSun"/>
          <w:lang w:val="fr-FR"/>
        </w:rPr>
        <w:t>’</w:t>
      </w:r>
      <w:r w:rsidRPr="0085107D">
        <w:rPr>
          <w:rFonts w:eastAsia="SimSun"/>
          <w:lang w:val="fr-FR"/>
        </w:rPr>
        <w:t>approches innovantes pour l</w:t>
      </w:r>
      <w:r w:rsidR="00BA262E">
        <w:rPr>
          <w:rFonts w:eastAsia="SimSun"/>
          <w:lang w:val="fr-FR"/>
        </w:rPr>
        <w:t>’</w:t>
      </w:r>
      <w:r w:rsidRPr="0085107D">
        <w:rPr>
          <w:rFonts w:eastAsia="SimSun"/>
          <w:lang w:val="fr-FR"/>
        </w:rPr>
        <w:t>inclusion des femmes dans le secteur de la réfrigération et de la climatisation.</w:t>
      </w:r>
    </w:p>
    <w:p w14:paraId="6A3BF3ED" w14:textId="7ACC5146" w:rsidR="00A343FC" w:rsidRPr="005D5B50" w:rsidRDefault="0085107D" w:rsidP="00A7342F">
      <w:pPr>
        <w:spacing w:after="240"/>
        <w:rPr>
          <w:u w:val="single"/>
        </w:rPr>
      </w:pPr>
      <w:r w:rsidRPr="0085107D">
        <w:rPr>
          <w:u w:val="single"/>
          <w:lang w:val="fr-FR"/>
        </w:rPr>
        <w:t>Durabilité de l</w:t>
      </w:r>
      <w:r w:rsidR="00BA262E">
        <w:rPr>
          <w:u w:val="single"/>
          <w:lang w:val="fr-FR"/>
        </w:rPr>
        <w:t>’</w:t>
      </w:r>
      <w:r w:rsidRPr="0085107D">
        <w:rPr>
          <w:u w:val="single"/>
          <w:lang w:val="fr-FR"/>
        </w:rPr>
        <w:t>élimination des HCFC</w:t>
      </w:r>
      <w:r w:rsidR="00A343FC" w:rsidRPr="0085107D">
        <w:rPr>
          <w:u w:val="single"/>
        </w:rPr>
        <w:t xml:space="preserve"> </w:t>
      </w:r>
    </w:p>
    <w:p w14:paraId="3988F504" w14:textId="3E931352" w:rsidR="0085107D" w:rsidRPr="00A7342F" w:rsidRDefault="0085107D" w:rsidP="00A7342F">
      <w:pPr>
        <w:pStyle w:val="Heading1"/>
        <w:rPr>
          <w:lang w:val="fr-FR"/>
        </w:rPr>
      </w:pPr>
      <w:r w:rsidRPr="0085107D">
        <w:rPr>
          <w:lang w:val="fr-FR"/>
        </w:rPr>
        <w:t>Le pays a développé une expertise locale pour contrôler les importations de HCFC au sein des douanes et surveiller la mise en œuvre du PGEH dans les bureaux provinciaux du ministère de l</w:t>
      </w:r>
      <w:r w:rsidR="00BA262E">
        <w:rPr>
          <w:lang w:val="fr-FR"/>
        </w:rPr>
        <w:t>’</w:t>
      </w:r>
      <w:r w:rsidRPr="0085107D">
        <w:rPr>
          <w:lang w:val="fr-FR"/>
        </w:rPr>
        <w:t>Environnement.</w:t>
      </w:r>
      <w:r w:rsidRPr="00A7342F">
        <w:rPr>
          <w:lang w:val="fr-FR"/>
        </w:rPr>
        <w:t xml:space="preserve"> </w:t>
      </w:r>
      <w:r w:rsidRPr="0085107D">
        <w:rPr>
          <w:lang w:val="fr-FR"/>
        </w:rPr>
        <w:t>Les problèmes de SAO sont intégrés dans la formation douanière, et le programme est révisé régulièrement pour incorporer de nouvelles dispositions dans le manuel de formation.</w:t>
      </w:r>
      <w:r w:rsidRPr="00A7342F">
        <w:rPr>
          <w:lang w:val="fr-FR"/>
        </w:rPr>
        <w:t xml:space="preserve"> </w:t>
      </w:r>
      <w:r w:rsidRPr="0085107D">
        <w:rPr>
          <w:lang w:val="fr-FR"/>
        </w:rPr>
        <w:t>Les</w:t>
      </w:r>
      <w:r w:rsidR="00A7342F">
        <w:rPr>
          <w:lang w:val="fr-FR"/>
        </w:rPr>
        <w:t> </w:t>
      </w:r>
      <w:r w:rsidRPr="0085107D">
        <w:rPr>
          <w:lang w:val="fr-FR"/>
        </w:rPr>
        <w:t>recommandations contenues dans le rapport de vérification seront mises en œuvre lors de la deuxième tranche du PGEH.</w:t>
      </w:r>
      <w:r w:rsidRPr="00A7342F">
        <w:rPr>
          <w:lang w:val="fr-FR"/>
        </w:rPr>
        <w:t xml:space="preserve"> </w:t>
      </w:r>
      <w:r w:rsidRPr="0085107D">
        <w:rPr>
          <w:lang w:val="fr-FR"/>
        </w:rPr>
        <w:t>Six établissements de formation en matière d</w:t>
      </w:r>
      <w:r w:rsidR="00BA262E">
        <w:rPr>
          <w:lang w:val="fr-FR"/>
        </w:rPr>
        <w:t>’</w:t>
      </w:r>
      <w:r w:rsidRPr="0085107D">
        <w:rPr>
          <w:lang w:val="fr-FR"/>
        </w:rPr>
        <w:t>équipements de réfrigération et de climatisation ont inclus les bonnes pratiques de réfrigération, la récupération et le recyclage des frigorigènes</w:t>
      </w:r>
      <w:r w:rsidR="00077A19">
        <w:rPr>
          <w:lang w:val="fr-FR"/>
        </w:rPr>
        <w:t>,</w:t>
      </w:r>
      <w:r w:rsidRPr="0085107D">
        <w:rPr>
          <w:lang w:val="fr-FR"/>
        </w:rPr>
        <w:t xml:space="preserve"> et</w:t>
      </w:r>
      <w:r w:rsidR="00BA262E">
        <w:rPr>
          <w:lang w:val="fr-FR"/>
        </w:rPr>
        <w:t> </w:t>
      </w:r>
      <w:r w:rsidRPr="0085107D">
        <w:rPr>
          <w:lang w:val="fr-FR"/>
        </w:rPr>
        <w:t>la manipulation sûre des frigorigènes inflammables dans le cadre de leurs cours standards, et l</w:t>
      </w:r>
      <w:r w:rsidR="00BD1F07">
        <w:rPr>
          <w:lang w:val="fr-FR"/>
        </w:rPr>
        <w:t>es</w:t>
      </w:r>
      <w:r w:rsidRPr="0085107D">
        <w:rPr>
          <w:lang w:val="fr-FR"/>
        </w:rPr>
        <w:t xml:space="preserve"> capacité</w:t>
      </w:r>
      <w:r w:rsidR="00BD1F07">
        <w:rPr>
          <w:lang w:val="fr-FR"/>
        </w:rPr>
        <w:t>s</w:t>
      </w:r>
      <w:r w:rsidRPr="0085107D">
        <w:rPr>
          <w:lang w:val="fr-FR"/>
        </w:rPr>
        <w:t xml:space="preserve"> des techniciens de l</w:t>
      </w:r>
      <w:r w:rsidR="00BA262E">
        <w:rPr>
          <w:lang w:val="fr-FR"/>
        </w:rPr>
        <w:t>’</w:t>
      </w:r>
      <w:r w:rsidRPr="0085107D">
        <w:rPr>
          <w:lang w:val="fr-FR"/>
        </w:rPr>
        <w:t xml:space="preserve">entretien des systèmes de réfrigération et de climatisation </w:t>
      </w:r>
      <w:r w:rsidR="00BD1F07">
        <w:rPr>
          <w:lang w:val="fr-FR"/>
        </w:rPr>
        <w:t>sont</w:t>
      </w:r>
      <w:r w:rsidRPr="0085107D">
        <w:rPr>
          <w:lang w:val="fr-FR"/>
        </w:rPr>
        <w:t xml:space="preserve"> en train d</w:t>
      </w:r>
      <w:r w:rsidR="00BA262E">
        <w:rPr>
          <w:lang w:val="fr-FR"/>
        </w:rPr>
        <w:t>’</w:t>
      </w:r>
      <w:r w:rsidRPr="0085107D">
        <w:rPr>
          <w:lang w:val="fr-FR"/>
        </w:rPr>
        <w:t>être renforcée</w:t>
      </w:r>
      <w:r w:rsidR="00BD1F07">
        <w:rPr>
          <w:lang w:val="fr-FR"/>
        </w:rPr>
        <w:t>s</w:t>
      </w:r>
      <w:r w:rsidRPr="0085107D">
        <w:rPr>
          <w:lang w:val="fr-FR"/>
        </w:rPr>
        <w:t xml:space="preserve"> par le PGEH avec l</w:t>
      </w:r>
      <w:r w:rsidR="00BA262E">
        <w:rPr>
          <w:lang w:val="fr-FR"/>
        </w:rPr>
        <w:t>’</w:t>
      </w:r>
      <w:r w:rsidRPr="0085107D">
        <w:rPr>
          <w:lang w:val="fr-FR"/>
        </w:rPr>
        <w:t>aide d</w:t>
      </w:r>
      <w:r w:rsidR="00BA262E">
        <w:rPr>
          <w:lang w:val="fr-FR"/>
        </w:rPr>
        <w:t>’</w:t>
      </w:r>
      <w:r w:rsidRPr="0085107D">
        <w:rPr>
          <w:lang w:val="fr-FR"/>
        </w:rPr>
        <w:t>experts internationaux.</w:t>
      </w:r>
      <w:r w:rsidRPr="00A7342F">
        <w:rPr>
          <w:lang w:val="fr-FR"/>
        </w:rPr>
        <w:t xml:space="preserve"> </w:t>
      </w:r>
      <w:r w:rsidRPr="0085107D">
        <w:rPr>
          <w:lang w:val="fr-FR"/>
        </w:rPr>
        <w:t>En outre, cinq centres de R&amp;R sont en train d</w:t>
      </w:r>
      <w:r w:rsidR="00BA262E">
        <w:rPr>
          <w:lang w:val="fr-FR"/>
        </w:rPr>
        <w:t>’</w:t>
      </w:r>
      <w:r w:rsidRPr="0085107D">
        <w:rPr>
          <w:lang w:val="fr-FR"/>
        </w:rPr>
        <w:t>être mis en place dans le pays.</w:t>
      </w:r>
      <w:r w:rsidRPr="00A7342F">
        <w:rPr>
          <w:lang w:val="fr-FR"/>
        </w:rPr>
        <w:t xml:space="preserve"> </w:t>
      </w:r>
      <w:r w:rsidRPr="0085107D">
        <w:rPr>
          <w:lang w:val="fr-FR"/>
        </w:rPr>
        <w:t>Toutes ces mesures contribueront à la durabilité de l</w:t>
      </w:r>
      <w:r w:rsidR="00BA262E">
        <w:rPr>
          <w:lang w:val="fr-FR"/>
        </w:rPr>
        <w:t>’</w:t>
      </w:r>
      <w:r w:rsidRPr="0085107D">
        <w:rPr>
          <w:lang w:val="fr-FR"/>
        </w:rPr>
        <w:t>élimination des HCFC et au renforcement des capacités pertinentes dans le pays.</w:t>
      </w:r>
    </w:p>
    <w:p w14:paraId="0D3D83B8" w14:textId="64DF9AF6" w:rsidR="00A343FC" w:rsidRPr="005D5B50" w:rsidRDefault="0085107D" w:rsidP="00A7342F">
      <w:pPr>
        <w:pStyle w:val="Heading1"/>
        <w:numPr>
          <w:ilvl w:val="0"/>
          <w:numId w:val="0"/>
        </w:numPr>
        <w:rPr>
          <w:u w:val="single"/>
        </w:rPr>
      </w:pPr>
      <w:r w:rsidRPr="0085107D">
        <w:rPr>
          <w:u w:val="single"/>
          <w:lang w:val="fr-FR"/>
        </w:rPr>
        <w:t>Conclusion</w:t>
      </w:r>
      <w:r w:rsidR="00A343FC" w:rsidRPr="0085107D">
        <w:rPr>
          <w:u w:val="single"/>
        </w:rPr>
        <w:t xml:space="preserve"> </w:t>
      </w:r>
    </w:p>
    <w:p w14:paraId="154DBCCA" w14:textId="10E6C1E6" w:rsidR="0085107D" w:rsidRPr="00A7342F" w:rsidRDefault="0085107D" w:rsidP="00A7342F">
      <w:pPr>
        <w:pStyle w:val="Heading1"/>
        <w:rPr>
          <w:lang w:val="fr-FR"/>
        </w:rPr>
      </w:pPr>
      <w:r w:rsidRPr="0085107D">
        <w:rPr>
          <w:lang w:val="fr-FR"/>
        </w:rPr>
        <w:t>Le Secrétariat a noté que le système d</w:t>
      </w:r>
      <w:r w:rsidR="00BA262E">
        <w:rPr>
          <w:lang w:val="fr-FR"/>
        </w:rPr>
        <w:t>’</w:t>
      </w:r>
      <w:r w:rsidRPr="0085107D">
        <w:rPr>
          <w:lang w:val="fr-FR"/>
        </w:rPr>
        <w:t>autorisation et de quotas de l</w:t>
      </w:r>
      <w:r w:rsidR="00BA262E">
        <w:rPr>
          <w:lang w:val="fr-FR"/>
        </w:rPr>
        <w:t>’</w:t>
      </w:r>
      <w:r w:rsidRPr="0085107D">
        <w:rPr>
          <w:lang w:val="fr-FR"/>
        </w:rPr>
        <w:t>Angola était opérationnel et que les niveaux vérifiés de consommation pour la période 2017 à 2020 étaient inférieurs à la consommation maximale autorisée.</w:t>
      </w:r>
      <w:r w:rsidRPr="00A7342F">
        <w:rPr>
          <w:lang w:val="fr-FR"/>
        </w:rPr>
        <w:t xml:space="preserve"> </w:t>
      </w:r>
      <w:r w:rsidRPr="0085107D">
        <w:rPr>
          <w:lang w:val="fr-FR"/>
        </w:rPr>
        <w:t>La consommation actuelle au niveau du pays est inférieure de 22 pour cent à la consommation maximale autorisée pour 2020.</w:t>
      </w:r>
      <w:r w:rsidRPr="00A7342F">
        <w:rPr>
          <w:lang w:val="fr-FR"/>
        </w:rPr>
        <w:t xml:space="preserve"> </w:t>
      </w:r>
      <w:r w:rsidRPr="0085107D">
        <w:rPr>
          <w:lang w:val="fr-FR"/>
        </w:rPr>
        <w:t xml:space="preserve">La mise en œuvre de la première tranche progresse bien malgré les restrictions </w:t>
      </w:r>
      <w:r w:rsidR="00BD1F07">
        <w:rPr>
          <w:lang w:val="fr-FR"/>
        </w:rPr>
        <w:t>li</w:t>
      </w:r>
      <w:r w:rsidRPr="0085107D">
        <w:rPr>
          <w:lang w:val="fr-FR"/>
        </w:rPr>
        <w:t xml:space="preserve">ées </w:t>
      </w:r>
      <w:r w:rsidR="00BD1F07">
        <w:rPr>
          <w:lang w:val="fr-FR"/>
        </w:rPr>
        <w:t>à</w:t>
      </w:r>
      <w:r w:rsidRPr="0085107D">
        <w:rPr>
          <w:lang w:val="fr-FR"/>
        </w:rPr>
        <w:t xml:space="preserve"> la pandémie de Covid-19 ; les résultats attendus pour la première tranche ont </w:t>
      </w:r>
      <w:r w:rsidRPr="0085107D">
        <w:rPr>
          <w:lang w:val="fr-FR"/>
        </w:rPr>
        <w:lastRenderedPageBreak/>
        <w:t>été réalisés et le taux de décaissement a atteint 75 pour cent de la tranche approuvée.</w:t>
      </w:r>
      <w:r w:rsidRPr="00A7342F">
        <w:rPr>
          <w:lang w:val="fr-FR"/>
        </w:rPr>
        <w:t xml:space="preserve"> </w:t>
      </w:r>
      <w:r w:rsidRPr="0085107D">
        <w:rPr>
          <w:lang w:val="fr-FR"/>
        </w:rPr>
        <w:t>En outre, le gouvernement a révisé son plan de mise en œuvre de la deuxième tranche pour inclure les recommandations du rapport de vérification et renforcer le réseau de R&amp;R et les instituts de formation à l</w:t>
      </w:r>
      <w:r w:rsidR="00BA262E">
        <w:rPr>
          <w:lang w:val="fr-FR"/>
        </w:rPr>
        <w:t>’</w:t>
      </w:r>
      <w:r w:rsidRPr="0085107D">
        <w:rPr>
          <w:lang w:val="fr-FR"/>
        </w:rPr>
        <w:t>aide d</w:t>
      </w:r>
      <w:r w:rsidR="00BA262E">
        <w:rPr>
          <w:lang w:val="fr-FR"/>
        </w:rPr>
        <w:t>’</w:t>
      </w:r>
      <w:r w:rsidRPr="0085107D">
        <w:rPr>
          <w:lang w:val="fr-FR"/>
        </w:rPr>
        <w:t>équipements supplémentaires (au lieu de remplacer l</w:t>
      </w:r>
      <w:r w:rsidR="00BA262E">
        <w:rPr>
          <w:lang w:val="fr-FR"/>
        </w:rPr>
        <w:t>’</w:t>
      </w:r>
      <w:r w:rsidRPr="0085107D">
        <w:rPr>
          <w:lang w:val="fr-FR"/>
        </w:rPr>
        <w:t>équipement des utilisateurs finaux à des fins de démonstration) afin d</w:t>
      </w:r>
      <w:r w:rsidR="00BA262E">
        <w:rPr>
          <w:lang w:val="fr-FR"/>
        </w:rPr>
        <w:t>’</w:t>
      </w:r>
      <w:r w:rsidRPr="0085107D">
        <w:rPr>
          <w:lang w:val="fr-FR"/>
        </w:rPr>
        <w:t xml:space="preserve">assurer la pérennité </w:t>
      </w:r>
      <w:r w:rsidR="00077A19">
        <w:rPr>
          <w:lang w:val="fr-FR"/>
        </w:rPr>
        <w:t xml:space="preserve">de </w:t>
      </w:r>
      <w:r w:rsidRPr="0085107D">
        <w:rPr>
          <w:lang w:val="fr-FR"/>
        </w:rPr>
        <w:t>l</w:t>
      </w:r>
      <w:r w:rsidR="00BA262E">
        <w:rPr>
          <w:lang w:val="fr-FR"/>
        </w:rPr>
        <w:t>’</w:t>
      </w:r>
      <w:r w:rsidRPr="0085107D">
        <w:rPr>
          <w:lang w:val="fr-FR"/>
        </w:rPr>
        <w:t>élimination des HCFC réalisé</w:t>
      </w:r>
      <w:r w:rsidR="00BD1F07">
        <w:rPr>
          <w:lang w:val="fr-FR"/>
        </w:rPr>
        <w:t>e</w:t>
      </w:r>
      <w:r w:rsidRPr="0085107D">
        <w:rPr>
          <w:lang w:val="fr-FR"/>
        </w:rPr>
        <w:t xml:space="preserve"> et répondre aux futurs objectifs de réduction.</w:t>
      </w:r>
      <w:r w:rsidRPr="00A7342F">
        <w:rPr>
          <w:lang w:val="fr-FR"/>
        </w:rPr>
        <w:t xml:space="preserve"> </w:t>
      </w:r>
    </w:p>
    <w:p w14:paraId="77F52D7C" w14:textId="7D47763D" w:rsidR="00F61BF0" w:rsidRPr="00E34C02" w:rsidRDefault="0085107D" w:rsidP="00A7342F">
      <w:pPr>
        <w:spacing w:after="240"/>
      </w:pPr>
      <w:r w:rsidRPr="0085107D">
        <w:rPr>
          <w:b/>
          <w:lang w:val="fr-FR"/>
        </w:rPr>
        <w:t>RECOMMANDATION</w:t>
      </w:r>
      <w:r w:rsidR="00F61BF0" w:rsidRPr="0085107D">
        <w:rPr>
          <w:b/>
        </w:rPr>
        <w:t xml:space="preserve"> </w:t>
      </w:r>
    </w:p>
    <w:p w14:paraId="6C7D25C4" w14:textId="239018F6" w:rsidR="0085107D" w:rsidRPr="00A7342F" w:rsidRDefault="0085107D" w:rsidP="00A7342F">
      <w:pPr>
        <w:pStyle w:val="Heading1"/>
        <w:rPr>
          <w:lang w:val="fr-FR"/>
        </w:rPr>
      </w:pPr>
      <w:r w:rsidRPr="0085107D">
        <w:rPr>
          <w:lang w:val="fr-FR"/>
        </w:rPr>
        <w:t>Le Secrétariat du Fonds recommande que le Comité exécutif prenne note du rapport périodique sur la mise en œuvre</w:t>
      </w:r>
      <w:r w:rsidR="00BA262E">
        <w:rPr>
          <w:lang w:val="fr-FR"/>
        </w:rPr>
        <w:t> </w:t>
      </w:r>
      <w:r w:rsidRPr="0085107D">
        <w:rPr>
          <w:lang w:val="fr-FR"/>
        </w:rPr>
        <w:t>de la première tranche de la phase II du plan de gestion de l</w:t>
      </w:r>
      <w:r w:rsidR="00BA262E">
        <w:rPr>
          <w:lang w:val="fr-FR"/>
        </w:rPr>
        <w:t>’</w:t>
      </w:r>
      <w:r w:rsidRPr="0085107D">
        <w:rPr>
          <w:lang w:val="fr-FR"/>
        </w:rPr>
        <w:t>élimination des HCFC (PGEH) en Angola et recommande également l</w:t>
      </w:r>
      <w:r w:rsidR="00BA262E">
        <w:rPr>
          <w:lang w:val="fr-FR"/>
        </w:rPr>
        <w:t>’</w:t>
      </w:r>
      <w:r w:rsidRPr="0085107D">
        <w:rPr>
          <w:lang w:val="fr-FR"/>
        </w:rPr>
        <w:t>approbation globale de la</w:t>
      </w:r>
      <w:r w:rsidR="00BA262E">
        <w:rPr>
          <w:lang w:val="fr-FR"/>
        </w:rPr>
        <w:t> </w:t>
      </w:r>
      <w:r w:rsidRPr="0085107D">
        <w:rPr>
          <w:lang w:val="fr-FR"/>
        </w:rPr>
        <w:t>deuxième tranche de la phase II du PGEH de l</w:t>
      </w:r>
      <w:r w:rsidR="00BA262E">
        <w:rPr>
          <w:lang w:val="fr-FR"/>
        </w:rPr>
        <w:t>’</w:t>
      </w:r>
      <w:r w:rsidRPr="0085107D">
        <w:rPr>
          <w:lang w:val="fr-FR"/>
        </w:rPr>
        <w:t>Angola et du plan annuel de mise en œuvre de la tranche 2021-2025 au niveau de financement indiqué dans le tableau ci-dessous :</w:t>
      </w:r>
      <w:r w:rsidRPr="00A7342F">
        <w:rPr>
          <w:lang w:val="fr-FR"/>
        </w:rPr>
        <w:t xml:space="preserve"> </w:t>
      </w:r>
    </w:p>
    <w:p w14:paraId="4C3051B2" w14:textId="6FD90E60" w:rsidR="00C2190C" w:rsidRPr="00A7342F" w:rsidRDefault="00C2190C" w:rsidP="0085107D">
      <w:pPr>
        <w:pStyle w:val="Heading1"/>
        <w:numPr>
          <w:ilvl w:val="0"/>
          <w:numId w:val="0"/>
        </w:numPr>
        <w:suppressAutoHyphens/>
        <w:spacing w:after="0"/>
        <w:ind w:left="720"/>
        <w:rPr>
          <w:lang w:val="fr-FR"/>
        </w:rPr>
      </w:pP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5"/>
        <w:gridCol w:w="1438"/>
        <w:gridCol w:w="1581"/>
        <w:gridCol w:w="1725"/>
      </w:tblGrid>
      <w:tr w:rsidR="00F61BF0" w:rsidRPr="00C0764B" w14:paraId="66F170EF" w14:textId="77777777" w:rsidTr="00A7342F">
        <w:trPr>
          <w:trHeight w:val="508"/>
        </w:trPr>
        <w:tc>
          <w:tcPr>
            <w:tcW w:w="4745" w:type="dxa"/>
          </w:tcPr>
          <w:p w14:paraId="41D28088" w14:textId="0EA57501" w:rsidR="00F61BF0" w:rsidRPr="0085107D" w:rsidRDefault="0085107D" w:rsidP="00723649">
            <w:pPr>
              <w:suppressAutoHyphens/>
              <w:jc w:val="center"/>
              <w:rPr>
                <w:b/>
                <w:bCs/>
                <w:sz w:val="20"/>
                <w:szCs w:val="20"/>
              </w:rPr>
            </w:pPr>
            <w:r w:rsidRPr="0085107D">
              <w:rPr>
                <w:b/>
                <w:bCs/>
                <w:sz w:val="20"/>
                <w:szCs w:val="20"/>
                <w:lang w:val="fr-FR"/>
              </w:rPr>
              <w:t>Titre du projet</w:t>
            </w:r>
          </w:p>
        </w:tc>
        <w:tc>
          <w:tcPr>
            <w:tcW w:w="1438" w:type="dxa"/>
            <w:tcMar>
              <w:left w:w="29" w:type="dxa"/>
              <w:right w:w="29" w:type="dxa"/>
            </w:tcMar>
          </w:tcPr>
          <w:p w14:paraId="4399C8F5" w14:textId="4BB9205C" w:rsidR="00F61BF0" w:rsidRPr="0085107D" w:rsidRDefault="0085107D" w:rsidP="00723649">
            <w:pPr>
              <w:suppressAutoHyphens/>
              <w:jc w:val="center"/>
              <w:rPr>
                <w:b/>
                <w:bCs/>
                <w:sz w:val="20"/>
                <w:szCs w:val="20"/>
              </w:rPr>
            </w:pPr>
            <w:r w:rsidRPr="0085107D">
              <w:rPr>
                <w:b/>
                <w:bCs/>
                <w:sz w:val="20"/>
                <w:szCs w:val="20"/>
                <w:lang w:val="fr-FR"/>
              </w:rPr>
              <w:t>Financement du projet ($US)</w:t>
            </w:r>
          </w:p>
        </w:tc>
        <w:tc>
          <w:tcPr>
            <w:tcW w:w="1581" w:type="dxa"/>
            <w:tcMar>
              <w:left w:w="29" w:type="dxa"/>
              <w:right w:w="29" w:type="dxa"/>
            </w:tcMar>
          </w:tcPr>
          <w:p w14:paraId="7DBF39E3" w14:textId="0DFED16B" w:rsidR="00F61BF0" w:rsidRPr="0085107D" w:rsidRDefault="0085107D" w:rsidP="00723649">
            <w:pPr>
              <w:suppressAutoHyphens/>
              <w:jc w:val="center"/>
              <w:rPr>
                <w:b/>
                <w:bCs/>
                <w:sz w:val="20"/>
                <w:szCs w:val="20"/>
              </w:rPr>
            </w:pPr>
            <w:r w:rsidRPr="0085107D">
              <w:rPr>
                <w:b/>
                <w:bCs/>
                <w:sz w:val="20"/>
                <w:szCs w:val="20"/>
                <w:lang w:val="fr-FR"/>
              </w:rPr>
              <w:t>Coût d</w:t>
            </w:r>
            <w:r w:rsidR="00BA262E">
              <w:rPr>
                <w:b/>
                <w:bCs/>
                <w:sz w:val="20"/>
                <w:szCs w:val="20"/>
                <w:lang w:val="fr-FR"/>
              </w:rPr>
              <w:t>’</w:t>
            </w:r>
            <w:r w:rsidRPr="0085107D">
              <w:rPr>
                <w:b/>
                <w:bCs/>
                <w:sz w:val="20"/>
                <w:szCs w:val="20"/>
                <w:lang w:val="fr-FR"/>
              </w:rPr>
              <w:t>appui ($US) </w:t>
            </w:r>
          </w:p>
        </w:tc>
        <w:tc>
          <w:tcPr>
            <w:tcW w:w="1725" w:type="dxa"/>
            <w:tcMar>
              <w:left w:w="29" w:type="dxa"/>
              <w:right w:w="29" w:type="dxa"/>
            </w:tcMar>
          </w:tcPr>
          <w:p w14:paraId="2C1CC655" w14:textId="4721B25D" w:rsidR="00F61BF0" w:rsidRPr="0085107D" w:rsidRDefault="0085107D" w:rsidP="00723649">
            <w:pPr>
              <w:suppressAutoHyphens/>
              <w:jc w:val="center"/>
              <w:rPr>
                <w:b/>
                <w:bCs/>
                <w:sz w:val="20"/>
                <w:szCs w:val="20"/>
              </w:rPr>
            </w:pPr>
            <w:r w:rsidRPr="0085107D">
              <w:rPr>
                <w:b/>
                <w:bCs/>
                <w:sz w:val="20"/>
                <w:szCs w:val="20"/>
                <w:lang w:val="fr-FR"/>
              </w:rPr>
              <w:t>Agence d</w:t>
            </w:r>
            <w:r w:rsidR="00BA262E">
              <w:rPr>
                <w:b/>
                <w:bCs/>
                <w:sz w:val="20"/>
                <w:szCs w:val="20"/>
                <w:lang w:val="fr-FR"/>
              </w:rPr>
              <w:t>’</w:t>
            </w:r>
            <w:r w:rsidRPr="0085107D">
              <w:rPr>
                <w:b/>
                <w:bCs/>
                <w:sz w:val="20"/>
                <w:szCs w:val="20"/>
                <w:lang w:val="fr-FR"/>
              </w:rPr>
              <w:t>exécution</w:t>
            </w:r>
          </w:p>
        </w:tc>
      </w:tr>
      <w:tr w:rsidR="00F61BF0" w:rsidRPr="00C0764B" w14:paraId="4C05F40C" w14:textId="77777777" w:rsidTr="00A7342F">
        <w:trPr>
          <w:trHeight w:val="508"/>
        </w:trPr>
        <w:tc>
          <w:tcPr>
            <w:tcW w:w="4745" w:type="dxa"/>
          </w:tcPr>
          <w:p w14:paraId="57867AA8" w14:textId="74C59C1B" w:rsidR="00F61BF0" w:rsidRPr="00A7342F" w:rsidRDefault="0085107D" w:rsidP="00723649">
            <w:pPr>
              <w:suppressAutoHyphens/>
              <w:rPr>
                <w:sz w:val="20"/>
                <w:szCs w:val="20"/>
                <w:lang w:val="fr-FR"/>
              </w:rPr>
            </w:pPr>
            <w:r w:rsidRPr="0085107D">
              <w:rPr>
                <w:sz w:val="20"/>
                <w:szCs w:val="20"/>
                <w:lang w:val="fr-FR"/>
              </w:rPr>
              <w:t>Plan de gestion de l</w:t>
            </w:r>
            <w:r w:rsidR="00BA262E">
              <w:rPr>
                <w:sz w:val="20"/>
                <w:szCs w:val="20"/>
                <w:lang w:val="fr-FR"/>
              </w:rPr>
              <w:t>’</w:t>
            </w:r>
            <w:r w:rsidRPr="0085107D">
              <w:rPr>
                <w:sz w:val="20"/>
                <w:szCs w:val="20"/>
                <w:lang w:val="fr-FR"/>
              </w:rPr>
              <w:t>élimination des HCFC (phase II, deuxième tranche)</w:t>
            </w:r>
          </w:p>
        </w:tc>
        <w:tc>
          <w:tcPr>
            <w:tcW w:w="1438" w:type="dxa"/>
          </w:tcPr>
          <w:p w14:paraId="5D1C6635" w14:textId="3AB35650" w:rsidR="00F61BF0" w:rsidRPr="00C0764B" w:rsidRDefault="00F61BF0" w:rsidP="00B832BB">
            <w:pPr>
              <w:suppressAutoHyphens/>
              <w:jc w:val="right"/>
              <w:rPr>
                <w:sz w:val="20"/>
                <w:szCs w:val="20"/>
                <w:lang w:eastAsia="es-CO"/>
              </w:rPr>
            </w:pPr>
            <w:r w:rsidRPr="00C0764B">
              <w:rPr>
                <w:sz w:val="20"/>
                <w:szCs w:val="20"/>
                <w:lang w:eastAsia="es-CO"/>
              </w:rPr>
              <w:t>363</w:t>
            </w:r>
            <w:r w:rsidR="00BA262E">
              <w:rPr>
                <w:sz w:val="20"/>
                <w:szCs w:val="20"/>
                <w:lang w:eastAsia="es-CO"/>
              </w:rPr>
              <w:t> </w:t>
            </w:r>
            <w:r w:rsidRPr="00C0764B">
              <w:rPr>
                <w:sz w:val="20"/>
                <w:szCs w:val="20"/>
                <w:lang w:eastAsia="es-CO"/>
              </w:rPr>
              <w:t>600</w:t>
            </w:r>
          </w:p>
        </w:tc>
        <w:tc>
          <w:tcPr>
            <w:tcW w:w="1581" w:type="dxa"/>
          </w:tcPr>
          <w:p w14:paraId="2589DDAA" w14:textId="478E12E3" w:rsidR="00F61BF0" w:rsidRPr="00C0764B" w:rsidRDefault="00F61BF0" w:rsidP="00B832BB">
            <w:pPr>
              <w:suppressAutoHyphens/>
              <w:jc w:val="right"/>
              <w:rPr>
                <w:sz w:val="20"/>
                <w:szCs w:val="20"/>
              </w:rPr>
            </w:pPr>
            <w:r w:rsidRPr="00C0764B">
              <w:rPr>
                <w:sz w:val="20"/>
                <w:szCs w:val="20"/>
                <w:lang w:eastAsia="es-CO"/>
              </w:rPr>
              <w:t>25</w:t>
            </w:r>
            <w:r w:rsidR="00BA262E">
              <w:rPr>
                <w:sz w:val="20"/>
                <w:szCs w:val="20"/>
                <w:lang w:eastAsia="es-CO"/>
              </w:rPr>
              <w:t> </w:t>
            </w:r>
            <w:r w:rsidRPr="00C0764B">
              <w:rPr>
                <w:sz w:val="20"/>
                <w:szCs w:val="20"/>
                <w:lang w:eastAsia="es-CO"/>
              </w:rPr>
              <w:t>452</w:t>
            </w:r>
          </w:p>
        </w:tc>
        <w:tc>
          <w:tcPr>
            <w:tcW w:w="1725" w:type="dxa"/>
          </w:tcPr>
          <w:p w14:paraId="35099781" w14:textId="714FC607" w:rsidR="00F61BF0" w:rsidRPr="0085107D" w:rsidRDefault="0085107D" w:rsidP="00723649">
            <w:pPr>
              <w:suppressAutoHyphens/>
              <w:jc w:val="center"/>
              <w:rPr>
                <w:sz w:val="20"/>
                <w:szCs w:val="20"/>
                <w:highlight w:val="cyan"/>
              </w:rPr>
            </w:pPr>
            <w:r w:rsidRPr="0085107D">
              <w:rPr>
                <w:sz w:val="20"/>
                <w:szCs w:val="20"/>
                <w:lang w:val="fr-FR"/>
              </w:rPr>
              <w:t>PNUD</w:t>
            </w:r>
          </w:p>
        </w:tc>
      </w:tr>
    </w:tbl>
    <w:p w14:paraId="1B705571" w14:textId="77777777" w:rsidR="00F61BF0" w:rsidRPr="00C0764B" w:rsidRDefault="00F61BF0" w:rsidP="00B832BB">
      <w:pPr>
        <w:suppressAutoHyphens/>
      </w:pPr>
    </w:p>
    <w:p w14:paraId="3F8A84CD" w14:textId="77777777" w:rsidR="00A343FC" w:rsidRPr="00C0764B" w:rsidRDefault="00A343FC" w:rsidP="00B832BB">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A343FC" w:rsidRPr="00C0764B" w14:paraId="00BB530F" w14:textId="77777777" w:rsidTr="006624DD">
        <w:tc>
          <w:tcPr>
            <w:tcW w:w="1871" w:type="dxa"/>
          </w:tcPr>
          <w:p w14:paraId="40158184" w14:textId="77777777" w:rsidR="00A343FC" w:rsidRPr="00C0764B" w:rsidRDefault="00A343FC" w:rsidP="00B832BB">
            <w:pPr>
              <w:suppressAutoHyphens/>
            </w:pPr>
          </w:p>
        </w:tc>
        <w:tc>
          <w:tcPr>
            <w:tcW w:w="1872" w:type="dxa"/>
          </w:tcPr>
          <w:p w14:paraId="14168504" w14:textId="77777777" w:rsidR="00A343FC" w:rsidRPr="00C0764B" w:rsidRDefault="00A343FC" w:rsidP="00B832BB">
            <w:pPr>
              <w:suppressAutoHyphens/>
            </w:pPr>
          </w:p>
        </w:tc>
        <w:tc>
          <w:tcPr>
            <w:tcW w:w="1872" w:type="dxa"/>
            <w:tcBorders>
              <w:bottom w:val="single" w:sz="4" w:space="0" w:color="auto"/>
            </w:tcBorders>
          </w:tcPr>
          <w:p w14:paraId="3EF998AF" w14:textId="77777777" w:rsidR="00A343FC" w:rsidRPr="00C0764B" w:rsidRDefault="00A343FC" w:rsidP="00B832BB">
            <w:pPr>
              <w:suppressAutoHyphens/>
            </w:pPr>
          </w:p>
        </w:tc>
        <w:tc>
          <w:tcPr>
            <w:tcW w:w="1872" w:type="dxa"/>
          </w:tcPr>
          <w:p w14:paraId="08634E30" w14:textId="77777777" w:rsidR="00A343FC" w:rsidRPr="00C0764B" w:rsidRDefault="00A343FC" w:rsidP="00B832BB">
            <w:pPr>
              <w:suppressAutoHyphens/>
            </w:pPr>
          </w:p>
        </w:tc>
        <w:tc>
          <w:tcPr>
            <w:tcW w:w="1873" w:type="dxa"/>
          </w:tcPr>
          <w:p w14:paraId="64BB4E65" w14:textId="77777777" w:rsidR="00A343FC" w:rsidRPr="00C0764B" w:rsidRDefault="00A343FC" w:rsidP="00B832BB">
            <w:pPr>
              <w:suppressAutoHyphens/>
            </w:pPr>
          </w:p>
        </w:tc>
      </w:tr>
    </w:tbl>
    <w:p w14:paraId="2D6E1C2D" w14:textId="6B8AE0C6" w:rsidR="004E7F9C" w:rsidRPr="00C0764B" w:rsidRDefault="004E7F9C" w:rsidP="00B832BB">
      <w:pPr>
        <w:suppressAutoHyphens/>
      </w:pPr>
    </w:p>
    <w:sectPr w:rsidR="004E7F9C" w:rsidRPr="00C0764B"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5EB67" w14:textId="77777777" w:rsidR="00224DB3" w:rsidRDefault="00224DB3" w:rsidP="004A504B">
      <w:r>
        <w:separator/>
      </w:r>
    </w:p>
  </w:endnote>
  <w:endnote w:type="continuationSeparator" w:id="0">
    <w:p w14:paraId="51DE6598" w14:textId="77777777" w:rsidR="00224DB3" w:rsidRDefault="00224DB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46F5" w14:textId="293D27D7" w:rsidR="00BA262E" w:rsidRPr="0033525D" w:rsidRDefault="00BA262E">
    <w:pPr>
      <w:jc w:val="center"/>
    </w:pPr>
    <w:r>
      <w:fldChar w:fldCharType="begin"/>
    </w:r>
    <w:r>
      <w:instrText xml:space="preserve"> PAGE </w:instrText>
    </w:r>
    <w:r>
      <w:fldChar w:fldCharType="separate"/>
    </w:r>
    <w:r w:rsidR="00715FD8">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D773" w14:textId="48D11983" w:rsidR="00BA262E" w:rsidRPr="0033525D" w:rsidRDefault="00BA262E">
    <w:pPr>
      <w:jc w:val="center"/>
    </w:pPr>
    <w:r>
      <w:fldChar w:fldCharType="begin"/>
    </w:r>
    <w:r>
      <w:instrText xml:space="preserve"> PAGE </w:instrText>
    </w:r>
    <w:r>
      <w:fldChar w:fldCharType="separate"/>
    </w:r>
    <w:r w:rsidR="00715FD8">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755B" w14:textId="77777777" w:rsidR="00BA262E" w:rsidRDefault="00BA262E" w:rsidP="00726C89">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2C4DBF6C" w14:textId="75F1218F" w:rsidR="00BA262E" w:rsidRPr="00A7342F" w:rsidRDefault="00BA262E" w:rsidP="00726C89">
    <w:pPr>
      <w:pBdr>
        <w:top w:val="single" w:sz="4" w:space="1" w:color="auto"/>
        <w:left w:val="single" w:sz="4" w:space="4" w:color="auto"/>
        <w:bottom w:val="single" w:sz="4" w:space="1" w:color="auto"/>
        <w:right w:val="single" w:sz="4" w:space="4" w:color="auto"/>
      </w:pBdr>
      <w:jc w:val="center"/>
      <w:rPr>
        <w:sz w:val="18"/>
        <w:szCs w:val="18"/>
        <w:lang w:val="fr-FR"/>
      </w:rPr>
    </w:pPr>
    <w:r>
      <w:rPr>
        <w:rFonts w:cs="MS Serif"/>
        <w:sz w:val="20"/>
        <w:lang w:val="fr-FR"/>
      </w:rPr>
      <w:t>Montréal sont présentés sous réserve des décisions pouvant être prises par le Comité exécutif après leur publication</w:t>
    </w:r>
    <w:r w:rsidRPr="00A7342F">
      <w:rPr>
        <w:sz w:val="18"/>
        <w:szCs w:val="18"/>
        <w:lang w:val="fr-FR"/>
      </w:rPr>
      <w:t>.</w:t>
    </w:r>
  </w:p>
  <w:p w14:paraId="3DB56BB3" w14:textId="77777777" w:rsidR="00BA262E" w:rsidRPr="00A7342F" w:rsidRDefault="00BA262E" w:rsidP="004E7F9C">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B5821" w14:textId="77777777" w:rsidR="00224DB3" w:rsidRDefault="00224DB3" w:rsidP="004A504B">
      <w:r>
        <w:separator/>
      </w:r>
    </w:p>
  </w:footnote>
  <w:footnote w:type="continuationSeparator" w:id="0">
    <w:p w14:paraId="58D802D7" w14:textId="77777777" w:rsidR="00224DB3" w:rsidRDefault="00224DB3" w:rsidP="004A504B">
      <w:r>
        <w:continuationSeparator/>
      </w:r>
    </w:p>
  </w:footnote>
  <w:footnote w:id="1">
    <w:p w14:paraId="1617B194" w14:textId="6FDBAE91" w:rsidR="00BA262E" w:rsidRDefault="00BA262E" w:rsidP="00D325B1">
      <w:pPr>
        <w:pStyle w:val="FootnoteText"/>
        <w:rPr>
          <w:lang w:val="fr-FR"/>
        </w:rPr>
      </w:pPr>
      <w:r>
        <w:rPr>
          <w:rStyle w:val="FootnoteReference"/>
        </w:rPr>
        <w:footnoteRef/>
      </w:r>
      <w:r w:rsidRPr="00A7342F">
        <w:rPr>
          <w:lang w:val="fr-FR"/>
        </w:rPr>
        <w:t xml:space="preserve"> </w:t>
      </w:r>
      <w:r w:rsidRPr="006A34FE">
        <w:rPr>
          <w:lang w:val="fr-CA"/>
        </w:rPr>
        <w:t>Les r</w:t>
      </w:r>
      <w:r>
        <w:rPr>
          <w:lang w:val="fr-CA"/>
        </w:rPr>
        <w:t>é</w:t>
      </w:r>
      <w:r w:rsidRPr="006A34FE">
        <w:rPr>
          <w:lang w:val="fr-CA"/>
        </w:rPr>
        <w:t xml:space="preserve">unions et le processus d’approbation intersessions se </w:t>
      </w:r>
      <w:r>
        <w:rPr>
          <w:lang w:val="fr-CA"/>
        </w:rPr>
        <w:t>dérouleront en ligne en n</w:t>
      </w:r>
      <w:r w:rsidRPr="006A34FE">
        <w:rPr>
          <w:lang w:val="fr-CA"/>
        </w:rPr>
        <w:t xml:space="preserve">ovembre et en décembre </w:t>
      </w:r>
      <w:r>
        <w:rPr>
          <w:lang w:val="fr-CA"/>
        </w:rPr>
        <w:t>à cause du coronavirus (C</w:t>
      </w:r>
      <w:r w:rsidR="00C874B6">
        <w:rPr>
          <w:lang w:val="fr-CA"/>
        </w:rPr>
        <w:t>ovid</w:t>
      </w:r>
      <w:r>
        <w:rPr>
          <w:lang w:val="fr-CA"/>
        </w:rPr>
        <w:t>-19)</w:t>
      </w:r>
      <w:r w:rsidRPr="00A7342F">
        <w:rPr>
          <w:lang w:val="fr-FR"/>
        </w:rPr>
        <w:t>.</w:t>
      </w:r>
    </w:p>
    <w:p w14:paraId="7CD672D1" w14:textId="77777777" w:rsidR="00C874B6" w:rsidRPr="00A7342F" w:rsidRDefault="00C874B6" w:rsidP="00D325B1">
      <w:pPr>
        <w:pStyle w:val="FootnoteText"/>
        <w:rPr>
          <w:lang w:val="fr-FR"/>
        </w:rPr>
      </w:pPr>
    </w:p>
  </w:footnote>
  <w:footnote w:id="2">
    <w:p w14:paraId="63ACCCE2" w14:textId="64939DF0" w:rsidR="00BA262E" w:rsidRPr="00A7342F" w:rsidRDefault="00BA262E" w:rsidP="00726C89">
      <w:pPr>
        <w:pStyle w:val="FootnoteText"/>
        <w:rPr>
          <w:szCs w:val="18"/>
          <w:lang w:val="fr-FR"/>
        </w:rPr>
      </w:pPr>
      <w:r w:rsidRPr="00BF59BD">
        <w:rPr>
          <w:rStyle w:val="FootnoteReference"/>
          <w:sz w:val="18"/>
          <w:szCs w:val="18"/>
        </w:rPr>
        <w:footnoteRef/>
      </w:r>
      <w:r w:rsidRPr="00A7342F">
        <w:rPr>
          <w:sz w:val="18"/>
          <w:szCs w:val="18"/>
          <w:lang w:val="fr-FR"/>
        </w:rPr>
        <w:t xml:space="preserve"> </w:t>
      </w:r>
      <w:r w:rsidRPr="00726C89">
        <w:rPr>
          <w:lang w:val="fr-FR"/>
        </w:rPr>
        <w:t>Conformément à la lettre du 30 août 2021 du ministère de la Culture, du Tourisme et de l'Environnement de l'Angola adressée au PNUD.</w:t>
      </w:r>
    </w:p>
  </w:footnote>
  <w:footnote w:id="3">
    <w:p w14:paraId="1C22AE5C" w14:textId="2F583A25" w:rsidR="00BA262E" w:rsidRPr="00A7342F" w:rsidRDefault="00BA262E">
      <w:pPr>
        <w:pStyle w:val="FootnoteText"/>
        <w:rPr>
          <w:lang w:val="fr-FR"/>
        </w:rPr>
      </w:pPr>
      <w:r>
        <w:rPr>
          <w:rStyle w:val="FootnoteReference"/>
        </w:rPr>
        <w:footnoteRef/>
      </w:r>
      <w:r w:rsidRPr="00A7342F">
        <w:rPr>
          <w:lang w:val="fr-FR"/>
        </w:rPr>
        <w:t xml:space="preserve"> </w:t>
      </w:r>
      <w:r w:rsidRPr="00726C89">
        <w:rPr>
          <w:rFonts w:eastAsia="MS Mincho"/>
          <w:color w:val="000000"/>
          <w:lang w:val="fr-FR"/>
        </w:rPr>
        <w:t>Adaptateurs de régulateur d'azote, bonbonnes d'azote de 1 litre, bonbonnes de récupération des frigorigènes,</w:t>
      </w:r>
      <w:bookmarkStart w:id="2" w:name="WfCopyCase"/>
      <w:r w:rsidRPr="00726C89">
        <w:rPr>
          <w:rFonts w:eastAsia="MS Mincho"/>
          <w:color w:val="000000"/>
          <w:lang w:val="fr-FR"/>
        </w:rPr>
        <w:t xml:space="preserve"> stations de chargement</w:t>
      </w:r>
      <w:bookmarkEnd w:id="2"/>
      <w:r w:rsidRPr="00726C89">
        <w:rPr>
          <w:rFonts w:eastAsia="MS Mincho"/>
          <w:color w:val="000000"/>
          <w:lang w:val="fr-FR"/>
        </w:rPr>
        <w:t xml:space="preserve"> électroniques portables, détecteurs de fuite des frigorigènes, ensemble d'outils </w:t>
      </w:r>
      <w:r w:rsidRPr="00BD1F07">
        <w:rPr>
          <w:rFonts w:eastAsia="MS Mincho"/>
          <w:color w:val="000000"/>
          <w:lang w:val="fr-FR"/>
        </w:rPr>
        <w:t>de torchage et d'emboutissage,</w:t>
      </w:r>
      <w:r w:rsidRPr="00726C89">
        <w:rPr>
          <w:rFonts w:eastAsia="MS Mincho"/>
          <w:color w:val="000000"/>
          <w:lang w:val="fr-FR"/>
        </w:rPr>
        <w:t xml:space="preserve"> coupe-tube midi, kit de régulateur de test de pression, kits de </w:t>
      </w:r>
      <w:r>
        <w:rPr>
          <w:rFonts w:eastAsia="MS Mincho"/>
          <w:color w:val="000000"/>
          <w:lang w:val="fr-FR"/>
        </w:rPr>
        <w:t>chalumeau</w:t>
      </w:r>
      <w:r w:rsidRPr="00726C89">
        <w:rPr>
          <w:rFonts w:eastAsia="MS Mincho"/>
          <w:color w:val="000000"/>
          <w:lang w:val="fr-FR"/>
        </w:rPr>
        <w:t xml:space="preserve"> à usage moyen, thermomètre laser infrarouge et articles de protection personnelle.</w:t>
      </w:r>
      <w:r w:rsidRPr="00A7342F">
        <w:rPr>
          <w:color w:val="000000"/>
          <w:lang w:val="fr-FR"/>
        </w:rPr>
        <w:t xml:space="preserve"> </w:t>
      </w:r>
    </w:p>
  </w:footnote>
  <w:footnote w:id="4">
    <w:p w14:paraId="7A709373" w14:textId="42A7E072" w:rsidR="00BA262E" w:rsidRPr="00A7342F" w:rsidRDefault="00BA262E">
      <w:pPr>
        <w:pStyle w:val="FootnoteText"/>
        <w:rPr>
          <w:lang w:val="fr-FR"/>
        </w:rPr>
      </w:pPr>
      <w:r>
        <w:rPr>
          <w:rStyle w:val="FootnoteReference"/>
        </w:rPr>
        <w:footnoteRef/>
      </w:r>
      <w:r w:rsidRPr="00A7342F">
        <w:rPr>
          <w:lang w:val="fr-FR"/>
        </w:rPr>
        <w:t xml:space="preserve"> </w:t>
      </w:r>
      <w:r w:rsidRPr="00726C89">
        <w:rPr>
          <w:lang w:val="fr-FR" w:eastAsia="es-MX"/>
        </w:rPr>
        <w:t xml:space="preserve">Au cours de 2020-2021, les cours ont été dispensés </w:t>
      </w:r>
      <w:r w:rsidR="007B4829">
        <w:rPr>
          <w:lang w:val="fr-FR" w:eastAsia="es-MX"/>
        </w:rPr>
        <w:t>en ligne</w:t>
      </w:r>
      <w:r w:rsidRPr="00726C89">
        <w:rPr>
          <w:lang w:val="fr-FR" w:eastAsia="es-MX"/>
        </w:rPr>
        <w:t xml:space="preserve"> et le matériel de formation a été distribué après les cours</w:t>
      </w:r>
      <w:r>
        <w:rPr>
          <w:lang w:val="fr-FR" w:eastAsia="es-MX"/>
        </w:rPr>
        <w:t xml:space="preserve">. </w:t>
      </w:r>
      <w:r w:rsidRPr="00B433A5">
        <w:rPr>
          <w:lang w:val="fr-FR" w:eastAsia="es-MX"/>
        </w:rPr>
        <w:t xml:space="preserve">Le PNUD prévoit de </w:t>
      </w:r>
      <w:r>
        <w:rPr>
          <w:lang w:val="fr-FR" w:eastAsia="es-MX"/>
        </w:rPr>
        <w:t xml:space="preserve">recommencer </w:t>
      </w:r>
      <w:r w:rsidRPr="00B433A5">
        <w:rPr>
          <w:lang w:val="fr-FR" w:eastAsia="es-MX"/>
        </w:rPr>
        <w:t xml:space="preserve">les ateliers en </w:t>
      </w:r>
      <w:r>
        <w:rPr>
          <w:lang w:val="fr-FR" w:eastAsia="es-MX"/>
        </w:rPr>
        <w:t>présentiel</w:t>
      </w:r>
      <w:r w:rsidRPr="00B433A5">
        <w:rPr>
          <w:lang w:val="fr-FR" w:eastAsia="es-MX"/>
        </w:rPr>
        <w:t xml:space="preserve"> en 2022</w:t>
      </w:r>
      <w:r>
        <w:rPr>
          <w:lang w:val="fr-FR" w:eastAsia="es-MX"/>
        </w:rPr>
        <w:t>.</w:t>
      </w:r>
    </w:p>
  </w:footnote>
  <w:footnote w:id="5">
    <w:p w14:paraId="6ADEC2BE" w14:textId="50D13915" w:rsidR="00BA262E" w:rsidRPr="00A7342F" w:rsidRDefault="00BA262E" w:rsidP="009A08C7">
      <w:pPr>
        <w:pStyle w:val="FootnoteText"/>
        <w:rPr>
          <w:lang w:val="fr-FR"/>
        </w:rPr>
      </w:pPr>
      <w:r>
        <w:rPr>
          <w:rStyle w:val="FootnoteReference"/>
        </w:rPr>
        <w:footnoteRef/>
      </w:r>
      <w:r w:rsidRPr="00A7342F">
        <w:rPr>
          <w:lang w:val="fr-FR"/>
        </w:rPr>
        <w:t xml:space="preserve"> </w:t>
      </w:r>
      <w:r w:rsidRPr="00726C89">
        <w:rPr>
          <w:lang w:val="fr-FR"/>
        </w:rPr>
        <w:t>Article 9 du décret exécutif 528/18</w:t>
      </w:r>
    </w:p>
  </w:footnote>
  <w:footnote w:id="6">
    <w:p w14:paraId="7E862BA2" w14:textId="57580EF7" w:rsidR="00BA262E" w:rsidRPr="00A7342F" w:rsidRDefault="00BA262E" w:rsidP="0085107D">
      <w:pPr>
        <w:pStyle w:val="FootnoteText"/>
        <w:rPr>
          <w:lang w:val="fr-FR"/>
        </w:rPr>
      </w:pPr>
      <w:r>
        <w:rPr>
          <w:rStyle w:val="FootnoteReference"/>
        </w:rPr>
        <w:footnoteRef/>
      </w:r>
      <w:r w:rsidRPr="00A7342F">
        <w:rPr>
          <w:lang w:val="fr-FR"/>
        </w:rPr>
        <w:t xml:space="preserve"> </w:t>
      </w:r>
      <w:r w:rsidRPr="00726C89">
        <w:rPr>
          <w:lang w:val="fr-FR"/>
        </w:rPr>
        <w:t>La décision 84/92(d) demandait aux agences bilatérales et d'exécution d’appliquer la politique opérationnelle d’intégration de l’égalité hommes-femmes tout au long du cycle de projet.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C9CD" w14:textId="162D8794" w:rsidR="00BA262E" w:rsidRPr="0033525D" w:rsidRDefault="00FF1BDA">
    <w:r>
      <w:fldChar w:fldCharType="begin"/>
    </w:r>
    <w:r>
      <w:instrText xml:space="preserve"> DOCPROPERTY "Document number"  \* MERGEFORMAT </w:instrText>
    </w:r>
    <w:r>
      <w:fldChar w:fldCharType="separate"/>
    </w:r>
    <w:r w:rsidR="00A7342F">
      <w:t>UNEP/</w:t>
    </w:r>
    <w:proofErr w:type="spellStart"/>
    <w:r w:rsidR="00A7342F">
      <w:t>OzL.Pro</w:t>
    </w:r>
    <w:proofErr w:type="spellEnd"/>
    <w:r w:rsidR="00A7342F">
      <w:t>/</w:t>
    </w:r>
    <w:proofErr w:type="spellStart"/>
    <w:r w:rsidR="00A7342F">
      <w:t>ExCom</w:t>
    </w:r>
    <w:proofErr w:type="spellEnd"/>
    <w:r w:rsidR="00A7342F">
      <w:t>/88/36</w:t>
    </w:r>
    <w:r>
      <w:fldChar w:fldCharType="end"/>
    </w:r>
  </w:p>
  <w:p w14:paraId="15EE98AA" w14:textId="77777777" w:rsidR="00BA262E" w:rsidRPr="0033525D" w:rsidRDefault="00BA262E"/>
  <w:p w14:paraId="7D636767" w14:textId="77777777" w:rsidR="00BA262E" w:rsidRPr="0033525D" w:rsidRDefault="00BA262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53E3" w14:textId="4B26E47B" w:rsidR="00BA262E" w:rsidRPr="0033525D" w:rsidRDefault="00FF1BDA">
    <w:pPr>
      <w:jc w:val="right"/>
    </w:pPr>
    <w:r>
      <w:fldChar w:fldCharType="begin"/>
    </w:r>
    <w:r>
      <w:instrText xml:space="preserve"> DOCPROPERTY "Document number"  \* MERGEFORMAT </w:instrText>
    </w:r>
    <w:r>
      <w:fldChar w:fldCharType="separate"/>
    </w:r>
    <w:r w:rsidR="00A7342F">
      <w:t>UNEP/</w:t>
    </w:r>
    <w:proofErr w:type="spellStart"/>
    <w:r w:rsidR="00A7342F">
      <w:t>OzL.Pro</w:t>
    </w:r>
    <w:proofErr w:type="spellEnd"/>
    <w:r w:rsidR="00A7342F">
      <w:t>/</w:t>
    </w:r>
    <w:proofErr w:type="spellStart"/>
    <w:r w:rsidR="00A7342F">
      <w:t>ExCom</w:t>
    </w:r>
    <w:proofErr w:type="spellEnd"/>
    <w:r w:rsidR="00A7342F">
      <w:t>/88/36</w:t>
    </w:r>
    <w:r>
      <w:fldChar w:fldCharType="end"/>
    </w:r>
  </w:p>
  <w:p w14:paraId="10510B87" w14:textId="77777777" w:rsidR="00BA262E" w:rsidRPr="0033525D" w:rsidRDefault="00BA262E"/>
  <w:p w14:paraId="1033E847" w14:textId="77777777" w:rsidR="00BA262E" w:rsidRPr="0033525D" w:rsidRDefault="00BA26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3D2D2AE"/>
    <w:lvl w:ilvl="0">
      <w:start w:val="1"/>
      <w:numFmt w:val="decimal"/>
      <w:pStyle w:val="Heading1"/>
      <w:lvlText w:val="%1."/>
      <w:lvlJc w:val="left"/>
      <w:pPr>
        <w:tabs>
          <w:tab w:val="num" w:pos="0"/>
        </w:tabs>
        <w:ind w:left="0" w:firstLine="0"/>
      </w:pPr>
      <w:rPr>
        <w:i w:val="0"/>
        <w:iCs/>
      </w:rPr>
    </w:lvl>
    <w:lvl w:ilvl="1">
      <w:start w:val="1"/>
      <w:numFmt w:val="lowerLetter"/>
      <w:pStyle w:val="Heading2"/>
      <w:lvlText w:val="(%2)"/>
      <w:lvlJc w:val="left"/>
      <w:pPr>
        <w:tabs>
          <w:tab w:val="num" w:pos="131"/>
        </w:tabs>
        <w:ind w:left="1571" w:hanging="720"/>
      </w:pPr>
      <w:rPr>
        <w:rFonts w:ascii="Times New Roman" w:eastAsia="Times New Roman" w:hAnsi="Times New Roman" w:cs="Times New Roman"/>
        <w:i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7FB4A2D"/>
    <w:multiLevelType w:val="hybridMultilevel"/>
    <w:tmpl w:val="789EC0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80E06A8"/>
    <w:multiLevelType w:val="hybridMultilevel"/>
    <w:tmpl w:val="170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206DC5"/>
    <w:multiLevelType w:val="hybridMultilevel"/>
    <w:tmpl w:val="4012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20"/>
  </w:num>
  <w:num w:numId="20">
    <w:abstractNumId w:val="13"/>
  </w:num>
  <w:num w:numId="21">
    <w:abstractNumId w:val="15"/>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4"/>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 w:name="WfID" w:val="B8019D25"/>
    <w:docVar w:name="WfLastSegment" w:val="1887"/>
    <w:docVar w:name="WfProtection" w:val="1"/>
    <w:docVar w:name="WfSegPar" w:val="00010 -1 0 0 0 0 0 0"/>
    <w:docVar w:name="WfSetup" w:val="C:\Users\Catherine\AppData\Roaming\Microsoft\Word\OPSTARTEN\wordfast.ini"/>
    <w:docVar w:name="WfStyles" w:val="274 WfIntNo docCells=13A ,C:\Users\Catherine\Documents\Montreal 88\F8836.docx, | ,,0 Heading 0,1 / 1.1 / 1.1.1,1 / a / i,3D-effecten voor tabel 1,3D-effecten voor tabel 2,3D-effecten voor tabel 3,Artikel/sectie,Ballontekst,Bloktekst,BVI fnr Char;BVI fnr Car Car Char;BVI fnr Car Char;BVI fnr Car Car Car Car Char;4_G Char Char,Datum,Decision,Default,Eenvoudige tabel 1,Eenvoudige tabel 2,Eenvoudige tabel 3,Eigentijdse tabel,Elegante tabel,Geen lijst,Header4;Para 4,Klassieke tabel 1,Klassieke tabel 2,Klassieke tabel 3,Klassieke tabel 4,Kleurrijke tabel 1,Kleurrijke tabel 2,Kleurrijke tabel 3,Kop 1;Para (1);Heading 1 Char;Heading 1 Char3 Char;Heading 1 Char Char1 Char;Heading 1 Char1 Char Char1 Char;Heading 1 Char Char Char Char1 Char1;Para (1) Char Char Char Char1 Char;Heading 1 Char3 Char Char Char Char1 Char;Heading 1 Char3;Título 11,Kop 2;SubPara (a);Heading 2 Char3;Heading 2 Char Char2;Heading 2 Char1 Char Char1;SubPara (a) Char Char Char1;Heading 2 Char Char Char Char1;Heading 2 Char1 Char Char Char Char1;SubPara (a) Char1 Char Char Char Char1;Heading 2 Char2;Heading 2 Char1,Kop 3;Char;Char Char;Heading 3 Char;Heading 3 Char1;Heading 3 Char Char;Char Char Char;Char Char1;Heading 3 Char1 Char;Heading 3 Char Char Char;Char Char Char Char;Char Char1 Char;Heading 3 Char2;Char Char2;Char Char Char1;Heading 3 Char Char1 Char,Kop 4;Heading 11;para 4;Título 41;heading 4;Heading 41;标题 41;He=ding 41,Kop 5,Kop 6,Kop 7,Kop 8,Kop 9,Koptekst,Lijstalinea;List Paragraph1;Dot pt;Bullet Points;No Spacing1;List Paragraph Char Char Char;Indicator Text;Numbered Para 1;Bullet 1;MAIN CONTENT;List Paragraph12;OBC Bullet;F5 List Paragraph;Normal numbered;Bullet Style;Report Para;List Paragraph11;b1,Normaal (web),Ondertitel,Onderwerp van opmerking,Platte tekst 3,Platte tekst inspringen 3,Professionele tabel,Standaard,Standaardalinea-lettertype,Standaardtabel,Style Header4Para 4 + Left:  0&quot; First line:  0&quot;,sub-title,Tabelkolommen 1,Tabelkolommen 2,Tabelkolommen 3,Tabelkolommen 4,Tabelkolommen 5,Tabellijst 1,Tabellijst 2,Tabellijst 3,Tabellijst 4,Tabellijst 5,Tabellijst 6,Tabellijst 7,Tabellijst 8,Tabelraster,Tabelraster 1,Tabelraster 2,Tabelraster 3,Tabelraster 4,Tabelraster 5,Tabelraster 6,Tabelraster 7,Tabelraster 8,Tabelthema,Table Grid1,Tekst opmerking,Tekst van tijdelijke aanduiding,Tekst zonder opmaak,Titel,Title1,tw4winMark,Verfijnde tabel 1,Verfijnde tabel 2,Verwijzing opmerking,Voetnootmarkering;4_G;number;SUPERS;BVI fnr;ftref;16 Point;Superscript 6 Point;Superscript 6 Point + 11 pt;BVI fnr Car Car;BVI fnr Car;BVI fnr Car Car Car Car;Footnote text;Footnotes refss;Footnote Reference1;Footnote Reference Number;fr;Footnote Text1,Voetnoottekst;Char1;Char1 Char Char;Footnote;single space;FOOTNOTES;fn;Footnote Text Char1;Footnote Text Char2 Char;Footnote Text Char1 Char Char;Footnote Text Char2 Char Char Char;Footnote Text Char1 Char Char Char Char;ft;ft2;f;Fußnotentextf; Char1,Voettekst,Webtabel 1,Webtabel 2,Webtabel 3,"/>
  </w:docVars>
  <w:rsids>
    <w:rsidRoot w:val="00FF44A5"/>
    <w:rsid w:val="00000FED"/>
    <w:rsid w:val="00001682"/>
    <w:rsid w:val="0000434E"/>
    <w:rsid w:val="00011BB3"/>
    <w:rsid w:val="000211A9"/>
    <w:rsid w:val="00031260"/>
    <w:rsid w:val="00032E62"/>
    <w:rsid w:val="000337DF"/>
    <w:rsid w:val="0003681A"/>
    <w:rsid w:val="000372B7"/>
    <w:rsid w:val="000439B0"/>
    <w:rsid w:val="00050F6E"/>
    <w:rsid w:val="00052479"/>
    <w:rsid w:val="00061EC2"/>
    <w:rsid w:val="00065C70"/>
    <w:rsid w:val="00066CE8"/>
    <w:rsid w:val="00074BB0"/>
    <w:rsid w:val="00075750"/>
    <w:rsid w:val="00077A19"/>
    <w:rsid w:val="000803CE"/>
    <w:rsid w:val="00080ED0"/>
    <w:rsid w:val="00085B8F"/>
    <w:rsid w:val="00090481"/>
    <w:rsid w:val="00092B7F"/>
    <w:rsid w:val="000936F0"/>
    <w:rsid w:val="00094AC5"/>
    <w:rsid w:val="00095016"/>
    <w:rsid w:val="0009504D"/>
    <w:rsid w:val="000A3826"/>
    <w:rsid w:val="000A6C26"/>
    <w:rsid w:val="000A7124"/>
    <w:rsid w:val="000B48AB"/>
    <w:rsid w:val="000B5595"/>
    <w:rsid w:val="000B5781"/>
    <w:rsid w:val="000B581D"/>
    <w:rsid w:val="000C2A32"/>
    <w:rsid w:val="000C7111"/>
    <w:rsid w:val="000D2D00"/>
    <w:rsid w:val="000D36AF"/>
    <w:rsid w:val="000D4393"/>
    <w:rsid w:val="000D52A4"/>
    <w:rsid w:val="000E07BC"/>
    <w:rsid w:val="000E14CB"/>
    <w:rsid w:val="000E52C2"/>
    <w:rsid w:val="000F1CD4"/>
    <w:rsid w:val="000F235A"/>
    <w:rsid w:val="000F4103"/>
    <w:rsid w:val="000F70A7"/>
    <w:rsid w:val="0010665E"/>
    <w:rsid w:val="00107E42"/>
    <w:rsid w:val="00113CCA"/>
    <w:rsid w:val="00122F25"/>
    <w:rsid w:val="001243E3"/>
    <w:rsid w:val="00135980"/>
    <w:rsid w:val="0014705B"/>
    <w:rsid w:val="00147459"/>
    <w:rsid w:val="001502F0"/>
    <w:rsid w:val="001506D9"/>
    <w:rsid w:val="0015350F"/>
    <w:rsid w:val="00163C8B"/>
    <w:rsid w:val="00164719"/>
    <w:rsid w:val="00166FC4"/>
    <w:rsid w:val="001677AC"/>
    <w:rsid w:val="001679B6"/>
    <w:rsid w:val="001804EA"/>
    <w:rsid w:val="00190A61"/>
    <w:rsid w:val="001A2215"/>
    <w:rsid w:val="001A3342"/>
    <w:rsid w:val="001A350F"/>
    <w:rsid w:val="001A3E3D"/>
    <w:rsid w:val="001A7049"/>
    <w:rsid w:val="001B0D63"/>
    <w:rsid w:val="001B1E40"/>
    <w:rsid w:val="001B3F8B"/>
    <w:rsid w:val="001B5AE9"/>
    <w:rsid w:val="001C764E"/>
    <w:rsid w:val="001D0E7D"/>
    <w:rsid w:val="001D2D08"/>
    <w:rsid w:val="001D3293"/>
    <w:rsid w:val="001D4268"/>
    <w:rsid w:val="001E1052"/>
    <w:rsid w:val="001E147C"/>
    <w:rsid w:val="001E21B1"/>
    <w:rsid w:val="001E2F93"/>
    <w:rsid w:val="001E4554"/>
    <w:rsid w:val="001E61E5"/>
    <w:rsid w:val="001F2159"/>
    <w:rsid w:val="00207914"/>
    <w:rsid w:val="00210B8B"/>
    <w:rsid w:val="002111F3"/>
    <w:rsid w:val="0021310E"/>
    <w:rsid w:val="00214863"/>
    <w:rsid w:val="00215165"/>
    <w:rsid w:val="002156B4"/>
    <w:rsid w:val="002223C2"/>
    <w:rsid w:val="002227D6"/>
    <w:rsid w:val="00224DB3"/>
    <w:rsid w:val="00224FCD"/>
    <w:rsid w:val="0023077B"/>
    <w:rsid w:val="00231D75"/>
    <w:rsid w:val="00234693"/>
    <w:rsid w:val="002369C9"/>
    <w:rsid w:val="00253222"/>
    <w:rsid w:val="002538D5"/>
    <w:rsid w:val="00262847"/>
    <w:rsid w:val="00266D5F"/>
    <w:rsid w:val="00274590"/>
    <w:rsid w:val="00281BB2"/>
    <w:rsid w:val="00296213"/>
    <w:rsid w:val="002966A0"/>
    <w:rsid w:val="002A2B76"/>
    <w:rsid w:val="002A5EB9"/>
    <w:rsid w:val="002B076B"/>
    <w:rsid w:val="002B2454"/>
    <w:rsid w:val="002B254E"/>
    <w:rsid w:val="002B2E49"/>
    <w:rsid w:val="002B72E9"/>
    <w:rsid w:val="002C3453"/>
    <w:rsid w:val="002C6AAF"/>
    <w:rsid w:val="002C7998"/>
    <w:rsid w:val="002E7A51"/>
    <w:rsid w:val="002E7F3C"/>
    <w:rsid w:val="002F1E53"/>
    <w:rsid w:val="002F2CAA"/>
    <w:rsid w:val="002F3674"/>
    <w:rsid w:val="0030052C"/>
    <w:rsid w:val="00321812"/>
    <w:rsid w:val="00326845"/>
    <w:rsid w:val="003306E1"/>
    <w:rsid w:val="003320E4"/>
    <w:rsid w:val="0033315C"/>
    <w:rsid w:val="00334F9F"/>
    <w:rsid w:val="0033525D"/>
    <w:rsid w:val="003414F3"/>
    <w:rsid w:val="00341B93"/>
    <w:rsid w:val="0035613E"/>
    <w:rsid w:val="00363EE9"/>
    <w:rsid w:val="00363F4A"/>
    <w:rsid w:val="00371D92"/>
    <w:rsid w:val="00376128"/>
    <w:rsid w:val="0037742E"/>
    <w:rsid w:val="00377A20"/>
    <w:rsid w:val="00377D56"/>
    <w:rsid w:val="00380FA2"/>
    <w:rsid w:val="00381B3F"/>
    <w:rsid w:val="0038245A"/>
    <w:rsid w:val="003840E6"/>
    <w:rsid w:val="00385CFC"/>
    <w:rsid w:val="00387D4E"/>
    <w:rsid w:val="0039089F"/>
    <w:rsid w:val="0039337A"/>
    <w:rsid w:val="00394DE6"/>
    <w:rsid w:val="003960E0"/>
    <w:rsid w:val="003A3189"/>
    <w:rsid w:val="003A3CA7"/>
    <w:rsid w:val="003B09F8"/>
    <w:rsid w:val="003B22E8"/>
    <w:rsid w:val="003B33BD"/>
    <w:rsid w:val="003B569D"/>
    <w:rsid w:val="003B79F0"/>
    <w:rsid w:val="003C227A"/>
    <w:rsid w:val="003C3C0E"/>
    <w:rsid w:val="003C7257"/>
    <w:rsid w:val="003D42A6"/>
    <w:rsid w:val="003D4F21"/>
    <w:rsid w:val="003D4FAC"/>
    <w:rsid w:val="003E3978"/>
    <w:rsid w:val="003E5C5E"/>
    <w:rsid w:val="003E7906"/>
    <w:rsid w:val="003F2886"/>
    <w:rsid w:val="003F3C50"/>
    <w:rsid w:val="003F6C9B"/>
    <w:rsid w:val="00405F07"/>
    <w:rsid w:val="0040687A"/>
    <w:rsid w:val="00406A6A"/>
    <w:rsid w:val="00406B22"/>
    <w:rsid w:val="0041200D"/>
    <w:rsid w:val="00412ED2"/>
    <w:rsid w:val="00426F40"/>
    <w:rsid w:val="00432413"/>
    <w:rsid w:val="00432551"/>
    <w:rsid w:val="004328A7"/>
    <w:rsid w:val="00434C74"/>
    <w:rsid w:val="00436E1B"/>
    <w:rsid w:val="00453039"/>
    <w:rsid w:val="00456EB4"/>
    <w:rsid w:val="00470458"/>
    <w:rsid w:val="004718F3"/>
    <w:rsid w:val="00473607"/>
    <w:rsid w:val="00475040"/>
    <w:rsid w:val="004765FE"/>
    <w:rsid w:val="00493D40"/>
    <w:rsid w:val="004967B6"/>
    <w:rsid w:val="004A4AE3"/>
    <w:rsid w:val="004A504B"/>
    <w:rsid w:val="004A6911"/>
    <w:rsid w:val="004A7626"/>
    <w:rsid w:val="004B227C"/>
    <w:rsid w:val="004B54E0"/>
    <w:rsid w:val="004B7384"/>
    <w:rsid w:val="004C015F"/>
    <w:rsid w:val="004C4269"/>
    <w:rsid w:val="004D6236"/>
    <w:rsid w:val="004D7F90"/>
    <w:rsid w:val="004E4DBB"/>
    <w:rsid w:val="004E4E41"/>
    <w:rsid w:val="004E4E7C"/>
    <w:rsid w:val="004E6140"/>
    <w:rsid w:val="004E7F9C"/>
    <w:rsid w:val="004F3493"/>
    <w:rsid w:val="004F5143"/>
    <w:rsid w:val="004F657E"/>
    <w:rsid w:val="00512B09"/>
    <w:rsid w:val="00513A94"/>
    <w:rsid w:val="00520231"/>
    <w:rsid w:val="00521F6E"/>
    <w:rsid w:val="005220ED"/>
    <w:rsid w:val="00523097"/>
    <w:rsid w:val="00524890"/>
    <w:rsid w:val="00530191"/>
    <w:rsid w:val="00533796"/>
    <w:rsid w:val="00533960"/>
    <w:rsid w:val="00537343"/>
    <w:rsid w:val="00546AD0"/>
    <w:rsid w:val="00555D75"/>
    <w:rsid w:val="0055651F"/>
    <w:rsid w:val="00560DF0"/>
    <w:rsid w:val="00563DF7"/>
    <w:rsid w:val="00566CC4"/>
    <w:rsid w:val="0056759C"/>
    <w:rsid w:val="005800DB"/>
    <w:rsid w:val="00581EF0"/>
    <w:rsid w:val="00590965"/>
    <w:rsid w:val="00593FF9"/>
    <w:rsid w:val="0059513E"/>
    <w:rsid w:val="0059783F"/>
    <w:rsid w:val="005A07D8"/>
    <w:rsid w:val="005A0D74"/>
    <w:rsid w:val="005A6AA4"/>
    <w:rsid w:val="005A6D9F"/>
    <w:rsid w:val="005A7832"/>
    <w:rsid w:val="005B48FF"/>
    <w:rsid w:val="005B4BE6"/>
    <w:rsid w:val="005B5559"/>
    <w:rsid w:val="005C3E37"/>
    <w:rsid w:val="005D1065"/>
    <w:rsid w:val="005D363F"/>
    <w:rsid w:val="005D5B50"/>
    <w:rsid w:val="005D65F7"/>
    <w:rsid w:val="005D7876"/>
    <w:rsid w:val="005E4AF7"/>
    <w:rsid w:val="00603045"/>
    <w:rsid w:val="00604C15"/>
    <w:rsid w:val="006158D5"/>
    <w:rsid w:val="0062384E"/>
    <w:rsid w:val="00623B43"/>
    <w:rsid w:val="00625D83"/>
    <w:rsid w:val="006324C6"/>
    <w:rsid w:val="00635313"/>
    <w:rsid w:val="00641CF9"/>
    <w:rsid w:val="00644775"/>
    <w:rsid w:val="00646DD2"/>
    <w:rsid w:val="00647826"/>
    <w:rsid w:val="006623E7"/>
    <w:rsid w:val="006624DD"/>
    <w:rsid w:val="00662B80"/>
    <w:rsid w:val="00663982"/>
    <w:rsid w:val="00665961"/>
    <w:rsid w:val="00670F6C"/>
    <w:rsid w:val="006852C7"/>
    <w:rsid w:val="006852CE"/>
    <w:rsid w:val="00692D14"/>
    <w:rsid w:val="006A2F13"/>
    <w:rsid w:val="006A7915"/>
    <w:rsid w:val="006B65C7"/>
    <w:rsid w:val="006C0779"/>
    <w:rsid w:val="006C1727"/>
    <w:rsid w:val="006C32FD"/>
    <w:rsid w:val="006C39B6"/>
    <w:rsid w:val="006C39CE"/>
    <w:rsid w:val="006D0FCC"/>
    <w:rsid w:val="006D17B4"/>
    <w:rsid w:val="006D21F5"/>
    <w:rsid w:val="006D55BB"/>
    <w:rsid w:val="006E126D"/>
    <w:rsid w:val="006E128B"/>
    <w:rsid w:val="006E1FC3"/>
    <w:rsid w:val="006E50D0"/>
    <w:rsid w:val="006F1CD7"/>
    <w:rsid w:val="006F3C14"/>
    <w:rsid w:val="006F6213"/>
    <w:rsid w:val="00704CE9"/>
    <w:rsid w:val="00704EA4"/>
    <w:rsid w:val="0070616B"/>
    <w:rsid w:val="00706295"/>
    <w:rsid w:val="00706FDA"/>
    <w:rsid w:val="00711F9A"/>
    <w:rsid w:val="00713810"/>
    <w:rsid w:val="00715FD8"/>
    <w:rsid w:val="0072092C"/>
    <w:rsid w:val="007233A0"/>
    <w:rsid w:val="00723649"/>
    <w:rsid w:val="00723FE4"/>
    <w:rsid w:val="00725039"/>
    <w:rsid w:val="0072549C"/>
    <w:rsid w:val="00726C89"/>
    <w:rsid w:val="007303A5"/>
    <w:rsid w:val="00730B3E"/>
    <w:rsid w:val="00732B2A"/>
    <w:rsid w:val="0073420B"/>
    <w:rsid w:val="00736E0B"/>
    <w:rsid w:val="00740762"/>
    <w:rsid w:val="00742499"/>
    <w:rsid w:val="00745DE8"/>
    <w:rsid w:val="0074760E"/>
    <w:rsid w:val="0075143D"/>
    <w:rsid w:val="00754ABA"/>
    <w:rsid w:val="00755CA8"/>
    <w:rsid w:val="007768AF"/>
    <w:rsid w:val="007819CE"/>
    <w:rsid w:val="00782B0D"/>
    <w:rsid w:val="00790B97"/>
    <w:rsid w:val="00792B3D"/>
    <w:rsid w:val="007A1546"/>
    <w:rsid w:val="007A228C"/>
    <w:rsid w:val="007A368E"/>
    <w:rsid w:val="007A4C52"/>
    <w:rsid w:val="007A5868"/>
    <w:rsid w:val="007B04CE"/>
    <w:rsid w:val="007B1AE5"/>
    <w:rsid w:val="007B4829"/>
    <w:rsid w:val="007B6871"/>
    <w:rsid w:val="007B7A2F"/>
    <w:rsid w:val="007C3D33"/>
    <w:rsid w:val="007D1F8F"/>
    <w:rsid w:val="007D294A"/>
    <w:rsid w:val="007D47D2"/>
    <w:rsid w:val="007D6EC0"/>
    <w:rsid w:val="007D7E1D"/>
    <w:rsid w:val="007E4C5E"/>
    <w:rsid w:val="00803A32"/>
    <w:rsid w:val="00811EE8"/>
    <w:rsid w:val="00813D77"/>
    <w:rsid w:val="008217E4"/>
    <w:rsid w:val="00831979"/>
    <w:rsid w:val="00837918"/>
    <w:rsid w:val="008451AB"/>
    <w:rsid w:val="008469CC"/>
    <w:rsid w:val="0085107D"/>
    <w:rsid w:val="00851352"/>
    <w:rsid w:val="00857077"/>
    <w:rsid w:val="00863230"/>
    <w:rsid w:val="008633BB"/>
    <w:rsid w:val="00865BD0"/>
    <w:rsid w:val="00865C12"/>
    <w:rsid w:val="008717D8"/>
    <w:rsid w:val="0087215C"/>
    <w:rsid w:val="00872A84"/>
    <w:rsid w:val="00875D25"/>
    <w:rsid w:val="00876938"/>
    <w:rsid w:val="00876AFC"/>
    <w:rsid w:val="00880DF5"/>
    <w:rsid w:val="00880E35"/>
    <w:rsid w:val="008875FE"/>
    <w:rsid w:val="00887F8E"/>
    <w:rsid w:val="00896234"/>
    <w:rsid w:val="00897E43"/>
    <w:rsid w:val="008B7060"/>
    <w:rsid w:val="008C36D0"/>
    <w:rsid w:val="008C5114"/>
    <w:rsid w:val="008C5738"/>
    <w:rsid w:val="008C7EAD"/>
    <w:rsid w:val="008D0CFE"/>
    <w:rsid w:val="008D6152"/>
    <w:rsid w:val="008E1A63"/>
    <w:rsid w:val="008E31D5"/>
    <w:rsid w:val="008E7BA9"/>
    <w:rsid w:val="008F0F81"/>
    <w:rsid w:val="008F27BF"/>
    <w:rsid w:val="008F2D4B"/>
    <w:rsid w:val="008F4FFF"/>
    <w:rsid w:val="00900890"/>
    <w:rsid w:val="00911F07"/>
    <w:rsid w:val="009142EC"/>
    <w:rsid w:val="009154C3"/>
    <w:rsid w:val="009201DD"/>
    <w:rsid w:val="00920D60"/>
    <w:rsid w:val="00923540"/>
    <w:rsid w:val="009257DD"/>
    <w:rsid w:val="00926767"/>
    <w:rsid w:val="009353A2"/>
    <w:rsid w:val="00935DD5"/>
    <w:rsid w:val="009361D5"/>
    <w:rsid w:val="009428A4"/>
    <w:rsid w:val="00943799"/>
    <w:rsid w:val="00945252"/>
    <w:rsid w:val="00952D69"/>
    <w:rsid w:val="00956EB8"/>
    <w:rsid w:val="0096413C"/>
    <w:rsid w:val="00964BD9"/>
    <w:rsid w:val="009659F4"/>
    <w:rsid w:val="00967C95"/>
    <w:rsid w:val="00970D60"/>
    <w:rsid w:val="00981434"/>
    <w:rsid w:val="009835A0"/>
    <w:rsid w:val="0099390E"/>
    <w:rsid w:val="009960E5"/>
    <w:rsid w:val="009A08C7"/>
    <w:rsid w:val="009A60D8"/>
    <w:rsid w:val="009A7ADC"/>
    <w:rsid w:val="009B0D30"/>
    <w:rsid w:val="009C19B7"/>
    <w:rsid w:val="009C5ABB"/>
    <w:rsid w:val="009D01D8"/>
    <w:rsid w:val="009D7C51"/>
    <w:rsid w:val="009E196C"/>
    <w:rsid w:val="009E39EB"/>
    <w:rsid w:val="009F0671"/>
    <w:rsid w:val="009F36BF"/>
    <w:rsid w:val="009F6E32"/>
    <w:rsid w:val="009F7F41"/>
    <w:rsid w:val="00A111B6"/>
    <w:rsid w:val="00A11DA4"/>
    <w:rsid w:val="00A16751"/>
    <w:rsid w:val="00A16E92"/>
    <w:rsid w:val="00A26D27"/>
    <w:rsid w:val="00A343FC"/>
    <w:rsid w:val="00A35119"/>
    <w:rsid w:val="00A376EE"/>
    <w:rsid w:val="00A40BD9"/>
    <w:rsid w:val="00A426BC"/>
    <w:rsid w:val="00A42A99"/>
    <w:rsid w:val="00A452ED"/>
    <w:rsid w:val="00A5151A"/>
    <w:rsid w:val="00A57E0A"/>
    <w:rsid w:val="00A61751"/>
    <w:rsid w:val="00A7342F"/>
    <w:rsid w:val="00A738E9"/>
    <w:rsid w:val="00A74093"/>
    <w:rsid w:val="00A823F6"/>
    <w:rsid w:val="00A8719E"/>
    <w:rsid w:val="00A950CB"/>
    <w:rsid w:val="00A97AE6"/>
    <w:rsid w:val="00AA0A89"/>
    <w:rsid w:val="00AA619C"/>
    <w:rsid w:val="00AA6429"/>
    <w:rsid w:val="00AB2A81"/>
    <w:rsid w:val="00AC01AA"/>
    <w:rsid w:val="00AC25B1"/>
    <w:rsid w:val="00AC4F72"/>
    <w:rsid w:val="00AD31B6"/>
    <w:rsid w:val="00AD3AB2"/>
    <w:rsid w:val="00AD4A08"/>
    <w:rsid w:val="00AE3C61"/>
    <w:rsid w:val="00AE4E2A"/>
    <w:rsid w:val="00AF741A"/>
    <w:rsid w:val="00B01ADB"/>
    <w:rsid w:val="00B01D31"/>
    <w:rsid w:val="00B04161"/>
    <w:rsid w:val="00B045C5"/>
    <w:rsid w:val="00B056F9"/>
    <w:rsid w:val="00B10343"/>
    <w:rsid w:val="00B11E3D"/>
    <w:rsid w:val="00B16599"/>
    <w:rsid w:val="00B17E82"/>
    <w:rsid w:val="00B21414"/>
    <w:rsid w:val="00B34AB9"/>
    <w:rsid w:val="00B433A5"/>
    <w:rsid w:val="00B4575A"/>
    <w:rsid w:val="00B45FB9"/>
    <w:rsid w:val="00B53F93"/>
    <w:rsid w:val="00B54484"/>
    <w:rsid w:val="00B575BA"/>
    <w:rsid w:val="00B6214C"/>
    <w:rsid w:val="00B62E2A"/>
    <w:rsid w:val="00B71608"/>
    <w:rsid w:val="00B7355D"/>
    <w:rsid w:val="00B740CE"/>
    <w:rsid w:val="00B75D90"/>
    <w:rsid w:val="00B76429"/>
    <w:rsid w:val="00B8120B"/>
    <w:rsid w:val="00B832BB"/>
    <w:rsid w:val="00B86471"/>
    <w:rsid w:val="00B952D4"/>
    <w:rsid w:val="00B956D4"/>
    <w:rsid w:val="00B95F56"/>
    <w:rsid w:val="00B97446"/>
    <w:rsid w:val="00BA262E"/>
    <w:rsid w:val="00BA7432"/>
    <w:rsid w:val="00BA74DA"/>
    <w:rsid w:val="00BB2764"/>
    <w:rsid w:val="00BC1AA0"/>
    <w:rsid w:val="00BC2495"/>
    <w:rsid w:val="00BC745E"/>
    <w:rsid w:val="00BC7EB9"/>
    <w:rsid w:val="00BC7F9B"/>
    <w:rsid w:val="00BD038F"/>
    <w:rsid w:val="00BD1F07"/>
    <w:rsid w:val="00BD2643"/>
    <w:rsid w:val="00BD56B1"/>
    <w:rsid w:val="00BD6558"/>
    <w:rsid w:val="00BE461D"/>
    <w:rsid w:val="00BF2F76"/>
    <w:rsid w:val="00BF3022"/>
    <w:rsid w:val="00BF3214"/>
    <w:rsid w:val="00BF5573"/>
    <w:rsid w:val="00BF59BD"/>
    <w:rsid w:val="00C0002A"/>
    <w:rsid w:val="00C00F29"/>
    <w:rsid w:val="00C0764B"/>
    <w:rsid w:val="00C10566"/>
    <w:rsid w:val="00C154FC"/>
    <w:rsid w:val="00C15867"/>
    <w:rsid w:val="00C2190C"/>
    <w:rsid w:val="00C2296D"/>
    <w:rsid w:val="00C23155"/>
    <w:rsid w:val="00C3231A"/>
    <w:rsid w:val="00C40C41"/>
    <w:rsid w:val="00C45885"/>
    <w:rsid w:val="00C50F22"/>
    <w:rsid w:val="00C539B7"/>
    <w:rsid w:val="00C57971"/>
    <w:rsid w:val="00C61D3A"/>
    <w:rsid w:val="00C65BD7"/>
    <w:rsid w:val="00C72B27"/>
    <w:rsid w:val="00C73E65"/>
    <w:rsid w:val="00C73F40"/>
    <w:rsid w:val="00C7521E"/>
    <w:rsid w:val="00C76BA4"/>
    <w:rsid w:val="00C76FD1"/>
    <w:rsid w:val="00C83853"/>
    <w:rsid w:val="00C83A48"/>
    <w:rsid w:val="00C85865"/>
    <w:rsid w:val="00C85E85"/>
    <w:rsid w:val="00C874B6"/>
    <w:rsid w:val="00C91325"/>
    <w:rsid w:val="00C946EB"/>
    <w:rsid w:val="00C97D69"/>
    <w:rsid w:val="00CA2EAE"/>
    <w:rsid w:val="00CA4AC1"/>
    <w:rsid w:val="00CA6052"/>
    <w:rsid w:val="00CB0316"/>
    <w:rsid w:val="00CB0531"/>
    <w:rsid w:val="00CB0B11"/>
    <w:rsid w:val="00CB426A"/>
    <w:rsid w:val="00CB5354"/>
    <w:rsid w:val="00CC270E"/>
    <w:rsid w:val="00CC3C9E"/>
    <w:rsid w:val="00CC6A14"/>
    <w:rsid w:val="00CC70A3"/>
    <w:rsid w:val="00CD3D85"/>
    <w:rsid w:val="00CD4442"/>
    <w:rsid w:val="00CD53C3"/>
    <w:rsid w:val="00CD574E"/>
    <w:rsid w:val="00CE0269"/>
    <w:rsid w:val="00CE0F3A"/>
    <w:rsid w:val="00CE4C22"/>
    <w:rsid w:val="00CE76E5"/>
    <w:rsid w:val="00CF052A"/>
    <w:rsid w:val="00CF41EC"/>
    <w:rsid w:val="00CF5D04"/>
    <w:rsid w:val="00CF60DE"/>
    <w:rsid w:val="00D04DE4"/>
    <w:rsid w:val="00D063F1"/>
    <w:rsid w:val="00D06417"/>
    <w:rsid w:val="00D12E0C"/>
    <w:rsid w:val="00D14F22"/>
    <w:rsid w:val="00D21C79"/>
    <w:rsid w:val="00D21F8B"/>
    <w:rsid w:val="00D21FB8"/>
    <w:rsid w:val="00D26327"/>
    <w:rsid w:val="00D318DB"/>
    <w:rsid w:val="00D325B1"/>
    <w:rsid w:val="00D471EB"/>
    <w:rsid w:val="00D4741C"/>
    <w:rsid w:val="00D511CE"/>
    <w:rsid w:val="00D516C7"/>
    <w:rsid w:val="00D57918"/>
    <w:rsid w:val="00D6002A"/>
    <w:rsid w:val="00D636F9"/>
    <w:rsid w:val="00D73DC6"/>
    <w:rsid w:val="00D74C1A"/>
    <w:rsid w:val="00D754C1"/>
    <w:rsid w:val="00D77393"/>
    <w:rsid w:val="00D77A35"/>
    <w:rsid w:val="00D81B3E"/>
    <w:rsid w:val="00D83278"/>
    <w:rsid w:val="00D90C70"/>
    <w:rsid w:val="00D90E49"/>
    <w:rsid w:val="00D96ADE"/>
    <w:rsid w:val="00DA0CE2"/>
    <w:rsid w:val="00DB4090"/>
    <w:rsid w:val="00DC6A10"/>
    <w:rsid w:val="00DD3F95"/>
    <w:rsid w:val="00DD7FDE"/>
    <w:rsid w:val="00DE13ED"/>
    <w:rsid w:val="00DE657E"/>
    <w:rsid w:val="00DF4704"/>
    <w:rsid w:val="00E00A9F"/>
    <w:rsid w:val="00E00BC3"/>
    <w:rsid w:val="00E013E1"/>
    <w:rsid w:val="00E0221E"/>
    <w:rsid w:val="00E024AA"/>
    <w:rsid w:val="00E03AF5"/>
    <w:rsid w:val="00E06385"/>
    <w:rsid w:val="00E07976"/>
    <w:rsid w:val="00E12AD2"/>
    <w:rsid w:val="00E15C77"/>
    <w:rsid w:val="00E20666"/>
    <w:rsid w:val="00E250F1"/>
    <w:rsid w:val="00E26807"/>
    <w:rsid w:val="00E27FC4"/>
    <w:rsid w:val="00E310A5"/>
    <w:rsid w:val="00E33C55"/>
    <w:rsid w:val="00E33E5B"/>
    <w:rsid w:val="00E34C02"/>
    <w:rsid w:val="00E3550D"/>
    <w:rsid w:val="00E4285A"/>
    <w:rsid w:val="00E52838"/>
    <w:rsid w:val="00E551EC"/>
    <w:rsid w:val="00E56639"/>
    <w:rsid w:val="00E6113F"/>
    <w:rsid w:val="00E614E0"/>
    <w:rsid w:val="00E62DD2"/>
    <w:rsid w:val="00E73F7F"/>
    <w:rsid w:val="00E81AD8"/>
    <w:rsid w:val="00E85409"/>
    <w:rsid w:val="00E86570"/>
    <w:rsid w:val="00E90520"/>
    <w:rsid w:val="00E93D34"/>
    <w:rsid w:val="00EA0BCC"/>
    <w:rsid w:val="00EA429F"/>
    <w:rsid w:val="00EA4F9E"/>
    <w:rsid w:val="00EA63CA"/>
    <w:rsid w:val="00EA6D3B"/>
    <w:rsid w:val="00EB00AD"/>
    <w:rsid w:val="00EB136C"/>
    <w:rsid w:val="00EB480E"/>
    <w:rsid w:val="00EB5EC6"/>
    <w:rsid w:val="00EB7FC9"/>
    <w:rsid w:val="00EC1036"/>
    <w:rsid w:val="00ED27E8"/>
    <w:rsid w:val="00ED6203"/>
    <w:rsid w:val="00ED6749"/>
    <w:rsid w:val="00ED7137"/>
    <w:rsid w:val="00EF01DE"/>
    <w:rsid w:val="00EF06EA"/>
    <w:rsid w:val="00F03071"/>
    <w:rsid w:val="00F039DC"/>
    <w:rsid w:val="00F1674B"/>
    <w:rsid w:val="00F21088"/>
    <w:rsid w:val="00F2117F"/>
    <w:rsid w:val="00F30D17"/>
    <w:rsid w:val="00F31D2D"/>
    <w:rsid w:val="00F327E7"/>
    <w:rsid w:val="00F32E9C"/>
    <w:rsid w:val="00F35746"/>
    <w:rsid w:val="00F36880"/>
    <w:rsid w:val="00F447C7"/>
    <w:rsid w:val="00F459B4"/>
    <w:rsid w:val="00F5211B"/>
    <w:rsid w:val="00F554A9"/>
    <w:rsid w:val="00F606C4"/>
    <w:rsid w:val="00F61BF0"/>
    <w:rsid w:val="00F701F1"/>
    <w:rsid w:val="00F704C8"/>
    <w:rsid w:val="00F7157E"/>
    <w:rsid w:val="00F716FD"/>
    <w:rsid w:val="00F80355"/>
    <w:rsid w:val="00F81939"/>
    <w:rsid w:val="00F852A1"/>
    <w:rsid w:val="00F87C43"/>
    <w:rsid w:val="00F9743A"/>
    <w:rsid w:val="00FA0EB6"/>
    <w:rsid w:val="00FA5722"/>
    <w:rsid w:val="00FB0C81"/>
    <w:rsid w:val="00FB3024"/>
    <w:rsid w:val="00FC00B8"/>
    <w:rsid w:val="00FC132B"/>
    <w:rsid w:val="00FC2200"/>
    <w:rsid w:val="00FC2540"/>
    <w:rsid w:val="00FC27E9"/>
    <w:rsid w:val="00FD0D9B"/>
    <w:rsid w:val="00FD1B5B"/>
    <w:rsid w:val="00FD3E01"/>
    <w:rsid w:val="00FD715D"/>
    <w:rsid w:val="00FE0525"/>
    <w:rsid w:val="00FE2F31"/>
    <w:rsid w:val="00FE605F"/>
    <w:rsid w:val="00FF0204"/>
    <w:rsid w:val="00FF1981"/>
    <w:rsid w:val="00FF1BDA"/>
    <w:rsid w:val="00FF3AED"/>
    <w:rsid w:val="00FF44A5"/>
    <w:rsid w:val="00FF5823"/>
    <w:rsid w:val="00FF6A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861EC"/>
  <w15:docId w15:val="{6072AAED-B14D-441D-86CD-A95D73C5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A8"/>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tabs>
        <w:tab w:val="clear" w:pos="131"/>
        <w:tab w:val="num" w:pos="0"/>
      </w:tabs>
      <w:spacing w:after="240"/>
      <w:ind w:left="14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标题 41,He=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CA"/>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ootnote,single space,FOOTNOTES,fn,Footnote Text Char1,Footnote Text Char2 Char,Footnote Text Char1 Char Char,Footnote Text Char2 Char Char Char,Footnote Text Char1 Char Char Char Char,ft,ft2,f,Fußnotentextf, Char1"/>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ootnote Char,single space Char,FOOTNOTES Char,fn Char,Footnote Text Char1 Char,Footnote Text Char2 Char Char,Footnote Text Char1 Char Char Char,Footnote Text Char2 Char Char Char Char,ft Char,ft2 Char"/>
    <w:basedOn w:val="DefaultParagraphFont"/>
    <w:link w:val="FootnoteText"/>
    <w:uiPriority w:val="99"/>
    <w:rsid w:val="006E126D"/>
    <w:rPr>
      <w:lang w:val="en-GB"/>
    </w:rPr>
  </w:style>
  <w:style w:type="character" w:styleId="FootnoteReference">
    <w:name w:val="footnote reference"/>
    <w:aliases w:val="4_G,number,SUPERS,BVI fnr,ftref,16 Point,Superscript 6 Point,Superscript 6 Point + 11 pt,BVI fnr Car Car,BVI fnr Car,BVI fnr Car Car Car Car,Footnote text,Footnotes refss,Footnote Reference1,Footnote Reference Number,fr,Footnote Text1"/>
    <w:basedOn w:val="DefaultParagraphFont"/>
    <w:link w:val="BVIfnrChar"/>
    <w:uiPriority w:val="99"/>
    <w:unhideWhenUsed/>
    <w:qFormat/>
    <w:rsid w:val="006E126D"/>
    <w:rPr>
      <w:vertAlign w:val="superscript"/>
    </w:rPr>
  </w:style>
  <w:style w:type="paragraph" w:styleId="ListParagraph">
    <w:name w:val="List Paragraph"/>
    <w:aliases w:val="List Paragraph1,Dot pt,Bullet Points,No Spacing1,List Paragraph Char Char Char,Indicator Text,Numbered Para 1,Bullet 1,MAIN CONTENT,List Paragraph12,OBC Bullet,F5 List Paragraph,Normal numbered,Bullet Style,Report Para,List Paragraph11,b1"/>
    <w:basedOn w:val="Normal"/>
    <w:link w:val="ListParagraphChar"/>
    <w:uiPriority w:val="34"/>
    <w:qFormat/>
    <w:rsid w:val="00A343FC"/>
    <w:pPr>
      <w:ind w:left="720"/>
      <w:contextualSpacing/>
    </w:pPr>
    <w:rPr>
      <w:lang w:val="en-GB"/>
    </w:rPr>
  </w:style>
  <w:style w:type="paragraph" w:styleId="Revision">
    <w:name w:val="Revision"/>
    <w:hidden/>
    <w:uiPriority w:val="99"/>
    <w:semiHidden/>
    <w:rsid w:val="00A343FC"/>
    <w:rPr>
      <w:sz w:val="22"/>
      <w:szCs w:val="22"/>
      <w:lang w:val="en-GB"/>
    </w:rPr>
  </w:style>
  <w:style w:type="table" w:customStyle="1" w:styleId="TableGrid10">
    <w:name w:val="Table Grid1"/>
    <w:basedOn w:val="TableNormal"/>
    <w:next w:val="TableGrid"/>
    <w:uiPriority w:val="59"/>
    <w:rsid w:val="007254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60E0"/>
    <w:pPr>
      <w:autoSpaceDE w:val="0"/>
      <w:autoSpaceDN w:val="0"/>
      <w:adjustRightInd w:val="0"/>
    </w:pPr>
    <w:rPr>
      <w:rFonts w:ascii="Calibri" w:hAnsi="Calibri" w:cs="Calibri"/>
      <w:color w:val="000000"/>
      <w:sz w:val="24"/>
      <w:szCs w:val="24"/>
      <w:lang w:val="en-CA"/>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C015F"/>
    <w:rPr>
      <w:sz w:val="22"/>
      <w:szCs w:val="22"/>
      <w:lang w:val="en-CA"/>
    </w:rPr>
  </w:style>
  <w:style w:type="character" w:customStyle="1" w:styleId="ListParagraphChar">
    <w:name w:val="List Paragraph Char"/>
    <w:aliases w:val="List Paragraph1 Char,Dot pt Char,Bullet Points Char,No Spacing1 Char,List Paragraph Char Char Char Char,Indicator Text Char,Numbered Para 1 Char,Bullet 1 Char,MAIN CONTENT Char,List Paragraph12 Char,OBC Bullet Char,Bullet Style Char"/>
    <w:basedOn w:val="DefaultParagraphFont"/>
    <w:link w:val="ListParagraph"/>
    <w:uiPriority w:val="34"/>
    <w:qFormat/>
    <w:locked/>
    <w:rsid w:val="00BF59BD"/>
    <w:rPr>
      <w:sz w:val="22"/>
      <w:szCs w:val="22"/>
      <w:lang w:val="en-GB"/>
    </w:rPr>
  </w:style>
  <w:style w:type="character" w:customStyle="1" w:styleId="NormalWebChar">
    <w:name w:val="Normal (Web) Char"/>
    <w:link w:val="NormalWeb"/>
    <w:uiPriority w:val="99"/>
    <w:locked/>
    <w:rsid w:val="002E7F3C"/>
    <w:rPr>
      <w:sz w:val="24"/>
      <w:szCs w:val="24"/>
      <w:lang w:eastAsia="en-CA"/>
    </w:rPr>
  </w:style>
  <w:style w:type="paragraph" w:styleId="NormalWeb">
    <w:name w:val="Normal (Web)"/>
    <w:basedOn w:val="Normal"/>
    <w:link w:val="NormalWebChar"/>
    <w:uiPriority w:val="99"/>
    <w:unhideWhenUsed/>
    <w:rsid w:val="002E7F3C"/>
    <w:pPr>
      <w:spacing w:before="100" w:beforeAutospacing="1" w:after="100" w:afterAutospacing="1"/>
      <w:jc w:val="left"/>
    </w:pPr>
    <w:rPr>
      <w:sz w:val="24"/>
      <w:szCs w:val="24"/>
      <w:lang w:val="en-US" w:eastAsia="en-CA"/>
    </w:rPr>
  </w:style>
  <w:style w:type="paragraph" w:customStyle="1" w:styleId="BVIfnrChar">
    <w:name w:val="BVI fnr Char"/>
    <w:aliases w:val="BVI fnr Car Car Char,BVI fnr Car Char,BVI fnr Car Car Car Car Char,4_G Char Char"/>
    <w:basedOn w:val="Normal"/>
    <w:link w:val="FootnoteReference"/>
    <w:uiPriority w:val="99"/>
    <w:rsid w:val="00D26327"/>
    <w:pPr>
      <w:spacing w:after="160" w:line="240" w:lineRule="exact"/>
      <w:jc w:val="left"/>
    </w:pPr>
    <w:rPr>
      <w:sz w:val="20"/>
      <w:szCs w:val="20"/>
      <w:vertAlign w:val="superscript"/>
      <w:lang w:val="en-US"/>
    </w:rPr>
  </w:style>
  <w:style w:type="character" w:customStyle="1" w:styleId="tw4winMark">
    <w:name w:val="tw4winMark"/>
    <w:basedOn w:val="DefaultParagraphFont"/>
    <w:rsid w:val="00726C89"/>
    <w:rPr>
      <w:rFonts w:ascii="Courier New" w:hAnsi="Courier New" w:cs="Courier New"/>
      <w:b w:val="0"/>
      <w:i w:val="0"/>
      <w:dstrike w:val="0"/>
      <w:noProof/>
      <w:vanish/>
      <w:color w:val="800080"/>
      <w:spacing w:val="0"/>
      <w:kern w:val="30"/>
      <w:sz w:val="18"/>
      <w:szCs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269">
      <w:bodyDiv w:val="1"/>
      <w:marLeft w:val="0"/>
      <w:marRight w:val="0"/>
      <w:marTop w:val="0"/>
      <w:marBottom w:val="0"/>
      <w:divBdr>
        <w:top w:val="none" w:sz="0" w:space="0" w:color="auto"/>
        <w:left w:val="none" w:sz="0" w:space="0" w:color="auto"/>
        <w:bottom w:val="none" w:sz="0" w:space="0" w:color="auto"/>
        <w:right w:val="none" w:sz="0" w:space="0" w:color="auto"/>
      </w:divBdr>
    </w:div>
    <w:div w:id="233441241">
      <w:bodyDiv w:val="1"/>
      <w:marLeft w:val="0"/>
      <w:marRight w:val="0"/>
      <w:marTop w:val="0"/>
      <w:marBottom w:val="0"/>
      <w:divBdr>
        <w:top w:val="none" w:sz="0" w:space="0" w:color="auto"/>
        <w:left w:val="none" w:sz="0" w:space="0" w:color="auto"/>
        <w:bottom w:val="none" w:sz="0" w:space="0" w:color="auto"/>
        <w:right w:val="none" w:sz="0" w:space="0" w:color="auto"/>
      </w:divBdr>
    </w:div>
    <w:div w:id="237633794">
      <w:bodyDiv w:val="1"/>
      <w:marLeft w:val="0"/>
      <w:marRight w:val="0"/>
      <w:marTop w:val="0"/>
      <w:marBottom w:val="0"/>
      <w:divBdr>
        <w:top w:val="none" w:sz="0" w:space="0" w:color="auto"/>
        <w:left w:val="none" w:sz="0" w:space="0" w:color="auto"/>
        <w:bottom w:val="none" w:sz="0" w:space="0" w:color="auto"/>
        <w:right w:val="none" w:sz="0" w:space="0" w:color="auto"/>
      </w:divBdr>
    </w:div>
    <w:div w:id="871501520">
      <w:bodyDiv w:val="1"/>
      <w:marLeft w:val="0"/>
      <w:marRight w:val="0"/>
      <w:marTop w:val="0"/>
      <w:marBottom w:val="0"/>
      <w:divBdr>
        <w:top w:val="none" w:sz="0" w:space="0" w:color="auto"/>
        <w:left w:val="none" w:sz="0" w:space="0" w:color="auto"/>
        <w:bottom w:val="none" w:sz="0" w:space="0" w:color="auto"/>
        <w:right w:val="none" w:sz="0" w:space="0" w:color="auto"/>
      </w:divBdr>
    </w:div>
    <w:div w:id="891691266">
      <w:bodyDiv w:val="1"/>
      <w:marLeft w:val="0"/>
      <w:marRight w:val="0"/>
      <w:marTop w:val="0"/>
      <w:marBottom w:val="0"/>
      <w:divBdr>
        <w:top w:val="none" w:sz="0" w:space="0" w:color="auto"/>
        <w:left w:val="none" w:sz="0" w:space="0" w:color="auto"/>
        <w:bottom w:val="none" w:sz="0" w:space="0" w:color="auto"/>
        <w:right w:val="none" w:sz="0" w:space="0" w:color="auto"/>
      </w:divBdr>
    </w:div>
    <w:div w:id="894925217">
      <w:bodyDiv w:val="1"/>
      <w:marLeft w:val="0"/>
      <w:marRight w:val="0"/>
      <w:marTop w:val="0"/>
      <w:marBottom w:val="0"/>
      <w:divBdr>
        <w:top w:val="none" w:sz="0" w:space="0" w:color="auto"/>
        <w:left w:val="none" w:sz="0" w:space="0" w:color="auto"/>
        <w:bottom w:val="none" w:sz="0" w:space="0" w:color="auto"/>
        <w:right w:val="none" w:sz="0" w:space="0" w:color="auto"/>
      </w:divBdr>
    </w:div>
    <w:div w:id="919101880">
      <w:bodyDiv w:val="1"/>
      <w:marLeft w:val="0"/>
      <w:marRight w:val="0"/>
      <w:marTop w:val="0"/>
      <w:marBottom w:val="0"/>
      <w:divBdr>
        <w:top w:val="none" w:sz="0" w:space="0" w:color="auto"/>
        <w:left w:val="none" w:sz="0" w:space="0" w:color="auto"/>
        <w:bottom w:val="none" w:sz="0" w:space="0" w:color="auto"/>
        <w:right w:val="none" w:sz="0" w:space="0" w:color="auto"/>
      </w:divBdr>
    </w:div>
    <w:div w:id="1018581875">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85587858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132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UNEP/OzL.Pro/ExCom/88/36</Document_x0020_Number>
  </documentManagement>
</p:properties>
</file>

<file path=customXml/itemProps1.xml><?xml version="1.0" encoding="utf-8"?>
<ds:datastoreItem xmlns:ds="http://schemas.openxmlformats.org/officeDocument/2006/customXml" ds:itemID="{8CB50FEF-4273-41D9-9B87-439731DAF491}"/>
</file>

<file path=customXml/itemProps2.xml><?xml version="1.0" encoding="utf-8"?>
<ds:datastoreItem xmlns:ds="http://schemas.openxmlformats.org/officeDocument/2006/customXml" ds:itemID="{E78F9BA5-C859-40CC-80D8-EE5C80F29A17}"/>
</file>

<file path=customXml/itemProps3.xml><?xml version="1.0" encoding="utf-8"?>
<ds:datastoreItem xmlns:ds="http://schemas.openxmlformats.org/officeDocument/2006/customXml" ds:itemID="{2949DCD0-B7B7-4493-9988-4320BF11F790}"/>
</file>

<file path=customXml/itemProps4.xml><?xml version="1.0" encoding="utf-8"?>
<ds:datastoreItem xmlns:ds="http://schemas.openxmlformats.org/officeDocument/2006/customXml" ds:itemID="{3F320FDC-8843-43F8-AE28-957037B3A10A}"/>
</file>

<file path=docProps/app.xml><?xml version="1.0" encoding="utf-8"?>
<Properties xmlns="http://schemas.openxmlformats.org/officeDocument/2006/extended-properties" xmlns:vt="http://schemas.openxmlformats.org/officeDocument/2006/docPropsVTypes">
  <Template>Normal</Template>
  <TotalTime>1</TotalTime>
  <Pages>9</Pages>
  <Words>3607</Words>
  <Characters>20560</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Proposition de projet: Angola</vt:lpstr>
      <vt:lpstr>Project proposal: [Country]</vt:lpstr>
    </vt:vector>
  </TitlesOfParts>
  <Company>UNMFS</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Angola</dc:title>
  <dc:creator>Dominika Anna Suwik</dc:creator>
  <cp:keywords>88th ExCom</cp:keywords>
  <cp:lastModifiedBy>HBE</cp:lastModifiedBy>
  <cp:revision>3</cp:revision>
  <cp:lastPrinted>2021-10-31T10:48:00Z</cp:lastPrinted>
  <dcterms:created xsi:type="dcterms:W3CDTF">2021-11-07T22:54:00Z</dcterms:created>
  <dcterms:modified xsi:type="dcterms:W3CDTF">2021-11-09T15:53:00Z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UNEP/OzL.Pro/ExCom/88/36</vt:lpwstr>
  </property>
  <property fmtid="{D5CDD505-2E9C-101B-9397-08002B2CF9AE}" pid="3" name="Revision date">
    <vt:lpwstr>10/28/2021</vt:lpwstr>
  </property>
  <property fmtid="{D5CDD505-2E9C-101B-9397-08002B2CF9AE}" pid="4" name="ContentTypeId">
    <vt:lpwstr>0x01010009F56DB39A5B9F46AA87ED0A960035E8</vt:lpwstr>
  </property>
</Properties>
</file>