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2" w:type="dxa"/>
        <w:tblInd w:w="-432" w:type="dxa"/>
        <w:tblLayout w:type="fixed"/>
        <w:tblLook w:val="0000" w:firstRow="0" w:lastRow="0" w:firstColumn="0" w:lastColumn="0" w:noHBand="0" w:noVBand="0"/>
      </w:tblPr>
      <w:tblGrid>
        <w:gridCol w:w="1905"/>
        <w:gridCol w:w="4595"/>
        <w:gridCol w:w="3262"/>
      </w:tblGrid>
      <w:tr w:rsidR="00441083" w14:paraId="65CA5AC0" w14:textId="77777777" w:rsidTr="00D261BF">
        <w:trPr>
          <w:trHeight w:val="676"/>
        </w:trPr>
        <w:tc>
          <w:tcPr>
            <w:tcW w:w="6500" w:type="dxa"/>
            <w:gridSpan w:val="2"/>
            <w:tcBorders>
              <w:bottom w:val="single" w:sz="18" w:space="0" w:color="auto"/>
            </w:tcBorders>
          </w:tcPr>
          <w:p w14:paraId="6CAF65D0"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1FE1CEFB"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262" w:type="dxa"/>
            <w:tcBorders>
              <w:bottom w:val="single" w:sz="18" w:space="0" w:color="auto"/>
            </w:tcBorders>
          </w:tcPr>
          <w:p w14:paraId="34CE34BF"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6D27B4DE" w14:textId="77777777" w:rsidTr="00D26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4"/>
        </w:trPr>
        <w:tc>
          <w:tcPr>
            <w:tcW w:w="1905" w:type="dxa"/>
            <w:tcBorders>
              <w:top w:val="nil"/>
              <w:left w:val="nil"/>
              <w:bottom w:val="single" w:sz="36" w:space="0" w:color="auto"/>
              <w:right w:val="nil"/>
            </w:tcBorders>
          </w:tcPr>
          <w:p w14:paraId="1F087003" w14:textId="77777777" w:rsidR="00441083" w:rsidRDefault="00C6443E">
            <w:pPr>
              <w:spacing w:before="120"/>
            </w:pPr>
            <w:r>
              <w:rPr>
                <w:noProof/>
                <w:lang w:val="en-CA" w:eastAsia="en-CA"/>
              </w:rPr>
              <w:drawing>
                <wp:anchor distT="0" distB="0" distL="114300" distR="114300" simplePos="0" relativeHeight="251660288" behindDoc="0" locked="0" layoutInCell="1" allowOverlap="1" wp14:anchorId="126EEAD8" wp14:editId="44342135">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14:anchorId="1EEAC5B3" wp14:editId="2FAF1688">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595" w:type="dxa"/>
            <w:tcBorders>
              <w:top w:val="nil"/>
              <w:left w:val="nil"/>
              <w:bottom w:val="single" w:sz="36" w:space="0" w:color="auto"/>
              <w:right w:val="nil"/>
            </w:tcBorders>
          </w:tcPr>
          <w:p w14:paraId="0852A27A" w14:textId="77777777" w:rsidR="0019723F" w:rsidRDefault="0019723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0DEE070C" w14:textId="097C804C"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7F90FDDE" w14:textId="77777777" w:rsidR="00441083" w:rsidRDefault="00E60D9C">
            <w:pPr>
              <w:rPr>
                <w:rFonts w:ascii="Univers" w:hAnsi="Univers"/>
                <w:b/>
                <w:sz w:val="32"/>
                <w:lang w:val="fr-CA"/>
              </w:rPr>
            </w:pPr>
            <w:r>
              <w:rPr>
                <w:rFonts w:ascii="Univers" w:hAnsi="Univers"/>
                <w:b/>
                <w:sz w:val="32"/>
                <w:lang w:val="fr-CA"/>
              </w:rPr>
              <w:t>Nations Unies pour</w:t>
            </w:r>
          </w:p>
          <w:p w14:paraId="78683BC9" w14:textId="77777777" w:rsidR="00441083" w:rsidRDefault="00E60D9C">
            <w:pPr>
              <w:rPr>
                <w:rFonts w:ascii="Univers" w:hAnsi="Univers"/>
                <w:b/>
                <w:sz w:val="32"/>
                <w:lang w:val="fr-CA"/>
              </w:rPr>
            </w:pPr>
            <w:r>
              <w:rPr>
                <w:rFonts w:ascii="Univers" w:hAnsi="Univers"/>
                <w:b/>
                <w:sz w:val="32"/>
                <w:lang w:val="fr-CA"/>
              </w:rPr>
              <w:t>l’environnement</w:t>
            </w:r>
          </w:p>
          <w:p w14:paraId="51CA7DE3" w14:textId="77777777" w:rsidR="00441083" w:rsidRDefault="00E60D9C">
            <w:pPr>
              <w:spacing w:before="720"/>
              <w:ind w:left="158"/>
              <w:rPr>
                <w:lang w:val="fr-FR"/>
              </w:rPr>
            </w:pPr>
            <w:r>
              <w:rPr>
                <w:lang w:val="fr-FR"/>
              </w:rPr>
              <w:t xml:space="preserve"> </w:t>
            </w:r>
          </w:p>
        </w:tc>
        <w:tc>
          <w:tcPr>
            <w:tcW w:w="3262" w:type="dxa"/>
            <w:tcBorders>
              <w:top w:val="nil"/>
              <w:left w:val="nil"/>
              <w:bottom w:val="single" w:sz="36" w:space="0" w:color="auto"/>
              <w:right w:val="nil"/>
            </w:tcBorders>
          </w:tcPr>
          <w:p w14:paraId="3165C0DF" w14:textId="77777777" w:rsidR="0019723F" w:rsidRDefault="0019723F">
            <w:pPr>
              <w:rPr>
                <w:lang w:val="fr-FR"/>
              </w:rPr>
            </w:pPr>
          </w:p>
          <w:p w14:paraId="6A720055" w14:textId="7C71B626" w:rsidR="00441083" w:rsidRPr="00DD3433" w:rsidRDefault="00E60D9C">
            <w:pPr>
              <w:rPr>
                <w:lang w:val="fr-FR"/>
              </w:rPr>
            </w:pPr>
            <w:proofErr w:type="spellStart"/>
            <w:r w:rsidRPr="00DD3433">
              <w:rPr>
                <w:lang w:val="fr-FR"/>
              </w:rPr>
              <w:t>Distr</w:t>
            </w:r>
            <w:proofErr w:type="spellEnd"/>
            <w:r w:rsidRPr="00DD3433">
              <w:rPr>
                <w:lang w:val="fr-FR"/>
              </w:rPr>
              <w:t>.</w:t>
            </w:r>
          </w:p>
          <w:p w14:paraId="3283A867" w14:textId="77777777"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14:paraId="7FE043FE" w14:textId="77777777" w:rsidR="00441083" w:rsidRPr="00DD3433" w:rsidRDefault="00441083">
            <w:pPr>
              <w:rPr>
                <w:lang w:val="fr-FR"/>
              </w:rPr>
            </w:pPr>
          </w:p>
          <w:p w14:paraId="599D598A" w14:textId="73CE752C" w:rsidR="00441083" w:rsidRPr="00D261BF" w:rsidRDefault="00E60D9C">
            <w:pPr>
              <w:rPr>
                <w:lang w:val="fr-FR"/>
              </w:rPr>
            </w:pPr>
            <w:r>
              <w:fldChar w:fldCharType="begin"/>
            </w:r>
            <w:r w:rsidRPr="00D261BF">
              <w:rPr>
                <w:lang w:val="fr-FR"/>
              </w:rPr>
              <w:instrText xml:space="preserve"> DOCPROPERTY "Document number"  \* MERGEFORMAT </w:instrText>
            </w:r>
            <w:r>
              <w:fldChar w:fldCharType="separate"/>
            </w:r>
            <w:r w:rsidR="00D261BF" w:rsidRPr="00D261BF">
              <w:rPr>
                <w:lang w:val="fr-FR"/>
              </w:rPr>
              <w:t>UNEP/</w:t>
            </w:r>
            <w:proofErr w:type="spellStart"/>
            <w:r w:rsidR="00D261BF" w:rsidRPr="00D261BF">
              <w:rPr>
                <w:lang w:val="fr-FR"/>
              </w:rPr>
              <w:t>OzL.Pro</w:t>
            </w:r>
            <w:proofErr w:type="spellEnd"/>
            <w:r w:rsidR="00D261BF" w:rsidRPr="00D261BF">
              <w:rPr>
                <w:lang w:val="fr-FR"/>
              </w:rPr>
              <w:t>/</w:t>
            </w:r>
            <w:proofErr w:type="spellStart"/>
            <w:r w:rsidR="00D261BF" w:rsidRPr="00D261BF">
              <w:rPr>
                <w:lang w:val="fr-FR"/>
              </w:rPr>
              <w:t>ExCom</w:t>
            </w:r>
            <w:proofErr w:type="spellEnd"/>
            <w:r w:rsidR="00D261BF" w:rsidRPr="00D261BF">
              <w:rPr>
                <w:lang w:val="fr-FR"/>
              </w:rPr>
              <w:t>/88/24</w:t>
            </w:r>
            <w:r>
              <w:fldChar w:fldCharType="end"/>
            </w:r>
          </w:p>
          <w:p w14:paraId="0480DD20" w14:textId="2D8CB7DA" w:rsidR="002F0B57" w:rsidRPr="0019723F" w:rsidRDefault="002F0B57" w:rsidP="00C9547D">
            <w:pPr>
              <w:rPr>
                <w:lang w:val="fr-CA"/>
              </w:rPr>
            </w:pPr>
            <w:r>
              <w:fldChar w:fldCharType="begin"/>
            </w:r>
            <w:r w:rsidRPr="0019723F">
              <w:rPr>
                <w:lang w:val="fr-CA"/>
              </w:rPr>
              <w:instrText xml:space="preserve"> DOCPROPERTY "Revision date" \@ "d MMMM YYYY"  \* MERGEFORMAT </w:instrText>
            </w:r>
            <w:r>
              <w:fldChar w:fldCharType="separate"/>
            </w:r>
            <w:r w:rsidR="00D261BF" w:rsidRPr="0019723F">
              <w:rPr>
                <w:lang w:val="fr-CA"/>
              </w:rPr>
              <w:t>25</w:t>
            </w:r>
            <w:r w:rsidR="006119EF" w:rsidRPr="0019723F">
              <w:rPr>
                <w:lang w:val="fr-CA"/>
              </w:rPr>
              <w:t xml:space="preserve"> Octob</w:t>
            </w:r>
            <w:r w:rsidR="00D261BF" w:rsidRPr="0019723F">
              <w:rPr>
                <w:lang w:val="fr-CA"/>
              </w:rPr>
              <w:t>re</w:t>
            </w:r>
            <w:r w:rsidR="006119EF" w:rsidRPr="0019723F">
              <w:rPr>
                <w:lang w:val="fr-CA"/>
              </w:rPr>
              <w:t xml:space="preserve"> 2021</w:t>
            </w:r>
            <w:r>
              <w:fldChar w:fldCharType="end"/>
            </w:r>
          </w:p>
          <w:p w14:paraId="5EAFCDDE" w14:textId="77777777" w:rsidR="00441083" w:rsidRDefault="00FC5578">
            <w:pPr>
              <w:rPr>
                <w:caps/>
                <w:lang w:val="fr-FR"/>
              </w:rPr>
            </w:pPr>
            <w:r w:rsidRPr="0019723F">
              <w:rPr>
                <w:caps/>
                <w:lang w:val="fr-CA"/>
              </w:rPr>
              <w:br/>
            </w:r>
            <w:r w:rsidR="00E60D9C">
              <w:rPr>
                <w:caps/>
                <w:lang w:val="fr-FR"/>
              </w:rPr>
              <w:t>FRANÇAIS</w:t>
            </w:r>
          </w:p>
          <w:p w14:paraId="1979B529" w14:textId="77777777" w:rsidR="00441083" w:rsidRDefault="00E60D9C">
            <w:r>
              <w:t xml:space="preserve">ORIGINAL: </w:t>
            </w:r>
            <w:r w:rsidR="0091161A">
              <w:t>ANGLAIS</w:t>
            </w:r>
          </w:p>
        </w:tc>
      </w:tr>
    </w:tbl>
    <w:p w14:paraId="25F9E96A" w14:textId="77777777" w:rsidR="00441083" w:rsidRDefault="00E60D9C" w:rsidP="009F6617">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9F6617">
        <w:rPr>
          <w:lang w:val="fr-CA"/>
        </w:rPr>
        <w:t>huit</w:t>
      </w:r>
      <w:r w:rsidR="004C2C87">
        <w:rPr>
          <w:lang w:val="fr-CA"/>
        </w:rPr>
        <w:t>i</w:t>
      </w:r>
      <w:r w:rsidR="00E54871">
        <w:rPr>
          <w:lang w:val="fr-CA"/>
        </w:rPr>
        <w:t>ème</w:t>
      </w:r>
      <w:r w:rsidR="00FC5578" w:rsidRPr="00FC5578">
        <w:rPr>
          <w:lang w:val="fr-CA"/>
        </w:rPr>
        <w:t xml:space="preserve"> </w:t>
      </w:r>
      <w:r>
        <w:rPr>
          <w:lang w:val="fr-CA"/>
        </w:rPr>
        <w:t>réunion</w:t>
      </w:r>
    </w:p>
    <w:p w14:paraId="7F7C4CBD" w14:textId="77777777" w:rsidR="00441083" w:rsidRDefault="00E54871" w:rsidP="009F6617">
      <w:pPr>
        <w:jc w:val="left"/>
        <w:rPr>
          <w:lang w:val="fr-CA"/>
        </w:rPr>
      </w:pPr>
      <w:r>
        <w:rPr>
          <w:lang w:val="fr-CA"/>
        </w:rPr>
        <w:t>Montr</w:t>
      </w:r>
      <w:r w:rsidRPr="009F6617">
        <w:rPr>
          <w:lang w:val="fr-CA"/>
        </w:rPr>
        <w:t>é</w:t>
      </w:r>
      <w:r>
        <w:rPr>
          <w:lang w:val="fr-CA"/>
        </w:rPr>
        <w:t>al,</w:t>
      </w:r>
      <w:r w:rsidR="00FC5578">
        <w:rPr>
          <w:lang w:val="fr-CA"/>
        </w:rPr>
        <w:t xml:space="preserve"> </w:t>
      </w:r>
      <w:r w:rsidR="009F6617">
        <w:rPr>
          <w:lang w:val="fr-CA"/>
        </w:rPr>
        <w:t>15</w:t>
      </w:r>
      <w:r w:rsidR="00AC013C">
        <w:rPr>
          <w:lang w:val="fr-CA"/>
        </w:rPr>
        <w:t xml:space="preserve"> </w:t>
      </w:r>
      <w:r w:rsidR="00E60D9C">
        <w:rPr>
          <w:lang w:val="fr-CA"/>
        </w:rPr>
        <w:t xml:space="preserve">– </w:t>
      </w:r>
      <w:r w:rsidR="009F6617">
        <w:rPr>
          <w:lang w:val="fr-CA"/>
        </w:rPr>
        <w:t>19 novembre</w:t>
      </w:r>
      <w:r w:rsidR="004C2C87">
        <w:rPr>
          <w:lang w:val="fr-CA"/>
        </w:rPr>
        <w:t xml:space="preserve"> 20</w:t>
      </w:r>
      <w:r w:rsidR="002C06D4">
        <w:rPr>
          <w:lang w:val="fr-CA"/>
        </w:rPr>
        <w:t>2</w:t>
      </w:r>
      <w:r w:rsidR="004C2C87">
        <w:rPr>
          <w:lang w:val="fr-CA"/>
        </w:rPr>
        <w:t>1</w:t>
      </w:r>
      <w:r w:rsidR="002C06D4">
        <w:rPr>
          <w:rStyle w:val="FootnoteReference"/>
          <w:lang w:val="fr-CA"/>
        </w:rPr>
        <w:footnoteReference w:id="1"/>
      </w:r>
    </w:p>
    <w:p w14:paraId="5E98E891" w14:textId="489EE135" w:rsidR="00441083" w:rsidRDefault="00441083">
      <w:pPr>
        <w:jc w:val="left"/>
        <w:rPr>
          <w:lang w:val="fr-CA"/>
        </w:rPr>
      </w:pPr>
    </w:p>
    <w:p w14:paraId="12327F1B" w14:textId="77777777" w:rsidR="0019723F" w:rsidRDefault="0019723F">
      <w:pPr>
        <w:jc w:val="left"/>
        <w:rPr>
          <w:lang w:val="fr-CA"/>
        </w:rPr>
      </w:pPr>
    </w:p>
    <w:p w14:paraId="2B1EF0E6" w14:textId="4AD8B0F4" w:rsidR="00441083" w:rsidRDefault="00441083">
      <w:pPr>
        <w:pStyle w:val="Heading3"/>
        <w:numPr>
          <w:ilvl w:val="0"/>
          <w:numId w:val="0"/>
        </w:numPr>
        <w:spacing w:after="0"/>
        <w:rPr>
          <w:lang w:val="fr-FR"/>
        </w:rPr>
      </w:pPr>
    </w:p>
    <w:p w14:paraId="1F8808D7" w14:textId="08E42E35" w:rsidR="006119EF" w:rsidRDefault="006119EF" w:rsidP="006119EF">
      <w:pPr>
        <w:pStyle w:val="Title2"/>
        <w:rPr>
          <w:caps w:val="0"/>
        </w:rPr>
      </w:pPr>
      <w:r>
        <w:rPr>
          <w:caps w:val="0"/>
        </w:rPr>
        <w:t>PLAN D’ACTIVITÉS DU PNUD POUR LA PÉRIODE 2022-2024</w:t>
      </w:r>
    </w:p>
    <w:p w14:paraId="1BC55071" w14:textId="77777777" w:rsidR="0019723F" w:rsidRPr="00440394" w:rsidRDefault="0019723F" w:rsidP="006119EF">
      <w:pPr>
        <w:pStyle w:val="Title2"/>
        <w:rPr>
          <w:caps w:val="0"/>
        </w:rPr>
      </w:pPr>
    </w:p>
    <w:p w14:paraId="6DB13CE1" w14:textId="77777777" w:rsidR="0019723F" w:rsidRPr="006119EF" w:rsidRDefault="0019723F" w:rsidP="006119EF">
      <w:pPr>
        <w:jc w:val="center"/>
        <w:rPr>
          <w:b/>
          <w:lang w:val="fr-FR"/>
        </w:rPr>
      </w:pPr>
    </w:p>
    <w:p w14:paraId="4FAA8EAB" w14:textId="77777777" w:rsidR="006119EF" w:rsidRPr="006119EF" w:rsidRDefault="006119EF" w:rsidP="006119EF">
      <w:pPr>
        <w:pStyle w:val="Heading1"/>
        <w:rPr>
          <w:lang w:val="fr-FR"/>
        </w:rPr>
      </w:pPr>
      <w:r w:rsidRPr="006119EF">
        <w:rPr>
          <w:lang w:val="fr-FR"/>
        </w:rPr>
        <w:t>Le présent document renferme le plan d’activités du PNUD pour la période 2022-2024</w:t>
      </w:r>
      <w:r w:rsidRPr="00440394">
        <w:rPr>
          <w:rStyle w:val="FootnoteReference"/>
        </w:rPr>
        <w:footnoteReference w:id="2"/>
      </w:r>
      <w:r w:rsidRPr="006119EF">
        <w:rPr>
          <w:lang w:val="fr-FR"/>
        </w:rPr>
        <w:t>, qui comprend les éléments suivants : activités prévues pour l’élimination des substances réglementées en vertu du Protocole de Montréal (substances réglementées) au cours de la période 2022-2024; indicateurs de rendement du plan d’activités; enjeux de politique et recommandation soumise à l’examen du Comité exécutif. Le narratif du plan d’activités du PNUD pour la période 2022-2024 est joint au présent document.</w:t>
      </w:r>
    </w:p>
    <w:p w14:paraId="5D300E63" w14:textId="77777777" w:rsidR="006119EF" w:rsidRPr="006119EF" w:rsidRDefault="006119EF" w:rsidP="006119EF">
      <w:pPr>
        <w:rPr>
          <w:b/>
          <w:lang w:val="fr-FR"/>
        </w:rPr>
      </w:pPr>
      <w:r w:rsidRPr="006119EF">
        <w:rPr>
          <w:b/>
          <w:lang w:val="fr-FR"/>
        </w:rPr>
        <w:t>Activités prévues au cours de la période 2022-2024</w:t>
      </w:r>
    </w:p>
    <w:p w14:paraId="17A4C4C2" w14:textId="77777777" w:rsidR="006119EF" w:rsidRPr="006119EF" w:rsidRDefault="006119EF" w:rsidP="006119EF">
      <w:pPr>
        <w:rPr>
          <w:lang w:val="fr-FR"/>
        </w:rPr>
      </w:pPr>
    </w:p>
    <w:p w14:paraId="271D0352" w14:textId="77777777" w:rsidR="006119EF" w:rsidRPr="006119EF" w:rsidRDefault="006119EF" w:rsidP="006119EF">
      <w:pPr>
        <w:pStyle w:val="Heading1"/>
        <w:rPr>
          <w:lang w:val="fr-FR"/>
        </w:rPr>
      </w:pPr>
      <w:r w:rsidRPr="006119EF">
        <w:rPr>
          <w:lang w:val="fr-FR"/>
        </w:rPr>
        <w:t>Le tableau 1 indique, par année, la valeur des activités incluses dans le plan d’activités du PNUD.</w:t>
      </w:r>
    </w:p>
    <w:p w14:paraId="1F152726" w14:textId="77777777" w:rsidR="006119EF" w:rsidRPr="00440394" w:rsidRDefault="006119EF" w:rsidP="006119EF">
      <w:pPr>
        <w:pStyle w:val="subhead"/>
        <w:keepNext/>
        <w:jc w:val="both"/>
        <w:rPr>
          <w:b/>
          <w:sz w:val="22"/>
          <w:szCs w:val="22"/>
        </w:rPr>
      </w:pPr>
      <w:r>
        <w:rPr>
          <w:b/>
          <w:sz w:val="22"/>
        </w:rPr>
        <w:t>Tableau 1. Allocation des ressources dans le plan d’activités du PNUD pour 2022-2024 tel que présenté (en en milliers de $US)*</w:t>
      </w:r>
    </w:p>
    <w:tbl>
      <w:tblPr>
        <w:tblW w:w="9356" w:type="dxa"/>
        <w:tblInd w:w="-5" w:type="dxa"/>
        <w:tblLook w:val="04A0" w:firstRow="1" w:lastRow="0" w:firstColumn="1" w:lastColumn="0" w:noHBand="0" w:noVBand="1"/>
      </w:tblPr>
      <w:tblGrid>
        <w:gridCol w:w="4253"/>
        <w:gridCol w:w="766"/>
        <w:gridCol w:w="993"/>
        <w:gridCol w:w="991"/>
        <w:gridCol w:w="1276"/>
        <w:gridCol w:w="1134"/>
      </w:tblGrid>
      <w:tr w:rsidR="006119EF" w:rsidRPr="00440394" w14:paraId="515A0BAE" w14:textId="77777777" w:rsidTr="006D24F8">
        <w:trPr>
          <w:trHeight w:val="207"/>
          <w:tblHeader/>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98BA5CA" w14:textId="77777777" w:rsidR="006119EF" w:rsidRPr="00440394" w:rsidRDefault="006119EF" w:rsidP="00C654AE">
            <w:pPr>
              <w:jc w:val="left"/>
              <w:rPr>
                <w:b/>
                <w:bCs/>
                <w:sz w:val="20"/>
                <w:szCs w:val="20"/>
              </w:rPr>
            </w:pPr>
            <w:r>
              <w:rPr>
                <w:b/>
                <w:sz w:val="20"/>
              </w:rPr>
              <w:t>Description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63E6B6" w14:textId="77777777" w:rsidR="006119EF" w:rsidRPr="00440394" w:rsidRDefault="006119EF" w:rsidP="00C654AE">
            <w:pPr>
              <w:jc w:val="center"/>
              <w:rPr>
                <w:b/>
                <w:bCs/>
                <w:sz w:val="20"/>
                <w:szCs w:val="20"/>
              </w:rPr>
            </w:pPr>
            <w:r>
              <w:rPr>
                <w:b/>
                <w:sz w:val="20"/>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96B407" w14:textId="77777777" w:rsidR="006119EF" w:rsidRPr="00440394" w:rsidRDefault="006119EF" w:rsidP="00C654AE">
            <w:pPr>
              <w:jc w:val="center"/>
              <w:rPr>
                <w:b/>
                <w:bCs/>
                <w:sz w:val="20"/>
                <w:szCs w:val="20"/>
              </w:rPr>
            </w:pPr>
            <w:r>
              <w:rPr>
                <w:b/>
                <w:sz w:val="20"/>
              </w:rPr>
              <w:t>2023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0C853734" w14:textId="77777777" w:rsidR="006119EF" w:rsidRPr="00440394" w:rsidRDefault="006119EF" w:rsidP="00C654AE">
            <w:pPr>
              <w:jc w:val="center"/>
              <w:rPr>
                <w:b/>
                <w:bCs/>
                <w:sz w:val="20"/>
                <w:szCs w:val="20"/>
              </w:rPr>
            </w:pPr>
            <w:r>
              <w:rPr>
                <w:b/>
                <w:sz w:val="20"/>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A38461" w14:textId="77777777" w:rsidR="006119EF" w:rsidRPr="00440394" w:rsidRDefault="006119EF" w:rsidP="00C654AE">
            <w:pPr>
              <w:jc w:val="center"/>
              <w:rPr>
                <w:b/>
                <w:bCs/>
                <w:sz w:val="20"/>
                <w:szCs w:val="20"/>
              </w:rPr>
            </w:pPr>
            <w:r>
              <w:rPr>
                <w:b/>
                <w:sz w:val="20"/>
              </w:rPr>
              <w:t>Total (2022–2024)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1A69CF" w14:textId="77777777" w:rsidR="006119EF" w:rsidRPr="00440394" w:rsidRDefault="006119EF" w:rsidP="00C654AE">
            <w:pPr>
              <w:jc w:val="center"/>
              <w:rPr>
                <w:b/>
                <w:bCs/>
                <w:sz w:val="20"/>
                <w:szCs w:val="20"/>
              </w:rPr>
            </w:pPr>
            <w:r>
              <w:rPr>
                <w:b/>
                <w:sz w:val="20"/>
              </w:rPr>
              <w:t>Total après 2024</w:t>
            </w:r>
          </w:p>
        </w:tc>
      </w:tr>
      <w:tr w:rsidR="006119EF" w:rsidRPr="00440394" w14:paraId="50014B93" w14:textId="77777777" w:rsidTr="00C654AE">
        <w:trPr>
          <w:trHeight w:val="5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67EF81E" w14:textId="77777777" w:rsidR="006119EF" w:rsidRPr="00440394" w:rsidRDefault="006119EF" w:rsidP="00C654AE">
            <w:pPr>
              <w:jc w:val="left"/>
              <w:rPr>
                <w:b/>
                <w:bCs/>
                <w:sz w:val="20"/>
                <w:szCs w:val="20"/>
              </w:rPr>
            </w:pPr>
            <w:r>
              <w:rPr>
                <w:b/>
                <w:sz w:val="20"/>
              </w:rPr>
              <w:t>Activités pour les HCFC</w:t>
            </w:r>
          </w:p>
        </w:tc>
      </w:tr>
      <w:tr w:rsidR="006119EF" w:rsidRPr="00440394" w14:paraId="10F9B60E" w14:textId="77777777" w:rsidTr="006D24F8">
        <w:trPr>
          <w:trHeight w:val="344"/>
        </w:trPr>
        <w:tc>
          <w:tcPr>
            <w:tcW w:w="4253" w:type="dxa"/>
            <w:tcBorders>
              <w:top w:val="nil"/>
              <w:left w:val="single" w:sz="4" w:space="0" w:color="auto"/>
              <w:bottom w:val="single" w:sz="4" w:space="0" w:color="auto"/>
              <w:right w:val="single" w:sz="4" w:space="0" w:color="auto"/>
            </w:tcBorders>
            <w:shd w:val="clear" w:color="auto" w:fill="auto"/>
            <w:noWrap/>
            <w:hideMark/>
          </w:tcPr>
          <w:p w14:paraId="5CBD147A" w14:textId="77777777" w:rsidR="006119EF" w:rsidRPr="006119EF" w:rsidRDefault="006119EF" w:rsidP="00C654AE">
            <w:pPr>
              <w:jc w:val="left"/>
              <w:rPr>
                <w:sz w:val="20"/>
                <w:szCs w:val="20"/>
                <w:lang w:val="fr-FR"/>
              </w:rPr>
            </w:pPr>
            <w:r w:rsidRPr="006119EF">
              <w:rPr>
                <w:sz w:val="20"/>
                <w:lang w:val="fr-FR"/>
              </w:rPr>
              <w:t>Plans approuvés de gestion de l’élimination des HCFC (PGEH)</w:t>
            </w:r>
          </w:p>
        </w:tc>
        <w:tc>
          <w:tcPr>
            <w:tcW w:w="709" w:type="dxa"/>
            <w:tcBorders>
              <w:top w:val="nil"/>
              <w:left w:val="nil"/>
              <w:bottom w:val="single" w:sz="4" w:space="0" w:color="auto"/>
              <w:right w:val="single" w:sz="4" w:space="0" w:color="auto"/>
            </w:tcBorders>
            <w:shd w:val="clear" w:color="auto" w:fill="auto"/>
            <w:noWrap/>
            <w:hideMark/>
          </w:tcPr>
          <w:p w14:paraId="5CC7707F" w14:textId="77777777" w:rsidR="006119EF" w:rsidRPr="00440394" w:rsidRDefault="006119EF" w:rsidP="00C654AE">
            <w:pPr>
              <w:jc w:val="right"/>
              <w:rPr>
                <w:sz w:val="20"/>
                <w:szCs w:val="20"/>
              </w:rPr>
            </w:pPr>
            <w:r>
              <w:rPr>
                <w:sz w:val="20"/>
              </w:rPr>
              <w:t>9 598</w:t>
            </w:r>
          </w:p>
        </w:tc>
        <w:tc>
          <w:tcPr>
            <w:tcW w:w="993" w:type="dxa"/>
            <w:tcBorders>
              <w:top w:val="nil"/>
              <w:left w:val="nil"/>
              <w:bottom w:val="single" w:sz="4" w:space="0" w:color="auto"/>
              <w:right w:val="single" w:sz="4" w:space="0" w:color="auto"/>
            </w:tcBorders>
            <w:shd w:val="clear" w:color="auto" w:fill="auto"/>
            <w:noWrap/>
            <w:hideMark/>
          </w:tcPr>
          <w:p w14:paraId="6A33B2B8" w14:textId="77777777" w:rsidR="006119EF" w:rsidRPr="00440394" w:rsidRDefault="006119EF" w:rsidP="00C654AE">
            <w:pPr>
              <w:jc w:val="right"/>
              <w:rPr>
                <w:sz w:val="20"/>
                <w:szCs w:val="20"/>
              </w:rPr>
            </w:pPr>
            <w:r>
              <w:rPr>
                <w:sz w:val="20"/>
              </w:rPr>
              <w:t>16 945</w:t>
            </w:r>
          </w:p>
        </w:tc>
        <w:tc>
          <w:tcPr>
            <w:tcW w:w="991" w:type="dxa"/>
            <w:tcBorders>
              <w:top w:val="nil"/>
              <w:left w:val="nil"/>
              <w:bottom w:val="single" w:sz="4" w:space="0" w:color="auto"/>
              <w:right w:val="single" w:sz="4" w:space="0" w:color="auto"/>
            </w:tcBorders>
            <w:shd w:val="clear" w:color="auto" w:fill="auto"/>
            <w:noWrap/>
            <w:hideMark/>
          </w:tcPr>
          <w:p w14:paraId="5C5C1CFA" w14:textId="77777777" w:rsidR="006119EF" w:rsidRPr="00440394" w:rsidRDefault="006119EF" w:rsidP="00C654AE">
            <w:pPr>
              <w:jc w:val="right"/>
              <w:rPr>
                <w:sz w:val="20"/>
                <w:szCs w:val="20"/>
              </w:rPr>
            </w:pPr>
            <w:r>
              <w:rPr>
                <w:sz w:val="20"/>
              </w:rPr>
              <w:t>1 682</w:t>
            </w:r>
          </w:p>
        </w:tc>
        <w:tc>
          <w:tcPr>
            <w:tcW w:w="1276" w:type="dxa"/>
            <w:tcBorders>
              <w:top w:val="nil"/>
              <w:left w:val="nil"/>
              <w:bottom w:val="single" w:sz="4" w:space="0" w:color="auto"/>
              <w:right w:val="single" w:sz="4" w:space="0" w:color="auto"/>
            </w:tcBorders>
            <w:shd w:val="clear" w:color="auto" w:fill="auto"/>
            <w:noWrap/>
            <w:hideMark/>
          </w:tcPr>
          <w:p w14:paraId="54D07E62" w14:textId="77777777" w:rsidR="006119EF" w:rsidRPr="00440394" w:rsidRDefault="006119EF" w:rsidP="00C654AE">
            <w:pPr>
              <w:jc w:val="right"/>
              <w:rPr>
                <w:sz w:val="20"/>
                <w:szCs w:val="20"/>
              </w:rPr>
            </w:pPr>
            <w:r>
              <w:rPr>
                <w:sz w:val="20"/>
              </w:rPr>
              <w:t>28 225</w:t>
            </w:r>
          </w:p>
        </w:tc>
        <w:tc>
          <w:tcPr>
            <w:tcW w:w="1134" w:type="dxa"/>
            <w:tcBorders>
              <w:top w:val="nil"/>
              <w:left w:val="nil"/>
              <w:bottom w:val="single" w:sz="4" w:space="0" w:color="auto"/>
              <w:right w:val="single" w:sz="4" w:space="0" w:color="auto"/>
            </w:tcBorders>
            <w:shd w:val="clear" w:color="auto" w:fill="auto"/>
            <w:noWrap/>
            <w:hideMark/>
          </w:tcPr>
          <w:p w14:paraId="5D8D4E17" w14:textId="77777777" w:rsidR="006119EF" w:rsidRPr="00440394" w:rsidRDefault="006119EF" w:rsidP="00C654AE">
            <w:pPr>
              <w:jc w:val="right"/>
              <w:rPr>
                <w:sz w:val="20"/>
                <w:szCs w:val="20"/>
              </w:rPr>
            </w:pPr>
            <w:r>
              <w:rPr>
                <w:sz w:val="20"/>
              </w:rPr>
              <w:t>22 592</w:t>
            </w:r>
          </w:p>
        </w:tc>
      </w:tr>
      <w:tr w:rsidR="006119EF" w:rsidRPr="00440394" w14:paraId="15B1EA22"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56C9E790" w14:textId="77777777" w:rsidR="006119EF" w:rsidRPr="006119EF" w:rsidRDefault="006119EF" w:rsidP="00C654AE">
            <w:pPr>
              <w:jc w:val="left"/>
              <w:rPr>
                <w:sz w:val="20"/>
                <w:szCs w:val="20"/>
                <w:lang w:val="fr-FR"/>
              </w:rPr>
            </w:pPr>
            <w:r w:rsidRPr="006119EF">
              <w:rPr>
                <w:sz w:val="20"/>
                <w:lang w:val="fr-FR"/>
              </w:rPr>
              <w:t>Préparation de projet de PGEH (PRP) – phase II</w:t>
            </w:r>
          </w:p>
        </w:tc>
        <w:tc>
          <w:tcPr>
            <w:tcW w:w="709" w:type="dxa"/>
            <w:tcBorders>
              <w:top w:val="nil"/>
              <w:left w:val="nil"/>
              <w:bottom w:val="single" w:sz="4" w:space="0" w:color="auto"/>
              <w:right w:val="single" w:sz="4" w:space="0" w:color="auto"/>
            </w:tcBorders>
            <w:shd w:val="clear" w:color="auto" w:fill="auto"/>
            <w:noWrap/>
            <w:hideMark/>
          </w:tcPr>
          <w:p w14:paraId="1AC56D29" w14:textId="77777777" w:rsidR="006119EF" w:rsidRPr="00440394" w:rsidRDefault="006119EF" w:rsidP="00C654AE">
            <w:pPr>
              <w:jc w:val="right"/>
              <w:rPr>
                <w:sz w:val="20"/>
                <w:szCs w:val="20"/>
              </w:rPr>
            </w:pPr>
            <w:r>
              <w:rPr>
                <w:sz w:val="20"/>
              </w:rPr>
              <w:t>10</w:t>
            </w:r>
          </w:p>
        </w:tc>
        <w:tc>
          <w:tcPr>
            <w:tcW w:w="993" w:type="dxa"/>
            <w:tcBorders>
              <w:top w:val="nil"/>
              <w:left w:val="nil"/>
              <w:bottom w:val="single" w:sz="4" w:space="0" w:color="auto"/>
              <w:right w:val="single" w:sz="4" w:space="0" w:color="auto"/>
            </w:tcBorders>
            <w:shd w:val="clear" w:color="auto" w:fill="auto"/>
            <w:noWrap/>
            <w:hideMark/>
          </w:tcPr>
          <w:p w14:paraId="22F97C50" w14:textId="77777777" w:rsidR="006119EF" w:rsidRPr="00440394" w:rsidRDefault="006119EF" w:rsidP="00C654AE">
            <w:pPr>
              <w:jc w:val="right"/>
              <w:rPr>
                <w:sz w:val="20"/>
                <w:szCs w:val="20"/>
              </w:rPr>
            </w:pPr>
            <w:r>
              <w:rPr>
                <w:sz w:val="20"/>
              </w:rPr>
              <w:t>0</w:t>
            </w:r>
          </w:p>
        </w:tc>
        <w:tc>
          <w:tcPr>
            <w:tcW w:w="991" w:type="dxa"/>
            <w:tcBorders>
              <w:top w:val="nil"/>
              <w:left w:val="nil"/>
              <w:bottom w:val="single" w:sz="4" w:space="0" w:color="auto"/>
              <w:right w:val="single" w:sz="4" w:space="0" w:color="auto"/>
            </w:tcBorders>
            <w:shd w:val="clear" w:color="auto" w:fill="auto"/>
            <w:noWrap/>
            <w:hideMark/>
          </w:tcPr>
          <w:p w14:paraId="5822C84D" w14:textId="77777777" w:rsidR="006119EF" w:rsidRPr="00440394" w:rsidRDefault="006119EF" w:rsidP="00C654AE">
            <w:pPr>
              <w:jc w:val="right"/>
              <w:rPr>
                <w:sz w:val="20"/>
                <w:szCs w:val="20"/>
              </w:rPr>
            </w:pPr>
            <w:r>
              <w:rPr>
                <w:sz w:val="20"/>
              </w:rPr>
              <w:t>0</w:t>
            </w:r>
          </w:p>
        </w:tc>
        <w:tc>
          <w:tcPr>
            <w:tcW w:w="1276" w:type="dxa"/>
            <w:tcBorders>
              <w:top w:val="nil"/>
              <w:left w:val="nil"/>
              <w:bottom w:val="single" w:sz="4" w:space="0" w:color="auto"/>
              <w:right w:val="single" w:sz="4" w:space="0" w:color="auto"/>
            </w:tcBorders>
            <w:shd w:val="clear" w:color="auto" w:fill="auto"/>
            <w:noWrap/>
            <w:hideMark/>
          </w:tcPr>
          <w:p w14:paraId="496B1780" w14:textId="77777777" w:rsidR="006119EF" w:rsidRPr="00440394" w:rsidRDefault="006119EF" w:rsidP="00C654AE">
            <w:pPr>
              <w:jc w:val="right"/>
              <w:rPr>
                <w:sz w:val="20"/>
                <w:szCs w:val="20"/>
              </w:rPr>
            </w:pPr>
            <w:r>
              <w:rPr>
                <w:sz w:val="20"/>
              </w:rPr>
              <w:t>10</w:t>
            </w:r>
          </w:p>
        </w:tc>
        <w:tc>
          <w:tcPr>
            <w:tcW w:w="1134" w:type="dxa"/>
            <w:tcBorders>
              <w:top w:val="nil"/>
              <w:left w:val="nil"/>
              <w:bottom w:val="single" w:sz="4" w:space="0" w:color="auto"/>
              <w:right w:val="single" w:sz="4" w:space="0" w:color="auto"/>
            </w:tcBorders>
            <w:shd w:val="clear" w:color="auto" w:fill="auto"/>
            <w:noWrap/>
            <w:hideMark/>
          </w:tcPr>
          <w:p w14:paraId="2C716810" w14:textId="77777777" w:rsidR="006119EF" w:rsidRPr="00440394" w:rsidRDefault="006119EF" w:rsidP="00C654AE">
            <w:pPr>
              <w:jc w:val="right"/>
              <w:rPr>
                <w:sz w:val="20"/>
                <w:szCs w:val="20"/>
              </w:rPr>
            </w:pPr>
            <w:r>
              <w:rPr>
                <w:sz w:val="20"/>
              </w:rPr>
              <w:t>0</w:t>
            </w:r>
          </w:p>
        </w:tc>
      </w:tr>
      <w:tr w:rsidR="006119EF" w:rsidRPr="00440394" w14:paraId="1E473368" w14:textId="77777777" w:rsidTr="006D24F8">
        <w:trPr>
          <w:trHeight w:val="70"/>
        </w:trPr>
        <w:tc>
          <w:tcPr>
            <w:tcW w:w="4253" w:type="dxa"/>
            <w:tcBorders>
              <w:top w:val="nil"/>
              <w:left w:val="single" w:sz="4" w:space="0" w:color="auto"/>
              <w:bottom w:val="single" w:sz="4" w:space="0" w:color="auto"/>
              <w:right w:val="single" w:sz="4" w:space="0" w:color="auto"/>
            </w:tcBorders>
            <w:shd w:val="clear" w:color="auto" w:fill="auto"/>
            <w:noWrap/>
            <w:hideMark/>
          </w:tcPr>
          <w:p w14:paraId="656FD64B" w14:textId="77777777" w:rsidR="006119EF" w:rsidRPr="00440394" w:rsidRDefault="006119EF" w:rsidP="00C654AE">
            <w:pPr>
              <w:jc w:val="left"/>
              <w:rPr>
                <w:sz w:val="20"/>
                <w:szCs w:val="20"/>
              </w:rPr>
            </w:pPr>
            <w:r>
              <w:rPr>
                <w:sz w:val="20"/>
              </w:rPr>
              <w:t xml:space="preserve">PGEH phase II </w:t>
            </w:r>
          </w:p>
        </w:tc>
        <w:tc>
          <w:tcPr>
            <w:tcW w:w="709" w:type="dxa"/>
            <w:tcBorders>
              <w:top w:val="nil"/>
              <w:left w:val="nil"/>
              <w:bottom w:val="single" w:sz="4" w:space="0" w:color="auto"/>
              <w:right w:val="single" w:sz="4" w:space="0" w:color="auto"/>
            </w:tcBorders>
            <w:shd w:val="clear" w:color="auto" w:fill="auto"/>
            <w:noWrap/>
            <w:hideMark/>
          </w:tcPr>
          <w:p w14:paraId="0E7CE114" w14:textId="77777777" w:rsidR="006119EF" w:rsidRPr="00440394" w:rsidRDefault="006119EF" w:rsidP="00C654AE">
            <w:pPr>
              <w:jc w:val="right"/>
              <w:rPr>
                <w:sz w:val="20"/>
                <w:szCs w:val="20"/>
              </w:rPr>
            </w:pPr>
            <w:r>
              <w:rPr>
                <w:sz w:val="20"/>
              </w:rPr>
              <w:t>278</w:t>
            </w:r>
          </w:p>
        </w:tc>
        <w:tc>
          <w:tcPr>
            <w:tcW w:w="993" w:type="dxa"/>
            <w:tcBorders>
              <w:top w:val="nil"/>
              <w:left w:val="nil"/>
              <w:bottom w:val="single" w:sz="4" w:space="0" w:color="auto"/>
              <w:right w:val="single" w:sz="4" w:space="0" w:color="auto"/>
            </w:tcBorders>
            <w:shd w:val="clear" w:color="auto" w:fill="auto"/>
            <w:noWrap/>
            <w:hideMark/>
          </w:tcPr>
          <w:p w14:paraId="67D369F8" w14:textId="77777777" w:rsidR="006119EF" w:rsidRPr="00440394" w:rsidRDefault="006119EF" w:rsidP="00C654AE">
            <w:pPr>
              <w:jc w:val="right"/>
              <w:rPr>
                <w:sz w:val="20"/>
                <w:szCs w:val="20"/>
              </w:rPr>
            </w:pPr>
            <w:r>
              <w:rPr>
                <w:sz w:val="20"/>
              </w:rPr>
              <w:t>84</w:t>
            </w:r>
          </w:p>
        </w:tc>
        <w:tc>
          <w:tcPr>
            <w:tcW w:w="991" w:type="dxa"/>
            <w:tcBorders>
              <w:top w:val="nil"/>
              <w:left w:val="nil"/>
              <w:bottom w:val="single" w:sz="4" w:space="0" w:color="auto"/>
              <w:right w:val="single" w:sz="4" w:space="0" w:color="auto"/>
            </w:tcBorders>
            <w:shd w:val="clear" w:color="auto" w:fill="auto"/>
            <w:noWrap/>
            <w:hideMark/>
          </w:tcPr>
          <w:p w14:paraId="349547A8" w14:textId="77777777" w:rsidR="006119EF" w:rsidRPr="00440394" w:rsidRDefault="006119EF" w:rsidP="00C654AE">
            <w:pPr>
              <w:jc w:val="right"/>
              <w:rPr>
                <w:sz w:val="20"/>
                <w:szCs w:val="20"/>
              </w:rPr>
            </w:pPr>
            <w:r>
              <w:rPr>
                <w:sz w:val="20"/>
              </w:rPr>
              <w:t>184</w:t>
            </w:r>
          </w:p>
        </w:tc>
        <w:tc>
          <w:tcPr>
            <w:tcW w:w="1276" w:type="dxa"/>
            <w:tcBorders>
              <w:top w:val="nil"/>
              <w:left w:val="nil"/>
              <w:bottom w:val="single" w:sz="4" w:space="0" w:color="auto"/>
              <w:right w:val="single" w:sz="4" w:space="0" w:color="auto"/>
            </w:tcBorders>
            <w:shd w:val="clear" w:color="auto" w:fill="auto"/>
            <w:noWrap/>
            <w:hideMark/>
          </w:tcPr>
          <w:p w14:paraId="5DEAB579" w14:textId="77777777" w:rsidR="006119EF" w:rsidRPr="00440394" w:rsidRDefault="006119EF" w:rsidP="00C654AE">
            <w:pPr>
              <w:jc w:val="right"/>
              <w:rPr>
                <w:sz w:val="20"/>
                <w:szCs w:val="20"/>
              </w:rPr>
            </w:pPr>
            <w:r>
              <w:rPr>
                <w:sz w:val="20"/>
              </w:rPr>
              <w:t>547</w:t>
            </w:r>
          </w:p>
        </w:tc>
        <w:tc>
          <w:tcPr>
            <w:tcW w:w="1134" w:type="dxa"/>
            <w:tcBorders>
              <w:top w:val="nil"/>
              <w:left w:val="nil"/>
              <w:bottom w:val="single" w:sz="4" w:space="0" w:color="auto"/>
              <w:right w:val="single" w:sz="4" w:space="0" w:color="auto"/>
            </w:tcBorders>
            <w:shd w:val="clear" w:color="auto" w:fill="auto"/>
            <w:noWrap/>
            <w:hideMark/>
          </w:tcPr>
          <w:p w14:paraId="1040BAB4" w14:textId="77777777" w:rsidR="006119EF" w:rsidRPr="00440394" w:rsidRDefault="006119EF" w:rsidP="00C654AE">
            <w:pPr>
              <w:jc w:val="right"/>
              <w:rPr>
                <w:sz w:val="20"/>
                <w:szCs w:val="20"/>
              </w:rPr>
            </w:pPr>
            <w:r>
              <w:rPr>
                <w:sz w:val="20"/>
              </w:rPr>
              <w:t>1 034</w:t>
            </w:r>
          </w:p>
        </w:tc>
      </w:tr>
      <w:tr w:rsidR="006119EF" w:rsidRPr="00440394" w14:paraId="72D07E61"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2C8BD01C" w14:textId="77777777" w:rsidR="006119EF" w:rsidRPr="00440394" w:rsidRDefault="006119EF" w:rsidP="00C654AE">
            <w:pPr>
              <w:jc w:val="left"/>
              <w:rPr>
                <w:sz w:val="20"/>
                <w:szCs w:val="20"/>
              </w:rPr>
            </w:pPr>
            <w:r>
              <w:rPr>
                <w:sz w:val="20"/>
              </w:rPr>
              <w:t>PGEH phase III</w:t>
            </w:r>
          </w:p>
        </w:tc>
        <w:tc>
          <w:tcPr>
            <w:tcW w:w="709" w:type="dxa"/>
            <w:tcBorders>
              <w:top w:val="nil"/>
              <w:left w:val="nil"/>
              <w:bottom w:val="single" w:sz="4" w:space="0" w:color="auto"/>
              <w:right w:val="single" w:sz="4" w:space="0" w:color="auto"/>
            </w:tcBorders>
            <w:shd w:val="clear" w:color="auto" w:fill="auto"/>
            <w:noWrap/>
            <w:hideMark/>
          </w:tcPr>
          <w:p w14:paraId="0ABB85E9" w14:textId="77777777" w:rsidR="006119EF" w:rsidRPr="00440394" w:rsidRDefault="006119EF" w:rsidP="00C654AE">
            <w:pPr>
              <w:jc w:val="right"/>
              <w:rPr>
                <w:sz w:val="20"/>
                <w:szCs w:val="20"/>
              </w:rPr>
            </w:pPr>
            <w:r>
              <w:rPr>
                <w:sz w:val="20"/>
              </w:rPr>
              <w:t>4 929</w:t>
            </w:r>
          </w:p>
        </w:tc>
        <w:tc>
          <w:tcPr>
            <w:tcW w:w="993" w:type="dxa"/>
            <w:tcBorders>
              <w:top w:val="nil"/>
              <w:left w:val="nil"/>
              <w:bottom w:val="single" w:sz="4" w:space="0" w:color="auto"/>
              <w:right w:val="single" w:sz="4" w:space="0" w:color="auto"/>
            </w:tcBorders>
            <w:shd w:val="clear" w:color="auto" w:fill="auto"/>
            <w:noWrap/>
            <w:hideMark/>
          </w:tcPr>
          <w:p w14:paraId="570CF6E9" w14:textId="77777777" w:rsidR="006119EF" w:rsidRPr="00440394" w:rsidRDefault="006119EF" w:rsidP="00C654AE">
            <w:pPr>
              <w:jc w:val="right"/>
              <w:rPr>
                <w:sz w:val="20"/>
                <w:szCs w:val="20"/>
              </w:rPr>
            </w:pPr>
            <w:r>
              <w:rPr>
                <w:sz w:val="20"/>
              </w:rPr>
              <w:t>29 677</w:t>
            </w:r>
          </w:p>
        </w:tc>
        <w:tc>
          <w:tcPr>
            <w:tcW w:w="991" w:type="dxa"/>
            <w:tcBorders>
              <w:top w:val="nil"/>
              <w:left w:val="nil"/>
              <w:bottom w:val="single" w:sz="4" w:space="0" w:color="auto"/>
              <w:right w:val="single" w:sz="4" w:space="0" w:color="auto"/>
            </w:tcBorders>
            <w:shd w:val="clear" w:color="auto" w:fill="auto"/>
            <w:noWrap/>
            <w:hideMark/>
          </w:tcPr>
          <w:p w14:paraId="27693C7C" w14:textId="77777777" w:rsidR="006119EF" w:rsidRPr="00440394" w:rsidRDefault="006119EF" w:rsidP="00C654AE">
            <w:pPr>
              <w:jc w:val="right"/>
              <w:rPr>
                <w:sz w:val="20"/>
                <w:szCs w:val="20"/>
              </w:rPr>
            </w:pPr>
            <w:r>
              <w:rPr>
                <w:sz w:val="20"/>
              </w:rPr>
              <w:t>52 334</w:t>
            </w:r>
          </w:p>
        </w:tc>
        <w:tc>
          <w:tcPr>
            <w:tcW w:w="1276" w:type="dxa"/>
            <w:tcBorders>
              <w:top w:val="nil"/>
              <w:left w:val="nil"/>
              <w:bottom w:val="single" w:sz="4" w:space="0" w:color="auto"/>
              <w:right w:val="single" w:sz="4" w:space="0" w:color="auto"/>
            </w:tcBorders>
            <w:shd w:val="clear" w:color="auto" w:fill="auto"/>
            <w:noWrap/>
            <w:hideMark/>
          </w:tcPr>
          <w:p w14:paraId="0B4233D9" w14:textId="77777777" w:rsidR="006119EF" w:rsidRPr="00440394" w:rsidRDefault="006119EF" w:rsidP="00C654AE">
            <w:pPr>
              <w:jc w:val="right"/>
              <w:rPr>
                <w:sz w:val="20"/>
                <w:szCs w:val="20"/>
              </w:rPr>
            </w:pPr>
            <w:r>
              <w:rPr>
                <w:sz w:val="20"/>
              </w:rPr>
              <w:t>86 940</w:t>
            </w:r>
          </w:p>
        </w:tc>
        <w:tc>
          <w:tcPr>
            <w:tcW w:w="1134" w:type="dxa"/>
            <w:tcBorders>
              <w:top w:val="nil"/>
              <w:left w:val="nil"/>
              <w:bottom w:val="single" w:sz="4" w:space="0" w:color="auto"/>
              <w:right w:val="single" w:sz="4" w:space="0" w:color="auto"/>
            </w:tcBorders>
            <w:shd w:val="clear" w:color="auto" w:fill="auto"/>
            <w:noWrap/>
            <w:hideMark/>
          </w:tcPr>
          <w:p w14:paraId="05CBB44C" w14:textId="77777777" w:rsidR="006119EF" w:rsidRPr="00440394" w:rsidRDefault="006119EF" w:rsidP="00C654AE">
            <w:pPr>
              <w:jc w:val="right"/>
              <w:rPr>
                <w:sz w:val="20"/>
                <w:szCs w:val="20"/>
              </w:rPr>
            </w:pPr>
            <w:r>
              <w:rPr>
                <w:sz w:val="20"/>
              </w:rPr>
              <w:t>4 609</w:t>
            </w:r>
          </w:p>
        </w:tc>
      </w:tr>
      <w:tr w:rsidR="006119EF" w:rsidRPr="00440394" w14:paraId="253C1ADB"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438D46F9" w14:textId="0EF301AF" w:rsidR="0019723F" w:rsidRPr="0019723F" w:rsidRDefault="006119EF" w:rsidP="0019723F">
            <w:pPr>
              <w:jc w:val="left"/>
              <w:rPr>
                <w:b/>
                <w:sz w:val="20"/>
                <w:lang w:val="fr-FR"/>
              </w:rPr>
            </w:pPr>
            <w:r w:rsidRPr="006119EF">
              <w:rPr>
                <w:b/>
                <w:sz w:val="20"/>
                <w:lang w:val="fr-FR"/>
              </w:rPr>
              <w:t>Sous-total des activités pour les HCFC</w:t>
            </w:r>
          </w:p>
        </w:tc>
        <w:tc>
          <w:tcPr>
            <w:tcW w:w="709" w:type="dxa"/>
            <w:tcBorders>
              <w:top w:val="nil"/>
              <w:left w:val="nil"/>
              <w:bottom w:val="single" w:sz="4" w:space="0" w:color="auto"/>
              <w:right w:val="single" w:sz="4" w:space="0" w:color="auto"/>
            </w:tcBorders>
            <w:shd w:val="clear" w:color="auto" w:fill="auto"/>
            <w:noWrap/>
            <w:hideMark/>
          </w:tcPr>
          <w:p w14:paraId="1DE8A27D" w14:textId="77777777" w:rsidR="006119EF" w:rsidRPr="00440394" w:rsidRDefault="006119EF" w:rsidP="00C654AE">
            <w:pPr>
              <w:jc w:val="right"/>
              <w:rPr>
                <w:b/>
                <w:bCs/>
                <w:sz w:val="20"/>
                <w:szCs w:val="20"/>
              </w:rPr>
            </w:pPr>
            <w:r>
              <w:rPr>
                <w:b/>
                <w:sz w:val="20"/>
              </w:rPr>
              <w:t>14 815</w:t>
            </w:r>
          </w:p>
        </w:tc>
        <w:tc>
          <w:tcPr>
            <w:tcW w:w="993" w:type="dxa"/>
            <w:tcBorders>
              <w:top w:val="nil"/>
              <w:left w:val="nil"/>
              <w:bottom w:val="single" w:sz="4" w:space="0" w:color="auto"/>
              <w:right w:val="single" w:sz="4" w:space="0" w:color="auto"/>
            </w:tcBorders>
            <w:shd w:val="clear" w:color="auto" w:fill="auto"/>
            <w:noWrap/>
            <w:hideMark/>
          </w:tcPr>
          <w:p w14:paraId="00AE5BB2" w14:textId="77777777" w:rsidR="006119EF" w:rsidRPr="00440394" w:rsidRDefault="006119EF" w:rsidP="00C654AE">
            <w:pPr>
              <w:jc w:val="right"/>
              <w:rPr>
                <w:b/>
                <w:bCs/>
                <w:sz w:val="20"/>
                <w:szCs w:val="20"/>
              </w:rPr>
            </w:pPr>
            <w:r>
              <w:rPr>
                <w:b/>
                <w:sz w:val="20"/>
              </w:rPr>
              <w:t>46 706</w:t>
            </w:r>
          </w:p>
        </w:tc>
        <w:tc>
          <w:tcPr>
            <w:tcW w:w="991" w:type="dxa"/>
            <w:tcBorders>
              <w:top w:val="nil"/>
              <w:left w:val="nil"/>
              <w:bottom w:val="single" w:sz="4" w:space="0" w:color="auto"/>
              <w:right w:val="single" w:sz="4" w:space="0" w:color="auto"/>
            </w:tcBorders>
            <w:shd w:val="clear" w:color="auto" w:fill="auto"/>
            <w:noWrap/>
            <w:hideMark/>
          </w:tcPr>
          <w:p w14:paraId="3C007DAD" w14:textId="77777777" w:rsidR="006119EF" w:rsidRPr="00440394" w:rsidRDefault="006119EF" w:rsidP="00C654AE">
            <w:pPr>
              <w:jc w:val="right"/>
              <w:rPr>
                <w:b/>
                <w:bCs/>
                <w:sz w:val="20"/>
                <w:szCs w:val="20"/>
              </w:rPr>
            </w:pPr>
            <w:r>
              <w:rPr>
                <w:b/>
                <w:sz w:val="20"/>
              </w:rPr>
              <w:t>54 200</w:t>
            </w:r>
          </w:p>
        </w:tc>
        <w:tc>
          <w:tcPr>
            <w:tcW w:w="1276" w:type="dxa"/>
            <w:tcBorders>
              <w:top w:val="nil"/>
              <w:left w:val="nil"/>
              <w:bottom w:val="single" w:sz="4" w:space="0" w:color="auto"/>
              <w:right w:val="single" w:sz="4" w:space="0" w:color="auto"/>
            </w:tcBorders>
            <w:shd w:val="clear" w:color="auto" w:fill="auto"/>
            <w:noWrap/>
            <w:hideMark/>
          </w:tcPr>
          <w:p w14:paraId="79E230A9" w14:textId="77777777" w:rsidR="006119EF" w:rsidRPr="00440394" w:rsidRDefault="006119EF" w:rsidP="00C654AE">
            <w:pPr>
              <w:jc w:val="right"/>
              <w:rPr>
                <w:b/>
                <w:bCs/>
                <w:sz w:val="20"/>
                <w:szCs w:val="20"/>
              </w:rPr>
            </w:pPr>
            <w:r>
              <w:rPr>
                <w:b/>
                <w:sz w:val="20"/>
              </w:rPr>
              <w:t>115 721</w:t>
            </w:r>
          </w:p>
        </w:tc>
        <w:tc>
          <w:tcPr>
            <w:tcW w:w="1134" w:type="dxa"/>
            <w:tcBorders>
              <w:top w:val="nil"/>
              <w:left w:val="nil"/>
              <w:bottom w:val="single" w:sz="4" w:space="0" w:color="auto"/>
              <w:right w:val="single" w:sz="4" w:space="0" w:color="auto"/>
            </w:tcBorders>
            <w:shd w:val="clear" w:color="auto" w:fill="auto"/>
            <w:noWrap/>
            <w:hideMark/>
          </w:tcPr>
          <w:p w14:paraId="7571AE64" w14:textId="77777777" w:rsidR="006119EF" w:rsidRPr="00440394" w:rsidRDefault="006119EF" w:rsidP="00C654AE">
            <w:pPr>
              <w:jc w:val="right"/>
              <w:rPr>
                <w:b/>
                <w:bCs/>
                <w:sz w:val="20"/>
                <w:szCs w:val="20"/>
              </w:rPr>
            </w:pPr>
            <w:r>
              <w:rPr>
                <w:b/>
                <w:sz w:val="20"/>
              </w:rPr>
              <w:t>28 236</w:t>
            </w:r>
          </w:p>
        </w:tc>
      </w:tr>
      <w:tr w:rsidR="006119EF" w:rsidRPr="00440394" w14:paraId="3FF6CC14" w14:textId="77777777" w:rsidTr="00C654AE">
        <w:trPr>
          <w:trHeight w:val="52"/>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DDF0606" w14:textId="74215CF1" w:rsidR="006119EF" w:rsidRPr="00440394" w:rsidRDefault="006119EF" w:rsidP="00C654AE">
            <w:pPr>
              <w:jc w:val="left"/>
              <w:rPr>
                <w:b/>
                <w:bCs/>
                <w:sz w:val="20"/>
                <w:szCs w:val="20"/>
              </w:rPr>
            </w:pPr>
            <w:proofErr w:type="spellStart"/>
            <w:r>
              <w:rPr>
                <w:b/>
                <w:sz w:val="20"/>
              </w:rPr>
              <w:lastRenderedPageBreak/>
              <w:t>Activités</w:t>
            </w:r>
            <w:proofErr w:type="spellEnd"/>
            <w:r>
              <w:rPr>
                <w:b/>
                <w:sz w:val="20"/>
              </w:rPr>
              <w:t xml:space="preserve"> pour les HFC</w:t>
            </w:r>
          </w:p>
        </w:tc>
      </w:tr>
      <w:tr w:rsidR="006119EF" w:rsidRPr="00440394" w14:paraId="496840A6" w14:textId="77777777" w:rsidTr="006D24F8">
        <w:trPr>
          <w:trHeight w:val="99"/>
        </w:trPr>
        <w:tc>
          <w:tcPr>
            <w:tcW w:w="4253" w:type="dxa"/>
            <w:tcBorders>
              <w:top w:val="nil"/>
              <w:left w:val="single" w:sz="4" w:space="0" w:color="auto"/>
              <w:bottom w:val="single" w:sz="4" w:space="0" w:color="auto"/>
              <w:right w:val="single" w:sz="4" w:space="0" w:color="auto"/>
            </w:tcBorders>
            <w:shd w:val="clear" w:color="auto" w:fill="auto"/>
            <w:noWrap/>
            <w:hideMark/>
          </w:tcPr>
          <w:p w14:paraId="79FFE212" w14:textId="64DD38FC" w:rsidR="006119EF" w:rsidRPr="006119EF" w:rsidRDefault="006119EF" w:rsidP="00C654AE">
            <w:pPr>
              <w:ind w:right="-536"/>
              <w:jc w:val="left"/>
              <w:rPr>
                <w:sz w:val="20"/>
                <w:szCs w:val="20"/>
                <w:lang w:val="fr-FR"/>
              </w:rPr>
            </w:pPr>
            <w:r w:rsidRPr="006119EF">
              <w:rPr>
                <w:sz w:val="20"/>
                <w:lang w:val="fr-FR"/>
              </w:rPr>
              <w:t>Plan de mise en œuvre des HFC d</w:t>
            </w:r>
            <w:r w:rsidR="006D24F8">
              <w:rPr>
                <w:sz w:val="20"/>
                <w:lang w:val="fr-FR"/>
              </w:rPr>
              <w:t>ans le cadre de l’Amendement d</w:t>
            </w:r>
            <w:r w:rsidRPr="006119EF">
              <w:rPr>
                <w:sz w:val="20"/>
                <w:lang w:val="fr-FR"/>
              </w:rPr>
              <w:t>e Kigali</w:t>
            </w:r>
            <w:r w:rsidR="006D24F8">
              <w:rPr>
                <w:sz w:val="20"/>
                <w:lang w:val="fr-FR"/>
              </w:rPr>
              <w:t xml:space="preserve"> </w:t>
            </w:r>
            <w:r w:rsidR="006D24F8" w:rsidRPr="006D24F8">
              <w:rPr>
                <w:sz w:val="20"/>
                <w:szCs w:val="20"/>
                <w:lang w:val="fr-FR" w:eastAsia="en-CA"/>
              </w:rPr>
              <w:t xml:space="preserve">– </w:t>
            </w:r>
            <w:r w:rsidRPr="006119EF">
              <w:rPr>
                <w:sz w:val="20"/>
                <w:lang w:val="fr-FR"/>
              </w:rPr>
              <w:t>PRP</w:t>
            </w:r>
          </w:p>
        </w:tc>
        <w:tc>
          <w:tcPr>
            <w:tcW w:w="709" w:type="dxa"/>
            <w:tcBorders>
              <w:top w:val="nil"/>
              <w:left w:val="nil"/>
              <w:bottom w:val="single" w:sz="4" w:space="0" w:color="auto"/>
              <w:right w:val="single" w:sz="4" w:space="0" w:color="auto"/>
            </w:tcBorders>
            <w:shd w:val="clear" w:color="auto" w:fill="auto"/>
            <w:noWrap/>
            <w:hideMark/>
          </w:tcPr>
          <w:p w14:paraId="6890BF54" w14:textId="77777777" w:rsidR="006119EF" w:rsidRPr="00440394" w:rsidRDefault="006119EF" w:rsidP="00C654AE">
            <w:pPr>
              <w:jc w:val="right"/>
              <w:rPr>
                <w:sz w:val="20"/>
                <w:szCs w:val="20"/>
              </w:rPr>
            </w:pPr>
            <w:r>
              <w:rPr>
                <w:sz w:val="20"/>
              </w:rPr>
              <w:t>938</w:t>
            </w:r>
          </w:p>
        </w:tc>
        <w:tc>
          <w:tcPr>
            <w:tcW w:w="993" w:type="dxa"/>
            <w:tcBorders>
              <w:top w:val="nil"/>
              <w:left w:val="nil"/>
              <w:bottom w:val="single" w:sz="4" w:space="0" w:color="auto"/>
              <w:right w:val="single" w:sz="4" w:space="0" w:color="auto"/>
            </w:tcBorders>
            <w:shd w:val="clear" w:color="auto" w:fill="auto"/>
            <w:noWrap/>
            <w:hideMark/>
          </w:tcPr>
          <w:p w14:paraId="1408DDD9" w14:textId="77777777" w:rsidR="006119EF" w:rsidRPr="00440394" w:rsidRDefault="006119EF" w:rsidP="00C654AE">
            <w:pPr>
              <w:jc w:val="right"/>
              <w:rPr>
                <w:sz w:val="20"/>
                <w:szCs w:val="20"/>
              </w:rPr>
            </w:pPr>
            <w:r>
              <w:rPr>
                <w:sz w:val="20"/>
              </w:rPr>
              <w:t>691</w:t>
            </w:r>
          </w:p>
        </w:tc>
        <w:tc>
          <w:tcPr>
            <w:tcW w:w="991" w:type="dxa"/>
            <w:tcBorders>
              <w:top w:val="nil"/>
              <w:left w:val="nil"/>
              <w:bottom w:val="single" w:sz="4" w:space="0" w:color="auto"/>
              <w:right w:val="single" w:sz="4" w:space="0" w:color="auto"/>
            </w:tcBorders>
            <w:shd w:val="clear" w:color="auto" w:fill="auto"/>
            <w:noWrap/>
            <w:hideMark/>
          </w:tcPr>
          <w:p w14:paraId="333389A0" w14:textId="77777777" w:rsidR="006119EF" w:rsidRPr="00440394" w:rsidRDefault="006119EF" w:rsidP="00C654AE">
            <w:pPr>
              <w:jc w:val="right"/>
              <w:rPr>
                <w:sz w:val="20"/>
                <w:szCs w:val="20"/>
              </w:rPr>
            </w:pPr>
            <w:r>
              <w:rPr>
                <w:sz w:val="20"/>
              </w:rPr>
              <w:t>0</w:t>
            </w:r>
          </w:p>
        </w:tc>
        <w:tc>
          <w:tcPr>
            <w:tcW w:w="1276" w:type="dxa"/>
            <w:tcBorders>
              <w:top w:val="nil"/>
              <w:left w:val="nil"/>
              <w:bottom w:val="single" w:sz="4" w:space="0" w:color="auto"/>
              <w:right w:val="single" w:sz="4" w:space="0" w:color="auto"/>
            </w:tcBorders>
            <w:shd w:val="clear" w:color="auto" w:fill="auto"/>
            <w:noWrap/>
            <w:hideMark/>
          </w:tcPr>
          <w:p w14:paraId="5B339704" w14:textId="77777777" w:rsidR="006119EF" w:rsidRPr="00440394" w:rsidRDefault="006119EF" w:rsidP="00C654AE">
            <w:pPr>
              <w:jc w:val="right"/>
              <w:rPr>
                <w:sz w:val="20"/>
                <w:szCs w:val="20"/>
              </w:rPr>
            </w:pPr>
            <w:r>
              <w:rPr>
                <w:sz w:val="20"/>
              </w:rPr>
              <w:t>1 629</w:t>
            </w:r>
          </w:p>
        </w:tc>
        <w:tc>
          <w:tcPr>
            <w:tcW w:w="1134" w:type="dxa"/>
            <w:tcBorders>
              <w:top w:val="nil"/>
              <w:left w:val="nil"/>
              <w:bottom w:val="single" w:sz="4" w:space="0" w:color="auto"/>
              <w:right w:val="single" w:sz="4" w:space="0" w:color="auto"/>
            </w:tcBorders>
            <w:shd w:val="clear" w:color="auto" w:fill="auto"/>
            <w:noWrap/>
            <w:hideMark/>
          </w:tcPr>
          <w:p w14:paraId="653550C3" w14:textId="77777777" w:rsidR="006119EF" w:rsidRPr="00440394" w:rsidRDefault="006119EF" w:rsidP="00C654AE">
            <w:pPr>
              <w:jc w:val="right"/>
              <w:rPr>
                <w:sz w:val="20"/>
                <w:szCs w:val="20"/>
              </w:rPr>
            </w:pPr>
            <w:r>
              <w:rPr>
                <w:sz w:val="20"/>
              </w:rPr>
              <w:t>0</w:t>
            </w:r>
          </w:p>
        </w:tc>
      </w:tr>
      <w:tr w:rsidR="006119EF" w:rsidRPr="00440394" w14:paraId="7FACE8EB"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3F850B27" w14:textId="15DFFC0F" w:rsidR="006119EF" w:rsidRPr="006D24F8" w:rsidRDefault="006D24F8" w:rsidP="00C654AE">
            <w:pPr>
              <w:jc w:val="left"/>
              <w:rPr>
                <w:sz w:val="20"/>
                <w:szCs w:val="20"/>
                <w:lang w:val="fr-FR"/>
              </w:rPr>
            </w:pPr>
            <w:r w:rsidRPr="006119EF">
              <w:rPr>
                <w:sz w:val="20"/>
                <w:lang w:val="fr-FR"/>
              </w:rPr>
              <w:t>Plan</w:t>
            </w:r>
            <w:r>
              <w:rPr>
                <w:sz w:val="20"/>
                <w:lang w:val="fr-FR"/>
              </w:rPr>
              <w:t>s</w:t>
            </w:r>
            <w:r w:rsidRPr="006119EF">
              <w:rPr>
                <w:sz w:val="20"/>
                <w:lang w:val="fr-FR"/>
              </w:rPr>
              <w:t xml:space="preserve"> de mise en œuvre </w:t>
            </w:r>
            <w:r>
              <w:rPr>
                <w:sz w:val="20"/>
                <w:lang w:val="fr-FR"/>
              </w:rPr>
              <w:t>de l’Amendement d</w:t>
            </w:r>
            <w:r w:rsidRPr="006119EF">
              <w:rPr>
                <w:sz w:val="20"/>
                <w:lang w:val="fr-FR"/>
              </w:rPr>
              <w:t>e Kigali</w:t>
            </w:r>
          </w:p>
        </w:tc>
        <w:tc>
          <w:tcPr>
            <w:tcW w:w="709" w:type="dxa"/>
            <w:tcBorders>
              <w:top w:val="nil"/>
              <w:left w:val="nil"/>
              <w:bottom w:val="single" w:sz="4" w:space="0" w:color="auto"/>
              <w:right w:val="single" w:sz="4" w:space="0" w:color="auto"/>
            </w:tcBorders>
            <w:shd w:val="clear" w:color="auto" w:fill="auto"/>
            <w:noWrap/>
            <w:hideMark/>
          </w:tcPr>
          <w:p w14:paraId="6E09B1C1" w14:textId="77777777" w:rsidR="006119EF" w:rsidRPr="00440394" w:rsidRDefault="006119EF" w:rsidP="00C654AE">
            <w:pPr>
              <w:jc w:val="right"/>
              <w:rPr>
                <w:sz w:val="20"/>
                <w:szCs w:val="20"/>
              </w:rPr>
            </w:pPr>
            <w:r>
              <w:rPr>
                <w:sz w:val="20"/>
              </w:rPr>
              <w:t>0</w:t>
            </w:r>
          </w:p>
        </w:tc>
        <w:tc>
          <w:tcPr>
            <w:tcW w:w="993" w:type="dxa"/>
            <w:tcBorders>
              <w:top w:val="nil"/>
              <w:left w:val="nil"/>
              <w:bottom w:val="single" w:sz="4" w:space="0" w:color="auto"/>
              <w:right w:val="single" w:sz="4" w:space="0" w:color="auto"/>
            </w:tcBorders>
            <w:shd w:val="clear" w:color="auto" w:fill="auto"/>
            <w:noWrap/>
            <w:hideMark/>
          </w:tcPr>
          <w:p w14:paraId="04F52A1C" w14:textId="77777777" w:rsidR="006119EF" w:rsidRPr="00440394" w:rsidRDefault="006119EF" w:rsidP="00C654AE">
            <w:pPr>
              <w:jc w:val="right"/>
              <w:rPr>
                <w:sz w:val="20"/>
                <w:szCs w:val="20"/>
              </w:rPr>
            </w:pPr>
            <w:r>
              <w:rPr>
                <w:sz w:val="20"/>
              </w:rPr>
              <w:t>26 240</w:t>
            </w:r>
          </w:p>
        </w:tc>
        <w:tc>
          <w:tcPr>
            <w:tcW w:w="991" w:type="dxa"/>
            <w:tcBorders>
              <w:top w:val="nil"/>
              <w:left w:val="nil"/>
              <w:bottom w:val="single" w:sz="4" w:space="0" w:color="auto"/>
              <w:right w:val="single" w:sz="4" w:space="0" w:color="auto"/>
            </w:tcBorders>
            <w:shd w:val="clear" w:color="auto" w:fill="auto"/>
            <w:noWrap/>
            <w:hideMark/>
          </w:tcPr>
          <w:p w14:paraId="4C5D245A" w14:textId="77777777" w:rsidR="006119EF" w:rsidRPr="00440394" w:rsidRDefault="006119EF" w:rsidP="00C654AE">
            <w:pPr>
              <w:jc w:val="right"/>
              <w:rPr>
                <w:sz w:val="20"/>
                <w:szCs w:val="20"/>
              </w:rPr>
            </w:pPr>
            <w:r>
              <w:rPr>
                <w:sz w:val="20"/>
              </w:rPr>
              <w:t>0</w:t>
            </w:r>
          </w:p>
        </w:tc>
        <w:tc>
          <w:tcPr>
            <w:tcW w:w="1276" w:type="dxa"/>
            <w:tcBorders>
              <w:top w:val="nil"/>
              <w:left w:val="nil"/>
              <w:bottom w:val="single" w:sz="4" w:space="0" w:color="auto"/>
              <w:right w:val="single" w:sz="4" w:space="0" w:color="auto"/>
            </w:tcBorders>
            <w:shd w:val="clear" w:color="auto" w:fill="auto"/>
            <w:noWrap/>
            <w:hideMark/>
          </w:tcPr>
          <w:p w14:paraId="2C4862AB" w14:textId="77777777" w:rsidR="006119EF" w:rsidRPr="00440394" w:rsidRDefault="006119EF" w:rsidP="00C654AE">
            <w:pPr>
              <w:jc w:val="right"/>
              <w:rPr>
                <w:sz w:val="20"/>
                <w:szCs w:val="20"/>
              </w:rPr>
            </w:pPr>
            <w:r>
              <w:rPr>
                <w:sz w:val="20"/>
              </w:rPr>
              <w:t>26 240</w:t>
            </w:r>
          </w:p>
        </w:tc>
        <w:tc>
          <w:tcPr>
            <w:tcW w:w="1134" w:type="dxa"/>
            <w:tcBorders>
              <w:top w:val="nil"/>
              <w:left w:val="nil"/>
              <w:bottom w:val="single" w:sz="4" w:space="0" w:color="auto"/>
              <w:right w:val="single" w:sz="4" w:space="0" w:color="auto"/>
            </w:tcBorders>
            <w:shd w:val="clear" w:color="auto" w:fill="auto"/>
            <w:noWrap/>
            <w:hideMark/>
          </w:tcPr>
          <w:p w14:paraId="6FFE0905" w14:textId="77777777" w:rsidR="006119EF" w:rsidRPr="00440394" w:rsidRDefault="006119EF" w:rsidP="00C654AE">
            <w:pPr>
              <w:jc w:val="right"/>
              <w:rPr>
                <w:sz w:val="20"/>
                <w:szCs w:val="20"/>
              </w:rPr>
            </w:pPr>
            <w:r>
              <w:rPr>
                <w:sz w:val="20"/>
              </w:rPr>
              <w:t>19 577</w:t>
            </w:r>
          </w:p>
        </w:tc>
      </w:tr>
      <w:tr w:rsidR="006119EF" w:rsidRPr="00440394" w14:paraId="5B9E168F"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277072FD" w14:textId="77777777" w:rsidR="006119EF" w:rsidRPr="006119EF" w:rsidRDefault="006119EF" w:rsidP="00C654AE">
            <w:pPr>
              <w:jc w:val="left"/>
              <w:rPr>
                <w:b/>
                <w:bCs/>
                <w:sz w:val="20"/>
                <w:szCs w:val="20"/>
                <w:lang w:val="fr-FR"/>
              </w:rPr>
            </w:pPr>
            <w:r w:rsidRPr="006119EF">
              <w:rPr>
                <w:b/>
                <w:sz w:val="20"/>
                <w:lang w:val="fr-FR"/>
              </w:rPr>
              <w:t>Sous-total des activités pour les HFC</w:t>
            </w:r>
          </w:p>
        </w:tc>
        <w:tc>
          <w:tcPr>
            <w:tcW w:w="709" w:type="dxa"/>
            <w:tcBorders>
              <w:top w:val="nil"/>
              <w:left w:val="nil"/>
              <w:bottom w:val="single" w:sz="4" w:space="0" w:color="auto"/>
              <w:right w:val="single" w:sz="4" w:space="0" w:color="auto"/>
            </w:tcBorders>
            <w:shd w:val="clear" w:color="auto" w:fill="auto"/>
            <w:noWrap/>
            <w:hideMark/>
          </w:tcPr>
          <w:p w14:paraId="1FF811E1" w14:textId="77777777" w:rsidR="006119EF" w:rsidRPr="00440394" w:rsidRDefault="006119EF" w:rsidP="00C654AE">
            <w:pPr>
              <w:jc w:val="right"/>
              <w:rPr>
                <w:b/>
                <w:bCs/>
                <w:sz w:val="20"/>
                <w:szCs w:val="20"/>
              </w:rPr>
            </w:pPr>
            <w:r>
              <w:rPr>
                <w:b/>
                <w:sz w:val="20"/>
              </w:rPr>
              <w:t>938</w:t>
            </w:r>
          </w:p>
        </w:tc>
        <w:tc>
          <w:tcPr>
            <w:tcW w:w="993" w:type="dxa"/>
            <w:tcBorders>
              <w:top w:val="nil"/>
              <w:left w:val="nil"/>
              <w:bottom w:val="single" w:sz="4" w:space="0" w:color="auto"/>
              <w:right w:val="single" w:sz="4" w:space="0" w:color="auto"/>
            </w:tcBorders>
            <w:shd w:val="clear" w:color="auto" w:fill="auto"/>
            <w:noWrap/>
            <w:hideMark/>
          </w:tcPr>
          <w:p w14:paraId="0AD2A089" w14:textId="77777777" w:rsidR="006119EF" w:rsidRPr="00440394" w:rsidRDefault="006119EF" w:rsidP="00C654AE">
            <w:pPr>
              <w:jc w:val="right"/>
              <w:rPr>
                <w:b/>
                <w:bCs/>
                <w:sz w:val="20"/>
                <w:szCs w:val="20"/>
              </w:rPr>
            </w:pPr>
            <w:r>
              <w:rPr>
                <w:b/>
                <w:sz w:val="20"/>
              </w:rPr>
              <w:t>26 932</w:t>
            </w:r>
          </w:p>
        </w:tc>
        <w:tc>
          <w:tcPr>
            <w:tcW w:w="991" w:type="dxa"/>
            <w:tcBorders>
              <w:top w:val="nil"/>
              <w:left w:val="nil"/>
              <w:bottom w:val="single" w:sz="4" w:space="0" w:color="auto"/>
              <w:right w:val="single" w:sz="4" w:space="0" w:color="auto"/>
            </w:tcBorders>
            <w:shd w:val="clear" w:color="auto" w:fill="auto"/>
            <w:noWrap/>
            <w:hideMark/>
          </w:tcPr>
          <w:p w14:paraId="4D65594C" w14:textId="77777777" w:rsidR="006119EF" w:rsidRPr="00440394" w:rsidRDefault="006119EF" w:rsidP="00C654AE">
            <w:pPr>
              <w:jc w:val="right"/>
              <w:rPr>
                <w:b/>
                <w:bCs/>
                <w:sz w:val="20"/>
                <w:szCs w:val="20"/>
              </w:rPr>
            </w:pPr>
            <w:r>
              <w:rPr>
                <w:b/>
                <w:sz w:val="20"/>
              </w:rPr>
              <w:t>0</w:t>
            </w:r>
          </w:p>
        </w:tc>
        <w:tc>
          <w:tcPr>
            <w:tcW w:w="1276" w:type="dxa"/>
            <w:tcBorders>
              <w:top w:val="nil"/>
              <w:left w:val="nil"/>
              <w:bottom w:val="single" w:sz="4" w:space="0" w:color="auto"/>
              <w:right w:val="single" w:sz="4" w:space="0" w:color="auto"/>
            </w:tcBorders>
            <w:shd w:val="clear" w:color="auto" w:fill="auto"/>
            <w:noWrap/>
            <w:hideMark/>
          </w:tcPr>
          <w:p w14:paraId="441F94EC" w14:textId="77777777" w:rsidR="006119EF" w:rsidRPr="00440394" w:rsidRDefault="006119EF" w:rsidP="00C654AE">
            <w:pPr>
              <w:jc w:val="right"/>
              <w:rPr>
                <w:b/>
                <w:bCs/>
                <w:sz w:val="20"/>
                <w:szCs w:val="20"/>
              </w:rPr>
            </w:pPr>
            <w:r>
              <w:rPr>
                <w:b/>
                <w:sz w:val="20"/>
              </w:rPr>
              <w:t>27 870</w:t>
            </w:r>
          </w:p>
        </w:tc>
        <w:tc>
          <w:tcPr>
            <w:tcW w:w="1134" w:type="dxa"/>
            <w:tcBorders>
              <w:top w:val="nil"/>
              <w:left w:val="nil"/>
              <w:bottom w:val="single" w:sz="4" w:space="0" w:color="auto"/>
              <w:right w:val="single" w:sz="4" w:space="0" w:color="auto"/>
            </w:tcBorders>
            <w:shd w:val="clear" w:color="auto" w:fill="auto"/>
            <w:noWrap/>
            <w:hideMark/>
          </w:tcPr>
          <w:p w14:paraId="0AA0F32F" w14:textId="77777777" w:rsidR="006119EF" w:rsidRPr="00440394" w:rsidRDefault="006119EF" w:rsidP="00C654AE">
            <w:pPr>
              <w:jc w:val="right"/>
              <w:rPr>
                <w:b/>
                <w:bCs/>
                <w:sz w:val="20"/>
                <w:szCs w:val="20"/>
              </w:rPr>
            </w:pPr>
            <w:r>
              <w:rPr>
                <w:b/>
                <w:sz w:val="20"/>
              </w:rPr>
              <w:t>19 577</w:t>
            </w:r>
          </w:p>
        </w:tc>
      </w:tr>
      <w:tr w:rsidR="006119EF" w:rsidRPr="00440394" w14:paraId="1CA2E6C4" w14:textId="77777777" w:rsidTr="00C654AE">
        <w:trPr>
          <w:trHeight w:val="50"/>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AD44689" w14:textId="77777777" w:rsidR="006119EF" w:rsidRPr="00440394" w:rsidRDefault="006119EF" w:rsidP="00C654AE">
            <w:pPr>
              <w:jc w:val="left"/>
              <w:rPr>
                <w:b/>
                <w:bCs/>
                <w:sz w:val="20"/>
                <w:szCs w:val="20"/>
              </w:rPr>
            </w:pPr>
            <w:r>
              <w:rPr>
                <w:b/>
                <w:sz w:val="20"/>
              </w:rPr>
              <w:t>Activités standard</w:t>
            </w:r>
          </w:p>
        </w:tc>
      </w:tr>
      <w:tr w:rsidR="006119EF" w:rsidRPr="00440394" w14:paraId="576FF99C" w14:textId="77777777" w:rsidTr="006D24F8">
        <w:trPr>
          <w:trHeight w:val="264"/>
        </w:trPr>
        <w:tc>
          <w:tcPr>
            <w:tcW w:w="4253" w:type="dxa"/>
            <w:tcBorders>
              <w:top w:val="nil"/>
              <w:left w:val="single" w:sz="4" w:space="0" w:color="auto"/>
              <w:bottom w:val="single" w:sz="4" w:space="0" w:color="auto"/>
              <w:right w:val="single" w:sz="4" w:space="0" w:color="auto"/>
            </w:tcBorders>
            <w:shd w:val="clear" w:color="auto" w:fill="auto"/>
            <w:noWrap/>
            <w:hideMark/>
          </w:tcPr>
          <w:p w14:paraId="307B9D62" w14:textId="77777777" w:rsidR="006119EF" w:rsidRPr="00440394" w:rsidRDefault="006119EF" w:rsidP="00C654AE">
            <w:pPr>
              <w:jc w:val="left"/>
              <w:rPr>
                <w:sz w:val="20"/>
                <w:szCs w:val="20"/>
              </w:rPr>
            </w:pPr>
            <w:r>
              <w:rPr>
                <w:sz w:val="20"/>
              </w:rPr>
              <w:t>Renforcement institutionnel (RI)</w:t>
            </w:r>
          </w:p>
        </w:tc>
        <w:tc>
          <w:tcPr>
            <w:tcW w:w="709" w:type="dxa"/>
            <w:tcBorders>
              <w:top w:val="nil"/>
              <w:left w:val="nil"/>
              <w:bottom w:val="single" w:sz="4" w:space="0" w:color="auto"/>
              <w:right w:val="single" w:sz="4" w:space="0" w:color="auto"/>
            </w:tcBorders>
            <w:shd w:val="clear" w:color="auto" w:fill="auto"/>
            <w:noWrap/>
            <w:hideMark/>
          </w:tcPr>
          <w:p w14:paraId="11518A94" w14:textId="77777777" w:rsidR="006119EF" w:rsidRPr="00440394" w:rsidRDefault="006119EF" w:rsidP="00C654AE">
            <w:pPr>
              <w:jc w:val="right"/>
              <w:rPr>
                <w:sz w:val="20"/>
                <w:szCs w:val="20"/>
              </w:rPr>
            </w:pPr>
            <w:r>
              <w:rPr>
                <w:sz w:val="20"/>
              </w:rPr>
              <w:t>2 069</w:t>
            </w:r>
          </w:p>
        </w:tc>
        <w:tc>
          <w:tcPr>
            <w:tcW w:w="993" w:type="dxa"/>
            <w:tcBorders>
              <w:top w:val="nil"/>
              <w:left w:val="nil"/>
              <w:bottom w:val="single" w:sz="4" w:space="0" w:color="auto"/>
              <w:right w:val="single" w:sz="4" w:space="0" w:color="auto"/>
            </w:tcBorders>
            <w:shd w:val="clear" w:color="auto" w:fill="auto"/>
            <w:noWrap/>
            <w:hideMark/>
          </w:tcPr>
          <w:p w14:paraId="003DF84E" w14:textId="77777777" w:rsidR="006119EF" w:rsidRPr="00440394" w:rsidRDefault="006119EF" w:rsidP="00C654AE">
            <w:pPr>
              <w:jc w:val="right"/>
              <w:rPr>
                <w:sz w:val="20"/>
                <w:szCs w:val="20"/>
              </w:rPr>
            </w:pPr>
            <w:r>
              <w:rPr>
                <w:sz w:val="20"/>
              </w:rPr>
              <w:t>4 317</w:t>
            </w:r>
          </w:p>
        </w:tc>
        <w:tc>
          <w:tcPr>
            <w:tcW w:w="991" w:type="dxa"/>
            <w:tcBorders>
              <w:top w:val="nil"/>
              <w:left w:val="nil"/>
              <w:bottom w:val="single" w:sz="4" w:space="0" w:color="auto"/>
              <w:right w:val="single" w:sz="4" w:space="0" w:color="auto"/>
            </w:tcBorders>
            <w:shd w:val="clear" w:color="auto" w:fill="auto"/>
            <w:noWrap/>
            <w:hideMark/>
          </w:tcPr>
          <w:p w14:paraId="646B8613" w14:textId="77777777" w:rsidR="006119EF" w:rsidRPr="00440394" w:rsidRDefault="006119EF" w:rsidP="00C654AE">
            <w:pPr>
              <w:jc w:val="right"/>
              <w:rPr>
                <w:sz w:val="20"/>
                <w:szCs w:val="20"/>
              </w:rPr>
            </w:pPr>
            <w:r>
              <w:rPr>
                <w:sz w:val="20"/>
              </w:rPr>
              <w:t>2 069</w:t>
            </w:r>
          </w:p>
        </w:tc>
        <w:tc>
          <w:tcPr>
            <w:tcW w:w="1276" w:type="dxa"/>
            <w:tcBorders>
              <w:top w:val="nil"/>
              <w:left w:val="nil"/>
              <w:bottom w:val="single" w:sz="4" w:space="0" w:color="auto"/>
              <w:right w:val="single" w:sz="4" w:space="0" w:color="auto"/>
            </w:tcBorders>
            <w:shd w:val="clear" w:color="auto" w:fill="auto"/>
            <w:noWrap/>
            <w:hideMark/>
          </w:tcPr>
          <w:p w14:paraId="0C037A86" w14:textId="77777777" w:rsidR="006119EF" w:rsidRPr="00440394" w:rsidRDefault="006119EF" w:rsidP="00C654AE">
            <w:pPr>
              <w:jc w:val="right"/>
              <w:rPr>
                <w:sz w:val="20"/>
                <w:szCs w:val="20"/>
              </w:rPr>
            </w:pPr>
            <w:r>
              <w:rPr>
                <w:sz w:val="20"/>
              </w:rPr>
              <w:t>8 456</w:t>
            </w:r>
          </w:p>
        </w:tc>
        <w:tc>
          <w:tcPr>
            <w:tcW w:w="1134" w:type="dxa"/>
            <w:tcBorders>
              <w:top w:val="nil"/>
              <w:left w:val="nil"/>
              <w:bottom w:val="single" w:sz="4" w:space="0" w:color="auto"/>
              <w:right w:val="single" w:sz="4" w:space="0" w:color="auto"/>
            </w:tcBorders>
            <w:shd w:val="clear" w:color="auto" w:fill="auto"/>
            <w:noWrap/>
            <w:hideMark/>
          </w:tcPr>
          <w:p w14:paraId="7C800C97" w14:textId="77777777" w:rsidR="006119EF" w:rsidRPr="00440394" w:rsidRDefault="006119EF" w:rsidP="00C654AE">
            <w:pPr>
              <w:jc w:val="right"/>
              <w:rPr>
                <w:sz w:val="20"/>
                <w:szCs w:val="20"/>
              </w:rPr>
            </w:pPr>
            <w:r>
              <w:rPr>
                <w:sz w:val="20"/>
              </w:rPr>
              <w:t>0</w:t>
            </w:r>
          </w:p>
        </w:tc>
      </w:tr>
      <w:tr w:rsidR="006119EF" w:rsidRPr="00440394" w14:paraId="054D4E47"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7DC7C024" w14:textId="77777777" w:rsidR="006119EF" w:rsidRPr="00440394" w:rsidRDefault="006119EF" w:rsidP="00C654AE">
            <w:pPr>
              <w:jc w:val="left"/>
              <w:rPr>
                <w:sz w:val="20"/>
                <w:szCs w:val="20"/>
              </w:rPr>
            </w:pPr>
            <w:r>
              <w:rPr>
                <w:sz w:val="20"/>
              </w:rPr>
              <w:t>Unité centrale</w:t>
            </w:r>
          </w:p>
        </w:tc>
        <w:tc>
          <w:tcPr>
            <w:tcW w:w="709" w:type="dxa"/>
            <w:tcBorders>
              <w:top w:val="nil"/>
              <w:left w:val="nil"/>
              <w:bottom w:val="single" w:sz="4" w:space="0" w:color="auto"/>
              <w:right w:val="single" w:sz="4" w:space="0" w:color="auto"/>
            </w:tcBorders>
            <w:shd w:val="clear" w:color="auto" w:fill="auto"/>
            <w:noWrap/>
            <w:hideMark/>
          </w:tcPr>
          <w:p w14:paraId="7323298C" w14:textId="77777777" w:rsidR="006119EF" w:rsidRPr="00440394" w:rsidRDefault="006119EF" w:rsidP="00C654AE">
            <w:pPr>
              <w:jc w:val="right"/>
              <w:rPr>
                <w:sz w:val="20"/>
                <w:szCs w:val="20"/>
              </w:rPr>
            </w:pPr>
            <w:r>
              <w:rPr>
                <w:sz w:val="20"/>
              </w:rPr>
              <w:t>2 143</w:t>
            </w:r>
          </w:p>
        </w:tc>
        <w:tc>
          <w:tcPr>
            <w:tcW w:w="993" w:type="dxa"/>
            <w:tcBorders>
              <w:top w:val="nil"/>
              <w:left w:val="nil"/>
              <w:bottom w:val="single" w:sz="4" w:space="0" w:color="auto"/>
              <w:right w:val="single" w:sz="4" w:space="0" w:color="auto"/>
            </w:tcBorders>
            <w:shd w:val="clear" w:color="auto" w:fill="auto"/>
            <w:noWrap/>
            <w:hideMark/>
          </w:tcPr>
          <w:p w14:paraId="26FDE575" w14:textId="77777777" w:rsidR="006119EF" w:rsidRPr="00440394" w:rsidRDefault="006119EF" w:rsidP="00C654AE">
            <w:pPr>
              <w:jc w:val="right"/>
              <w:rPr>
                <w:sz w:val="20"/>
                <w:szCs w:val="20"/>
              </w:rPr>
            </w:pPr>
            <w:r>
              <w:rPr>
                <w:sz w:val="20"/>
              </w:rPr>
              <w:t>2 158</w:t>
            </w:r>
          </w:p>
        </w:tc>
        <w:tc>
          <w:tcPr>
            <w:tcW w:w="991" w:type="dxa"/>
            <w:tcBorders>
              <w:top w:val="nil"/>
              <w:left w:val="nil"/>
              <w:bottom w:val="single" w:sz="4" w:space="0" w:color="auto"/>
              <w:right w:val="single" w:sz="4" w:space="0" w:color="auto"/>
            </w:tcBorders>
            <w:shd w:val="clear" w:color="auto" w:fill="auto"/>
            <w:noWrap/>
            <w:hideMark/>
          </w:tcPr>
          <w:p w14:paraId="75588E3F" w14:textId="77777777" w:rsidR="006119EF" w:rsidRPr="00440394" w:rsidRDefault="006119EF" w:rsidP="00C654AE">
            <w:pPr>
              <w:jc w:val="right"/>
              <w:rPr>
                <w:sz w:val="20"/>
                <w:szCs w:val="20"/>
              </w:rPr>
            </w:pPr>
            <w:r>
              <w:rPr>
                <w:sz w:val="20"/>
              </w:rPr>
              <w:t>2 173</w:t>
            </w:r>
          </w:p>
        </w:tc>
        <w:tc>
          <w:tcPr>
            <w:tcW w:w="1276" w:type="dxa"/>
            <w:tcBorders>
              <w:top w:val="nil"/>
              <w:left w:val="nil"/>
              <w:bottom w:val="single" w:sz="4" w:space="0" w:color="auto"/>
              <w:right w:val="single" w:sz="4" w:space="0" w:color="auto"/>
            </w:tcBorders>
            <w:shd w:val="clear" w:color="auto" w:fill="auto"/>
            <w:noWrap/>
            <w:hideMark/>
          </w:tcPr>
          <w:p w14:paraId="6155F16F" w14:textId="77777777" w:rsidR="006119EF" w:rsidRPr="00440394" w:rsidRDefault="006119EF" w:rsidP="00C654AE">
            <w:pPr>
              <w:jc w:val="right"/>
              <w:rPr>
                <w:sz w:val="20"/>
                <w:szCs w:val="20"/>
              </w:rPr>
            </w:pPr>
            <w:r>
              <w:rPr>
                <w:sz w:val="20"/>
              </w:rPr>
              <w:t>6 474</w:t>
            </w:r>
          </w:p>
        </w:tc>
        <w:tc>
          <w:tcPr>
            <w:tcW w:w="1134" w:type="dxa"/>
            <w:tcBorders>
              <w:top w:val="nil"/>
              <w:left w:val="nil"/>
              <w:bottom w:val="single" w:sz="4" w:space="0" w:color="auto"/>
              <w:right w:val="single" w:sz="4" w:space="0" w:color="auto"/>
            </w:tcBorders>
            <w:shd w:val="clear" w:color="auto" w:fill="auto"/>
            <w:noWrap/>
            <w:hideMark/>
          </w:tcPr>
          <w:p w14:paraId="391C148E" w14:textId="77777777" w:rsidR="006119EF" w:rsidRPr="00440394" w:rsidRDefault="006119EF" w:rsidP="00C654AE">
            <w:pPr>
              <w:jc w:val="right"/>
              <w:rPr>
                <w:sz w:val="20"/>
                <w:szCs w:val="20"/>
              </w:rPr>
            </w:pPr>
            <w:r>
              <w:rPr>
                <w:sz w:val="20"/>
              </w:rPr>
              <w:t>0</w:t>
            </w:r>
          </w:p>
        </w:tc>
      </w:tr>
      <w:tr w:rsidR="006119EF" w:rsidRPr="00440394" w14:paraId="31AE975C"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01C0A03C" w14:textId="77777777" w:rsidR="006119EF" w:rsidRPr="006119EF" w:rsidRDefault="006119EF" w:rsidP="00C654AE">
            <w:pPr>
              <w:jc w:val="left"/>
              <w:rPr>
                <w:b/>
                <w:bCs/>
                <w:sz w:val="20"/>
                <w:szCs w:val="20"/>
                <w:lang w:val="fr-FR"/>
              </w:rPr>
            </w:pPr>
            <w:r w:rsidRPr="006119EF">
              <w:rPr>
                <w:b/>
                <w:sz w:val="20"/>
                <w:lang w:val="fr-FR"/>
              </w:rPr>
              <w:t>Sous-total des activités standard</w:t>
            </w:r>
          </w:p>
        </w:tc>
        <w:tc>
          <w:tcPr>
            <w:tcW w:w="709" w:type="dxa"/>
            <w:tcBorders>
              <w:top w:val="nil"/>
              <w:left w:val="nil"/>
              <w:bottom w:val="single" w:sz="4" w:space="0" w:color="auto"/>
              <w:right w:val="single" w:sz="4" w:space="0" w:color="auto"/>
            </w:tcBorders>
            <w:shd w:val="clear" w:color="auto" w:fill="auto"/>
            <w:noWrap/>
            <w:hideMark/>
          </w:tcPr>
          <w:p w14:paraId="55CFD83D" w14:textId="77777777" w:rsidR="006119EF" w:rsidRPr="00440394" w:rsidRDefault="006119EF" w:rsidP="00C654AE">
            <w:pPr>
              <w:jc w:val="right"/>
              <w:rPr>
                <w:b/>
                <w:bCs/>
                <w:sz w:val="20"/>
                <w:szCs w:val="20"/>
              </w:rPr>
            </w:pPr>
            <w:r>
              <w:rPr>
                <w:b/>
                <w:sz w:val="20"/>
              </w:rPr>
              <w:t>4 212</w:t>
            </w:r>
          </w:p>
        </w:tc>
        <w:tc>
          <w:tcPr>
            <w:tcW w:w="993" w:type="dxa"/>
            <w:tcBorders>
              <w:top w:val="nil"/>
              <w:left w:val="nil"/>
              <w:bottom w:val="single" w:sz="4" w:space="0" w:color="auto"/>
              <w:right w:val="single" w:sz="4" w:space="0" w:color="auto"/>
            </w:tcBorders>
            <w:shd w:val="clear" w:color="auto" w:fill="auto"/>
            <w:noWrap/>
            <w:hideMark/>
          </w:tcPr>
          <w:p w14:paraId="21A79014" w14:textId="77777777" w:rsidR="006119EF" w:rsidRPr="00440394" w:rsidRDefault="006119EF" w:rsidP="00C654AE">
            <w:pPr>
              <w:jc w:val="right"/>
              <w:rPr>
                <w:b/>
                <w:bCs/>
                <w:sz w:val="20"/>
                <w:szCs w:val="20"/>
              </w:rPr>
            </w:pPr>
            <w:r>
              <w:rPr>
                <w:b/>
                <w:sz w:val="20"/>
              </w:rPr>
              <w:t>6 475</w:t>
            </w:r>
          </w:p>
        </w:tc>
        <w:tc>
          <w:tcPr>
            <w:tcW w:w="991" w:type="dxa"/>
            <w:tcBorders>
              <w:top w:val="nil"/>
              <w:left w:val="nil"/>
              <w:bottom w:val="single" w:sz="4" w:space="0" w:color="auto"/>
              <w:right w:val="single" w:sz="4" w:space="0" w:color="auto"/>
            </w:tcBorders>
            <w:shd w:val="clear" w:color="auto" w:fill="auto"/>
            <w:noWrap/>
            <w:hideMark/>
          </w:tcPr>
          <w:p w14:paraId="344F19AC" w14:textId="77777777" w:rsidR="006119EF" w:rsidRPr="00440394" w:rsidRDefault="006119EF" w:rsidP="00C654AE">
            <w:pPr>
              <w:jc w:val="right"/>
              <w:rPr>
                <w:b/>
                <w:bCs/>
                <w:sz w:val="20"/>
                <w:szCs w:val="20"/>
              </w:rPr>
            </w:pPr>
            <w:r>
              <w:rPr>
                <w:b/>
                <w:sz w:val="20"/>
              </w:rPr>
              <w:t>4 242</w:t>
            </w:r>
          </w:p>
        </w:tc>
        <w:tc>
          <w:tcPr>
            <w:tcW w:w="1276" w:type="dxa"/>
            <w:tcBorders>
              <w:top w:val="nil"/>
              <w:left w:val="nil"/>
              <w:bottom w:val="single" w:sz="4" w:space="0" w:color="auto"/>
              <w:right w:val="single" w:sz="4" w:space="0" w:color="auto"/>
            </w:tcBorders>
            <w:shd w:val="clear" w:color="auto" w:fill="auto"/>
            <w:noWrap/>
            <w:hideMark/>
          </w:tcPr>
          <w:p w14:paraId="59989D1F" w14:textId="77777777" w:rsidR="006119EF" w:rsidRPr="00440394" w:rsidRDefault="006119EF" w:rsidP="00C654AE">
            <w:pPr>
              <w:jc w:val="right"/>
              <w:rPr>
                <w:b/>
                <w:bCs/>
                <w:sz w:val="20"/>
                <w:szCs w:val="20"/>
              </w:rPr>
            </w:pPr>
            <w:r>
              <w:rPr>
                <w:b/>
                <w:sz w:val="20"/>
              </w:rPr>
              <w:t>14 930</w:t>
            </w:r>
          </w:p>
        </w:tc>
        <w:tc>
          <w:tcPr>
            <w:tcW w:w="1134" w:type="dxa"/>
            <w:tcBorders>
              <w:top w:val="nil"/>
              <w:left w:val="nil"/>
              <w:bottom w:val="single" w:sz="4" w:space="0" w:color="auto"/>
              <w:right w:val="single" w:sz="4" w:space="0" w:color="auto"/>
            </w:tcBorders>
            <w:shd w:val="clear" w:color="auto" w:fill="auto"/>
            <w:noWrap/>
            <w:hideMark/>
          </w:tcPr>
          <w:p w14:paraId="4ED08C99" w14:textId="77777777" w:rsidR="006119EF" w:rsidRPr="00440394" w:rsidRDefault="006119EF" w:rsidP="00C654AE">
            <w:pPr>
              <w:jc w:val="right"/>
              <w:rPr>
                <w:b/>
                <w:bCs/>
                <w:sz w:val="20"/>
                <w:szCs w:val="20"/>
              </w:rPr>
            </w:pPr>
            <w:r>
              <w:rPr>
                <w:b/>
                <w:sz w:val="20"/>
              </w:rPr>
              <w:t>0</w:t>
            </w:r>
          </w:p>
        </w:tc>
      </w:tr>
      <w:tr w:rsidR="006119EF" w:rsidRPr="00440394" w14:paraId="1068E2BE" w14:textId="77777777" w:rsidTr="006D24F8">
        <w:trPr>
          <w:trHeight w:val="50"/>
        </w:trPr>
        <w:tc>
          <w:tcPr>
            <w:tcW w:w="4253" w:type="dxa"/>
            <w:tcBorders>
              <w:top w:val="nil"/>
              <w:left w:val="single" w:sz="4" w:space="0" w:color="auto"/>
              <w:bottom w:val="single" w:sz="4" w:space="0" w:color="auto"/>
              <w:right w:val="single" w:sz="4" w:space="0" w:color="auto"/>
            </w:tcBorders>
            <w:shd w:val="clear" w:color="auto" w:fill="auto"/>
            <w:noWrap/>
            <w:hideMark/>
          </w:tcPr>
          <w:p w14:paraId="11F16CBB" w14:textId="77777777" w:rsidR="006119EF" w:rsidRPr="00440394" w:rsidRDefault="006119EF" w:rsidP="00C654AE">
            <w:pPr>
              <w:jc w:val="left"/>
              <w:rPr>
                <w:b/>
                <w:bCs/>
                <w:sz w:val="20"/>
                <w:szCs w:val="20"/>
              </w:rPr>
            </w:pPr>
            <w:r>
              <w:rPr>
                <w:b/>
                <w:sz w:val="20"/>
              </w:rPr>
              <w:t>Total</w:t>
            </w:r>
          </w:p>
        </w:tc>
        <w:tc>
          <w:tcPr>
            <w:tcW w:w="709" w:type="dxa"/>
            <w:tcBorders>
              <w:top w:val="nil"/>
              <w:left w:val="nil"/>
              <w:bottom w:val="single" w:sz="4" w:space="0" w:color="auto"/>
              <w:right w:val="single" w:sz="4" w:space="0" w:color="auto"/>
            </w:tcBorders>
            <w:shd w:val="clear" w:color="auto" w:fill="auto"/>
            <w:noWrap/>
            <w:hideMark/>
          </w:tcPr>
          <w:p w14:paraId="75E50045" w14:textId="77777777" w:rsidR="006119EF" w:rsidRPr="00440394" w:rsidRDefault="006119EF" w:rsidP="00C654AE">
            <w:pPr>
              <w:jc w:val="right"/>
              <w:rPr>
                <w:b/>
                <w:bCs/>
                <w:sz w:val="20"/>
                <w:szCs w:val="20"/>
              </w:rPr>
            </w:pPr>
            <w:r>
              <w:rPr>
                <w:b/>
                <w:sz w:val="20"/>
              </w:rPr>
              <w:t>19 966</w:t>
            </w:r>
          </w:p>
        </w:tc>
        <w:tc>
          <w:tcPr>
            <w:tcW w:w="993" w:type="dxa"/>
            <w:tcBorders>
              <w:top w:val="nil"/>
              <w:left w:val="nil"/>
              <w:bottom w:val="single" w:sz="4" w:space="0" w:color="auto"/>
              <w:right w:val="single" w:sz="4" w:space="0" w:color="auto"/>
            </w:tcBorders>
            <w:shd w:val="clear" w:color="auto" w:fill="auto"/>
            <w:noWrap/>
            <w:hideMark/>
          </w:tcPr>
          <w:p w14:paraId="6D485C10" w14:textId="77777777" w:rsidR="006119EF" w:rsidRPr="00440394" w:rsidRDefault="006119EF" w:rsidP="00C654AE">
            <w:pPr>
              <w:jc w:val="right"/>
              <w:rPr>
                <w:b/>
                <w:bCs/>
                <w:sz w:val="20"/>
                <w:szCs w:val="20"/>
              </w:rPr>
            </w:pPr>
            <w:r>
              <w:rPr>
                <w:b/>
                <w:sz w:val="20"/>
              </w:rPr>
              <w:t>80 112</w:t>
            </w:r>
          </w:p>
        </w:tc>
        <w:tc>
          <w:tcPr>
            <w:tcW w:w="991" w:type="dxa"/>
            <w:tcBorders>
              <w:top w:val="nil"/>
              <w:left w:val="nil"/>
              <w:bottom w:val="single" w:sz="4" w:space="0" w:color="auto"/>
              <w:right w:val="single" w:sz="4" w:space="0" w:color="auto"/>
            </w:tcBorders>
            <w:shd w:val="clear" w:color="auto" w:fill="auto"/>
            <w:noWrap/>
            <w:hideMark/>
          </w:tcPr>
          <w:p w14:paraId="0C00BB8A" w14:textId="77777777" w:rsidR="006119EF" w:rsidRPr="00440394" w:rsidRDefault="006119EF" w:rsidP="00C654AE">
            <w:pPr>
              <w:jc w:val="right"/>
              <w:rPr>
                <w:b/>
                <w:bCs/>
                <w:sz w:val="20"/>
                <w:szCs w:val="20"/>
              </w:rPr>
            </w:pPr>
            <w:r>
              <w:rPr>
                <w:b/>
                <w:sz w:val="20"/>
              </w:rPr>
              <w:t>58 442</w:t>
            </w:r>
          </w:p>
        </w:tc>
        <w:tc>
          <w:tcPr>
            <w:tcW w:w="1276" w:type="dxa"/>
            <w:tcBorders>
              <w:top w:val="nil"/>
              <w:left w:val="nil"/>
              <w:bottom w:val="single" w:sz="4" w:space="0" w:color="auto"/>
              <w:right w:val="single" w:sz="4" w:space="0" w:color="auto"/>
            </w:tcBorders>
            <w:shd w:val="clear" w:color="auto" w:fill="auto"/>
            <w:noWrap/>
            <w:hideMark/>
          </w:tcPr>
          <w:p w14:paraId="13275C00" w14:textId="77777777" w:rsidR="006119EF" w:rsidRPr="00440394" w:rsidRDefault="006119EF" w:rsidP="00C654AE">
            <w:pPr>
              <w:jc w:val="right"/>
              <w:rPr>
                <w:b/>
                <w:bCs/>
                <w:sz w:val="20"/>
                <w:szCs w:val="20"/>
              </w:rPr>
            </w:pPr>
            <w:r>
              <w:rPr>
                <w:b/>
                <w:sz w:val="20"/>
              </w:rPr>
              <w:t>158 520</w:t>
            </w:r>
          </w:p>
        </w:tc>
        <w:tc>
          <w:tcPr>
            <w:tcW w:w="1134" w:type="dxa"/>
            <w:tcBorders>
              <w:top w:val="nil"/>
              <w:left w:val="nil"/>
              <w:bottom w:val="single" w:sz="4" w:space="0" w:color="auto"/>
              <w:right w:val="single" w:sz="4" w:space="0" w:color="auto"/>
            </w:tcBorders>
            <w:shd w:val="clear" w:color="auto" w:fill="auto"/>
            <w:noWrap/>
            <w:hideMark/>
          </w:tcPr>
          <w:p w14:paraId="68012EAF" w14:textId="77777777" w:rsidR="006119EF" w:rsidRPr="00440394" w:rsidRDefault="006119EF" w:rsidP="00C654AE">
            <w:pPr>
              <w:jc w:val="right"/>
              <w:rPr>
                <w:b/>
                <w:bCs/>
                <w:sz w:val="20"/>
                <w:szCs w:val="20"/>
              </w:rPr>
            </w:pPr>
            <w:r>
              <w:rPr>
                <w:b/>
                <w:sz w:val="20"/>
              </w:rPr>
              <w:t>47 813</w:t>
            </w:r>
          </w:p>
        </w:tc>
      </w:tr>
    </w:tbl>
    <w:p w14:paraId="22CF4D78" w14:textId="77777777" w:rsidR="006119EF" w:rsidRPr="006119EF" w:rsidRDefault="006119EF" w:rsidP="006119EF">
      <w:pPr>
        <w:rPr>
          <w:sz w:val="20"/>
          <w:szCs w:val="20"/>
          <w:lang w:val="fr-FR"/>
        </w:rPr>
      </w:pPr>
      <w:r w:rsidRPr="006119EF">
        <w:rPr>
          <w:sz w:val="20"/>
          <w:lang w:val="fr-FR"/>
        </w:rPr>
        <w:t xml:space="preserve">* Y compris les coûts d’appui d’agence, lorsqu’ils s’appliquent. </w:t>
      </w:r>
    </w:p>
    <w:p w14:paraId="05DBC226" w14:textId="77777777" w:rsidR="006119EF" w:rsidRPr="00AC250D" w:rsidRDefault="006119EF" w:rsidP="006119EF">
      <w:pPr>
        <w:rPr>
          <w:lang w:val="fr-FR"/>
        </w:rPr>
      </w:pPr>
    </w:p>
    <w:p w14:paraId="5AB3DF34" w14:textId="77777777" w:rsidR="006119EF" w:rsidRPr="006119EF" w:rsidRDefault="006119EF" w:rsidP="006119EF">
      <w:pPr>
        <w:pStyle w:val="Heading1"/>
        <w:keepNext/>
        <w:numPr>
          <w:ilvl w:val="0"/>
          <w:numId w:val="0"/>
        </w:numPr>
        <w:rPr>
          <w:b/>
          <w:lang w:val="fr-FR"/>
        </w:rPr>
      </w:pPr>
      <w:r w:rsidRPr="006119EF">
        <w:rPr>
          <w:b/>
          <w:lang w:val="fr-FR"/>
        </w:rPr>
        <w:t xml:space="preserve">Observations du Secrétariat </w:t>
      </w:r>
    </w:p>
    <w:p w14:paraId="4186BEF5" w14:textId="77777777" w:rsidR="006119EF" w:rsidRPr="006119EF" w:rsidRDefault="006119EF" w:rsidP="006119EF">
      <w:pPr>
        <w:pStyle w:val="Heading1"/>
        <w:numPr>
          <w:ilvl w:val="0"/>
          <w:numId w:val="0"/>
        </w:numPr>
        <w:rPr>
          <w:u w:val="single"/>
          <w:lang w:val="fr-FR"/>
        </w:rPr>
      </w:pPr>
      <w:r w:rsidRPr="006119EF">
        <w:rPr>
          <w:u w:val="single"/>
          <w:lang w:val="fr-FR"/>
        </w:rPr>
        <w:t>Phase II des PGEH</w:t>
      </w:r>
    </w:p>
    <w:p w14:paraId="69589A83" w14:textId="60517F49" w:rsidR="006119EF" w:rsidRPr="006119EF" w:rsidRDefault="006119EF" w:rsidP="006119EF">
      <w:pPr>
        <w:pStyle w:val="Heading1"/>
        <w:rPr>
          <w:lang w:val="fr-FR"/>
        </w:rPr>
      </w:pPr>
      <w:r w:rsidRPr="006119EF">
        <w:rPr>
          <w:lang w:val="fr-FR"/>
        </w:rPr>
        <w:t>Le montant total du financement de la phase II des PGEH qui permettra aux pays à faible volume de consommation (PFV) de parvenir à une réduction de 67,5 % par rapport à leur consommation de référence s’élève à 171 461 $US (dont 84 261 $US pour 2022-2024) et 1,41 million $US (dont</w:t>
      </w:r>
      <w:r w:rsidR="00D261BF">
        <w:rPr>
          <w:lang w:val="fr-FR"/>
        </w:rPr>
        <w:t> </w:t>
      </w:r>
      <w:r w:rsidRPr="006119EF">
        <w:rPr>
          <w:lang w:val="fr-FR"/>
        </w:rPr>
        <w:t xml:space="preserve">462 557 $US pour la période 2022-2024) pour parvenir à une réduction de 100 %. </w:t>
      </w:r>
    </w:p>
    <w:p w14:paraId="072C87CF" w14:textId="77777777" w:rsidR="006119EF" w:rsidRPr="00440394" w:rsidRDefault="006119EF" w:rsidP="006119EF">
      <w:pPr>
        <w:pStyle w:val="Heading1"/>
        <w:numPr>
          <w:ilvl w:val="0"/>
          <w:numId w:val="0"/>
        </w:numPr>
        <w:rPr>
          <w:u w:val="single"/>
        </w:rPr>
      </w:pPr>
      <w:r>
        <w:rPr>
          <w:u w:val="single"/>
        </w:rPr>
        <w:t xml:space="preserve">Phase III des PGEH </w:t>
      </w:r>
    </w:p>
    <w:p w14:paraId="5262B91C" w14:textId="77777777" w:rsidR="006119EF" w:rsidRPr="006119EF" w:rsidRDefault="006119EF" w:rsidP="006119EF">
      <w:pPr>
        <w:pStyle w:val="Heading1"/>
        <w:rPr>
          <w:lang w:val="fr-FR"/>
        </w:rPr>
      </w:pPr>
      <w:r w:rsidRPr="006119EF">
        <w:rPr>
          <w:lang w:val="fr-FR"/>
        </w:rPr>
        <w:t>Un total de 91,55 millions de dollars US est inclus dans le plan d’activité de la phase III des PGEH de 10 pays (Brésil, Colombie, Inde, Indonésie, République islamique d’Iran, Liban, Malaisie, Mexique, Nigeria et République de Moldavie) (dont 86,94 millions $US pour 2022-2024).</w:t>
      </w:r>
      <w:r w:rsidRPr="00440394">
        <w:rPr>
          <w:rStyle w:val="FootnoteReference"/>
        </w:rPr>
        <w:footnoteReference w:id="3"/>
      </w:r>
      <w:r w:rsidRPr="006119EF">
        <w:rPr>
          <w:lang w:val="fr-FR"/>
        </w:rPr>
        <w:t xml:space="preserve"> </w:t>
      </w:r>
    </w:p>
    <w:p w14:paraId="12219620" w14:textId="55C4D3D2" w:rsidR="006119EF" w:rsidRPr="00440394" w:rsidRDefault="006119EF" w:rsidP="00D261BF">
      <w:pPr>
        <w:keepNext/>
        <w:keepLines/>
        <w:spacing w:after="120"/>
      </w:pPr>
      <w:proofErr w:type="spellStart"/>
      <w:r>
        <w:rPr>
          <w:u w:val="single"/>
        </w:rPr>
        <w:t>Activités</w:t>
      </w:r>
      <w:proofErr w:type="spellEnd"/>
      <w:r>
        <w:rPr>
          <w:u w:val="single"/>
        </w:rPr>
        <w:t xml:space="preserve"> </w:t>
      </w:r>
      <w:proofErr w:type="gramStart"/>
      <w:r>
        <w:rPr>
          <w:u w:val="single"/>
        </w:rPr>
        <w:t>relatives</w:t>
      </w:r>
      <w:proofErr w:type="gramEnd"/>
      <w:r>
        <w:rPr>
          <w:u w:val="single"/>
        </w:rPr>
        <w:t xml:space="preserve"> aux HFC</w:t>
      </w:r>
    </w:p>
    <w:p w14:paraId="2D890964" w14:textId="090A169C" w:rsidR="006119EF" w:rsidRPr="006119EF" w:rsidRDefault="006119EF" w:rsidP="00D261BF">
      <w:pPr>
        <w:pStyle w:val="Heading1"/>
        <w:spacing w:after="120"/>
        <w:rPr>
          <w:lang w:val="fr-FR"/>
        </w:rPr>
      </w:pPr>
      <w:r w:rsidRPr="006119EF">
        <w:rPr>
          <w:lang w:val="fr-FR"/>
        </w:rPr>
        <w:t xml:space="preserve">Parmi les activités relatives aux HFC figurent les activités de préparation des projets </w:t>
      </w:r>
      <w:r w:rsidR="006D24F8">
        <w:rPr>
          <w:lang w:val="fr-FR"/>
        </w:rPr>
        <w:t xml:space="preserve">de plans de </w:t>
      </w:r>
      <w:r w:rsidR="006D24F8" w:rsidRPr="006D24F8">
        <w:rPr>
          <w:lang w:val="fr-FR"/>
        </w:rPr>
        <w:t>mise en œuvre de l’Amendement de Kigal</w:t>
      </w:r>
      <w:r w:rsidR="006D24F8">
        <w:rPr>
          <w:lang w:val="fr-FR"/>
        </w:rPr>
        <w:t>i</w:t>
      </w:r>
      <w:r w:rsidRPr="00440394">
        <w:rPr>
          <w:rStyle w:val="FootnoteReference"/>
        </w:rPr>
        <w:footnoteReference w:id="4"/>
      </w:r>
      <w:r w:rsidRPr="006119EF">
        <w:rPr>
          <w:lang w:val="fr-FR"/>
        </w:rPr>
        <w:t xml:space="preserve"> de 16 pays pour un montant de 1,63 million $US en 2022</w:t>
      </w:r>
      <w:r w:rsidR="00D261BF">
        <w:rPr>
          <w:lang w:val="fr-FR"/>
        </w:rPr>
        <w:noBreakHyphen/>
      </w:r>
      <w:r w:rsidRPr="006119EF">
        <w:rPr>
          <w:lang w:val="fr-FR"/>
        </w:rPr>
        <w:t xml:space="preserve">2023 ; et </w:t>
      </w:r>
      <w:r w:rsidR="006D24F8">
        <w:rPr>
          <w:lang w:val="fr-FR"/>
        </w:rPr>
        <w:t>l</w:t>
      </w:r>
      <w:r w:rsidRPr="006119EF">
        <w:rPr>
          <w:lang w:val="fr-FR"/>
        </w:rPr>
        <w:t>es</w:t>
      </w:r>
      <w:r w:rsidR="006D24F8">
        <w:rPr>
          <w:lang w:val="fr-FR"/>
        </w:rPr>
        <w:t xml:space="preserve"> p</w:t>
      </w:r>
      <w:r w:rsidR="006D24F8" w:rsidRPr="006D24F8">
        <w:rPr>
          <w:lang w:val="fr-FR"/>
        </w:rPr>
        <w:t>lan</w:t>
      </w:r>
      <w:r w:rsidR="006D24F8">
        <w:rPr>
          <w:lang w:val="fr-FR"/>
        </w:rPr>
        <w:t xml:space="preserve">s </w:t>
      </w:r>
      <w:r w:rsidR="006D24F8" w:rsidRPr="006D24F8">
        <w:rPr>
          <w:lang w:val="fr-FR"/>
        </w:rPr>
        <w:t>de mise en œuvre de l’Amendement de Kigali</w:t>
      </w:r>
      <w:r w:rsidRPr="00440394">
        <w:rPr>
          <w:rStyle w:val="FootnoteReference"/>
        </w:rPr>
        <w:footnoteReference w:id="5"/>
      </w:r>
      <w:r w:rsidRPr="006119EF">
        <w:rPr>
          <w:lang w:val="fr-FR"/>
        </w:rPr>
        <w:t xml:space="preserve"> de 28 pays pour un montant de 45,82 millions $US (dont 26,24 millions $US en 2022-2024). </w:t>
      </w:r>
    </w:p>
    <w:p w14:paraId="7D3A0AE8" w14:textId="64726033" w:rsidR="006119EF" w:rsidRPr="006119EF" w:rsidRDefault="006119EF" w:rsidP="006119EF">
      <w:pPr>
        <w:pStyle w:val="Heading1"/>
        <w:rPr>
          <w:u w:val="single"/>
          <w:lang w:val="fr-FR"/>
        </w:rPr>
      </w:pPr>
      <w:r w:rsidRPr="006119EF">
        <w:rPr>
          <w:lang w:val="fr-FR"/>
        </w:rPr>
        <w:t xml:space="preserve">Onze des 16 pays pour lesquels des activités de préparation de projets </w:t>
      </w:r>
      <w:r w:rsidR="006D24F8">
        <w:rPr>
          <w:lang w:val="fr-FR"/>
        </w:rPr>
        <w:t>de p</w:t>
      </w:r>
      <w:r w:rsidR="006D24F8" w:rsidRPr="006D24F8">
        <w:rPr>
          <w:lang w:val="fr-FR"/>
        </w:rPr>
        <w:t>lan</w:t>
      </w:r>
      <w:r w:rsidR="006D24F8">
        <w:rPr>
          <w:lang w:val="fr-FR"/>
        </w:rPr>
        <w:t xml:space="preserve">s </w:t>
      </w:r>
      <w:r w:rsidR="006D24F8" w:rsidRPr="006D24F8">
        <w:rPr>
          <w:lang w:val="fr-FR"/>
        </w:rPr>
        <w:t>de mise en œuvre de l’Amendement de Kigali</w:t>
      </w:r>
      <w:r w:rsidR="006D24F8" w:rsidRPr="006119EF">
        <w:rPr>
          <w:lang w:val="fr-FR"/>
        </w:rPr>
        <w:t xml:space="preserve"> </w:t>
      </w:r>
      <w:r w:rsidRPr="006119EF">
        <w:rPr>
          <w:lang w:val="fr-FR"/>
        </w:rPr>
        <w:t xml:space="preserve">ont été incluses n’ont pas ratifié l’Amendement de Kigali. Deux des 11 pays n’ont pas soumis la lettre requise de leur gouvernement indiquant leur intention d’entreprendre tous les efforts possibles pour ratifier l’Amendement de Kigali. </w:t>
      </w:r>
      <w:r w:rsidR="006D24F8">
        <w:rPr>
          <w:lang w:val="fr-FR"/>
        </w:rPr>
        <w:t>U</w:t>
      </w:r>
      <w:r w:rsidRPr="006119EF">
        <w:rPr>
          <w:lang w:val="fr-FR"/>
        </w:rPr>
        <w:t xml:space="preserve">n des 28 pays pour lesquels des </w:t>
      </w:r>
      <w:r w:rsidR="006D24F8">
        <w:rPr>
          <w:lang w:val="fr-FR"/>
        </w:rPr>
        <w:t xml:space="preserve">plans de mise en </w:t>
      </w:r>
      <w:r w:rsidR="006D24F8">
        <w:rPr>
          <w:lang w:val="fr-FR"/>
        </w:rPr>
        <w:lastRenderedPageBreak/>
        <w:t xml:space="preserve">œuvre de l’Amendement de Kigali </w:t>
      </w:r>
      <w:r w:rsidRPr="006119EF">
        <w:rPr>
          <w:lang w:val="fr-FR"/>
        </w:rPr>
        <w:t xml:space="preserve">ont été inclus dans le plan d’activités n’a pas ratifié l’Amendement de Kigali. </w:t>
      </w:r>
    </w:p>
    <w:p w14:paraId="36C14E5C" w14:textId="77777777" w:rsidR="006119EF" w:rsidRPr="00440394" w:rsidRDefault="006119EF" w:rsidP="006119EF">
      <w:pPr>
        <w:pStyle w:val="Heading1"/>
        <w:numPr>
          <w:ilvl w:val="0"/>
          <w:numId w:val="0"/>
        </w:numPr>
        <w:rPr>
          <w:u w:val="single"/>
        </w:rPr>
      </w:pPr>
      <w:r>
        <w:rPr>
          <w:u w:val="single"/>
        </w:rPr>
        <w:t xml:space="preserve">Coûts de l’unité centrale </w:t>
      </w:r>
    </w:p>
    <w:p w14:paraId="30E7DE70" w14:textId="77777777" w:rsidR="006119EF" w:rsidRPr="006119EF" w:rsidRDefault="006119EF" w:rsidP="006119EF">
      <w:pPr>
        <w:pStyle w:val="Heading1"/>
        <w:widowControl w:val="0"/>
        <w:rPr>
          <w:lang w:val="fr-FR"/>
        </w:rPr>
      </w:pPr>
      <w:r w:rsidRPr="006119EF">
        <w:rPr>
          <w:lang w:val="fr-FR"/>
        </w:rPr>
        <w:t>Les coûts de l’unité centrale</w:t>
      </w:r>
      <w:r w:rsidRPr="00440394">
        <w:rPr>
          <w:rStyle w:val="FootnoteReference"/>
        </w:rPr>
        <w:footnoteReference w:id="6"/>
      </w:r>
      <w:r w:rsidRPr="006119EF">
        <w:rPr>
          <w:lang w:val="fr-FR"/>
        </w:rPr>
        <w:t xml:space="preserve"> devraient augmenter selon un taux annuel de 0,7 %, comme convenu. </w:t>
      </w:r>
    </w:p>
    <w:p w14:paraId="4A4D3F4F" w14:textId="77777777" w:rsidR="006119EF" w:rsidRPr="00440394" w:rsidRDefault="006119EF" w:rsidP="006119EF">
      <w:pPr>
        <w:widowControl w:val="0"/>
        <w:spacing w:after="240"/>
        <w:rPr>
          <w:b/>
        </w:rPr>
      </w:pPr>
      <w:r>
        <w:rPr>
          <w:b/>
        </w:rPr>
        <w:t>Rajustements proposés par le Secrétariat</w:t>
      </w:r>
    </w:p>
    <w:p w14:paraId="1082A4A0" w14:textId="4F5DE5CE" w:rsidR="006119EF" w:rsidRPr="006119EF" w:rsidRDefault="006119EF" w:rsidP="006119EF">
      <w:pPr>
        <w:pStyle w:val="Heading1"/>
        <w:widowControl w:val="0"/>
        <w:rPr>
          <w:lang w:val="fr-FR"/>
        </w:rPr>
      </w:pPr>
      <w:r w:rsidRPr="006119EF">
        <w:rPr>
          <w:lang w:val="fr-FR"/>
        </w:rPr>
        <w:t>Les rajustements au plan d’activités du PNUD pour la période 2022-2024 étaient basés sur les décisions pertinentes du Comité exécutif. D’autres ajustements peuvent être nécessaires dans l’attente d’une décision des Parties sur le niveau de reconstitution du Fonds multilatéral pour la période triennale 2021</w:t>
      </w:r>
      <w:r w:rsidR="00D261BF">
        <w:rPr>
          <w:lang w:val="fr-FR"/>
        </w:rPr>
        <w:noBreakHyphen/>
      </w:r>
      <w:r w:rsidRPr="006119EF">
        <w:rPr>
          <w:lang w:val="fr-FR"/>
        </w:rPr>
        <w:t>2023.</w:t>
      </w:r>
      <w:r w:rsidRPr="00440394">
        <w:rPr>
          <w:rStyle w:val="FootnoteReference"/>
        </w:rPr>
        <w:footnoteReference w:id="7"/>
      </w:r>
      <w:r w:rsidRPr="006119EF">
        <w:rPr>
          <w:lang w:val="fr-FR"/>
        </w:rPr>
        <w:t xml:space="preserve"> </w:t>
      </w:r>
    </w:p>
    <w:p w14:paraId="7EF24951" w14:textId="77777777" w:rsidR="006119EF" w:rsidRPr="006119EF" w:rsidRDefault="006119EF" w:rsidP="006119EF">
      <w:pPr>
        <w:pStyle w:val="Heading1"/>
        <w:rPr>
          <w:lang w:val="fr-FR"/>
        </w:rPr>
      </w:pPr>
      <w:r w:rsidRPr="006119EF">
        <w:rPr>
          <w:lang w:val="fr-FR"/>
        </w:rPr>
        <w:t xml:space="preserve">En examinant le plan d’activités révisé du PNUD pour la période 2022-2024, le Secrétariat a noté que les modifications suivantes n’étaient pas incluses : </w:t>
      </w:r>
    </w:p>
    <w:p w14:paraId="2FF3954C" w14:textId="77777777" w:rsidR="006119EF" w:rsidRPr="006119EF" w:rsidRDefault="006119EF" w:rsidP="006119EF">
      <w:pPr>
        <w:keepNext/>
        <w:rPr>
          <w:b/>
          <w:bCs/>
          <w:lang w:val="fr-FR"/>
        </w:rPr>
      </w:pPr>
      <w:r w:rsidRPr="006119EF">
        <w:rPr>
          <w:b/>
          <w:lang w:val="fr-FR"/>
        </w:rPr>
        <w:t>Tableau 2. Rajustements au plan d’activités du PNUD pour 2022-2024 (milliers $US)</w:t>
      </w:r>
    </w:p>
    <w:tbl>
      <w:tblPr>
        <w:tblStyle w:val="TableGrid"/>
        <w:tblW w:w="9360" w:type="dxa"/>
        <w:tblInd w:w="-5" w:type="dxa"/>
        <w:tblLook w:val="04A0" w:firstRow="1" w:lastRow="0" w:firstColumn="1" w:lastColumn="0" w:noHBand="0" w:noVBand="1"/>
      </w:tblPr>
      <w:tblGrid>
        <w:gridCol w:w="6642"/>
        <w:gridCol w:w="1359"/>
        <w:gridCol w:w="1359"/>
      </w:tblGrid>
      <w:tr w:rsidR="006119EF" w:rsidRPr="00440394" w14:paraId="20ED0425" w14:textId="77777777" w:rsidTr="00C654AE">
        <w:trPr>
          <w:tblHeader/>
        </w:trPr>
        <w:tc>
          <w:tcPr>
            <w:tcW w:w="6660" w:type="dxa"/>
          </w:tcPr>
          <w:p w14:paraId="2EB35B9A" w14:textId="77777777" w:rsidR="006119EF" w:rsidRPr="00440394" w:rsidRDefault="006119EF" w:rsidP="00C654AE">
            <w:pPr>
              <w:rPr>
                <w:b/>
                <w:sz w:val="21"/>
                <w:szCs w:val="21"/>
              </w:rPr>
            </w:pPr>
            <w:proofErr w:type="spellStart"/>
            <w:r>
              <w:rPr>
                <w:b/>
                <w:sz w:val="21"/>
              </w:rPr>
              <w:t>Rajustement</w:t>
            </w:r>
            <w:proofErr w:type="spellEnd"/>
          </w:p>
        </w:tc>
        <w:tc>
          <w:tcPr>
            <w:tcW w:w="1361" w:type="dxa"/>
          </w:tcPr>
          <w:p w14:paraId="31CDF85D" w14:textId="77777777" w:rsidR="006119EF" w:rsidRPr="00440394" w:rsidRDefault="006119EF" w:rsidP="00C654AE">
            <w:pPr>
              <w:jc w:val="center"/>
              <w:rPr>
                <w:b/>
                <w:sz w:val="21"/>
                <w:szCs w:val="21"/>
              </w:rPr>
            </w:pPr>
            <w:r>
              <w:rPr>
                <w:b/>
                <w:sz w:val="21"/>
              </w:rPr>
              <w:t>2022-2024</w:t>
            </w:r>
          </w:p>
        </w:tc>
        <w:tc>
          <w:tcPr>
            <w:tcW w:w="1361" w:type="dxa"/>
          </w:tcPr>
          <w:p w14:paraId="45BDE452" w14:textId="77777777" w:rsidR="006119EF" w:rsidRPr="00440394" w:rsidRDefault="006119EF" w:rsidP="00C654AE">
            <w:pPr>
              <w:ind w:left="-96" w:right="-108"/>
              <w:jc w:val="center"/>
              <w:rPr>
                <w:b/>
                <w:sz w:val="21"/>
                <w:szCs w:val="21"/>
              </w:rPr>
            </w:pPr>
            <w:r>
              <w:rPr>
                <w:b/>
                <w:sz w:val="21"/>
              </w:rPr>
              <w:t>Après 2024</w:t>
            </w:r>
          </w:p>
        </w:tc>
      </w:tr>
      <w:tr w:rsidR="006119EF" w:rsidRPr="00440394" w14:paraId="08F8BED7" w14:textId="77777777" w:rsidTr="00C654AE">
        <w:tc>
          <w:tcPr>
            <w:tcW w:w="6660" w:type="dxa"/>
          </w:tcPr>
          <w:p w14:paraId="3FC4B790" w14:textId="77777777" w:rsidR="006119EF" w:rsidRPr="006119EF" w:rsidRDefault="006119EF" w:rsidP="00C654AE">
            <w:pPr>
              <w:jc w:val="left"/>
              <w:rPr>
                <w:b/>
                <w:sz w:val="21"/>
                <w:szCs w:val="21"/>
                <w:lang w:val="fr-FR"/>
              </w:rPr>
            </w:pPr>
            <w:r w:rsidRPr="006119EF">
              <w:rPr>
                <w:sz w:val="21"/>
                <w:lang w:val="fr-FR"/>
              </w:rPr>
              <w:t>Valeurs des PGEH correspondant aux montants effectivement approuvés au titre des accords, notamment les tranches des PGEH qui sont dues mais qui n’ont pas été soumises à la 88</w:t>
            </w:r>
            <w:r w:rsidRPr="006119EF">
              <w:rPr>
                <w:sz w:val="21"/>
                <w:vertAlign w:val="superscript"/>
                <w:lang w:val="fr-FR"/>
              </w:rPr>
              <w:t>e</w:t>
            </w:r>
            <w:r w:rsidRPr="006119EF">
              <w:rPr>
                <w:sz w:val="21"/>
                <w:lang w:val="fr-FR"/>
              </w:rPr>
              <w:t> réunion</w:t>
            </w:r>
          </w:p>
        </w:tc>
        <w:tc>
          <w:tcPr>
            <w:tcW w:w="1361" w:type="dxa"/>
          </w:tcPr>
          <w:p w14:paraId="78C2EB06" w14:textId="77777777" w:rsidR="006119EF" w:rsidRPr="00440394" w:rsidRDefault="006119EF" w:rsidP="00C654AE">
            <w:pPr>
              <w:jc w:val="right"/>
              <w:rPr>
                <w:sz w:val="21"/>
                <w:szCs w:val="21"/>
              </w:rPr>
            </w:pPr>
            <w:r>
              <w:rPr>
                <w:sz w:val="21"/>
              </w:rPr>
              <w:t>2 833</w:t>
            </w:r>
          </w:p>
        </w:tc>
        <w:tc>
          <w:tcPr>
            <w:tcW w:w="1361" w:type="dxa"/>
          </w:tcPr>
          <w:p w14:paraId="68BF2B9B" w14:textId="77777777" w:rsidR="006119EF" w:rsidRPr="00440394" w:rsidRDefault="006119EF" w:rsidP="00C654AE">
            <w:pPr>
              <w:jc w:val="right"/>
              <w:rPr>
                <w:sz w:val="21"/>
                <w:szCs w:val="21"/>
              </w:rPr>
            </w:pPr>
            <w:r>
              <w:rPr>
                <w:sz w:val="21"/>
              </w:rPr>
              <w:t>0</w:t>
            </w:r>
          </w:p>
        </w:tc>
      </w:tr>
      <w:tr w:rsidR="006119EF" w:rsidRPr="00440394" w14:paraId="1536184A" w14:textId="77777777" w:rsidTr="00C654AE">
        <w:tc>
          <w:tcPr>
            <w:tcW w:w="6660" w:type="dxa"/>
          </w:tcPr>
          <w:p w14:paraId="49BDF64D" w14:textId="6AE56E35" w:rsidR="006119EF" w:rsidRPr="006119EF" w:rsidRDefault="006119EF" w:rsidP="00C654AE">
            <w:pPr>
              <w:jc w:val="left"/>
              <w:rPr>
                <w:sz w:val="21"/>
                <w:szCs w:val="21"/>
                <w:lang w:val="fr-FR"/>
              </w:rPr>
            </w:pPr>
            <w:r w:rsidRPr="006119EF">
              <w:rPr>
                <w:sz w:val="21"/>
                <w:lang w:val="fr-FR"/>
              </w:rPr>
              <w:t xml:space="preserve">PRP pour les </w:t>
            </w:r>
            <w:r w:rsidR="006D24F8" w:rsidRPr="006D24F8">
              <w:rPr>
                <w:sz w:val="21"/>
                <w:lang w:val="fr-FR"/>
              </w:rPr>
              <w:t xml:space="preserve">plans de mise en œuvre de l’Amendement de Kigali </w:t>
            </w:r>
            <w:r w:rsidRPr="006119EF">
              <w:rPr>
                <w:sz w:val="21"/>
                <w:lang w:val="fr-FR"/>
              </w:rPr>
              <w:t>conformément à la décision 84/46(f) ou à la décision 87/50, ou qui ont été soumis à la 88</w:t>
            </w:r>
            <w:r w:rsidRPr="006119EF">
              <w:rPr>
                <w:sz w:val="21"/>
                <w:vertAlign w:val="superscript"/>
                <w:lang w:val="fr-FR"/>
              </w:rPr>
              <w:t>e</w:t>
            </w:r>
            <w:r w:rsidRPr="006119EF">
              <w:rPr>
                <w:sz w:val="21"/>
                <w:lang w:val="fr-FR"/>
              </w:rPr>
              <w:t xml:space="preserve"> réunion</w:t>
            </w:r>
          </w:p>
        </w:tc>
        <w:tc>
          <w:tcPr>
            <w:tcW w:w="1361" w:type="dxa"/>
          </w:tcPr>
          <w:p w14:paraId="179ECAA8" w14:textId="77777777" w:rsidR="006119EF" w:rsidRPr="00440394" w:rsidRDefault="006119EF" w:rsidP="00C654AE">
            <w:pPr>
              <w:jc w:val="right"/>
              <w:rPr>
                <w:sz w:val="21"/>
                <w:szCs w:val="21"/>
              </w:rPr>
            </w:pPr>
            <w:r>
              <w:rPr>
                <w:sz w:val="21"/>
              </w:rPr>
              <w:t>(439)</w:t>
            </w:r>
          </w:p>
        </w:tc>
        <w:tc>
          <w:tcPr>
            <w:tcW w:w="1361" w:type="dxa"/>
          </w:tcPr>
          <w:p w14:paraId="41D14AF9" w14:textId="77777777" w:rsidR="006119EF" w:rsidRPr="00440394" w:rsidRDefault="006119EF" w:rsidP="00C654AE">
            <w:pPr>
              <w:jc w:val="right"/>
              <w:rPr>
                <w:sz w:val="21"/>
                <w:szCs w:val="21"/>
              </w:rPr>
            </w:pPr>
            <w:r>
              <w:rPr>
                <w:sz w:val="21"/>
              </w:rPr>
              <w:t>0</w:t>
            </w:r>
          </w:p>
        </w:tc>
      </w:tr>
      <w:tr w:rsidR="006119EF" w:rsidRPr="00440394" w14:paraId="246D87C9" w14:textId="77777777" w:rsidTr="00C654AE">
        <w:tc>
          <w:tcPr>
            <w:tcW w:w="6660" w:type="dxa"/>
          </w:tcPr>
          <w:p w14:paraId="574E7C97" w14:textId="598CB13D" w:rsidR="006119EF" w:rsidRPr="006119EF" w:rsidRDefault="006D24F8" w:rsidP="00C654AE">
            <w:pPr>
              <w:jc w:val="left"/>
              <w:rPr>
                <w:sz w:val="21"/>
                <w:szCs w:val="21"/>
                <w:lang w:val="fr-FR"/>
              </w:rPr>
            </w:pPr>
            <w:r>
              <w:rPr>
                <w:sz w:val="21"/>
                <w:lang w:val="fr-FR"/>
              </w:rPr>
              <w:t>Plans de mise en œuvre de l’Amendement de Kigali</w:t>
            </w:r>
            <w:r w:rsidR="006119EF" w:rsidRPr="006119EF">
              <w:rPr>
                <w:sz w:val="21"/>
                <w:lang w:val="fr-FR"/>
              </w:rPr>
              <w:t xml:space="preserve"> conformément à la décision 84/46(g)</w:t>
            </w:r>
          </w:p>
        </w:tc>
        <w:tc>
          <w:tcPr>
            <w:tcW w:w="1361" w:type="dxa"/>
          </w:tcPr>
          <w:p w14:paraId="790E7F0C" w14:textId="77777777" w:rsidR="006119EF" w:rsidRPr="00440394" w:rsidRDefault="006119EF" w:rsidP="00C654AE">
            <w:pPr>
              <w:jc w:val="right"/>
              <w:rPr>
                <w:sz w:val="21"/>
                <w:szCs w:val="21"/>
              </w:rPr>
            </w:pPr>
            <w:r>
              <w:rPr>
                <w:sz w:val="21"/>
              </w:rPr>
              <w:t>(275)</w:t>
            </w:r>
          </w:p>
        </w:tc>
        <w:tc>
          <w:tcPr>
            <w:tcW w:w="1361" w:type="dxa"/>
          </w:tcPr>
          <w:p w14:paraId="3C2CF987" w14:textId="77777777" w:rsidR="006119EF" w:rsidRPr="00440394" w:rsidRDefault="006119EF" w:rsidP="00C654AE">
            <w:pPr>
              <w:jc w:val="right"/>
              <w:rPr>
                <w:sz w:val="21"/>
                <w:szCs w:val="21"/>
              </w:rPr>
            </w:pPr>
            <w:r>
              <w:rPr>
                <w:sz w:val="21"/>
              </w:rPr>
              <w:t>(412)</w:t>
            </w:r>
          </w:p>
        </w:tc>
      </w:tr>
      <w:tr w:rsidR="006119EF" w:rsidRPr="00440394" w14:paraId="13E43FE0" w14:textId="77777777" w:rsidTr="00C654AE">
        <w:tc>
          <w:tcPr>
            <w:tcW w:w="6660" w:type="dxa"/>
          </w:tcPr>
          <w:p w14:paraId="18FEF866" w14:textId="77777777" w:rsidR="006119EF" w:rsidRPr="006119EF" w:rsidRDefault="006119EF" w:rsidP="00C654AE">
            <w:pPr>
              <w:jc w:val="left"/>
              <w:rPr>
                <w:sz w:val="21"/>
                <w:szCs w:val="21"/>
                <w:lang w:val="fr-FR"/>
              </w:rPr>
            </w:pPr>
            <w:r w:rsidRPr="006119EF">
              <w:rPr>
                <w:sz w:val="21"/>
                <w:lang w:val="fr-FR"/>
              </w:rPr>
              <w:t>RI qui ont été soumis à la 88</w:t>
            </w:r>
            <w:r w:rsidRPr="006119EF">
              <w:rPr>
                <w:sz w:val="21"/>
                <w:vertAlign w:val="superscript"/>
                <w:lang w:val="fr-FR"/>
              </w:rPr>
              <w:t>e</w:t>
            </w:r>
            <w:r w:rsidRPr="006119EF">
              <w:rPr>
                <w:sz w:val="21"/>
                <w:lang w:val="fr-FR"/>
              </w:rPr>
              <w:t xml:space="preserve"> réunion mais retiré par la suite</w:t>
            </w:r>
          </w:p>
        </w:tc>
        <w:tc>
          <w:tcPr>
            <w:tcW w:w="1361" w:type="dxa"/>
          </w:tcPr>
          <w:p w14:paraId="088C1462" w14:textId="77777777" w:rsidR="006119EF" w:rsidRPr="00440394" w:rsidRDefault="006119EF" w:rsidP="00C654AE">
            <w:pPr>
              <w:jc w:val="right"/>
              <w:rPr>
                <w:sz w:val="21"/>
                <w:szCs w:val="21"/>
              </w:rPr>
            </w:pPr>
            <w:r>
              <w:rPr>
                <w:sz w:val="21"/>
              </w:rPr>
              <w:t>204</w:t>
            </w:r>
          </w:p>
        </w:tc>
        <w:tc>
          <w:tcPr>
            <w:tcW w:w="1361" w:type="dxa"/>
          </w:tcPr>
          <w:p w14:paraId="00F6B757" w14:textId="77777777" w:rsidR="006119EF" w:rsidRPr="00440394" w:rsidRDefault="006119EF" w:rsidP="00C654AE">
            <w:pPr>
              <w:jc w:val="right"/>
              <w:rPr>
                <w:sz w:val="21"/>
                <w:szCs w:val="21"/>
              </w:rPr>
            </w:pPr>
            <w:r>
              <w:rPr>
                <w:sz w:val="21"/>
              </w:rPr>
              <w:t>0</w:t>
            </w:r>
          </w:p>
        </w:tc>
      </w:tr>
    </w:tbl>
    <w:p w14:paraId="367341DA" w14:textId="77777777" w:rsidR="006119EF" w:rsidRPr="00440394" w:rsidRDefault="006119EF" w:rsidP="006119EF"/>
    <w:p w14:paraId="7EB2267D" w14:textId="77777777" w:rsidR="006119EF" w:rsidRPr="006119EF" w:rsidRDefault="006119EF" w:rsidP="006119EF">
      <w:pPr>
        <w:pStyle w:val="Heading1"/>
        <w:rPr>
          <w:lang w:val="fr-FR"/>
        </w:rPr>
      </w:pPr>
      <w:r w:rsidRPr="006119EF">
        <w:rPr>
          <w:lang w:val="fr-FR"/>
        </w:rPr>
        <w:t>Le tableau 3 présente les résultats des ajustements proposés par le Secrétariat au plan d’activités du PNUD pour la période 2022-2024, lesquels sont également abordés dans le cadre du Plan d’activités général du Fonds multilatéral pour les années 2022-2024.</w:t>
      </w:r>
      <w:r w:rsidRPr="00440394">
        <w:rPr>
          <w:rStyle w:val="FootnoteReference"/>
        </w:rPr>
        <w:footnoteReference w:id="8"/>
      </w:r>
    </w:p>
    <w:p w14:paraId="137B8D49" w14:textId="77AC064A" w:rsidR="006119EF" w:rsidRPr="006119EF" w:rsidRDefault="006119EF" w:rsidP="006119EF">
      <w:pPr>
        <w:keepNext/>
        <w:rPr>
          <w:b/>
          <w:lang w:val="fr-FR"/>
        </w:rPr>
      </w:pPr>
      <w:r w:rsidRPr="006119EF">
        <w:rPr>
          <w:b/>
          <w:lang w:val="fr-FR"/>
        </w:rPr>
        <w:t>Tableau 3. Allocation des ressources dans le plan d’activités ajusté du PNUD pour 2022-2024 (</w:t>
      </w:r>
      <w:r w:rsidRPr="00D261BF">
        <w:rPr>
          <w:lang w:val="fr-FR"/>
        </w:rPr>
        <w:t>en</w:t>
      </w:r>
      <w:r w:rsidR="00D261BF" w:rsidRPr="00D261BF">
        <w:rPr>
          <w:lang w:val="fr-FR"/>
        </w:rPr>
        <w:t> </w:t>
      </w:r>
      <w:r w:rsidRPr="00D261BF">
        <w:rPr>
          <w:lang w:val="fr-FR"/>
        </w:rPr>
        <w:t>milliers</w:t>
      </w:r>
      <w:r w:rsidRPr="006119EF">
        <w:rPr>
          <w:b/>
          <w:lang w:val="fr-FR"/>
        </w:rPr>
        <w:t xml:space="preserve"> de $</w:t>
      </w:r>
      <w:proofErr w:type="gramStart"/>
      <w:r w:rsidRPr="006119EF">
        <w:rPr>
          <w:b/>
          <w:lang w:val="fr-FR"/>
        </w:rPr>
        <w:t>US)*</w:t>
      </w:r>
      <w:proofErr w:type="gramEnd"/>
    </w:p>
    <w:tbl>
      <w:tblPr>
        <w:tblW w:w="9360" w:type="dxa"/>
        <w:tblLayout w:type="fixed"/>
        <w:tblLook w:val="04A0" w:firstRow="1" w:lastRow="0" w:firstColumn="1" w:lastColumn="0" w:noHBand="0" w:noVBand="1"/>
      </w:tblPr>
      <w:tblGrid>
        <w:gridCol w:w="3730"/>
        <w:gridCol w:w="1124"/>
        <w:gridCol w:w="1126"/>
        <w:gridCol w:w="1126"/>
        <w:gridCol w:w="1126"/>
        <w:gridCol w:w="1128"/>
      </w:tblGrid>
      <w:tr w:rsidR="006119EF" w:rsidRPr="00440394" w14:paraId="6F35C441" w14:textId="77777777" w:rsidTr="00D261BF">
        <w:trPr>
          <w:tblHeader/>
        </w:trPr>
        <w:tc>
          <w:tcPr>
            <w:tcW w:w="3771" w:type="dxa"/>
            <w:tcBorders>
              <w:top w:val="single" w:sz="4" w:space="0" w:color="auto"/>
              <w:left w:val="single" w:sz="4" w:space="0" w:color="auto"/>
              <w:bottom w:val="single" w:sz="4" w:space="0" w:color="auto"/>
              <w:right w:val="single" w:sz="4" w:space="0" w:color="auto"/>
            </w:tcBorders>
            <w:shd w:val="clear" w:color="auto" w:fill="auto"/>
            <w:hideMark/>
          </w:tcPr>
          <w:p w14:paraId="05E7F760" w14:textId="77777777" w:rsidR="006119EF" w:rsidRPr="00440394" w:rsidRDefault="006119EF" w:rsidP="00C654AE">
            <w:pPr>
              <w:jc w:val="left"/>
              <w:rPr>
                <w:b/>
                <w:bCs/>
                <w:sz w:val="20"/>
                <w:szCs w:val="20"/>
              </w:rPr>
            </w:pPr>
            <w:r>
              <w:rPr>
                <w:b/>
                <w:sz w:val="20"/>
              </w:rPr>
              <w:t>Description </w:t>
            </w:r>
          </w:p>
        </w:tc>
        <w:tc>
          <w:tcPr>
            <w:tcW w:w="1135"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2F09C6CA" w14:textId="77777777" w:rsidR="006119EF" w:rsidRPr="00440394" w:rsidRDefault="006119EF" w:rsidP="00C654AE">
            <w:pPr>
              <w:jc w:val="center"/>
              <w:rPr>
                <w:b/>
                <w:bCs/>
                <w:sz w:val="20"/>
                <w:szCs w:val="20"/>
              </w:rPr>
            </w:pPr>
            <w:r>
              <w:rPr>
                <w:b/>
                <w:sz w:val="20"/>
              </w:rPr>
              <w:t>2022</w:t>
            </w:r>
          </w:p>
        </w:tc>
        <w:tc>
          <w:tcPr>
            <w:tcW w:w="1135"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251BED9B" w14:textId="77777777" w:rsidR="006119EF" w:rsidRPr="00440394" w:rsidRDefault="006119EF" w:rsidP="00C654AE">
            <w:pPr>
              <w:jc w:val="center"/>
              <w:rPr>
                <w:b/>
                <w:bCs/>
                <w:sz w:val="20"/>
                <w:szCs w:val="20"/>
              </w:rPr>
            </w:pPr>
            <w:r>
              <w:rPr>
                <w:b/>
                <w:sz w:val="20"/>
              </w:rPr>
              <w:t>2023</w:t>
            </w:r>
          </w:p>
        </w:tc>
        <w:tc>
          <w:tcPr>
            <w:tcW w:w="1136"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3B770BF4" w14:textId="77777777" w:rsidR="006119EF" w:rsidRPr="00440394" w:rsidRDefault="006119EF" w:rsidP="00C654AE">
            <w:pPr>
              <w:jc w:val="center"/>
              <w:rPr>
                <w:b/>
                <w:bCs/>
                <w:sz w:val="20"/>
                <w:szCs w:val="20"/>
              </w:rPr>
            </w:pPr>
            <w:r>
              <w:rPr>
                <w:b/>
                <w:sz w:val="20"/>
              </w:rPr>
              <w:t>2024</w:t>
            </w:r>
          </w:p>
        </w:tc>
        <w:tc>
          <w:tcPr>
            <w:tcW w:w="1135"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611275C4" w14:textId="77777777" w:rsidR="006119EF" w:rsidRPr="00440394" w:rsidRDefault="006119EF" w:rsidP="00C654AE">
            <w:pPr>
              <w:jc w:val="center"/>
              <w:rPr>
                <w:b/>
                <w:bCs/>
                <w:sz w:val="20"/>
                <w:szCs w:val="20"/>
              </w:rPr>
            </w:pPr>
            <w:r>
              <w:rPr>
                <w:b/>
                <w:sz w:val="20"/>
              </w:rPr>
              <w:t xml:space="preserve">Total </w:t>
            </w:r>
          </w:p>
          <w:p w14:paraId="1C3CD026" w14:textId="77777777" w:rsidR="006119EF" w:rsidRPr="00440394" w:rsidRDefault="006119EF" w:rsidP="00C654AE">
            <w:pPr>
              <w:jc w:val="center"/>
              <w:rPr>
                <w:b/>
                <w:bCs/>
                <w:sz w:val="20"/>
                <w:szCs w:val="20"/>
              </w:rPr>
            </w:pPr>
            <w:r>
              <w:rPr>
                <w:b/>
                <w:sz w:val="20"/>
              </w:rPr>
              <w:t>(2022-2024)</w:t>
            </w:r>
          </w:p>
        </w:tc>
        <w:tc>
          <w:tcPr>
            <w:tcW w:w="1138"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14:paraId="640A0384" w14:textId="77777777" w:rsidR="006119EF" w:rsidRPr="00440394" w:rsidRDefault="006119EF" w:rsidP="00C654AE">
            <w:pPr>
              <w:jc w:val="center"/>
              <w:rPr>
                <w:b/>
                <w:bCs/>
                <w:sz w:val="20"/>
                <w:szCs w:val="20"/>
              </w:rPr>
            </w:pPr>
            <w:r>
              <w:rPr>
                <w:b/>
                <w:sz w:val="20"/>
              </w:rPr>
              <w:t>Total après 2024</w:t>
            </w:r>
          </w:p>
        </w:tc>
      </w:tr>
      <w:tr w:rsidR="006119EF" w:rsidRPr="00440394" w14:paraId="0EFACC9C" w14:textId="77777777" w:rsidTr="00C654AE">
        <w:tc>
          <w:tcPr>
            <w:tcW w:w="94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CB6E1A1" w14:textId="77777777" w:rsidR="006119EF" w:rsidRPr="00440394" w:rsidRDefault="006119EF" w:rsidP="00C654AE">
            <w:pPr>
              <w:jc w:val="left"/>
              <w:rPr>
                <w:b/>
                <w:bCs/>
                <w:sz w:val="20"/>
                <w:szCs w:val="20"/>
              </w:rPr>
            </w:pPr>
            <w:r>
              <w:rPr>
                <w:b/>
                <w:sz w:val="20"/>
              </w:rPr>
              <w:t>Activités pour les HCFC</w:t>
            </w:r>
          </w:p>
        </w:tc>
      </w:tr>
      <w:tr w:rsidR="006119EF" w:rsidRPr="00440394" w14:paraId="54D909D0"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46883E89" w14:textId="77777777" w:rsidR="006119EF" w:rsidRPr="006119EF" w:rsidRDefault="006119EF" w:rsidP="00C654AE">
            <w:pPr>
              <w:jc w:val="left"/>
              <w:rPr>
                <w:sz w:val="20"/>
                <w:szCs w:val="20"/>
                <w:lang w:val="fr-FR"/>
              </w:rPr>
            </w:pPr>
            <w:r w:rsidRPr="006119EF">
              <w:rPr>
                <w:sz w:val="20"/>
                <w:lang w:val="fr-FR"/>
              </w:rPr>
              <w:t>Plans approuvés de gestion de l’élimination des HCFC (PGEH)</w:t>
            </w:r>
          </w:p>
        </w:tc>
        <w:tc>
          <w:tcPr>
            <w:tcW w:w="1135" w:type="dxa"/>
            <w:tcBorders>
              <w:top w:val="nil"/>
              <w:left w:val="nil"/>
              <w:bottom w:val="single" w:sz="4" w:space="0" w:color="auto"/>
              <w:right w:val="single" w:sz="4" w:space="0" w:color="auto"/>
            </w:tcBorders>
            <w:shd w:val="clear" w:color="auto" w:fill="auto"/>
            <w:noWrap/>
            <w:hideMark/>
          </w:tcPr>
          <w:p w14:paraId="73D3DAA5" w14:textId="77777777" w:rsidR="006119EF" w:rsidRPr="00440394" w:rsidRDefault="006119EF" w:rsidP="00C654AE">
            <w:pPr>
              <w:jc w:val="right"/>
              <w:rPr>
                <w:sz w:val="20"/>
                <w:szCs w:val="20"/>
              </w:rPr>
            </w:pPr>
            <w:r>
              <w:rPr>
                <w:sz w:val="20"/>
              </w:rPr>
              <w:t>11027</w:t>
            </w:r>
          </w:p>
        </w:tc>
        <w:tc>
          <w:tcPr>
            <w:tcW w:w="1135" w:type="dxa"/>
            <w:tcBorders>
              <w:top w:val="nil"/>
              <w:left w:val="nil"/>
              <w:bottom w:val="single" w:sz="4" w:space="0" w:color="auto"/>
              <w:right w:val="single" w:sz="4" w:space="0" w:color="auto"/>
            </w:tcBorders>
            <w:shd w:val="clear" w:color="auto" w:fill="auto"/>
            <w:noWrap/>
            <w:hideMark/>
          </w:tcPr>
          <w:p w14:paraId="2177D3B8" w14:textId="77777777" w:rsidR="006119EF" w:rsidRPr="00440394" w:rsidRDefault="006119EF" w:rsidP="00C654AE">
            <w:pPr>
              <w:jc w:val="right"/>
              <w:rPr>
                <w:sz w:val="20"/>
                <w:szCs w:val="20"/>
              </w:rPr>
            </w:pPr>
            <w:r>
              <w:rPr>
                <w:sz w:val="20"/>
              </w:rPr>
              <w:t>18 349</w:t>
            </w:r>
          </w:p>
        </w:tc>
        <w:tc>
          <w:tcPr>
            <w:tcW w:w="1136" w:type="dxa"/>
            <w:tcBorders>
              <w:top w:val="nil"/>
              <w:left w:val="nil"/>
              <w:bottom w:val="single" w:sz="4" w:space="0" w:color="auto"/>
              <w:right w:val="single" w:sz="4" w:space="0" w:color="auto"/>
            </w:tcBorders>
            <w:shd w:val="clear" w:color="auto" w:fill="auto"/>
            <w:noWrap/>
            <w:hideMark/>
          </w:tcPr>
          <w:p w14:paraId="0D02035A" w14:textId="77777777" w:rsidR="006119EF" w:rsidRPr="00440394" w:rsidRDefault="006119EF" w:rsidP="00C654AE">
            <w:pPr>
              <w:jc w:val="right"/>
              <w:rPr>
                <w:sz w:val="20"/>
                <w:szCs w:val="20"/>
              </w:rPr>
            </w:pPr>
            <w:r>
              <w:rPr>
                <w:sz w:val="20"/>
              </w:rPr>
              <w:t>1 682</w:t>
            </w:r>
          </w:p>
        </w:tc>
        <w:tc>
          <w:tcPr>
            <w:tcW w:w="1135" w:type="dxa"/>
            <w:tcBorders>
              <w:top w:val="nil"/>
              <w:left w:val="nil"/>
              <w:bottom w:val="single" w:sz="4" w:space="0" w:color="auto"/>
              <w:right w:val="single" w:sz="4" w:space="0" w:color="auto"/>
            </w:tcBorders>
            <w:shd w:val="clear" w:color="auto" w:fill="auto"/>
            <w:noWrap/>
            <w:hideMark/>
          </w:tcPr>
          <w:p w14:paraId="21474E71" w14:textId="77777777" w:rsidR="006119EF" w:rsidRPr="00440394" w:rsidRDefault="006119EF" w:rsidP="00C654AE">
            <w:pPr>
              <w:jc w:val="right"/>
              <w:rPr>
                <w:sz w:val="20"/>
                <w:szCs w:val="20"/>
              </w:rPr>
            </w:pPr>
            <w:r>
              <w:rPr>
                <w:sz w:val="20"/>
              </w:rPr>
              <w:t>31 058</w:t>
            </w:r>
          </w:p>
        </w:tc>
        <w:tc>
          <w:tcPr>
            <w:tcW w:w="1138" w:type="dxa"/>
            <w:tcBorders>
              <w:top w:val="nil"/>
              <w:left w:val="nil"/>
              <w:bottom w:val="single" w:sz="4" w:space="0" w:color="auto"/>
              <w:right w:val="single" w:sz="4" w:space="0" w:color="auto"/>
            </w:tcBorders>
            <w:shd w:val="clear" w:color="auto" w:fill="auto"/>
            <w:noWrap/>
            <w:hideMark/>
          </w:tcPr>
          <w:p w14:paraId="4799081D" w14:textId="77777777" w:rsidR="006119EF" w:rsidRPr="00440394" w:rsidRDefault="006119EF" w:rsidP="00C654AE">
            <w:pPr>
              <w:jc w:val="right"/>
              <w:rPr>
                <w:sz w:val="20"/>
                <w:szCs w:val="20"/>
              </w:rPr>
            </w:pPr>
            <w:r>
              <w:rPr>
                <w:sz w:val="20"/>
              </w:rPr>
              <w:t>22 592</w:t>
            </w:r>
          </w:p>
        </w:tc>
      </w:tr>
      <w:tr w:rsidR="006119EF" w:rsidRPr="00440394" w14:paraId="6EE79A0F"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255A6321" w14:textId="77777777" w:rsidR="006119EF" w:rsidRPr="006119EF" w:rsidRDefault="006119EF" w:rsidP="00C654AE">
            <w:pPr>
              <w:jc w:val="left"/>
              <w:rPr>
                <w:sz w:val="20"/>
                <w:szCs w:val="20"/>
                <w:lang w:val="fr-FR"/>
              </w:rPr>
            </w:pPr>
            <w:r w:rsidRPr="006119EF">
              <w:rPr>
                <w:sz w:val="20"/>
                <w:lang w:val="fr-FR"/>
              </w:rPr>
              <w:t>Préparation de projet de PGEH (PRP) – phase II</w:t>
            </w:r>
          </w:p>
        </w:tc>
        <w:tc>
          <w:tcPr>
            <w:tcW w:w="1135" w:type="dxa"/>
            <w:tcBorders>
              <w:top w:val="nil"/>
              <w:left w:val="nil"/>
              <w:bottom w:val="single" w:sz="4" w:space="0" w:color="auto"/>
              <w:right w:val="single" w:sz="4" w:space="0" w:color="auto"/>
            </w:tcBorders>
            <w:shd w:val="clear" w:color="auto" w:fill="auto"/>
            <w:noWrap/>
            <w:hideMark/>
          </w:tcPr>
          <w:p w14:paraId="1799B86A" w14:textId="77777777" w:rsidR="006119EF" w:rsidRPr="00440394" w:rsidRDefault="006119EF" w:rsidP="00C654AE">
            <w:pPr>
              <w:jc w:val="right"/>
              <w:rPr>
                <w:sz w:val="20"/>
                <w:szCs w:val="20"/>
              </w:rPr>
            </w:pPr>
            <w:r>
              <w:rPr>
                <w:sz w:val="20"/>
              </w:rPr>
              <w:t>10</w:t>
            </w:r>
          </w:p>
        </w:tc>
        <w:tc>
          <w:tcPr>
            <w:tcW w:w="1135" w:type="dxa"/>
            <w:tcBorders>
              <w:top w:val="nil"/>
              <w:left w:val="nil"/>
              <w:bottom w:val="single" w:sz="4" w:space="0" w:color="auto"/>
              <w:right w:val="single" w:sz="4" w:space="0" w:color="auto"/>
            </w:tcBorders>
            <w:shd w:val="clear" w:color="auto" w:fill="auto"/>
            <w:noWrap/>
            <w:hideMark/>
          </w:tcPr>
          <w:p w14:paraId="7F4482A9" w14:textId="77777777" w:rsidR="006119EF" w:rsidRPr="00440394" w:rsidRDefault="006119EF" w:rsidP="00C654AE">
            <w:pPr>
              <w:jc w:val="right"/>
              <w:rPr>
                <w:sz w:val="20"/>
                <w:szCs w:val="20"/>
              </w:rPr>
            </w:pPr>
            <w:r>
              <w:rPr>
                <w:sz w:val="20"/>
              </w:rPr>
              <w:t>0</w:t>
            </w:r>
          </w:p>
        </w:tc>
        <w:tc>
          <w:tcPr>
            <w:tcW w:w="1136" w:type="dxa"/>
            <w:tcBorders>
              <w:top w:val="nil"/>
              <w:left w:val="nil"/>
              <w:bottom w:val="single" w:sz="4" w:space="0" w:color="auto"/>
              <w:right w:val="single" w:sz="4" w:space="0" w:color="auto"/>
            </w:tcBorders>
            <w:shd w:val="clear" w:color="auto" w:fill="auto"/>
            <w:noWrap/>
            <w:hideMark/>
          </w:tcPr>
          <w:p w14:paraId="02558A87" w14:textId="77777777" w:rsidR="006119EF" w:rsidRPr="00440394" w:rsidRDefault="006119EF" w:rsidP="00C654AE">
            <w:pPr>
              <w:jc w:val="right"/>
              <w:rPr>
                <w:sz w:val="20"/>
                <w:szCs w:val="20"/>
              </w:rPr>
            </w:pPr>
            <w:r>
              <w:rPr>
                <w:sz w:val="20"/>
              </w:rPr>
              <w:t>0</w:t>
            </w:r>
          </w:p>
        </w:tc>
        <w:tc>
          <w:tcPr>
            <w:tcW w:w="1135" w:type="dxa"/>
            <w:tcBorders>
              <w:top w:val="nil"/>
              <w:left w:val="nil"/>
              <w:bottom w:val="single" w:sz="4" w:space="0" w:color="auto"/>
              <w:right w:val="single" w:sz="4" w:space="0" w:color="auto"/>
            </w:tcBorders>
            <w:shd w:val="clear" w:color="auto" w:fill="auto"/>
            <w:noWrap/>
            <w:hideMark/>
          </w:tcPr>
          <w:p w14:paraId="26B01DB5" w14:textId="77777777" w:rsidR="006119EF" w:rsidRPr="00440394" w:rsidRDefault="006119EF" w:rsidP="00C654AE">
            <w:pPr>
              <w:jc w:val="right"/>
              <w:rPr>
                <w:sz w:val="20"/>
                <w:szCs w:val="20"/>
              </w:rPr>
            </w:pPr>
            <w:r>
              <w:rPr>
                <w:sz w:val="20"/>
              </w:rPr>
              <w:t>10</w:t>
            </w:r>
          </w:p>
        </w:tc>
        <w:tc>
          <w:tcPr>
            <w:tcW w:w="1138" w:type="dxa"/>
            <w:tcBorders>
              <w:top w:val="nil"/>
              <w:left w:val="nil"/>
              <w:bottom w:val="single" w:sz="4" w:space="0" w:color="auto"/>
              <w:right w:val="single" w:sz="4" w:space="0" w:color="auto"/>
            </w:tcBorders>
            <w:shd w:val="clear" w:color="auto" w:fill="auto"/>
            <w:noWrap/>
            <w:hideMark/>
          </w:tcPr>
          <w:p w14:paraId="4D70793B" w14:textId="77777777" w:rsidR="006119EF" w:rsidRPr="00440394" w:rsidRDefault="006119EF" w:rsidP="00C654AE">
            <w:pPr>
              <w:jc w:val="right"/>
              <w:rPr>
                <w:sz w:val="20"/>
                <w:szCs w:val="20"/>
              </w:rPr>
            </w:pPr>
            <w:r>
              <w:rPr>
                <w:sz w:val="20"/>
              </w:rPr>
              <w:t>0</w:t>
            </w:r>
          </w:p>
        </w:tc>
      </w:tr>
      <w:tr w:rsidR="006119EF" w:rsidRPr="00440394" w14:paraId="45AB9397"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460E122E" w14:textId="77777777" w:rsidR="006119EF" w:rsidRPr="00440394" w:rsidRDefault="006119EF" w:rsidP="00C654AE">
            <w:pPr>
              <w:jc w:val="left"/>
              <w:rPr>
                <w:sz w:val="20"/>
                <w:szCs w:val="20"/>
              </w:rPr>
            </w:pPr>
            <w:r>
              <w:rPr>
                <w:sz w:val="20"/>
              </w:rPr>
              <w:t xml:space="preserve">PGEH phase II </w:t>
            </w:r>
          </w:p>
        </w:tc>
        <w:tc>
          <w:tcPr>
            <w:tcW w:w="1135" w:type="dxa"/>
            <w:tcBorders>
              <w:top w:val="nil"/>
              <w:left w:val="nil"/>
              <w:bottom w:val="single" w:sz="4" w:space="0" w:color="auto"/>
              <w:right w:val="single" w:sz="4" w:space="0" w:color="auto"/>
            </w:tcBorders>
            <w:shd w:val="clear" w:color="auto" w:fill="auto"/>
            <w:noWrap/>
            <w:hideMark/>
          </w:tcPr>
          <w:p w14:paraId="24DC5BBC" w14:textId="77777777" w:rsidR="006119EF" w:rsidRPr="00440394" w:rsidRDefault="006119EF" w:rsidP="00C654AE">
            <w:pPr>
              <w:jc w:val="right"/>
              <w:rPr>
                <w:sz w:val="20"/>
                <w:szCs w:val="20"/>
              </w:rPr>
            </w:pPr>
            <w:r>
              <w:rPr>
                <w:sz w:val="20"/>
              </w:rPr>
              <w:t>278</w:t>
            </w:r>
          </w:p>
        </w:tc>
        <w:tc>
          <w:tcPr>
            <w:tcW w:w="1135" w:type="dxa"/>
            <w:tcBorders>
              <w:top w:val="nil"/>
              <w:left w:val="nil"/>
              <w:bottom w:val="single" w:sz="4" w:space="0" w:color="auto"/>
              <w:right w:val="single" w:sz="4" w:space="0" w:color="auto"/>
            </w:tcBorders>
            <w:shd w:val="clear" w:color="auto" w:fill="auto"/>
            <w:noWrap/>
            <w:hideMark/>
          </w:tcPr>
          <w:p w14:paraId="34B7F9CA" w14:textId="77777777" w:rsidR="006119EF" w:rsidRPr="00440394" w:rsidRDefault="006119EF" w:rsidP="00C654AE">
            <w:pPr>
              <w:jc w:val="right"/>
              <w:rPr>
                <w:sz w:val="20"/>
                <w:szCs w:val="20"/>
              </w:rPr>
            </w:pPr>
            <w:r>
              <w:rPr>
                <w:sz w:val="20"/>
              </w:rPr>
              <w:t>84</w:t>
            </w:r>
          </w:p>
        </w:tc>
        <w:tc>
          <w:tcPr>
            <w:tcW w:w="1136" w:type="dxa"/>
            <w:tcBorders>
              <w:top w:val="nil"/>
              <w:left w:val="nil"/>
              <w:bottom w:val="single" w:sz="4" w:space="0" w:color="auto"/>
              <w:right w:val="single" w:sz="4" w:space="0" w:color="auto"/>
            </w:tcBorders>
            <w:shd w:val="clear" w:color="auto" w:fill="auto"/>
            <w:noWrap/>
            <w:hideMark/>
          </w:tcPr>
          <w:p w14:paraId="10F68098" w14:textId="77777777" w:rsidR="006119EF" w:rsidRPr="00440394" w:rsidRDefault="006119EF" w:rsidP="00C654AE">
            <w:pPr>
              <w:jc w:val="right"/>
              <w:rPr>
                <w:sz w:val="20"/>
                <w:szCs w:val="20"/>
              </w:rPr>
            </w:pPr>
            <w:r>
              <w:rPr>
                <w:sz w:val="20"/>
              </w:rPr>
              <w:t>184</w:t>
            </w:r>
          </w:p>
        </w:tc>
        <w:tc>
          <w:tcPr>
            <w:tcW w:w="1135" w:type="dxa"/>
            <w:tcBorders>
              <w:top w:val="nil"/>
              <w:left w:val="nil"/>
              <w:bottom w:val="single" w:sz="4" w:space="0" w:color="auto"/>
              <w:right w:val="single" w:sz="4" w:space="0" w:color="auto"/>
            </w:tcBorders>
            <w:shd w:val="clear" w:color="auto" w:fill="auto"/>
            <w:noWrap/>
            <w:hideMark/>
          </w:tcPr>
          <w:p w14:paraId="5BB00243" w14:textId="77777777" w:rsidR="006119EF" w:rsidRPr="00440394" w:rsidRDefault="006119EF" w:rsidP="00C654AE">
            <w:pPr>
              <w:jc w:val="right"/>
              <w:rPr>
                <w:sz w:val="20"/>
                <w:szCs w:val="20"/>
              </w:rPr>
            </w:pPr>
            <w:r>
              <w:rPr>
                <w:sz w:val="20"/>
              </w:rPr>
              <w:t>547</w:t>
            </w:r>
          </w:p>
        </w:tc>
        <w:tc>
          <w:tcPr>
            <w:tcW w:w="1138" w:type="dxa"/>
            <w:tcBorders>
              <w:top w:val="nil"/>
              <w:left w:val="nil"/>
              <w:bottom w:val="single" w:sz="4" w:space="0" w:color="auto"/>
              <w:right w:val="single" w:sz="4" w:space="0" w:color="auto"/>
            </w:tcBorders>
            <w:shd w:val="clear" w:color="auto" w:fill="auto"/>
            <w:noWrap/>
            <w:hideMark/>
          </w:tcPr>
          <w:p w14:paraId="0A53A347" w14:textId="77777777" w:rsidR="006119EF" w:rsidRPr="00440394" w:rsidRDefault="006119EF" w:rsidP="00C654AE">
            <w:pPr>
              <w:jc w:val="right"/>
              <w:rPr>
                <w:sz w:val="20"/>
                <w:szCs w:val="20"/>
              </w:rPr>
            </w:pPr>
            <w:r>
              <w:rPr>
                <w:sz w:val="20"/>
              </w:rPr>
              <w:t>1 034</w:t>
            </w:r>
          </w:p>
        </w:tc>
      </w:tr>
      <w:tr w:rsidR="006119EF" w:rsidRPr="00440394" w14:paraId="02C3199C"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6249D58E" w14:textId="77777777" w:rsidR="006119EF" w:rsidRPr="00440394" w:rsidRDefault="006119EF" w:rsidP="00C654AE">
            <w:pPr>
              <w:jc w:val="left"/>
              <w:rPr>
                <w:sz w:val="20"/>
                <w:szCs w:val="20"/>
              </w:rPr>
            </w:pPr>
            <w:r>
              <w:rPr>
                <w:sz w:val="20"/>
              </w:rPr>
              <w:t>PGEH phase III</w:t>
            </w:r>
          </w:p>
        </w:tc>
        <w:tc>
          <w:tcPr>
            <w:tcW w:w="1135" w:type="dxa"/>
            <w:tcBorders>
              <w:top w:val="nil"/>
              <w:left w:val="nil"/>
              <w:bottom w:val="single" w:sz="4" w:space="0" w:color="auto"/>
              <w:right w:val="single" w:sz="4" w:space="0" w:color="auto"/>
            </w:tcBorders>
            <w:shd w:val="clear" w:color="auto" w:fill="auto"/>
            <w:noWrap/>
            <w:hideMark/>
          </w:tcPr>
          <w:p w14:paraId="45929049" w14:textId="77777777" w:rsidR="006119EF" w:rsidRPr="00440394" w:rsidRDefault="006119EF" w:rsidP="00C654AE">
            <w:pPr>
              <w:jc w:val="right"/>
              <w:rPr>
                <w:sz w:val="20"/>
                <w:szCs w:val="20"/>
              </w:rPr>
            </w:pPr>
            <w:r>
              <w:rPr>
                <w:sz w:val="20"/>
              </w:rPr>
              <w:t>4 929</w:t>
            </w:r>
          </w:p>
        </w:tc>
        <w:tc>
          <w:tcPr>
            <w:tcW w:w="1135" w:type="dxa"/>
            <w:tcBorders>
              <w:top w:val="nil"/>
              <w:left w:val="nil"/>
              <w:bottom w:val="single" w:sz="4" w:space="0" w:color="auto"/>
              <w:right w:val="single" w:sz="4" w:space="0" w:color="auto"/>
            </w:tcBorders>
            <w:shd w:val="clear" w:color="auto" w:fill="auto"/>
            <w:noWrap/>
            <w:hideMark/>
          </w:tcPr>
          <w:p w14:paraId="22B62959" w14:textId="77777777" w:rsidR="006119EF" w:rsidRPr="00440394" w:rsidRDefault="006119EF" w:rsidP="00C654AE">
            <w:pPr>
              <w:jc w:val="right"/>
              <w:rPr>
                <w:sz w:val="20"/>
                <w:szCs w:val="20"/>
              </w:rPr>
            </w:pPr>
            <w:r>
              <w:rPr>
                <w:sz w:val="20"/>
              </w:rPr>
              <w:t>29 677</w:t>
            </w:r>
          </w:p>
        </w:tc>
        <w:tc>
          <w:tcPr>
            <w:tcW w:w="1136" w:type="dxa"/>
            <w:tcBorders>
              <w:top w:val="nil"/>
              <w:left w:val="nil"/>
              <w:bottom w:val="single" w:sz="4" w:space="0" w:color="auto"/>
              <w:right w:val="single" w:sz="4" w:space="0" w:color="auto"/>
            </w:tcBorders>
            <w:shd w:val="clear" w:color="auto" w:fill="auto"/>
            <w:noWrap/>
            <w:hideMark/>
          </w:tcPr>
          <w:p w14:paraId="415CF33B" w14:textId="77777777" w:rsidR="006119EF" w:rsidRPr="00440394" w:rsidRDefault="006119EF" w:rsidP="00C654AE">
            <w:pPr>
              <w:jc w:val="right"/>
              <w:rPr>
                <w:sz w:val="20"/>
                <w:szCs w:val="20"/>
              </w:rPr>
            </w:pPr>
            <w:r>
              <w:rPr>
                <w:sz w:val="20"/>
              </w:rPr>
              <w:t>52 334</w:t>
            </w:r>
          </w:p>
        </w:tc>
        <w:tc>
          <w:tcPr>
            <w:tcW w:w="1135" w:type="dxa"/>
            <w:tcBorders>
              <w:top w:val="nil"/>
              <w:left w:val="nil"/>
              <w:bottom w:val="single" w:sz="4" w:space="0" w:color="auto"/>
              <w:right w:val="single" w:sz="4" w:space="0" w:color="auto"/>
            </w:tcBorders>
            <w:shd w:val="clear" w:color="auto" w:fill="auto"/>
            <w:noWrap/>
            <w:hideMark/>
          </w:tcPr>
          <w:p w14:paraId="25EBE53E" w14:textId="77777777" w:rsidR="006119EF" w:rsidRPr="00440394" w:rsidRDefault="006119EF" w:rsidP="00C654AE">
            <w:pPr>
              <w:jc w:val="right"/>
              <w:rPr>
                <w:sz w:val="20"/>
                <w:szCs w:val="20"/>
              </w:rPr>
            </w:pPr>
            <w:r>
              <w:rPr>
                <w:sz w:val="20"/>
              </w:rPr>
              <w:t>86 940</w:t>
            </w:r>
          </w:p>
        </w:tc>
        <w:tc>
          <w:tcPr>
            <w:tcW w:w="1138" w:type="dxa"/>
            <w:tcBorders>
              <w:top w:val="nil"/>
              <w:left w:val="nil"/>
              <w:bottom w:val="single" w:sz="4" w:space="0" w:color="auto"/>
              <w:right w:val="single" w:sz="4" w:space="0" w:color="auto"/>
            </w:tcBorders>
            <w:shd w:val="clear" w:color="auto" w:fill="auto"/>
            <w:noWrap/>
            <w:hideMark/>
          </w:tcPr>
          <w:p w14:paraId="65C647F3" w14:textId="77777777" w:rsidR="006119EF" w:rsidRPr="00440394" w:rsidRDefault="006119EF" w:rsidP="00C654AE">
            <w:pPr>
              <w:jc w:val="right"/>
              <w:rPr>
                <w:sz w:val="20"/>
                <w:szCs w:val="20"/>
              </w:rPr>
            </w:pPr>
            <w:r>
              <w:rPr>
                <w:sz w:val="20"/>
              </w:rPr>
              <w:t>4 609</w:t>
            </w:r>
          </w:p>
        </w:tc>
      </w:tr>
      <w:tr w:rsidR="006119EF" w:rsidRPr="00440394" w14:paraId="7E9C5829"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11BA3178" w14:textId="77777777" w:rsidR="006119EF" w:rsidRPr="006119EF" w:rsidRDefault="006119EF" w:rsidP="00C654AE">
            <w:pPr>
              <w:jc w:val="left"/>
              <w:rPr>
                <w:b/>
                <w:bCs/>
                <w:sz w:val="20"/>
                <w:szCs w:val="20"/>
                <w:lang w:val="fr-FR"/>
              </w:rPr>
            </w:pPr>
            <w:r w:rsidRPr="006119EF">
              <w:rPr>
                <w:b/>
                <w:sz w:val="20"/>
                <w:lang w:val="fr-FR"/>
              </w:rPr>
              <w:t>Sous-total des activités pour les HCFC</w:t>
            </w:r>
          </w:p>
        </w:tc>
        <w:tc>
          <w:tcPr>
            <w:tcW w:w="1135" w:type="dxa"/>
            <w:tcBorders>
              <w:top w:val="nil"/>
              <w:left w:val="nil"/>
              <w:bottom w:val="single" w:sz="4" w:space="0" w:color="auto"/>
              <w:right w:val="single" w:sz="4" w:space="0" w:color="auto"/>
            </w:tcBorders>
            <w:shd w:val="clear" w:color="auto" w:fill="auto"/>
            <w:noWrap/>
            <w:hideMark/>
          </w:tcPr>
          <w:p w14:paraId="2F087A20" w14:textId="77777777" w:rsidR="006119EF" w:rsidRPr="00440394" w:rsidRDefault="006119EF" w:rsidP="00C654AE">
            <w:pPr>
              <w:jc w:val="right"/>
              <w:rPr>
                <w:b/>
                <w:bCs/>
                <w:sz w:val="20"/>
                <w:szCs w:val="20"/>
              </w:rPr>
            </w:pPr>
            <w:r>
              <w:rPr>
                <w:b/>
                <w:sz w:val="20"/>
              </w:rPr>
              <w:t>16 244</w:t>
            </w:r>
          </w:p>
        </w:tc>
        <w:tc>
          <w:tcPr>
            <w:tcW w:w="1135" w:type="dxa"/>
            <w:tcBorders>
              <w:top w:val="nil"/>
              <w:left w:val="nil"/>
              <w:bottom w:val="single" w:sz="4" w:space="0" w:color="auto"/>
              <w:right w:val="single" w:sz="4" w:space="0" w:color="auto"/>
            </w:tcBorders>
            <w:shd w:val="clear" w:color="auto" w:fill="auto"/>
            <w:noWrap/>
            <w:hideMark/>
          </w:tcPr>
          <w:p w14:paraId="7341EA93" w14:textId="77777777" w:rsidR="006119EF" w:rsidRPr="00440394" w:rsidRDefault="006119EF" w:rsidP="00C654AE">
            <w:pPr>
              <w:jc w:val="right"/>
              <w:rPr>
                <w:b/>
                <w:bCs/>
                <w:sz w:val="20"/>
                <w:szCs w:val="20"/>
              </w:rPr>
            </w:pPr>
            <w:r>
              <w:rPr>
                <w:b/>
                <w:sz w:val="20"/>
              </w:rPr>
              <w:t>48 110</w:t>
            </w:r>
          </w:p>
        </w:tc>
        <w:tc>
          <w:tcPr>
            <w:tcW w:w="1136" w:type="dxa"/>
            <w:tcBorders>
              <w:top w:val="nil"/>
              <w:left w:val="nil"/>
              <w:bottom w:val="single" w:sz="4" w:space="0" w:color="auto"/>
              <w:right w:val="single" w:sz="4" w:space="0" w:color="auto"/>
            </w:tcBorders>
            <w:shd w:val="clear" w:color="auto" w:fill="auto"/>
            <w:noWrap/>
            <w:hideMark/>
          </w:tcPr>
          <w:p w14:paraId="42D0F826" w14:textId="77777777" w:rsidR="006119EF" w:rsidRPr="00440394" w:rsidRDefault="006119EF" w:rsidP="00C654AE">
            <w:pPr>
              <w:jc w:val="right"/>
              <w:rPr>
                <w:b/>
                <w:bCs/>
                <w:sz w:val="20"/>
                <w:szCs w:val="20"/>
              </w:rPr>
            </w:pPr>
            <w:r>
              <w:rPr>
                <w:b/>
                <w:sz w:val="20"/>
              </w:rPr>
              <w:t>54 200</w:t>
            </w:r>
          </w:p>
        </w:tc>
        <w:tc>
          <w:tcPr>
            <w:tcW w:w="1135" w:type="dxa"/>
            <w:tcBorders>
              <w:top w:val="nil"/>
              <w:left w:val="nil"/>
              <w:bottom w:val="single" w:sz="4" w:space="0" w:color="auto"/>
              <w:right w:val="single" w:sz="4" w:space="0" w:color="auto"/>
            </w:tcBorders>
            <w:shd w:val="clear" w:color="auto" w:fill="auto"/>
            <w:noWrap/>
            <w:hideMark/>
          </w:tcPr>
          <w:p w14:paraId="65CC8F43" w14:textId="77777777" w:rsidR="006119EF" w:rsidRPr="00440394" w:rsidRDefault="006119EF" w:rsidP="00C654AE">
            <w:pPr>
              <w:jc w:val="right"/>
              <w:rPr>
                <w:b/>
                <w:bCs/>
                <w:sz w:val="20"/>
                <w:szCs w:val="20"/>
              </w:rPr>
            </w:pPr>
            <w:r>
              <w:rPr>
                <w:b/>
                <w:sz w:val="20"/>
              </w:rPr>
              <w:t>118 554</w:t>
            </w:r>
          </w:p>
        </w:tc>
        <w:tc>
          <w:tcPr>
            <w:tcW w:w="1138" w:type="dxa"/>
            <w:tcBorders>
              <w:top w:val="nil"/>
              <w:left w:val="nil"/>
              <w:bottom w:val="single" w:sz="4" w:space="0" w:color="auto"/>
              <w:right w:val="single" w:sz="4" w:space="0" w:color="auto"/>
            </w:tcBorders>
            <w:shd w:val="clear" w:color="auto" w:fill="auto"/>
            <w:noWrap/>
            <w:hideMark/>
          </w:tcPr>
          <w:p w14:paraId="73A0E5C9" w14:textId="77777777" w:rsidR="006119EF" w:rsidRPr="00440394" w:rsidRDefault="006119EF" w:rsidP="00C654AE">
            <w:pPr>
              <w:jc w:val="right"/>
              <w:rPr>
                <w:b/>
                <w:bCs/>
                <w:sz w:val="20"/>
                <w:szCs w:val="20"/>
              </w:rPr>
            </w:pPr>
            <w:r>
              <w:rPr>
                <w:b/>
                <w:sz w:val="20"/>
              </w:rPr>
              <w:t>28 236</w:t>
            </w:r>
          </w:p>
        </w:tc>
      </w:tr>
      <w:tr w:rsidR="006119EF" w:rsidRPr="00440394" w14:paraId="467B56FC" w14:textId="77777777" w:rsidTr="00C654AE">
        <w:tc>
          <w:tcPr>
            <w:tcW w:w="94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EEF1EBF" w14:textId="77777777" w:rsidR="006119EF" w:rsidRPr="00440394" w:rsidRDefault="006119EF" w:rsidP="00C654AE">
            <w:pPr>
              <w:jc w:val="left"/>
              <w:rPr>
                <w:b/>
                <w:bCs/>
                <w:sz w:val="20"/>
                <w:szCs w:val="20"/>
              </w:rPr>
            </w:pPr>
            <w:r>
              <w:rPr>
                <w:b/>
                <w:sz w:val="20"/>
              </w:rPr>
              <w:lastRenderedPageBreak/>
              <w:t>Activités pour les HFC</w:t>
            </w:r>
          </w:p>
        </w:tc>
      </w:tr>
      <w:tr w:rsidR="006119EF" w:rsidRPr="00440394" w14:paraId="5AB5959F"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04C4D3F9" w14:textId="11C2797C" w:rsidR="006119EF" w:rsidRPr="006D24F8" w:rsidRDefault="006D24F8" w:rsidP="00C654AE">
            <w:pPr>
              <w:jc w:val="left"/>
              <w:rPr>
                <w:sz w:val="20"/>
                <w:szCs w:val="20"/>
                <w:lang w:val="fr-FR"/>
              </w:rPr>
            </w:pPr>
            <w:r>
              <w:rPr>
                <w:sz w:val="21"/>
                <w:lang w:val="fr-FR"/>
              </w:rPr>
              <w:t>P</w:t>
            </w:r>
            <w:r w:rsidRPr="006D24F8">
              <w:rPr>
                <w:sz w:val="21"/>
                <w:lang w:val="fr-FR"/>
              </w:rPr>
              <w:t xml:space="preserve">lan de mise en œuvre de l’Amendement de Kigali </w:t>
            </w:r>
            <w:r w:rsidR="006119EF" w:rsidRPr="006D24F8">
              <w:rPr>
                <w:sz w:val="20"/>
                <w:lang w:val="fr-FR"/>
              </w:rPr>
              <w:t>– PRP</w:t>
            </w:r>
          </w:p>
        </w:tc>
        <w:tc>
          <w:tcPr>
            <w:tcW w:w="1135" w:type="dxa"/>
            <w:tcBorders>
              <w:top w:val="nil"/>
              <w:left w:val="nil"/>
              <w:bottom w:val="single" w:sz="4" w:space="0" w:color="auto"/>
              <w:right w:val="single" w:sz="4" w:space="0" w:color="auto"/>
            </w:tcBorders>
            <w:shd w:val="clear" w:color="auto" w:fill="auto"/>
            <w:noWrap/>
            <w:hideMark/>
          </w:tcPr>
          <w:p w14:paraId="0E04A371" w14:textId="77777777" w:rsidR="006119EF" w:rsidRPr="00440394" w:rsidRDefault="006119EF" w:rsidP="00C654AE">
            <w:pPr>
              <w:jc w:val="right"/>
              <w:rPr>
                <w:sz w:val="20"/>
                <w:szCs w:val="20"/>
              </w:rPr>
            </w:pPr>
            <w:r>
              <w:rPr>
                <w:sz w:val="20"/>
              </w:rPr>
              <w:t>723</w:t>
            </w:r>
          </w:p>
        </w:tc>
        <w:tc>
          <w:tcPr>
            <w:tcW w:w="1135" w:type="dxa"/>
            <w:tcBorders>
              <w:top w:val="nil"/>
              <w:left w:val="nil"/>
              <w:bottom w:val="single" w:sz="4" w:space="0" w:color="auto"/>
              <w:right w:val="single" w:sz="4" w:space="0" w:color="auto"/>
            </w:tcBorders>
            <w:shd w:val="clear" w:color="auto" w:fill="auto"/>
            <w:noWrap/>
            <w:hideMark/>
          </w:tcPr>
          <w:p w14:paraId="62FEF16D" w14:textId="77777777" w:rsidR="006119EF" w:rsidRPr="00440394" w:rsidRDefault="006119EF" w:rsidP="00C654AE">
            <w:pPr>
              <w:jc w:val="right"/>
              <w:rPr>
                <w:sz w:val="20"/>
                <w:szCs w:val="20"/>
              </w:rPr>
            </w:pPr>
            <w:r>
              <w:rPr>
                <w:sz w:val="20"/>
              </w:rPr>
              <w:t>467</w:t>
            </w:r>
          </w:p>
        </w:tc>
        <w:tc>
          <w:tcPr>
            <w:tcW w:w="1136" w:type="dxa"/>
            <w:tcBorders>
              <w:top w:val="nil"/>
              <w:left w:val="nil"/>
              <w:bottom w:val="single" w:sz="4" w:space="0" w:color="auto"/>
              <w:right w:val="single" w:sz="4" w:space="0" w:color="auto"/>
            </w:tcBorders>
            <w:shd w:val="clear" w:color="auto" w:fill="auto"/>
            <w:noWrap/>
            <w:hideMark/>
          </w:tcPr>
          <w:p w14:paraId="6980D875" w14:textId="77777777" w:rsidR="006119EF" w:rsidRPr="00440394" w:rsidRDefault="006119EF" w:rsidP="00C654AE">
            <w:pPr>
              <w:jc w:val="right"/>
              <w:rPr>
                <w:sz w:val="20"/>
                <w:szCs w:val="20"/>
              </w:rPr>
            </w:pPr>
            <w:r>
              <w:rPr>
                <w:sz w:val="20"/>
              </w:rPr>
              <w:t>0</w:t>
            </w:r>
          </w:p>
        </w:tc>
        <w:tc>
          <w:tcPr>
            <w:tcW w:w="1135" w:type="dxa"/>
            <w:tcBorders>
              <w:top w:val="nil"/>
              <w:left w:val="nil"/>
              <w:bottom w:val="single" w:sz="4" w:space="0" w:color="auto"/>
              <w:right w:val="single" w:sz="4" w:space="0" w:color="auto"/>
            </w:tcBorders>
            <w:shd w:val="clear" w:color="auto" w:fill="auto"/>
            <w:noWrap/>
            <w:hideMark/>
          </w:tcPr>
          <w:p w14:paraId="0EFCF5FF" w14:textId="77777777" w:rsidR="006119EF" w:rsidRPr="00440394" w:rsidRDefault="006119EF" w:rsidP="00C654AE">
            <w:pPr>
              <w:jc w:val="right"/>
              <w:rPr>
                <w:sz w:val="20"/>
                <w:szCs w:val="20"/>
              </w:rPr>
            </w:pPr>
            <w:r>
              <w:rPr>
                <w:sz w:val="20"/>
              </w:rPr>
              <w:t>1 190</w:t>
            </w:r>
          </w:p>
        </w:tc>
        <w:tc>
          <w:tcPr>
            <w:tcW w:w="1138" w:type="dxa"/>
            <w:tcBorders>
              <w:top w:val="nil"/>
              <w:left w:val="nil"/>
              <w:bottom w:val="single" w:sz="4" w:space="0" w:color="auto"/>
              <w:right w:val="single" w:sz="4" w:space="0" w:color="auto"/>
            </w:tcBorders>
            <w:shd w:val="clear" w:color="auto" w:fill="auto"/>
            <w:noWrap/>
            <w:hideMark/>
          </w:tcPr>
          <w:p w14:paraId="1975E3EC" w14:textId="77777777" w:rsidR="006119EF" w:rsidRPr="00440394" w:rsidRDefault="006119EF" w:rsidP="00C654AE">
            <w:pPr>
              <w:jc w:val="right"/>
              <w:rPr>
                <w:sz w:val="20"/>
                <w:szCs w:val="20"/>
              </w:rPr>
            </w:pPr>
            <w:r>
              <w:rPr>
                <w:sz w:val="20"/>
              </w:rPr>
              <w:t>0</w:t>
            </w:r>
          </w:p>
        </w:tc>
      </w:tr>
      <w:tr w:rsidR="006119EF" w:rsidRPr="00440394" w14:paraId="01571B53"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0339DA25" w14:textId="0F86C4C0" w:rsidR="006119EF" w:rsidRPr="006D24F8" w:rsidRDefault="006D24F8" w:rsidP="00C654AE">
            <w:pPr>
              <w:jc w:val="left"/>
              <w:rPr>
                <w:sz w:val="20"/>
                <w:szCs w:val="20"/>
                <w:lang w:val="fr-FR"/>
              </w:rPr>
            </w:pPr>
            <w:r>
              <w:rPr>
                <w:sz w:val="21"/>
                <w:lang w:val="fr-FR"/>
              </w:rPr>
              <w:t>P</w:t>
            </w:r>
            <w:r w:rsidRPr="006D24F8">
              <w:rPr>
                <w:sz w:val="21"/>
                <w:lang w:val="fr-FR"/>
              </w:rPr>
              <w:t>lan</w:t>
            </w:r>
            <w:r>
              <w:rPr>
                <w:sz w:val="21"/>
                <w:lang w:val="fr-FR"/>
              </w:rPr>
              <w:t>s</w:t>
            </w:r>
            <w:r w:rsidRPr="006D24F8">
              <w:rPr>
                <w:sz w:val="21"/>
                <w:lang w:val="fr-FR"/>
              </w:rPr>
              <w:t xml:space="preserve"> de mise en œuvre de l’Amendement de Kigali</w:t>
            </w:r>
          </w:p>
        </w:tc>
        <w:tc>
          <w:tcPr>
            <w:tcW w:w="1135" w:type="dxa"/>
            <w:tcBorders>
              <w:top w:val="nil"/>
              <w:left w:val="nil"/>
              <w:bottom w:val="single" w:sz="4" w:space="0" w:color="auto"/>
              <w:right w:val="single" w:sz="4" w:space="0" w:color="auto"/>
            </w:tcBorders>
            <w:shd w:val="clear" w:color="auto" w:fill="auto"/>
            <w:noWrap/>
            <w:hideMark/>
          </w:tcPr>
          <w:p w14:paraId="5D7267B3" w14:textId="77777777" w:rsidR="006119EF" w:rsidRPr="00440394" w:rsidRDefault="006119EF" w:rsidP="00C654AE">
            <w:pPr>
              <w:jc w:val="right"/>
              <w:rPr>
                <w:sz w:val="20"/>
                <w:szCs w:val="20"/>
              </w:rPr>
            </w:pPr>
            <w:r>
              <w:rPr>
                <w:sz w:val="20"/>
              </w:rPr>
              <w:t>0</w:t>
            </w:r>
          </w:p>
        </w:tc>
        <w:tc>
          <w:tcPr>
            <w:tcW w:w="1135" w:type="dxa"/>
            <w:tcBorders>
              <w:top w:val="nil"/>
              <w:left w:val="nil"/>
              <w:bottom w:val="single" w:sz="4" w:space="0" w:color="auto"/>
              <w:right w:val="single" w:sz="4" w:space="0" w:color="auto"/>
            </w:tcBorders>
            <w:shd w:val="clear" w:color="auto" w:fill="auto"/>
            <w:noWrap/>
            <w:hideMark/>
          </w:tcPr>
          <w:p w14:paraId="090128F5" w14:textId="77777777" w:rsidR="006119EF" w:rsidRPr="00440394" w:rsidRDefault="006119EF" w:rsidP="00C654AE">
            <w:pPr>
              <w:jc w:val="right"/>
              <w:rPr>
                <w:sz w:val="20"/>
                <w:szCs w:val="20"/>
              </w:rPr>
            </w:pPr>
            <w:r>
              <w:rPr>
                <w:sz w:val="20"/>
              </w:rPr>
              <w:t>25 966</w:t>
            </w:r>
          </w:p>
        </w:tc>
        <w:tc>
          <w:tcPr>
            <w:tcW w:w="1136" w:type="dxa"/>
            <w:tcBorders>
              <w:top w:val="nil"/>
              <w:left w:val="nil"/>
              <w:bottom w:val="single" w:sz="4" w:space="0" w:color="auto"/>
              <w:right w:val="single" w:sz="4" w:space="0" w:color="auto"/>
            </w:tcBorders>
            <w:shd w:val="clear" w:color="auto" w:fill="auto"/>
            <w:noWrap/>
            <w:hideMark/>
          </w:tcPr>
          <w:p w14:paraId="0C8CEAD7" w14:textId="77777777" w:rsidR="006119EF" w:rsidRPr="00440394" w:rsidRDefault="006119EF" w:rsidP="00C654AE">
            <w:pPr>
              <w:jc w:val="right"/>
              <w:rPr>
                <w:sz w:val="20"/>
                <w:szCs w:val="20"/>
              </w:rPr>
            </w:pPr>
            <w:r>
              <w:rPr>
                <w:sz w:val="20"/>
              </w:rPr>
              <w:t>0</w:t>
            </w:r>
          </w:p>
        </w:tc>
        <w:tc>
          <w:tcPr>
            <w:tcW w:w="1135" w:type="dxa"/>
            <w:tcBorders>
              <w:top w:val="nil"/>
              <w:left w:val="nil"/>
              <w:bottom w:val="single" w:sz="4" w:space="0" w:color="auto"/>
              <w:right w:val="single" w:sz="4" w:space="0" w:color="auto"/>
            </w:tcBorders>
            <w:shd w:val="clear" w:color="auto" w:fill="auto"/>
            <w:noWrap/>
            <w:hideMark/>
          </w:tcPr>
          <w:p w14:paraId="1519F78D" w14:textId="77777777" w:rsidR="006119EF" w:rsidRPr="00440394" w:rsidRDefault="006119EF" w:rsidP="00C654AE">
            <w:pPr>
              <w:jc w:val="right"/>
              <w:rPr>
                <w:sz w:val="20"/>
                <w:szCs w:val="20"/>
              </w:rPr>
            </w:pPr>
            <w:r>
              <w:rPr>
                <w:sz w:val="20"/>
              </w:rPr>
              <w:t>25 966</w:t>
            </w:r>
          </w:p>
        </w:tc>
        <w:tc>
          <w:tcPr>
            <w:tcW w:w="1138" w:type="dxa"/>
            <w:tcBorders>
              <w:top w:val="nil"/>
              <w:left w:val="nil"/>
              <w:bottom w:val="single" w:sz="4" w:space="0" w:color="auto"/>
              <w:right w:val="single" w:sz="4" w:space="0" w:color="auto"/>
            </w:tcBorders>
            <w:shd w:val="clear" w:color="auto" w:fill="auto"/>
            <w:noWrap/>
            <w:hideMark/>
          </w:tcPr>
          <w:p w14:paraId="203A8D9A" w14:textId="77777777" w:rsidR="006119EF" w:rsidRPr="00440394" w:rsidRDefault="006119EF" w:rsidP="00C654AE">
            <w:pPr>
              <w:jc w:val="right"/>
              <w:rPr>
                <w:sz w:val="20"/>
                <w:szCs w:val="20"/>
              </w:rPr>
            </w:pPr>
            <w:r>
              <w:rPr>
                <w:sz w:val="20"/>
              </w:rPr>
              <w:t>19 165</w:t>
            </w:r>
          </w:p>
        </w:tc>
      </w:tr>
      <w:tr w:rsidR="006119EF" w:rsidRPr="00440394" w14:paraId="6D759B5B"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05BFF27B" w14:textId="77777777" w:rsidR="006119EF" w:rsidRPr="006119EF" w:rsidRDefault="006119EF" w:rsidP="00C654AE">
            <w:pPr>
              <w:jc w:val="left"/>
              <w:rPr>
                <w:b/>
                <w:bCs/>
                <w:sz w:val="20"/>
                <w:szCs w:val="20"/>
                <w:lang w:val="fr-FR"/>
              </w:rPr>
            </w:pPr>
            <w:r w:rsidRPr="006119EF">
              <w:rPr>
                <w:b/>
                <w:sz w:val="20"/>
                <w:lang w:val="fr-FR"/>
              </w:rPr>
              <w:t>Sous-total des activités pour les HFC</w:t>
            </w:r>
          </w:p>
        </w:tc>
        <w:tc>
          <w:tcPr>
            <w:tcW w:w="1135" w:type="dxa"/>
            <w:tcBorders>
              <w:top w:val="nil"/>
              <w:left w:val="nil"/>
              <w:bottom w:val="single" w:sz="4" w:space="0" w:color="auto"/>
              <w:right w:val="single" w:sz="4" w:space="0" w:color="auto"/>
            </w:tcBorders>
            <w:shd w:val="clear" w:color="auto" w:fill="auto"/>
            <w:noWrap/>
            <w:hideMark/>
          </w:tcPr>
          <w:p w14:paraId="2FC61C6C" w14:textId="77777777" w:rsidR="006119EF" w:rsidRPr="00440394" w:rsidRDefault="006119EF" w:rsidP="00C654AE">
            <w:pPr>
              <w:jc w:val="right"/>
              <w:rPr>
                <w:b/>
                <w:bCs/>
                <w:sz w:val="20"/>
                <w:szCs w:val="20"/>
              </w:rPr>
            </w:pPr>
            <w:r>
              <w:rPr>
                <w:b/>
                <w:sz w:val="20"/>
              </w:rPr>
              <w:t>723</w:t>
            </w:r>
          </w:p>
        </w:tc>
        <w:tc>
          <w:tcPr>
            <w:tcW w:w="1135" w:type="dxa"/>
            <w:tcBorders>
              <w:top w:val="nil"/>
              <w:left w:val="nil"/>
              <w:bottom w:val="single" w:sz="4" w:space="0" w:color="auto"/>
              <w:right w:val="single" w:sz="4" w:space="0" w:color="auto"/>
            </w:tcBorders>
            <w:shd w:val="clear" w:color="auto" w:fill="auto"/>
            <w:noWrap/>
            <w:hideMark/>
          </w:tcPr>
          <w:p w14:paraId="5E3D21FF" w14:textId="77777777" w:rsidR="006119EF" w:rsidRPr="00440394" w:rsidRDefault="006119EF" w:rsidP="00C654AE">
            <w:pPr>
              <w:jc w:val="right"/>
              <w:rPr>
                <w:b/>
                <w:bCs/>
                <w:sz w:val="20"/>
                <w:szCs w:val="20"/>
              </w:rPr>
            </w:pPr>
            <w:r>
              <w:rPr>
                <w:b/>
                <w:sz w:val="20"/>
              </w:rPr>
              <w:t>26 433</w:t>
            </w:r>
          </w:p>
        </w:tc>
        <w:tc>
          <w:tcPr>
            <w:tcW w:w="1136" w:type="dxa"/>
            <w:tcBorders>
              <w:top w:val="nil"/>
              <w:left w:val="nil"/>
              <w:bottom w:val="single" w:sz="4" w:space="0" w:color="auto"/>
              <w:right w:val="single" w:sz="4" w:space="0" w:color="auto"/>
            </w:tcBorders>
            <w:shd w:val="clear" w:color="auto" w:fill="auto"/>
            <w:noWrap/>
            <w:hideMark/>
          </w:tcPr>
          <w:p w14:paraId="6A4E2E7B" w14:textId="77777777" w:rsidR="006119EF" w:rsidRPr="00440394" w:rsidRDefault="006119EF" w:rsidP="00C654AE">
            <w:pPr>
              <w:jc w:val="right"/>
              <w:rPr>
                <w:b/>
                <w:bCs/>
                <w:sz w:val="20"/>
                <w:szCs w:val="20"/>
              </w:rPr>
            </w:pPr>
            <w:r>
              <w:rPr>
                <w:b/>
                <w:sz w:val="20"/>
              </w:rPr>
              <w:t>0</w:t>
            </w:r>
          </w:p>
        </w:tc>
        <w:tc>
          <w:tcPr>
            <w:tcW w:w="1135" w:type="dxa"/>
            <w:tcBorders>
              <w:top w:val="nil"/>
              <w:left w:val="nil"/>
              <w:bottom w:val="single" w:sz="4" w:space="0" w:color="auto"/>
              <w:right w:val="single" w:sz="4" w:space="0" w:color="auto"/>
            </w:tcBorders>
            <w:shd w:val="clear" w:color="auto" w:fill="auto"/>
            <w:noWrap/>
            <w:hideMark/>
          </w:tcPr>
          <w:p w14:paraId="545A09FC" w14:textId="77777777" w:rsidR="006119EF" w:rsidRPr="00440394" w:rsidRDefault="006119EF" w:rsidP="00C654AE">
            <w:pPr>
              <w:jc w:val="right"/>
              <w:rPr>
                <w:b/>
                <w:bCs/>
                <w:sz w:val="20"/>
                <w:szCs w:val="20"/>
              </w:rPr>
            </w:pPr>
            <w:r>
              <w:rPr>
                <w:b/>
                <w:sz w:val="20"/>
              </w:rPr>
              <w:t>27 156</w:t>
            </w:r>
          </w:p>
        </w:tc>
        <w:tc>
          <w:tcPr>
            <w:tcW w:w="1138" w:type="dxa"/>
            <w:tcBorders>
              <w:top w:val="nil"/>
              <w:left w:val="nil"/>
              <w:bottom w:val="single" w:sz="4" w:space="0" w:color="auto"/>
              <w:right w:val="single" w:sz="4" w:space="0" w:color="auto"/>
            </w:tcBorders>
            <w:shd w:val="clear" w:color="auto" w:fill="auto"/>
            <w:noWrap/>
            <w:hideMark/>
          </w:tcPr>
          <w:p w14:paraId="1D3DF891" w14:textId="77777777" w:rsidR="006119EF" w:rsidRPr="00440394" w:rsidRDefault="006119EF" w:rsidP="00C654AE">
            <w:pPr>
              <w:jc w:val="right"/>
              <w:rPr>
                <w:b/>
                <w:bCs/>
                <w:sz w:val="20"/>
                <w:szCs w:val="20"/>
              </w:rPr>
            </w:pPr>
            <w:r>
              <w:rPr>
                <w:b/>
                <w:sz w:val="20"/>
              </w:rPr>
              <w:t>19 165</w:t>
            </w:r>
          </w:p>
        </w:tc>
      </w:tr>
      <w:tr w:rsidR="006119EF" w:rsidRPr="00440394" w14:paraId="4D15BBA1" w14:textId="77777777" w:rsidTr="00C654AE">
        <w:tc>
          <w:tcPr>
            <w:tcW w:w="945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3D5D33D" w14:textId="77777777" w:rsidR="006119EF" w:rsidRPr="00440394" w:rsidRDefault="006119EF" w:rsidP="00C654AE">
            <w:pPr>
              <w:jc w:val="left"/>
              <w:rPr>
                <w:b/>
                <w:bCs/>
                <w:sz w:val="20"/>
                <w:szCs w:val="20"/>
              </w:rPr>
            </w:pPr>
            <w:r>
              <w:rPr>
                <w:b/>
                <w:sz w:val="20"/>
              </w:rPr>
              <w:t>Activités standard</w:t>
            </w:r>
          </w:p>
        </w:tc>
      </w:tr>
      <w:tr w:rsidR="006119EF" w:rsidRPr="00440394" w14:paraId="671FB52E"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55CBDB9D" w14:textId="77777777" w:rsidR="006119EF" w:rsidRPr="00440394" w:rsidRDefault="006119EF" w:rsidP="00C654AE">
            <w:pPr>
              <w:jc w:val="left"/>
              <w:rPr>
                <w:sz w:val="20"/>
                <w:szCs w:val="20"/>
              </w:rPr>
            </w:pPr>
            <w:r>
              <w:rPr>
                <w:sz w:val="20"/>
              </w:rPr>
              <w:t>RI</w:t>
            </w:r>
          </w:p>
        </w:tc>
        <w:tc>
          <w:tcPr>
            <w:tcW w:w="1135" w:type="dxa"/>
            <w:tcBorders>
              <w:top w:val="nil"/>
              <w:left w:val="nil"/>
              <w:bottom w:val="single" w:sz="4" w:space="0" w:color="auto"/>
              <w:right w:val="single" w:sz="4" w:space="0" w:color="auto"/>
            </w:tcBorders>
            <w:shd w:val="clear" w:color="auto" w:fill="auto"/>
            <w:noWrap/>
            <w:hideMark/>
          </w:tcPr>
          <w:p w14:paraId="08B504DC" w14:textId="77777777" w:rsidR="006119EF" w:rsidRPr="00440394" w:rsidRDefault="006119EF" w:rsidP="00C654AE">
            <w:pPr>
              <w:jc w:val="right"/>
              <w:rPr>
                <w:sz w:val="20"/>
                <w:szCs w:val="20"/>
              </w:rPr>
            </w:pPr>
            <w:r>
              <w:rPr>
                <w:sz w:val="20"/>
              </w:rPr>
              <w:t>2 274</w:t>
            </w:r>
          </w:p>
        </w:tc>
        <w:tc>
          <w:tcPr>
            <w:tcW w:w="1136" w:type="dxa"/>
            <w:tcBorders>
              <w:top w:val="nil"/>
              <w:left w:val="nil"/>
              <w:bottom w:val="single" w:sz="4" w:space="0" w:color="auto"/>
              <w:right w:val="single" w:sz="4" w:space="0" w:color="auto"/>
            </w:tcBorders>
            <w:shd w:val="clear" w:color="auto" w:fill="auto"/>
            <w:noWrap/>
            <w:hideMark/>
          </w:tcPr>
          <w:p w14:paraId="238811D6" w14:textId="77777777" w:rsidR="006119EF" w:rsidRPr="00440394" w:rsidRDefault="006119EF" w:rsidP="00C654AE">
            <w:pPr>
              <w:jc w:val="right"/>
              <w:rPr>
                <w:sz w:val="20"/>
                <w:szCs w:val="20"/>
              </w:rPr>
            </w:pPr>
            <w:r>
              <w:rPr>
                <w:sz w:val="20"/>
              </w:rPr>
              <w:t>4 113</w:t>
            </w:r>
          </w:p>
        </w:tc>
        <w:tc>
          <w:tcPr>
            <w:tcW w:w="1136" w:type="dxa"/>
            <w:tcBorders>
              <w:top w:val="nil"/>
              <w:left w:val="nil"/>
              <w:bottom w:val="single" w:sz="4" w:space="0" w:color="auto"/>
              <w:right w:val="single" w:sz="4" w:space="0" w:color="auto"/>
            </w:tcBorders>
            <w:shd w:val="clear" w:color="auto" w:fill="auto"/>
            <w:noWrap/>
            <w:hideMark/>
          </w:tcPr>
          <w:p w14:paraId="36211523" w14:textId="77777777" w:rsidR="006119EF" w:rsidRPr="00440394" w:rsidRDefault="006119EF" w:rsidP="00C654AE">
            <w:pPr>
              <w:jc w:val="right"/>
              <w:rPr>
                <w:sz w:val="20"/>
                <w:szCs w:val="20"/>
              </w:rPr>
            </w:pPr>
            <w:r>
              <w:rPr>
                <w:sz w:val="20"/>
              </w:rPr>
              <w:t>2 274</w:t>
            </w:r>
          </w:p>
        </w:tc>
        <w:tc>
          <w:tcPr>
            <w:tcW w:w="1136" w:type="dxa"/>
            <w:tcBorders>
              <w:top w:val="nil"/>
              <w:left w:val="nil"/>
              <w:bottom w:val="single" w:sz="4" w:space="0" w:color="auto"/>
              <w:right w:val="single" w:sz="4" w:space="0" w:color="auto"/>
            </w:tcBorders>
            <w:shd w:val="clear" w:color="auto" w:fill="auto"/>
            <w:noWrap/>
            <w:hideMark/>
          </w:tcPr>
          <w:p w14:paraId="2E34A3C0" w14:textId="77777777" w:rsidR="006119EF" w:rsidRPr="00440394" w:rsidRDefault="006119EF" w:rsidP="00C654AE">
            <w:pPr>
              <w:jc w:val="right"/>
              <w:rPr>
                <w:sz w:val="20"/>
                <w:szCs w:val="20"/>
              </w:rPr>
            </w:pPr>
            <w:r>
              <w:rPr>
                <w:sz w:val="20"/>
              </w:rPr>
              <w:t>8 660</w:t>
            </w:r>
          </w:p>
        </w:tc>
        <w:tc>
          <w:tcPr>
            <w:tcW w:w="1136" w:type="dxa"/>
            <w:tcBorders>
              <w:top w:val="nil"/>
              <w:left w:val="nil"/>
              <w:bottom w:val="single" w:sz="4" w:space="0" w:color="auto"/>
              <w:right w:val="single" w:sz="4" w:space="0" w:color="auto"/>
            </w:tcBorders>
            <w:shd w:val="clear" w:color="auto" w:fill="auto"/>
            <w:noWrap/>
            <w:hideMark/>
          </w:tcPr>
          <w:p w14:paraId="347AD3E5" w14:textId="77777777" w:rsidR="006119EF" w:rsidRPr="00440394" w:rsidRDefault="006119EF" w:rsidP="00C654AE">
            <w:pPr>
              <w:jc w:val="right"/>
              <w:rPr>
                <w:sz w:val="20"/>
                <w:szCs w:val="20"/>
              </w:rPr>
            </w:pPr>
            <w:r>
              <w:rPr>
                <w:sz w:val="20"/>
              </w:rPr>
              <w:t>0</w:t>
            </w:r>
          </w:p>
        </w:tc>
      </w:tr>
      <w:tr w:rsidR="006119EF" w:rsidRPr="00440394" w14:paraId="0AC9D0AC"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4676A05E" w14:textId="77777777" w:rsidR="006119EF" w:rsidRPr="00440394" w:rsidRDefault="006119EF" w:rsidP="00C654AE">
            <w:pPr>
              <w:jc w:val="left"/>
              <w:rPr>
                <w:sz w:val="20"/>
                <w:szCs w:val="20"/>
              </w:rPr>
            </w:pPr>
            <w:r>
              <w:rPr>
                <w:sz w:val="20"/>
              </w:rPr>
              <w:t>Unité centrale</w:t>
            </w:r>
          </w:p>
        </w:tc>
        <w:tc>
          <w:tcPr>
            <w:tcW w:w="1135" w:type="dxa"/>
            <w:tcBorders>
              <w:top w:val="nil"/>
              <w:left w:val="nil"/>
              <w:bottom w:val="single" w:sz="4" w:space="0" w:color="auto"/>
              <w:right w:val="single" w:sz="4" w:space="0" w:color="auto"/>
            </w:tcBorders>
            <w:shd w:val="clear" w:color="auto" w:fill="auto"/>
            <w:noWrap/>
            <w:hideMark/>
          </w:tcPr>
          <w:p w14:paraId="4FF31D40" w14:textId="77777777" w:rsidR="006119EF" w:rsidRPr="00440394" w:rsidRDefault="006119EF" w:rsidP="00C654AE">
            <w:pPr>
              <w:jc w:val="right"/>
              <w:rPr>
                <w:sz w:val="20"/>
                <w:szCs w:val="20"/>
              </w:rPr>
            </w:pPr>
            <w:r>
              <w:rPr>
                <w:sz w:val="20"/>
              </w:rPr>
              <w:t>2 143</w:t>
            </w:r>
          </w:p>
        </w:tc>
        <w:tc>
          <w:tcPr>
            <w:tcW w:w="1136" w:type="dxa"/>
            <w:tcBorders>
              <w:top w:val="nil"/>
              <w:left w:val="nil"/>
              <w:bottom w:val="single" w:sz="4" w:space="0" w:color="auto"/>
              <w:right w:val="single" w:sz="4" w:space="0" w:color="auto"/>
            </w:tcBorders>
            <w:shd w:val="clear" w:color="auto" w:fill="auto"/>
            <w:noWrap/>
            <w:hideMark/>
          </w:tcPr>
          <w:p w14:paraId="3CB5F7B1" w14:textId="77777777" w:rsidR="006119EF" w:rsidRPr="00440394" w:rsidRDefault="006119EF" w:rsidP="00C654AE">
            <w:pPr>
              <w:jc w:val="right"/>
              <w:rPr>
                <w:sz w:val="20"/>
                <w:szCs w:val="20"/>
              </w:rPr>
            </w:pPr>
            <w:r>
              <w:rPr>
                <w:sz w:val="20"/>
              </w:rPr>
              <w:t>2 158</w:t>
            </w:r>
          </w:p>
        </w:tc>
        <w:tc>
          <w:tcPr>
            <w:tcW w:w="1136" w:type="dxa"/>
            <w:tcBorders>
              <w:top w:val="nil"/>
              <w:left w:val="nil"/>
              <w:bottom w:val="single" w:sz="4" w:space="0" w:color="auto"/>
              <w:right w:val="single" w:sz="4" w:space="0" w:color="auto"/>
            </w:tcBorders>
            <w:shd w:val="clear" w:color="auto" w:fill="auto"/>
            <w:noWrap/>
            <w:hideMark/>
          </w:tcPr>
          <w:p w14:paraId="2BEC1A2B" w14:textId="77777777" w:rsidR="006119EF" w:rsidRPr="00440394" w:rsidRDefault="006119EF" w:rsidP="00C654AE">
            <w:pPr>
              <w:jc w:val="right"/>
              <w:rPr>
                <w:sz w:val="20"/>
                <w:szCs w:val="20"/>
              </w:rPr>
            </w:pPr>
            <w:r>
              <w:rPr>
                <w:sz w:val="20"/>
              </w:rPr>
              <w:t>2 173</w:t>
            </w:r>
          </w:p>
        </w:tc>
        <w:tc>
          <w:tcPr>
            <w:tcW w:w="1136" w:type="dxa"/>
            <w:tcBorders>
              <w:top w:val="nil"/>
              <w:left w:val="nil"/>
              <w:bottom w:val="single" w:sz="4" w:space="0" w:color="auto"/>
              <w:right w:val="single" w:sz="4" w:space="0" w:color="auto"/>
            </w:tcBorders>
            <w:shd w:val="clear" w:color="auto" w:fill="auto"/>
            <w:noWrap/>
            <w:hideMark/>
          </w:tcPr>
          <w:p w14:paraId="1BB4A76F" w14:textId="77777777" w:rsidR="006119EF" w:rsidRPr="00440394" w:rsidRDefault="006119EF" w:rsidP="00C654AE">
            <w:pPr>
              <w:jc w:val="right"/>
              <w:rPr>
                <w:sz w:val="20"/>
                <w:szCs w:val="20"/>
              </w:rPr>
            </w:pPr>
            <w:r>
              <w:rPr>
                <w:sz w:val="20"/>
              </w:rPr>
              <w:t>6 474</w:t>
            </w:r>
          </w:p>
        </w:tc>
        <w:tc>
          <w:tcPr>
            <w:tcW w:w="1136" w:type="dxa"/>
            <w:tcBorders>
              <w:top w:val="nil"/>
              <w:left w:val="nil"/>
              <w:bottom w:val="single" w:sz="4" w:space="0" w:color="auto"/>
              <w:right w:val="single" w:sz="4" w:space="0" w:color="auto"/>
            </w:tcBorders>
            <w:shd w:val="clear" w:color="auto" w:fill="auto"/>
            <w:noWrap/>
            <w:hideMark/>
          </w:tcPr>
          <w:p w14:paraId="7C880F8F" w14:textId="77777777" w:rsidR="006119EF" w:rsidRPr="00440394" w:rsidRDefault="006119EF" w:rsidP="00C654AE">
            <w:pPr>
              <w:jc w:val="right"/>
              <w:rPr>
                <w:sz w:val="20"/>
                <w:szCs w:val="20"/>
              </w:rPr>
            </w:pPr>
            <w:r>
              <w:rPr>
                <w:sz w:val="20"/>
              </w:rPr>
              <w:t>0</w:t>
            </w:r>
          </w:p>
        </w:tc>
      </w:tr>
      <w:tr w:rsidR="006119EF" w:rsidRPr="00440394" w14:paraId="6258826A"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7B57035D" w14:textId="77777777" w:rsidR="006119EF" w:rsidRPr="006119EF" w:rsidRDefault="006119EF" w:rsidP="00C654AE">
            <w:pPr>
              <w:jc w:val="left"/>
              <w:rPr>
                <w:b/>
                <w:bCs/>
                <w:sz w:val="20"/>
                <w:szCs w:val="20"/>
                <w:lang w:val="fr-FR"/>
              </w:rPr>
            </w:pPr>
            <w:r w:rsidRPr="006119EF">
              <w:rPr>
                <w:b/>
                <w:sz w:val="20"/>
                <w:lang w:val="fr-FR"/>
              </w:rPr>
              <w:t>Sous-total des activités standard</w:t>
            </w:r>
          </w:p>
        </w:tc>
        <w:tc>
          <w:tcPr>
            <w:tcW w:w="1135" w:type="dxa"/>
            <w:tcBorders>
              <w:top w:val="nil"/>
              <w:left w:val="nil"/>
              <w:bottom w:val="single" w:sz="4" w:space="0" w:color="auto"/>
              <w:right w:val="single" w:sz="4" w:space="0" w:color="auto"/>
            </w:tcBorders>
            <w:shd w:val="clear" w:color="auto" w:fill="auto"/>
            <w:noWrap/>
            <w:hideMark/>
          </w:tcPr>
          <w:p w14:paraId="5428FF6B" w14:textId="77777777" w:rsidR="006119EF" w:rsidRPr="00440394" w:rsidRDefault="006119EF" w:rsidP="00C654AE">
            <w:pPr>
              <w:jc w:val="right"/>
              <w:rPr>
                <w:b/>
                <w:bCs/>
                <w:sz w:val="20"/>
                <w:szCs w:val="20"/>
              </w:rPr>
            </w:pPr>
            <w:r>
              <w:rPr>
                <w:b/>
                <w:sz w:val="20"/>
              </w:rPr>
              <w:t>4 416</w:t>
            </w:r>
          </w:p>
        </w:tc>
        <w:tc>
          <w:tcPr>
            <w:tcW w:w="1136" w:type="dxa"/>
            <w:tcBorders>
              <w:top w:val="nil"/>
              <w:left w:val="nil"/>
              <w:bottom w:val="single" w:sz="4" w:space="0" w:color="auto"/>
              <w:right w:val="single" w:sz="4" w:space="0" w:color="auto"/>
            </w:tcBorders>
            <w:shd w:val="clear" w:color="auto" w:fill="auto"/>
            <w:noWrap/>
            <w:hideMark/>
          </w:tcPr>
          <w:p w14:paraId="43DB96CB" w14:textId="77777777" w:rsidR="006119EF" w:rsidRPr="00440394" w:rsidRDefault="006119EF" w:rsidP="00C654AE">
            <w:pPr>
              <w:jc w:val="right"/>
              <w:rPr>
                <w:b/>
                <w:bCs/>
                <w:sz w:val="20"/>
                <w:szCs w:val="20"/>
              </w:rPr>
            </w:pPr>
            <w:r>
              <w:rPr>
                <w:b/>
                <w:sz w:val="20"/>
              </w:rPr>
              <w:t>6 271</w:t>
            </w:r>
          </w:p>
        </w:tc>
        <w:tc>
          <w:tcPr>
            <w:tcW w:w="1136" w:type="dxa"/>
            <w:tcBorders>
              <w:top w:val="nil"/>
              <w:left w:val="nil"/>
              <w:bottom w:val="single" w:sz="4" w:space="0" w:color="auto"/>
              <w:right w:val="single" w:sz="4" w:space="0" w:color="auto"/>
            </w:tcBorders>
            <w:shd w:val="clear" w:color="auto" w:fill="auto"/>
            <w:noWrap/>
            <w:hideMark/>
          </w:tcPr>
          <w:p w14:paraId="5A34CB4D" w14:textId="77777777" w:rsidR="006119EF" w:rsidRPr="00440394" w:rsidRDefault="006119EF" w:rsidP="00C654AE">
            <w:pPr>
              <w:jc w:val="right"/>
              <w:rPr>
                <w:b/>
                <w:bCs/>
                <w:sz w:val="20"/>
                <w:szCs w:val="20"/>
              </w:rPr>
            </w:pPr>
            <w:r>
              <w:rPr>
                <w:b/>
                <w:sz w:val="20"/>
              </w:rPr>
              <w:t>4 447</w:t>
            </w:r>
          </w:p>
        </w:tc>
        <w:tc>
          <w:tcPr>
            <w:tcW w:w="1136" w:type="dxa"/>
            <w:tcBorders>
              <w:top w:val="nil"/>
              <w:left w:val="nil"/>
              <w:bottom w:val="single" w:sz="4" w:space="0" w:color="auto"/>
              <w:right w:val="single" w:sz="4" w:space="0" w:color="auto"/>
            </w:tcBorders>
            <w:shd w:val="clear" w:color="auto" w:fill="auto"/>
            <w:noWrap/>
            <w:hideMark/>
          </w:tcPr>
          <w:p w14:paraId="366835D8" w14:textId="77777777" w:rsidR="006119EF" w:rsidRPr="00440394" w:rsidRDefault="006119EF" w:rsidP="00C654AE">
            <w:pPr>
              <w:jc w:val="right"/>
              <w:rPr>
                <w:b/>
                <w:bCs/>
                <w:sz w:val="20"/>
                <w:szCs w:val="20"/>
              </w:rPr>
            </w:pPr>
            <w:r>
              <w:rPr>
                <w:b/>
                <w:sz w:val="20"/>
              </w:rPr>
              <w:t>15 134</w:t>
            </w:r>
          </w:p>
        </w:tc>
        <w:tc>
          <w:tcPr>
            <w:tcW w:w="1136" w:type="dxa"/>
            <w:tcBorders>
              <w:top w:val="nil"/>
              <w:left w:val="nil"/>
              <w:bottom w:val="single" w:sz="4" w:space="0" w:color="auto"/>
              <w:right w:val="single" w:sz="4" w:space="0" w:color="auto"/>
            </w:tcBorders>
            <w:shd w:val="clear" w:color="auto" w:fill="auto"/>
            <w:noWrap/>
            <w:hideMark/>
          </w:tcPr>
          <w:p w14:paraId="56E67662" w14:textId="77777777" w:rsidR="006119EF" w:rsidRPr="00440394" w:rsidRDefault="006119EF" w:rsidP="00C654AE">
            <w:pPr>
              <w:jc w:val="right"/>
              <w:rPr>
                <w:b/>
                <w:bCs/>
                <w:sz w:val="20"/>
                <w:szCs w:val="20"/>
              </w:rPr>
            </w:pPr>
            <w:r>
              <w:rPr>
                <w:b/>
                <w:sz w:val="20"/>
              </w:rPr>
              <w:t>0</w:t>
            </w:r>
          </w:p>
        </w:tc>
      </w:tr>
      <w:tr w:rsidR="006119EF" w:rsidRPr="00440394" w14:paraId="19488C5D" w14:textId="77777777" w:rsidTr="00C654AE">
        <w:tc>
          <w:tcPr>
            <w:tcW w:w="3771" w:type="dxa"/>
            <w:tcBorders>
              <w:top w:val="nil"/>
              <w:left w:val="single" w:sz="4" w:space="0" w:color="auto"/>
              <w:bottom w:val="single" w:sz="4" w:space="0" w:color="auto"/>
              <w:right w:val="single" w:sz="4" w:space="0" w:color="auto"/>
            </w:tcBorders>
            <w:shd w:val="clear" w:color="auto" w:fill="auto"/>
            <w:noWrap/>
            <w:hideMark/>
          </w:tcPr>
          <w:p w14:paraId="788FFD2A" w14:textId="77777777" w:rsidR="006119EF" w:rsidRPr="00440394" w:rsidRDefault="006119EF" w:rsidP="00C654AE">
            <w:pPr>
              <w:jc w:val="left"/>
              <w:rPr>
                <w:b/>
                <w:bCs/>
                <w:sz w:val="20"/>
                <w:szCs w:val="20"/>
              </w:rPr>
            </w:pPr>
            <w:r>
              <w:rPr>
                <w:b/>
                <w:sz w:val="20"/>
              </w:rPr>
              <w:t>Total</w:t>
            </w:r>
          </w:p>
        </w:tc>
        <w:tc>
          <w:tcPr>
            <w:tcW w:w="1135" w:type="dxa"/>
            <w:tcBorders>
              <w:top w:val="nil"/>
              <w:left w:val="nil"/>
              <w:bottom w:val="single" w:sz="4" w:space="0" w:color="auto"/>
              <w:right w:val="single" w:sz="4" w:space="0" w:color="auto"/>
            </w:tcBorders>
            <w:shd w:val="clear" w:color="auto" w:fill="auto"/>
            <w:noWrap/>
            <w:hideMark/>
          </w:tcPr>
          <w:p w14:paraId="46F01A3C" w14:textId="77777777" w:rsidR="006119EF" w:rsidRPr="00440394" w:rsidRDefault="006119EF" w:rsidP="00C654AE">
            <w:pPr>
              <w:jc w:val="right"/>
              <w:rPr>
                <w:b/>
                <w:bCs/>
                <w:sz w:val="20"/>
                <w:szCs w:val="20"/>
              </w:rPr>
            </w:pPr>
            <w:r>
              <w:rPr>
                <w:b/>
                <w:sz w:val="20"/>
              </w:rPr>
              <w:t>21 384</w:t>
            </w:r>
          </w:p>
        </w:tc>
        <w:tc>
          <w:tcPr>
            <w:tcW w:w="1136" w:type="dxa"/>
            <w:tcBorders>
              <w:top w:val="nil"/>
              <w:left w:val="nil"/>
              <w:bottom w:val="single" w:sz="4" w:space="0" w:color="auto"/>
              <w:right w:val="single" w:sz="4" w:space="0" w:color="auto"/>
            </w:tcBorders>
            <w:shd w:val="clear" w:color="auto" w:fill="auto"/>
            <w:noWrap/>
            <w:hideMark/>
          </w:tcPr>
          <w:p w14:paraId="042B51E2" w14:textId="77777777" w:rsidR="006119EF" w:rsidRPr="00440394" w:rsidRDefault="006119EF" w:rsidP="00C654AE">
            <w:pPr>
              <w:jc w:val="right"/>
              <w:rPr>
                <w:b/>
                <w:bCs/>
                <w:sz w:val="20"/>
                <w:szCs w:val="20"/>
              </w:rPr>
            </w:pPr>
            <w:r>
              <w:rPr>
                <w:b/>
                <w:sz w:val="20"/>
              </w:rPr>
              <w:t>80 813</w:t>
            </w:r>
          </w:p>
        </w:tc>
        <w:tc>
          <w:tcPr>
            <w:tcW w:w="1136" w:type="dxa"/>
            <w:tcBorders>
              <w:top w:val="nil"/>
              <w:left w:val="nil"/>
              <w:bottom w:val="single" w:sz="4" w:space="0" w:color="auto"/>
              <w:right w:val="single" w:sz="4" w:space="0" w:color="auto"/>
            </w:tcBorders>
            <w:shd w:val="clear" w:color="auto" w:fill="auto"/>
            <w:noWrap/>
            <w:hideMark/>
          </w:tcPr>
          <w:p w14:paraId="0CF0F5AA" w14:textId="77777777" w:rsidR="006119EF" w:rsidRPr="00440394" w:rsidRDefault="006119EF" w:rsidP="00C654AE">
            <w:pPr>
              <w:jc w:val="right"/>
              <w:rPr>
                <w:b/>
                <w:bCs/>
                <w:sz w:val="20"/>
                <w:szCs w:val="20"/>
              </w:rPr>
            </w:pPr>
            <w:r>
              <w:rPr>
                <w:b/>
                <w:sz w:val="20"/>
              </w:rPr>
              <w:t>58 647</w:t>
            </w:r>
          </w:p>
        </w:tc>
        <w:tc>
          <w:tcPr>
            <w:tcW w:w="1136" w:type="dxa"/>
            <w:tcBorders>
              <w:top w:val="nil"/>
              <w:left w:val="nil"/>
              <w:bottom w:val="single" w:sz="4" w:space="0" w:color="auto"/>
              <w:right w:val="single" w:sz="4" w:space="0" w:color="auto"/>
            </w:tcBorders>
            <w:shd w:val="clear" w:color="auto" w:fill="auto"/>
            <w:noWrap/>
            <w:hideMark/>
          </w:tcPr>
          <w:p w14:paraId="130D34D5" w14:textId="77777777" w:rsidR="006119EF" w:rsidRPr="00440394" w:rsidRDefault="006119EF" w:rsidP="00C654AE">
            <w:pPr>
              <w:jc w:val="right"/>
              <w:rPr>
                <w:b/>
                <w:bCs/>
                <w:sz w:val="20"/>
                <w:szCs w:val="20"/>
              </w:rPr>
            </w:pPr>
            <w:r>
              <w:rPr>
                <w:b/>
                <w:sz w:val="20"/>
              </w:rPr>
              <w:t>160 844</w:t>
            </w:r>
          </w:p>
        </w:tc>
        <w:tc>
          <w:tcPr>
            <w:tcW w:w="1136" w:type="dxa"/>
            <w:tcBorders>
              <w:top w:val="nil"/>
              <w:left w:val="nil"/>
              <w:bottom w:val="single" w:sz="4" w:space="0" w:color="auto"/>
              <w:right w:val="single" w:sz="4" w:space="0" w:color="auto"/>
            </w:tcBorders>
            <w:shd w:val="clear" w:color="auto" w:fill="auto"/>
            <w:noWrap/>
            <w:hideMark/>
          </w:tcPr>
          <w:p w14:paraId="7CB07A16" w14:textId="77777777" w:rsidR="006119EF" w:rsidRPr="00440394" w:rsidRDefault="006119EF" w:rsidP="00C654AE">
            <w:pPr>
              <w:jc w:val="right"/>
              <w:rPr>
                <w:b/>
                <w:bCs/>
                <w:sz w:val="20"/>
                <w:szCs w:val="20"/>
              </w:rPr>
            </w:pPr>
            <w:r>
              <w:rPr>
                <w:b/>
                <w:sz w:val="20"/>
              </w:rPr>
              <w:t>47 401</w:t>
            </w:r>
          </w:p>
        </w:tc>
      </w:tr>
    </w:tbl>
    <w:p w14:paraId="0F3D94B2" w14:textId="77777777" w:rsidR="006119EF" w:rsidRPr="006119EF" w:rsidRDefault="006119EF" w:rsidP="006119EF">
      <w:pPr>
        <w:rPr>
          <w:sz w:val="20"/>
          <w:szCs w:val="20"/>
          <w:lang w:val="fr-FR"/>
        </w:rPr>
      </w:pPr>
      <w:r w:rsidRPr="006119EF">
        <w:rPr>
          <w:sz w:val="20"/>
          <w:lang w:val="fr-FR"/>
        </w:rPr>
        <w:t xml:space="preserve">* Y compris les coûts d’appui d’agence, lorsqu’ils s’appliquent. </w:t>
      </w:r>
    </w:p>
    <w:p w14:paraId="487E1A06" w14:textId="77777777" w:rsidR="006119EF" w:rsidRPr="006119EF" w:rsidRDefault="006119EF" w:rsidP="006119EF">
      <w:pPr>
        <w:keepNext/>
        <w:rPr>
          <w:b/>
          <w:bCs/>
          <w:lang w:val="fr-FR"/>
        </w:rPr>
      </w:pPr>
    </w:p>
    <w:p w14:paraId="28B93C36" w14:textId="77777777" w:rsidR="006119EF" w:rsidRPr="00440394" w:rsidRDefault="006119EF" w:rsidP="00D261BF">
      <w:pPr>
        <w:widowControl w:val="0"/>
        <w:spacing w:after="120"/>
        <w:rPr>
          <w:b/>
          <w:bCs/>
        </w:rPr>
      </w:pPr>
      <w:proofErr w:type="spellStart"/>
      <w:r>
        <w:rPr>
          <w:b/>
        </w:rPr>
        <w:t>Indicateurs</w:t>
      </w:r>
      <w:proofErr w:type="spellEnd"/>
      <w:r>
        <w:rPr>
          <w:b/>
        </w:rPr>
        <w:t xml:space="preserve"> de performance </w:t>
      </w:r>
    </w:p>
    <w:p w14:paraId="6547A9E6" w14:textId="77777777" w:rsidR="006119EF" w:rsidRPr="006119EF" w:rsidRDefault="006119EF" w:rsidP="006119EF">
      <w:pPr>
        <w:pStyle w:val="Heading1"/>
        <w:widowControl w:val="0"/>
        <w:rPr>
          <w:lang w:val="fr-FR"/>
        </w:rPr>
      </w:pPr>
      <w:r w:rsidRPr="006119EF">
        <w:rPr>
          <w:lang w:val="fr-FR"/>
        </w:rPr>
        <w:t>Le PNUD a présenté les indicateurs de performance conformément à la décision 71/28 dans le détail de son plan d’activités. Le Secrétariat a informé le PNUD des objectifs figurant au tableau 4.</w:t>
      </w:r>
    </w:p>
    <w:p w14:paraId="094DC4EF" w14:textId="77777777" w:rsidR="006119EF" w:rsidRPr="00440394" w:rsidRDefault="006119EF" w:rsidP="006119EF">
      <w:pPr>
        <w:pStyle w:val="subhead"/>
        <w:keepNext/>
        <w:jc w:val="left"/>
        <w:rPr>
          <w:b/>
          <w:sz w:val="22"/>
          <w:szCs w:val="22"/>
        </w:rPr>
      </w:pPr>
      <w:r>
        <w:rPr>
          <w:b/>
          <w:sz w:val="22"/>
        </w:rPr>
        <w:t>Tableau 4. Indicateurs de rendement du PNUD pour 2022</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828"/>
        <w:gridCol w:w="4325"/>
        <w:gridCol w:w="1522"/>
      </w:tblGrid>
      <w:tr w:rsidR="006119EF" w:rsidRPr="00440394" w14:paraId="0764B05D" w14:textId="77777777" w:rsidTr="00C654AE">
        <w:trPr>
          <w:tblHeader/>
          <w:jc w:val="center"/>
        </w:trPr>
        <w:tc>
          <w:tcPr>
            <w:tcW w:w="1694" w:type="dxa"/>
            <w:shd w:val="clear" w:color="auto" w:fill="auto"/>
            <w:hideMark/>
          </w:tcPr>
          <w:p w14:paraId="0788B947" w14:textId="77777777" w:rsidR="006119EF" w:rsidRPr="00440394" w:rsidRDefault="006119EF" w:rsidP="00C654AE">
            <w:pPr>
              <w:widowControl w:val="0"/>
              <w:jc w:val="left"/>
              <w:rPr>
                <w:b/>
                <w:bCs/>
                <w:sz w:val="20"/>
                <w:szCs w:val="20"/>
              </w:rPr>
            </w:pPr>
            <w:r>
              <w:rPr>
                <w:b/>
                <w:sz w:val="20"/>
              </w:rPr>
              <w:t xml:space="preserve">Type </w:t>
            </w:r>
            <w:proofErr w:type="spellStart"/>
            <w:r>
              <w:rPr>
                <w:b/>
                <w:sz w:val="20"/>
              </w:rPr>
              <w:t>d’indicateur</w:t>
            </w:r>
            <w:proofErr w:type="spellEnd"/>
            <w:r>
              <w:rPr>
                <w:b/>
                <w:sz w:val="20"/>
              </w:rPr>
              <w:t xml:space="preserve"> </w:t>
            </w:r>
          </w:p>
        </w:tc>
        <w:tc>
          <w:tcPr>
            <w:tcW w:w="1829" w:type="dxa"/>
            <w:shd w:val="clear" w:color="auto" w:fill="auto"/>
            <w:hideMark/>
          </w:tcPr>
          <w:p w14:paraId="233891F7" w14:textId="77777777" w:rsidR="006119EF" w:rsidRPr="00440394" w:rsidRDefault="006119EF" w:rsidP="00C654AE">
            <w:pPr>
              <w:widowControl w:val="0"/>
              <w:jc w:val="center"/>
              <w:rPr>
                <w:b/>
                <w:bCs/>
                <w:sz w:val="20"/>
                <w:szCs w:val="20"/>
              </w:rPr>
            </w:pPr>
            <w:r>
              <w:rPr>
                <w:b/>
                <w:sz w:val="20"/>
              </w:rPr>
              <w:t xml:space="preserve">Titre </w:t>
            </w:r>
            <w:proofErr w:type="spellStart"/>
            <w:r>
              <w:rPr>
                <w:b/>
                <w:sz w:val="20"/>
              </w:rPr>
              <w:t>abrégé</w:t>
            </w:r>
            <w:proofErr w:type="spellEnd"/>
          </w:p>
        </w:tc>
        <w:tc>
          <w:tcPr>
            <w:tcW w:w="4331" w:type="dxa"/>
            <w:shd w:val="clear" w:color="auto" w:fill="auto"/>
            <w:hideMark/>
          </w:tcPr>
          <w:p w14:paraId="4C447AE9" w14:textId="77777777" w:rsidR="006119EF" w:rsidRPr="00440394" w:rsidRDefault="006119EF" w:rsidP="00C654AE">
            <w:pPr>
              <w:widowControl w:val="0"/>
              <w:jc w:val="center"/>
              <w:rPr>
                <w:b/>
                <w:bCs/>
                <w:sz w:val="20"/>
                <w:szCs w:val="20"/>
              </w:rPr>
            </w:pPr>
            <w:proofErr w:type="spellStart"/>
            <w:r>
              <w:rPr>
                <w:b/>
                <w:sz w:val="20"/>
              </w:rPr>
              <w:t>Calcul</w:t>
            </w:r>
            <w:proofErr w:type="spellEnd"/>
          </w:p>
        </w:tc>
        <w:tc>
          <w:tcPr>
            <w:tcW w:w="1515" w:type="dxa"/>
          </w:tcPr>
          <w:p w14:paraId="7A2C0FBD" w14:textId="77777777" w:rsidR="006119EF" w:rsidRPr="00440394" w:rsidRDefault="006119EF" w:rsidP="00C654AE">
            <w:pPr>
              <w:widowControl w:val="0"/>
              <w:jc w:val="center"/>
              <w:rPr>
                <w:b/>
                <w:bCs/>
                <w:sz w:val="20"/>
                <w:szCs w:val="20"/>
              </w:rPr>
            </w:pPr>
            <w:r>
              <w:rPr>
                <w:b/>
                <w:sz w:val="20"/>
              </w:rPr>
              <w:t>Objectif 2022</w:t>
            </w:r>
          </w:p>
        </w:tc>
      </w:tr>
      <w:tr w:rsidR="006119EF" w:rsidRPr="00440394" w14:paraId="25866C75" w14:textId="77777777" w:rsidTr="00C654AE">
        <w:trPr>
          <w:jc w:val="center"/>
        </w:trPr>
        <w:tc>
          <w:tcPr>
            <w:tcW w:w="1694" w:type="dxa"/>
            <w:shd w:val="clear" w:color="auto" w:fill="auto"/>
            <w:hideMark/>
          </w:tcPr>
          <w:p w14:paraId="3CCE8613" w14:textId="77777777" w:rsidR="006119EF" w:rsidRPr="00440394" w:rsidRDefault="006119EF" w:rsidP="00C654AE">
            <w:pPr>
              <w:widowControl w:val="0"/>
              <w:jc w:val="left"/>
              <w:rPr>
                <w:sz w:val="20"/>
                <w:szCs w:val="20"/>
              </w:rPr>
            </w:pPr>
            <w:r>
              <w:rPr>
                <w:sz w:val="20"/>
              </w:rPr>
              <w:t xml:space="preserve">Planification -- Approbation </w:t>
            </w:r>
          </w:p>
        </w:tc>
        <w:tc>
          <w:tcPr>
            <w:tcW w:w="1829" w:type="dxa"/>
            <w:shd w:val="clear" w:color="auto" w:fill="auto"/>
            <w:hideMark/>
          </w:tcPr>
          <w:p w14:paraId="59FA59C6" w14:textId="77777777" w:rsidR="006119EF" w:rsidRPr="00440394" w:rsidRDefault="006119EF" w:rsidP="00C654AE">
            <w:pPr>
              <w:widowControl w:val="0"/>
              <w:jc w:val="left"/>
              <w:rPr>
                <w:sz w:val="20"/>
                <w:szCs w:val="20"/>
              </w:rPr>
            </w:pPr>
            <w:r>
              <w:rPr>
                <w:sz w:val="20"/>
              </w:rPr>
              <w:t xml:space="preserve">Tranches </w:t>
            </w:r>
            <w:proofErr w:type="spellStart"/>
            <w:r>
              <w:rPr>
                <w:sz w:val="20"/>
              </w:rPr>
              <w:t>approuvées</w:t>
            </w:r>
            <w:proofErr w:type="spellEnd"/>
          </w:p>
        </w:tc>
        <w:tc>
          <w:tcPr>
            <w:tcW w:w="4331" w:type="dxa"/>
            <w:shd w:val="clear" w:color="auto" w:fill="auto"/>
            <w:hideMark/>
          </w:tcPr>
          <w:p w14:paraId="7452D6B8" w14:textId="77777777" w:rsidR="006119EF" w:rsidRPr="006119EF" w:rsidRDefault="006119EF" w:rsidP="00C654AE">
            <w:pPr>
              <w:widowControl w:val="0"/>
              <w:jc w:val="left"/>
              <w:rPr>
                <w:sz w:val="20"/>
                <w:szCs w:val="20"/>
                <w:lang w:val="fr-FR"/>
              </w:rPr>
            </w:pPr>
            <w:r w:rsidRPr="006119EF">
              <w:rPr>
                <w:sz w:val="20"/>
                <w:lang w:val="fr-FR"/>
              </w:rPr>
              <w:t>Nombre de tranches approuvées par rapport à celles planifiées*</w:t>
            </w:r>
          </w:p>
        </w:tc>
        <w:tc>
          <w:tcPr>
            <w:tcW w:w="1515" w:type="dxa"/>
          </w:tcPr>
          <w:p w14:paraId="29045039" w14:textId="77777777" w:rsidR="006119EF" w:rsidRPr="00440394" w:rsidRDefault="006119EF" w:rsidP="00C654AE">
            <w:pPr>
              <w:widowControl w:val="0"/>
              <w:jc w:val="right"/>
              <w:rPr>
                <w:sz w:val="20"/>
                <w:szCs w:val="20"/>
              </w:rPr>
            </w:pPr>
            <w:r>
              <w:rPr>
                <w:sz w:val="20"/>
              </w:rPr>
              <w:t>14</w:t>
            </w:r>
          </w:p>
        </w:tc>
      </w:tr>
      <w:tr w:rsidR="006119EF" w:rsidRPr="00440394" w14:paraId="107070B9" w14:textId="77777777" w:rsidTr="00C654AE">
        <w:trPr>
          <w:jc w:val="center"/>
        </w:trPr>
        <w:tc>
          <w:tcPr>
            <w:tcW w:w="1694" w:type="dxa"/>
            <w:shd w:val="clear" w:color="auto" w:fill="auto"/>
            <w:hideMark/>
          </w:tcPr>
          <w:p w14:paraId="30FB7E80" w14:textId="77777777" w:rsidR="006119EF" w:rsidRPr="00440394" w:rsidRDefault="006119EF" w:rsidP="00C654AE">
            <w:pPr>
              <w:widowControl w:val="0"/>
              <w:jc w:val="left"/>
              <w:rPr>
                <w:sz w:val="20"/>
                <w:szCs w:val="20"/>
              </w:rPr>
            </w:pPr>
            <w:r>
              <w:rPr>
                <w:sz w:val="20"/>
              </w:rPr>
              <w:t xml:space="preserve">Planification -- Approbation </w:t>
            </w:r>
          </w:p>
        </w:tc>
        <w:tc>
          <w:tcPr>
            <w:tcW w:w="1829" w:type="dxa"/>
            <w:shd w:val="clear" w:color="auto" w:fill="auto"/>
            <w:hideMark/>
          </w:tcPr>
          <w:p w14:paraId="3B30BE9B" w14:textId="77777777" w:rsidR="006119EF" w:rsidRPr="006119EF" w:rsidRDefault="006119EF" w:rsidP="00C654AE">
            <w:pPr>
              <w:widowControl w:val="0"/>
              <w:jc w:val="left"/>
              <w:rPr>
                <w:sz w:val="20"/>
                <w:szCs w:val="20"/>
                <w:lang w:val="fr-FR"/>
              </w:rPr>
            </w:pPr>
            <w:r w:rsidRPr="006119EF">
              <w:rPr>
                <w:sz w:val="20"/>
                <w:lang w:val="fr-FR"/>
              </w:rPr>
              <w:t>Projets/activités approuvé(e)s</w:t>
            </w:r>
          </w:p>
        </w:tc>
        <w:tc>
          <w:tcPr>
            <w:tcW w:w="4331" w:type="dxa"/>
            <w:shd w:val="clear" w:color="auto" w:fill="auto"/>
            <w:hideMark/>
          </w:tcPr>
          <w:p w14:paraId="580D0C6F" w14:textId="77777777" w:rsidR="006119EF" w:rsidRPr="006119EF" w:rsidRDefault="006119EF" w:rsidP="00C654AE">
            <w:pPr>
              <w:widowControl w:val="0"/>
              <w:jc w:val="left"/>
              <w:rPr>
                <w:sz w:val="20"/>
                <w:szCs w:val="20"/>
                <w:lang w:val="fr-FR"/>
              </w:rPr>
            </w:pPr>
            <w:r w:rsidRPr="006119EF">
              <w:rPr>
                <w:sz w:val="20"/>
                <w:lang w:val="fr-FR"/>
              </w:rPr>
              <w:t>Nombre de projets/activités approuvé(e)s par rapport à celles/ceux planifié(e)s (y compris les activités de préparation de projet)**</w:t>
            </w:r>
          </w:p>
        </w:tc>
        <w:tc>
          <w:tcPr>
            <w:tcW w:w="1515" w:type="dxa"/>
          </w:tcPr>
          <w:p w14:paraId="07A2ED26" w14:textId="77777777" w:rsidR="006119EF" w:rsidRPr="00440394" w:rsidRDefault="006119EF" w:rsidP="00C654AE">
            <w:pPr>
              <w:widowControl w:val="0"/>
              <w:jc w:val="right"/>
              <w:rPr>
                <w:sz w:val="20"/>
                <w:szCs w:val="20"/>
              </w:rPr>
            </w:pPr>
            <w:r>
              <w:rPr>
                <w:sz w:val="20"/>
              </w:rPr>
              <w:t>20</w:t>
            </w:r>
          </w:p>
        </w:tc>
      </w:tr>
      <w:tr w:rsidR="006119EF" w:rsidRPr="00440394" w14:paraId="1EE34F78" w14:textId="77777777" w:rsidTr="00C654AE">
        <w:trPr>
          <w:jc w:val="center"/>
        </w:trPr>
        <w:tc>
          <w:tcPr>
            <w:tcW w:w="1694" w:type="dxa"/>
            <w:shd w:val="clear" w:color="auto" w:fill="auto"/>
            <w:hideMark/>
          </w:tcPr>
          <w:p w14:paraId="44A1193C" w14:textId="77777777" w:rsidR="006119EF" w:rsidRPr="00440394" w:rsidRDefault="006119EF" w:rsidP="00C654AE">
            <w:pPr>
              <w:widowControl w:val="0"/>
              <w:jc w:val="left"/>
              <w:rPr>
                <w:sz w:val="20"/>
                <w:szCs w:val="20"/>
              </w:rPr>
            </w:pPr>
            <w:proofErr w:type="spellStart"/>
            <w:r>
              <w:rPr>
                <w:sz w:val="20"/>
              </w:rPr>
              <w:t>Mise</w:t>
            </w:r>
            <w:proofErr w:type="spellEnd"/>
            <w:r>
              <w:rPr>
                <w:sz w:val="20"/>
              </w:rPr>
              <w:t xml:space="preserve"> </w:t>
            </w:r>
            <w:proofErr w:type="spellStart"/>
            <w:r>
              <w:rPr>
                <w:sz w:val="20"/>
              </w:rPr>
              <w:t>en</w:t>
            </w:r>
            <w:proofErr w:type="spellEnd"/>
            <w:r>
              <w:rPr>
                <w:sz w:val="20"/>
              </w:rPr>
              <w:t xml:space="preserve"> </w:t>
            </w:r>
            <w:proofErr w:type="spellStart"/>
            <w:r>
              <w:rPr>
                <w:sz w:val="20"/>
              </w:rPr>
              <w:t>œuvre</w:t>
            </w:r>
            <w:proofErr w:type="spellEnd"/>
            <w:r>
              <w:rPr>
                <w:sz w:val="20"/>
              </w:rPr>
              <w:t xml:space="preserve"> </w:t>
            </w:r>
          </w:p>
        </w:tc>
        <w:tc>
          <w:tcPr>
            <w:tcW w:w="1829" w:type="dxa"/>
            <w:shd w:val="clear" w:color="auto" w:fill="auto"/>
            <w:hideMark/>
          </w:tcPr>
          <w:p w14:paraId="7351FD31" w14:textId="77777777" w:rsidR="006119EF" w:rsidRPr="00440394" w:rsidRDefault="006119EF" w:rsidP="00C654AE">
            <w:pPr>
              <w:widowControl w:val="0"/>
              <w:jc w:val="left"/>
              <w:rPr>
                <w:sz w:val="20"/>
                <w:szCs w:val="20"/>
              </w:rPr>
            </w:pPr>
            <w:proofErr w:type="spellStart"/>
            <w:r>
              <w:rPr>
                <w:sz w:val="20"/>
              </w:rPr>
              <w:t>Fonds</w:t>
            </w:r>
            <w:proofErr w:type="spellEnd"/>
            <w:r>
              <w:rPr>
                <w:sz w:val="20"/>
              </w:rPr>
              <w:t xml:space="preserve"> </w:t>
            </w:r>
            <w:proofErr w:type="spellStart"/>
            <w:r>
              <w:rPr>
                <w:sz w:val="20"/>
              </w:rPr>
              <w:t>décaissés</w:t>
            </w:r>
            <w:proofErr w:type="spellEnd"/>
          </w:p>
        </w:tc>
        <w:tc>
          <w:tcPr>
            <w:tcW w:w="4331" w:type="dxa"/>
            <w:shd w:val="clear" w:color="auto" w:fill="auto"/>
            <w:hideMark/>
          </w:tcPr>
          <w:p w14:paraId="2B6B3E4F" w14:textId="77777777" w:rsidR="006119EF" w:rsidRPr="006119EF" w:rsidRDefault="006119EF" w:rsidP="00C654AE">
            <w:pPr>
              <w:widowControl w:val="0"/>
              <w:jc w:val="left"/>
              <w:rPr>
                <w:sz w:val="20"/>
                <w:szCs w:val="20"/>
                <w:lang w:val="fr-FR"/>
              </w:rPr>
            </w:pPr>
            <w:r w:rsidRPr="006119EF">
              <w:rPr>
                <w:sz w:val="20"/>
                <w:lang w:val="fr-FR"/>
              </w:rPr>
              <w:t>Sur base du décaissement estimatif dans le rapport périodique</w:t>
            </w:r>
          </w:p>
        </w:tc>
        <w:tc>
          <w:tcPr>
            <w:tcW w:w="1515" w:type="dxa"/>
          </w:tcPr>
          <w:p w14:paraId="4C4219C4" w14:textId="77777777" w:rsidR="006119EF" w:rsidRPr="00440394" w:rsidRDefault="006119EF" w:rsidP="00C654AE">
            <w:pPr>
              <w:widowControl w:val="0"/>
              <w:jc w:val="right"/>
              <w:rPr>
                <w:sz w:val="20"/>
                <w:szCs w:val="20"/>
              </w:rPr>
            </w:pPr>
            <w:r>
              <w:rPr>
                <w:sz w:val="20"/>
              </w:rPr>
              <w:t>22 523 448 $US</w:t>
            </w:r>
          </w:p>
        </w:tc>
      </w:tr>
      <w:tr w:rsidR="006119EF" w:rsidRPr="00440394" w14:paraId="192C406A" w14:textId="77777777" w:rsidTr="00C654AE">
        <w:trPr>
          <w:jc w:val="center"/>
        </w:trPr>
        <w:tc>
          <w:tcPr>
            <w:tcW w:w="1694" w:type="dxa"/>
            <w:shd w:val="clear" w:color="auto" w:fill="auto"/>
            <w:hideMark/>
          </w:tcPr>
          <w:p w14:paraId="116C6B37" w14:textId="77777777" w:rsidR="006119EF" w:rsidRPr="00440394" w:rsidRDefault="006119EF" w:rsidP="00C654AE">
            <w:pPr>
              <w:widowControl w:val="0"/>
              <w:jc w:val="left"/>
              <w:rPr>
                <w:sz w:val="20"/>
                <w:szCs w:val="20"/>
              </w:rPr>
            </w:pPr>
            <w:proofErr w:type="spellStart"/>
            <w:r>
              <w:rPr>
                <w:sz w:val="20"/>
              </w:rPr>
              <w:t>Mise</w:t>
            </w:r>
            <w:proofErr w:type="spellEnd"/>
            <w:r>
              <w:rPr>
                <w:sz w:val="20"/>
              </w:rPr>
              <w:t xml:space="preserve"> </w:t>
            </w:r>
            <w:proofErr w:type="spellStart"/>
            <w:r>
              <w:rPr>
                <w:sz w:val="20"/>
              </w:rPr>
              <w:t>en</w:t>
            </w:r>
            <w:proofErr w:type="spellEnd"/>
            <w:r>
              <w:rPr>
                <w:sz w:val="20"/>
              </w:rPr>
              <w:t xml:space="preserve"> </w:t>
            </w:r>
            <w:proofErr w:type="spellStart"/>
            <w:r>
              <w:rPr>
                <w:sz w:val="20"/>
              </w:rPr>
              <w:t>œuvre</w:t>
            </w:r>
            <w:proofErr w:type="spellEnd"/>
          </w:p>
        </w:tc>
        <w:tc>
          <w:tcPr>
            <w:tcW w:w="1829" w:type="dxa"/>
            <w:shd w:val="clear" w:color="auto" w:fill="auto"/>
            <w:hideMark/>
          </w:tcPr>
          <w:p w14:paraId="0759CE70" w14:textId="77777777" w:rsidR="006119EF" w:rsidRPr="00440394" w:rsidRDefault="006119EF" w:rsidP="00C654AE">
            <w:pPr>
              <w:widowControl w:val="0"/>
              <w:jc w:val="left"/>
              <w:rPr>
                <w:sz w:val="20"/>
                <w:szCs w:val="20"/>
              </w:rPr>
            </w:pPr>
            <w:proofErr w:type="spellStart"/>
            <w:r>
              <w:rPr>
                <w:sz w:val="20"/>
              </w:rPr>
              <w:t>Élimination</w:t>
            </w:r>
            <w:proofErr w:type="spellEnd"/>
            <w:r>
              <w:rPr>
                <w:sz w:val="20"/>
              </w:rPr>
              <w:t xml:space="preserve"> des SAO</w:t>
            </w:r>
          </w:p>
        </w:tc>
        <w:tc>
          <w:tcPr>
            <w:tcW w:w="4331" w:type="dxa"/>
            <w:shd w:val="clear" w:color="auto" w:fill="auto"/>
            <w:hideMark/>
          </w:tcPr>
          <w:p w14:paraId="1B514DAC" w14:textId="77777777" w:rsidR="006119EF" w:rsidRPr="006119EF" w:rsidRDefault="006119EF" w:rsidP="00C654AE">
            <w:pPr>
              <w:widowControl w:val="0"/>
              <w:jc w:val="left"/>
              <w:rPr>
                <w:sz w:val="20"/>
                <w:szCs w:val="20"/>
                <w:lang w:val="fr-FR"/>
              </w:rPr>
            </w:pPr>
            <w:r w:rsidRPr="006119EF">
              <w:rPr>
                <w:sz w:val="20"/>
                <w:lang w:val="fr-FR"/>
              </w:rPr>
              <w:t>Élimination des SAO pour la tranche lorsque la prochaine est approuvée par rapport à celles planifiées par plans d’activités</w:t>
            </w:r>
          </w:p>
        </w:tc>
        <w:tc>
          <w:tcPr>
            <w:tcW w:w="1515" w:type="dxa"/>
          </w:tcPr>
          <w:p w14:paraId="191D6EB1" w14:textId="77777777" w:rsidR="006119EF" w:rsidRPr="00440394" w:rsidRDefault="006119EF" w:rsidP="00C654AE">
            <w:pPr>
              <w:widowControl w:val="0"/>
              <w:jc w:val="right"/>
              <w:rPr>
                <w:sz w:val="20"/>
                <w:szCs w:val="20"/>
              </w:rPr>
            </w:pPr>
            <w:r>
              <w:rPr>
                <w:sz w:val="20"/>
              </w:rPr>
              <w:t>216,0 tonnes PAO</w:t>
            </w:r>
          </w:p>
        </w:tc>
      </w:tr>
      <w:tr w:rsidR="006119EF" w:rsidRPr="00440394" w14:paraId="674A5976" w14:textId="77777777" w:rsidTr="00C654AE">
        <w:trPr>
          <w:jc w:val="center"/>
        </w:trPr>
        <w:tc>
          <w:tcPr>
            <w:tcW w:w="1694" w:type="dxa"/>
            <w:shd w:val="clear" w:color="auto" w:fill="auto"/>
            <w:hideMark/>
          </w:tcPr>
          <w:p w14:paraId="51AFDA41" w14:textId="77777777" w:rsidR="006119EF" w:rsidRPr="00440394" w:rsidRDefault="006119EF" w:rsidP="00C654AE">
            <w:pPr>
              <w:widowControl w:val="0"/>
              <w:jc w:val="left"/>
              <w:rPr>
                <w:sz w:val="20"/>
                <w:szCs w:val="20"/>
              </w:rPr>
            </w:pPr>
            <w:proofErr w:type="spellStart"/>
            <w:r>
              <w:rPr>
                <w:sz w:val="20"/>
              </w:rPr>
              <w:t>Mise</w:t>
            </w:r>
            <w:proofErr w:type="spellEnd"/>
            <w:r>
              <w:rPr>
                <w:sz w:val="20"/>
              </w:rPr>
              <w:t xml:space="preserve"> </w:t>
            </w:r>
            <w:proofErr w:type="spellStart"/>
            <w:r>
              <w:rPr>
                <w:sz w:val="20"/>
              </w:rPr>
              <w:t>en</w:t>
            </w:r>
            <w:proofErr w:type="spellEnd"/>
            <w:r>
              <w:rPr>
                <w:sz w:val="20"/>
              </w:rPr>
              <w:t xml:space="preserve"> </w:t>
            </w:r>
            <w:proofErr w:type="spellStart"/>
            <w:r>
              <w:rPr>
                <w:sz w:val="20"/>
              </w:rPr>
              <w:t>œuvre</w:t>
            </w:r>
            <w:proofErr w:type="spellEnd"/>
            <w:r>
              <w:rPr>
                <w:sz w:val="20"/>
              </w:rPr>
              <w:t xml:space="preserve"> </w:t>
            </w:r>
          </w:p>
        </w:tc>
        <w:tc>
          <w:tcPr>
            <w:tcW w:w="1829" w:type="dxa"/>
            <w:shd w:val="clear" w:color="auto" w:fill="auto"/>
            <w:hideMark/>
          </w:tcPr>
          <w:p w14:paraId="6254CED8" w14:textId="77777777" w:rsidR="006119EF" w:rsidRPr="006119EF" w:rsidRDefault="006119EF" w:rsidP="00C654AE">
            <w:pPr>
              <w:widowControl w:val="0"/>
              <w:jc w:val="left"/>
              <w:rPr>
                <w:sz w:val="20"/>
                <w:szCs w:val="20"/>
                <w:lang w:val="fr-FR"/>
              </w:rPr>
            </w:pPr>
            <w:r w:rsidRPr="006119EF">
              <w:rPr>
                <w:sz w:val="20"/>
                <w:lang w:val="fr-FR"/>
              </w:rPr>
              <w:t>Achèvement de projet pour les activités</w:t>
            </w:r>
          </w:p>
        </w:tc>
        <w:tc>
          <w:tcPr>
            <w:tcW w:w="4331" w:type="dxa"/>
            <w:shd w:val="clear" w:color="auto" w:fill="auto"/>
            <w:hideMark/>
          </w:tcPr>
          <w:p w14:paraId="6A902F80" w14:textId="77777777" w:rsidR="006119EF" w:rsidRPr="006119EF" w:rsidRDefault="006119EF" w:rsidP="00C654AE">
            <w:pPr>
              <w:widowControl w:val="0"/>
              <w:jc w:val="left"/>
              <w:rPr>
                <w:sz w:val="20"/>
                <w:szCs w:val="20"/>
                <w:lang w:val="fr-FR"/>
              </w:rPr>
            </w:pPr>
            <w:r w:rsidRPr="006119EF">
              <w:rPr>
                <w:sz w:val="20"/>
                <w:lang w:val="fr-FR"/>
              </w:rPr>
              <w:t>Achèvement de projets par rapport aux projets prévus dans les rapports périodiques pour toutes les activités (mise à part la préparation de projet)</w:t>
            </w:r>
          </w:p>
        </w:tc>
        <w:tc>
          <w:tcPr>
            <w:tcW w:w="1515" w:type="dxa"/>
          </w:tcPr>
          <w:p w14:paraId="387B2515" w14:textId="77777777" w:rsidR="006119EF" w:rsidRPr="00440394" w:rsidRDefault="006119EF" w:rsidP="00C654AE">
            <w:pPr>
              <w:widowControl w:val="0"/>
              <w:jc w:val="right"/>
              <w:rPr>
                <w:sz w:val="20"/>
                <w:szCs w:val="20"/>
              </w:rPr>
            </w:pPr>
            <w:r>
              <w:rPr>
                <w:sz w:val="20"/>
              </w:rPr>
              <w:t>40</w:t>
            </w:r>
          </w:p>
        </w:tc>
      </w:tr>
      <w:tr w:rsidR="006119EF" w:rsidRPr="00440394" w14:paraId="3ECBF7D2" w14:textId="77777777" w:rsidTr="00C654AE">
        <w:trPr>
          <w:jc w:val="center"/>
        </w:trPr>
        <w:tc>
          <w:tcPr>
            <w:tcW w:w="1694" w:type="dxa"/>
            <w:shd w:val="clear" w:color="auto" w:fill="auto"/>
            <w:hideMark/>
          </w:tcPr>
          <w:p w14:paraId="2A5704F8" w14:textId="77777777" w:rsidR="006119EF" w:rsidRPr="00440394" w:rsidRDefault="006119EF" w:rsidP="00C654AE">
            <w:pPr>
              <w:widowControl w:val="0"/>
              <w:jc w:val="left"/>
              <w:rPr>
                <w:sz w:val="20"/>
                <w:szCs w:val="20"/>
              </w:rPr>
            </w:pPr>
            <w:proofErr w:type="spellStart"/>
            <w:r>
              <w:rPr>
                <w:sz w:val="20"/>
              </w:rPr>
              <w:t>Administratif</w:t>
            </w:r>
            <w:proofErr w:type="spellEnd"/>
          </w:p>
        </w:tc>
        <w:tc>
          <w:tcPr>
            <w:tcW w:w="1829" w:type="dxa"/>
            <w:shd w:val="clear" w:color="auto" w:fill="auto"/>
            <w:hideMark/>
          </w:tcPr>
          <w:p w14:paraId="676676A8" w14:textId="77777777" w:rsidR="006119EF" w:rsidRPr="006119EF" w:rsidRDefault="006119EF" w:rsidP="00C654AE">
            <w:pPr>
              <w:widowControl w:val="0"/>
              <w:jc w:val="left"/>
              <w:rPr>
                <w:sz w:val="20"/>
                <w:szCs w:val="20"/>
                <w:lang w:val="fr-FR"/>
              </w:rPr>
            </w:pPr>
            <w:r w:rsidRPr="006119EF">
              <w:rPr>
                <w:sz w:val="20"/>
                <w:lang w:val="fr-FR"/>
              </w:rPr>
              <w:t>Rapidité de mise au point financière</w:t>
            </w:r>
          </w:p>
        </w:tc>
        <w:tc>
          <w:tcPr>
            <w:tcW w:w="4331" w:type="dxa"/>
            <w:shd w:val="clear" w:color="auto" w:fill="auto"/>
            <w:hideMark/>
          </w:tcPr>
          <w:p w14:paraId="60E2FFB1" w14:textId="77777777" w:rsidR="006119EF" w:rsidRPr="006119EF" w:rsidRDefault="006119EF" w:rsidP="00C654AE">
            <w:pPr>
              <w:widowControl w:val="0"/>
              <w:jc w:val="left"/>
              <w:rPr>
                <w:sz w:val="20"/>
                <w:szCs w:val="20"/>
                <w:lang w:val="fr-FR"/>
              </w:rPr>
            </w:pPr>
            <w:r w:rsidRPr="006119EF">
              <w:rPr>
                <w:sz w:val="20"/>
                <w:lang w:val="fr-FR"/>
              </w:rPr>
              <w:t>Mesure dans laquelle les projets sont financièrement clos 12 mois après leur achèvement</w:t>
            </w:r>
          </w:p>
        </w:tc>
        <w:tc>
          <w:tcPr>
            <w:tcW w:w="1515" w:type="dxa"/>
          </w:tcPr>
          <w:p w14:paraId="7F782262" w14:textId="77777777" w:rsidR="006119EF" w:rsidRPr="00440394" w:rsidRDefault="006119EF" w:rsidP="00C654AE">
            <w:pPr>
              <w:widowControl w:val="0"/>
              <w:jc w:val="right"/>
              <w:rPr>
                <w:sz w:val="20"/>
                <w:szCs w:val="20"/>
              </w:rPr>
            </w:pPr>
            <w:r>
              <w:rPr>
                <w:sz w:val="20"/>
              </w:rPr>
              <w:t>70%</w:t>
            </w:r>
          </w:p>
        </w:tc>
      </w:tr>
      <w:tr w:rsidR="006119EF" w:rsidRPr="00440394" w14:paraId="763A6E89" w14:textId="77777777" w:rsidTr="00C654AE">
        <w:trPr>
          <w:jc w:val="center"/>
        </w:trPr>
        <w:tc>
          <w:tcPr>
            <w:tcW w:w="1694" w:type="dxa"/>
            <w:shd w:val="clear" w:color="auto" w:fill="auto"/>
            <w:hideMark/>
          </w:tcPr>
          <w:p w14:paraId="31EF149F" w14:textId="77777777" w:rsidR="006119EF" w:rsidRPr="00440394" w:rsidRDefault="006119EF" w:rsidP="00C654AE">
            <w:pPr>
              <w:widowControl w:val="0"/>
              <w:jc w:val="left"/>
              <w:rPr>
                <w:sz w:val="20"/>
                <w:szCs w:val="20"/>
              </w:rPr>
            </w:pPr>
            <w:proofErr w:type="spellStart"/>
            <w:r>
              <w:rPr>
                <w:sz w:val="20"/>
              </w:rPr>
              <w:t>Administratif</w:t>
            </w:r>
            <w:proofErr w:type="spellEnd"/>
            <w:r>
              <w:rPr>
                <w:sz w:val="20"/>
              </w:rPr>
              <w:t xml:space="preserve"> </w:t>
            </w:r>
          </w:p>
        </w:tc>
        <w:tc>
          <w:tcPr>
            <w:tcW w:w="1829" w:type="dxa"/>
            <w:shd w:val="clear" w:color="auto" w:fill="auto"/>
            <w:hideMark/>
          </w:tcPr>
          <w:p w14:paraId="3BF6EFBA" w14:textId="77777777" w:rsidR="006119EF" w:rsidRPr="006119EF" w:rsidRDefault="006119EF" w:rsidP="00C654AE">
            <w:pPr>
              <w:widowControl w:val="0"/>
              <w:jc w:val="left"/>
              <w:rPr>
                <w:sz w:val="20"/>
                <w:szCs w:val="20"/>
                <w:lang w:val="fr-FR"/>
              </w:rPr>
            </w:pPr>
            <w:r w:rsidRPr="006119EF">
              <w:rPr>
                <w:sz w:val="20"/>
                <w:lang w:val="fr-FR"/>
              </w:rPr>
              <w:t>Soumission à temps de rapports d’achèvement de projet</w:t>
            </w:r>
          </w:p>
        </w:tc>
        <w:tc>
          <w:tcPr>
            <w:tcW w:w="4331" w:type="dxa"/>
            <w:shd w:val="clear" w:color="auto" w:fill="auto"/>
            <w:hideMark/>
          </w:tcPr>
          <w:p w14:paraId="0B5795DB" w14:textId="77777777" w:rsidR="006119EF" w:rsidRPr="006119EF" w:rsidRDefault="006119EF" w:rsidP="00C654AE">
            <w:pPr>
              <w:widowControl w:val="0"/>
              <w:jc w:val="left"/>
              <w:rPr>
                <w:sz w:val="20"/>
                <w:szCs w:val="20"/>
                <w:lang w:val="fr-FR"/>
              </w:rPr>
            </w:pPr>
            <w:r w:rsidRPr="006119EF">
              <w:rPr>
                <w:sz w:val="20"/>
                <w:lang w:val="fr-FR"/>
              </w:rPr>
              <w:t>Soumission à temps de rapports d’achèvement de projet par rapport à ceux convenus</w:t>
            </w:r>
          </w:p>
        </w:tc>
        <w:tc>
          <w:tcPr>
            <w:tcW w:w="1515" w:type="dxa"/>
          </w:tcPr>
          <w:p w14:paraId="3A1C9986" w14:textId="77777777" w:rsidR="006119EF" w:rsidRPr="00440394" w:rsidRDefault="006119EF" w:rsidP="00C654AE">
            <w:pPr>
              <w:widowControl w:val="0"/>
              <w:jc w:val="right"/>
              <w:rPr>
                <w:sz w:val="20"/>
                <w:szCs w:val="20"/>
              </w:rPr>
            </w:pPr>
            <w:r>
              <w:rPr>
                <w:sz w:val="20"/>
              </w:rPr>
              <w:t>À temps (6)</w:t>
            </w:r>
          </w:p>
        </w:tc>
      </w:tr>
      <w:tr w:rsidR="006119EF" w:rsidRPr="00440394" w14:paraId="4A48957A" w14:textId="77777777" w:rsidTr="00C654AE">
        <w:trPr>
          <w:jc w:val="center"/>
        </w:trPr>
        <w:tc>
          <w:tcPr>
            <w:tcW w:w="1694" w:type="dxa"/>
            <w:shd w:val="clear" w:color="auto" w:fill="auto"/>
            <w:hideMark/>
          </w:tcPr>
          <w:p w14:paraId="3AAF7B33" w14:textId="77777777" w:rsidR="006119EF" w:rsidRPr="00440394" w:rsidRDefault="006119EF" w:rsidP="00C654AE">
            <w:pPr>
              <w:widowControl w:val="0"/>
              <w:jc w:val="left"/>
              <w:rPr>
                <w:sz w:val="20"/>
                <w:szCs w:val="20"/>
              </w:rPr>
            </w:pPr>
            <w:proofErr w:type="spellStart"/>
            <w:r>
              <w:rPr>
                <w:sz w:val="20"/>
              </w:rPr>
              <w:t>Administratif</w:t>
            </w:r>
            <w:proofErr w:type="spellEnd"/>
            <w:r>
              <w:rPr>
                <w:sz w:val="20"/>
              </w:rPr>
              <w:t xml:space="preserve"> </w:t>
            </w:r>
          </w:p>
        </w:tc>
        <w:tc>
          <w:tcPr>
            <w:tcW w:w="1829" w:type="dxa"/>
            <w:shd w:val="clear" w:color="auto" w:fill="auto"/>
            <w:hideMark/>
          </w:tcPr>
          <w:p w14:paraId="79163010" w14:textId="77777777" w:rsidR="006119EF" w:rsidRPr="006119EF" w:rsidRDefault="006119EF" w:rsidP="00C654AE">
            <w:pPr>
              <w:widowControl w:val="0"/>
              <w:jc w:val="left"/>
              <w:rPr>
                <w:sz w:val="20"/>
                <w:szCs w:val="20"/>
                <w:lang w:val="fr-FR"/>
              </w:rPr>
            </w:pPr>
            <w:r w:rsidRPr="006119EF">
              <w:rPr>
                <w:sz w:val="20"/>
                <w:lang w:val="fr-FR"/>
              </w:rPr>
              <w:t>Soumission à temps de rapports périodiques</w:t>
            </w:r>
          </w:p>
        </w:tc>
        <w:tc>
          <w:tcPr>
            <w:tcW w:w="4331" w:type="dxa"/>
            <w:shd w:val="clear" w:color="auto" w:fill="auto"/>
            <w:hideMark/>
          </w:tcPr>
          <w:p w14:paraId="633EBC2A" w14:textId="77777777" w:rsidR="006119EF" w:rsidRPr="006119EF" w:rsidRDefault="006119EF" w:rsidP="00C654AE">
            <w:pPr>
              <w:widowControl w:val="0"/>
              <w:jc w:val="left"/>
              <w:rPr>
                <w:sz w:val="20"/>
                <w:szCs w:val="20"/>
                <w:lang w:val="fr-FR"/>
              </w:rPr>
            </w:pPr>
            <w:r w:rsidRPr="006119EF">
              <w:rPr>
                <w:sz w:val="20"/>
                <w:lang w:val="fr-FR"/>
              </w:rPr>
              <w:t>Soumission à temps de rapports périodiques, de plans d’activités et de réponses sauf accord contraire</w:t>
            </w:r>
          </w:p>
        </w:tc>
        <w:tc>
          <w:tcPr>
            <w:tcW w:w="1515" w:type="dxa"/>
          </w:tcPr>
          <w:p w14:paraId="78C575E4" w14:textId="77777777" w:rsidR="006119EF" w:rsidRPr="00440394" w:rsidRDefault="006119EF" w:rsidP="00C654AE">
            <w:pPr>
              <w:widowControl w:val="0"/>
              <w:jc w:val="right"/>
              <w:rPr>
                <w:sz w:val="20"/>
                <w:szCs w:val="20"/>
              </w:rPr>
            </w:pPr>
            <w:r>
              <w:rPr>
                <w:sz w:val="20"/>
              </w:rPr>
              <w:t>À temps</w:t>
            </w:r>
          </w:p>
        </w:tc>
      </w:tr>
    </w:tbl>
    <w:p w14:paraId="5D9B47A7" w14:textId="77777777" w:rsidR="006119EF" w:rsidRPr="006119EF" w:rsidRDefault="006119EF" w:rsidP="006119EF">
      <w:pPr>
        <w:rPr>
          <w:sz w:val="19"/>
          <w:szCs w:val="19"/>
          <w:lang w:val="fr-FR"/>
        </w:rPr>
      </w:pPr>
      <w:r w:rsidRPr="006119EF">
        <w:rPr>
          <w:sz w:val="19"/>
          <w:lang w:val="fr-FR"/>
        </w:rPr>
        <w:t>* L’objectif d’une agence serait réduit si elle ne parvenait pas à présenter une tranche due à une autre agence principale ou de coopération, sur accord de cette dernière.</w:t>
      </w:r>
    </w:p>
    <w:p w14:paraId="2918C5CF" w14:textId="77777777" w:rsidR="006119EF" w:rsidRPr="006119EF" w:rsidRDefault="006119EF" w:rsidP="006119EF">
      <w:pPr>
        <w:spacing w:after="240"/>
        <w:rPr>
          <w:sz w:val="20"/>
          <w:lang w:val="fr-FR"/>
        </w:rPr>
      </w:pPr>
      <w:r w:rsidRPr="006119EF">
        <w:rPr>
          <w:sz w:val="19"/>
          <w:lang w:val="fr-FR"/>
        </w:rPr>
        <w:t>** La préparation du projet ne doit pas être évaluée si le Comité exécutif n’a pas pris de décision sur son financement.</w:t>
      </w:r>
      <w:r w:rsidRPr="006119EF">
        <w:rPr>
          <w:sz w:val="20"/>
          <w:lang w:val="fr-FR"/>
        </w:rPr>
        <w:t xml:space="preserve"> </w:t>
      </w:r>
      <w:r w:rsidRPr="006119EF">
        <w:rPr>
          <w:lang w:val="fr-FR"/>
        </w:rPr>
        <w:t xml:space="preserve"> </w:t>
      </w:r>
    </w:p>
    <w:p w14:paraId="4C212E8D" w14:textId="77777777" w:rsidR="0019723F" w:rsidRDefault="0019723F" w:rsidP="00D261BF">
      <w:pPr>
        <w:keepNext/>
        <w:spacing w:after="120"/>
        <w:rPr>
          <w:b/>
        </w:rPr>
      </w:pPr>
    </w:p>
    <w:p w14:paraId="3BEA3A3E" w14:textId="77777777" w:rsidR="0019723F" w:rsidRDefault="0019723F">
      <w:pPr>
        <w:jc w:val="left"/>
        <w:rPr>
          <w:b/>
        </w:rPr>
      </w:pPr>
      <w:r>
        <w:rPr>
          <w:b/>
        </w:rPr>
        <w:br w:type="page"/>
      </w:r>
    </w:p>
    <w:p w14:paraId="36695E82" w14:textId="64F23BBA" w:rsidR="006119EF" w:rsidRPr="00440394" w:rsidRDefault="006119EF" w:rsidP="00D261BF">
      <w:pPr>
        <w:keepNext/>
        <w:spacing w:after="120"/>
        <w:rPr>
          <w:b/>
          <w:bCs/>
        </w:rPr>
      </w:pPr>
      <w:bookmarkStart w:id="0" w:name="_GoBack"/>
      <w:bookmarkEnd w:id="0"/>
      <w:r>
        <w:rPr>
          <w:b/>
        </w:rPr>
        <w:lastRenderedPageBreak/>
        <w:t>RECOMMANDATION</w:t>
      </w:r>
    </w:p>
    <w:p w14:paraId="035B5F92" w14:textId="77777777" w:rsidR="006119EF" w:rsidRPr="006119EF" w:rsidRDefault="006119EF" w:rsidP="00D261BF">
      <w:pPr>
        <w:pStyle w:val="Heading1"/>
        <w:keepNext/>
        <w:spacing w:after="120"/>
        <w:rPr>
          <w:lang w:val="fr-FR"/>
        </w:rPr>
      </w:pPr>
      <w:r w:rsidRPr="006119EF">
        <w:rPr>
          <w:lang w:val="fr-FR"/>
        </w:rPr>
        <w:t>Le Comité exécutif voudra peut-être :</w:t>
      </w:r>
    </w:p>
    <w:p w14:paraId="636E1C4F" w14:textId="77777777" w:rsidR="006119EF" w:rsidRPr="006119EF" w:rsidRDefault="006119EF" w:rsidP="006119EF">
      <w:pPr>
        <w:pStyle w:val="Heading2"/>
        <w:numPr>
          <w:ilvl w:val="1"/>
          <w:numId w:val="1"/>
        </w:numPr>
        <w:rPr>
          <w:lang w:val="fr-FR"/>
        </w:rPr>
      </w:pPr>
      <w:r w:rsidRPr="006119EF">
        <w:rPr>
          <w:lang w:val="fr-FR"/>
        </w:rPr>
        <w:t>Prendre note du plan d’activités du PNUD pour 2022-2024 figurant dans le document UNEP/OzL.Pro/ExCom/88/24 ; et</w:t>
      </w:r>
    </w:p>
    <w:p w14:paraId="1240EC5A" w14:textId="77777777" w:rsidR="006119EF" w:rsidRPr="006119EF" w:rsidRDefault="006119EF" w:rsidP="00D261BF">
      <w:pPr>
        <w:pStyle w:val="Heading2"/>
        <w:numPr>
          <w:ilvl w:val="1"/>
          <w:numId w:val="1"/>
        </w:numPr>
        <w:spacing w:after="120"/>
        <w:rPr>
          <w:lang w:val="fr-FR"/>
        </w:rPr>
      </w:pPr>
      <w:r w:rsidRPr="006119EF">
        <w:rPr>
          <w:lang w:val="fr-FR"/>
        </w:rPr>
        <w:t>Approuver les indicateurs de performance du PNUD figurant au tableau 4 du document UNEP/OzL.Pro/ExCom/88/24.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119EF" w:rsidRPr="0019723F" w14:paraId="25251251" w14:textId="77777777" w:rsidTr="006119EF">
        <w:tc>
          <w:tcPr>
            <w:tcW w:w="1871" w:type="dxa"/>
          </w:tcPr>
          <w:p w14:paraId="5FB7F084" w14:textId="77777777" w:rsidR="006119EF" w:rsidRPr="006119EF" w:rsidRDefault="006119EF" w:rsidP="00C654AE">
            <w:pPr>
              <w:rPr>
                <w:lang w:val="fr-FR"/>
              </w:rPr>
            </w:pPr>
          </w:p>
        </w:tc>
        <w:tc>
          <w:tcPr>
            <w:tcW w:w="1872" w:type="dxa"/>
          </w:tcPr>
          <w:p w14:paraId="2E92DE28" w14:textId="77777777" w:rsidR="006119EF" w:rsidRPr="006119EF" w:rsidRDefault="006119EF" w:rsidP="00C654AE">
            <w:pPr>
              <w:rPr>
                <w:lang w:val="fr-FR"/>
              </w:rPr>
            </w:pPr>
          </w:p>
        </w:tc>
        <w:tc>
          <w:tcPr>
            <w:tcW w:w="1872" w:type="dxa"/>
            <w:tcBorders>
              <w:bottom w:val="single" w:sz="4" w:space="0" w:color="auto"/>
            </w:tcBorders>
          </w:tcPr>
          <w:p w14:paraId="53617514" w14:textId="77777777" w:rsidR="006119EF" w:rsidRPr="006119EF" w:rsidRDefault="006119EF" w:rsidP="00C654AE">
            <w:pPr>
              <w:rPr>
                <w:lang w:val="fr-FR"/>
              </w:rPr>
            </w:pPr>
          </w:p>
        </w:tc>
        <w:tc>
          <w:tcPr>
            <w:tcW w:w="1872" w:type="dxa"/>
          </w:tcPr>
          <w:p w14:paraId="5CD56438" w14:textId="77777777" w:rsidR="006119EF" w:rsidRPr="006119EF" w:rsidRDefault="006119EF" w:rsidP="00C654AE">
            <w:pPr>
              <w:rPr>
                <w:lang w:val="fr-FR"/>
              </w:rPr>
            </w:pPr>
          </w:p>
        </w:tc>
        <w:tc>
          <w:tcPr>
            <w:tcW w:w="1873" w:type="dxa"/>
          </w:tcPr>
          <w:p w14:paraId="01729E07" w14:textId="77777777" w:rsidR="006119EF" w:rsidRPr="006119EF" w:rsidRDefault="006119EF" w:rsidP="00C654AE">
            <w:pPr>
              <w:rPr>
                <w:lang w:val="fr-FR"/>
              </w:rPr>
            </w:pPr>
          </w:p>
        </w:tc>
      </w:tr>
    </w:tbl>
    <w:p w14:paraId="23626FFC" w14:textId="77777777" w:rsidR="00441083" w:rsidRDefault="00441083">
      <w:pPr>
        <w:rPr>
          <w:lang w:val="fr-FR"/>
        </w:rPr>
      </w:pPr>
    </w:p>
    <w:sectPr w:rsidR="0044108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E23E" w14:textId="77777777" w:rsidR="00ED2B94" w:rsidRDefault="00ED2B94">
      <w:r>
        <w:separator/>
      </w:r>
    </w:p>
  </w:endnote>
  <w:endnote w:type="continuationSeparator" w:id="0">
    <w:p w14:paraId="75A53E25" w14:textId="77777777" w:rsidR="00ED2B94" w:rsidRDefault="00ED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19916"/>
      <w:docPartObj>
        <w:docPartGallery w:val="Page Numbers (Bottom of Page)"/>
        <w:docPartUnique/>
      </w:docPartObj>
    </w:sdtPr>
    <w:sdtEndPr>
      <w:rPr>
        <w:noProof/>
      </w:rPr>
    </w:sdtEndPr>
    <w:sdtContent>
      <w:p w14:paraId="6D06216C" w14:textId="7C8004DC" w:rsidR="00D261BF" w:rsidRDefault="00D261BF">
        <w:pPr>
          <w:pStyle w:val="Footer"/>
          <w:jc w:val="center"/>
        </w:pPr>
        <w:r>
          <w:fldChar w:fldCharType="begin"/>
        </w:r>
        <w:r>
          <w:instrText xml:space="preserve"> PAGE   \* MERGEFORMAT </w:instrText>
        </w:r>
        <w:r>
          <w:fldChar w:fldCharType="separate"/>
        </w:r>
        <w:r w:rsidR="0019723F">
          <w:rPr>
            <w:noProof/>
          </w:rPr>
          <w:t>4</w:t>
        </w:r>
        <w:r>
          <w:rPr>
            <w:noProof/>
          </w:rPr>
          <w:fldChar w:fldCharType="end"/>
        </w:r>
      </w:p>
    </w:sdtContent>
  </w:sdt>
  <w:p w14:paraId="23C57F28" w14:textId="77777777" w:rsidR="00D261BF" w:rsidRDefault="00D261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80783"/>
      <w:docPartObj>
        <w:docPartGallery w:val="Page Numbers (Bottom of Page)"/>
        <w:docPartUnique/>
      </w:docPartObj>
    </w:sdtPr>
    <w:sdtEndPr>
      <w:rPr>
        <w:noProof/>
      </w:rPr>
    </w:sdtEndPr>
    <w:sdtContent>
      <w:p w14:paraId="526C3B76" w14:textId="262B6F6D" w:rsidR="00D261BF" w:rsidRDefault="00D261BF">
        <w:pPr>
          <w:pStyle w:val="Footer"/>
          <w:jc w:val="center"/>
        </w:pPr>
        <w:r>
          <w:fldChar w:fldCharType="begin"/>
        </w:r>
        <w:r>
          <w:instrText xml:space="preserve"> PAGE   \* MERGEFORMAT </w:instrText>
        </w:r>
        <w:r>
          <w:fldChar w:fldCharType="separate"/>
        </w:r>
        <w:r w:rsidR="0019723F">
          <w:rPr>
            <w:noProof/>
          </w:rPr>
          <w:t>5</w:t>
        </w:r>
        <w:r>
          <w:rPr>
            <w:noProof/>
          </w:rPr>
          <w:fldChar w:fldCharType="end"/>
        </w:r>
      </w:p>
    </w:sdtContent>
  </w:sdt>
  <w:p w14:paraId="6016FCDE" w14:textId="77777777" w:rsidR="00D261BF" w:rsidRDefault="00D261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610790C4" w14:textId="2567278E" w:rsidR="00441083" w:rsidRPr="00D261BF" w:rsidRDefault="00D261BF" w:rsidP="00D261BF">
        <w:pPr>
          <w:pBdr>
            <w:top w:val="single" w:sz="4" w:space="1" w:color="auto"/>
            <w:left w:val="single" w:sz="4" w:space="4" w:color="auto"/>
            <w:bottom w:val="single" w:sz="4" w:space="1" w:color="auto"/>
            <w:right w:val="single" w:sz="4" w:space="4" w:color="auto"/>
          </w:pBdr>
          <w:jc w:val="center"/>
          <w:rPr>
            <w:sz w:val="18"/>
            <w:szCs w:val="18"/>
            <w:lang w:val="fr-FR"/>
          </w:rPr>
        </w:pPr>
        <w:r w:rsidRPr="00D301B9">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sdtContent>
  </w:sdt>
  <w:p w14:paraId="7A49A74F" w14:textId="77777777" w:rsidR="00441083" w:rsidRPr="0019723F" w:rsidRDefault="00441083">
    <w:pPr>
      <w:jc w:val="center"/>
      <w:rPr>
        <w:sz w:val="18"/>
        <w:szCs w:val="18"/>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8BC46" w14:textId="77777777" w:rsidR="00ED2B94" w:rsidRDefault="00ED2B94">
      <w:r>
        <w:separator/>
      </w:r>
    </w:p>
  </w:footnote>
  <w:footnote w:type="continuationSeparator" w:id="0">
    <w:p w14:paraId="32B67146" w14:textId="77777777" w:rsidR="00ED2B94" w:rsidRDefault="00ED2B94">
      <w:r>
        <w:continuationSeparator/>
      </w:r>
    </w:p>
  </w:footnote>
  <w:footnote w:id="1">
    <w:p w14:paraId="0DC43268" w14:textId="1F43FF9B" w:rsidR="003029F8" w:rsidRPr="003029F8" w:rsidRDefault="002C06D4" w:rsidP="0019723F">
      <w:pPr>
        <w:pStyle w:val="FootnoteText"/>
        <w:rPr>
          <w:lang w:val="fr-CA"/>
        </w:rPr>
      </w:pPr>
      <w:r>
        <w:rPr>
          <w:rStyle w:val="FootnoteReference"/>
        </w:rPr>
        <w:footnoteRef/>
      </w:r>
      <w:r w:rsidRPr="003029F8">
        <w:rPr>
          <w:lang w:val="fr-CA"/>
        </w:rPr>
        <w:t xml:space="preserve"> </w:t>
      </w:r>
      <w:r w:rsidR="003029F8" w:rsidRPr="0004647F">
        <w:rPr>
          <w:lang w:val="fr-CA"/>
        </w:rPr>
        <w:t>Des réunions en ligne et un processus d’approbation intersessio</w:t>
      </w:r>
      <w:r w:rsidR="003029F8">
        <w:rPr>
          <w:lang w:val="fr-CA"/>
        </w:rPr>
        <w:t xml:space="preserve">ns se tiendront </w:t>
      </w:r>
      <w:r w:rsidR="003029F8" w:rsidRPr="0004647F">
        <w:rPr>
          <w:lang w:val="fr-CA"/>
        </w:rPr>
        <w:t>e</w:t>
      </w:r>
      <w:r w:rsidR="003029F8">
        <w:rPr>
          <w:lang w:val="fr-CA"/>
        </w:rPr>
        <w:t xml:space="preserve">n </w:t>
      </w:r>
      <w:r w:rsidR="009F6617">
        <w:rPr>
          <w:lang w:val="fr-CA"/>
        </w:rPr>
        <w:t xml:space="preserve">novembre et décembre </w:t>
      </w:r>
      <w:r w:rsidR="003029F8">
        <w:rPr>
          <w:lang w:val="fr-CA"/>
        </w:rPr>
        <w:t>2021 à cause du coronaviru</w:t>
      </w:r>
      <w:r w:rsidR="003029F8" w:rsidRPr="0004647F">
        <w:rPr>
          <w:lang w:val="fr-CA"/>
        </w:rPr>
        <w:t>s</w:t>
      </w:r>
      <w:r w:rsidR="003029F8">
        <w:rPr>
          <w:lang w:val="fr-CA"/>
        </w:rPr>
        <w:t xml:space="preserve"> (COVID-19)</w:t>
      </w:r>
      <w:r w:rsidR="0019723F">
        <w:rPr>
          <w:lang w:val="fr-CA"/>
        </w:rPr>
        <w:t>.</w:t>
      </w:r>
    </w:p>
  </w:footnote>
  <w:footnote w:id="2">
    <w:p w14:paraId="19755A0F" w14:textId="107F7F3D" w:rsidR="006119EF" w:rsidRDefault="006119EF" w:rsidP="006119EF">
      <w:pPr>
        <w:pStyle w:val="FootnoteText"/>
        <w:rPr>
          <w:lang w:val="fr-FR"/>
        </w:rPr>
      </w:pPr>
      <w:r>
        <w:rPr>
          <w:rStyle w:val="FootnoteReference"/>
        </w:rPr>
        <w:footnoteRef/>
      </w:r>
      <w:r w:rsidRPr="006119EF">
        <w:rPr>
          <w:lang w:val="fr-FR"/>
        </w:rPr>
        <w:t xml:space="preserve"> Compte tenu des contraintes imposées par la pandémie de COVID-19, les observations du Secrétariat sur la présentation initiale du plan d’activités du PNUD pour 2022-2024 ont été traitées dans le cadre de discussions bilatérales et de nombreux échanges de messages électroniques. Toutes les questions ont été traitées de manière satisfaisante.</w:t>
      </w:r>
    </w:p>
    <w:p w14:paraId="0641085A" w14:textId="77777777" w:rsidR="0019723F" w:rsidRPr="006119EF" w:rsidRDefault="0019723F" w:rsidP="006119EF">
      <w:pPr>
        <w:pStyle w:val="FootnoteText"/>
        <w:rPr>
          <w:lang w:val="fr-FR"/>
        </w:rPr>
      </w:pPr>
    </w:p>
  </w:footnote>
  <w:footnote w:id="3">
    <w:p w14:paraId="460CB885" w14:textId="4C32C00A" w:rsidR="006119EF" w:rsidRPr="006119EF" w:rsidRDefault="006119EF" w:rsidP="006119EF">
      <w:pPr>
        <w:pStyle w:val="FootnoteText"/>
        <w:rPr>
          <w:lang w:val="fr-FR"/>
        </w:rPr>
      </w:pPr>
      <w:r>
        <w:rPr>
          <w:rStyle w:val="FootnoteReference"/>
        </w:rPr>
        <w:footnoteRef/>
      </w:r>
      <w:r w:rsidRPr="006119EF">
        <w:rPr>
          <w:lang w:val="fr-FR"/>
        </w:rPr>
        <w:t xml:space="preserve"> L’inclusion de la phase III des PGHP dans le plan d’activités n’est autorisée que pour les pays dont la</w:t>
      </w:r>
      <w:r w:rsidR="00D261BF">
        <w:rPr>
          <w:lang w:val="fr-FR"/>
        </w:rPr>
        <w:t> </w:t>
      </w:r>
      <w:r w:rsidRPr="00D261BF">
        <w:rPr>
          <w:lang w:val="fr-FR"/>
        </w:rPr>
        <w:t>phase</w:t>
      </w:r>
      <w:r w:rsidR="00D261BF">
        <w:rPr>
          <w:lang w:val="fr-FR"/>
        </w:rPr>
        <w:t> </w:t>
      </w:r>
      <w:r w:rsidRPr="00D261BF">
        <w:rPr>
          <w:lang w:val="fr-FR"/>
        </w:rPr>
        <w:t>II</w:t>
      </w:r>
      <w:r w:rsidR="00D261BF">
        <w:rPr>
          <w:lang w:val="fr-FR"/>
        </w:rPr>
        <w:t> </w:t>
      </w:r>
      <w:r w:rsidRPr="006119EF">
        <w:rPr>
          <w:lang w:val="fr-FR"/>
        </w:rPr>
        <w:t>des</w:t>
      </w:r>
      <w:r w:rsidR="00D261BF">
        <w:rPr>
          <w:lang w:val="fr-FR"/>
        </w:rPr>
        <w:t> </w:t>
      </w:r>
      <w:r w:rsidRPr="006119EF">
        <w:rPr>
          <w:lang w:val="fr-FR"/>
        </w:rPr>
        <w:t>PGHP a été approuvée et dont les objectifs de réduction sont inférieurs aux objectifs de conformité à l’horizon 2025, conformément à la décision 84/46(e).</w:t>
      </w:r>
    </w:p>
  </w:footnote>
  <w:footnote w:id="4">
    <w:p w14:paraId="710F97F3" w14:textId="24DC4713" w:rsidR="006119EF" w:rsidRPr="006119EF" w:rsidRDefault="006119EF" w:rsidP="006119EF">
      <w:pPr>
        <w:pStyle w:val="FootnoteText"/>
        <w:rPr>
          <w:lang w:val="fr-FR"/>
        </w:rPr>
      </w:pPr>
      <w:r>
        <w:rPr>
          <w:rStyle w:val="FootnoteReference"/>
        </w:rPr>
        <w:footnoteRef/>
      </w:r>
      <w:r w:rsidRPr="006119EF">
        <w:rPr>
          <w:lang w:val="fr-FR"/>
        </w:rPr>
        <w:t xml:space="preserve"> Le financement de l’élaboration de plans nationaux de mise en œuvre pour satisfaire aux obligations initiales de réduction des HFC pourrait être fourni, au plus tôt, cinq ans avant ces obligations, après qu’un pays a ratifié l’Amendement de Kigali et sur la base de lignes directri</w:t>
      </w:r>
      <w:r>
        <w:rPr>
          <w:lang w:val="fr-FR"/>
        </w:rPr>
        <w:t>c</w:t>
      </w:r>
      <w:r w:rsidRPr="006119EF">
        <w:rPr>
          <w:lang w:val="fr-FR"/>
        </w:rPr>
        <w:t xml:space="preserve">es à approuver ultérieurement (décision 79/46(b)(iii)). En outre, les activités de préparation à la réduction des HFC pourraient être incluses dans le plan d’activités des pays qui n’ont pas ratifié l’amendement de Kigali mais qui ont soumis une lettre indiquant l’intention de leur gouvernement de faire tous les efforts possibles pour ratifier l’Amendement de Kigali (décision 84/46(f)). Les lignes directrices de la préparation des </w:t>
      </w:r>
      <w:r w:rsidR="006D24F8">
        <w:rPr>
          <w:lang w:val="fr-FR"/>
        </w:rPr>
        <w:t>p</w:t>
      </w:r>
      <w:r w:rsidR="006D24F8" w:rsidRPr="006D24F8">
        <w:rPr>
          <w:lang w:val="fr-FR"/>
        </w:rPr>
        <w:t>lan</w:t>
      </w:r>
      <w:r w:rsidR="006D24F8">
        <w:rPr>
          <w:lang w:val="fr-FR"/>
        </w:rPr>
        <w:t xml:space="preserve">s </w:t>
      </w:r>
      <w:r w:rsidR="006D24F8" w:rsidRPr="006D24F8">
        <w:rPr>
          <w:lang w:val="fr-FR"/>
        </w:rPr>
        <w:t>de mise en œuvre de l’Amendement de Kigali</w:t>
      </w:r>
      <w:r w:rsidR="006D24F8" w:rsidRPr="006119EF">
        <w:rPr>
          <w:lang w:val="fr-FR"/>
        </w:rPr>
        <w:t xml:space="preserve"> </w:t>
      </w:r>
      <w:r w:rsidRPr="006119EF">
        <w:rPr>
          <w:lang w:val="fr-FR"/>
        </w:rPr>
        <w:t>ont été approuvés à la 87</w:t>
      </w:r>
      <w:r w:rsidRPr="006119EF">
        <w:rPr>
          <w:vertAlign w:val="superscript"/>
          <w:lang w:val="fr-FR"/>
        </w:rPr>
        <w:t>e</w:t>
      </w:r>
      <w:r w:rsidRPr="006119EF">
        <w:rPr>
          <w:lang w:val="fr-FR"/>
        </w:rPr>
        <w:t xml:space="preserve"> réunion (décision 87/50).</w:t>
      </w:r>
    </w:p>
  </w:footnote>
  <w:footnote w:id="5">
    <w:p w14:paraId="7E452E53" w14:textId="2D45D52C" w:rsidR="006119EF" w:rsidRPr="006119EF" w:rsidRDefault="006119EF" w:rsidP="006119EF">
      <w:pPr>
        <w:pStyle w:val="FootnoteText"/>
        <w:rPr>
          <w:lang w:val="fr-FR"/>
        </w:rPr>
      </w:pPr>
      <w:r>
        <w:rPr>
          <w:rStyle w:val="FootnoteReference"/>
        </w:rPr>
        <w:footnoteRef/>
      </w:r>
      <w:r w:rsidRPr="006119EF">
        <w:rPr>
          <w:lang w:val="fr-FR"/>
        </w:rPr>
        <w:t xml:space="preserve"> Les </w:t>
      </w:r>
      <w:r w:rsidR="006D24F8">
        <w:rPr>
          <w:lang w:val="fr-FR"/>
        </w:rPr>
        <w:t>p</w:t>
      </w:r>
      <w:r w:rsidR="006D24F8" w:rsidRPr="006D24F8">
        <w:rPr>
          <w:lang w:val="fr-FR"/>
        </w:rPr>
        <w:t>lan</w:t>
      </w:r>
      <w:r w:rsidR="006D24F8">
        <w:rPr>
          <w:lang w:val="fr-FR"/>
        </w:rPr>
        <w:t xml:space="preserve">s </w:t>
      </w:r>
      <w:r w:rsidR="006D24F8" w:rsidRPr="006D24F8">
        <w:rPr>
          <w:lang w:val="fr-FR"/>
        </w:rPr>
        <w:t>de mise en œuvre de l’Amendement de Kigali</w:t>
      </w:r>
      <w:r w:rsidR="006D24F8" w:rsidRPr="006119EF">
        <w:rPr>
          <w:lang w:val="fr-FR"/>
        </w:rPr>
        <w:t xml:space="preserve"> </w:t>
      </w:r>
      <w:r w:rsidRPr="006119EF">
        <w:rPr>
          <w:lang w:val="fr-FR"/>
        </w:rPr>
        <w:t>peuvent inclure ces plans dans le plan d’activités uniquement pour les pays qui ont ratifié l’Amendement de Kigali (décision 84/46(g)).</w:t>
      </w:r>
    </w:p>
  </w:footnote>
  <w:footnote w:id="6">
    <w:p w14:paraId="3F0F1978" w14:textId="77777777" w:rsidR="006119EF" w:rsidRPr="006119EF" w:rsidRDefault="006119EF" w:rsidP="006119EF">
      <w:pPr>
        <w:pStyle w:val="FootnoteText"/>
        <w:rPr>
          <w:lang w:val="fr-FR"/>
        </w:rPr>
      </w:pPr>
      <w:r>
        <w:rPr>
          <w:rStyle w:val="FootnoteReference"/>
        </w:rPr>
        <w:footnoteRef/>
      </w:r>
      <w:r w:rsidRPr="006119EF">
        <w:rPr>
          <w:lang w:val="fr-FR"/>
        </w:rPr>
        <w:t xml:space="preserve"> La demande des coûts de l’unité centrale du PNUD pour 2022 a été présentée à la 88</w:t>
      </w:r>
      <w:r w:rsidRPr="006119EF">
        <w:rPr>
          <w:vertAlign w:val="superscript"/>
          <w:lang w:val="fr-FR"/>
        </w:rPr>
        <w:t>e</w:t>
      </w:r>
      <w:r w:rsidRPr="006119EF">
        <w:rPr>
          <w:lang w:val="fr-FR"/>
        </w:rPr>
        <w:t xml:space="preserve"> réunion (UNEP/OzL.Pro/ExCom/88/35).</w:t>
      </w:r>
    </w:p>
  </w:footnote>
  <w:footnote w:id="7">
    <w:p w14:paraId="4150D90D" w14:textId="77777777" w:rsidR="006119EF" w:rsidRPr="006119EF" w:rsidRDefault="006119EF" w:rsidP="006119EF">
      <w:pPr>
        <w:pStyle w:val="FootnoteText"/>
        <w:rPr>
          <w:lang w:val="fr-FR"/>
        </w:rPr>
      </w:pPr>
      <w:r>
        <w:rPr>
          <w:rStyle w:val="FootnoteReference"/>
        </w:rPr>
        <w:footnoteRef/>
      </w:r>
      <w:r w:rsidRPr="006119EF">
        <w:rPr>
          <w:lang w:val="fr-FR"/>
        </w:rPr>
        <w:t xml:space="preserve"> En l’absence d’une décision des Parties sur le niveau de reconstitution du Fonds multilatéral pour la période triennale 2021</w:t>
      </w:r>
      <w:r w:rsidRPr="006119EF">
        <w:rPr>
          <w:lang w:val="fr-FR"/>
        </w:rPr>
        <w:noBreakHyphen/>
        <w:t>2023, et à la lumière de la décision XXXII/1, le budget indicatif pour l’allocation des ressources du plan d’activités pour 2022-2024 a été supposé au même niveau que la reconstitution de la période triennale 2018-2020. Cette question est abordée dans le plan d’activités consolidé 2022-2024 du Fonds multilatéral (UNEP/OzL.Pro/ExCom/88/22).</w:t>
      </w:r>
    </w:p>
  </w:footnote>
  <w:footnote w:id="8">
    <w:p w14:paraId="55A39400" w14:textId="77777777" w:rsidR="006119EF" w:rsidRPr="005A3A16" w:rsidRDefault="006119EF" w:rsidP="006119EF">
      <w:pPr>
        <w:pStyle w:val="FootnoteText"/>
      </w:pPr>
      <w:r>
        <w:rPr>
          <w:rStyle w:val="FootnoteReference"/>
        </w:rPr>
        <w:footnoteRef/>
      </w:r>
      <w:r>
        <w:t xml:space="preserve"> UNEP/OzL.Pro/ExCom/88/22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EA3C8" w14:textId="09D0F6C7" w:rsidR="00D261BF" w:rsidRPr="0033525D" w:rsidRDefault="00D261BF" w:rsidP="00D261BF">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/88/24</w:t>
    </w:r>
    <w:r>
      <w:fldChar w:fldCharType="end"/>
    </w:r>
  </w:p>
  <w:p w14:paraId="113FE7E2" w14:textId="224C309D" w:rsidR="00D261BF" w:rsidRDefault="00D261BF">
    <w:pPr>
      <w:pStyle w:val="Header"/>
    </w:pPr>
  </w:p>
  <w:p w14:paraId="5FF1C6AF" w14:textId="77777777" w:rsidR="0019723F" w:rsidRDefault="001972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F72D" w14:textId="25584105" w:rsidR="00D261BF" w:rsidRPr="0033525D" w:rsidRDefault="00D261BF" w:rsidP="00D261BF">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/88/24</w:t>
    </w:r>
    <w:r>
      <w:fldChar w:fldCharType="end"/>
    </w:r>
  </w:p>
  <w:p w14:paraId="768D2876" w14:textId="1251F70A" w:rsidR="00D261BF" w:rsidRDefault="00D261BF" w:rsidP="00D261BF">
    <w:pPr>
      <w:pStyle w:val="Header"/>
      <w:jc w:val="right"/>
    </w:pPr>
  </w:p>
  <w:p w14:paraId="6D7EF7C6" w14:textId="77777777" w:rsidR="0019723F" w:rsidRDefault="0019723F" w:rsidP="00D261B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675B" w14:textId="77777777" w:rsidR="00441083" w:rsidRDefault="00441083">
    <w:pPr>
      <w:jc w:val="right"/>
    </w:pPr>
  </w:p>
  <w:p w14:paraId="353CEBF2"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F"/>
    <w:rsid w:val="0005110A"/>
    <w:rsid w:val="00074558"/>
    <w:rsid w:val="000F6C8E"/>
    <w:rsid w:val="0019723F"/>
    <w:rsid w:val="001C3D0C"/>
    <w:rsid w:val="001D4CE7"/>
    <w:rsid w:val="00265AF0"/>
    <w:rsid w:val="002C06D4"/>
    <w:rsid w:val="002F0B57"/>
    <w:rsid w:val="003029F8"/>
    <w:rsid w:val="003A0CA4"/>
    <w:rsid w:val="00441083"/>
    <w:rsid w:val="00444619"/>
    <w:rsid w:val="004A0B2A"/>
    <w:rsid w:val="004B1B59"/>
    <w:rsid w:val="004C2C87"/>
    <w:rsid w:val="004E3A36"/>
    <w:rsid w:val="005B3CAD"/>
    <w:rsid w:val="005C278F"/>
    <w:rsid w:val="00605093"/>
    <w:rsid w:val="006119EF"/>
    <w:rsid w:val="006D24F8"/>
    <w:rsid w:val="007034FA"/>
    <w:rsid w:val="0075750B"/>
    <w:rsid w:val="0091161A"/>
    <w:rsid w:val="00972E99"/>
    <w:rsid w:val="009A5180"/>
    <w:rsid w:val="009F6617"/>
    <w:rsid w:val="00AC013C"/>
    <w:rsid w:val="00AE63D8"/>
    <w:rsid w:val="00B811F2"/>
    <w:rsid w:val="00BC3C7D"/>
    <w:rsid w:val="00BD70B7"/>
    <w:rsid w:val="00C16E3F"/>
    <w:rsid w:val="00C34C3E"/>
    <w:rsid w:val="00C6443E"/>
    <w:rsid w:val="00C9547D"/>
    <w:rsid w:val="00CC2B33"/>
    <w:rsid w:val="00D261BF"/>
    <w:rsid w:val="00D7654A"/>
    <w:rsid w:val="00DB4E64"/>
    <w:rsid w:val="00DD3433"/>
    <w:rsid w:val="00E348C6"/>
    <w:rsid w:val="00E54871"/>
    <w:rsid w:val="00E60D9C"/>
    <w:rsid w:val="00EB2067"/>
    <w:rsid w:val="00ED2B94"/>
    <w:rsid w:val="00F218B0"/>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D126C"/>
  <w15:docId w15:val="{F60B7635-BCDD-4A0B-AF8C-4DEEBD5D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nhideWhenUsed/>
    <w:rsid w:val="002C06D4"/>
    <w:rPr>
      <w:sz w:val="20"/>
      <w:szCs w:val="20"/>
    </w:rPr>
  </w:style>
  <w:style w:type="character" w:customStyle="1" w:styleId="FootnoteTextChar">
    <w:name w:val="Footnote Text Char"/>
    <w:basedOn w:val="DefaultParagraphFont"/>
    <w:link w:val="FootnoteText"/>
    <w:rsid w:val="002C06D4"/>
    <w:rPr>
      <w:lang w:val="en-GB"/>
    </w:rPr>
  </w:style>
  <w:style w:type="character" w:styleId="FootnoteReference">
    <w:name w:val="footnote reference"/>
    <w:aliases w:val="16 Point,Superscript 6 Point,Footnote text,Footnote Text1,Footnote Text2"/>
    <w:basedOn w:val="DefaultParagraphFont"/>
    <w:unhideWhenUsed/>
    <w:rsid w:val="002C06D4"/>
    <w:rPr>
      <w:vertAlign w:val="superscript"/>
    </w:rPr>
  </w:style>
  <w:style w:type="paragraph" w:customStyle="1" w:styleId="Title2">
    <w:name w:val="Title2"/>
    <w:rsid w:val="006119EF"/>
    <w:pPr>
      <w:jc w:val="center"/>
      <w:outlineLvl w:val="0"/>
    </w:pPr>
    <w:rPr>
      <w:b/>
      <w:caps/>
      <w:sz w:val="22"/>
      <w:szCs w:val="22"/>
      <w:lang w:val="fr-FR"/>
    </w:rPr>
  </w:style>
  <w:style w:type="paragraph" w:customStyle="1" w:styleId="subhead">
    <w:name w:val="subhead"/>
    <w:basedOn w:val="Normal"/>
    <w:next w:val="Normal"/>
    <w:uiPriority w:val="99"/>
    <w:rsid w:val="006119EF"/>
    <w:pPr>
      <w:tabs>
        <w:tab w:val="left" w:pos="-720"/>
        <w:tab w:val="left" w:pos="0"/>
        <w:tab w:val="left" w:pos="720"/>
        <w:tab w:val="left" w:pos="1440"/>
        <w:tab w:val="left" w:pos="2160"/>
        <w:tab w:val="left" w:pos="2880"/>
        <w:tab w:val="left" w:pos="3600"/>
      </w:tabs>
      <w:jc w:val="center"/>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2021\10%20Octobre%202021\Upwelling\Montreal\F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UNEP/OzL.Pro/ExCom/88/24</Document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FAC7-23FB-426C-9CCF-C69FCB5FDA93}"/>
</file>

<file path=customXml/itemProps2.xml><?xml version="1.0" encoding="utf-8"?>
<ds:datastoreItem xmlns:ds="http://schemas.openxmlformats.org/officeDocument/2006/customXml" ds:itemID="{30DF870B-60A9-417F-BB89-EBA33357FCD6}"/>
</file>

<file path=customXml/itemProps3.xml><?xml version="1.0" encoding="utf-8"?>
<ds:datastoreItem xmlns:ds="http://schemas.openxmlformats.org/officeDocument/2006/customXml" ds:itemID="{C6A702AB-396D-4B1C-BA99-19FCED4B335B}"/>
</file>

<file path=customXml/itemProps4.xml><?xml version="1.0" encoding="utf-8"?>
<ds:datastoreItem xmlns:ds="http://schemas.openxmlformats.org/officeDocument/2006/customXml" ds:itemID="{C05B3FA8-D69F-4629-937C-9C3463FB5770}"/>
</file>

<file path=docProps/app.xml><?xml version="1.0" encoding="utf-8"?>
<Properties xmlns="http://schemas.openxmlformats.org/officeDocument/2006/extended-properties" xmlns:vt="http://schemas.openxmlformats.org/officeDocument/2006/docPropsVTypes">
  <Template>F88-Template</Template>
  <TotalTime>7</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Plan d'activités du PNUD pour la période 2022-2024</vt:lpstr>
    </vt:vector>
  </TitlesOfParts>
  <Company>UNMFS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d'activités du PNUD pour la période 2022-2024</dc:title>
  <dc:subject/>
  <dc:creator>ED</dc:creator>
  <cp:lastModifiedBy>HBE</cp:lastModifiedBy>
  <cp:revision>3</cp:revision>
  <cp:lastPrinted>2001-05-26T16:40:00Z</cp:lastPrinted>
  <dcterms:created xsi:type="dcterms:W3CDTF">2021-10-26T00:27:00Z</dcterms:created>
  <dcterms:modified xsi:type="dcterms:W3CDTF">2021-11-17T03:52:00Z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UNEP/OzL.Pro/ExCom/88/24</vt:lpwstr>
  </property>
  <property fmtid="{D5CDD505-2E9C-101B-9397-08002B2CF9AE}" pid="3" name="Revision date">
    <vt:lpwstr>10/25/2021</vt:lpwstr>
  </property>
  <property fmtid="{D5CDD505-2E9C-101B-9397-08002B2CF9AE}" pid="4" name="ContentTypeId">
    <vt:lpwstr>0x01010009F56DB39A5B9F46AA87ED0A960035E8</vt:lpwstr>
  </property>
</Properties>
</file>