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9A564E" w:rsidRPr="0052685A" w14:paraId="3571BC8F" w14:textId="77777777" w:rsidTr="009A564E">
        <w:trPr>
          <w:trHeight w:val="720"/>
        </w:trPr>
        <w:tc>
          <w:tcPr>
            <w:tcW w:w="5490" w:type="dxa"/>
            <w:gridSpan w:val="2"/>
            <w:tcBorders>
              <w:bottom w:val="single" w:sz="18" w:space="0" w:color="auto"/>
            </w:tcBorders>
          </w:tcPr>
          <w:p w14:paraId="3A3698EA" w14:textId="77777777" w:rsidR="009A564E" w:rsidRPr="0052685A" w:rsidRDefault="009A564E" w:rsidP="009A564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CA"/>
              </w:rPr>
            </w:pPr>
            <w:r w:rsidRPr="0052685A">
              <w:rPr>
                <w:rFonts w:ascii="Univers" w:hAnsi="Univers"/>
                <w:b/>
                <w:sz w:val="28"/>
                <w:szCs w:val="28"/>
                <w:lang w:val="fr-CA"/>
              </w:rPr>
              <w:t>NATIONS</w:t>
            </w:r>
          </w:p>
          <w:p w14:paraId="5B95138F" w14:textId="77777777" w:rsidR="009A564E" w:rsidRPr="0052685A" w:rsidRDefault="009A564E" w:rsidP="009A564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CA"/>
              </w:rPr>
            </w:pPr>
            <w:r w:rsidRPr="0052685A">
              <w:rPr>
                <w:rFonts w:ascii="Univers" w:hAnsi="Univers"/>
                <w:b/>
                <w:sz w:val="28"/>
                <w:szCs w:val="28"/>
                <w:lang w:val="fr-CA"/>
              </w:rPr>
              <w:t>UNIES</w:t>
            </w:r>
          </w:p>
        </w:tc>
        <w:tc>
          <w:tcPr>
            <w:tcW w:w="4590" w:type="dxa"/>
            <w:tcBorders>
              <w:bottom w:val="single" w:sz="18" w:space="0" w:color="auto"/>
            </w:tcBorders>
          </w:tcPr>
          <w:p w14:paraId="011C4AE4" w14:textId="77777777" w:rsidR="009A564E" w:rsidRPr="0052685A" w:rsidRDefault="009A564E" w:rsidP="009A564E">
            <w:pPr>
              <w:jc w:val="right"/>
              <w:rPr>
                <w:sz w:val="52"/>
                <w:szCs w:val="52"/>
                <w:lang w:val="fr-CA"/>
              </w:rPr>
            </w:pPr>
            <w:r w:rsidRPr="0052685A">
              <w:rPr>
                <w:rFonts w:ascii="Univers Bold" w:hAnsi="Univers Bold"/>
                <w:b/>
                <w:sz w:val="72"/>
                <w:lang w:val="fr-CA"/>
              </w:rPr>
              <w:t>EP</w:t>
            </w:r>
          </w:p>
        </w:tc>
      </w:tr>
      <w:tr w:rsidR="009A564E" w:rsidRPr="0052685A" w14:paraId="09719EBA" w14:textId="77777777" w:rsidTr="009A5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675B8879" w14:textId="77777777" w:rsidR="009A564E" w:rsidRPr="0052685A" w:rsidRDefault="009A564E" w:rsidP="009A564E">
            <w:pPr>
              <w:spacing w:before="120"/>
              <w:rPr>
                <w:lang w:val="fr-CA"/>
              </w:rPr>
            </w:pPr>
            <w:r w:rsidRPr="0052685A">
              <w:rPr>
                <w:noProof/>
                <w:lang w:val="en-CA" w:eastAsia="en-CA"/>
              </w:rPr>
              <mc:AlternateContent>
                <mc:Choice Requires="wpg">
                  <w:drawing>
                    <wp:anchor distT="0" distB="0" distL="114300" distR="114300" simplePos="0" relativeHeight="251659264" behindDoc="0" locked="0" layoutInCell="1" allowOverlap="1" wp14:anchorId="2B2BA209" wp14:editId="43F3F7FB">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11"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12" cstate="print"/>
                                <a:srcRect/>
                                <a:stretch>
                                  <a:fillRect/>
                                </a:stretch>
                              </pic:blipFill>
                              <pic:spPr bwMode="auto">
                                <a:xfrm>
                                  <a:off x="0" y="0"/>
                                  <a:ext cx="822325" cy="730885"/>
                                </a:xfrm>
                                <a:prstGeom prst="rect">
                                  <a:avLst/>
                                </a:prstGeom>
                                <a:noFill/>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726D5F3" id="Group 1" o:spid="_x0000_s1026" style="position:absolute;margin-left:.2pt;margin-top:2.85pt;width:66.5pt;height:127.25pt;z-index:251659264"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">
                        <v:imagedata r:id="rId13" o:title="UNEP"/>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">
                        <v:imagedata r:id="rId14" o:title=""/>
                      </v:shape>
                    </v:group>
                  </w:pict>
                </mc:Fallback>
              </mc:AlternateContent>
            </w:r>
          </w:p>
        </w:tc>
        <w:tc>
          <w:tcPr>
            <w:tcW w:w="3420" w:type="dxa"/>
            <w:tcBorders>
              <w:top w:val="nil"/>
              <w:left w:val="nil"/>
              <w:bottom w:val="single" w:sz="36" w:space="0" w:color="auto"/>
              <w:right w:val="nil"/>
            </w:tcBorders>
          </w:tcPr>
          <w:p w14:paraId="3D8F7D0C" w14:textId="77777777" w:rsidR="009A564E" w:rsidRDefault="009A564E" w:rsidP="009A564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44BD0F33" w14:textId="18F0963E" w:rsidR="009A564E" w:rsidRPr="0052685A" w:rsidRDefault="009A564E" w:rsidP="009A564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fr-CA"/>
              </w:rPr>
            </w:pPr>
            <w:r w:rsidRPr="0052685A">
              <w:rPr>
                <w:rFonts w:ascii="Univers" w:hAnsi="Univers"/>
                <w:b/>
                <w:sz w:val="32"/>
                <w:lang w:val="fr-CA"/>
              </w:rPr>
              <w:t>Programme des Nations Unies pour l</w:t>
            </w:r>
            <w:r w:rsidR="005A0776">
              <w:rPr>
                <w:rFonts w:ascii="Univers" w:hAnsi="Univers"/>
                <w:b/>
                <w:sz w:val="32"/>
                <w:lang w:val="fr-CA"/>
              </w:rPr>
              <w:t>’</w:t>
            </w:r>
            <w:r w:rsidRPr="0052685A">
              <w:rPr>
                <w:rFonts w:ascii="Univers" w:hAnsi="Univers"/>
                <w:b/>
                <w:sz w:val="32"/>
                <w:lang w:val="fr-CA"/>
              </w:rPr>
              <w:t>environnement</w:t>
            </w:r>
          </w:p>
          <w:p w14:paraId="23FCE934" w14:textId="77777777" w:rsidR="009A564E" w:rsidRPr="0052685A" w:rsidRDefault="009A564E" w:rsidP="009A564E">
            <w:pPr>
              <w:spacing w:before="720"/>
              <w:ind w:left="158"/>
              <w:rPr>
                <w:lang w:val="fr-CA"/>
              </w:rPr>
            </w:pPr>
          </w:p>
        </w:tc>
        <w:tc>
          <w:tcPr>
            <w:tcW w:w="4590" w:type="dxa"/>
            <w:tcBorders>
              <w:top w:val="nil"/>
              <w:left w:val="nil"/>
              <w:bottom w:val="single" w:sz="36" w:space="0" w:color="auto"/>
              <w:right w:val="nil"/>
            </w:tcBorders>
          </w:tcPr>
          <w:p w14:paraId="388B22EB" w14:textId="77777777" w:rsidR="009A564E" w:rsidRDefault="009A564E" w:rsidP="009A564E">
            <w:pPr>
              <w:rPr>
                <w:lang w:val="fr-CA"/>
              </w:rPr>
            </w:pPr>
          </w:p>
          <w:p w14:paraId="4CC75F99" w14:textId="77777777" w:rsidR="009A564E" w:rsidRPr="0052685A" w:rsidRDefault="009A564E" w:rsidP="009A564E">
            <w:pPr>
              <w:rPr>
                <w:lang w:val="fr-CA"/>
              </w:rPr>
            </w:pPr>
            <w:proofErr w:type="spellStart"/>
            <w:r w:rsidRPr="0052685A">
              <w:rPr>
                <w:lang w:val="fr-CA"/>
              </w:rPr>
              <w:t>Distr</w:t>
            </w:r>
            <w:proofErr w:type="spellEnd"/>
            <w:r w:rsidRPr="0052685A">
              <w:rPr>
                <w:lang w:val="fr-CA"/>
              </w:rPr>
              <w:t>.</w:t>
            </w:r>
          </w:p>
          <w:p w14:paraId="17AB3C56" w14:textId="77777777" w:rsidR="009A564E" w:rsidRPr="0052685A" w:rsidRDefault="009A564E" w:rsidP="009A564E">
            <w:pPr>
              <w:rPr>
                <w:lang w:val="fr-CA"/>
              </w:rPr>
            </w:pPr>
            <w:r w:rsidRPr="0052685A">
              <w:rPr>
                <w:lang w:val="fr-CA"/>
              </w:rPr>
              <w:t>GÉNÉRALE</w:t>
            </w:r>
          </w:p>
          <w:p w14:paraId="1F367B39" w14:textId="77777777" w:rsidR="009A564E" w:rsidRPr="0052685A" w:rsidRDefault="009A564E" w:rsidP="009A564E">
            <w:pPr>
              <w:rPr>
                <w:lang w:val="fr-CA"/>
              </w:rPr>
            </w:pPr>
          </w:p>
          <w:p w14:paraId="0821F43B" w14:textId="6C3951A8" w:rsidR="009A564E" w:rsidRPr="0052685A" w:rsidRDefault="009A564E" w:rsidP="009A564E">
            <w:pPr>
              <w:rPr>
                <w:lang w:val="fr-CA"/>
              </w:rPr>
            </w:pPr>
            <w:r w:rsidRPr="0052685A">
              <w:rPr>
                <w:lang w:val="fr-CA"/>
              </w:rPr>
              <w:fldChar w:fldCharType="begin"/>
            </w:r>
            <w:r w:rsidRPr="0052685A">
              <w:rPr>
                <w:lang w:val="fr-CA"/>
              </w:rPr>
              <w:instrText xml:space="preserve"> DOCPROPERTY "Document number"  \* MERGEFORMAT </w:instrText>
            </w:r>
            <w:r w:rsidRPr="0052685A">
              <w:rPr>
                <w:lang w:val="fr-CA"/>
              </w:rPr>
              <w:fldChar w:fldCharType="separate"/>
            </w:r>
            <w:r>
              <w:rPr>
                <w:lang w:val="fr-CA"/>
              </w:rPr>
              <w:t>UNEP/</w:t>
            </w:r>
            <w:proofErr w:type="spellStart"/>
            <w:r>
              <w:rPr>
                <w:lang w:val="fr-CA"/>
              </w:rPr>
              <w:t>OzL.Pro</w:t>
            </w:r>
            <w:proofErr w:type="spellEnd"/>
            <w:r>
              <w:rPr>
                <w:lang w:val="fr-CA"/>
              </w:rPr>
              <w:t>/</w:t>
            </w:r>
            <w:proofErr w:type="spellStart"/>
            <w:r>
              <w:rPr>
                <w:lang w:val="fr-CA"/>
              </w:rPr>
              <w:t>ExCom</w:t>
            </w:r>
            <w:proofErr w:type="spellEnd"/>
            <w:r>
              <w:rPr>
                <w:lang w:val="fr-CA"/>
              </w:rPr>
              <w:t>/88/1</w:t>
            </w:r>
            <w:r w:rsidRPr="0052685A">
              <w:rPr>
                <w:lang w:val="fr-CA"/>
              </w:rPr>
              <w:fldChar w:fldCharType="end"/>
            </w:r>
            <w:r>
              <w:rPr>
                <w:lang w:val="fr-CA"/>
              </w:rPr>
              <w:t>9</w:t>
            </w:r>
          </w:p>
          <w:p w14:paraId="19A32998" w14:textId="44AE427B" w:rsidR="009A564E" w:rsidRPr="0052685A" w:rsidRDefault="009A564E" w:rsidP="009A564E">
            <w:pPr>
              <w:rPr>
                <w:lang w:val="fr-CA"/>
              </w:rPr>
            </w:pPr>
            <w:r w:rsidRPr="0052685A">
              <w:rPr>
                <w:lang w:val="fr-CA"/>
              </w:rPr>
              <w:fldChar w:fldCharType="begin"/>
            </w:r>
            <w:r w:rsidRPr="0052685A">
              <w:rPr>
                <w:lang w:val="fr-CA"/>
              </w:rPr>
              <w:instrText xml:space="preserve"> DOCPROPERTY "Revision date" \@ "d MMMM YYYY"  \* MERGEFORMAT </w:instrText>
            </w:r>
            <w:r w:rsidRPr="0052685A">
              <w:rPr>
                <w:lang w:val="fr-CA"/>
              </w:rPr>
              <w:fldChar w:fldCharType="separate"/>
            </w:r>
            <w:r>
              <w:rPr>
                <w:lang w:val="fr-CA"/>
              </w:rPr>
              <w:t>19 octobre</w:t>
            </w:r>
            <w:r w:rsidRPr="0052685A">
              <w:rPr>
                <w:lang w:val="fr-CA"/>
              </w:rPr>
              <w:t xml:space="preserve"> 2021</w:t>
            </w:r>
            <w:r w:rsidRPr="0052685A">
              <w:rPr>
                <w:lang w:val="fr-CA"/>
              </w:rPr>
              <w:fldChar w:fldCharType="end"/>
            </w:r>
          </w:p>
          <w:p w14:paraId="237F5B80" w14:textId="77777777" w:rsidR="009A564E" w:rsidRPr="0052685A" w:rsidRDefault="009A564E" w:rsidP="009A564E">
            <w:pPr>
              <w:rPr>
                <w:caps/>
                <w:lang w:val="fr-CA"/>
              </w:rPr>
            </w:pPr>
          </w:p>
          <w:p w14:paraId="67E60893" w14:textId="77777777" w:rsidR="009A564E" w:rsidRPr="0052685A" w:rsidRDefault="009A564E" w:rsidP="009A564E">
            <w:pPr>
              <w:rPr>
                <w:lang w:val="fr-CA"/>
              </w:rPr>
            </w:pPr>
            <w:r w:rsidRPr="0052685A">
              <w:rPr>
                <w:lang w:val="fr-CA"/>
              </w:rPr>
              <w:t>FRANÇAIS</w:t>
            </w:r>
          </w:p>
          <w:p w14:paraId="7EE3EFC0" w14:textId="77777777" w:rsidR="009A564E" w:rsidRPr="0052685A" w:rsidRDefault="009A564E" w:rsidP="009A564E">
            <w:pPr>
              <w:rPr>
                <w:lang w:val="fr-CA"/>
              </w:rPr>
            </w:pPr>
            <w:r w:rsidRPr="0052685A">
              <w:rPr>
                <w:lang w:val="fr-CA"/>
              </w:rPr>
              <w:t>ORIGINAL : ANGLAIS</w:t>
            </w:r>
          </w:p>
        </w:tc>
      </w:tr>
    </w:tbl>
    <w:p w14:paraId="702ABE90" w14:textId="5652FBCA" w:rsidR="00D10596" w:rsidRPr="00A44B75" w:rsidRDefault="009A564E" w:rsidP="00BC6CFF">
      <w:pPr>
        <w:jc w:val="left"/>
        <w:rPr>
          <w:lang w:val="fr-FR"/>
        </w:rPr>
      </w:pPr>
      <w:r w:rsidRPr="0052685A">
        <w:rPr>
          <w:lang w:val="fr-CA"/>
        </w:rPr>
        <w:t xml:space="preserve">COMITÉ EXÉCUTIF </w:t>
      </w:r>
      <w:r w:rsidRPr="0052685A">
        <w:rPr>
          <w:lang w:val="fr-CA"/>
        </w:rPr>
        <w:br/>
      </w:r>
      <w:r w:rsidR="005A0776">
        <w:rPr>
          <w:lang w:val="fr-FR"/>
        </w:rPr>
        <w:t> </w:t>
      </w:r>
      <w:r w:rsidR="00BC6CFF" w:rsidRPr="00BC6CFF">
        <w:rPr>
          <w:lang w:val="fr-FR"/>
        </w:rPr>
        <w:t xml:space="preserve">DU FONDS MULTILATÉRAL AUX FINS </w:t>
      </w:r>
      <w:r w:rsidR="00BC6CFF" w:rsidRPr="00BC6CFF">
        <w:rPr>
          <w:lang w:val="fr-FR"/>
        </w:rPr>
        <w:br/>
      </w:r>
      <w:r w:rsidR="005A0776">
        <w:rPr>
          <w:lang w:val="fr-FR"/>
        </w:rPr>
        <w:t> </w:t>
      </w:r>
      <w:r w:rsidR="00BC6CFF" w:rsidRPr="00BC6CFF">
        <w:rPr>
          <w:lang w:val="fr-FR"/>
        </w:rPr>
        <w:t>D</w:t>
      </w:r>
      <w:r w:rsidR="005A0776">
        <w:rPr>
          <w:lang w:val="fr-FR"/>
        </w:rPr>
        <w:t>’</w:t>
      </w:r>
      <w:r w:rsidR="00BC6CFF" w:rsidRPr="00BC6CFF">
        <w:rPr>
          <w:lang w:val="fr-FR"/>
        </w:rPr>
        <w:t>APPLICATION DU PROTOCOLE DE MONTRÉAL</w:t>
      </w:r>
      <w:r w:rsidR="00BC6CFF" w:rsidRPr="00BC6CFF">
        <w:rPr>
          <w:lang w:val="fr-FR"/>
        </w:rPr>
        <w:br/>
        <w:t>Quatre-vingt-huitième réunion</w:t>
      </w:r>
    </w:p>
    <w:p w14:paraId="32DD7D4C" w14:textId="56843D69" w:rsidR="00D10596" w:rsidRPr="00A44B75" w:rsidRDefault="00BC6CFF" w:rsidP="00D10596">
      <w:pPr>
        <w:jc w:val="left"/>
        <w:rPr>
          <w:lang w:val="fr-FR"/>
        </w:rPr>
      </w:pPr>
      <w:r w:rsidRPr="00BC6CFF">
        <w:rPr>
          <w:lang w:val="fr-FR"/>
        </w:rPr>
        <w:t>Montréal, 15-19 novembre</w:t>
      </w:r>
      <w:r w:rsidRPr="00BC6CFF">
        <w:rPr>
          <w:rStyle w:val="FootnoteReference"/>
          <w:lang w:val="fr-FR"/>
        </w:rPr>
        <w:footnoteReference w:id="1"/>
      </w:r>
    </w:p>
    <w:p w14:paraId="761C89AC" w14:textId="77777777" w:rsidR="005220ED" w:rsidRPr="00A44B75" w:rsidRDefault="005220ED" w:rsidP="00605D6D">
      <w:pPr>
        <w:widowControl w:val="0"/>
        <w:jc w:val="left"/>
        <w:rPr>
          <w:lang w:val="fr-FR"/>
        </w:rPr>
      </w:pPr>
    </w:p>
    <w:p w14:paraId="3FDA8D1C" w14:textId="77777777" w:rsidR="00C15867" w:rsidRPr="00A44B75" w:rsidRDefault="00C15867" w:rsidP="00605D6D">
      <w:pPr>
        <w:widowControl w:val="0"/>
        <w:jc w:val="left"/>
        <w:rPr>
          <w:lang w:val="fr-FR"/>
        </w:rPr>
      </w:pPr>
    </w:p>
    <w:p w14:paraId="3E644E4D" w14:textId="50B79BC6" w:rsidR="00222C40" w:rsidRPr="00A44B75" w:rsidRDefault="00BC6CFF" w:rsidP="00BC6CFF">
      <w:pPr>
        <w:widowControl w:val="0"/>
        <w:spacing w:after="240"/>
        <w:jc w:val="center"/>
        <w:rPr>
          <w:b/>
          <w:caps/>
          <w:lang w:val="fr-FR"/>
        </w:rPr>
      </w:pPr>
      <w:r w:rsidRPr="00BC6CFF">
        <w:rPr>
          <w:b/>
          <w:caps/>
          <w:lang w:val="fr-FR"/>
        </w:rPr>
        <w:t>RAPPORT GLOBAL D</w:t>
      </w:r>
      <w:r w:rsidR="005A0776">
        <w:rPr>
          <w:b/>
          <w:caps/>
          <w:lang w:val="fr-FR"/>
        </w:rPr>
        <w:t>’</w:t>
      </w:r>
      <w:r w:rsidRPr="00BC6CFF">
        <w:rPr>
          <w:b/>
          <w:caps/>
          <w:lang w:val="fr-FR"/>
        </w:rPr>
        <w:t xml:space="preserve">ACHÈVEMENT </w:t>
      </w:r>
      <w:bookmarkStart w:id="0" w:name="_GoBack"/>
      <w:r w:rsidRPr="00BC6CFF">
        <w:rPr>
          <w:b/>
          <w:caps/>
          <w:lang w:val="fr-FR"/>
        </w:rPr>
        <w:t>DE PROJET</w:t>
      </w:r>
      <w:bookmarkEnd w:id="0"/>
      <w:r w:rsidR="002C62C8">
        <w:rPr>
          <w:b/>
          <w:caps/>
          <w:lang w:val="fr-FR"/>
        </w:rPr>
        <w:t>S DE</w:t>
      </w:r>
      <w:r w:rsidRPr="00BC6CFF">
        <w:rPr>
          <w:b/>
          <w:caps/>
          <w:lang w:val="fr-FR"/>
        </w:rPr>
        <w:t xml:space="preserve"> 2021 </w:t>
      </w:r>
    </w:p>
    <w:p w14:paraId="291CC5BA" w14:textId="6FD90C10" w:rsidR="00222C40" w:rsidRPr="00BC6CFF" w:rsidRDefault="00BC6CFF" w:rsidP="00BC6CFF">
      <w:pPr>
        <w:pStyle w:val="StyleHeader4Para4Left0Firstline0"/>
        <w:numPr>
          <w:ilvl w:val="0"/>
          <w:numId w:val="0"/>
        </w:numPr>
        <w:rPr>
          <w:b/>
          <w:sz w:val="22"/>
        </w:rPr>
      </w:pPr>
      <w:r w:rsidRPr="00BC6CFF">
        <w:rPr>
          <w:b/>
          <w:sz w:val="22"/>
          <w:lang w:val="fr-FR"/>
        </w:rPr>
        <w:t>Contexte</w:t>
      </w:r>
    </w:p>
    <w:p w14:paraId="7CE410D7" w14:textId="638C1B9A" w:rsidR="00AF297F" w:rsidRPr="00A44B75" w:rsidRDefault="00497DD3" w:rsidP="00A44B75">
      <w:pPr>
        <w:pStyle w:val="Heading1"/>
        <w:rPr>
          <w:vanish/>
          <w:lang w:val="fr-FR"/>
        </w:rPr>
      </w:pPr>
      <w:r>
        <w:rPr>
          <w:lang w:val="fr-FR"/>
        </w:rPr>
        <w:t xml:space="preserve">Au fil du temps, le </w:t>
      </w:r>
      <w:r w:rsidR="00BC6CFF" w:rsidRPr="00BC6CFF">
        <w:rPr>
          <w:lang w:val="fr-FR"/>
        </w:rPr>
        <w:t xml:space="preserve">Comité </w:t>
      </w:r>
      <w:r>
        <w:rPr>
          <w:lang w:val="fr-FR"/>
        </w:rPr>
        <w:t xml:space="preserve">exécutif </w:t>
      </w:r>
      <w:r w:rsidR="00BC6CFF" w:rsidRPr="00BC6CFF">
        <w:rPr>
          <w:lang w:val="fr-FR"/>
        </w:rPr>
        <w:t>examine régulièrement la question des rapports d</w:t>
      </w:r>
      <w:r w:rsidR="005A0776">
        <w:rPr>
          <w:lang w:val="fr-FR"/>
        </w:rPr>
        <w:t>’</w:t>
      </w:r>
      <w:r w:rsidR="00BC6CFF" w:rsidRPr="00BC6CFF">
        <w:rPr>
          <w:lang w:val="fr-FR"/>
        </w:rPr>
        <w:t>achèvement de projets (RAP) en souffrance.</w:t>
      </w:r>
      <w:r w:rsidR="00BC6CFF" w:rsidRPr="00A44B75">
        <w:rPr>
          <w:lang w:val="fr-FR"/>
        </w:rPr>
        <w:t xml:space="preserve"> </w:t>
      </w:r>
      <w:r w:rsidR="00AF297F" w:rsidRPr="00AF297F">
        <w:rPr>
          <w:lang w:val="fr-FR"/>
        </w:rPr>
        <w:t>À sa 87</w:t>
      </w:r>
      <w:r w:rsidR="00AF297F" w:rsidRPr="00AF297F">
        <w:rPr>
          <w:vertAlign w:val="superscript"/>
          <w:lang w:val="fr-FR"/>
        </w:rPr>
        <w:t>e</w:t>
      </w:r>
      <w:r w:rsidR="00AF297F" w:rsidRPr="00AF297F">
        <w:rPr>
          <w:lang w:val="fr-FR"/>
        </w:rPr>
        <w:t xml:space="preserve"> réunion, le Comité a entre autres exhorté les agences bilatérales et d</w:t>
      </w:r>
      <w:r w:rsidR="005A0776">
        <w:rPr>
          <w:lang w:val="fr-FR"/>
        </w:rPr>
        <w:t>’</w:t>
      </w:r>
      <w:r w:rsidR="00AF297F" w:rsidRPr="00AF297F">
        <w:rPr>
          <w:lang w:val="fr-FR"/>
        </w:rPr>
        <w:t>exécution à soumettre à la 88</w:t>
      </w:r>
      <w:r w:rsidR="00AF297F" w:rsidRPr="00AF297F">
        <w:rPr>
          <w:vertAlign w:val="superscript"/>
          <w:lang w:val="fr-FR"/>
        </w:rPr>
        <w:t>e</w:t>
      </w:r>
      <w:r w:rsidR="00AF297F" w:rsidRPr="00AF297F">
        <w:rPr>
          <w:lang w:val="fr-FR"/>
        </w:rPr>
        <w:t xml:space="preserve"> réunion les rapports d</w:t>
      </w:r>
      <w:r w:rsidR="005A0776">
        <w:rPr>
          <w:lang w:val="fr-FR"/>
        </w:rPr>
        <w:t>’</w:t>
      </w:r>
      <w:r w:rsidR="00AF297F" w:rsidRPr="00AF297F">
        <w:rPr>
          <w:lang w:val="fr-FR"/>
        </w:rPr>
        <w:t>achèvement de projet</w:t>
      </w:r>
      <w:r w:rsidR="002C62C8">
        <w:rPr>
          <w:lang w:val="fr-FR"/>
        </w:rPr>
        <w:t>s</w:t>
      </w:r>
      <w:r w:rsidR="00AF297F" w:rsidRPr="00AF297F">
        <w:rPr>
          <w:lang w:val="fr-FR"/>
        </w:rPr>
        <w:t xml:space="preserve"> (RAP) en souffrance pour </w:t>
      </w:r>
      <w:r>
        <w:rPr>
          <w:lang w:val="fr-FR"/>
        </w:rPr>
        <w:t>d</w:t>
      </w:r>
      <w:r w:rsidR="00AF297F" w:rsidRPr="00AF297F">
        <w:rPr>
          <w:lang w:val="fr-FR"/>
        </w:rPr>
        <w:t xml:space="preserve">es accords pluriannuels et </w:t>
      </w:r>
      <w:r>
        <w:rPr>
          <w:lang w:val="fr-FR"/>
        </w:rPr>
        <w:t>d</w:t>
      </w:r>
      <w:r w:rsidR="00AF297F" w:rsidRPr="00AF297F">
        <w:rPr>
          <w:lang w:val="fr-FR"/>
        </w:rPr>
        <w:t xml:space="preserve">es projets individuels, ou bien à </w:t>
      </w:r>
      <w:r w:rsidR="00FF3853">
        <w:rPr>
          <w:lang w:val="fr-FR"/>
        </w:rPr>
        <w:t>exposer</w:t>
      </w:r>
      <w:r w:rsidR="00AF297F" w:rsidRPr="00AF297F">
        <w:rPr>
          <w:lang w:val="fr-FR"/>
        </w:rPr>
        <w:t xml:space="preserve"> les raisons pour lesquelles ces rapports n</w:t>
      </w:r>
      <w:r w:rsidR="005A0776">
        <w:rPr>
          <w:lang w:val="fr-FR"/>
        </w:rPr>
        <w:t>’</w:t>
      </w:r>
      <w:r w:rsidR="00AF297F" w:rsidRPr="00AF297F">
        <w:rPr>
          <w:lang w:val="fr-FR"/>
        </w:rPr>
        <w:t>ont pas pu être soumis. Il a également exhorté les agences principales et de coopération à coordonner étroitement leurs travaux en vue de finaliser leurs sections des RAP, afin de permettre à l</w:t>
      </w:r>
      <w:r w:rsidR="005A0776">
        <w:rPr>
          <w:lang w:val="fr-FR"/>
        </w:rPr>
        <w:t>’</w:t>
      </w:r>
      <w:r w:rsidR="00AF297F" w:rsidRPr="00AF297F">
        <w:rPr>
          <w:lang w:val="fr-FR"/>
        </w:rPr>
        <w:t>agence d</w:t>
      </w:r>
      <w:r w:rsidR="005A0776">
        <w:rPr>
          <w:lang w:val="fr-FR"/>
        </w:rPr>
        <w:t>’</w:t>
      </w:r>
      <w:r w:rsidR="00AF297F" w:rsidRPr="00AF297F">
        <w:rPr>
          <w:lang w:val="fr-FR"/>
        </w:rPr>
        <w:t>exécution principale de les remettre aux dates prévues (décision 87/25 (b) et (c)).</w:t>
      </w:r>
      <w:r w:rsidR="00AF297F" w:rsidRPr="00A44B75">
        <w:rPr>
          <w:lang w:val="fr-FR"/>
        </w:rPr>
        <w:t xml:space="preserve"> </w:t>
      </w:r>
    </w:p>
    <w:p w14:paraId="2834A4C9" w14:textId="77777777" w:rsidR="00A44B75" w:rsidRDefault="00A44B75" w:rsidP="00AF297F">
      <w:pPr>
        <w:pStyle w:val="Heading1"/>
        <w:widowControl w:val="0"/>
        <w:tabs>
          <w:tab w:val="clear" w:pos="0"/>
          <w:tab w:val="num" w:pos="720"/>
        </w:tabs>
        <w:rPr>
          <w:lang w:val="fr-FR"/>
        </w:rPr>
      </w:pPr>
    </w:p>
    <w:p w14:paraId="710669E9" w14:textId="1732D557" w:rsidR="00AF297F" w:rsidRPr="00A44B75" w:rsidRDefault="00AF297F" w:rsidP="00A44B75">
      <w:pPr>
        <w:pStyle w:val="Heading1"/>
        <w:numPr>
          <w:ilvl w:val="0"/>
          <w:numId w:val="14"/>
        </w:numPr>
        <w:rPr>
          <w:lang w:val="fr-FR"/>
        </w:rPr>
      </w:pPr>
      <w:r w:rsidRPr="00A44B75">
        <w:rPr>
          <w:lang w:val="fr-FR"/>
        </w:rPr>
        <w:t>En application de la décision 87/25(b) et (c), la liste de tous les RAP à remettre a été envoyée le 5 août 2021 aux agences bilatérales et d</w:t>
      </w:r>
      <w:r w:rsidR="005A0776" w:rsidRPr="00A44B75">
        <w:rPr>
          <w:lang w:val="fr-FR"/>
        </w:rPr>
        <w:t>’</w:t>
      </w:r>
      <w:r w:rsidRPr="00A44B75">
        <w:rPr>
          <w:lang w:val="fr-FR"/>
        </w:rPr>
        <w:t xml:space="preserve">exécution. La nouvelle liste contenant les RAP en suspens et ceux dus pour 2022, conformément aux rapports périodiques mis à jour, a été envoyée </w:t>
      </w:r>
      <w:r w:rsidR="00FF3853" w:rsidRPr="00A44B75">
        <w:rPr>
          <w:lang w:val="fr-FR"/>
        </w:rPr>
        <w:t xml:space="preserve">le 12 octobre 2021 </w:t>
      </w:r>
      <w:r w:rsidRPr="00A44B75">
        <w:rPr>
          <w:lang w:val="fr-FR"/>
        </w:rPr>
        <w:t>aux agences bilatérales et aux agences d</w:t>
      </w:r>
      <w:r w:rsidR="005A0776" w:rsidRPr="00A44B75">
        <w:rPr>
          <w:lang w:val="fr-FR"/>
        </w:rPr>
        <w:t>’</w:t>
      </w:r>
      <w:r w:rsidRPr="00A44B75">
        <w:rPr>
          <w:lang w:val="fr-FR"/>
        </w:rPr>
        <w:t>exécution.</w:t>
      </w:r>
    </w:p>
    <w:p w14:paraId="07BD2CE8" w14:textId="3F822417" w:rsidR="00222C40" w:rsidRPr="00AF297F" w:rsidRDefault="00AF297F" w:rsidP="00AF297F">
      <w:pPr>
        <w:pStyle w:val="lisa"/>
        <w:numPr>
          <w:ilvl w:val="0"/>
          <w:numId w:val="0"/>
        </w:numPr>
        <w:tabs>
          <w:tab w:val="left" w:pos="720"/>
        </w:tabs>
        <w:rPr>
          <w:szCs w:val="22"/>
          <w:lang w:val="fr-CA"/>
        </w:rPr>
      </w:pPr>
      <w:r w:rsidRPr="00AF297F">
        <w:rPr>
          <w:szCs w:val="22"/>
          <w:lang w:val="fr-FR"/>
        </w:rPr>
        <w:t>Rapports d</w:t>
      </w:r>
      <w:r w:rsidR="005A0776">
        <w:rPr>
          <w:szCs w:val="22"/>
          <w:lang w:val="fr-FR"/>
        </w:rPr>
        <w:t>’</w:t>
      </w:r>
      <w:r w:rsidRPr="00AF297F">
        <w:rPr>
          <w:szCs w:val="22"/>
          <w:lang w:val="fr-FR"/>
        </w:rPr>
        <w:t>achèvement de projet</w:t>
      </w:r>
      <w:r w:rsidR="002C62C8">
        <w:rPr>
          <w:szCs w:val="22"/>
          <w:lang w:val="fr-FR"/>
        </w:rPr>
        <w:t>s</w:t>
      </w:r>
      <w:r w:rsidRPr="00AF297F">
        <w:rPr>
          <w:szCs w:val="22"/>
          <w:lang w:val="fr-FR"/>
        </w:rPr>
        <w:t xml:space="preserve"> reçus pour des accords pluriannuels</w:t>
      </w:r>
    </w:p>
    <w:p w14:paraId="11263590" w14:textId="548FD3FC" w:rsidR="00AF297F" w:rsidRPr="00A44B75" w:rsidRDefault="00AF297F" w:rsidP="00AF297F">
      <w:pPr>
        <w:pStyle w:val="Heading1"/>
        <w:widowControl w:val="0"/>
        <w:tabs>
          <w:tab w:val="clear" w:pos="0"/>
          <w:tab w:val="num" w:pos="720"/>
        </w:tabs>
        <w:rPr>
          <w:lang w:val="fr-FR"/>
        </w:rPr>
      </w:pPr>
      <w:r w:rsidRPr="00AF297F">
        <w:rPr>
          <w:lang w:val="fr-FR"/>
        </w:rPr>
        <w:t>Sur les 212 accords pluriannuels achevés, les agences bilatérales et d</w:t>
      </w:r>
      <w:r w:rsidR="005A0776">
        <w:rPr>
          <w:lang w:val="fr-FR"/>
        </w:rPr>
        <w:t>’</w:t>
      </w:r>
      <w:r w:rsidRPr="00AF297F">
        <w:rPr>
          <w:lang w:val="fr-FR"/>
        </w:rPr>
        <w:t>exécution ont remis 204 rapports d</w:t>
      </w:r>
      <w:r w:rsidR="005A0776">
        <w:rPr>
          <w:lang w:val="fr-FR"/>
        </w:rPr>
        <w:t>’</w:t>
      </w:r>
      <w:r w:rsidRPr="00AF297F">
        <w:rPr>
          <w:lang w:val="fr-FR"/>
        </w:rPr>
        <w:t>achèvement de projet</w:t>
      </w:r>
      <w:r w:rsidR="002C62C8">
        <w:rPr>
          <w:lang w:val="fr-FR"/>
        </w:rPr>
        <w:t>s</w:t>
      </w:r>
      <w:r w:rsidRPr="00AF297F">
        <w:rPr>
          <w:lang w:val="fr-FR"/>
        </w:rPr>
        <w:t xml:space="preserve"> (RAP) avant la 88</w:t>
      </w:r>
      <w:r w:rsidRPr="00AF297F">
        <w:rPr>
          <w:vertAlign w:val="superscript"/>
          <w:lang w:val="fr-FR"/>
        </w:rPr>
        <w:t>e</w:t>
      </w:r>
      <w:r w:rsidRPr="00AF297F">
        <w:rPr>
          <w:lang w:val="fr-FR"/>
        </w:rPr>
        <w:t xml:space="preserve"> réunion, laissant </w:t>
      </w:r>
      <w:r w:rsidR="00FF3853">
        <w:rPr>
          <w:lang w:val="fr-FR"/>
        </w:rPr>
        <w:t xml:space="preserve">8 </w:t>
      </w:r>
      <w:r w:rsidRPr="00AF297F">
        <w:rPr>
          <w:lang w:val="fr-FR"/>
        </w:rPr>
        <w:t>rapports en instance, comme l</w:t>
      </w:r>
      <w:r w:rsidR="005A0776">
        <w:rPr>
          <w:lang w:val="fr-FR"/>
        </w:rPr>
        <w:t>’</w:t>
      </w:r>
      <w:r w:rsidRPr="00AF297F">
        <w:rPr>
          <w:lang w:val="fr-FR"/>
        </w:rPr>
        <w:t>indique le tableau 1. La liste des 5 RAP remis après la 8</w:t>
      </w:r>
      <w:r w:rsidR="00046173">
        <w:rPr>
          <w:lang w:val="fr-FR"/>
        </w:rPr>
        <w:t>7</w:t>
      </w:r>
      <w:r w:rsidRPr="00AF297F">
        <w:rPr>
          <w:vertAlign w:val="superscript"/>
          <w:lang w:val="fr-FR"/>
        </w:rPr>
        <w:t>e</w:t>
      </w:r>
      <w:r w:rsidRPr="00AF297F">
        <w:rPr>
          <w:lang w:val="fr-FR"/>
        </w:rPr>
        <w:t xml:space="preserve"> réunion figure à l</w:t>
      </w:r>
      <w:r w:rsidR="005A0776">
        <w:rPr>
          <w:lang w:val="fr-FR"/>
        </w:rPr>
        <w:t>’</w:t>
      </w:r>
      <w:r w:rsidRPr="00AF297F">
        <w:rPr>
          <w:lang w:val="fr-FR"/>
        </w:rPr>
        <w:t>annexe I au présent rapport.</w:t>
      </w:r>
      <w:r w:rsidRPr="00A44B75">
        <w:rPr>
          <w:lang w:val="fr-FR"/>
        </w:rPr>
        <w:t xml:space="preserve"> </w:t>
      </w:r>
    </w:p>
    <w:p w14:paraId="184C5FB0" w14:textId="179CB9B8" w:rsidR="00222C40" w:rsidRPr="00A44B75" w:rsidRDefault="00AF297F" w:rsidP="00676C3E">
      <w:pPr>
        <w:pStyle w:val="Heading1"/>
        <w:widowControl w:val="0"/>
        <w:numPr>
          <w:ilvl w:val="0"/>
          <w:numId w:val="0"/>
        </w:numPr>
        <w:tabs>
          <w:tab w:val="left" w:pos="720"/>
        </w:tabs>
        <w:spacing w:after="0"/>
        <w:rPr>
          <w:b/>
          <w:lang w:val="fr-FR"/>
        </w:rPr>
      </w:pPr>
      <w:r w:rsidRPr="00AF297F">
        <w:rPr>
          <w:b/>
          <w:lang w:val="fr-FR"/>
        </w:rPr>
        <w:t>Tableau 1. Vue d</w:t>
      </w:r>
      <w:r w:rsidR="005A0776">
        <w:rPr>
          <w:b/>
          <w:lang w:val="fr-FR"/>
        </w:rPr>
        <w:t>’</w:t>
      </w:r>
      <w:r w:rsidRPr="00AF297F">
        <w:rPr>
          <w:b/>
          <w:lang w:val="fr-FR"/>
        </w:rPr>
        <w:t xml:space="preserve">ensemble des RAP pour </w:t>
      </w:r>
      <w:r w:rsidR="00F44AD7">
        <w:rPr>
          <w:b/>
          <w:lang w:val="fr-FR"/>
        </w:rPr>
        <w:t>d</w:t>
      </w:r>
      <w:r w:rsidRPr="00AF297F">
        <w:rPr>
          <w:b/>
          <w:lang w:val="fr-FR"/>
        </w:rPr>
        <w:t>es accords pluriannuels</w:t>
      </w:r>
    </w:p>
    <w:tbl>
      <w:tblPr>
        <w:tblW w:w="9365" w:type="dxa"/>
        <w:tblInd w:w="-5" w:type="dxa"/>
        <w:tblLayout w:type="fixed"/>
        <w:tblLook w:val="04A0" w:firstRow="1" w:lastRow="0" w:firstColumn="1" w:lastColumn="0" w:noHBand="0" w:noVBand="1"/>
      </w:tblPr>
      <w:tblGrid>
        <w:gridCol w:w="1389"/>
        <w:gridCol w:w="1875"/>
        <w:gridCol w:w="2128"/>
        <w:gridCol w:w="1986"/>
        <w:gridCol w:w="1987"/>
      </w:tblGrid>
      <w:tr w:rsidR="00996278" w:rsidRPr="006524DF" w14:paraId="1B5EC63E" w14:textId="77777777" w:rsidTr="00996278">
        <w:trPr>
          <w:tblHeader/>
        </w:trPr>
        <w:tc>
          <w:tcPr>
            <w:tcW w:w="1389" w:type="dxa"/>
            <w:tcBorders>
              <w:top w:val="single" w:sz="4" w:space="0" w:color="auto"/>
              <w:left w:val="single" w:sz="4" w:space="0" w:color="auto"/>
              <w:bottom w:val="single" w:sz="4" w:space="0" w:color="auto"/>
              <w:right w:val="single" w:sz="4" w:space="0" w:color="auto"/>
            </w:tcBorders>
            <w:noWrap/>
            <w:vAlign w:val="center"/>
            <w:hideMark/>
          </w:tcPr>
          <w:p w14:paraId="2D489F2B" w14:textId="77777777" w:rsidR="00F44AD7" w:rsidRDefault="00AF297F" w:rsidP="00BE6D2B">
            <w:pPr>
              <w:widowControl w:val="0"/>
              <w:jc w:val="left"/>
              <w:rPr>
                <w:b/>
                <w:bCs/>
                <w:color w:val="000000"/>
                <w:sz w:val="20"/>
                <w:szCs w:val="20"/>
                <w:lang w:val="fr-FR" w:eastAsia="en-CA"/>
              </w:rPr>
            </w:pPr>
            <w:r w:rsidRPr="00AF297F">
              <w:rPr>
                <w:b/>
                <w:bCs/>
                <w:color w:val="000000"/>
                <w:sz w:val="20"/>
                <w:szCs w:val="20"/>
                <w:lang w:val="fr-FR" w:eastAsia="en-CA"/>
              </w:rPr>
              <w:t>Agence</w:t>
            </w:r>
          </w:p>
          <w:p w14:paraId="5762D4A1" w14:textId="53ACF53A" w:rsidR="00996278" w:rsidRPr="00AF297F" w:rsidRDefault="005A0776" w:rsidP="00BE6D2B">
            <w:pPr>
              <w:widowControl w:val="0"/>
              <w:jc w:val="left"/>
              <w:rPr>
                <w:b/>
                <w:bCs/>
                <w:color w:val="000000"/>
                <w:sz w:val="20"/>
                <w:szCs w:val="20"/>
                <w:lang w:val="en-CA" w:eastAsia="en-CA"/>
              </w:rPr>
            </w:pPr>
            <w:r>
              <w:rPr>
                <w:b/>
                <w:bCs/>
                <w:color w:val="000000"/>
                <w:sz w:val="20"/>
                <w:szCs w:val="20"/>
                <w:lang w:val="fr-FR" w:eastAsia="en-CA"/>
              </w:rPr>
              <w:t> </w:t>
            </w:r>
            <w:r w:rsidR="00AF297F" w:rsidRPr="00AF297F">
              <w:rPr>
                <w:b/>
                <w:bCs/>
                <w:color w:val="000000"/>
                <w:sz w:val="20"/>
                <w:szCs w:val="20"/>
                <w:lang w:val="fr-FR" w:eastAsia="en-CA"/>
              </w:rPr>
              <w:t>principale</w:t>
            </w:r>
          </w:p>
        </w:tc>
        <w:tc>
          <w:tcPr>
            <w:tcW w:w="1875" w:type="dxa"/>
            <w:tcBorders>
              <w:top w:val="single" w:sz="4" w:space="0" w:color="auto"/>
              <w:left w:val="nil"/>
              <w:bottom w:val="single" w:sz="4" w:space="0" w:color="auto"/>
              <w:right w:val="single" w:sz="4" w:space="0" w:color="auto"/>
            </w:tcBorders>
            <w:noWrap/>
            <w:vAlign w:val="center"/>
            <w:hideMark/>
          </w:tcPr>
          <w:p w14:paraId="05840E5E" w14:textId="25656C5F" w:rsidR="00996278" w:rsidRPr="00AF297F" w:rsidRDefault="00AF297F" w:rsidP="00BE6D2B">
            <w:pPr>
              <w:widowControl w:val="0"/>
              <w:jc w:val="center"/>
              <w:rPr>
                <w:b/>
                <w:bCs/>
                <w:color w:val="000000"/>
                <w:sz w:val="20"/>
                <w:szCs w:val="20"/>
                <w:lang w:val="en-CA" w:eastAsia="en-CA"/>
              </w:rPr>
            </w:pPr>
            <w:r w:rsidRPr="00AF297F">
              <w:rPr>
                <w:b/>
                <w:bCs/>
                <w:color w:val="000000"/>
                <w:sz w:val="20"/>
                <w:szCs w:val="20"/>
                <w:lang w:val="fr-FR" w:eastAsia="en-CA"/>
              </w:rPr>
              <w:t>Achevés</w:t>
            </w:r>
          </w:p>
        </w:tc>
        <w:tc>
          <w:tcPr>
            <w:tcW w:w="2128" w:type="dxa"/>
            <w:tcBorders>
              <w:top w:val="single" w:sz="4" w:space="0" w:color="auto"/>
              <w:left w:val="nil"/>
              <w:bottom w:val="single" w:sz="4" w:space="0" w:color="auto"/>
              <w:right w:val="single" w:sz="4" w:space="0" w:color="auto"/>
            </w:tcBorders>
            <w:vAlign w:val="center"/>
            <w:hideMark/>
          </w:tcPr>
          <w:p w14:paraId="3627D283" w14:textId="5588EBBB" w:rsidR="00996278" w:rsidRPr="00A44B75" w:rsidRDefault="00AF297F" w:rsidP="00BE6D2B">
            <w:pPr>
              <w:widowControl w:val="0"/>
              <w:jc w:val="center"/>
              <w:rPr>
                <w:b/>
                <w:bCs/>
                <w:sz w:val="20"/>
                <w:szCs w:val="20"/>
                <w:lang w:val="fr-FR" w:eastAsia="en-CA"/>
              </w:rPr>
            </w:pPr>
            <w:r w:rsidRPr="00AF297F">
              <w:rPr>
                <w:b/>
                <w:bCs/>
                <w:sz w:val="20"/>
                <w:szCs w:val="20"/>
                <w:lang w:val="fr-FR" w:eastAsia="en-CA"/>
              </w:rPr>
              <w:t>Reçus avant la 87</w:t>
            </w:r>
            <w:r w:rsidRPr="00AF297F">
              <w:rPr>
                <w:b/>
                <w:bCs/>
                <w:sz w:val="20"/>
                <w:szCs w:val="20"/>
                <w:vertAlign w:val="superscript"/>
                <w:lang w:val="fr-FR" w:eastAsia="en-CA"/>
              </w:rPr>
              <w:t>e</w:t>
            </w:r>
            <w:r w:rsidR="005A0776">
              <w:rPr>
                <w:b/>
                <w:bCs/>
                <w:sz w:val="20"/>
                <w:szCs w:val="20"/>
                <w:lang w:val="fr-FR" w:eastAsia="en-CA"/>
              </w:rPr>
              <w:t> </w:t>
            </w:r>
            <w:r w:rsidRPr="00AF297F">
              <w:rPr>
                <w:b/>
                <w:bCs/>
                <w:sz w:val="20"/>
                <w:szCs w:val="20"/>
                <w:lang w:val="fr-FR" w:eastAsia="en-CA"/>
              </w:rPr>
              <w:t>réunion</w:t>
            </w:r>
          </w:p>
        </w:tc>
        <w:tc>
          <w:tcPr>
            <w:tcW w:w="1986" w:type="dxa"/>
            <w:tcBorders>
              <w:top w:val="single" w:sz="4" w:space="0" w:color="auto"/>
              <w:left w:val="nil"/>
              <w:bottom w:val="single" w:sz="4" w:space="0" w:color="auto"/>
              <w:right w:val="single" w:sz="4" w:space="0" w:color="auto"/>
            </w:tcBorders>
            <w:vAlign w:val="center"/>
            <w:hideMark/>
          </w:tcPr>
          <w:p w14:paraId="30C3C56E" w14:textId="093B6EDD" w:rsidR="00996278" w:rsidRPr="00A44B75" w:rsidRDefault="00AF297F" w:rsidP="00BE6D2B">
            <w:pPr>
              <w:widowControl w:val="0"/>
              <w:jc w:val="center"/>
              <w:rPr>
                <w:b/>
                <w:bCs/>
                <w:sz w:val="20"/>
                <w:szCs w:val="20"/>
                <w:lang w:val="fr-FR" w:eastAsia="en-CA"/>
              </w:rPr>
            </w:pPr>
            <w:r w:rsidRPr="00AF297F">
              <w:rPr>
                <w:b/>
                <w:bCs/>
                <w:sz w:val="20"/>
                <w:szCs w:val="20"/>
                <w:lang w:val="fr-FR" w:eastAsia="en-CA"/>
              </w:rPr>
              <w:t>Reçus après la</w:t>
            </w:r>
            <w:r w:rsidR="0021415D">
              <w:rPr>
                <w:b/>
                <w:bCs/>
                <w:sz w:val="20"/>
                <w:szCs w:val="20"/>
                <w:lang w:val="fr-FR" w:eastAsia="en-CA"/>
              </w:rPr>
              <w:t> </w:t>
            </w:r>
            <w:r w:rsidRPr="00AF297F">
              <w:rPr>
                <w:b/>
                <w:bCs/>
                <w:sz w:val="20"/>
                <w:szCs w:val="20"/>
                <w:lang w:val="fr-FR" w:eastAsia="en-CA"/>
              </w:rPr>
              <w:t>87</w:t>
            </w:r>
            <w:r w:rsidR="0021415D" w:rsidRPr="00AF297F">
              <w:rPr>
                <w:b/>
                <w:bCs/>
                <w:sz w:val="20"/>
                <w:szCs w:val="20"/>
                <w:vertAlign w:val="superscript"/>
                <w:lang w:val="fr-FR" w:eastAsia="en-CA"/>
              </w:rPr>
              <w:t>e</w:t>
            </w:r>
            <w:r w:rsidR="0021415D">
              <w:rPr>
                <w:b/>
                <w:bCs/>
                <w:sz w:val="20"/>
                <w:szCs w:val="20"/>
                <w:lang w:val="fr-FR" w:eastAsia="en-CA"/>
              </w:rPr>
              <w:t> réunion</w:t>
            </w:r>
          </w:p>
        </w:tc>
        <w:tc>
          <w:tcPr>
            <w:tcW w:w="1987" w:type="dxa"/>
            <w:tcBorders>
              <w:top w:val="single" w:sz="4" w:space="0" w:color="auto"/>
              <w:left w:val="nil"/>
              <w:bottom w:val="single" w:sz="4" w:space="0" w:color="auto"/>
              <w:right w:val="single" w:sz="4" w:space="0" w:color="auto"/>
            </w:tcBorders>
            <w:vAlign w:val="center"/>
            <w:hideMark/>
          </w:tcPr>
          <w:p w14:paraId="6179DEA2" w14:textId="05E57138" w:rsidR="00996278" w:rsidRPr="00AF297F" w:rsidRDefault="00AF297F" w:rsidP="00BE6D2B">
            <w:pPr>
              <w:widowControl w:val="0"/>
              <w:jc w:val="center"/>
              <w:rPr>
                <w:b/>
                <w:bCs/>
                <w:sz w:val="20"/>
                <w:szCs w:val="20"/>
                <w:lang w:val="en-CA" w:eastAsia="en-CA"/>
              </w:rPr>
            </w:pPr>
            <w:r w:rsidRPr="00AF297F">
              <w:rPr>
                <w:b/>
                <w:bCs/>
                <w:sz w:val="20"/>
                <w:szCs w:val="20"/>
                <w:lang w:val="fr-FR" w:eastAsia="en-CA"/>
              </w:rPr>
              <w:t>En instance</w:t>
            </w:r>
          </w:p>
        </w:tc>
      </w:tr>
      <w:tr w:rsidR="00996278" w:rsidRPr="006524DF" w14:paraId="3CFCBE9B" w14:textId="77777777" w:rsidTr="00996278">
        <w:tc>
          <w:tcPr>
            <w:tcW w:w="1389" w:type="dxa"/>
            <w:tcBorders>
              <w:top w:val="nil"/>
              <w:left w:val="single" w:sz="4" w:space="0" w:color="auto"/>
              <w:bottom w:val="single" w:sz="4" w:space="0" w:color="auto"/>
              <w:right w:val="single" w:sz="4" w:space="0" w:color="auto"/>
            </w:tcBorders>
            <w:noWrap/>
            <w:vAlign w:val="center"/>
            <w:hideMark/>
          </w:tcPr>
          <w:p w14:paraId="1DE806C0" w14:textId="6A2B22EE" w:rsidR="00996278" w:rsidRPr="00AF297F" w:rsidRDefault="00AF297F" w:rsidP="00BE6D2B">
            <w:pPr>
              <w:widowControl w:val="0"/>
              <w:rPr>
                <w:color w:val="000000"/>
                <w:sz w:val="20"/>
                <w:szCs w:val="20"/>
                <w:lang w:val="en-CA" w:eastAsia="en-CA"/>
              </w:rPr>
            </w:pPr>
            <w:r w:rsidRPr="00AF297F">
              <w:rPr>
                <w:color w:val="000000"/>
                <w:sz w:val="20"/>
                <w:szCs w:val="20"/>
                <w:lang w:val="fr-FR" w:eastAsia="en-CA"/>
              </w:rPr>
              <w:t>Canada</w:t>
            </w:r>
          </w:p>
        </w:tc>
        <w:tc>
          <w:tcPr>
            <w:tcW w:w="1875" w:type="dxa"/>
            <w:tcBorders>
              <w:top w:val="nil"/>
              <w:left w:val="nil"/>
              <w:bottom w:val="single" w:sz="4" w:space="0" w:color="auto"/>
              <w:right w:val="single" w:sz="4" w:space="0" w:color="auto"/>
            </w:tcBorders>
            <w:noWrap/>
            <w:vAlign w:val="bottom"/>
            <w:hideMark/>
          </w:tcPr>
          <w:p w14:paraId="6957BF80"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3</w:t>
            </w:r>
          </w:p>
        </w:tc>
        <w:tc>
          <w:tcPr>
            <w:tcW w:w="2128" w:type="dxa"/>
            <w:tcBorders>
              <w:top w:val="nil"/>
              <w:left w:val="nil"/>
              <w:bottom w:val="single" w:sz="4" w:space="0" w:color="auto"/>
              <w:right w:val="single" w:sz="4" w:space="0" w:color="auto"/>
            </w:tcBorders>
            <w:noWrap/>
            <w:vAlign w:val="center"/>
            <w:hideMark/>
          </w:tcPr>
          <w:p w14:paraId="665A83D7"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3</w:t>
            </w:r>
          </w:p>
        </w:tc>
        <w:tc>
          <w:tcPr>
            <w:tcW w:w="1986" w:type="dxa"/>
            <w:tcBorders>
              <w:top w:val="nil"/>
              <w:left w:val="nil"/>
              <w:bottom w:val="single" w:sz="4" w:space="0" w:color="auto"/>
              <w:right w:val="single" w:sz="4" w:space="0" w:color="auto"/>
            </w:tcBorders>
            <w:noWrap/>
            <w:vAlign w:val="center"/>
            <w:hideMark/>
          </w:tcPr>
          <w:p w14:paraId="3980AFFD"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0</w:t>
            </w:r>
          </w:p>
        </w:tc>
        <w:tc>
          <w:tcPr>
            <w:tcW w:w="1987" w:type="dxa"/>
            <w:tcBorders>
              <w:top w:val="nil"/>
              <w:left w:val="nil"/>
              <w:bottom w:val="single" w:sz="4" w:space="0" w:color="auto"/>
              <w:right w:val="single" w:sz="4" w:space="0" w:color="auto"/>
            </w:tcBorders>
            <w:vAlign w:val="center"/>
            <w:hideMark/>
          </w:tcPr>
          <w:p w14:paraId="18EC516F"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0</w:t>
            </w:r>
          </w:p>
        </w:tc>
      </w:tr>
      <w:tr w:rsidR="00996278" w:rsidRPr="006524DF" w14:paraId="22C2757D" w14:textId="77777777" w:rsidTr="00996278">
        <w:tc>
          <w:tcPr>
            <w:tcW w:w="1389" w:type="dxa"/>
            <w:tcBorders>
              <w:top w:val="nil"/>
              <w:left w:val="single" w:sz="4" w:space="0" w:color="auto"/>
              <w:bottom w:val="single" w:sz="4" w:space="0" w:color="auto"/>
              <w:right w:val="single" w:sz="4" w:space="0" w:color="auto"/>
            </w:tcBorders>
            <w:noWrap/>
            <w:vAlign w:val="center"/>
            <w:hideMark/>
          </w:tcPr>
          <w:p w14:paraId="47290B63" w14:textId="445E7E14" w:rsidR="00996278" w:rsidRPr="00AF297F" w:rsidRDefault="00AF297F" w:rsidP="00BE6D2B">
            <w:pPr>
              <w:widowControl w:val="0"/>
              <w:rPr>
                <w:color w:val="000000"/>
                <w:sz w:val="20"/>
                <w:szCs w:val="20"/>
                <w:lang w:val="en-CA" w:eastAsia="en-CA"/>
              </w:rPr>
            </w:pPr>
            <w:r w:rsidRPr="00AF297F">
              <w:rPr>
                <w:color w:val="000000"/>
                <w:sz w:val="20"/>
                <w:szCs w:val="20"/>
                <w:lang w:val="fr-FR" w:eastAsia="en-CA"/>
              </w:rPr>
              <w:t>France</w:t>
            </w:r>
          </w:p>
        </w:tc>
        <w:tc>
          <w:tcPr>
            <w:tcW w:w="1875" w:type="dxa"/>
            <w:tcBorders>
              <w:top w:val="nil"/>
              <w:left w:val="nil"/>
              <w:bottom w:val="single" w:sz="4" w:space="0" w:color="auto"/>
              <w:right w:val="single" w:sz="4" w:space="0" w:color="auto"/>
            </w:tcBorders>
            <w:noWrap/>
            <w:vAlign w:val="bottom"/>
            <w:hideMark/>
          </w:tcPr>
          <w:p w14:paraId="0CA6AEF5"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6</w:t>
            </w:r>
          </w:p>
        </w:tc>
        <w:tc>
          <w:tcPr>
            <w:tcW w:w="2128" w:type="dxa"/>
            <w:tcBorders>
              <w:top w:val="nil"/>
              <w:left w:val="nil"/>
              <w:bottom w:val="single" w:sz="4" w:space="0" w:color="auto"/>
              <w:right w:val="single" w:sz="4" w:space="0" w:color="auto"/>
            </w:tcBorders>
            <w:noWrap/>
            <w:vAlign w:val="center"/>
            <w:hideMark/>
          </w:tcPr>
          <w:p w14:paraId="7192A63F"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6</w:t>
            </w:r>
          </w:p>
        </w:tc>
        <w:tc>
          <w:tcPr>
            <w:tcW w:w="1986" w:type="dxa"/>
            <w:tcBorders>
              <w:top w:val="nil"/>
              <w:left w:val="nil"/>
              <w:bottom w:val="single" w:sz="4" w:space="0" w:color="auto"/>
              <w:right w:val="single" w:sz="4" w:space="0" w:color="auto"/>
            </w:tcBorders>
            <w:noWrap/>
            <w:vAlign w:val="center"/>
            <w:hideMark/>
          </w:tcPr>
          <w:p w14:paraId="2200B666"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0</w:t>
            </w:r>
          </w:p>
        </w:tc>
        <w:tc>
          <w:tcPr>
            <w:tcW w:w="1987" w:type="dxa"/>
            <w:tcBorders>
              <w:top w:val="nil"/>
              <w:left w:val="nil"/>
              <w:bottom w:val="single" w:sz="4" w:space="0" w:color="auto"/>
              <w:right w:val="single" w:sz="4" w:space="0" w:color="auto"/>
            </w:tcBorders>
            <w:vAlign w:val="center"/>
            <w:hideMark/>
          </w:tcPr>
          <w:p w14:paraId="1062361B"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0</w:t>
            </w:r>
          </w:p>
        </w:tc>
      </w:tr>
      <w:tr w:rsidR="00996278" w:rsidRPr="006524DF" w14:paraId="6AB4E643" w14:textId="77777777" w:rsidTr="00996278">
        <w:tc>
          <w:tcPr>
            <w:tcW w:w="1389" w:type="dxa"/>
            <w:tcBorders>
              <w:top w:val="nil"/>
              <w:left w:val="single" w:sz="4" w:space="0" w:color="auto"/>
              <w:bottom w:val="single" w:sz="4" w:space="0" w:color="auto"/>
              <w:right w:val="single" w:sz="4" w:space="0" w:color="auto"/>
            </w:tcBorders>
            <w:noWrap/>
            <w:vAlign w:val="center"/>
            <w:hideMark/>
          </w:tcPr>
          <w:p w14:paraId="1922016C" w14:textId="3FD1E2DD" w:rsidR="00996278" w:rsidRPr="00AF297F" w:rsidRDefault="00AF297F" w:rsidP="00BE6D2B">
            <w:pPr>
              <w:widowControl w:val="0"/>
              <w:rPr>
                <w:color w:val="000000"/>
                <w:sz w:val="20"/>
                <w:szCs w:val="20"/>
                <w:lang w:val="en-CA" w:eastAsia="en-CA"/>
              </w:rPr>
            </w:pPr>
            <w:r w:rsidRPr="00AF297F">
              <w:rPr>
                <w:color w:val="000000"/>
                <w:sz w:val="20"/>
                <w:szCs w:val="20"/>
                <w:lang w:val="fr-FR" w:eastAsia="en-CA"/>
              </w:rPr>
              <w:t>Allemagne</w:t>
            </w:r>
          </w:p>
        </w:tc>
        <w:tc>
          <w:tcPr>
            <w:tcW w:w="1875" w:type="dxa"/>
            <w:tcBorders>
              <w:top w:val="nil"/>
              <w:left w:val="nil"/>
              <w:bottom w:val="single" w:sz="4" w:space="0" w:color="auto"/>
              <w:right w:val="single" w:sz="4" w:space="0" w:color="auto"/>
            </w:tcBorders>
            <w:noWrap/>
            <w:vAlign w:val="bottom"/>
            <w:hideMark/>
          </w:tcPr>
          <w:p w14:paraId="489D4AE0"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10</w:t>
            </w:r>
          </w:p>
        </w:tc>
        <w:tc>
          <w:tcPr>
            <w:tcW w:w="2128" w:type="dxa"/>
            <w:tcBorders>
              <w:top w:val="nil"/>
              <w:left w:val="nil"/>
              <w:bottom w:val="single" w:sz="4" w:space="0" w:color="auto"/>
              <w:right w:val="single" w:sz="4" w:space="0" w:color="auto"/>
            </w:tcBorders>
            <w:noWrap/>
            <w:vAlign w:val="bottom"/>
            <w:hideMark/>
          </w:tcPr>
          <w:p w14:paraId="554E4785"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9</w:t>
            </w:r>
          </w:p>
        </w:tc>
        <w:tc>
          <w:tcPr>
            <w:tcW w:w="1986" w:type="dxa"/>
            <w:tcBorders>
              <w:top w:val="nil"/>
              <w:left w:val="nil"/>
              <w:bottom w:val="single" w:sz="4" w:space="0" w:color="auto"/>
              <w:right w:val="single" w:sz="4" w:space="0" w:color="auto"/>
            </w:tcBorders>
            <w:noWrap/>
            <w:vAlign w:val="center"/>
            <w:hideMark/>
          </w:tcPr>
          <w:p w14:paraId="371A927B"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0</w:t>
            </w:r>
          </w:p>
        </w:tc>
        <w:tc>
          <w:tcPr>
            <w:tcW w:w="1987" w:type="dxa"/>
            <w:tcBorders>
              <w:top w:val="nil"/>
              <w:left w:val="nil"/>
              <w:bottom w:val="single" w:sz="4" w:space="0" w:color="auto"/>
              <w:right w:val="single" w:sz="4" w:space="0" w:color="auto"/>
            </w:tcBorders>
            <w:vAlign w:val="center"/>
            <w:hideMark/>
          </w:tcPr>
          <w:p w14:paraId="1172585F"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1</w:t>
            </w:r>
          </w:p>
        </w:tc>
      </w:tr>
      <w:tr w:rsidR="00996278" w:rsidRPr="006524DF" w14:paraId="278EFC67" w14:textId="77777777" w:rsidTr="00996278">
        <w:tc>
          <w:tcPr>
            <w:tcW w:w="1389" w:type="dxa"/>
            <w:tcBorders>
              <w:top w:val="nil"/>
              <w:left w:val="single" w:sz="4" w:space="0" w:color="auto"/>
              <w:bottom w:val="single" w:sz="4" w:space="0" w:color="auto"/>
              <w:right w:val="single" w:sz="4" w:space="0" w:color="auto"/>
            </w:tcBorders>
            <w:noWrap/>
            <w:vAlign w:val="center"/>
            <w:hideMark/>
          </w:tcPr>
          <w:p w14:paraId="38F2898F" w14:textId="7D780D6E" w:rsidR="00996278" w:rsidRPr="00AF297F" w:rsidRDefault="00AF297F" w:rsidP="00BE6D2B">
            <w:pPr>
              <w:widowControl w:val="0"/>
              <w:rPr>
                <w:color w:val="000000"/>
                <w:sz w:val="20"/>
                <w:szCs w:val="20"/>
                <w:lang w:val="en-CA" w:eastAsia="en-CA"/>
              </w:rPr>
            </w:pPr>
            <w:r w:rsidRPr="00AF297F">
              <w:rPr>
                <w:color w:val="000000"/>
                <w:sz w:val="20"/>
                <w:szCs w:val="20"/>
                <w:lang w:val="fr-FR" w:eastAsia="en-CA"/>
              </w:rPr>
              <w:t>Japon</w:t>
            </w:r>
          </w:p>
        </w:tc>
        <w:tc>
          <w:tcPr>
            <w:tcW w:w="1875" w:type="dxa"/>
            <w:tcBorders>
              <w:top w:val="nil"/>
              <w:left w:val="nil"/>
              <w:bottom w:val="single" w:sz="4" w:space="0" w:color="auto"/>
              <w:right w:val="single" w:sz="4" w:space="0" w:color="auto"/>
            </w:tcBorders>
            <w:noWrap/>
            <w:vAlign w:val="bottom"/>
            <w:hideMark/>
          </w:tcPr>
          <w:p w14:paraId="4B93F808"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1</w:t>
            </w:r>
          </w:p>
        </w:tc>
        <w:tc>
          <w:tcPr>
            <w:tcW w:w="2128" w:type="dxa"/>
            <w:tcBorders>
              <w:top w:val="nil"/>
              <w:left w:val="nil"/>
              <w:bottom w:val="single" w:sz="4" w:space="0" w:color="auto"/>
              <w:right w:val="single" w:sz="4" w:space="0" w:color="auto"/>
            </w:tcBorders>
            <w:noWrap/>
            <w:vAlign w:val="bottom"/>
            <w:hideMark/>
          </w:tcPr>
          <w:p w14:paraId="069F36E2"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1</w:t>
            </w:r>
          </w:p>
        </w:tc>
        <w:tc>
          <w:tcPr>
            <w:tcW w:w="1986" w:type="dxa"/>
            <w:tcBorders>
              <w:top w:val="nil"/>
              <w:left w:val="nil"/>
              <w:bottom w:val="single" w:sz="4" w:space="0" w:color="auto"/>
              <w:right w:val="single" w:sz="4" w:space="0" w:color="auto"/>
            </w:tcBorders>
            <w:noWrap/>
            <w:vAlign w:val="center"/>
            <w:hideMark/>
          </w:tcPr>
          <w:p w14:paraId="250925C3"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0</w:t>
            </w:r>
          </w:p>
        </w:tc>
        <w:tc>
          <w:tcPr>
            <w:tcW w:w="1987" w:type="dxa"/>
            <w:tcBorders>
              <w:top w:val="nil"/>
              <w:left w:val="nil"/>
              <w:bottom w:val="single" w:sz="4" w:space="0" w:color="auto"/>
              <w:right w:val="single" w:sz="4" w:space="0" w:color="auto"/>
            </w:tcBorders>
            <w:vAlign w:val="center"/>
            <w:hideMark/>
          </w:tcPr>
          <w:p w14:paraId="6AFA8360"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0</w:t>
            </w:r>
          </w:p>
        </w:tc>
      </w:tr>
      <w:tr w:rsidR="00996278" w:rsidRPr="006524DF" w14:paraId="08AD7EE1" w14:textId="77777777" w:rsidTr="00996278">
        <w:tc>
          <w:tcPr>
            <w:tcW w:w="1389" w:type="dxa"/>
            <w:tcBorders>
              <w:top w:val="nil"/>
              <w:left w:val="single" w:sz="4" w:space="0" w:color="auto"/>
              <w:bottom w:val="single" w:sz="4" w:space="0" w:color="auto"/>
              <w:right w:val="single" w:sz="4" w:space="0" w:color="auto"/>
            </w:tcBorders>
            <w:noWrap/>
            <w:vAlign w:val="center"/>
            <w:hideMark/>
          </w:tcPr>
          <w:p w14:paraId="3375BF14" w14:textId="2A37FE99" w:rsidR="00996278" w:rsidRPr="00AF297F" w:rsidRDefault="00AF297F" w:rsidP="00BE6D2B">
            <w:pPr>
              <w:widowControl w:val="0"/>
              <w:rPr>
                <w:color w:val="000000"/>
                <w:sz w:val="20"/>
                <w:szCs w:val="20"/>
                <w:lang w:val="en-CA" w:eastAsia="en-CA"/>
              </w:rPr>
            </w:pPr>
            <w:r w:rsidRPr="00AF297F">
              <w:rPr>
                <w:color w:val="000000"/>
                <w:sz w:val="20"/>
                <w:szCs w:val="20"/>
                <w:lang w:val="fr-FR" w:eastAsia="en-CA"/>
              </w:rPr>
              <w:t>PNUD</w:t>
            </w:r>
          </w:p>
        </w:tc>
        <w:tc>
          <w:tcPr>
            <w:tcW w:w="1875" w:type="dxa"/>
            <w:tcBorders>
              <w:top w:val="nil"/>
              <w:left w:val="nil"/>
              <w:bottom w:val="single" w:sz="4" w:space="0" w:color="auto"/>
              <w:right w:val="single" w:sz="4" w:space="0" w:color="auto"/>
            </w:tcBorders>
            <w:noWrap/>
            <w:vAlign w:val="bottom"/>
            <w:hideMark/>
          </w:tcPr>
          <w:p w14:paraId="47303CEE"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46</w:t>
            </w:r>
          </w:p>
        </w:tc>
        <w:tc>
          <w:tcPr>
            <w:tcW w:w="2128" w:type="dxa"/>
            <w:tcBorders>
              <w:top w:val="nil"/>
              <w:left w:val="nil"/>
              <w:bottom w:val="single" w:sz="4" w:space="0" w:color="auto"/>
              <w:right w:val="single" w:sz="4" w:space="0" w:color="auto"/>
            </w:tcBorders>
            <w:noWrap/>
            <w:vAlign w:val="bottom"/>
            <w:hideMark/>
          </w:tcPr>
          <w:p w14:paraId="209E480F"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44*</w:t>
            </w:r>
          </w:p>
        </w:tc>
        <w:tc>
          <w:tcPr>
            <w:tcW w:w="1986" w:type="dxa"/>
            <w:tcBorders>
              <w:top w:val="nil"/>
              <w:left w:val="nil"/>
              <w:bottom w:val="single" w:sz="4" w:space="0" w:color="auto"/>
              <w:right w:val="single" w:sz="4" w:space="0" w:color="auto"/>
            </w:tcBorders>
            <w:noWrap/>
            <w:vAlign w:val="center"/>
            <w:hideMark/>
          </w:tcPr>
          <w:p w14:paraId="733F39DE"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1</w:t>
            </w:r>
          </w:p>
        </w:tc>
        <w:tc>
          <w:tcPr>
            <w:tcW w:w="1987" w:type="dxa"/>
            <w:tcBorders>
              <w:top w:val="nil"/>
              <w:left w:val="nil"/>
              <w:bottom w:val="single" w:sz="4" w:space="0" w:color="auto"/>
              <w:right w:val="single" w:sz="4" w:space="0" w:color="auto"/>
            </w:tcBorders>
            <w:vAlign w:val="center"/>
            <w:hideMark/>
          </w:tcPr>
          <w:p w14:paraId="5B9BF25B"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1</w:t>
            </w:r>
          </w:p>
        </w:tc>
      </w:tr>
      <w:tr w:rsidR="00996278" w:rsidRPr="006524DF" w14:paraId="3E3C2291" w14:textId="77777777" w:rsidTr="00996278">
        <w:tc>
          <w:tcPr>
            <w:tcW w:w="1389" w:type="dxa"/>
            <w:tcBorders>
              <w:top w:val="nil"/>
              <w:left w:val="single" w:sz="4" w:space="0" w:color="auto"/>
              <w:bottom w:val="single" w:sz="4" w:space="0" w:color="auto"/>
              <w:right w:val="single" w:sz="4" w:space="0" w:color="auto"/>
            </w:tcBorders>
            <w:noWrap/>
            <w:vAlign w:val="center"/>
            <w:hideMark/>
          </w:tcPr>
          <w:p w14:paraId="02E92DD9" w14:textId="40C497B7" w:rsidR="00996278" w:rsidRPr="00AF297F" w:rsidRDefault="00AF297F" w:rsidP="00BE6D2B">
            <w:pPr>
              <w:widowControl w:val="0"/>
              <w:rPr>
                <w:color w:val="000000"/>
                <w:sz w:val="20"/>
                <w:szCs w:val="20"/>
                <w:lang w:val="en-CA" w:eastAsia="en-CA"/>
              </w:rPr>
            </w:pPr>
            <w:r w:rsidRPr="00AF297F">
              <w:rPr>
                <w:color w:val="000000"/>
                <w:sz w:val="20"/>
                <w:szCs w:val="20"/>
                <w:lang w:val="fr-FR" w:eastAsia="en-CA"/>
              </w:rPr>
              <w:lastRenderedPageBreak/>
              <w:t>PNUE</w:t>
            </w:r>
          </w:p>
        </w:tc>
        <w:tc>
          <w:tcPr>
            <w:tcW w:w="1875" w:type="dxa"/>
            <w:tcBorders>
              <w:top w:val="nil"/>
              <w:left w:val="nil"/>
              <w:bottom w:val="single" w:sz="4" w:space="0" w:color="auto"/>
              <w:right w:val="single" w:sz="4" w:space="0" w:color="auto"/>
            </w:tcBorders>
            <w:noWrap/>
            <w:vAlign w:val="bottom"/>
            <w:hideMark/>
          </w:tcPr>
          <w:p w14:paraId="46908279"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62</w:t>
            </w:r>
          </w:p>
        </w:tc>
        <w:tc>
          <w:tcPr>
            <w:tcW w:w="2128" w:type="dxa"/>
            <w:tcBorders>
              <w:top w:val="nil"/>
              <w:left w:val="nil"/>
              <w:bottom w:val="single" w:sz="4" w:space="0" w:color="auto"/>
              <w:right w:val="single" w:sz="4" w:space="0" w:color="auto"/>
            </w:tcBorders>
            <w:noWrap/>
            <w:vAlign w:val="bottom"/>
            <w:hideMark/>
          </w:tcPr>
          <w:p w14:paraId="30EA2EFB" w14:textId="312C3E82" w:rsidR="00996278" w:rsidRPr="006524DF" w:rsidRDefault="00996278" w:rsidP="00F34237">
            <w:pPr>
              <w:widowControl w:val="0"/>
              <w:jc w:val="center"/>
              <w:rPr>
                <w:sz w:val="20"/>
                <w:szCs w:val="20"/>
                <w:lang w:val="en-CA" w:eastAsia="en-CA"/>
              </w:rPr>
            </w:pPr>
            <w:r w:rsidRPr="006524DF">
              <w:rPr>
                <w:sz w:val="20"/>
                <w:szCs w:val="20"/>
                <w:lang w:val="en-CA" w:eastAsia="en-CA"/>
              </w:rPr>
              <w:t>61**</w:t>
            </w:r>
          </w:p>
        </w:tc>
        <w:tc>
          <w:tcPr>
            <w:tcW w:w="1986" w:type="dxa"/>
            <w:tcBorders>
              <w:top w:val="nil"/>
              <w:left w:val="nil"/>
              <w:bottom w:val="single" w:sz="4" w:space="0" w:color="auto"/>
              <w:right w:val="single" w:sz="4" w:space="0" w:color="auto"/>
            </w:tcBorders>
            <w:noWrap/>
            <w:vAlign w:val="center"/>
            <w:hideMark/>
          </w:tcPr>
          <w:p w14:paraId="2319278E"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1</w:t>
            </w:r>
          </w:p>
        </w:tc>
        <w:tc>
          <w:tcPr>
            <w:tcW w:w="1987" w:type="dxa"/>
            <w:tcBorders>
              <w:top w:val="nil"/>
              <w:left w:val="nil"/>
              <w:bottom w:val="single" w:sz="4" w:space="0" w:color="auto"/>
              <w:right w:val="single" w:sz="4" w:space="0" w:color="auto"/>
            </w:tcBorders>
            <w:vAlign w:val="center"/>
            <w:hideMark/>
          </w:tcPr>
          <w:p w14:paraId="170F3A4C"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0</w:t>
            </w:r>
          </w:p>
        </w:tc>
      </w:tr>
      <w:tr w:rsidR="00996278" w:rsidRPr="006524DF" w14:paraId="2D759DF5" w14:textId="77777777" w:rsidTr="00996278">
        <w:tc>
          <w:tcPr>
            <w:tcW w:w="1389" w:type="dxa"/>
            <w:tcBorders>
              <w:top w:val="nil"/>
              <w:left w:val="single" w:sz="4" w:space="0" w:color="auto"/>
              <w:bottom w:val="single" w:sz="4" w:space="0" w:color="auto"/>
              <w:right w:val="single" w:sz="4" w:space="0" w:color="auto"/>
            </w:tcBorders>
            <w:noWrap/>
            <w:vAlign w:val="center"/>
            <w:hideMark/>
          </w:tcPr>
          <w:p w14:paraId="2406EDEB" w14:textId="1ADCEDFD" w:rsidR="00996278" w:rsidRPr="00AF297F" w:rsidRDefault="00AF297F" w:rsidP="00BE6D2B">
            <w:pPr>
              <w:widowControl w:val="0"/>
              <w:rPr>
                <w:color w:val="000000"/>
                <w:sz w:val="20"/>
                <w:szCs w:val="20"/>
                <w:lang w:val="en-CA" w:eastAsia="en-CA"/>
              </w:rPr>
            </w:pPr>
            <w:r w:rsidRPr="00AF297F">
              <w:rPr>
                <w:color w:val="000000"/>
                <w:sz w:val="20"/>
                <w:szCs w:val="20"/>
                <w:lang w:val="fr-FR" w:eastAsia="en-CA"/>
              </w:rPr>
              <w:t>ONUDI</w:t>
            </w:r>
          </w:p>
        </w:tc>
        <w:tc>
          <w:tcPr>
            <w:tcW w:w="1875" w:type="dxa"/>
            <w:tcBorders>
              <w:top w:val="nil"/>
              <w:left w:val="nil"/>
              <w:bottom w:val="single" w:sz="4" w:space="0" w:color="auto"/>
              <w:right w:val="single" w:sz="4" w:space="0" w:color="auto"/>
            </w:tcBorders>
            <w:noWrap/>
            <w:vAlign w:val="bottom"/>
            <w:hideMark/>
          </w:tcPr>
          <w:p w14:paraId="38E210A9"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58</w:t>
            </w:r>
          </w:p>
        </w:tc>
        <w:tc>
          <w:tcPr>
            <w:tcW w:w="2128" w:type="dxa"/>
            <w:tcBorders>
              <w:top w:val="nil"/>
              <w:left w:val="nil"/>
              <w:bottom w:val="single" w:sz="4" w:space="0" w:color="auto"/>
              <w:right w:val="single" w:sz="4" w:space="0" w:color="auto"/>
            </w:tcBorders>
            <w:noWrap/>
            <w:vAlign w:val="bottom"/>
            <w:hideMark/>
          </w:tcPr>
          <w:p w14:paraId="53A5F763"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57</w:t>
            </w:r>
          </w:p>
        </w:tc>
        <w:tc>
          <w:tcPr>
            <w:tcW w:w="1986" w:type="dxa"/>
            <w:tcBorders>
              <w:top w:val="nil"/>
              <w:left w:val="nil"/>
              <w:bottom w:val="single" w:sz="4" w:space="0" w:color="auto"/>
              <w:right w:val="single" w:sz="4" w:space="0" w:color="auto"/>
            </w:tcBorders>
            <w:noWrap/>
            <w:vAlign w:val="center"/>
            <w:hideMark/>
          </w:tcPr>
          <w:p w14:paraId="2110828F"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0</w:t>
            </w:r>
          </w:p>
        </w:tc>
        <w:tc>
          <w:tcPr>
            <w:tcW w:w="1987" w:type="dxa"/>
            <w:tcBorders>
              <w:top w:val="nil"/>
              <w:left w:val="nil"/>
              <w:bottom w:val="single" w:sz="4" w:space="0" w:color="auto"/>
              <w:right w:val="single" w:sz="4" w:space="0" w:color="auto"/>
            </w:tcBorders>
            <w:vAlign w:val="center"/>
            <w:hideMark/>
          </w:tcPr>
          <w:p w14:paraId="116D6984"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1</w:t>
            </w:r>
          </w:p>
        </w:tc>
      </w:tr>
      <w:tr w:rsidR="00996278" w:rsidRPr="006524DF" w14:paraId="4068B7C8" w14:textId="77777777" w:rsidTr="00996278">
        <w:tc>
          <w:tcPr>
            <w:tcW w:w="1389" w:type="dxa"/>
            <w:tcBorders>
              <w:top w:val="nil"/>
              <w:left w:val="single" w:sz="4" w:space="0" w:color="auto"/>
              <w:bottom w:val="single" w:sz="4" w:space="0" w:color="auto"/>
              <w:right w:val="single" w:sz="4" w:space="0" w:color="auto"/>
            </w:tcBorders>
            <w:noWrap/>
            <w:vAlign w:val="center"/>
            <w:hideMark/>
          </w:tcPr>
          <w:p w14:paraId="143991E7" w14:textId="06E252A1" w:rsidR="00996278" w:rsidRPr="00AF297F" w:rsidRDefault="00AF297F" w:rsidP="00BE6D2B">
            <w:pPr>
              <w:widowControl w:val="0"/>
              <w:rPr>
                <w:color w:val="000000"/>
                <w:sz w:val="20"/>
                <w:szCs w:val="20"/>
                <w:lang w:val="en-CA" w:eastAsia="en-CA"/>
              </w:rPr>
            </w:pPr>
            <w:r w:rsidRPr="00AF297F">
              <w:rPr>
                <w:color w:val="000000"/>
                <w:sz w:val="20"/>
                <w:szCs w:val="20"/>
                <w:lang w:val="fr-FR" w:eastAsia="en-CA"/>
              </w:rPr>
              <w:t>Banque mondiale</w:t>
            </w:r>
          </w:p>
        </w:tc>
        <w:tc>
          <w:tcPr>
            <w:tcW w:w="1875" w:type="dxa"/>
            <w:tcBorders>
              <w:top w:val="nil"/>
              <w:left w:val="nil"/>
              <w:bottom w:val="single" w:sz="4" w:space="0" w:color="auto"/>
              <w:right w:val="single" w:sz="4" w:space="0" w:color="auto"/>
            </w:tcBorders>
            <w:noWrap/>
            <w:vAlign w:val="bottom"/>
            <w:hideMark/>
          </w:tcPr>
          <w:p w14:paraId="7F9F12D8"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26</w:t>
            </w:r>
          </w:p>
        </w:tc>
        <w:tc>
          <w:tcPr>
            <w:tcW w:w="2128" w:type="dxa"/>
            <w:tcBorders>
              <w:top w:val="nil"/>
              <w:left w:val="nil"/>
              <w:bottom w:val="single" w:sz="4" w:space="0" w:color="auto"/>
              <w:right w:val="single" w:sz="4" w:space="0" w:color="auto"/>
            </w:tcBorders>
            <w:noWrap/>
            <w:vAlign w:val="bottom"/>
            <w:hideMark/>
          </w:tcPr>
          <w:p w14:paraId="14A2F70F"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18</w:t>
            </w:r>
          </w:p>
        </w:tc>
        <w:tc>
          <w:tcPr>
            <w:tcW w:w="1986" w:type="dxa"/>
            <w:tcBorders>
              <w:top w:val="nil"/>
              <w:left w:val="nil"/>
              <w:bottom w:val="single" w:sz="4" w:space="0" w:color="auto"/>
              <w:right w:val="single" w:sz="4" w:space="0" w:color="auto"/>
            </w:tcBorders>
            <w:noWrap/>
            <w:vAlign w:val="center"/>
            <w:hideMark/>
          </w:tcPr>
          <w:p w14:paraId="4AECC766"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3</w:t>
            </w:r>
          </w:p>
        </w:tc>
        <w:tc>
          <w:tcPr>
            <w:tcW w:w="1987" w:type="dxa"/>
            <w:tcBorders>
              <w:top w:val="nil"/>
              <w:left w:val="nil"/>
              <w:bottom w:val="single" w:sz="4" w:space="0" w:color="auto"/>
              <w:right w:val="single" w:sz="4" w:space="0" w:color="auto"/>
            </w:tcBorders>
            <w:vAlign w:val="center"/>
            <w:hideMark/>
          </w:tcPr>
          <w:p w14:paraId="78AA82CC"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5</w:t>
            </w:r>
          </w:p>
        </w:tc>
      </w:tr>
      <w:tr w:rsidR="00996278" w:rsidRPr="006524DF" w14:paraId="0DD094B9" w14:textId="77777777" w:rsidTr="00996278">
        <w:tc>
          <w:tcPr>
            <w:tcW w:w="1389" w:type="dxa"/>
            <w:tcBorders>
              <w:top w:val="nil"/>
              <w:left w:val="single" w:sz="4" w:space="0" w:color="auto"/>
              <w:bottom w:val="single" w:sz="4" w:space="0" w:color="auto"/>
              <w:right w:val="single" w:sz="4" w:space="0" w:color="auto"/>
            </w:tcBorders>
            <w:noWrap/>
            <w:vAlign w:val="center"/>
            <w:hideMark/>
          </w:tcPr>
          <w:p w14:paraId="0C5F4E3F" w14:textId="1C433158" w:rsidR="00996278" w:rsidRPr="00AF297F" w:rsidRDefault="00AF297F" w:rsidP="00BE6D2B">
            <w:pPr>
              <w:widowControl w:val="0"/>
              <w:contextualSpacing/>
              <w:rPr>
                <w:b/>
                <w:bCs/>
                <w:color w:val="000000"/>
                <w:sz w:val="20"/>
                <w:szCs w:val="20"/>
                <w:lang w:val="en-CA" w:eastAsia="en-CA"/>
              </w:rPr>
            </w:pPr>
            <w:r w:rsidRPr="00AF297F">
              <w:rPr>
                <w:b/>
                <w:bCs/>
                <w:color w:val="000000"/>
                <w:sz w:val="20"/>
                <w:szCs w:val="20"/>
                <w:lang w:val="fr-FR" w:eastAsia="en-CA"/>
              </w:rPr>
              <w:t>Total</w:t>
            </w:r>
          </w:p>
        </w:tc>
        <w:tc>
          <w:tcPr>
            <w:tcW w:w="1875" w:type="dxa"/>
            <w:tcBorders>
              <w:top w:val="nil"/>
              <w:left w:val="nil"/>
              <w:bottom w:val="single" w:sz="4" w:space="0" w:color="auto"/>
              <w:right w:val="single" w:sz="4" w:space="0" w:color="auto"/>
            </w:tcBorders>
            <w:noWrap/>
            <w:vAlign w:val="center"/>
            <w:hideMark/>
          </w:tcPr>
          <w:p w14:paraId="3F499184" w14:textId="77777777" w:rsidR="00996278" w:rsidRPr="006524DF" w:rsidRDefault="00996278" w:rsidP="00676C3E">
            <w:pPr>
              <w:widowControl w:val="0"/>
              <w:contextualSpacing/>
              <w:jc w:val="center"/>
              <w:rPr>
                <w:b/>
                <w:bCs/>
                <w:sz w:val="20"/>
                <w:szCs w:val="20"/>
                <w:lang w:val="en-CA" w:eastAsia="en-CA"/>
              </w:rPr>
            </w:pPr>
            <w:r w:rsidRPr="006524DF">
              <w:rPr>
                <w:b/>
                <w:bCs/>
                <w:sz w:val="20"/>
                <w:szCs w:val="20"/>
                <w:lang w:val="en-CA" w:eastAsia="en-CA"/>
              </w:rPr>
              <w:t>212</w:t>
            </w:r>
          </w:p>
        </w:tc>
        <w:tc>
          <w:tcPr>
            <w:tcW w:w="2128" w:type="dxa"/>
            <w:tcBorders>
              <w:top w:val="nil"/>
              <w:left w:val="nil"/>
              <w:bottom w:val="single" w:sz="4" w:space="0" w:color="auto"/>
              <w:right w:val="single" w:sz="4" w:space="0" w:color="auto"/>
            </w:tcBorders>
            <w:noWrap/>
            <w:vAlign w:val="center"/>
            <w:hideMark/>
          </w:tcPr>
          <w:p w14:paraId="04604B80" w14:textId="77777777" w:rsidR="00996278" w:rsidRPr="006524DF" w:rsidRDefault="00996278" w:rsidP="00676C3E">
            <w:pPr>
              <w:widowControl w:val="0"/>
              <w:contextualSpacing/>
              <w:jc w:val="center"/>
              <w:rPr>
                <w:b/>
                <w:bCs/>
                <w:sz w:val="20"/>
                <w:szCs w:val="20"/>
                <w:lang w:val="en-CA" w:eastAsia="en-CA"/>
              </w:rPr>
            </w:pPr>
            <w:r w:rsidRPr="006524DF">
              <w:rPr>
                <w:b/>
                <w:bCs/>
                <w:sz w:val="20"/>
                <w:szCs w:val="20"/>
                <w:lang w:val="en-CA" w:eastAsia="en-CA"/>
              </w:rPr>
              <w:t>199</w:t>
            </w:r>
          </w:p>
        </w:tc>
        <w:tc>
          <w:tcPr>
            <w:tcW w:w="1986" w:type="dxa"/>
            <w:tcBorders>
              <w:top w:val="nil"/>
              <w:left w:val="nil"/>
              <w:bottom w:val="single" w:sz="4" w:space="0" w:color="auto"/>
              <w:right w:val="single" w:sz="4" w:space="0" w:color="auto"/>
            </w:tcBorders>
            <w:noWrap/>
            <w:vAlign w:val="center"/>
            <w:hideMark/>
          </w:tcPr>
          <w:p w14:paraId="7D3D191B" w14:textId="77777777" w:rsidR="00996278" w:rsidRPr="006524DF" w:rsidRDefault="00996278" w:rsidP="00676C3E">
            <w:pPr>
              <w:widowControl w:val="0"/>
              <w:contextualSpacing/>
              <w:jc w:val="center"/>
              <w:rPr>
                <w:b/>
                <w:bCs/>
                <w:sz w:val="20"/>
                <w:szCs w:val="20"/>
                <w:lang w:val="en-CA" w:eastAsia="en-CA"/>
              </w:rPr>
            </w:pPr>
            <w:r w:rsidRPr="006524DF">
              <w:rPr>
                <w:b/>
                <w:bCs/>
                <w:sz w:val="20"/>
                <w:szCs w:val="20"/>
                <w:lang w:val="en-CA" w:eastAsia="en-CA"/>
              </w:rPr>
              <w:t>5</w:t>
            </w:r>
          </w:p>
        </w:tc>
        <w:tc>
          <w:tcPr>
            <w:tcW w:w="1987" w:type="dxa"/>
            <w:tcBorders>
              <w:top w:val="nil"/>
              <w:left w:val="nil"/>
              <w:bottom w:val="single" w:sz="4" w:space="0" w:color="auto"/>
              <w:right w:val="single" w:sz="4" w:space="0" w:color="auto"/>
            </w:tcBorders>
            <w:vAlign w:val="center"/>
            <w:hideMark/>
          </w:tcPr>
          <w:p w14:paraId="2BF91613" w14:textId="77777777" w:rsidR="00996278" w:rsidRPr="006524DF" w:rsidRDefault="00996278" w:rsidP="00676C3E">
            <w:pPr>
              <w:widowControl w:val="0"/>
              <w:contextualSpacing/>
              <w:jc w:val="center"/>
              <w:rPr>
                <w:b/>
                <w:bCs/>
                <w:sz w:val="20"/>
                <w:szCs w:val="20"/>
                <w:lang w:val="en-CA" w:eastAsia="en-CA"/>
              </w:rPr>
            </w:pPr>
            <w:r w:rsidRPr="006524DF">
              <w:rPr>
                <w:b/>
                <w:bCs/>
                <w:sz w:val="20"/>
                <w:szCs w:val="20"/>
                <w:lang w:val="en-CA" w:eastAsia="en-CA"/>
              </w:rPr>
              <w:t>8</w:t>
            </w:r>
          </w:p>
        </w:tc>
      </w:tr>
    </w:tbl>
    <w:p w14:paraId="1D4C6B52" w14:textId="26CAC381" w:rsidR="00996278" w:rsidRPr="00A44B75" w:rsidRDefault="00AF297F" w:rsidP="00676C3E">
      <w:pPr>
        <w:pStyle w:val="Heading1"/>
        <w:widowControl w:val="0"/>
        <w:numPr>
          <w:ilvl w:val="0"/>
          <w:numId w:val="0"/>
        </w:numPr>
        <w:spacing w:after="0"/>
        <w:rPr>
          <w:sz w:val="20"/>
          <w:szCs w:val="20"/>
          <w:lang w:val="fr-FR"/>
        </w:rPr>
      </w:pPr>
      <w:r w:rsidRPr="00AF297F">
        <w:rPr>
          <w:sz w:val="20"/>
          <w:szCs w:val="20"/>
          <w:lang w:val="fr-FR"/>
        </w:rPr>
        <w:t>* Le PNUD a remis en plus un RAP pour un projet d</w:t>
      </w:r>
      <w:r w:rsidR="005A0776">
        <w:rPr>
          <w:sz w:val="20"/>
          <w:szCs w:val="20"/>
          <w:lang w:val="fr-FR"/>
        </w:rPr>
        <w:t>’</w:t>
      </w:r>
      <w:r w:rsidRPr="00AF297F">
        <w:rPr>
          <w:sz w:val="20"/>
          <w:szCs w:val="20"/>
          <w:lang w:val="fr-FR"/>
        </w:rPr>
        <w:t>accord pluriannuel</w:t>
      </w:r>
      <w:r>
        <w:rPr>
          <w:sz w:val="20"/>
          <w:szCs w:val="20"/>
          <w:lang w:val="fr-FR"/>
        </w:rPr>
        <w:t xml:space="preserve"> en cours</w:t>
      </w:r>
      <w:r w:rsidRPr="00AF297F">
        <w:rPr>
          <w:sz w:val="20"/>
          <w:szCs w:val="20"/>
          <w:lang w:val="fr-FR"/>
        </w:rPr>
        <w:t>.</w:t>
      </w:r>
    </w:p>
    <w:p w14:paraId="17BDF871" w14:textId="6004C580" w:rsidR="00996278" w:rsidRPr="00A44B75" w:rsidRDefault="00AF297F" w:rsidP="00996278">
      <w:pPr>
        <w:rPr>
          <w:sz w:val="20"/>
          <w:szCs w:val="20"/>
          <w:lang w:val="fr-FR"/>
        </w:rPr>
      </w:pPr>
      <w:r w:rsidRPr="00AF297F">
        <w:rPr>
          <w:sz w:val="20"/>
          <w:szCs w:val="20"/>
          <w:lang w:val="fr-FR"/>
        </w:rPr>
        <w:t>* Le PNUE a remis en plus un RAP pour un projet d</w:t>
      </w:r>
      <w:r w:rsidR="005A0776">
        <w:rPr>
          <w:sz w:val="20"/>
          <w:szCs w:val="20"/>
          <w:lang w:val="fr-FR"/>
        </w:rPr>
        <w:t>’</w:t>
      </w:r>
      <w:r w:rsidRPr="00AF297F">
        <w:rPr>
          <w:sz w:val="20"/>
          <w:szCs w:val="20"/>
          <w:lang w:val="fr-FR"/>
        </w:rPr>
        <w:t>accord pluriannuel en cours.</w:t>
      </w:r>
    </w:p>
    <w:p w14:paraId="5C25A0D2" w14:textId="5D32CA4C" w:rsidR="00AF297F" w:rsidRPr="00A44B75" w:rsidRDefault="00AF297F" w:rsidP="00AF297F">
      <w:pPr>
        <w:pStyle w:val="Heading1"/>
        <w:widowControl w:val="0"/>
        <w:spacing w:before="240"/>
        <w:rPr>
          <w:lang w:val="fr-FR"/>
        </w:rPr>
      </w:pPr>
      <w:r w:rsidRPr="00AF297F">
        <w:rPr>
          <w:lang w:val="fr-FR"/>
        </w:rPr>
        <w:t>Une analyse du montant global des décaissements, des SAO éliminées et des retards dans la finalisation des cinq RAP pour des accords pluriannuels est résumée au tableau 2.</w:t>
      </w:r>
      <w:r w:rsidRPr="00A44B75">
        <w:rPr>
          <w:lang w:val="fr-FR"/>
        </w:rPr>
        <w:t xml:space="preserve"> </w:t>
      </w:r>
    </w:p>
    <w:p w14:paraId="5EBC944E" w14:textId="1FE21951" w:rsidR="00222C40" w:rsidRPr="00A44B75" w:rsidRDefault="00AF297F" w:rsidP="00605D6D">
      <w:pPr>
        <w:pStyle w:val="Heading1"/>
        <w:widowControl w:val="0"/>
        <w:numPr>
          <w:ilvl w:val="0"/>
          <w:numId w:val="0"/>
        </w:numPr>
        <w:tabs>
          <w:tab w:val="left" w:pos="720"/>
        </w:tabs>
        <w:spacing w:after="0"/>
        <w:rPr>
          <w:b/>
          <w:sz w:val="21"/>
          <w:szCs w:val="21"/>
          <w:lang w:val="fr-FR"/>
        </w:rPr>
      </w:pPr>
      <w:r w:rsidRPr="00AF297F">
        <w:rPr>
          <w:b/>
          <w:sz w:val="21"/>
          <w:szCs w:val="21"/>
          <w:lang w:val="fr-FR"/>
        </w:rPr>
        <w:t>Table</w:t>
      </w:r>
      <w:r w:rsidR="00FF3853">
        <w:rPr>
          <w:b/>
          <w:sz w:val="21"/>
          <w:szCs w:val="21"/>
          <w:lang w:val="fr-FR"/>
        </w:rPr>
        <w:t>au</w:t>
      </w:r>
      <w:r w:rsidRPr="00AF297F">
        <w:rPr>
          <w:b/>
          <w:sz w:val="21"/>
          <w:szCs w:val="21"/>
          <w:lang w:val="fr-FR"/>
        </w:rPr>
        <w:t xml:space="preserve"> 2. Vue d</w:t>
      </w:r>
      <w:r w:rsidR="005A0776">
        <w:rPr>
          <w:b/>
          <w:sz w:val="21"/>
          <w:szCs w:val="21"/>
          <w:lang w:val="fr-FR"/>
        </w:rPr>
        <w:t>’</w:t>
      </w:r>
      <w:r w:rsidRPr="00AF297F">
        <w:rPr>
          <w:b/>
          <w:sz w:val="21"/>
          <w:szCs w:val="21"/>
          <w:lang w:val="fr-FR"/>
        </w:rPr>
        <w:t>ensemble du budget, des SAO éliminées et des retards dans les RAP soumis pour les accords pluriannuels après la 87</w:t>
      </w:r>
      <w:r w:rsidRPr="00AF297F">
        <w:rPr>
          <w:b/>
          <w:sz w:val="21"/>
          <w:szCs w:val="21"/>
          <w:vertAlign w:val="superscript"/>
          <w:lang w:val="fr-FR"/>
        </w:rPr>
        <w:t>e</w:t>
      </w:r>
      <w:r w:rsidRPr="00AF297F">
        <w:rPr>
          <w:b/>
          <w:sz w:val="21"/>
          <w:szCs w:val="21"/>
          <w:lang w:val="fr-FR"/>
        </w:rPr>
        <w:t xml:space="preserve"> réunion</w:t>
      </w:r>
    </w:p>
    <w:tbl>
      <w:tblPr>
        <w:tblW w:w="5000" w:type="pct"/>
        <w:tblLook w:val="04A0" w:firstRow="1" w:lastRow="0" w:firstColumn="1" w:lastColumn="0" w:noHBand="0" w:noVBand="1"/>
      </w:tblPr>
      <w:tblGrid>
        <w:gridCol w:w="1764"/>
        <w:gridCol w:w="1466"/>
        <w:gridCol w:w="1466"/>
        <w:gridCol w:w="1466"/>
        <w:gridCol w:w="1468"/>
        <w:gridCol w:w="1720"/>
      </w:tblGrid>
      <w:tr w:rsidR="00AF297F" w:rsidRPr="006524DF" w14:paraId="60A871C6" w14:textId="77777777" w:rsidTr="008552AB">
        <w:tc>
          <w:tcPr>
            <w:tcW w:w="9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257FF" w14:textId="64BD4A17" w:rsidR="004E7975" w:rsidRPr="00AF297F" w:rsidRDefault="00AF297F" w:rsidP="00BE6D2B">
            <w:pPr>
              <w:jc w:val="left"/>
              <w:rPr>
                <w:b/>
                <w:bCs/>
                <w:color w:val="000000"/>
                <w:sz w:val="20"/>
                <w:szCs w:val="20"/>
                <w:lang w:val="en-US"/>
              </w:rPr>
            </w:pPr>
            <w:r w:rsidRPr="00AF297F">
              <w:rPr>
                <w:b/>
                <w:bCs/>
                <w:color w:val="000000"/>
                <w:sz w:val="20"/>
                <w:szCs w:val="20"/>
                <w:lang w:val="fr-FR"/>
              </w:rPr>
              <w:t>Agence</w:t>
            </w:r>
            <w:r w:rsidR="005A0776">
              <w:rPr>
                <w:b/>
                <w:bCs/>
                <w:color w:val="000000"/>
                <w:sz w:val="20"/>
                <w:szCs w:val="20"/>
                <w:lang w:val="fr-FR"/>
              </w:rPr>
              <w:t> </w:t>
            </w:r>
            <w:r w:rsidRPr="00AF297F">
              <w:rPr>
                <w:b/>
                <w:bCs/>
                <w:color w:val="000000"/>
                <w:sz w:val="20"/>
                <w:szCs w:val="20"/>
                <w:lang w:val="fr-FR"/>
              </w:rPr>
              <w:t>principale</w:t>
            </w:r>
          </w:p>
        </w:tc>
        <w:tc>
          <w:tcPr>
            <w:tcW w:w="1568" w:type="pct"/>
            <w:gridSpan w:val="2"/>
            <w:tcBorders>
              <w:top w:val="single" w:sz="4" w:space="0" w:color="auto"/>
              <w:left w:val="nil"/>
              <w:bottom w:val="single" w:sz="4" w:space="0" w:color="auto"/>
              <w:right w:val="single" w:sz="4" w:space="0" w:color="auto"/>
            </w:tcBorders>
            <w:shd w:val="clear" w:color="auto" w:fill="auto"/>
            <w:vAlign w:val="center"/>
            <w:hideMark/>
          </w:tcPr>
          <w:p w14:paraId="20467514" w14:textId="6C5527FF" w:rsidR="004E7975" w:rsidRPr="00A44B75" w:rsidRDefault="00AF297F" w:rsidP="00BE6D2B">
            <w:pPr>
              <w:jc w:val="center"/>
              <w:rPr>
                <w:b/>
                <w:bCs/>
                <w:color w:val="000000"/>
                <w:sz w:val="20"/>
                <w:szCs w:val="20"/>
                <w:lang w:val="fr-FR"/>
              </w:rPr>
            </w:pPr>
            <w:r w:rsidRPr="00AF297F">
              <w:rPr>
                <w:b/>
                <w:bCs/>
                <w:color w:val="000000"/>
                <w:sz w:val="20"/>
                <w:szCs w:val="20"/>
                <w:lang w:val="fr-FR"/>
              </w:rPr>
              <w:t>Fonds pour des accords pluriannuels ($US)</w:t>
            </w:r>
          </w:p>
        </w:tc>
        <w:tc>
          <w:tcPr>
            <w:tcW w:w="1569" w:type="pct"/>
            <w:gridSpan w:val="2"/>
            <w:tcBorders>
              <w:top w:val="single" w:sz="4" w:space="0" w:color="auto"/>
              <w:left w:val="nil"/>
              <w:bottom w:val="single" w:sz="4" w:space="0" w:color="auto"/>
              <w:right w:val="single" w:sz="4" w:space="0" w:color="auto"/>
            </w:tcBorders>
            <w:shd w:val="clear" w:color="auto" w:fill="auto"/>
            <w:vAlign w:val="center"/>
            <w:hideMark/>
          </w:tcPr>
          <w:p w14:paraId="132A1BFE" w14:textId="1C4A08AA" w:rsidR="004604EB" w:rsidRPr="00AF297F" w:rsidRDefault="00AF297F" w:rsidP="001C0A2A">
            <w:pPr>
              <w:jc w:val="center"/>
              <w:rPr>
                <w:b/>
                <w:bCs/>
                <w:color w:val="000000"/>
                <w:sz w:val="20"/>
                <w:szCs w:val="20"/>
                <w:lang w:val="en-US"/>
              </w:rPr>
            </w:pPr>
            <w:r w:rsidRPr="00AF297F">
              <w:rPr>
                <w:b/>
                <w:bCs/>
                <w:color w:val="000000"/>
                <w:sz w:val="20"/>
                <w:szCs w:val="20"/>
                <w:lang w:val="fr-FR"/>
              </w:rPr>
              <w:t>Élimination</w:t>
            </w:r>
          </w:p>
          <w:p w14:paraId="4A0656E2" w14:textId="5A8E3943" w:rsidR="004E7975" w:rsidRPr="006524DF" w:rsidRDefault="00AF297F" w:rsidP="00BE6D2B">
            <w:pPr>
              <w:jc w:val="center"/>
              <w:rPr>
                <w:b/>
                <w:bCs/>
                <w:color w:val="000000"/>
                <w:sz w:val="20"/>
                <w:szCs w:val="20"/>
                <w:lang w:val="en-US"/>
              </w:rPr>
            </w:pPr>
            <w:r w:rsidRPr="00AF297F">
              <w:rPr>
                <w:b/>
                <w:bCs/>
                <w:color w:val="000000"/>
                <w:sz w:val="20"/>
                <w:szCs w:val="20"/>
                <w:lang w:val="fr-FR"/>
              </w:rPr>
              <w:t>(tonnes PAO)</w:t>
            </w:r>
            <w:r w:rsidR="004E7975" w:rsidRPr="00AF297F">
              <w:rPr>
                <w:b/>
                <w:bCs/>
                <w:color w:val="000000"/>
                <w:sz w:val="20"/>
                <w:szCs w:val="20"/>
                <w:lang w:val="en-US"/>
              </w:rPr>
              <w:t xml:space="preserve"> </w:t>
            </w:r>
          </w:p>
        </w:tc>
        <w:tc>
          <w:tcPr>
            <w:tcW w:w="920" w:type="pct"/>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03FF50A" w14:textId="7963C6B9" w:rsidR="004E7975" w:rsidRPr="00AF297F" w:rsidRDefault="00AF297F" w:rsidP="00BE6D2B">
            <w:pPr>
              <w:jc w:val="center"/>
              <w:rPr>
                <w:b/>
                <w:bCs/>
                <w:color w:val="000000"/>
                <w:sz w:val="20"/>
                <w:szCs w:val="20"/>
                <w:lang w:val="en-US"/>
              </w:rPr>
            </w:pPr>
            <w:r w:rsidRPr="00AF297F">
              <w:rPr>
                <w:b/>
                <w:bCs/>
                <w:color w:val="000000"/>
                <w:sz w:val="20"/>
                <w:szCs w:val="20"/>
                <w:lang w:val="fr-FR"/>
              </w:rPr>
              <w:t xml:space="preserve">Retards moyens (en mois) </w:t>
            </w:r>
            <w:r w:rsidRPr="00AF297F">
              <w:rPr>
                <w:rStyle w:val="FootnoteReference"/>
                <w:b/>
                <w:bCs/>
                <w:color w:val="000000"/>
                <w:sz w:val="20"/>
                <w:szCs w:val="20"/>
                <w:lang w:val="fr-FR"/>
              </w:rPr>
              <w:footnoteReference w:id="2"/>
            </w:r>
          </w:p>
        </w:tc>
      </w:tr>
      <w:tr w:rsidR="00AF297F" w:rsidRPr="006524DF" w14:paraId="7F5F83B9" w14:textId="77777777" w:rsidTr="00676C3E">
        <w:tc>
          <w:tcPr>
            <w:tcW w:w="943" w:type="pct"/>
            <w:vMerge/>
            <w:tcBorders>
              <w:top w:val="single" w:sz="4" w:space="0" w:color="auto"/>
              <w:left w:val="single" w:sz="4" w:space="0" w:color="auto"/>
              <w:bottom w:val="single" w:sz="4" w:space="0" w:color="auto"/>
              <w:right w:val="single" w:sz="4" w:space="0" w:color="auto"/>
            </w:tcBorders>
            <w:vAlign w:val="center"/>
            <w:hideMark/>
          </w:tcPr>
          <w:p w14:paraId="39219D8F" w14:textId="77777777" w:rsidR="004E7975" w:rsidRPr="006524DF" w:rsidRDefault="004E7975" w:rsidP="001C0A2A">
            <w:pPr>
              <w:jc w:val="left"/>
              <w:rPr>
                <w:b/>
                <w:bCs/>
                <w:color w:val="000000"/>
                <w:sz w:val="20"/>
                <w:szCs w:val="20"/>
                <w:lang w:val="en-US"/>
              </w:rPr>
            </w:pPr>
          </w:p>
        </w:tc>
        <w:tc>
          <w:tcPr>
            <w:tcW w:w="784" w:type="pct"/>
            <w:tcBorders>
              <w:top w:val="nil"/>
              <w:left w:val="nil"/>
              <w:bottom w:val="single" w:sz="4" w:space="0" w:color="auto"/>
              <w:right w:val="single" w:sz="4" w:space="0" w:color="auto"/>
            </w:tcBorders>
            <w:shd w:val="clear" w:color="auto" w:fill="auto"/>
            <w:vAlign w:val="center"/>
            <w:hideMark/>
          </w:tcPr>
          <w:p w14:paraId="59A64E9D" w14:textId="379470E0" w:rsidR="004E7975" w:rsidRPr="00AF297F" w:rsidRDefault="00AF297F" w:rsidP="00BE6D2B">
            <w:pPr>
              <w:jc w:val="center"/>
              <w:rPr>
                <w:b/>
                <w:bCs/>
                <w:color w:val="000000"/>
                <w:sz w:val="20"/>
                <w:szCs w:val="20"/>
                <w:lang w:val="en-US"/>
              </w:rPr>
            </w:pPr>
            <w:r w:rsidRPr="00AF297F">
              <w:rPr>
                <w:b/>
                <w:bCs/>
                <w:color w:val="000000"/>
                <w:sz w:val="20"/>
                <w:szCs w:val="20"/>
                <w:lang w:val="fr-FR"/>
              </w:rPr>
              <w:t>Approuvé</w:t>
            </w:r>
            <w:r w:rsidR="00497DD3">
              <w:rPr>
                <w:b/>
                <w:bCs/>
                <w:color w:val="000000"/>
                <w:sz w:val="20"/>
                <w:szCs w:val="20"/>
                <w:lang w:val="fr-FR"/>
              </w:rPr>
              <w:t>s</w:t>
            </w:r>
          </w:p>
        </w:tc>
        <w:tc>
          <w:tcPr>
            <w:tcW w:w="784" w:type="pct"/>
            <w:tcBorders>
              <w:top w:val="nil"/>
              <w:left w:val="nil"/>
              <w:bottom w:val="single" w:sz="4" w:space="0" w:color="auto"/>
              <w:right w:val="single" w:sz="4" w:space="0" w:color="auto"/>
            </w:tcBorders>
            <w:shd w:val="clear" w:color="auto" w:fill="auto"/>
            <w:vAlign w:val="center"/>
            <w:hideMark/>
          </w:tcPr>
          <w:p w14:paraId="5C22CACE" w14:textId="263E5F1D" w:rsidR="004E7975" w:rsidRPr="00AF297F" w:rsidRDefault="00AF297F" w:rsidP="00BE6D2B">
            <w:pPr>
              <w:jc w:val="center"/>
              <w:rPr>
                <w:b/>
                <w:bCs/>
                <w:color w:val="000000"/>
                <w:sz w:val="20"/>
                <w:szCs w:val="20"/>
                <w:lang w:val="en-US"/>
              </w:rPr>
            </w:pPr>
            <w:r w:rsidRPr="00AF297F">
              <w:rPr>
                <w:b/>
                <w:bCs/>
                <w:color w:val="000000"/>
                <w:sz w:val="20"/>
                <w:szCs w:val="20"/>
                <w:lang w:val="fr-FR"/>
              </w:rPr>
              <w:t>Décaissé</w:t>
            </w:r>
            <w:r w:rsidR="00497DD3">
              <w:rPr>
                <w:b/>
                <w:bCs/>
                <w:color w:val="000000"/>
                <w:sz w:val="20"/>
                <w:szCs w:val="20"/>
                <w:lang w:val="fr-FR"/>
              </w:rPr>
              <w:t>s</w:t>
            </w:r>
          </w:p>
        </w:tc>
        <w:tc>
          <w:tcPr>
            <w:tcW w:w="784" w:type="pct"/>
            <w:tcBorders>
              <w:top w:val="nil"/>
              <w:left w:val="nil"/>
              <w:bottom w:val="single" w:sz="4" w:space="0" w:color="auto"/>
              <w:right w:val="single" w:sz="4" w:space="0" w:color="auto"/>
            </w:tcBorders>
            <w:shd w:val="clear" w:color="auto" w:fill="auto"/>
            <w:vAlign w:val="center"/>
            <w:hideMark/>
          </w:tcPr>
          <w:p w14:paraId="3DCB1EA6" w14:textId="719A18C7" w:rsidR="004E7975" w:rsidRPr="00AF297F" w:rsidRDefault="00AF297F" w:rsidP="00BE6D2B">
            <w:pPr>
              <w:jc w:val="center"/>
              <w:rPr>
                <w:b/>
                <w:bCs/>
                <w:color w:val="000000"/>
                <w:sz w:val="20"/>
                <w:szCs w:val="20"/>
                <w:lang w:val="en-US"/>
              </w:rPr>
            </w:pPr>
            <w:r w:rsidRPr="00AF297F">
              <w:rPr>
                <w:b/>
                <w:bCs/>
                <w:color w:val="000000"/>
                <w:sz w:val="20"/>
                <w:szCs w:val="20"/>
                <w:lang w:val="fr-FR"/>
              </w:rPr>
              <w:t>Approuvé</w:t>
            </w:r>
            <w:r w:rsidR="00497DD3">
              <w:rPr>
                <w:b/>
                <w:bCs/>
                <w:color w:val="000000"/>
                <w:sz w:val="20"/>
                <w:szCs w:val="20"/>
                <w:lang w:val="fr-FR"/>
              </w:rPr>
              <w:t>e</w:t>
            </w:r>
          </w:p>
        </w:tc>
        <w:tc>
          <w:tcPr>
            <w:tcW w:w="784" w:type="pct"/>
            <w:tcBorders>
              <w:top w:val="nil"/>
              <w:left w:val="nil"/>
              <w:bottom w:val="single" w:sz="4" w:space="0" w:color="auto"/>
              <w:right w:val="single" w:sz="4" w:space="0" w:color="auto"/>
            </w:tcBorders>
            <w:shd w:val="clear" w:color="auto" w:fill="auto"/>
            <w:vAlign w:val="center"/>
            <w:hideMark/>
          </w:tcPr>
          <w:p w14:paraId="346389AB" w14:textId="30AEF168" w:rsidR="004E7975" w:rsidRPr="00AF297F" w:rsidRDefault="00AF297F" w:rsidP="00BE6D2B">
            <w:pPr>
              <w:jc w:val="center"/>
              <w:rPr>
                <w:b/>
                <w:bCs/>
                <w:color w:val="000000"/>
                <w:sz w:val="20"/>
                <w:szCs w:val="20"/>
                <w:lang w:val="en-US"/>
              </w:rPr>
            </w:pPr>
            <w:r w:rsidRPr="00AF297F">
              <w:rPr>
                <w:b/>
                <w:bCs/>
                <w:color w:val="000000"/>
                <w:sz w:val="20"/>
                <w:szCs w:val="20"/>
                <w:lang w:val="fr-FR"/>
              </w:rPr>
              <w:t>Réelle</w:t>
            </w:r>
          </w:p>
        </w:tc>
        <w:tc>
          <w:tcPr>
            <w:tcW w:w="920" w:type="pct"/>
            <w:vMerge/>
            <w:tcBorders>
              <w:top w:val="single" w:sz="4" w:space="0" w:color="auto"/>
              <w:left w:val="single" w:sz="4" w:space="0" w:color="auto"/>
              <w:bottom w:val="single" w:sz="4" w:space="0" w:color="auto"/>
              <w:right w:val="single" w:sz="4" w:space="0" w:color="auto"/>
            </w:tcBorders>
            <w:vAlign w:val="center"/>
            <w:hideMark/>
          </w:tcPr>
          <w:p w14:paraId="69A523E9" w14:textId="77777777" w:rsidR="004E7975" w:rsidRPr="00765981" w:rsidRDefault="004E7975" w:rsidP="001C0A2A">
            <w:pPr>
              <w:jc w:val="left"/>
              <w:rPr>
                <w:b/>
                <w:bCs/>
                <w:color w:val="000000"/>
                <w:sz w:val="20"/>
                <w:szCs w:val="20"/>
                <w:lang w:val="en-US"/>
              </w:rPr>
            </w:pPr>
          </w:p>
        </w:tc>
      </w:tr>
      <w:tr w:rsidR="00AF297F" w:rsidRPr="006524DF" w14:paraId="749A152C" w14:textId="77777777" w:rsidTr="00676C3E">
        <w:tc>
          <w:tcPr>
            <w:tcW w:w="943" w:type="pct"/>
            <w:tcBorders>
              <w:top w:val="nil"/>
              <w:left w:val="single" w:sz="4" w:space="0" w:color="auto"/>
              <w:bottom w:val="single" w:sz="4" w:space="0" w:color="auto"/>
              <w:right w:val="single" w:sz="4" w:space="0" w:color="auto"/>
            </w:tcBorders>
            <w:shd w:val="clear" w:color="auto" w:fill="auto"/>
            <w:noWrap/>
            <w:vAlign w:val="bottom"/>
          </w:tcPr>
          <w:p w14:paraId="069B1B60" w14:textId="5CD0D638" w:rsidR="00200F77" w:rsidRPr="00AF297F" w:rsidRDefault="00AF297F" w:rsidP="00BE6D2B">
            <w:pPr>
              <w:jc w:val="left"/>
              <w:rPr>
                <w:color w:val="000000"/>
                <w:sz w:val="20"/>
                <w:szCs w:val="20"/>
                <w:lang w:val="en-US"/>
              </w:rPr>
            </w:pPr>
            <w:r w:rsidRPr="00AF297F">
              <w:rPr>
                <w:color w:val="000000"/>
                <w:sz w:val="20"/>
                <w:szCs w:val="20"/>
                <w:lang w:val="fr-FR"/>
              </w:rPr>
              <w:t>PNUD</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0775F3E4" w14:textId="7CE7B48B" w:rsidR="00200F77" w:rsidRPr="006524DF" w:rsidRDefault="00200F77" w:rsidP="00200F77">
            <w:pPr>
              <w:widowControl w:val="0"/>
              <w:jc w:val="right"/>
              <w:rPr>
                <w:bCs/>
                <w:color w:val="000000"/>
                <w:sz w:val="20"/>
                <w:szCs w:val="20"/>
                <w:lang w:val="en-US"/>
              </w:rPr>
            </w:pPr>
            <w:r w:rsidRPr="006524DF">
              <w:rPr>
                <w:bCs/>
                <w:color w:val="000000"/>
                <w:sz w:val="20"/>
                <w:szCs w:val="20"/>
                <w:lang w:val="en-US"/>
              </w:rPr>
              <w:t>9</w:t>
            </w:r>
            <w:r w:rsidR="005A0776">
              <w:rPr>
                <w:bCs/>
                <w:color w:val="000000"/>
                <w:sz w:val="20"/>
                <w:szCs w:val="20"/>
                <w:lang w:val="en-US"/>
              </w:rPr>
              <w:t> </w:t>
            </w:r>
            <w:r w:rsidRPr="006524DF">
              <w:rPr>
                <w:bCs/>
                <w:color w:val="000000"/>
                <w:sz w:val="20"/>
                <w:szCs w:val="20"/>
                <w:lang w:val="en-US"/>
              </w:rPr>
              <w:t>441</w:t>
            </w:r>
            <w:r w:rsidR="005A0776">
              <w:rPr>
                <w:bCs/>
                <w:color w:val="000000"/>
                <w:sz w:val="20"/>
                <w:szCs w:val="20"/>
                <w:lang w:val="en-US"/>
              </w:rPr>
              <w:t> </w:t>
            </w:r>
            <w:r w:rsidRPr="006524DF">
              <w:rPr>
                <w:bCs/>
                <w:color w:val="000000"/>
                <w:sz w:val="20"/>
                <w:szCs w:val="20"/>
                <w:lang w:val="en-US"/>
              </w:rPr>
              <w:t>674</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center"/>
          </w:tcPr>
          <w:p w14:paraId="531A2647" w14:textId="1722E04A" w:rsidR="00200F77" w:rsidRPr="006524DF" w:rsidRDefault="00200F77" w:rsidP="00200F77">
            <w:pPr>
              <w:widowControl w:val="0"/>
              <w:jc w:val="right"/>
              <w:rPr>
                <w:bCs/>
                <w:color w:val="000000"/>
                <w:sz w:val="20"/>
                <w:szCs w:val="20"/>
                <w:lang w:val="en-US"/>
              </w:rPr>
            </w:pPr>
            <w:r w:rsidRPr="006524DF">
              <w:rPr>
                <w:bCs/>
                <w:color w:val="000000"/>
                <w:sz w:val="20"/>
                <w:szCs w:val="20"/>
                <w:lang w:val="en-US"/>
              </w:rPr>
              <w:t>7</w:t>
            </w:r>
            <w:r w:rsidR="005A0776">
              <w:rPr>
                <w:bCs/>
                <w:color w:val="000000"/>
                <w:sz w:val="20"/>
                <w:szCs w:val="20"/>
                <w:lang w:val="en-US"/>
              </w:rPr>
              <w:t> </w:t>
            </w:r>
            <w:r w:rsidRPr="006524DF">
              <w:rPr>
                <w:bCs/>
                <w:color w:val="000000"/>
                <w:sz w:val="20"/>
                <w:szCs w:val="20"/>
                <w:lang w:val="en-US"/>
              </w:rPr>
              <w:t>890</w:t>
            </w:r>
            <w:r w:rsidR="005A0776">
              <w:rPr>
                <w:bCs/>
                <w:color w:val="000000"/>
                <w:sz w:val="20"/>
                <w:szCs w:val="20"/>
                <w:lang w:val="en-US"/>
              </w:rPr>
              <w:t> </w:t>
            </w:r>
            <w:r w:rsidRPr="006524DF">
              <w:rPr>
                <w:bCs/>
                <w:color w:val="000000"/>
                <w:sz w:val="20"/>
                <w:szCs w:val="20"/>
                <w:lang w:val="en-US"/>
              </w:rPr>
              <w:t>283</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2D3B5154" w14:textId="77777777" w:rsidR="00200F77" w:rsidRPr="006524DF" w:rsidRDefault="00200F77" w:rsidP="00200F77">
            <w:pPr>
              <w:widowControl w:val="0"/>
              <w:jc w:val="right"/>
              <w:rPr>
                <w:bCs/>
                <w:color w:val="000000"/>
                <w:sz w:val="20"/>
                <w:szCs w:val="20"/>
                <w:lang w:val="en-US"/>
              </w:rPr>
            </w:pPr>
            <w:r w:rsidRPr="006524DF">
              <w:rPr>
                <w:bCs/>
                <w:color w:val="000000"/>
                <w:sz w:val="20"/>
                <w:szCs w:val="20"/>
                <w:lang w:val="en-US"/>
              </w:rPr>
              <w:t>135</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57ABCDB2" w14:textId="77777777" w:rsidR="00200F77" w:rsidRPr="006524DF" w:rsidRDefault="00200F77" w:rsidP="00200F77">
            <w:pPr>
              <w:widowControl w:val="0"/>
              <w:jc w:val="right"/>
              <w:rPr>
                <w:bCs/>
                <w:color w:val="000000"/>
                <w:sz w:val="20"/>
                <w:szCs w:val="20"/>
                <w:lang w:val="en-US"/>
              </w:rPr>
            </w:pPr>
            <w:r w:rsidRPr="006524DF">
              <w:rPr>
                <w:bCs/>
                <w:color w:val="000000"/>
                <w:sz w:val="20"/>
                <w:szCs w:val="20"/>
                <w:lang w:val="en-US"/>
              </w:rPr>
              <w:t>131</w:t>
            </w:r>
          </w:p>
        </w:tc>
        <w:tc>
          <w:tcPr>
            <w:tcW w:w="920"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74FEF8C2" w14:textId="77777777" w:rsidR="00200F77" w:rsidRPr="006524DF" w:rsidRDefault="00200F77" w:rsidP="00676C3E">
            <w:pPr>
              <w:widowControl w:val="0"/>
              <w:ind w:right="240"/>
              <w:jc w:val="right"/>
              <w:rPr>
                <w:bCs/>
                <w:color w:val="000000"/>
                <w:sz w:val="20"/>
                <w:szCs w:val="20"/>
                <w:lang w:val="en-US"/>
              </w:rPr>
            </w:pPr>
            <w:r w:rsidRPr="006524DF">
              <w:rPr>
                <w:bCs/>
                <w:color w:val="000000"/>
                <w:sz w:val="20"/>
                <w:szCs w:val="20"/>
                <w:lang w:val="en-US"/>
              </w:rPr>
              <w:t>0</w:t>
            </w:r>
          </w:p>
        </w:tc>
      </w:tr>
      <w:tr w:rsidR="00AF297F" w:rsidRPr="006524DF" w14:paraId="5494C5A7" w14:textId="77777777" w:rsidTr="00676C3E">
        <w:tc>
          <w:tcPr>
            <w:tcW w:w="943" w:type="pct"/>
            <w:tcBorders>
              <w:top w:val="nil"/>
              <w:left w:val="single" w:sz="4" w:space="0" w:color="auto"/>
              <w:bottom w:val="single" w:sz="4" w:space="0" w:color="auto"/>
              <w:right w:val="single" w:sz="4" w:space="0" w:color="auto"/>
            </w:tcBorders>
            <w:shd w:val="clear" w:color="auto" w:fill="auto"/>
            <w:noWrap/>
            <w:vAlign w:val="bottom"/>
            <w:hideMark/>
          </w:tcPr>
          <w:p w14:paraId="562B2C00" w14:textId="50BECB34" w:rsidR="00200F77" w:rsidRPr="00AF297F" w:rsidRDefault="00AF297F" w:rsidP="00BE6D2B">
            <w:pPr>
              <w:jc w:val="left"/>
              <w:rPr>
                <w:color w:val="000000"/>
                <w:sz w:val="20"/>
                <w:szCs w:val="20"/>
                <w:lang w:val="en-US"/>
              </w:rPr>
            </w:pPr>
            <w:r w:rsidRPr="00AF297F">
              <w:rPr>
                <w:color w:val="000000"/>
                <w:sz w:val="20"/>
                <w:szCs w:val="20"/>
                <w:lang w:val="fr-FR"/>
              </w:rPr>
              <w:t>PNUE</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5143CEF2" w14:textId="066E26B9" w:rsidR="00200F77" w:rsidRPr="006524DF" w:rsidRDefault="00200F77" w:rsidP="00200F77">
            <w:pPr>
              <w:widowControl w:val="0"/>
              <w:jc w:val="right"/>
              <w:rPr>
                <w:bCs/>
                <w:color w:val="000000"/>
                <w:sz w:val="20"/>
                <w:szCs w:val="20"/>
                <w:lang w:val="en-US"/>
              </w:rPr>
            </w:pPr>
            <w:r w:rsidRPr="006524DF">
              <w:rPr>
                <w:bCs/>
                <w:color w:val="000000"/>
                <w:sz w:val="20"/>
                <w:szCs w:val="20"/>
                <w:lang w:val="en-US"/>
              </w:rPr>
              <w:t>475</w:t>
            </w:r>
            <w:r w:rsidR="005A0776">
              <w:rPr>
                <w:bCs/>
                <w:color w:val="000000"/>
                <w:sz w:val="20"/>
                <w:szCs w:val="20"/>
                <w:lang w:val="en-US"/>
              </w:rPr>
              <w:t> </w:t>
            </w:r>
            <w:r w:rsidRPr="006524DF">
              <w:rPr>
                <w:bCs/>
                <w:color w:val="000000"/>
                <w:sz w:val="20"/>
                <w:szCs w:val="20"/>
                <w:lang w:val="en-US"/>
              </w:rPr>
              <w:t>000</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166F6AD" w14:textId="33BB227A" w:rsidR="00200F77" w:rsidRPr="006524DF" w:rsidRDefault="00200F77" w:rsidP="00200F77">
            <w:pPr>
              <w:widowControl w:val="0"/>
              <w:jc w:val="right"/>
              <w:rPr>
                <w:bCs/>
                <w:color w:val="000000"/>
                <w:sz w:val="20"/>
                <w:szCs w:val="20"/>
                <w:lang w:val="en-US"/>
              </w:rPr>
            </w:pPr>
            <w:r w:rsidRPr="006524DF">
              <w:rPr>
                <w:bCs/>
                <w:color w:val="000000"/>
                <w:sz w:val="20"/>
                <w:szCs w:val="20"/>
                <w:lang w:val="en-US"/>
              </w:rPr>
              <w:t>438</w:t>
            </w:r>
            <w:r w:rsidR="005A0776">
              <w:rPr>
                <w:bCs/>
                <w:color w:val="000000"/>
                <w:sz w:val="20"/>
                <w:szCs w:val="20"/>
                <w:lang w:val="en-US"/>
              </w:rPr>
              <w:t> </w:t>
            </w:r>
            <w:r w:rsidRPr="006524DF">
              <w:rPr>
                <w:bCs/>
                <w:color w:val="000000"/>
                <w:sz w:val="20"/>
                <w:szCs w:val="20"/>
                <w:lang w:val="en-US"/>
              </w:rPr>
              <w:t>002</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56121FBE" w14:textId="77777777" w:rsidR="00200F77" w:rsidRPr="006524DF" w:rsidRDefault="00200F77" w:rsidP="00200F77">
            <w:pPr>
              <w:widowControl w:val="0"/>
              <w:jc w:val="right"/>
              <w:rPr>
                <w:bCs/>
                <w:color w:val="000000"/>
                <w:sz w:val="20"/>
                <w:szCs w:val="20"/>
                <w:lang w:val="en-US"/>
              </w:rPr>
            </w:pPr>
            <w:r w:rsidRPr="006524DF">
              <w:rPr>
                <w:bCs/>
                <w:color w:val="000000"/>
                <w:sz w:val="20"/>
                <w:szCs w:val="20"/>
                <w:lang w:val="en-US"/>
              </w:rPr>
              <w:t>5.8</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10588E26" w14:textId="77777777" w:rsidR="00200F77" w:rsidRPr="006524DF" w:rsidRDefault="00200F77" w:rsidP="00200F77">
            <w:pPr>
              <w:widowControl w:val="0"/>
              <w:jc w:val="right"/>
              <w:rPr>
                <w:bCs/>
                <w:color w:val="000000"/>
                <w:sz w:val="20"/>
                <w:szCs w:val="20"/>
                <w:lang w:val="en-US"/>
              </w:rPr>
            </w:pPr>
            <w:r w:rsidRPr="006524DF">
              <w:rPr>
                <w:bCs/>
                <w:color w:val="000000"/>
                <w:sz w:val="20"/>
                <w:szCs w:val="20"/>
                <w:lang w:val="en-US"/>
              </w:rPr>
              <w:t>2.9</w:t>
            </w:r>
          </w:p>
        </w:tc>
        <w:tc>
          <w:tcPr>
            <w:tcW w:w="920" w:type="pct"/>
            <w:tcBorders>
              <w:top w:val="nil"/>
              <w:left w:val="nil"/>
              <w:bottom w:val="single" w:sz="4" w:space="0" w:color="auto"/>
              <w:right w:val="single" w:sz="4" w:space="0" w:color="auto"/>
            </w:tcBorders>
            <w:shd w:val="clear" w:color="auto" w:fill="auto"/>
            <w:noWrap/>
            <w:tcMar>
              <w:left w:w="115" w:type="dxa"/>
              <w:right w:w="202" w:type="dxa"/>
            </w:tcMar>
            <w:vAlign w:val="bottom"/>
            <w:hideMark/>
          </w:tcPr>
          <w:p w14:paraId="3051FE47" w14:textId="77777777" w:rsidR="00200F77" w:rsidRPr="006524DF" w:rsidRDefault="00200F77" w:rsidP="00676C3E">
            <w:pPr>
              <w:widowControl w:val="0"/>
              <w:ind w:right="240"/>
              <w:jc w:val="right"/>
              <w:rPr>
                <w:bCs/>
                <w:color w:val="000000"/>
                <w:sz w:val="20"/>
                <w:szCs w:val="20"/>
                <w:lang w:val="en-US"/>
              </w:rPr>
            </w:pPr>
            <w:r w:rsidRPr="006524DF">
              <w:rPr>
                <w:bCs/>
                <w:color w:val="000000"/>
                <w:sz w:val="20"/>
                <w:szCs w:val="20"/>
                <w:lang w:val="en-US"/>
              </w:rPr>
              <w:t>0</w:t>
            </w:r>
          </w:p>
        </w:tc>
      </w:tr>
      <w:tr w:rsidR="00AF297F" w:rsidRPr="006524DF" w14:paraId="6343FDAC" w14:textId="77777777" w:rsidTr="00676C3E">
        <w:tc>
          <w:tcPr>
            <w:tcW w:w="943" w:type="pct"/>
            <w:tcBorders>
              <w:top w:val="nil"/>
              <w:left w:val="single" w:sz="4" w:space="0" w:color="auto"/>
              <w:bottom w:val="single" w:sz="4" w:space="0" w:color="auto"/>
              <w:right w:val="single" w:sz="4" w:space="0" w:color="auto"/>
            </w:tcBorders>
            <w:shd w:val="clear" w:color="auto" w:fill="auto"/>
            <w:noWrap/>
            <w:vAlign w:val="bottom"/>
          </w:tcPr>
          <w:p w14:paraId="164F1DC7" w14:textId="38D7ECAB" w:rsidR="00B92D93" w:rsidRPr="00AF297F" w:rsidRDefault="00AF297F" w:rsidP="00BE6D2B">
            <w:pPr>
              <w:jc w:val="left"/>
              <w:rPr>
                <w:color w:val="000000"/>
                <w:sz w:val="20"/>
                <w:szCs w:val="20"/>
                <w:lang w:val="en-US"/>
              </w:rPr>
            </w:pPr>
            <w:r w:rsidRPr="00AF297F">
              <w:rPr>
                <w:color w:val="000000"/>
                <w:sz w:val="20"/>
                <w:szCs w:val="20"/>
                <w:lang w:val="fr-FR"/>
              </w:rPr>
              <w:t>Banque mondiale</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74360C4B" w14:textId="67DCE6A6" w:rsidR="00B92D93" w:rsidRPr="006524DF" w:rsidRDefault="00B92D93" w:rsidP="00B92D93">
            <w:pPr>
              <w:widowControl w:val="0"/>
              <w:jc w:val="right"/>
              <w:rPr>
                <w:bCs/>
                <w:color w:val="000000"/>
                <w:sz w:val="20"/>
                <w:szCs w:val="20"/>
                <w:lang w:val="en-US"/>
              </w:rPr>
            </w:pPr>
            <w:r w:rsidRPr="006524DF">
              <w:rPr>
                <w:bCs/>
                <w:color w:val="000000"/>
                <w:sz w:val="20"/>
                <w:szCs w:val="20"/>
                <w:lang w:val="en-US"/>
              </w:rPr>
              <w:t>173</w:t>
            </w:r>
            <w:r w:rsidR="005A0776">
              <w:rPr>
                <w:bCs/>
                <w:color w:val="000000"/>
                <w:sz w:val="20"/>
                <w:szCs w:val="20"/>
                <w:lang w:val="en-US"/>
              </w:rPr>
              <w:t> </w:t>
            </w:r>
            <w:r w:rsidRPr="006524DF">
              <w:rPr>
                <w:bCs/>
                <w:color w:val="000000"/>
                <w:sz w:val="20"/>
                <w:szCs w:val="20"/>
                <w:lang w:val="en-US"/>
              </w:rPr>
              <w:t>500</w:t>
            </w:r>
            <w:r w:rsidR="005A0776">
              <w:rPr>
                <w:bCs/>
                <w:color w:val="000000"/>
                <w:sz w:val="20"/>
                <w:szCs w:val="20"/>
                <w:lang w:val="en-US"/>
              </w:rPr>
              <w:t> </w:t>
            </w:r>
            <w:r w:rsidRPr="006524DF">
              <w:rPr>
                <w:bCs/>
                <w:color w:val="000000"/>
                <w:sz w:val="20"/>
                <w:szCs w:val="20"/>
                <w:lang w:val="en-US"/>
              </w:rPr>
              <w:t>000</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58829181" w14:textId="5A6E8ABD" w:rsidR="00B92D93" w:rsidRPr="006524DF" w:rsidRDefault="00B92D93" w:rsidP="00B92D93">
            <w:pPr>
              <w:widowControl w:val="0"/>
              <w:jc w:val="right"/>
              <w:rPr>
                <w:bCs/>
                <w:color w:val="000000"/>
                <w:sz w:val="20"/>
                <w:szCs w:val="20"/>
                <w:lang w:val="en-US"/>
              </w:rPr>
            </w:pPr>
            <w:r w:rsidRPr="006524DF">
              <w:rPr>
                <w:bCs/>
                <w:color w:val="000000"/>
                <w:sz w:val="20"/>
                <w:szCs w:val="20"/>
                <w:lang w:val="en-US"/>
              </w:rPr>
              <w:t>173</w:t>
            </w:r>
            <w:r w:rsidR="005A0776">
              <w:rPr>
                <w:bCs/>
                <w:color w:val="000000"/>
                <w:sz w:val="20"/>
                <w:szCs w:val="20"/>
                <w:lang w:val="en-US"/>
              </w:rPr>
              <w:t> </w:t>
            </w:r>
            <w:r w:rsidRPr="006524DF">
              <w:rPr>
                <w:bCs/>
                <w:color w:val="000000"/>
                <w:sz w:val="20"/>
                <w:szCs w:val="20"/>
                <w:lang w:val="en-US"/>
              </w:rPr>
              <w:t>500</w:t>
            </w:r>
            <w:r w:rsidR="005A0776">
              <w:rPr>
                <w:bCs/>
                <w:color w:val="000000"/>
                <w:sz w:val="20"/>
                <w:szCs w:val="20"/>
                <w:lang w:val="en-US"/>
              </w:rPr>
              <w:t> </w:t>
            </w:r>
            <w:r w:rsidRPr="006524DF">
              <w:rPr>
                <w:bCs/>
                <w:color w:val="000000"/>
                <w:sz w:val="20"/>
                <w:szCs w:val="20"/>
                <w:lang w:val="en-US"/>
              </w:rPr>
              <w:t>000</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2414F03C" w14:textId="27801F3A" w:rsidR="00B92D93" w:rsidRPr="006524DF" w:rsidRDefault="00B92D93" w:rsidP="00B92D93">
            <w:pPr>
              <w:widowControl w:val="0"/>
              <w:jc w:val="right"/>
              <w:rPr>
                <w:bCs/>
                <w:color w:val="000000"/>
                <w:sz w:val="20"/>
                <w:szCs w:val="20"/>
                <w:lang w:val="en-US"/>
              </w:rPr>
            </w:pPr>
            <w:r w:rsidRPr="006524DF">
              <w:rPr>
                <w:bCs/>
                <w:color w:val="000000"/>
                <w:sz w:val="20"/>
                <w:szCs w:val="20"/>
                <w:lang w:val="en-US"/>
              </w:rPr>
              <w:t>124</w:t>
            </w:r>
            <w:r w:rsidR="005A0776">
              <w:rPr>
                <w:bCs/>
                <w:color w:val="000000"/>
                <w:sz w:val="20"/>
                <w:szCs w:val="20"/>
                <w:lang w:val="en-US"/>
              </w:rPr>
              <w:t> </w:t>
            </w:r>
            <w:r w:rsidRPr="006524DF">
              <w:rPr>
                <w:bCs/>
                <w:color w:val="000000"/>
                <w:sz w:val="20"/>
                <w:szCs w:val="20"/>
                <w:lang w:val="en-US"/>
              </w:rPr>
              <w:t>741</w:t>
            </w:r>
            <w:r w:rsidR="006573FE" w:rsidRPr="006524DF">
              <w:rPr>
                <w:bCs/>
                <w:color w:val="000000"/>
                <w:sz w:val="20"/>
                <w:szCs w:val="20"/>
                <w:lang w:val="en-US"/>
              </w:rPr>
              <w:t>*</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5250F6A0" w14:textId="5D25D5E8" w:rsidR="00B92D93" w:rsidRPr="006524DF" w:rsidRDefault="00B92D93" w:rsidP="00B92D93">
            <w:pPr>
              <w:widowControl w:val="0"/>
              <w:jc w:val="right"/>
              <w:rPr>
                <w:bCs/>
                <w:color w:val="000000"/>
                <w:sz w:val="20"/>
                <w:szCs w:val="20"/>
                <w:lang w:val="en-US"/>
              </w:rPr>
            </w:pPr>
            <w:r w:rsidRPr="006524DF">
              <w:rPr>
                <w:bCs/>
                <w:color w:val="000000"/>
                <w:sz w:val="20"/>
                <w:szCs w:val="20"/>
                <w:lang w:val="en-US"/>
              </w:rPr>
              <w:t>144</w:t>
            </w:r>
            <w:r w:rsidR="005A0776">
              <w:rPr>
                <w:bCs/>
                <w:color w:val="000000"/>
                <w:sz w:val="20"/>
                <w:szCs w:val="20"/>
                <w:lang w:val="en-US"/>
              </w:rPr>
              <w:t> </w:t>
            </w:r>
            <w:r w:rsidRPr="006524DF">
              <w:rPr>
                <w:bCs/>
                <w:color w:val="000000"/>
                <w:sz w:val="20"/>
                <w:szCs w:val="20"/>
                <w:lang w:val="en-US"/>
              </w:rPr>
              <w:t>599</w:t>
            </w:r>
            <w:r w:rsidR="006573FE" w:rsidRPr="006524DF">
              <w:rPr>
                <w:bCs/>
                <w:color w:val="000000"/>
                <w:sz w:val="20"/>
                <w:szCs w:val="20"/>
                <w:lang w:val="en-US"/>
              </w:rPr>
              <w:t>*</w:t>
            </w:r>
          </w:p>
        </w:tc>
        <w:tc>
          <w:tcPr>
            <w:tcW w:w="920"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0712473F" w14:textId="77777777" w:rsidR="00B92D93" w:rsidRPr="006524DF" w:rsidRDefault="00B92D93" w:rsidP="00676C3E">
            <w:pPr>
              <w:widowControl w:val="0"/>
              <w:ind w:right="240"/>
              <w:jc w:val="right"/>
              <w:rPr>
                <w:bCs/>
                <w:color w:val="000000"/>
                <w:sz w:val="20"/>
                <w:szCs w:val="20"/>
                <w:lang w:val="en-US"/>
              </w:rPr>
            </w:pPr>
            <w:r w:rsidRPr="006524DF">
              <w:rPr>
                <w:bCs/>
                <w:color w:val="000000"/>
                <w:sz w:val="20"/>
                <w:szCs w:val="20"/>
                <w:lang w:val="en-US"/>
              </w:rPr>
              <w:t>11</w:t>
            </w:r>
          </w:p>
        </w:tc>
      </w:tr>
      <w:tr w:rsidR="00AF297F" w:rsidRPr="006524DF" w14:paraId="602A749E" w14:textId="77777777" w:rsidTr="00676C3E">
        <w:tc>
          <w:tcPr>
            <w:tcW w:w="943" w:type="pct"/>
            <w:tcBorders>
              <w:top w:val="nil"/>
              <w:left w:val="single" w:sz="4" w:space="0" w:color="auto"/>
              <w:bottom w:val="single" w:sz="4" w:space="0" w:color="auto"/>
              <w:right w:val="single" w:sz="4" w:space="0" w:color="auto"/>
            </w:tcBorders>
            <w:shd w:val="clear" w:color="auto" w:fill="auto"/>
            <w:noWrap/>
            <w:vAlign w:val="bottom"/>
            <w:hideMark/>
          </w:tcPr>
          <w:p w14:paraId="6A6F8C08" w14:textId="4950F94B" w:rsidR="00200F77" w:rsidRPr="00AF297F" w:rsidRDefault="00AF297F" w:rsidP="00BE6D2B">
            <w:pPr>
              <w:jc w:val="left"/>
              <w:rPr>
                <w:b/>
                <w:bCs/>
                <w:color w:val="000000"/>
                <w:sz w:val="20"/>
                <w:szCs w:val="20"/>
                <w:lang w:val="en-US"/>
              </w:rPr>
            </w:pPr>
            <w:r w:rsidRPr="00AF297F">
              <w:rPr>
                <w:b/>
                <w:bCs/>
                <w:color w:val="000000"/>
                <w:sz w:val="20"/>
                <w:szCs w:val="20"/>
                <w:lang w:val="fr-FR"/>
              </w:rPr>
              <w:t>Total général</w:t>
            </w:r>
          </w:p>
        </w:tc>
        <w:tc>
          <w:tcPr>
            <w:tcW w:w="784" w:type="pct"/>
            <w:tcBorders>
              <w:top w:val="nil"/>
              <w:left w:val="nil"/>
              <w:bottom w:val="single" w:sz="4" w:space="0" w:color="auto"/>
              <w:right w:val="single" w:sz="4" w:space="0" w:color="auto"/>
            </w:tcBorders>
            <w:shd w:val="clear" w:color="auto" w:fill="auto"/>
            <w:noWrap/>
            <w:tcMar>
              <w:left w:w="115" w:type="dxa"/>
              <w:right w:w="202" w:type="dxa"/>
            </w:tcMar>
            <w:hideMark/>
          </w:tcPr>
          <w:p w14:paraId="545BEC1E" w14:textId="275075B2" w:rsidR="00200F77" w:rsidRPr="006524DF" w:rsidRDefault="00200F77" w:rsidP="00200F77">
            <w:pPr>
              <w:jc w:val="right"/>
              <w:rPr>
                <w:b/>
                <w:bCs/>
                <w:color w:val="000000"/>
                <w:sz w:val="20"/>
                <w:szCs w:val="20"/>
                <w:lang w:val="en-US"/>
              </w:rPr>
            </w:pPr>
            <w:r w:rsidRPr="006524DF">
              <w:rPr>
                <w:b/>
                <w:bCs/>
                <w:color w:val="000000"/>
                <w:sz w:val="20"/>
                <w:szCs w:val="20"/>
                <w:lang w:val="en-US"/>
              </w:rPr>
              <w:t>183</w:t>
            </w:r>
            <w:r w:rsidR="005A0776">
              <w:rPr>
                <w:b/>
                <w:bCs/>
                <w:color w:val="000000"/>
                <w:sz w:val="20"/>
                <w:szCs w:val="20"/>
                <w:lang w:val="en-US"/>
              </w:rPr>
              <w:t> </w:t>
            </w:r>
            <w:r w:rsidRPr="006524DF">
              <w:rPr>
                <w:b/>
                <w:bCs/>
                <w:color w:val="000000"/>
                <w:sz w:val="20"/>
                <w:szCs w:val="20"/>
                <w:lang w:val="en-US"/>
              </w:rPr>
              <w:t>416</w:t>
            </w:r>
            <w:r w:rsidR="005A0776">
              <w:rPr>
                <w:b/>
                <w:bCs/>
                <w:color w:val="000000"/>
                <w:sz w:val="20"/>
                <w:szCs w:val="20"/>
                <w:lang w:val="en-US"/>
              </w:rPr>
              <w:t> </w:t>
            </w:r>
            <w:r w:rsidRPr="006524DF">
              <w:rPr>
                <w:b/>
                <w:bCs/>
                <w:color w:val="000000"/>
                <w:sz w:val="20"/>
                <w:szCs w:val="20"/>
                <w:lang w:val="en-US"/>
              </w:rPr>
              <w:t>674</w:t>
            </w:r>
          </w:p>
        </w:tc>
        <w:tc>
          <w:tcPr>
            <w:tcW w:w="784" w:type="pct"/>
            <w:tcBorders>
              <w:top w:val="nil"/>
              <w:left w:val="nil"/>
              <w:bottom w:val="single" w:sz="4" w:space="0" w:color="auto"/>
              <w:right w:val="single" w:sz="4" w:space="0" w:color="auto"/>
            </w:tcBorders>
            <w:shd w:val="clear" w:color="auto" w:fill="auto"/>
            <w:noWrap/>
            <w:tcMar>
              <w:left w:w="115" w:type="dxa"/>
              <w:right w:w="202" w:type="dxa"/>
            </w:tcMar>
            <w:hideMark/>
          </w:tcPr>
          <w:p w14:paraId="657E133D" w14:textId="3C9C497D" w:rsidR="00200F77" w:rsidRPr="006524DF" w:rsidRDefault="00200F77" w:rsidP="00200F77">
            <w:pPr>
              <w:jc w:val="right"/>
              <w:rPr>
                <w:b/>
                <w:bCs/>
                <w:color w:val="000000"/>
                <w:sz w:val="20"/>
                <w:szCs w:val="20"/>
                <w:lang w:val="en-US"/>
              </w:rPr>
            </w:pPr>
            <w:r w:rsidRPr="006524DF">
              <w:rPr>
                <w:b/>
                <w:bCs/>
                <w:color w:val="000000"/>
                <w:sz w:val="20"/>
                <w:szCs w:val="20"/>
                <w:lang w:val="en-US"/>
              </w:rPr>
              <w:t>181</w:t>
            </w:r>
            <w:r w:rsidR="005A0776">
              <w:rPr>
                <w:b/>
                <w:bCs/>
                <w:color w:val="000000"/>
                <w:sz w:val="20"/>
                <w:szCs w:val="20"/>
                <w:lang w:val="en-US"/>
              </w:rPr>
              <w:t> </w:t>
            </w:r>
            <w:r w:rsidRPr="006524DF">
              <w:rPr>
                <w:b/>
                <w:bCs/>
                <w:color w:val="000000"/>
                <w:sz w:val="20"/>
                <w:szCs w:val="20"/>
                <w:lang w:val="en-US"/>
              </w:rPr>
              <w:t>828</w:t>
            </w:r>
            <w:r w:rsidR="005A0776">
              <w:rPr>
                <w:b/>
                <w:bCs/>
                <w:color w:val="000000"/>
                <w:sz w:val="20"/>
                <w:szCs w:val="20"/>
                <w:lang w:val="en-US"/>
              </w:rPr>
              <w:t> </w:t>
            </w:r>
            <w:r w:rsidRPr="006524DF">
              <w:rPr>
                <w:b/>
                <w:bCs/>
                <w:color w:val="000000"/>
                <w:sz w:val="20"/>
                <w:szCs w:val="20"/>
                <w:lang w:val="en-US"/>
              </w:rPr>
              <w:t>285</w:t>
            </w:r>
          </w:p>
        </w:tc>
        <w:tc>
          <w:tcPr>
            <w:tcW w:w="784" w:type="pct"/>
            <w:tcBorders>
              <w:top w:val="nil"/>
              <w:left w:val="nil"/>
              <w:bottom w:val="single" w:sz="4" w:space="0" w:color="auto"/>
              <w:right w:val="single" w:sz="4" w:space="0" w:color="auto"/>
            </w:tcBorders>
            <w:shd w:val="clear" w:color="auto" w:fill="auto"/>
            <w:noWrap/>
            <w:tcMar>
              <w:left w:w="115" w:type="dxa"/>
              <w:right w:w="202" w:type="dxa"/>
            </w:tcMar>
            <w:hideMark/>
          </w:tcPr>
          <w:p w14:paraId="30B4EAEB" w14:textId="1502DE07" w:rsidR="00200F77" w:rsidRPr="006524DF" w:rsidRDefault="00200F77" w:rsidP="00200F77">
            <w:pPr>
              <w:jc w:val="right"/>
              <w:rPr>
                <w:b/>
                <w:bCs/>
                <w:color w:val="000000"/>
                <w:sz w:val="20"/>
                <w:szCs w:val="20"/>
                <w:lang w:val="en-US"/>
              </w:rPr>
            </w:pPr>
            <w:r w:rsidRPr="006524DF">
              <w:rPr>
                <w:b/>
                <w:bCs/>
                <w:color w:val="000000"/>
                <w:sz w:val="20"/>
                <w:szCs w:val="20"/>
                <w:lang w:val="en-US"/>
              </w:rPr>
              <w:t>124</w:t>
            </w:r>
            <w:r w:rsidR="005A0776">
              <w:rPr>
                <w:b/>
                <w:bCs/>
                <w:color w:val="000000"/>
                <w:sz w:val="20"/>
                <w:szCs w:val="20"/>
                <w:lang w:val="en-US"/>
              </w:rPr>
              <w:t> </w:t>
            </w:r>
            <w:r w:rsidRPr="006524DF">
              <w:rPr>
                <w:b/>
                <w:bCs/>
                <w:color w:val="000000"/>
                <w:sz w:val="20"/>
                <w:szCs w:val="20"/>
                <w:lang w:val="en-US"/>
              </w:rPr>
              <w:t>882</w:t>
            </w:r>
          </w:p>
        </w:tc>
        <w:tc>
          <w:tcPr>
            <w:tcW w:w="784" w:type="pct"/>
            <w:tcBorders>
              <w:top w:val="nil"/>
              <w:left w:val="nil"/>
              <w:bottom w:val="single" w:sz="4" w:space="0" w:color="auto"/>
              <w:right w:val="single" w:sz="4" w:space="0" w:color="auto"/>
            </w:tcBorders>
            <w:shd w:val="clear" w:color="auto" w:fill="auto"/>
            <w:noWrap/>
            <w:tcMar>
              <w:left w:w="115" w:type="dxa"/>
              <w:right w:w="202" w:type="dxa"/>
            </w:tcMar>
            <w:hideMark/>
          </w:tcPr>
          <w:p w14:paraId="27A51875" w14:textId="3BF439FC" w:rsidR="00200F77" w:rsidRPr="006524DF" w:rsidRDefault="00200F77" w:rsidP="00200F77">
            <w:pPr>
              <w:jc w:val="right"/>
              <w:rPr>
                <w:b/>
                <w:bCs/>
                <w:color w:val="000000"/>
                <w:sz w:val="20"/>
                <w:szCs w:val="20"/>
                <w:lang w:val="en-US"/>
              </w:rPr>
            </w:pPr>
            <w:r w:rsidRPr="006524DF">
              <w:rPr>
                <w:b/>
                <w:bCs/>
                <w:color w:val="000000"/>
                <w:sz w:val="20"/>
                <w:szCs w:val="20"/>
                <w:lang w:val="en-US"/>
              </w:rPr>
              <w:t>144</w:t>
            </w:r>
            <w:r w:rsidR="005A0776">
              <w:rPr>
                <w:b/>
                <w:bCs/>
                <w:color w:val="000000"/>
                <w:sz w:val="20"/>
                <w:szCs w:val="20"/>
                <w:lang w:val="en-US"/>
              </w:rPr>
              <w:t> </w:t>
            </w:r>
            <w:r w:rsidRPr="006524DF">
              <w:rPr>
                <w:b/>
                <w:bCs/>
                <w:color w:val="000000"/>
                <w:sz w:val="20"/>
                <w:szCs w:val="20"/>
                <w:lang w:val="en-US"/>
              </w:rPr>
              <w:t>733</w:t>
            </w:r>
          </w:p>
        </w:tc>
        <w:tc>
          <w:tcPr>
            <w:tcW w:w="920" w:type="pct"/>
            <w:tcBorders>
              <w:top w:val="nil"/>
              <w:left w:val="nil"/>
              <w:bottom w:val="single" w:sz="4" w:space="0" w:color="auto"/>
              <w:right w:val="single" w:sz="4" w:space="0" w:color="auto"/>
            </w:tcBorders>
            <w:shd w:val="clear" w:color="auto" w:fill="auto"/>
            <w:noWrap/>
            <w:tcMar>
              <w:left w:w="115" w:type="dxa"/>
              <w:right w:w="202" w:type="dxa"/>
            </w:tcMar>
            <w:hideMark/>
          </w:tcPr>
          <w:p w14:paraId="03A8073D" w14:textId="05273EF1" w:rsidR="00200F77" w:rsidRPr="006524DF" w:rsidRDefault="00200F77" w:rsidP="005A0776">
            <w:pPr>
              <w:ind w:right="240"/>
              <w:jc w:val="right"/>
              <w:rPr>
                <w:b/>
                <w:bCs/>
                <w:color w:val="000000"/>
                <w:sz w:val="20"/>
                <w:szCs w:val="20"/>
                <w:lang w:val="en-US"/>
              </w:rPr>
            </w:pPr>
            <w:r w:rsidRPr="006524DF">
              <w:rPr>
                <w:b/>
                <w:bCs/>
                <w:color w:val="000000"/>
                <w:sz w:val="20"/>
                <w:szCs w:val="20"/>
                <w:lang w:val="en-US"/>
              </w:rPr>
              <w:t>6</w:t>
            </w:r>
            <w:r w:rsidR="005A0776">
              <w:rPr>
                <w:b/>
                <w:bCs/>
                <w:color w:val="000000"/>
                <w:sz w:val="20"/>
                <w:szCs w:val="20"/>
                <w:lang w:val="en-US"/>
              </w:rPr>
              <w:t>,</w:t>
            </w:r>
            <w:r w:rsidRPr="006524DF">
              <w:rPr>
                <w:b/>
                <w:bCs/>
                <w:color w:val="000000"/>
                <w:sz w:val="20"/>
                <w:szCs w:val="20"/>
                <w:lang w:val="en-US"/>
              </w:rPr>
              <w:t>6</w:t>
            </w:r>
          </w:p>
        </w:tc>
      </w:tr>
    </w:tbl>
    <w:p w14:paraId="57C8B9D9" w14:textId="09308846" w:rsidR="00222C40" w:rsidRPr="00A44B75" w:rsidRDefault="00AF297F" w:rsidP="00AF297F">
      <w:pPr>
        <w:widowControl w:val="0"/>
        <w:spacing w:after="240"/>
        <w:rPr>
          <w:sz w:val="20"/>
          <w:szCs w:val="20"/>
          <w:lang w:val="fr-FR"/>
        </w:rPr>
      </w:pPr>
      <w:r w:rsidRPr="00AF297F">
        <w:rPr>
          <w:sz w:val="20"/>
          <w:szCs w:val="20"/>
          <w:lang w:val="fr-FR"/>
        </w:rPr>
        <w:t>* L</w:t>
      </w:r>
      <w:r w:rsidR="005A0776">
        <w:rPr>
          <w:sz w:val="20"/>
          <w:szCs w:val="20"/>
          <w:lang w:val="fr-FR"/>
        </w:rPr>
        <w:t>’</w:t>
      </w:r>
      <w:r w:rsidRPr="00AF297F">
        <w:rPr>
          <w:sz w:val="20"/>
          <w:szCs w:val="20"/>
          <w:lang w:val="fr-FR"/>
        </w:rPr>
        <w:t>élimination totale indiquée pour la Banque mondiale comprend une élimination de la production dont</w:t>
      </w:r>
      <w:r w:rsidR="005A0776">
        <w:rPr>
          <w:sz w:val="20"/>
          <w:szCs w:val="20"/>
          <w:lang w:val="fr-FR"/>
        </w:rPr>
        <w:t> </w:t>
      </w:r>
      <w:r w:rsidRPr="00AF297F">
        <w:rPr>
          <w:sz w:val="20"/>
          <w:szCs w:val="20"/>
          <w:lang w:val="fr-FR"/>
        </w:rPr>
        <w:t>82</w:t>
      </w:r>
      <w:r w:rsidR="0021415D">
        <w:rPr>
          <w:sz w:val="20"/>
          <w:szCs w:val="20"/>
          <w:lang w:val="fr-FR"/>
        </w:rPr>
        <w:t> </w:t>
      </w:r>
      <w:r w:rsidRPr="00AF297F">
        <w:rPr>
          <w:sz w:val="20"/>
          <w:szCs w:val="20"/>
          <w:lang w:val="fr-FR"/>
        </w:rPr>
        <w:t>222</w:t>
      </w:r>
      <w:r w:rsidR="0021415D">
        <w:rPr>
          <w:sz w:val="20"/>
          <w:szCs w:val="20"/>
          <w:lang w:val="fr-FR"/>
        </w:rPr>
        <w:t> </w:t>
      </w:r>
      <w:r w:rsidRPr="00AF297F">
        <w:rPr>
          <w:sz w:val="20"/>
          <w:szCs w:val="20"/>
          <w:lang w:val="fr-FR"/>
        </w:rPr>
        <w:t>tonnes PAO approuvées et 93 799 tonnes PAO réelles, respectivement éliminées.</w:t>
      </w:r>
    </w:p>
    <w:p w14:paraId="4A8E9B9D" w14:textId="6729BBFF" w:rsidR="00222C40" w:rsidRPr="00A44B75" w:rsidRDefault="00AF297F" w:rsidP="0021415D">
      <w:pPr>
        <w:widowControl w:val="0"/>
        <w:spacing w:after="120"/>
        <w:rPr>
          <w:b/>
          <w:szCs w:val="20"/>
          <w:lang w:val="fr-FR"/>
        </w:rPr>
      </w:pPr>
      <w:r w:rsidRPr="00AF297F">
        <w:rPr>
          <w:b/>
          <w:szCs w:val="20"/>
          <w:lang w:val="fr-FR"/>
        </w:rPr>
        <w:t>Raisons des retards</w:t>
      </w:r>
    </w:p>
    <w:p w14:paraId="5BF4B172" w14:textId="0D91E1CA" w:rsidR="00C64E51" w:rsidRPr="00A44B75" w:rsidRDefault="00AF297F" w:rsidP="0021415D">
      <w:pPr>
        <w:spacing w:after="120"/>
        <w:rPr>
          <w:u w:val="single"/>
          <w:shd w:val="clear" w:color="auto" w:fill="FFFFFF"/>
          <w:lang w:val="fr-FR"/>
        </w:rPr>
      </w:pPr>
      <w:r w:rsidRPr="00AF297F">
        <w:rPr>
          <w:u w:val="single"/>
          <w:shd w:val="clear" w:color="auto" w:fill="FFFFFF"/>
          <w:lang w:val="fr-FR"/>
        </w:rPr>
        <w:t>Plans de gestion de l</w:t>
      </w:r>
      <w:r w:rsidR="005A0776">
        <w:rPr>
          <w:u w:val="single"/>
          <w:shd w:val="clear" w:color="auto" w:fill="FFFFFF"/>
          <w:lang w:val="fr-FR"/>
        </w:rPr>
        <w:t>’</w:t>
      </w:r>
      <w:r w:rsidRPr="00AF297F">
        <w:rPr>
          <w:u w:val="single"/>
          <w:shd w:val="clear" w:color="auto" w:fill="FFFFFF"/>
          <w:lang w:val="fr-FR"/>
        </w:rPr>
        <w:t>élimination des HCFC (PGEH) </w:t>
      </w:r>
    </w:p>
    <w:p w14:paraId="07C0E458" w14:textId="7E4E41C3" w:rsidR="00AF297F" w:rsidRPr="00A44B75" w:rsidRDefault="00AF297F" w:rsidP="00AF297F">
      <w:pPr>
        <w:pStyle w:val="Heading1"/>
        <w:widowControl w:val="0"/>
        <w:spacing w:before="240"/>
        <w:rPr>
          <w:vanish/>
          <w:lang w:val="fr-FR"/>
        </w:rPr>
      </w:pPr>
      <w:r w:rsidRPr="00AF297F">
        <w:rPr>
          <w:shd w:val="clear" w:color="auto" w:fill="FFFFFF"/>
          <w:lang w:val="fr-FR"/>
        </w:rPr>
        <w:t>Des problèmes administratifs, tels que des retards dans la signature de l</w:t>
      </w:r>
      <w:r w:rsidR="005A0776">
        <w:rPr>
          <w:shd w:val="clear" w:color="auto" w:fill="FFFFFF"/>
          <w:lang w:val="fr-FR"/>
        </w:rPr>
        <w:t>’</w:t>
      </w:r>
      <w:r w:rsidRPr="00AF297F">
        <w:rPr>
          <w:shd w:val="clear" w:color="auto" w:fill="FFFFFF"/>
          <w:lang w:val="fr-FR"/>
        </w:rPr>
        <w:t>accord, les longs processus administratifs pour l</w:t>
      </w:r>
      <w:r w:rsidR="005A0776">
        <w:rPr>
          <w:shd w:val="clear" w:color="auto" w:fill="FFFFFF"/>
          <w:lang w:val="fr-FR"/>
        </w:rPr>
        <w:t>’</w:t>
      </w:r>
      <w:r w:rsidRPr="00AF297F">
        <w:rPr>
          <w:shd w:val="clear" w:color="auto" w:fill="FFFFFF"/>
          <w:lang w:val="fr-FR"/>
        </w:rPr>
        <w:t xml:space="preserve">approbation de certains projets et leur enregistrement </w:t>
      </w:r>
      <w:r w:rsidR="00497DD3">
        <w:rPr>
          <w:shd w:val="clear" w:color="auto" w:fill="FFFFFF"/>
          <w:lang w:val="fr-FR"/>
        </w:rPr>
        <w:t>auprès des</w:t>
      </w:r>
      <w:r w:rsidRPr="00AF297F">
        <w:rPr>
          <w:shd w:val="clear" w:color="auto" w:fill="FFFFFF"/>
          <w:lang w:val="fr-FR"/>
        </w:rPr>
        <w:t xml:space="preserve"> ministères concernés</w:t>
      </w:r>
      <w:r w:rsidR="00497DD3">
        <w:rPr>
          <w:shd w:val="clear" w:color="auto" w:fill="FFFFFF"/>
          <w:lang w:val="fr-FR"/>
        </w:rPr>
        <w:t>,</w:t>
      </w:r>
      <w:r w:rsidRPr="00AF297F">
        <w:rPr>
          <w:shd w:val="clear" w:color="auto" w:fill="FFFFFF"/>
          <w:lang w:val="fr-FR"/>
        </w:rPr>
        <w:t xml:space="preserve"> étaient des raisons de retards fréquemment indiquées.</w:t>
      </w:r>
      <w:r w:rsidRPr="00A44B75">
        <w:rPr>
          <w:lang w:val="fr-FR"/>
        </w:rPr>
        <w:t xml:space="preserve"> </w:t>
      </w:r>
      <w:r w:rsidRPr="00AF297F">
        <w:rPr>
          <w:lang w:val="fr-FR"/>
        </w:rPr>
        <w:t>Dans la région Asie-Pacifique, le problème a été résolu grâce à la dotation rapide en personnel de l</w:t>
      </w:r>
      <w:r w:rsidR="005A0776">
        <w:rPr>
          <w:lang w:val="fr-FR"/>
        </w:rPr>
        <w:t>’</w:t>
      </w:r>
      <w:r w:rsidRPr="00AF297F">
        <w:rPr>
          <w:lang w:val="fr-FR"/>
        </w:rPr>
        <w:t>unité du Protocole de Montréal du PNUD, qui a assuré la supervision nécessaire du projet.</w:t>
      </w:r>
      <w:r w:rsidRPr="00A44B75">
        <w:rPr>
          <w:lang w:val="fr-FR"/>
        </w:rPr>
        <w:t xml:space="preserve"> </w:t>
      </w:r>
    </w:p>
    <w:p w14:paraId="64C975D4" w14:textId="77777777" w:rsidR="00A44B75" w:rsidRDefault="00A44B75" w:rsidP="0021415D">
      <w:pPr>
        <w:pStyle w:val="Heading1"/>
        <w:spacing w:after="120"/>
        <w:rPr>
          <w:lang w:val="fr-FR"/>
        </w:rPr>
      </w:pPr>
    </w:p>
    <w:p w14:paraId="67714FD3" w14:textId="7A388F8F" w:rsidR="00AF297F" w:rsidRPr="00A44B75" w:rsidRDefault="00A44B75" w:rsidP="0021415D">
      <w:pPr>
        <w:pStyle w:val="Heading1"/>
        <w:numPr>
          <w:ilvl w:val="0"/>
          <w:numId w:val="0"/>
        </w:numPr>
        <w:spacing w:after="120"/>
        <w:rPr>
          <w:lang w:val="fr-FR"/>
        </w:rPr>
      </w:pPr>
      <w:r>
        <w:rPr>
          <w:lang w:val="fr-FR"/>
        </w:rPr>
        <w:t xml:space="preserve">6. </w:t>
      </w:r>
      <w:r>
        <w:rPr>
          <w:lang w:val="fr-FR"/>
        </w:rPr>
        <w:tab/>
      </w:r>
      <w:r w:rsidR="00905B89" w:rsidRPr="00905B89">
        <w:rPr>
          <w:lang w:val="fr-FR"/>
        </w:rPr>
        <w:t>Les problèmes de mise en œuvre de projet étaient principalement dus à un défaut de conception du projet, comme l</w:t>
      </w:r>
      <w:r w:rsidR="005A0776">
        <w:rPr>
          <w:lang w:val="fr-FR"/>
        </w:rPr>
        <w:t>’</w:t>
      </w:r>
      <w:r w:rsidR="00905B89" w:rsidRPr="00905B89">
        <w:rPr>
          <w:lang w:val="fr-FR"/>
        </w:rPr>
        <w:t>annulation d</w:t>
      </w:r>
      <w:r w:rsidR="005A0776">
        <w:rPr>
          <w:lang w:val="fr-FR"/>
        </w:rPr>
        <w:t>’</w:t>
      </w:r>
      <w:r w:rsidR="00905B89" w:rsidRPr="00905B89">
        <w:rPr>
          <w:lang w:val="fr-FR"/>
        </w:rPr>
        <w:t>activités qui n</w:t>
      </w:r>
      <w:r w:rsidR="005A0776">
        <w:rPr>
          <w:lang w:val="fr-FR"/>
        </w:rPr>
        <w:t>’</w:t>
      </w:r>
      <w:r w:rsidR="00905B89" w:rsidRPr="00905B89">
        <w:rPr>
          <w:lang w:val="fr-FR"/>
        </w:rPr>
        <w:t>ont pas pu être mises en œuvre, ce qui a entraîné une réaffectation des fonds aux activités de formation ; ou le manque de composants sur le marché mondial (tels que des compresseurs ou des valves d</w:t>
      </w:r>
      <w:r w:rsidR="005A0776">
        <w:rPr>
          <w:lang w:val="fr-FR"/>
        </w:rPr>
        <w:t>’</w:t>
      </w:r>
      <w:r w:rsidR="00905B89" w:rsidRPr="00905B89">
        <w:rPr>
          <w:lang w:val="fr-FR"/>
        </w:rPr>
        <w:t xml:space="preserve">expansion) </w:t>
      </w:r>
      <w:r w:rsidR="00497DD3">
        <w:rPr>
          <w:lang w:val="fr-FR"/>
        </w:rPr>
        <w:t>et des coûts d</w:t>
      </w:r>
      <w:r w:rsidR="005A0776">
        <w:rPr>
          <w:lang w:val="fr-FR"/>
        </w:rPr>
        <w:t>’</w:t>
      </w:r>
      <w:r w:rsidR="00497DD3">
        <w:rPr>
          <w:lang w:val="fr-FR"/>
        </w:rPr>
        <w:t xml:space="preserve">exploitation très élevés </w:t>
      </w:r>
      <w:r w:rsidR="00905B89" w:rsidRPr="00905B89">
        <w:rPr>
          <w:lang w:val="fr-FR"/>
        </w:rPr>
        <w:t xml:space="preserve">qui </w:t>
      </w:r>
      <w:r w:rsidR="00497DD3">
        <w:rPr>
          <w:lang w:val="fr-FR"/>
        </w:rPr>
        <w:t>ont</w:t>
      </w:r>
      <w:r w:rsidR="00905B89" w:rsidRPr="00905B89">
        <w:rPr>
          <w:lang w:val="fr-FR"/>
        </w:rPr>
        <w:t xml:space="preserve"> retardé le lancement des reconversions au HFC-32. Lorsque les conditions du marché se sont améliorées, les entreprises ont pu démarrer la production d</w:t>
      </w:r>
      <w:r w:rsidR="005A0776">
        <w:rPr>
          <w:lang w:val="fr-FR"/>
        </w:rPr>
        <w:t>’</w:t>
      </w:r>
      <w:r w:rsidR="00905B89" w:rsidRPr="00905B89">
        <w:rPr>
          <w:lang w:val="fr-FR"/>
        </w:rPr>
        <w:t>équipements de réfrigération et de climatisation à base de HFC</w:t>
      </w:r>
      <w:r w:rsidR="0021415D">
        <w:rPr>
          <w:lang w:val="fr-FR"/>
        </w:rPr>
        <w:noBreakHyphen/>
      </w:r>
      <w:r w:rsidR="00905B89" w:rsidRPr="00905B89">
        <w:rPr>
          <w:lang w:val="fr-FR"/>
        </w:rPr>
        <w:t>32 et approvisionner le marché local.</w:t>
      </w:r>
    </w:p>
    <w:p w14:paraId="10F47FF5" w14:textId="3331DA87" w:rsidR="00206477" w:rsidRPr="00A44B75" w:rsidRDefault="00905B89" w:rsidP="00206477">
      <w:pPr>
        <w:pStyle w:val="Heading1"/>
        <w:widowControl w:val="0"/>
        <w:spacing w:before="240"/>
        <w:rPr>
          <w:lang w:val="fr-FR"/>
        </w:rPr>
      </w:pPr>
      <w:r w:rsidRPr="00905B89">
        <w:rPr>
          <w:lang w:val="fr-FR"/>
        </w:rPr>
        <w:t xml:space="preserve">La communication </w:t>
      </w:r>
      <w:r w:rsidR="00497DD3">
        <w:rPr>
          <w:lang w:val="fr-FR"/>
        </w:rPr>
        <w:t>limitée</w:t>
      </w:r>
      <w:r w:rsidRPr="00905B89">
        <w:rPr>
          <w:lang w:val="fr-FR"/>
        </w:rPr>
        <w:t xml:space="preserve"> entre l</w:t>
      </w:r>
      <w:r w:rsidR="005A0776">
        <w:rPr>
          <w:lang w:val="fr-FR"/>
        </w:rPr>
        <w:t>’</w:t>
      </w:r>
      <w:r w:rsidRPr="00905B89">
        <w:rPr>
          <w:lang w:val="fr-FR"/>
        </w:rPr>
        <w:t>agence d</w:t>
      </w:r>
      <w:r w:rsidR="005A0776">
        <w:rPr>
          <w:lang w:val="fr-FR"/>
        </w:rPr>
        <w:t>’</w:t>
      </w:r>
      <w:r w:rsidRPr="00905B89">
        <w:rPr>
          <w:lang w:val="fr-FR"/>
        </w:rPr>
        <w:t>exécution et les ministères, et le désaccord sur le mécanisme des acquisitions ont entraîné des retards dans un projet.</w:t>
      </w:r>
      <w:r w:rsidRPr="00A44B75">
        <w:rPr>
          <w:lang w:val="fr-FR"/>
        </w:rPr>
        <w:t xml:space="preserve"> </w:t>
      </w:r>
      <w:r w:rsidRPr="00905B89">
        <w:rPr>
          <w:lang w:val="fr-FR"/>
        </w:rPr>
        <w:t>Le ministère de l</w:t>
      </w:r>
      <w:r w:rsidR="005A0776">
        <w:rPr>
          <w:lang w:val="fr-FR"/>
        </w:rPr>
        <w:t>’</w:t>
      </w:r>
      <w:r w:rsidRPr="00905B89">
        <w:rPr>
          <w:lang w:val="fr-FR"/>
        </w:rPr>
        <w:t>Environnement considérait les fonds du projet comme faisant partie intégrante de ses ressources et pensait qu</w:t>
      </w:r>
      <w:r w:rsidR="005A0776">
        <w:rPr>
          <w:lang w:val="fr-FR"/>
        </w:rPr>
        <w:t>’</w:t>
      </w:r>
      <w:r w:rsidRPr="00905B89">
        <w:rPr>
          <w:lang w:val="fr-FR"/>
        </w:rPr>
        <w:t>il était responsable des processus d</w:t>
      </w:r>
      <w:r w:rsidR="005A0776">
        <w:rPr>
          <w:lang w:val="fr-FR"/>
        </w:rPr>
        <w:t>’</w:t>
      </w:r>
      <w:r w:rsidRPr="00905B89">
        <w:rPr>
          <w:lang w:val="fr-FR"/>
        </w:rPr>
        <w:t>acquisition conformément aux réglementations gouvernementales. Il a indiqué que l</w:t>
      </w:r>
      <w:r w:rsidR="005A0776">
        <w:rPr>
          <w:lang w:val="fr-FR"/>
        </w:rPr>
        <w:t>’</w:t>
      </w:r>
      <w:r w:rsidRPr="00905B89">
        <w:rPr>
          <w:lang w:val="fr-FR"/>
        </w:rPr>
        <w:t>agence d</w:t>
      </w:r>
      <w:r w:rsidR="005A0776">
        <w:rPr>
          <w:lang w:val="fr-FR"/>
        </w:rPr>
        <w:t>’</w:t>
      </w:r>
      <w:r w:rsidRPr="00905B89">
        <w:rPr>
          <w:lang w:val="fr-FR"/>
        </w:rPr>
        <w:t>exécution a organisé l</w:t>
      </w:r>
      <w:r w:rsidR="005A0776">
        <w:rPr>
          <w:lang w:val="fr-FR"/>
        </w:rPr>
        <w:t>’</w:t>
      </w:r>
      <w:r w:rsidRPr="00905B89">
        <w:rPr>
          <w:lang w:val="fr-FR"/>
        </w:rPr>
        <w:t>achat de</w:t>
      </w:r>
      <w:r w:rsidR="00FF3853">
        <w:rPr>
          <w:lang w:val="fr-FR"/>
        </w:rPr>
        <w:t>s</w:t>
      </w:r>
      <w:r w:rsidRPr="00905B89">
        <w:rPr>
          <w:lang w:val="fr-FR"/>
        </w:rPr>
        <w:t xml:space="preserve"> biens sans l</w:t>
      </w:r>
      <w:r w:rsidR="005A0776">
        <w:rPr>
          <w:lang w:val="fr-FR"/>
        </w:rPr>
        <w:t>’</w:t>
      </w:r>
      <w:r w:rsidRPr="00905B89">
        <w:rPr>
          <w:lang w:val="fr-FR"/>
        </w:rPr>
        <w:t>approbation du gouvernement en violation de l</w:t>
      </w:r>
      <w:r w:rsidR="005A0776">
        <w:rPr>
          <w:lang w:val="fr-FR"/>
        </w:rPr>
        <w:t>’</w:t>
      </w:r>
      <w:r w:rsidRPr="00905B89">
        <w:rPr>
          <w:lang w:val="fr-FR"/>
        </w:rPr>
        <w:t>accord qu</w:t>
      </w:r>
      <w:r w:rsidR="005A0776">
        <w:rPr>
          <w:lang w:val="fr-FR"/>
        </w:rPr>
        <w:t>’</w:t>
      </w:r>
      <w:r w:rsidRPr="00905B89">
        <w:rPr>
          <w:lang w:val="fr-FR"/>
        </w:rPr>
        <w:t>ils avaient signé.</w:t>
      </w:r>
      <w:r w:rsidRPr="00A44B75">
        <w:rPr>
          <w:lang w:val="fr-FR"/>
        </w:rPr>
        <w:t xml:space="preserve"> </w:t>
      </w:r>
      <w:r w:rsidRPr="00905B89">
        <w:rPr>
          <w:lang w:val="fr-FR"/>
        </w:rPr>
        <w:t>L</w:t>
      </w:r>
      <w:r w:rsidR="005A0776">
        <w:rPr>
          <w:lang w:val="fr-FR"/>
        </w:rPr>
        <w:t>’</w:t>
      </w:r>
      <w:r w:rsidRPr="00905B89">
        <w:rPr>
          <w:lang w:val="fr-FR"/>
        </w:rPr>
        <w:t>agence d</w:t>
      </w:r>
      <w:r w:rsidR="005A0776">
        <w:rPr>
          <w:lang w:val="fr-FR"/>
        </w:rPr>
        <w:t>’</w:t>
      </w:r>
      <w:r w:rsidRPr="00905B89">
        <w:rPr>
          <w:lang w:val="fr-FR"/>
        </w:rPr>
        <w:t>exécution était pour sa part tenue de se conformer aux règles internes d</w:t>
      </w:r>
      <w:r w:rsidR="005A0776">
        <w:rPr>
          <w:lang w:val="fr-FR"/>
        </w:rPr>
        <w:t>’</w:t>
      </w:r>
      <w:r w:rsidRPr="00905B89">
        <w:rPr>
          <w:lang w:val="fr-FR"/>
        </w:rPr>
        <w:t>acquisition.</w:t>
      </w:r>
      <w:r w:rsidRPr="00A44B75">
        <w:rPr>
          <w:lang w:val="fr-FR"/>
        </w:rPr>
        <w:t xml:space="preserve"> </w:t>
      </w:r>
      <w:r w:rsidR="00206477" w:rsidRPr="00206477">
        <w:rPr>
          <w:lang w:val="fr-FR"/>
        </w:rPr>
        <w:t>Ce problème a entraîné d</w:t>
      </w:r>
      <w:r w:rsidR="005A0776">
        <w:rPr>
          <w:lang w:val="fr-FR"/>
        </w:rPr>
        <w:t>’</w:t>
      </w:r>
      <w:r w:rsidR="00206477" w:rsidRPr="00206477">
        <w:rPr>
          <w:lang w:val="fr-FR"/>
        </w:rPr>
        <w:t>importants retards dans la signature du document de projet.</w:t>
      </w:r>
      <w:r w:rsidR="00206477" w:rsidRPr="00A44B75">
        <w:rPr>
          <w:lang w:val="fr-FR"/>
        </w:rPr>
        <w:t xml:space="preserve"> </w:t>
      </w:r>
      <w:r w:rsidR="00206477" w:rsidRPr="00206477">
        <w:rPr>
          <w:lang w:val="fr-FR"/>
        </w:rPr>
        <w:t xml:space="preserve">Pour limiter </w:t>
      </w:r>
      <w:r w:rsidR="00497DD3">
        <w:rPr>
          <w:lang w:val="fr-FR"/>
        </w:rPr>
        <w:t>l</w:t>
      </w:r>
      <w:r w:rsidR="00206477" w:rsidRPr="00206477">
        <w:rPr>
          <w:lang w:val="fr-FR"/>
        </w:rPr>
        <w:t>e retard, l</w:t>
      </w:r>
      <w:r w:rsidR="005A0776">
        <w:rPr>
          <w:lang w:val="fr-FR"/>
        </w:rPr>
        <w:t>’</w:t>
      </w:r>
      <w:r w:rsidR="00206477" w:rsidRPr="00206477">
        <w:rPr>
          <w:lang w:val="fr-FR"/>
        </w:rPr>
        <w:t>agence d</w:t>
      </w:r>
      <w:r w:rsidR="005A0776">
        <w:rPr>
          <w:lang w:val="fr-FR"/>
        </w:rPr>
        <w:t>’</w:t>
      </w:r>
      <w:r w:rsidR="00206477" w:rsidRPr="00206477">
        <w:rPr>
          <w:lang w:val="fr-FR"/>
        </w:rPr>
        <w:t>exécution a commencé les processus d</w:t>
      </w:r>
      <w:r w:rsidR="005A0776">
        <w:rPr>
          <w:lang w:val="fr-FR"/>
        </w:rPr>
        <w:t>’</w:t>
      </w:r>
      <w:r w:rsidR="00206477" w:rsidRPr="00206477">
        <w:rPr>
          <w:lang w:val="fr-FR"/>
        </w:rPr>
        <w:t>appel d</w:t>
      </w:r>
      <w:r w:rsidR="005A0776">
        <w:rPr>
          <w:lang w:val="fr-FR"/>
        </w:rPr>
        <w:t>’</w:t>
      </w:r>
      <w:r w:rsidR="00206477" w:rsidRPr="00206477">
        <w:rPr>
          <w:lang w:val="fr-FR"/>
        </w:rPr>
        <w:t>offres et la documentation se rapportant à l</w:t>
      </w:r>
      <w:r w:rsidR="005A0776">
        <w:rPr>
          <w:lang w:val="fr-FR"/>
        </w:rPr>
        <w:t>’</w:t>
      </w:r>
      <w:r w:rsidR="00206477" w:rsidRPr="00206477">
        <w:rPr>
          <w:lang w:val="fr-FR"/>
        </w:rPr>
        <w:t>acquisition des équipements du projet.</w:t>
      </w:r>
    </w:p>
    <w:p w14:paraId="4D2EBF67" w14:textId="3C934F09" w:rsidR="00206477" w:rsidRPr="00A44B75" w:rsidRDefault="00206477" w:rsidP="000E52FD">
      <w:pPr>
        <w:pStyle w:val="Heading1"/>
        <w:rPr>
          <w:lang w:val="fr-FR"/>
        </w:rPr>
      </w:pPr>
      <w:r w:rsidRPr="00206477">
        <w:rPr>
          <w:lang w:val="fr-FR"/>
        </w:rPr>
        <w:lastRenderedPageBreak/>
        <w:t>D</w:t>
      </w:r>
      <w:r w:rsidR="005A0776">
        <w:rPr>
          <w:lang w:val="fr-FR"/>
        </w:rPr>
        <w:t>’</w:t>
      </w:r>
      <w:r w:rsidRPr="00206477">
        <w:rPr>
          <w:lang w:val="fr-FR"/>
        </w:rPr>
        <w:t>autres retards étaient dus à la rotation du personnel entraînant une perte des connaissances des institutions et à des retards de transport dans la livraison des équipements dans le pays.</w:t>
      </w:r>
      <w:r w:rsidRPr="00A44B75">
        <w:rPr>
          <w:lang w:val="fr-FR"/>
        </w:rPr>
        <w:t xml:space="preserve"> </w:t>
      </w:r>
    </w:p>
    <w:p w14:paraId="0AAEC46B" w14:textId="228F46F2" w:rsidR="00073086" w:rsidRPr="00206477" w:rsidRDefault="00206477" w:rsidP="00206477">
      <w:pPr>
        <w:pStyle w:val="Heading1"/>
        <w:widowControl w:val="0"/>
        <w:numPr>
          <w:ilvl w:val="0"/>
          <w:numId w:val="0"/>
        </w:numPr>
        <w:spacing w:before="240"/>
        <w:rPr>
          <w:u w:val="single"/>
        </w:rPr>
      </w:pPr>
      <w:r w:rsidRPr="00206477">
        <w:rPr>
          <w:u w:val="single"/>
          <w:lang w:val="fr-FR"/>
        </w:rPr>
        <w:t>Plan sect</w:t>
      </w:r>
      <w:r w:rsidR="00497DD3">
        <w:rPr>
          <w:u w:val="single"/>
          <w:lang w:val="fr-FR"/>
        </w:rPr>
        <w:t>oriel des</w:t>
      </w:r>
      <w:r w:rsidRPr="00206477">
        <w:rPr>
          <w:u w:val="single"/>
          <w:lang w:val="fr-FR"/>
        </w:rPr>
        <w:t xml:space="preserve"> halons</w:t>
      </w:r>
    </w:p>
    <w:p w14:paraId="1D249D61" w14:textId="04647DE2" w:rsidR="00206477" w:rsidRPr="00A44B75" w:rsidRDefault="00206477" w:rsidP="00206477">
      <w:pPr>
        <w:pStyle w:val="Heading1"/>
        <w:widowControl w:val="0"/>
        <w:spacing w:before="240"/>
        <w:rPr>
          <w:lang w:val="fr-FR"/>
        </w:rPr>
      </w:pPr>
      <w:r w:rsidRPr="00206477">
        <w:rPr>
          <w:lang w:val="fr-FR"/>
        </w:rPr>
        <w:t>Le déménagement et la rénovation d</w:t>
      </w:r>
      <w:r w:rsidR="005A0776">
        <w:rPr>
          <w:lang w:val="fr-FR"/>
        </w:rPr>
        <w:t>’</w:t>
      </w:r>
      <w:r w:rsidRPr="00206477">
        <w:rPr>
          <w:lang w:val="fr-FR"/>
        </w:rPr>
        <w:t>un institut de recherche ont retardé l</w:t>
      </w:r>
      <w:r w:rsidR="005A0776">
        <w:rPr>
          <w:lang w:val="fr-FR"/>
        </w:rPr>
        <w:t>’</w:t>
      </w:r>
      <w:r w:rsidRPr="00206477">
        <w:rPr>
          <w:lang w:val="fr-FR"/>
        </w:rPr>
        <w:t>achèvement de deux activités techniques et de deux initiatives spéciales, et un problème technique dans l</w:t>
      </w:r>
      <w:r w:rsidR="005A0776">
        <w:rPr>
          <w:lang w:val="fr-FR"/>
        </w:rPr>
        <w:t>’</w:t>
      </w:r>
      <w:r w:rsidRPr="00206477">
        <w:rPr>
          <w:lang w:val="fr-FR"/>
        </w:rPr>
        <w:t>équipement livré par le fournisseur a retardé l</w:t>
      </w:r>
      <w:r w:rsidR="005A0776">
        <w:rPr>
          <w:lang w:val="fr-FR"/>
        </w:rPr>
        <w:t>’</w:t>
      </w:r>
      <w:r w:rsidRPr="00206477">
        <w:rPr>
          <w:lang w:val="fr-FR"/>
        </w:rPr>
        <w:t>achèvement du plan sectoriel.</w:t>
      </w:r>
    </w:p>
    <w:p w14:paraId="60D2DEDB" w14:textId="2248CF3A" w:rsidR="00206477" w:rsidRPr="00A44B75" w:rsidRDefault="00206477" w:rsidP="00206477">
      <w:pPr>
        <w:pStyle w:val="Heading1"/>
        <w:widowControl w:val="0"/>
        <w:spacing w:before="240"/>
        <w:rPr>
          <w:lang w:val="fr-FR"/>
        </w:rPr>
      </w:pPr>
      <w:r w:rsidRPr="00206477">
        <w:rPr>
          <w:lang w:val="fr-FR"/>
        </w:rPr>
        <w:t>De plus, après 2010, un producteur local est resté avec un stock important de halons, car ces stocks produits avant 2010 avaient été classés comme « SAO nouvellement produites » et ne pouvaient pas être exportés après cette année-là vers d</w:t>
      </w:r>
      <w:r w:rsidR="005A0776">
        <w:rPr>
          <w:lang w:val="fr-FR"/>
        </w:rPr>
        <w:t>’</w:t>
      </w:r>
      <w:r w:rsidRPr="00206477">
        <w:rPr>
          <w:lang w:val="fr-FR"/>
        </w:rPr>
        <w:t>autres pays visés à l</w:t>
      </w:r>
      <w:r w:rsidR="005A0776">
        <w:rPr>
          <w:lang w:val="fr-FR"/>
        </w:rPr>
        <w:t>’</w:t>
      </w:r>
      <w:r w:rsidRPr="00206477">
        <w:rPr>
          <w:lang w:val="fr-FR"/>
        </w:rPr>
        <w:t>article 5.</w:t>
      </w:r>
      <w:r w:rsidRPr="00A44B75">
        <w:rPr>
          <w:lang w:val="fr-FR"/>
        </w:rPr>
        <w:t xml:space="preserve"> </w:t>
      </w:r>
      <w:r w:rsidRPr="00206477">
        <w:rPr>
          <w:lang w:val="fr-FR"/>
        </w:rPr>
        <w:t>Le projet a été achevé en 2011 et le RAP, soumis en 2021, ne fournit pas d</w:t>
      </w:r>
      <w:r w:rsidR="005A0776">
        <w:rPr>
          <w:lang w:val="fr-FR"/>
        </w:rPr>
        <w:t>’</w:t>
      </w:r>
      <w:r w:rsidRPr="00206477">
        <w:rPr>
          <w:lang w:val="fr-FR"/>
        </w:rPr>
        <w:t xml:space="preserve">informations sur </w:t>
      </w:r>
      <w:r w:rsidR="00FF3853">
        <w:rPr>
          <w:lang w:val="fr-FR"/>
        </w:rPr>
        <w:t>le sort de</w:t>
      </w:r>
      <w:r w:rsidRPr="00206477">
        <w:rPr>
          <w:lang w:val="fr-FR"/>
        </w:rPr>
        <w:t xml:space="preserve"> ce stock.</w:t>
      </w:r>
    </w:p>
    <w:p w14:paraId="7BD13A20" w14:textId="10845E7F" w:rsidR="00073086" w:rsidRPr="00206477" w:rsidRDefault="00206477" w:rsidP="0021415D">
      <w:pPr>
        <w:pStyle w:val="Heading1"/>
        <w:widowControl w:val="0"/>
        <w:numPr>
          <w:ilvl w:val="0"/>
          <w:numId w:val="0"/>
        </w:numPr>
        <w:spacing w:after="120"/>
        <w:rPr>
          <w:u w:val="single"/>
        </w:rPr>
      </w:pPr>
      <w:r w:rsidRPr="00206477">
        <w:rPr>
          <w:u w:val="single"/>
          <w:lang w:val="fr-FR"/>
        </w:rPr>
        <w:t>Agent</w:t>
      </w:r>
      <w:r w:rsidR="00FF3853">
        <w:rPr>
          <w:u w:val="single"/>
          <w:lang w:val="fr-FR"/>
        </w:rPr>
        <w:t>s</w:t>
      </w:r>
      <w:r w:rsidRPr="00206477">
        <w:rPr>
          <w:u w:val="single"/>
          <w:lang w:val="fr-FR"/>
        </w:rPr>
        <w:t xml:space="preserve"> de transformation</w:t>
      </w:r>
    </w:p>
    <w:p w14:paraId="2B5F6DC4" w14:textId="3C29E29E" w:rsidR="00FD0B9B" w:rsidRPr="00A44B75" w:rsidRDefault="00FD0B9B" w:rsidP="000E52FD">
      <w:pPr>
        <w:pStyle w:val="Heading1"/>
        <w:widowControl w:val="0"/>
        <w:spacing w:after="120"/>
        <w:rPr>
          <w:lang w:val="fr-FR"/>
        </w:rPr>
      </w:pPr>
      <w:r w:rsidRPr="00FD0B9B">
        <w:rPr>
          <w:lang w:val="fr-FR"/>
        </w:rPr>
        <w:t>Les retards dans le plan sectoriel des agents de transformation étaient dus à la soumission tardive par les entreprises du rapport d</w:t>
      </w:r>
      <w:r w:rsidR="005A0776">
        <w:rPr>
          <w:lang w:val="fr-FR"/>
        </w:rPr>
        <w:t>’</w:t>
      </w:r>
      <w:r w:rsidRPr="00FD0B9B">
        <w:rPr>
          <w:lang w:val="fr-FR"/>
        </w:rPr>
        <w:t>achèvement du sous-projet.</w:t>
      </w:r>
      <w:r w:rsidRPr="00A44B75">
        <w:rPr>
          <w:lang w:val="fr-FR"/>
        </w:rPr>
        <w:t xml:space="preserve"> </w:t>
      </w:r>
      <w:r w:rsidRPr="00FD0B9B">
        <w:rPr>
          <w:lang w:val="fr-FR"/>
        </w:rPr>
        <w:t>Une fois les rapports soumis et les derniers paiements effectués, le projet a été achevé de manière satisfaisante.</w:t>
      </w:r>
    </w:p>
    <w:p w14:paraId="096DC4BC" w14:textId="2E74D4C8" w:rsidR="00222C40" w:rsidRPr="006524DF" w:rsidRDefault="00FD0B9B" w:rsidP="000E52FD">
      <w:pPr>
        <w:pStyle w:val="Heading1"/>
        <w:keepNext/>
        <w:widowControl w:val="0"/>
        <w:numPr>
          <w:ilvl w:val="0"/>
          <w:numId w:val="0"/>
        </w:numPr>
        <w:tabs>
          <w:tab w:val="left" w:pos="720"/>
        </w:tabs>
        <w:spacing w:after="120"/>
        <w:rPr>
          <w:b/>
        </w:rPr>
      </w:pPr>
      <w:r w:rsidRPr="00FD0B9B">
        <w:rPr>
          <w:b/>
          <w:lang w:val="fr-FR" w:eastAsia="ja-JP"/>
        </w:rPr>
        <w:t>Enseignements tirés</w:t>
      </w:r>
      <w:r w:rsidRPr="00FD0B9B">
        <w:rPr>
          <w:vertAlign w:val="superscript"/>
          <w:lang w:val="fr-FR"/>
        </w:rPr>
        <w:footnoteReference w:id="3"/>
      </w:r>
      <w:r w:rsidR="00222C40" w:rsidRPr="00FD0B9B">
        <w:t xml:space="preserve"> </w:t>
      </w:r>
    </w:p>
    <w:p w14:paraId="48E91EDF" w14:textId="40372BBD" w:rsidR="00FD0B9B" w:rsidRPr="00A44B75" w:rsidRDefault="00FD0B9B" w:rsidP="000E52FD">
      <w:pPr>
        <w:pStyle w:val="Heading1"/>
        <w:widowControl w:val="0"/>
        <w:spacing w:after="120"/>
        <w:rPr>
          <w:lang w:val="fr-FR"/>
        </w:rPr>
      </w:pPr>
      <w:bookmarkStart w:id="1" w:name="_Toc370910623"/>
      <w:bookmarkStart w:id="2" w:name="_Toc147920737"/>
      <w:bookmarkStart w:id="3" w:name="_Toc147387247"/>
      <w:bookmarkStart w:id="4" w:name="_Toc147305504"/>
      <w:bookmarkStart w:id="5" w:name="_Toc147305215"/>
      <w:bookmarkStart w:id="6" w:name="_Toc147292222"/>
      <w:bookmarkStart w:id="7" w:name="_Toc147283939"/>
      <w:bookmarkStart w:id="8" w:name="_Toc147217699"/>
      <w:bookmarkStart w:id="9" w:name="_Toc117922249"/>
      <w:bookmarkStart w:id="10" w:name="_Toc56412815"/>
      <w:r w:rsidRPr="00FD0B9B">
        <w:rPr>
          <w:lang w:val="fr-FR"/>
        </w:rPr>
        <w:t>Les rapports d</w:t>
      </w:r>
      <w:r w:rsidR="005A0776">
        <w:rPr>
          <w:lang w:val="fr-FR"/>
        </w:rPr>
        <w:t>’</w:t>
      </w:r>
      <w:r w:rsidRPr="00FD0B9B">
        <w:rPr>
          <w:lang w:val="fr-FR"/>
        </w:rPr>
        <w:t>achèvement de projet</w:t>
      </w:r>
      <w:r w:rsidR="002C62C8">
        <w:rPr>
          <w:lang w:val="fr-FR"/>
        </w:rPr>
        <w:t>s</w:t>
      </w:r>
      <w:r w:rsidRPr="00FD0B9B">
        <w:rPr>
          <w:lang w:val="fr-FR"/>
        </w:rPr>
        <w:t xml:space="preserve"> pour </w:t>
      </w:r>
      <w:r w:rsidR="00F51FBA">
        <w:rPr>
          <w:lang w:val="fr-FR"/>
        </w:rPr>
        <w:t>d</w:t>
      </w:r>
      <w:r w:rsidRPr="00FD0B9B">
        <w:rPr>
          <w:lang w:val="fr-FR"/>
        </w:rPr>
        <w:t>es accords pluriannuels ont identifié des domaines susceptibles d</w:t>
      </w:r>
      <w:r w:rsidR="005A0776">
        <w:rPr>
          <w:lang w:val="fr-FR"/>
        </w:rPr>
        <w:t>’</w:t>
      </w:r>
      <w:r w:rsidRPr="00FD0B9B">
        <w:rPr>
          <w:lang w:val="fr-FR"/>
        </w:rPr>
        <w:t>amélioration dans, entre autres, la communication, les mécanismes de certification, le recueil des données et le renforcement des capacités, la prise en compte des coûts dans l</w:t>
      </w:r>
      <w:r w:rsidR="005A0776">
        <w:rPr>
          <w:lang w:val="fr-FR"/>
        </w:rPr>
        <w:t>’</w:t>
      </w:r>
      <w:r w:rsidRPr="00FD0B9B">
        <w:rPr>
          <w:lang w:val="fr-FR"/>
        </w:rPr>
        <w:t>adoption de nouvelles technologies, l</w:t>
      </w:r>
      <w:r w:rsidR="005A0776">
        <w:rPr>
          <w:lang w:val="fr-FR"/>
        </w:rPr>
        <w:t>’</w:t>
      </w:r>
      <w:r w:rsidRPr="00FD0B9B">
        <w:rPr>
          <w:lang w:val="fr-FR"/>
        </w:rPr>
        <w:t>augmentation des ressources pour la recherche et développement (R&amp;D) liée à l</w:t>
      </w:r>
      <w:r w:rsidR="005A0776">
        <w:rPr>
          <w:lang w:val="fr-FR"/>
        </w:rPr>
        <w:t>’</w:t>
      </w:r>
      <w:r w:rsidRPr="00FD0B9B">
        <w:rPr>
          <w:lang w:val="fr-FR"/>
        </w:rPr>
        <w:t>élimination et à la transition en matière de technologie, comme décrit ci-dessous.</w:t>
      </w:r>
    </w:p>
    <w:p w14:paraId="0D97D0EC" w14:textId="70CE30A6" w:rsidR="00C959F1" w:rsidRPr="003D078A" w:rsidRDefault="00FD0B9B" w:rsidP="000E52FD">
      <w:pPr>
        <w:spacing w:after="120"/>
        <w:rPr>
          <w:u w:val="single"/>
          <w:shd w:val="clear" w:color="auto" w:fill="FFFFFF"/>
          <w:lang w:val="en-CA"/>
        </w:rPr>
      </w:pPr>
      <w:r w:rsidRPr="003D078A">
        <w:rPr>
          <w:u w:val="single"/>
          <w:shd w:val="clear" w:color="auto" w:fill="FFFFFF"/>
          <w:lang w:val="fr-FR"/>
        </w:rPr>
        <w:t>PGEH</w:t>
      </w:r>
    </w:p>
    <w:p w14:paraId="0C4988F6" w14:textId="02B7447A" w:rsidR="003D078A" w:rsidRPr="00A44B75" w:rsidRDefault="003D078A" w:rsidP="0021415D">
      <w:pPr>
        <w:pStyle w:val="Heading1"/>
        <w:widowControl w:val="0"/>
        <w:spacing w:after="120"/>
        <w:rPr>
          <w:lang w:val="fr-FR"/>
        </w:rPr>
      </w:pPr>
      <w:r w:rsidRPr="003D078A">
        <w:rPr>
          <w:lang w:val="fr-FR"/>
        </w:rPr>
        <w:t>L</w:t>
      </w:r>
      <w:r w:rsidR="005A0776">
        <w:rPr>
          <w:lang w:val="fr-FR"/>
        </w:rPr>
        <w:t>’</w:t>
      </w:r>
      <w:r w:rsidRPr="003D078A">
        <w:rPr>
          <w:lang w:val="fr-FR"/>
        </w:rPr>
        <w:t>importance de plans d</w:t>
      </w:r>
      <w:r w:rsidR="005A0776">
        <w:rPr>
          <w:lang w:val="fr-FR"/>
        </w:rPr>
        <w:t>’</w:t>
      </w:r>
      <w:r w:rsidRPr="003D078A">
        <w:rPr>
          <w:lang w:val="fr-FR"/>
        </w:rPr>
        <w:t>approvisionnement solides et adaptatifs, l</w:t>
      </w:r>
      <w:r w:rsidR="005A0776">
        <w:rPr>
          <w:lang w:val="fr-FR"/>
        </w:rPr>
        <w:t>’</w:t>
      </w:r>
      <w:r w:rsidRPr="003D078A">
        <w:rPr>
          <w:lang w:val="fr-FR"/>
        </w:rPr>
        <w:t>existence d</w:t>
      </w:r>
      <w:r w:rsidR="005A0776">
        <w:rPr>
          <w:lang w:val="fr-FR"/>
        </w:rPr>
        <w:t>’</w:t>
      </w:r>
      <w:r w:rsidRPr="003D078A">
        <w:rPr>
          <w:lang w:val="fr-FR"/>
        </w:rPr>
        <w:t>une équipe de consultants techniques travaillant sur une longue période pour soutenir la mise en œuvre, et le renforcement de la coopération avec l</w:t>
      </w:r>
      <w:r w:rsidR="005A0776">
        <w:rPr>
          <w:lang w:val="fr-FR"/>
        </w:rPr>
        <w:t>’</w:t>
      </w:r>
      <w:r w:rsidRPr="003D078A">
        <w:rPr>
          <w:lang w:val="fr-FR"/>
        </w:rPr>
        <w:t>association de réfrigération représentent des éléments clés pour assurer la réussite de la mise en œuvre des PGEH.</w:t>
      </w:r>
      <w:r w:rsidRPr="00A44B75">
        <w:rPr>
          <w:lang w:val="fr-FR"/>
        </w:rPr>
        <w:t xml:space="preserve"> </w:t>
      </w:r>
    </w:p>
    <w:p w14:paraId="69D8F8FC" w14:textId="46CAD6E2" w:rsidR="003D078A" w:rsidRPr="00A44B75" w:rsidRDefault="003D078A" w:rsidP="0021415D">
      <w:pPr>
        <w:pStyle w:val="Heading1"/>
        <w:widowControl w:val="0"/>
        <w:spacing w:after="120"/>
        <w:rPr>
          <w:lang w:val="fr-FR"/>
        </w:rPr>
      </w:pPr>
      <w:r w:rsidRPr="003D078A">
        <w:rPr>
          <w:lang w:val="fr-FR"/>
        </w:rPr>
        <w:t>Les exigences essentielles pour réussir la mise en œuvre des PGEH comprennent un système de certification efficace pour les techniciens, un mécanisme solide de recueil de données, l</w:t>
      </w:r>
      <w:r w:rsidR="005A0776">
        <w:rPr>
          <w:lang w:val="fr-FR"/>
        </w:rPr>
        <w:t>’</w:t>
      </w:r>
      <w:r w:rsidRPr="003D078A">
        <w:rPr>
          <w:lang w:val="fr-FR"/>
        </w:rPr>
        <w:t>adaptation des besoins de formation aux nouveaux défis survenant lors de la mise en œuvre.</w:t>
      </w:r>
      <w:r w:rsidRPr="00A44B75">
        <w:rPr>
          <w:lang w:val="fr-FR"/>
        </w:rPr>
        <w:t xml:space="preserve"> </w:t>
      </w:r>
      <w:r w:rsidRPr="003D078A">
        <w:rPr>
          <w:lang w:val="fr-FR"/>
        </w:rPr>
        <w:t>Par exemple</w:t>
      </w:r>
      <w:r w:rsidRPr="00F51FBA">
        <w:rPr>
          <w:lang w:val="fr-FR"/>
        </w:rPr>
        <w:t>, l</w:t>
      </w:r>
      <w:r w:rsidR="005A0776">
        <w:rPr>
          <w:lang w:val="fr-FR"/>
        </w:rPr>
        <w:t>’</w:t>
      </w:r>
      <w:r w:rsidRPr="00F51FBA">
        <w:rPr>
          <w:lang w:val="fr-FR"/>
        </w:rPr>
        <w:t xml:space="preserve">intégration des </w:t>
      </w:r>
      <w:r w:rsidR="00F51FBA" w:rsidRPr="00F51FBA">
        <w:rPr>
          <w:lang w:val="fr-FR"/>
        </w:rPr>
        <w:t>considérations</w:t>
      </w:r>
      <w:r w:rsidR="009A1ECE">
        <w:rPr>
          <w:lang w:val="fr-FR"/>
        </w:rPr>
        <w:t xml:space="preserve"> </w:t>
      </w:r>
      <w:r w:rsidRPr="003D078A">
        <w:rPr>
          <w:lang w:val="fr-FR"/>
        </w:rPr>
        <w:t>du Protocole de Montréal dans les programmes des écoles de formation des agents des douanes et des inspecteurs de l</w:t>
      </w:r>
      <w:r w:rsidR="005A0776">
        <w:rPr>
          <w:lang w:val="fr-FR"/>
        </w:rPr>
        <w:t>’</w:t>
      </w:r>
      <w:r w:rsidRPr="003D078A">
        <w:rPr>
          <w:lang w:val="fr-FR"/>
        </w:rPr>
        <w:t>environnement pourrait favoriser la durabilité de l</w:t>
      </w:r>
      <w:r w:rsidR="005A0776">
        <w:rPr>
          <w:lang w:val="fr-FR"/>
        </w:rPr>
        <w:t>’</w:t>
      </w:r>
      <w:r w:rsidRPr="003D078A">
        <w:rPr>
          <w:lang w:val="fr-FR"/>
        </w:rPr>
        <w:t>élimination des HCFC.</w:t>
      </w:r>
      <w:r w:rsidRPr="00A44B75">
        <w:rPr>
          <w:lang w:val="fr-FR"/>
        </w:rPr>
        <w:t xml:space="preserve"> </w:t>
      </w:r>
      <w:r w:rsidR="009210D3" w:rsidRPr="009210D3">
        <w:rPr>
          <w:lang w:val="fr-FR"/>
        </w:rPr>
        <w:t>Ce seront des aspects importants à garder à l</w:t>
      </w:r>
      <w:r w:rsidR="005A0776">
        <w:rPr>
          <w:lang w:val="fr-FR"/>
        </w:rPr>
        <w:t>’</w:t>
      </w:r>
      <w:r w:rsidR="009210D3" w:rsidRPr="009210D3">
        <w:rPr>
          <w:lang w:val="fr-FR"/>
        </w:rPr>
        <w:t>esprit lors de la mise en œuvre de l</w:t>
      </w:r>
      <w:r w:rsidR="005A0776">
        <w:rPr>
          <w:lang w:val="fr-FR"/>
        </w:rPr>
        <w:t>’</w:t>
      </w:r>
      <w:r w:rsidR="009210D3" w:rsidRPr="009210D3">
        <w:rPr>
          <w:lang w:val="fr-FR"/>
        </w:rPr>
        <w:t>Amendement de Kigali.</w:t>
      </w:r>
    </w:p>
    <w:p w14:paraId="58569B61" w14:textId="480DEC67" w:rsidR="00751312" w:rsidRPr="00A44B75" w:rsidRDefault="009210D3" w:rsidP="003052B9">
      <w:pPr>
        <w:pStyle w:val="Heading1"/>
        <w:widowControl w:val="0"/>
        <w:spacing w:before="240"/>
        <w:rPr>
          <w:lang w:val="fr-FR"/>
        </w:rPr>
      </w:pPr>
      <w:r w:rsidRPr="009210D3">
        <w:rPr>
          <w:lang w:val="fr-FR"/>
        </w:rPr>
        <w:t>Les enseignements tirés des PGEH soulignent également l</w:t>
      </w:r>
      <w:r w:rsidR="005A0776">
        <w:rPr>
          <w:lang w:val="fr-FR"/>
        </w:rPr>
        <w:t>’</w:t>
      </w:r>
      <w:r w:rsidRPr="009210D3">
        <w:rPr>
          <w:lang w:val="fr-FR"/>
        </w:rPr>
        <w:t xml:space="preserve">importance de </w:t>
      </w:r>
      <w:r w:rsidR="00F44AD7">
        <w:rPr>
          <w:lang w:val="fr-FR"/>
        </w:rPr>
        <w:t>tenir compte</w:t>
      </w:r>
      <w:r w:rsidR="00F51FBA">
        <w:rPr>
          <w:lang w:val="fr-FR"/>
        </w:rPr>
        <w:t xml:space="preserve">, </w:t>
      </w:r>
      <w:r w:rsidR="00F51FBA" w:rsidRPr="009210D3">
        <w:rPr>
          <w:lang w:val="fr-FR"/>
        </w:rPr>
        <w:t>lors de la conception et du lancement de la mise en œuvre du projet</w:t>
      </w:r>
      <w:r w:rsidR="00F51FBA">
        <w:rPr>
          <w:lang w:val="fr-FR"/>
        </w:rPr>
        <w:t>,</w:t>
      </w:r>
      <w:r w:rsidRPr="009210D3">
        <w:rPr>
          <w:lang w:val="fr-FR"/>
        </w:rPr>
        <w:t xml:space="preserve"> </w:t>
      </w:r>
      <w:r w:rsidR="00F44AD7">
        <w:rPr>
          <w:lang w:val="fr-FR"/>
        </w:rPr>
        <w:t xml:space="preserve">de </w:t>
      </w:r>
      <w:r w:rsidRPr="009210D3">
        <w:rPr>
          <w:lang w:val="fr-FR"/>
        </w:rPr>
        <w:t>la chaîne d</w:t>
      </w:r>
      <w:r w:rsidR="005A0776">
        <w:rPr>
          <w:lang w:val="fr-FR"/>
        </w:rPr>
        <w:t>’</w:t>
      </w:r>
      <w:r w:rsidRPr="009210D3">
        <w:rPr>
          <w:lang w:val="fr-FR"/>
        </w:rPr>
        <w:t>approvisionnement mondiale des produits de remplacement et</w:t>
      </w:r>
      <w:r w:rsidR="00F44AD7">
        <w:rPr>
          <w:lang w:val="fr-FR"/>
        </w:rPr>
        <w:t xml:space="preserve"> de</w:t>
      </w:r>
      <w:r w:rsidRPr="009210D3">
        <w:rPr>
          <w:lang w:val="fr-FR"/>
        </w:rPr>
        <w:t xml:space="preserve"> leurs composants.</w:t>
      </w:r>
      <w:r w:rsidRPr="00A44B75">
        <w:rPr>
          <w:lang w:val="fr-FR"/>
        </w:rPr>
        <w:t xml:space="preserve"> </w:t>
      </w:r>
      <w:r w:rsidR="00751312" w:rsidRPr="00751312">
        <w:rPr>
          <w:lang w:val="fr-FR"/>
        </w:rPr>
        <w:t>Par exemple, un projet sur l</w:t>
      </w:r>
      <w:r w:rsidR="005A0776">
        <w:rPr>
          <w:lang w:val="fr-FR"/>
        </w:rPr>
        <w:t>’</w:t>
      </w:r>
      <w:r w:rsidR="00751312" w:rsidRPr="00751312">
        <w:rPr>
          <w:lang w:val="fr-FR"/>
        </w:rPr>
        <w:t xml:space="preserve">adoption du HFC-32 a </w:t>
      </w:r>
      <w:r w:rsidR="00F51FBA">
        <w:rPr>
          <w:lang w:val="fr-FR"/>
        </w:rPr>
        <w:t>mis en avant la</w:t>
      </w:r>
      <w:r w:rsidR="00751312" w:rsidRPr="00751312">
        <w:rPr>
          <w:lang w:val="fr-FR"/>
        </w:rPr>
        <w:t xml:space="preserve"> dépendance à l</w:t>
      </w:r>
      <w:r w:rsidR="005A0776">
        <w:rPr>
          <w:lang w:val="fr-FR"/>
        </w:rPr>
        <w:t>’</w:t>
      </w:r>
      <w:r w:rsidR="00751312" w:rsidRPr="00751312">
        <w:rPr>
          <w:lang w:val="fr-FR"/>
        </w:rPr>
        <w:t>égard des importations de</w:t>
      </w:r>
      <w:r w:rsidR="00F51FBA">
        <w:rPr>
          <w:lang w:val="fr-FR"/>
        </w:rPr>
        <w:t xml:space="preserve">s </w:t>
      </w:r>
      <w:r w:rsidR="00F51FBA" w:rsidRPr="00F51FBA">
        <w:rPr>
          <w:lang w:val="fr-FR"/>
        </w:rPr>
        <w:t>co</w:t>
      </w:r>
      <w:r w:rsidR="00F51FBA">
        <w:rPr>
          <w:lang w:val="fr-FR"/>
        </w:rPr>
        <w:t>mposants</w:t>
      </w:r>
      <w:r w:rsidR="00751312" w:rsidRPr="00751312">
        <w:rPr>
          <w:lang w:val="fr-FR"/>
        </w:rPr>
        <w:t xml:space="preserve"> des équipements de réfrigération et de climatisation ainsi que l</w:t>
      </w:r>
      <w:r w:rsidR="005A0776">
        <w:rPr>
          <w:lang w:val="fr-FR"/>
        </w:rPr>
        <w:t>’</w:t>
      </w:r>
      <w:r w:rsidR="00751312" w:rsidRPr="00751312">
        <w:rPr>
          <w:lang w:val="fr-FR"/>
        </w:rPr>
        <w:t xml:space="preserve">insuffisance des marchés mondiaux </w:t>
      </w:r>
      <w:r w:rsidR="00F51FBA">
        <w:rPr>
          <w:lang w:val="fr-FR"/>
        </w:rPr>
        <w:t>pour la fourniture</w:t>
      </w:r>
      <w:r w:rsidR="00751312" w:rsidRPr="00751312">
        <w:rPr>
          <w:lang w:val="fr-FR"/>
        </w:rPr>
        <w:t xml:space="preserve"> de composants à base de HFC-32.</w:t>
      </w:r>
      <w:r w:rsidR="00751312" w:rsidRPr="00A44B75">
        <w:rPr>
          <w:lang w:val="fr-FR"/>
        </w:rPr>
        <w:t xml:space="preserve"> </w:t>
      </w:r>
      <w:r w:rsidR="003052B9" w:rsidRPr="003052B9">
        <w:rPr>
          <w:lang w:val="fr-FR"/>
        </w:rPr>
        <w:t>Les petites et moyennes entreprises de mousse sont confrontées à des choix limités dans le cadre de l</w:t>
      </w:r>
      <w:r w:rsidR="005A0776">
        <w:rPr>
          <w:lang w:val="fr-FR"/>
        </w:rPr>
        <w:t>’</w:t>
      </w:r>
      <w:r w:rsidR="003052B9" w:rsidRPr="003052B9">
        <w:rPr>
          <w:lang w:val="fr-FR"/>
        </w:rPr>
        <w:t>adoption de technologies de remplacement appropriées ; cet aspect s</w:t>
      </w:r>
      <w:r w:rsidR="005A0776">
        <w:rPr>
          <w:lang w:val="fr-FR"/>
        </w:rPr>
        <w:t>’</w:t>
      </w:r>
      <w:r w:rsidR="003052B9" w:rsidRPr="003052B9">
        <w:rPr>
          <w:lang w:val="fr-FR"/>
        </w:rPr>
        <w:t>est révélé particulièrement important lors</w:t>
      </w:r>
      <w:r w:rsidR="00F51FBA">
        <w:rPr>
          <w:lang w:val="fr-FR"/>
        </w:rPr>
        <w:t xml:space="preserve"> de la prise en main des</w:t>
      </w:r>
      <w:r w:rsidR="003052B9" w:rsidRPr="003052B9">
        <w:rPr>
          <w:lang w:val="fr-FR"/>
        </w:rPr>
        <w:t xml:space="preserve"> problèmes d</w:t>
      </w:r>
      <w:r w:rsidR="005A0776">
        <w:rPr>
          <w:lang w:val="fr-FR"/>
        </w:rPr>
        <w:t>’</w:t>
      </w:r>
      <w:r w:rsidR="003052B9" w:rsidRPr="003052B9">
        <w:rPr>
          <w:lang w:val="fr-FR"/>
        </w:rPr>
        <w:t>inflammabilité de la technologie de remplacement ou lorsque des coûts d</w:t>
      </w:r>
      <w:r w:rsidR="005A0776">
        <w:rPr>
          <w:lang w:val="fr-FR"/>
        </w:rPr>
        <w:t>’</w:t>
      </w:r>
      <w:r w:rsidR="003052B9" w:rsidRPr="003052B9">
        <w:rPr>
          <w:lang w:val="fr-FR"/>
        </w:rPr>
        <w:t>investissement élevés sont nécessaires pour adapter les mesures de sûreté et de sécurité à l</w:t>
      </w:r>
      <w:r w:rsidR="005A0776">
        <w:rPr>
          <w:lang w:val="fr-FR"/>
        </w:rPr>
        <w:t>’</w:t>
      </w:r>
      <w:r w:rsidR="003052B9" w:rsidRPr="003052B9">
        <w:rPr>
          <w:lang w:val="fr-FR"/>
        </w:rPr>
        <w:t>adoption de la technologie du cyclopentane, ou du fait de la disponibilité limitée et du prix élevé des polyols prémélangés à base de HFO.</w:t>
      </w:r>
    </w:p>
    <w:p w14:paraId="03D0FCEC" w14:textId="74A3F77C" w:rsidR="003052B9" w:rsidRPr="00A44B75" w:rsidRDefault="003052B9" w:rsidP="003052B9">
      <w:pPr>
        <w:pStyle w:val="Heading1"/>
        <w:widowControl w:val="0"/>
        <w:spacing w:before="240"/>
        <w:rPr>
          <w:lang w:val="fr-FR"/>
        </w:rPr>
      </w:pPr>
      <w:r w:rsidRPr="003052B9">
        <w:rPr>
          <w:lang w:val="fr-FR"/>
        </w:rPr>
        <w:lastRenderedPageBreak/>
        <w:t xml:space="preserve">Un autre </w:t>
      </w:r>
      <w:r w:rsidR="00F51FBA">
        <w:rPr>
          <w:lang w:val="fr-FR"/>
        </w:rPr>
        <w:t>enseignement</w:t>
      </w:r>
      <w:r w:rsidRPr="003052B9">
        <w:rPr>
          <w:lang w:val="fr-FR"/>
        </w:rPr>
        <w:t xml:space="preserve"> en vue d</w:t>
      </w:r>
      <w:r w:rsidR="005A0776">
        <w:rPr>
          <w:lang w:val="fr-FR"/>
        </w:rPr>
        <w:t>’</w:t>
      </w:r>
      <w:r w:rsidRPr="003052B9">
        <w:rPr>
          <w:lang w:val="fr-FR"/>
        </w:rPr>
        <w:t>une mise en œuvre réussie du projet tient à la nécessité d</w:t>
      </w:r>
      <w:r w:rsidR="005A0776">
        <w:rPr>
          <w:lang w:val="fr-FR"/>
        </w:rPr>
        <w:t>’</w:t>
      </w:r>
      <w:r w:rsidRPr="003052B9">
        <w:rPr>
          <w:lang w:val="fr-FR"/>
        </w:rPr>
        <w:t>établir un dialogue continu et ouvert avec les parties prenantes pour favoriser la transparence de la mise en œuvre et communiquer efficacement sur les défis de la chaîne d</w:t>
      </w:r>
      <w:r w:rsidR="005A0776">
        <w:rPr>
          <w:lang w:val="fr-FR"/>
        </w:rPr>
        <w:t>’</w:t>
      </w:r>
      <w:r w:rsidRPr="003052B9">
        <w:rPr>
          <w:lang w:val="fr-FR"/>
        </w:rPr>
        <w:t>approvisionnement mondiale.</w:t>
      </w:r>
      <w:r w:rsidRPr="00A44B75">
        <w:rPr>
          <w:lang w:val="fr-FR"/>
        </w:rPr>
        <w:t xml:space="preserve"> </w:t>
      </w:r>
      <w:r w:rsidRPr="003052B9">
        <w:rPr>
          <w:lang w:val="fr-FR"/>
        </w:rPr>
        <w:t>L</w:t>
      </w:r>
      <w:r w:rsidR="005A0776">
        <w:rPr>
          <w:lang w:val="fr-FR"/>
        </w:rPr>
        <w:t>’</w:t>
      </w:r>
      <w:r w:rsidRPr="003052B9">
        <w:rPr>
          <w:lang w:val="fr-FR"/>
        </w:rPr>
        <w:t>échange d</w:t>
      </w:r>
      <w:r w:rsidR="005A0776">
        <w:rPr>
          <w:lang w:val="fr-FR"/>
        </w:rPr>
        <w:t>’</w:t>
      </w:r>
      <w:r w:rsidRPr="003052B9">
        <w:rPr>
          <w:lang w:val="fr-FR"/>
        </w:rPr>
        <w:t>informations entre les entreprises (nationales et internationales) est important pour sensibiliser et améliorer l</w:t>
      </w:r>
      <w:r w:rsidR="005A0776">
        <w:rPr>
          <w:lang w:val="fr-FR"/>
        </w:rPr>
        <w:t>’</w:t>
      </w:r>
      <w:r w:rsidRPr="003052B9">
        <w:rPr>
          <w:lang w:val="fr-FR"/>
        </w:rPr>
        <w:t>efficacité des processus.</w:t>
      </w:r>
      <w:r w:rsidRPr="00A44B75">
        <w:rPr>
          <w:lang w:val="fr-FR"/>
        </w:rPr>
        <w:t xml:space="preserve"> </w:t>
      </w:r>
      <w:r w:rsidRPr="003052B9">
        <w:rPr>
          <w:lang w:val="fr-FR"/>
        </w:rPr>
        <w:t>Une fois établies, un certain nombre d</w:t>
      </w:r>
      <w:r w:rsidR="005A0776">
        <w:rPr>
          <w:lang w:val="fr-FR"/>
        </w:rPr>
        <w:t>’</w:t>
      </w:r>
      <w:r w:rsidRPr="003052B9">
        <w:rPr>
          <w:lang w:val="fr-FR"/>
        </w:rPr>
        <w:t>entreprises ont acquis suffisamment de confiance pour continuer à participer au projet.</w:t>
      </w:r>
      <w:r w:rsidRPr="00A44B75">
        <w:rPr>
          <w:lang w:val="fr-FR"/>
        </w:rPr>
        <w:t xml:space="preserve"> </w:t>
      </w:r>
      <w:r w:rsidRPr="003052B9">
        <w:rPr>
          <w:lang w:val="fr-FR"/>
        </w:rPr>
        <w:t>De même, dans certains cas, l</w:t>
      </w:r>
      <w:r w:rsidR="005A0776">
        <w:rPr>
          <w:lang w:val="fr-FR"/>
        </w:rPr>
        <w:t>’</w:t>
      </w:r>
      <w:r w:rsidRPr="003052B9">
        <w:rPr>
          <w:lang w:val="fr-FR"/>
        </w:rPr>
        <w:t>échange d</w:t>
      </w:r>
      <w:r w:rsidR="005A0776">
        <w:rPr>
          <w:lang w:val="fr-FR"/>
        </w:rPr>
        <w:t>’</w:t>
      </w:r>
      <w:r w:rsidRPr="003052B9">
        <w:rPr>
          <w:lang w:val="fr-FR"/>
        </w:rPr>
        <w:t>expériences entre les pays visés à l</w:t>
      </w:r>
      <w:r w:rsidR="005A0776">
        <w:rPr>
          <w:lang w:val="fr-FR"/>
        </w:rPr>
        <w:t>’</w:t>
      </w:r>
      <w:r w:rsidRPr="003052B9">
        <w:rPr>
          <w:lang w:val="fr-FR"/>
        </w:rPr>
        <w:t>article 5 et ceux non visés par cet article était important pour soutenir la mise en place du programme de certification des techniciens.</w:t>
      </w:r>
      <w:r w:rsidRPr="00A44B75">
        <w:rPr>
          <w:lang w:val="fr-FR"/>
        </w:rPr>
        <w:t xml:space="preserve"> </w:t>
      </w:r>
      <w:r w:rsidRPr="003052B9">
        <w:rPr>
          <w:lang w:val="fr-FR"/>
        </w:rPr>
        <w:t>Il en va de même pour l</w:t>
      </w:r>
      <w:r w:rsidR="005A0776">
        <w:rPr>
          <w:lang w:val="fr-FR"/>
        </w:rPr>
        <w:t>’</w:t>
      </w:r>
      <w:r w:rsidRPr="003052B9">
        <w:rPr>
          <w:lang w:val="fr-FR"/>
        </w:rPr>
        <w:t>échange d</w:t>
      </w:r>
      <w:r w:rsidR="005A0776">
        <w:rPr>
          <w:lang w:val="fr-FR"/>
        </w:rPr>
        <w:t>’</w:t>
      </w:r>
      <w:r w:rsidRPr="003052B9">
        <w:rPr>
          <w:lang w:val="fr-FR"/>
        </w:rPr>
        <w:t xml:space="preserve">expériences entre </w:t>
      </w:r>
      <w:r w:rsidR="00F51FBA">
        <w:rPr>
          <w:lang w:val="fr-FR"/>
        </w:rPr>
        <w:t>parties prenantes</w:t>
      </w:r>
      <w:r w:rsidRPr="003052B9">
        <w:rPr>
          <w:lang w:val="fr-FR"/>
        </w:rPr>
        <w:t xml:space="preserve"> du secteur privé, en vue d</w:t>
      </w:r>
      <w:r w:rsidR="005A0776">
        <w:rPr>
          <w:lang w:val="fr-FR"/>
        </w:rPr>
        <w:t>’</w:t>
      </w:r>
      <w:r w:rsidRPr="003052B9">
        <w:rPr>
          <w:lang w:val="fr-FR"/>
        </w:rPr>
        <w:t>apporter la confiance nécessaire au lancement des programmes.</w:t>
      </w:r>
      <w:r w:rsidRPr="00A44B75">
        <w:rPr>
          <w:lang w:val="fr-FR"/>
        </w:rPr>
        <w:t xml:space="preserve"> </w:t>
      </w:r>
      <w:r w:rsidRPr="003052B9">
        <w:rPr>
          <w:lang w:val="fr-FR"/>
        </w:rPr>
        <w:t>Les réseaux créés dans le cadre du projet doivent être maintenus et renforcés.</w:t>
      </w:r>
      <w:r w:rsidRPr="00A44B75">
        <w:rPr>
          <w:lang w:val="fr-FR"/>
        </w:rPr>
        <w:t xml:space="preserve"> </w:t>
      </w:r>
    </w:p>
    <w:p w14:paraId="0B0AE856" w14:textId="216EF6BE" w:rsidR="003052B9" w:rsidRPr="00A44B75" w:rsidRDefault="003052B9" w:rsidP="0021415D">
      <w:pPr>
        <w:pStyle w:val="Heading1"/>
        <w:widowControl w:val="0"/>
        <w:spacing w:after="120"/>
        <w:rPr>
          <w:lang w:val="fr-FR"/>
        </w:rPr>
      </w:pPr>
      <w:r w:rsidRPr="003052B9">
        <w:rPr>
          <w:lang w:val="fr-FR"/>
        </w:rPr>
        <w:t>A l</w:t>
      </w:r>
      <w:r w:rsidR="005A0776">
        <w:rPr>
          <w:lang w:val="fr-FR"/>
        </w:rPr>
        <w:t>’</w:t>
      </w:r>
      <w:r w:rsidRPr="003052B9">
        <w:rPr>
          <w:lang w:val="fr-FR"/>
        </w:rPr>
        <w:t>inverse, le manque de communication adéquate entre une agence d</w:t>
      </w:r>
      <w:r w:rsidR="005A0776">
        <w:rPr>
          <w:lang w:val="fr-FR"/>
        </w:rPr>
        <w:t>’</w:t>
      </w:r>
      <w:r w:rsidRPr="003052B9">
        <w:rPr>
          <w:lang w:val="fr-FR"/>
        </w:rPr>
        <w:t>exécution et les parties prenantes du projet a été à l</w:t>
      </w:r>
      <w:r w:rsidR="005A0776">
        <w:rPr>
          <w:lang w:val="fr-FR"/>
        </w:rPr>
        <w:t>’</w:t>
      </w:r>
      <w:r w:rsidRPr="003052B9">
        <w:rPr>
          <w:lang w:val="fr-FR"/>
        </w:rPr>
        <w:t>origine de malentendus importants, qui dans un cas ont entraîné le changement d</w:t>
      </w:r>
      <w:r w:rsidR="005A0776">
        <w:rPr>
          <w:lang w:val="fr-FR"/>
        </w:rPr>
        <w:t>’</w:t>
      </w:r>
      <w:r w:rsidRPr="003052B9">
        <w:rPr>
          <w:lang w:val="fr-FR"/>
        </w:rPr>
        <w:t>agence d</w:t>
      </w:r>
      <w:r w:rsidR="005A0776">
        <w:rPr>
          <w:lang w:val="fr-FR"/>
        </w:rPr>
        <w:t>’</w:t>
      </w:r>
      <w:r w:rsidRPr="003052B9">
        <w:rPr>
          <w:lang w:val="fr-FR"/>
        </w:rPr>
        <w:t>exécution dans la phase suivante du projet.</w:t>
      </w:r>
      <w:r w:rsidRPr="00A44B75">
        <w:rPr>
          <w:lang w:val="fr-FR"/>
        </w:rPr>
        <w:t xml:space="preserve"> </w:t>
      </w:r>
      <w:r w:rsidRPr="003052B9">
        <w:rPr>
          <w:lang w:val="fr-FR"/>
        </w:rPr>
        <w:t>Il semble également nécessaire de clarifier le niveau de délégation d</w:t>
      </w:r>
      <w:r w:rsidR="005A0776">
        <w:rPr>
          <w:lang w:val="fr-FR"/>
        </w:rPr>
        <w:t>’</w:t>
      </w:r>
      <w:r w:rsidRPr="003052B9">
        <w:rPr>
          <w:lang w:val="fr-FR"/>
        </w:rPr>
        <w:t>autorité au représentant local de l</w:t>
      </w:r>
      <w:r w:rsidR="005A0776">
        <w:rPr>
          <w:lang w:val="fr-FR"/>
        </w:rPr>
        <w:t>’</w:t>
      </w:r>
      <w:r w:rsidRPr="003052B9">
        <w:rPr>
          <w:lang w:val="fr-FR"/>
        </w:rPr>
        <w:t>agence d</w:t>
      </w:r>
      <w:r w:rsidR="005A0776">
        <w:rPr>
          <w:lang w:val="fr-FR"/>
        </w:rPr>
        <w:t>’</w:t>
      </w:r>
      <w:r w:rsidRPr="003052B9">
        <w:rPr>
          <w:lang w:val="fr-FR"/>
        </w:rPr>
        <w:t>exécution en vue de renforcer l</w:t>
      </w:r>
      <w:r w:rsidR="005A0776">
        <w:rPr>
          <w:lang w:val="fr-FR"/>
        </w:rPr>
        <w:t>’</w:t>
      </w:r>
      <w:r w:rsidRPr="003052B9">
        <w:rPr>
          <w:lang w:val="fr-FR"/>
        </w:rPr>
        <w:t>efficacité des processus de mise en œuvre du projet.</w:t>
      </w:r>
      <w:r w:rsidRPr="00A44B75">
        <w:rPr>
          <w:lang w:val="fr-FR"/>
        </w:rPr>
        <w:t xml:space="preserve"> </w:t>
      </w:r>
      <w:r w:rsidRPr="003052B9">
        <w:rPr>
          <w:lang w:val="fr-FR"/>
        </w:rPr>
        <w:t>Les questions liées aux acquisitions doivent être bien définies dès la conception du projet afin d</w:t>
      </w:r>
      <w:r w:rsidR="005A0776">
        <w:rPr>
          <w:lang w:val="fr-FR"/>
        </w:rPr>
        <w:t>’</w:t>
      </w:r>
      <w:r w:rsidRPr="003052B9">
        <w:rPr>
          <w:lang w:val="fr-FR"/>
        </w:rPr>
        <w:t>éviter les retards potentiels dans la phase de mise en œuvre.</w:t>
      </w:r>
    </w:p>
    <w:p w14:paraId="00106680" w14:textId="1FCEB8CE" w:rsidR="005B6ECB" w:rsidRPr="00A44B75" w:rsidRDefault="003052B9" w:rsidP="0021415D">
      <w:pPr>
        <w:spacing w:after="120"/>
        <w:rPr>
          <w:u w:val="single"/>
          <w:shd w:val="clear" w:color="auto" w:fill="FFFFFF"/>
          <w:lang w:val="fr-FR"/>
        </w:rPr>
      </w:pPr>
      <w:r w:rsidRPr="00A37457">
        <w:rPr>
          <w:u w:val="single"/>
          <w:shd w:val="clear" w:color="auto" w:fill="FFFFFF"/>
          <w:lang w:val="fr-FR"/>
        </w:rPr>
        <w:t>Plan sectoriel des halons et des agents de transformation</w:t>
      </w:r>
    </w:p>
    <w:p w14:paraId="3C6D10D6" w14:textId="2E177326" w:rsidR="00A37457" w:rsidRPr="00A44B75" w:rsidRDefault="00A37457" w:rsidP="0021415D">
      <w:pPr>
        <w:pStyle w:val="Heading1"/>
        <w:widowControl w:val="0"/>
        <w:spacing w:after="120"/>
        <w:rPr>
          <w:lang w:val="fr-FR"/>
        </w:rPr>
      </w:pPr>
      <w:r w:rsidRPr="00A37457">
        <w:rPr>
          <w:lang w:val="fr-FR"/>
        </w:rPr>
        <w:t>Un enseignement à retenir est l</w:t>
      </w:r>
      <w:r w:rsidR="005A0776">
        <w:rPr>
          <w:lang w:val="fr-FR"/>
        </w:rPr>
        <w:t>’</w:t>
      </w:r>
      <w:r w:rsidRPr="00A37457">
        <w:rPr>
          <w:lang w:val="fr-FR"/>
        </w:rPr>
        <w:t>approche du plan sectoriel qui a permis à un pays de réaliser des projets compte tenu de sa situation intérieure.</w:t>
      </w:r>
      <w:r w:rsidRPr="00A44B75">
        <w:rPr>
          <w:lang w:val="fr-FR"/>
        </w:rPr>
        <w:t xml:space="preserve"> </w:t>
      </w:r>
      <w:r w:rsidRPr="00A37457">
        <w:rPr>
          <w:lang w:val="fr-FR"/>
        </w:rPr>
        <w:t>De nombreuses activités d</w:t>
      </w:r>
      <w:r w:rsidR="005A0776">
        <w:rPr>
          <w:lang w:val="fr-FR"/>
        </w:rPr>
        <w:t>’</w:t>
      </w:r>
      <w:r w:rsidRPr="00A37457">
        <w:rPr>
          <w:lang w:val="fr-FR"/>
        </w:rPr>
        <w:t>assistance technique et d</w:t>
      </w:r>
      <w:r w:rsidR="005A0776">
        <w:rPr>
          <w:lang w:val="fr-FR"/>
        </w:rPr>
        <w:t>’</w:t>
      </w:r>
      <w:r w:rsidRPr="00A37457">
        <w:rPr>
          <w:lang w:val="fr-FR"/>
        </w:rPr>
        <w:t>activités spéciales ont été réalisées, soutenues par des procédures de gestion et des mécanismes de fonctionnement précis, assurant un processus d</w:t>
      </w:r>
      <w:r w:rsidR="005A0776">
        <w:rPr>
          <w:lang w:val="fr-FR"/>
        </w:rPr>
        <w:t>’</w:t>
      </w:r>
      <w:r w:rsidRPr="00A37457">
        <w:rPr>
          <w:lang w:val="fr-FR"/>
        </w:rPr>
        <w:t>élimination en douceur.</w:t>
      </w:r>
    </w:p>
    <w:p w14:paraId="76D3F7FF" w14:textId="703488B8" w:rsidR="00ED06D2" w:rsidRPr="00A44B75" w:rsidRDefault="00A37457" w:rsidP="0021415D">
      <w:pPr>
        <w:pStyle w:val="Heading1"/>
        <w:widowControl w:val="0"/>
        <w:spacing w:after="120"/>
        <w:rPr>
          <w:lang w:val="fr-FR"/>
        </w:rPr>
      </w:pPr>
      <w:r w:rsidRPr="00A37457">
        <w:rPr>
          <w:lang w:val="fr-FR"/>
        </w:rPr>
        <w:t>Le concept d</w:t>
      </w:r>
      <w:r w:rsidR="005A0776">
        <w:rPr>
          <w:lang w:val="fr-FR"/>
        </w:rPr>
        <w:t>’</w:t>
      </w:r>
      <w:r w:rsidRPr="00A37457">
        <w:rPr>
          <w:lang w:val="fr-FR"/>
        </w:rPr>
        <w:t xml:space="preserve">approbation de </w:t>
      </w:r>
      <w:r w:rsidRPr="00F51FBA">
        <w:rPr>
          <w:lang w:val="fr-FR"/>
        </w:rPr>
        <w:t xml:space="preserve">principe </w:t>
      </w:r>
      <w:r w:rsidR="00F51FBA" w:rsidRPr="00F51FBA">
        <w:rPr>
          <w:lang w:val="fr-FR"/>
        </w:rPr>
        <w:t>avec le Fonds multilatéral</w:t>
      </w:r>
      <w:r w:rsidR="00F51FBA" w:rsidRPr="00A37457">
        <w:rPr>
          <w:lang w:val="fr-FR"/>
        </w:rPr>
        <w:t xml:space="preserve"> </w:t>
      </w:r>
      <w:r w:rsidRPr="00A37457">
        <w:rPr>
          <w:lang w:val="fr-FR"/>
        </w:rPr>
        <w:t>d</w:t>
      </w:r>
      <w:r w:rsidR="005A0776">
        <w:rPr>
          <w:lang w:val="fr-FR"/>
        </w:rPr>
        <w:t>’</w:t>
      </w:r>
      <w:r w:rsidRPr="00A37457">
        <w:rPr>
          <w:lang w:val="fr-FR"/>
        </w:rPr>
        <w:t xml:space="preserve">un plan sectoriel global </w:t>
      </w:r>
      <w:r w:rsidR="00F44AD7">
        <w:rPr>
          <w:lang w:val="fr-FR"/>
        </w:rPr>
        <w:t>comportant</w:t>
      </w:r>
      <w:r w:rsidRPr="00A37457">
        <w:rPr>
          <w:lang w:val="fr-FR"/>
        </w:rPr>
        <w:t xml:space="preserve"> des tranches annuelles initiales était important pour le pays et l</w:t>
      </w:r>
      <w:r w:rsidR="005A0776">
        <w:rPr>
          <w:lang w:val="fr-FR"/>
        </w:rPr>
        <w:t>’</w:t>
      </w:r>
      <w:r w:rsidRPr="00A37457">
        <w:rPr>
          <w:lang w:val="fr-FR"/>
        </w:rPr>
        <w:t>industrie.</w:t>
      </w:r>
      <w:r w:rsidRPr="00A44B75">
        <w:rPr>
          <w:lang w:val="fr-FR"/>
        </w:rPr>
        <w:t xml:space="preserve"> </w:t>
      </w:r>
      <w:r w:rsidR="00ED06D2" w:rsidRPr="00ED06D2">
        <w:rPr>
          <w:lang w:val="fr-FR"/>
        </w:rPr>
        <w:t>En effet, le fait de connaître le montant du financement total et des tranches annuelles a permis à l</w:t>
      </w:r>
      <w:r w:rsidR="005A0776">
        <w:rPr>
          <w:lang w:val="fr-FR"/>
        </w:rPr>
        <w:t>’</w:t>
      </w:r>
      <w:r w:rsidR="00ED06D2" w:rsidRPr="00ED06D2">
        <w:rPr>
          <w:lang w:val="fr-FR"/>
        </w:rPr>
        <w:t>industrie de planifier l</w:t>
      </w:r>
      <w:r w:rsidR="005A0776">
        <w:rPr>
          <w:lang w:val="fr-FR"/>
        </w:rPr>
        <w:t>’</w:t>
      </w:r>
      <w:r w:rsidR="00ED06D2" w:rsidRPr="00ED06D2">
        <w:rPr>
          <w:lang w:val="fr-FR"/>
        </w:rPr>
        <w:t>élimination de manière plus rentable et a lim</w:t>
      </w:r>
      <w:r w:rsidR="00F51FBA">
        <w:rPr>
          <w:lang w:val="fr-FR"/>
        </w:rPr>
        <w:t>i</w:t>
      </w:r>
      <w:r w:rsidR="00ED06D2" w:rsidRPr="00ED06D2">
        <w:rPr>
          <w:lang w:val="fr-FR"/>
        </w:rPr>
        <w:t>té les impacts tant au niveau national qu</w:t>
      </w:r>
      <w:r w:rsidR="005A0776">
        <w:rPr>
          <w:lang w:val="fr-FR"/>
        </w:rPr>
        <w:t>’</w:t>
      </w:r>
      <w:r w:rsidR="00ED06D2" w:rsidRPr="00ED06D2">
        <w:rPr>
          <w:lang w:val="fr-FR"/>
        </w:rPr>
        <w:t>au niveau de l</w:t>
      </w:r>
      <w:r w:rsidR="005A0776">
        <w:rPr>
          <w:lang w:val="fr-FR"/>
        </w:rPr>
        <w:t>’</w:t>
      </w:r>
      <w:r w:rsidR="00ED06D2" w:rsidRPr="00ED06D2">
        <w:rPr>
          <w:lang w:val="fr-FR"/>
        </w:rPr>
        <w:t>entreprise.</w:t>
      </w:r>
      <w:r w:rsidR="00ED06D2" w:rsidRPr="00A44B75">
        <w:rPr>
          <w:lang w:val="fr-FR"/>
        </w:rPr>
        <w:t xml:space="preserve"> </w:t>
      </w:r>
      <w:r w:rsidR="00ED06D2" w:rsidRPr="00ED06D2">
        <w:rPr>
          <w:lang w:val="fr-FR"/>
        </w:rPr>
        <w:t>En raison de la durée du plan sectoriel, il était important que le pays ait la flexibilité d</w:t>
      </w:r>
      <w:r w:rsidR="005A0776">
        <w:rPr>
          <w:lang w:val="fr-FR"/>
        </w:rPr>
        <w:t>’</w:t>
      </w:r>
      <w:r w:rsidR="00ED06D2" w:rsidRPr="00ED06D2">
        <w:rPr>
          <w:lang w:val="fr-FR"/>
        </w:rPr>
        <w:t>utiliser le financement pour des activités d</w:t>
      </w:r>
      <w:r w:rsidR="005A0776">
        <w:rPr>
          <w:lang w:val="fr-FR"/>
        </w:rPr>
        <w:t>’</w:t>
      </w:r>
      <w:r w:rsidR="00ED06D2" w:rsidRPr="00ED06D2">
        <w:rPr>
          <w:lang w:val="fr-FR"/>
        </w:rPr>
        <w:t>élimination des SAO.</w:t>
      </w:r>
      <w:r w:rsidR="00ED06D2" w:rsidRPr="00A44B75">
        <w:rPr>
          <w:lang w:val="fr-FR"/>
        </w:rPr>
        <w:t xml:space="preserve"> </w:t>
      </w:r>
      <w:r w:rsidR="00ED06D2" w:rsidRPr="00ED06D2">
        <w:rPr>
          <w:lang w:val="fr-FR"/>
        </w:rPr>
        <w:t>Une bonne coopération et une bonne communication entre les parties prenantes ont été un facteur clé de réussite, notamment grâce à l</w:t>
      </w:r>
      <w:r w:rsidR="005A0776">
        <w:rPr>
          <w:lang w:val="fr-FR"/>
        </w:rPr>
        <w:t>’</w:t>
      </w:r>
      <w:r w:rsidR="00ED06D2" w:rsidRPr="00ED06D2">
        <w:rPr>
          <w:lang w:val="fr-FR"/>
        </w:rPr>
        <w:t>assistance de l</w:t>
      </w:r>
      <w:r w:rsidR="005A0776">
        <w:rPr>
          <w:lang w:val="fr-FR"/>
        </w:rPr>
        <w:t>’</w:t>
      </w:r>
      <w:r w:rsidR="00ED06D2" w:rsidRPr="00ED06D2">
        <w:rPr>
          <w:lang w:val="fr-FR"/>
        </w:rPr>
        <w:t>agence d</w:t>
      </w:r>
      <w:r w:rsidR="005A0776">
        <w:rPr>
          <w:lang w:val="fr-FR"/>
        </w:rPr>
        <w:t>’</w:t>
      </w:r>
      <w:r w:rsidR="00ED06D2" w:rsidRPr="00ED06D2">
        <w:rPr>
          <w:lang w:val="fr-FR"/>
        </w:rPr>
        <w:t>exécution dans la préparation du programme annuel, la vérification de projet, l</w:t>
      </w:r>
      <w:r w:rsidR="005A0776">
        <w:rPr>
          <w:lang w:val="fr-FR"/>
        </w:rPr>
        <w:t>’</w:t>
      </w:r>
      <w:r w:rsidR="00ED06D2" w:rsidRPr="00ED06D2">
        <w:rPr>
          <w:lang w:val="fr-FR"/>
        </w:rPr>
        <w:t>élaboration des politiques et la gestion du projet.</w:t>
      </w:r>
    </w:p>
    <w:p w14:paraId="50236F7A" w14:textId="6E9BE5CA" w:rsidR="00027D3B" w:rsidRPr="00A44B75" w:rsidRDefault="00027D3B" w:rsidP="0021415D">
      <w:pPr>
        <w:pStyle w:val="Heading1"/>
        <w:widowControl w:val="0"/>
        <w:spacing w:after="120"/>
        <w:rPr>
          <w:lang w:val="fr-FR"/>
        </w:rPr>
      </w:pPr>
      <w:r w:rsidRPr="00027D3B">
        <w:rPr>
          <w:lang w:val="fr-FR"/>
        </w:rPr>
        <w:t>La préparation de projet a joué un rôle important dans le projet de recyclage des halons, qui devait s</w:t>
      </w:r>
      <w:r w:rsidR="005A0776">
        <w:rPr>
          <w:lang w:val="fr-FR"/>
        </w:rPr>
        <w:t>’</w:t>
      </w:r>
      <w:r w:rsidRPr="00027D3B">
        <w:rPr>
          <w:lang w:val="fr-FR"/>
        </w:rPr>
        <w:t>appuyer sur des halons récupérés et régénérés pour couvrir les futures demandes d</w:t>
      </w:r>
      <w:r w:rsidR="005A0776">
        <w:rPr>
          <w:lang w:val="fr-FR"/>
        </w:rPr>
        <w:t>’</w:t>
      </w:r>
      <w:r w:rsidRPr="00027D3B">
        <w:rPr>
          <w:lang w:val="fr-FR"/>
        </w:rPr>
        <w:t>utilisations critiques telles que celles de l</w:t>
      </w:r>
      <w:r w:rsidR="005A0776">
        <w:rPr>
          <w:lang w:val="fr-FR"/>
        </w:rPr>
        <w:t>’</w:t>
      </w:r>
      <w:r w:rsidRPr="00027D3B">
        <w:rPr>
          <w:lang w:val="fr-FR"/>
        </w:rPr>
        <w:t>aviation civile.</w:t>
      </w:r>
      <w:r w:rsidRPr="00A44B75">
        <w:rPr>
          <w:lang w:val="fr-FR"/>
        </w:rPr>
        <w:t xml:space="preserve"> </w:t>
      </w:r>
      <w:r w:rsidRPr="00027D3B">
        <w:rPr>
          <w:lang w:val="fr-FR"/>
        </w:rPr>
        <w:t>Afin de mieux comprendre la disponibilité potentielle des halons, le pays a mené un certain nombre d</w:t>
      </w:r>
      <w:r w:rsidR="005A0776">
        <w:rPr>
          <w:lang w:val="fr-FR"/>
        </w:rPr>
        <w:t>’</w:t>
      </w:r>
      <w:r w:rsidRPr="00027D3B">
        <w:rPr>
          <w:lang w:val="fr-FR"/>
        </w:rPr>
        <w:t>études.</w:t>
      </w:r>
      <w:r w:rsidRPr="00A44B75">
        <w:rPr>
          <w:lang w:val="fr-FR"/>
        </w:rPr>
        <w:t xml:space="preserve"> </w:t>
      </w:r>
      <w:r w:rsidRPr="00027D3B">
        <w:rPr>
          <w:lang w:val="fr-FR"/>
        </w:rPr>
        <w:t>La mise en place d</w:t>
      </w:r>
      <w:r w:rsidR="005A0776">
        <w:rPr>
          <w:lang w:val="fr-FR"/>
        </w:rPr>
        <w:t>’</w:t>
      </w:r>
      <w:r w:rsidRPr="00027D3B">
        <w:rPr>
          <w:lang w:val="fr-FR"/>
        </w:rPr>
        <w:t>un système national de recyclage et de gestion des halons a été l</w:t>
      </w:r>
      <w:r w:rsidR="005A0776">
        <w:rPr>
          <w:lang w:val="fr-FR"/>
        </w:rPr>
        <w:t>’</w:t>
      </w:r>
      <w:r w:rsidRPr="00027D3B">
        <w:rPr>
          <w:lang w:val="fr-FR"/>
        </w:rPr>
        <w:t>une des activités les plus importantes décrites dans le plan d</w:t>
      </w:r>
      <w:r w:rsidR="005A0776">
        <w:rPr>
          <w:lang w:val="fr-FR"/>
        </w:rPr>
        <w:t>’</w:t>
      </w:r>
      <w:r w:rsidRPr="00027D3B">
        <w:rPr>
          <w:lang w:val="fr-FR"/>
        </w:rPr>
        <w:t>élimination du secteur.</w:t>
      </w:r>
      <w:r w:rsidRPr="00A44B75">
        <w:rPr>
          <w:lang w:val="fr-FR"/>
        </w:rPr>
        <w:t xml:space="preserve"> </w:t>
      </w:r>
    </w:p>
    <w:p w14:paraId="472D604F" w14:textId="0559F58A" w:rsidR="00F65696" w:rsidRPr="00A44B75" w:rsidRDefault="00027D3B" w:rsidP="00F65696">
      <w:pPr>
        <w:pStyle w:val="Heading1"/>
        <w:widowControl w:val="0"/>
        <w:spacing w:before="240"/>
        <w:rPr>
          <w:lang w:val="fr-FR"/>
        </w:rPr>
      </w:pPr>
      <w:r w:rsidRPr="00027D3B">
        <w:rPr>
          <w:lang w:val="fr-FR"/>
        </w:rPr>
        <w:t>Dans un projet, la fermeture de l</w:t>
      </w:r>
      <w:r w:rsidR="005A0776">
        <w:rPr>
          <w:lang w:val="fr-FR"/>
        </w:rPr>
        <w:t>’</w:t>
      </w:r>
      <w:r w:rsidRPr="00027D3B">
        <w:rPr>
          <w:lang w:val="fr-FR"/>
        </w:rPr>
        <w:t>usine était techniquement la seule approche pour l</w:t>
      </w:r>
      <w:r w:rsidR="005A0776">
        <w:rPr>
          <w:lang w:val="fr-FR"/>
        </w:rPr>
        <w:t>’</w:t>
      </w:r>
      <w:r w:rsidRPr="00027D3B">
        <w:rPr>
          <w:lang w:val="fr-FR"/>
        </w:rPr>
        <w:t xml:space="preserve">élimination de </w:t>
      </w:r>
      <w:r w:rsidR="005C2F25">
        <w:rPr>
          <w:lang w:val="fr-FR"/>
        </w:rPr>
        <w:t>l</w:t>
      </w:r>
      <w:r w:rsidR="005A0776">
        <w:rPr>
          <w:lang w:val="fr-FR"/>
        </w:rPr>
        <w:t>’</w:t>
      </w:r>
      <w:r w:rsidRPr="00027D3B">
        <w:rPr>
          <w:lang w:val="fr-FR"/>
        </w:rPr>
        <w:t>agent de transformation, une SAO, du fait de la non-disponibilité d</w:t>
      </w:r>
      <w:r w:rsidR="005A0776">
        <w:rPr>
          <w:lang w:val="fr-FR"/>
        </w:rPr>
        <w:t>’</w:t>
      </w:r>
      <w:r w:rsidRPr="00027D3B">
        <w:rPr>
          <w:lang w:val="fr-FR"/>
        </w:rPr>
        <w:t>une technologie de remplacement, ce qui a entraîné une perte pour les entreprises sur le marché de la production.</w:t>
      </w:r>
      <w:r w:rsidRPr="00A44B75">
        <w:rPr>
          <w:lang w:val="fr-FR"/>
        </w:rPr>
        <w:t xml:space="preserve"> </w:t>
      </w:r>
      <w:r w:rsidR="00F65696" w:rsidRPr="00F65696">
        <w:rPr>
          <w:lang w:val="fr-FR"/>
        </w:rPr>
        <w:t>Aucune voie de transfert de technologie n</w:t>
      </w:r>
      <w:r w:rsidR="005A0776">
        <w:rPr>
          <w:lang w:val="fr-FR"/>
        </w:rPr>
        <w:t>’</w:t>
      </w:r>
      <w:r w:rsidR="00F65696" w:rsidRPr="00F65696">
        <w:rPr>
          <w:lang w:val="fr-FR"/>
        </w:rPr>
        <w:t>a été mise en place entre les pays visés à l</w:t>
      </w:r>
      <w:r w:rsidR="005A0776">
        <w:rPr>
          <w:lang w:val="fr-FR"/>
        </w:rPr>
        <w:t>’</w:t>
      </w:r>
      <w:r w:rsidR="00F65696" w:rsidRPr="00F65696">
        <w:rPr>
          <w:lang w:val="fr-FR"/>
        </w:rPr>
        <w:t>article 5 et les pays non visés par cet article concernant les technologies de remplacement pour l</w:t>
      </w:r>
      <w:r w:rsidR="005A0776">
        <w:rPr>
          <w:lang w:val="fr-FR"/>
        </w:rPr>
        <w:t>’</w:t>
      </w:r>
      <w:r w:rsidR="00F65696" w:rsidRPr="00F65696">
        <w:rPr>
          <w:lang w:val="fr-FR"/>
        </w:rPr>
        <w:t>élimination du CTC en tant qu</w:t>
      </w:r>
      <w:r w:rsidR="005A0776">
        <w:rPr>
          <w:lang w:val="fr-FR"/>
        </w:rPr>
        <w:t>’</w:t>
      </w:r>
      <w:r w:rsidR="00F65696" w:rsidRPr="00F65696">
        <w:rPr>
          <w:lang w:val="fr-FR"/>
        </w:rPr>
        <w:t>agent de transformation ; en conséquence, les entreprises du pays n</w:t>
      </w:r>
      <w:r w:rsidR="005A0776">
        <w:rPr>
          <w:lang w:val="fr-FR"/>
        </w:rPr>
        <w:t>’</w:t>
      </w:r>
      <w:r w:rsidR="00F65696" w:rsidRPr="00F65696">
        <w:rPr>
          <w:lang w:val="fr-FR"/>
        </w:rPr>
        <w:t>ont que des approches d</w:t>
      </w:r>
      <w:r w:rsidR="005A0776">
        <w:rPr>
          <w:lang w:val="fr-FR"/>
        </w:rPr>
        <w:t>’</w:t>
      </w:r>
      <w:r w:rsidR="00F65696" w:rsidRPr="00F65696">
        <w:rPr>
          <w:lang w:val="fr-FR"/>
        </w:rPr>
        <w:t xml:space="preserve">élimination limitées </w:t>
      </w:r>
      <w:r w:rsidR="00F65696" w:rsidRPr="005C2F25">
        <w:rPr>
          <w:lang w:val="fr-FR"/>
        </w:rPr>
        <w:t>et sont confrontées à de grandes incertitudes dans la mise en œuvre de l</w:t>
      </w:r>
      <w:r w:rsidR="005A0776">
        <w:rPr>
          <w:lang w:val="fr-FR"/>
        </w:rPr>
        <w:t>’</w:t>
      </w:r>
      <w:r w:rsidR="00F65696" w:rsidRPr="005C2F25">
        <w:rPr>
          <w:lang w:val="fr-FR"/>
        </w:rPr>
        <w:t>élimination du CTC.</w:t>
      </w:r>
      <w:r w:rsidR="00F65696" w:rsidRPr="00A44B75">
        <w:rPr>
          <w:lang w:val="fr-FR"/>
        </w:rPr>
        <w:t xml:space="preserve"> </w:t>
      </w:r>
      <w:r w:rsidR="00F65696" w:rsidRPr="00F65696">
        <w:rPr>
          <w:lang w:val="fr-FR"/>
        </w:rPr>
        <w:t xml:space="preserve">Une entreprise faisait exception et a choisi la technologie de contrôle des émissions, basée sur sa technologie interne, mais a </w:t>
      </w:r>
      <w:r w:rsidR="005C2F25">
        <w:rPr>
          <w:lang w:val="fr-FR"/>
        </w:rPr>
        <w:t xml:space="preserve">déployé des </w:t>
      </w:r>
      <w:r w:rsidR="00F65696" w:rsidRPr="00F65696">
        <w:rPr>
          <w:lang w:val="fr-FR"/>
        </w:rPr>
        <w:t>efforts</w:t>
      </w:r>
      <w:r w:rsidR="005C2F25">
        <w:rPr>
          <w:lang w:val="fr-FR"/>
        </w:rPr>
        <w:t xml:space="preserve"> </w:t>
      </w:r>
      <w:r w:rsidR="009A564E">
        <w:rPr>
          <w:lang w:val="fr-FR"/>
        </w:rPr>
        <w:t>considérables</w:t>
      </w:r>
      <w:r w:rsidR="00F65696" w:rsidRPr="00F65696">
        <w:rPr>
          <w:lang w:val="fr-FR"/>
        </w:rPr>
        <w:t xml:space="preserve"> pour atteindre l</w:t>
      </w:r>
      <w:r w:rsidR="005A0776">
        <w:rPr>
          <w:lang w:val="fr-FR"/>
        </w:rPr>
        <w:t>’</w:t>
      </w:r>
      <w:r w:rsidR="00F65696" w:rsidRPr="00F65696">
        <w:rPr>
          <w:lang w:val="fr-FR"/>
        </w:rPr>
        <w:t>objectif final, n</w:t>
      </w:r>
      <w:r w:rsidR="005A0776">
        <w:rPr>
          <w:lang w:val="fr-FR"/>
        </w:rPr>
        <w:t>’</w:t>
      </w:r>
      <w:r w:rsidR="00F65696" w:rsidRPr="00F65696">
        <w:rPr>
          <w:lang w:val="fr-FR"/>
        </w:rPr>
        <w:t>ayant reçu aucune aide officielle d</w:t>
      </w:r>
      <w:r w:rsidR="005A0776">
        <w:rPr>
          <w:lang w:val="fr-FR"/>
        </w:rPr>
        <w:t>’</w:t>
      </w:r>
      <w:r w:rsidR="00F65696" w:rsidRPr="00F65696">
        <w:rPr>
          <w:lang w:val="fr-FR"/>
        </w:rPr>
        <w:t>entreprises étrangères ou d</w:t>
      </w:r>
      <w:r w:rsidR="005A0776">
        <w:rPr>
          <w:lang w:val="fr-FR"/>
        </w:rPr>
        <w:t>’</w:t>
      </w:r>
      <w:r w:rsidR="00F65696" w:rsidRPr="00F65696">
        <w:rPr>
          <w:lang w:val="fr-FR"/>
        </w:rPr>
        <w:t>experts en matière d</w:t>
      </w:r>
      <w:r w:rsidR="005A0776">
        <w:rPr>
          <w:lang w:val="fr-FR"/>
        </w:rPr>
        <w:t>’</w:t>
      </w:r>
      <w:r w:rsidR="00F65696" w:rsidRPr="00F65696">
        <w:rPr>
          <w:lang w:val="fr-FR"/>
        </w:rPr>
        <w:t>échanges technologiques.</w:t>
      </w:r>
      <w:r w:rsidR="00F65696" w:rsidRPr="00A44B75">
        <w:rPr>
          <w:lang w:val="fr-FR"/>
        </w:rPr>
        <w:t xml:space="preserve"> </w:t>
      </w:r>
      <w:r w:rsidR="00F65696" w:rsidRPr="00F65696">
        <w:rPr>
          <w:lang w:val="fr-FR"/>
        </w:rPr>
        <w:t>Étant donné que les technologies de substitution ne sont pas disponibles pour tous les produits et que les technologies étrangères sont protégées par des brevets et ne sont pas transférables, une R&amp;D locale aurait été nécessaire pour l</w:t>
      </w:r>
      <w:r w:rsidR="005A0776">
        <w:rPr>
          <w:lang w:val="fr-FR"/>
        </w:rPr>
        <w:t>’</w:t>
      </w:r>
      <w:r w:rsidR="00F65696" w:rsidRPr="00F65696">
        <w:rPr>
          <w:lang w:val="fr-FR"/>
        </w:rPr>
        <w:t xml:space="preserve">élimination de </w:t>
      </w:r>
      <w:r w:rsidR="005C2F25">
        <w:rPr>
          <w:lang w:val="fr-FR"/>
        </w:rPr>
        <w:t>l</w:t>
      </w:r>
      <w:r w:rsidR="009A564E">
        <w:rPr>
          <w:lang w:val="fr-FR"/>
        </w:rPr>
        <w:t xml:space="preserve">a SAO </w:t>
      </w:r>
      <w:r w:rsidR="00F65696" w:rsidRPr="00F65696">
        <w:rPr>
          <w:lang w:val="fr-FR"/>
        </w:rPr>
        <w:t>agent de transformation</w:t>
      </w:r>
      <w:r w:rsidR="009A564E">
        <w:rPr>
          <w:lang w:val="fr-FR"/>
        </w:rPr>
        <w:t> </w:t>
      </w:r>
      <w:r w:rsidR="00F65696" w:rsidRPr="00F65696">
        <w:rPr>
          <w:lang w:val="fr-FR"/>
        </w:rPr>
        <w:t xml:space="preserve">; pays aurait </w:t>
      </w:r>
      <w:r w:rsidR="00F44AD7">
        <w:rPr>
          <w:lang w:val="fr-FR"/>
        </w:rPr>
        <w:t xml:space="preserve">ainsi </w:t>
      </w:r>
      <w:r w:rsidR="00F65696" w:rsidRPr="00F65696">
        <w:rPr>
          <w:lang w:val="fr-FR"/>
        </w:rPr>
        <w:t>apprécié de pouvoir utiliser une partie des fonds pour soutenir les activités de R&amp;D nécessaires.</w:t>
      </w:r>
    </w:p>
    <w:p w14:paraId="326293C3" w14:textId="080545DE" w:rsidR="00F65696" w:rsidRPr="00A44B75" w:rsidRDefault="00F65696" w:rsidP="00F65696">
      <w:pPr>
        <w:pStyle w:val="Heading1"/>
        <w:widowControl w:val="0"/>
        <w:spacing w:before="240"/>
        <w:rPr>
          <w:lang w:val="fr-FR"/>
        </w:rPr>
      </w:pPr>
      <w:r w:rsidRPr="00F65696">
        <w:rPr>
          <w:lang w:val="fr-FR"/>
        </w:rPr>
        <w:lastRenderedPageBreak/>
        <w:t>L</w:t>
      </w:r>
      <w:r w:rsidR="005A0776">
        <w:rPr>
          <w:lang w:val="fr-FR"/>
        </w:rPr>
        <w:t>’</w:t>
      </w:r>
      <w:r w:rsidRPr="00F65696">
        <w:rPr>
          <w:lang w:val="fr-FR"/>
        </w:rPr>
        <w:t>objectif du plan sectoriel des agents de transformation</w:t>
      </w:r>
      <w:r w:rsidR="005C2F25">
        <w:rPr>
          <w:lang w:val="fr-FR"/>
        </w:rPr>
        <w:t xml:space="preserve"> </w:t>
      </w:r>
      <w:r w:rsidRPr="00F65696">
        <w:rPr>
          <w:lang w:val="fr-FR"/>
        </w:rPr>
        <w:t>(phase II) était l</w:t>
      </w:r>
      <w:r w:rsidR="005A0776">
        <w:rPr>
          <w:lang w:val="fr-FR"/>
        </w:rPr>
        <w:t>’</w:t>
      </w:r>
      <w:r w:rsidRPr="00F65696">
        <w:rPr>
          <w:lang w:val="fr-FR"/>
        </w:rPr>
        <w:t>élimination du CTC utilisé dans des applications d</w:t>
      </w:r>
      <w:r w:rsidR="005A0776">
        <w:rPr>
          <w:lang w:val="fr-FR"/>
        </w:rPr>
        <w:t>’</w:t>
      </w:r>
      <w:r w:rsidRPr="00F65696">
        <w:rPr>
          <w:lang w:val="fr-FR"/>
        </w:rPr>
        <w:t>agent de transformation qui avaient été ajoutées depuis l</w:t>
      </w:r>
      <w:r w:rsidR="005A0776">
        <w:rPr>
          <w:lang w:val="fr-FR"/>
        </w:rPr>
        <w:t>’</w:t>
      </w:r>
      <w:r w:rsidRPr="00F65696">
        <w:rPr>
          <w:lang w:val="fr-FR"/>
        </w:rPr>
        <w:t>approbation de la phase I. Le pays a convenu qu</w:t>
      </w:r>
      <w:r w:rsidR="005A0776">
        <w:rPr>
          <w:lang w:val="fr-FR"/>
        </w:rPr>
        <w:t>’</w:t>
      </w:r>
      <w:r w:rsidRPr="00F65696">
        <w:rPr>
          <w:lang w:val="fr-FR"/>
        </w:rPr>
        <w:t>il ne demanderait plus d</w:t>
      </w:r>
      <w:r w:rsidR="005A0776">
        <w:rPr>
          <w:lang w:val="fr-FR"/>
        </w:rPr>
        <w:t>’</w:t>
      </w:r>
      <w:r w:rsidRPr="00F65696">
        <w:rPr>
          <w:lang w:val="fr-FR"/>
        </w:rPr>
        <w:t>assistance si des applications de transformation supplémentaires étaient ajoutées à la liste, mais utiliserait à la place le financement du plan sectoriel de la phase II et ses propres fonds pour l</w:t>
      </w:r>
      <w:r w:rsidR="005A0776">
        <w:rPr>
          <w:lang w:val="fr-FR"/>
        </w:rPr>
        <w:t>’</w:t>
      </w:r>
      <w:r w:rsidRPr="00F65696">
        <w:rPr>
          <w:lang w:val="fr-FR"/>
        </w:rPr>
        <w:t>élimination progressive de ces applications.</w:t>
      </w:r>
      <w:r w:rsidRPr="00A44B75">
        <w:rPr>
          <w:lang w:val="fr-FR"/>
        </w:rPr>
        <w:t xml:space="preserve"> </w:t>
      </w:r>
      <w:r w:rsidRPr="00F65696">
        <w:rPr>
          <w:lang w:val="fr-FR"/>
        </w:rPr>
        <w:t>Par exemple, les résidus à haut point d</w:t>
      </w:r>
      <w:r w:rsidR="005A0776">
        <w:rPr>
          <w:lang w:val="fr-FR"/>
        </w:rPr>
        <w:t>’</w:t>
      </w:r>
      <w:r w:rsidRPr="00F65696">
        <w:rPr>
          <w:lang w:val="fr-FR"/>
        </w:rPr>
        <w:t>ébullition de la production de CTC contiennent une certaine quantité de CTC qui ont été utilisés à d</w:t>
      </w:r>
      <w:r w:rsidR="005A0776">
        <w:rPr>
          <w:lang w:val="fr-FR"/>
        </w:rPr>
        <w:t>’</w:t>
      </w:r>
      <w:r w:rsidRPr="00F65696">
        <w:rPr>
          <w:lang w:val="fr-FR"/>
        </w:rPr>
        <w:t>autres fins et vendus à des entreprises de gestion des déchets en vue de leur destruction.</w:t>
      </w:r>
      <w:r w:rsidRPr="00A44B75">
        <w:rPr>
          <w:lang w:val="fr-FR"/>
        </w:rPr>
        <w:t xml:space="preserve"> </w:t>
      </w:r>
      <w:r w:rsidRPr="00F65696">
        <w:rPr>
          <w:lang w:val="fr-FR"/>
        </w:rPr>
        <w:t xml:space="preserve">Il a été </w:t>
      </w:r>
      <w:r w:rsidRPr="005C2F25">
        <w:rPr>
          <w:lang w:val="fr-FR"/>
        </w:rPr>
        <w:t xml:space="preserve">décidé </w:t>
      </w:r>
      <w:r w:rsidR="005C2F25" w:rsidRPr="005C2F25">
        <w:rPr>
          <w:lang w:val="fr-FR"/>
        </w:rPr>
        <w:t>que le CTC ne</w:t>
      </w:r>
      <w:r w:rsidRPr="005C2F25">
        <w:rPr>
          <w:lang w:val="fr-FR"/>
        </w:rPr>
        <w:t xml:space="preserve"> pouvait pas être vendu et </w:t>
      </w:r>
      <w:r w:rsidR="005C2F25" w:rsidRPr="005C2F25">
        <w:rPr>
          <w:lang w:val="fr-FR"/>
        </w:rPr>
        <w:t>devait</w:t>
      </w:r>
      <w:r w:rsidRPr="005C2F25">
        <w:rPr>
          <w:lang w:val="fr-FR"/>
        </w:rPr>
        <w:t xml:space="preserve"> être détruit</w:t>
      </w:r>
      <w:r w:rsidR="005C2F25" w:rsidRPr="005C2F25">
        <w:rPr>
          <w:lang w:val="fr-FR"/>
        </w:rPr>
        <w:t xml:space="preserve"> </w:t>
      </w:r>
      <w:r w:rsidRPr="005C2F25">
        <w:rPr>
          <w:lang w:val="fr-FR"/>
        </w:rPr>
        <w:t>en interne.</w:t>
      </w:r>
      <w:r w:rsidRPr="00A44B75">
        <w:rPr>
          <w:lang w:val="fr-FR"/>
        </w:rPr>
        <w:t xml:space="preserve"> </w:t>
      </w:r>
      <w:r w:rsidRPr="00F65696">
        <w:rPr>
          <w:lang w:val="fr-FR"/>
        </w:rPr>
        <w:t>Afin de s</w:t>
      </w:r>
      <w:r w:rsidR="005A0776">
        <w:rPr>
          <w:lang w:val="fr-FR"/>
        </w:rPr>
        <w:t>’</w:t>
      </w:r>
      <w:r w:rsidRPr="00F65696">
        <w:rPr>
          <w:lang w:val="fr-FR"/>
        </w:rPr>
        <w:t>assurer que tous les producteurs de CTC disposaient de la capacité de destruction interne nécessaire, un financement de la phase II du plan sectoriel leur a été proposé pour adapter la capacité de destruction existante ou pour mettre en place de nouvelles installations de destruction.</w:t>
      </w:r>
    </w:p>
    <w:p w14:paraId="15BB7C96" w14:textId="040412E3" w:rsidR="00222C40" w:rsidRPr="00A44B75" w:rsidRDefault="00F65696" w:rsidP="00F65696">
      <w:pPr>
        <w:pStyle w:val="IIntroduction"/>
        <w:keepNext/>
        <w:widowControl w:val="0"/>
        <w:numPr>
          <w:ilvl w:val="0"/>
          <w:numId w:val="0"/>
        </w:numPr>
        <w:tabs>
          <w:tab w:val="left" w:pos="720"/>
        </w:tabs>
        <w:spacing w:before="0"/>
        <w:rPr>
          <w:sz w:val="22"/>
          <w:szCs w:val="22"/>
          <w:lang w:val="fr-FR"/>
        </w:rPr>
      </w:pPr>
      <w:r w:rsidRPr="00F65696">
        <w:rPr>
          <w:sz w:val="22"/>
          <w:szCs w:val="22"/>
          <w:lang w:val="fr-FR"/>
        </w:rPr>
        <w:t>RAP reçus pour des projets individuels</w:t>
      </w:r>
      <w:r w:rsidR="00222C40" w:rsidRPr="00A44B75">
        <w:rPr>
          <w:sz w:val="22"/>
          <w:szCs w:val="22"/>
          <w:lang w:val="fr-FR"/>
        </w:rPr>
        <w:t xml:space="preserve"> </w:t>
      </w:r>
      <w:bookmarkEnd w:id="1"/>
      <w:bookmarkEnd w:id="2"/>
      <w:bookmarkEnd w:id="3"/>
      <w:bookmarkEnd w:id="4"/>
      <w:bookmarkEnd w:id="5"/>
      <w:bookmarkEnd w:id="6"/>
      <w:bookmarkEnd w:id="7"/>
      <w:bookmarkEnd w:id="8"/>
      <w:bookmarkEnd w:id="9"/>
      <w:bookmarkEnd w:id="10"/>
    </w:p>
    <w:p w14:paraId="0A2F49CA" w14:textId="7D70568C" w:rsidR="00F65696" w:rsidRPr="00A44B75" w:rsidRDefault="00F65696" w:rsidP="00F65696">
      <w:pPr>
        <w:pStyle w:val="Heading1"/>
        <w:widowControl w:val="0"/>
        <w:tabs>
          <w:tab w:val="clear" w:pos="0"/>
          <w:tab w:val="num" w:pos="720"/>
        </w:tabs>
        <w:rPr>
          <w:lang w:val="fr-FR"/>
        </w:rPr>
      </w:pPr>
      <w:r w:rsidRPr="00F65696">
        <w:rPr>
          <w:lang w:val="fr-FR"/>
        </w:rPr>
        <w:t>Sur un total de 1 863 projets d</w:t>
      </w:r>
      <w:r w:rsidR="005A0776">
        <w:rPr>
          <w:lang w:val="fr-FR"/>
        </w:rPr>
        <w:t>’</w:t>
      </w:r>
      <w:r w:rsidRPr="00F65696">
        <w:rPr>
          <w:lang w:val="fr-FR"/>
        </w:rPr>
        <w:t>investissement achevés, les agences bilatérales et d</w:t>
      </w:r>
      <w:r w:rsidR="005A0776">
        <w:rPr>
          <w:lang w:val="fr-FR"/>
        </w:rPr>
        <w:t>’</w:t>
      </w:r>
      <w:r w:rsidRPr="00F65696">
        <w:rPr>
          <w:lang w:val="fr-FR"/>
        </w:rPr>
        <w:t>exécution ont remis 1 854 RAP, faisant qu</w:t>
      </w:r>
      <w:r w:rsidR="005A0776">
        <w:rPr>
          <w:lang w:val="fr-FR"/>
        </w:rPr>
        <w:t>’</w:t>
      </w:r>
      <w:r w:rsidRPr="00F65696">
        <w:rPr>
          <w:lang w:val="fr-FR"/>
        </w:rPr>
        <w:t>il</w:t>
      </w:r>
      <w:r w:rsidR="005A0776">
        <w:rPr>
          <w:lang w:val="fr-FR"/>
        </w:rPr>
        <w:t> </w:t>
      </w:r>
      <w:r w:rsidRPr="00F65696">
        <w:rPr>
          <w:lang w:val="fr-FR"/>
        </w:rPr>
        <w:t>reste neuf RAP en suspens, comme l</w:t>
      </w:r>
      <w:r w:rsidR="005A0776">
        <w:rPr>
          <w:lang w:val="fr-FR"/>
        </w:rPr>
        <w:t>’</w:t>
      </w:r>
      <w:r w:rsidRPr="00F65696">
        <w:rPr>
          <w:lang w:val="fr-FR"/>
        </w:rPr>
        <w:t>indique le tableau</w:t>
      </w:r>
      <w:r w:rsidR="005A0776">
        <w:rPr>
          <w:lang w:val="fr-FR"/>
        </w:rPr>
        <w:t> </w:t>
      </w:r>
      <w:r w:rsidRPr="00F65696">
        <w:rPr>
          <w:lang w:val="fr-FR"/>
        </w:rPr>
        <w:t>3.</w:t>
      </w:r>
      <w:r w:rsidRPr="00A44B75">
        <w:rPr>
          <w:lang w:val="fr-FR"/>
        </w:rPr>
        <w:t xml:space="preserve"> </w:t>
      </w:r>
    </w:p>
    <w:p w14:paraId="30FFC9E5" w14:textId="166F629A" w:rsidR="00222C40" w:rsidRPr="00A44B75" w:rsidRDefault="00F65696" w:rsidP="00605D6D">
      <w:pPr>
        <w:pStyle w:val="FootnoteText"/>
        <w:keepNext/>
        <w:keepLines/>
        <w:widowControl w:val="0"/>
        <w:ind w:left="14"/>
        <w:contextualSpacing/>
        <w:rPr>
          <w:b/>
          <w:sz w:val="21"/>
          <w:szCs w:val="21"/>
          <w:lang w:val="fr-FR"/>
        </w:rPr>
      </w:pPr>
      <w:r w:rsidRPr="00F65696">
        <w:rPr>
          <w:b/>
          <w:sz w:val="21"/>
          <w:szCs w:val="21"/>
          <w:lang w:val="fr-FR"/>
        </w:rPr>
        <w:t>Tableau 3. RAP remis pour des projets d</w:t>
      </w:r>
      <w:r w:rsidR="005A0776">
        <w:rPr>
          <w:b/>
          <w:sz w:val="21"/>
          <w:szCs w:val="21"/>
          <w:lang w:val="fr-FR"/>
        </w:rPr>
        <w:t>’</w:t>
      </w:r>
      <w:r w:rsidRPr="00F65696">
        <w:rPr>
          <w:b/>
          <w:sz w:val="21"/>
          <w:szCs w:val="21"/>
          <w:lang w:val="fr-FR"/>
        </w:rPr>
        <w:t>investissement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62"/>
        <w:gridCol w:w="1616"/>
        <w:gridCol w:w="1724"/>
        <w:gridCol w:w="1866"/>
        <w:gridCol w:w="1582"/>
      </w:tblGrid>
      <w:tr w:rsidR="00996278" w:rsidRPr="006524DF" w14:paraId="7833CAEC" w14:textId="77777777" w:rsidTr="00F65696">
        <w:trPr>
          <w:cantSplit/>
          <w:tblHeader/>
        </w:trPr>
        <w:tc>
          <w:tcPr>
            <w:tcW w:w="1370" w:type="pct"/>
            <w:tcBorders>
              <w:top w:val="single" w:sz="4" w:space="0" w:color="auto"/>
              <w:left w:val="single" w:sz="4" w:space="0" w:color="auto"/>
              <w:bottom w:val="single" w:sz="4" w:space="0" w:color="auto"/>
              <w:right w:val="single" w:sz="4" w:space="0" w:color="auto"/>
            </w:tcBorders>
            <w:hideMark/>
          </w:tcPr>
          <w:p w14:paraId="6D3B2073" w14:textId="625EEF38" w:rsidR="00996278" w:rsidRPr="00F65696" w:rsidRDefault="00F65696" w:rsidP="00BE6D2B">
            <w:pPr>
              <w:keepNext/>
              <w:keepLines/>
              <w:widowControl w:val="0"/>
              <w:suppressAutoHyphens/>
              <w:jc w:val="left"/>
              <w:rPr>
                <w:b/>
                <w:snapToGrid w:val="0"/>
                <w:sz w:val="20"/>
                <w:szCs w:val="20"/>
              </w:rPr>
            </w:pPr>
            <w:bookmarkStart w:id="11" w:name="tblHere"/>
            <w:r w:rsidRPr="00F65696">
              <w:rPr>
                <w:b/>
                <w:snapToGrid w:val="0"/>
                <w:sz w:val="20"/>
                <w:szCs w:val="20"/>
                <w:lang w:val="fr-FR"/>
              </w:rPr>
              <w:t>Agence</w:t>
            </w:r>
          </w:p>
        </w:tc>
        <w:tc>
          <w:tcPr>
            <w:tcW w:w="864" w:type="pct"/>
            <w:tcBorders>
              <w:top w:val="single" w:sz="4" w:space="0" w:color="auto"/>
              <w:left w:val="single" w:sz="4" w:space="0" w:color="auto"/>
              <w:bottom w:val="single" w:sz="4" w:space="0" w:color="auto"/>
              <w:right w:val="single" w:sz="4" w:space="0" w:color="auto"/>
            </w:tcBorders>
            <w:hideMark/>
          </w:tcPr>
          <w:p w14:paraId="1058C6DA" w14:textId="425FCBAB" w:rsidR="00996278" w:rsidRPr="00F65696" w:rsidRDefault="00F65696" w:rsidP="00BE6D2B">
            <w:pPr>
              <w:keepNext/>
              <w:keepLines/>
              <w:widowControl w:val="0"/>
              <w:suppressAutoHyphens/>
              <w:jc w:val="center"/>
              <w:rPr>
                <w:b/>
                <w:snapToGrid w:val="0"/>
                <w:sz w:val="20"/>
                <w:szCs w:val="20"/>
              </w:rPr>
            </w:pPr>
            <w:r w:rsidRPr="00F65696">
              <w:rPr>
                <w:b/>
                <w:snapToGrid w:val="0"/>
                <w:sz w:val="20"/>
                <w:szCs w:val="20"/>
                <w:lang w:val="fr-FR"/>
              </w:rPr>
              <w:t>Achevés</w:t>
            </w:r>
          </w:p>
        </w:tc>
        <w:tc>
          <w:tcPr>
            <w:tcW w:w="922" w:type="pct"/>
            <w:tcBorders>
              <w:top w:val="single" w:sz="4" w:space="0" w:color="auto"/>
              <w:left w:val="single" w:sz="4" w:space="0" w:color="auto"/>
              <w:bottom w:val="single" w:sz="4" w:space="0" w:color="auto"/>
              <w:right w:val="single" w:sz="4" w:space="0" w:color="auto"/>
            </w:tcBorders>
            <w:hideMark/>
          </w:tcPr>
          <w:p w14:paraId="38D16267" w14:textId="7BAF6A96" w:rsidR="00996278" w:rsidRPr="00A44B75" w:rsidRDefault="00F65696" w:rsidP="00996278">
            <w:pPr>
              <w:keepNext/>
              <w:keepLines/>
              <w:widowControl w:val="0"/>
              <w:jc w:val="center"/>
              <w:rPr>
                <w:b/>
                <w:sz w:val="20"/>
                <w:szCs w:val="20"/>
                <w:lang w:val="fr-FR"/>
              </w:rPr>
            </w:pPr>
            <w:r w:rsidRPr="00F65696">
              <w:rPr>
                <w:b/>
                <w:sz w:val="20"/>
                <w:szCs w:val="20"/>
                <w:lang w:val="fr-FR"/>
              </w:rPr>
              <w:t>Reçus avant la</w:t>
            </w:r>
            <w:r w:rsidR="00996278" w:rsidRPr="00A44B75">
              <w:rPr>
                <w:b/>
                <w:sz w:val="20"/>
                <w:szCs w:val="20"/>
                <w:lang w:val="fr-FR"/>
              </w:rPr>
              <w:t xml:space="preserve"> </w:t>
            </w:r>
          </w:p>
          <w:p w14:paraId="53B8CEA7" w14:textId="641B925D" w:rsidR="00996278" w:rsidRPr="00A44B75" w:rsidRDefault="00F65696" w:rsidP="00BE6D2B">
            <w:pPr>
              <w:keepNext/>
              <w:keepLines/>
              <w:widowControl w:val="0"/>
              <w:jc w:val="center"/>
              <w:rPr>
                <w:b/>
                <w:sz w:val="20"/>
                <w:szCs w:val="20"/>
                <w:lang w:val="fr-FR"/>
              </w:rPr>
            </w:pPr>
            <w:r w:rsidRPr="00F65696">
              <w:rPr>
                <w:b/>
                <w:sz w:val="20"/>
                <w:szCs w:val="20"/>
                <w:lang w:val="fr-FR"/>
              </w:rPr>
              <w:t>87</w:t>
            </w:r>
            <w:r w:rsidRPr="00F65696">
              <w:rPr>
                <w:b/>
                <w:sz w:val="20"/>
                <w:szCs w:val="20"/>
                <w:vertAlign w:val="superscript"/>
                <w:lang w:val="fr-FR"/>
              </w:rPr>
              <w:t>e</w:t>
            </w:r>
            <w:r w:rsidRPr="00F65696">
              <w:rPr>
                <w:b/>
                <w:sz w:val="20"/>
                <w:szCs w:val="20"/>
                <w:lang w:val="fr-FR"/>
              </w:rPr>
              <w:t xml:space="preserve"> réunion</w:t>
            </w:r>
          </w:p>
        </w:tc>
        <w:tc>
          <w:tcPr>
            <w:tcW w:w="998" w:type="pct"/>
            <w:tcBorders>
              <w:top w:val="single" w:sz="4" w:space="0" w:color="auto"/>
              <w:left w:val="single" w:sz="4" w:space="0" w:color="auto"/>
              <w:bottom w:val="single" w:sz="4" w:space="0" w:color="auto"/>
              <w:right w:val="single" w:sz="4" w:space="0" w:color="auto"/>
            </w:tcBorders>
            <w:hideMark/>
          </w:tcPr>
          <w:p w14:paraId="73DCB036" w14:textId="526458EE" w:rsidR="00996278" w:rsidRPr="00A44B75" w:rsidRDefault="00F65696" w:rsidP="00996278">
            <w:pPr>
              <w:keepNext/>
              <w:keepLines/>
              <w:widowControl w:val="0"/>
              <w:suppressAutoHyphens/>
              <w:jc w:val="center"/>
              <w:rPr>
                <w:b/>
                <w:sz w:val="20"/>
                <w:szCs w:val="20"/>
                <w:lang w:val="fr-FR"/>
              </w:rPr>
            </w:pPr>
            <w:r w:rsidRPr="00F65696">
              <w:rPr>
                <w:b/>
                <w:sz w:val="20"/>
                <w:szCs w:val="20"/>
                <w:lang w:val="fr-FR"/>
              </w:rPr>
              <w:t>Reçus après la</w:t>
            </w:r>
            <w:r w:rsidR="00996278" w:rsidRPr="00A44B75">
              <w:rPr>
                <w:b/>
                <w:sz w:val="20"/>
                <w:szCs w:val="20"/>
                <w:lang w:val="fr-FR"/>
              </w:rPr>
              <w:t xml:space="preserve"> </w:t>
            </w:r>
          </w:p>
          <w:p w14:paraId="7460F5C2" w14:textId="62B8B61F" w:rsidR="00996278" w:rsidRPr="00A44B75" w:rsidRDefault="00F65696" w:rsidP="00BE6D2B">
            <w:pPr>
              <w:keepNext/>
              <w:keepLines/>
              <w:widowControl w:val="0"/>
              <w:suppressAutoHyphens/>
              <w:jc w:val="center"/>
              <w:rPr>
                <w:b/>
                <w:snapToGrid w:val="0"/>
                <w:sz w:val="20"/>
                <w:szCs w:val="20"/>
                <w:lang w:val="fr-FR"/>
              </w:rPr>
            </w:pPr>
            <w:r w:rsidRPr="00F65696">
              <w:rPr>
                <w:b/>
                <w:sz w:val="20"/>
                <w:szCs w:val="20"/>
                <w:lang w:val="fr-FR"/>
              </w:rPr>
              <w:t>87</w:t>
            </w:r>
            <w:r w:rsidRPr="00F65696">
              <w:rPr>
                <w:b/>
                <w:sz w:val="20"/>
                <w:szCs w:val="20"/>
                <w:vertAlign w:val="superscript"/>
                <w:lang w:val="fr-FR"/>
              </w:rPr>
              <w:t>e</w:t>
            </w:r>
            <w:r w:rsidRPr="00F65696">
              <w:rPr>
                <w:b/>
                <w:sz w:val="20"/>
                <w:szCs w:val="20"/>
                <w:lang w:val="fr-FR"/>
              </w:rPr>
              <w:t xml:space="preserve"> réunion</w:t>
            </w:r>
          </w:p>
        </w:tc>
        <w:tc>
          <w:tcPr>
            <w:tcW w:w="846" w:type="pct"/>
            <w:tcBorders>
              <w:top w:val="single" w:sz="4" w:space="0" w:color="auto"/>
              <w:left w:val="single" w:sz="4" w:space="0" w:color="auto"/>
              <w:bottom w:val="single" w:sz="4" w:space="0" w:color="auto"/>
              <w:right w:val="single" w:sz="4" w:space="0" w:color="auto"/>
            </w:tcBorders>
            <w:hideMark/>
          </w:tcPr>
          <w:p w14:paraId="46C11447" w14:textId="35E9D1C3" w:rsidR="00996278" w:rsidRPr="00F65696" w:rsidRDefault="00F65696" w:rsidP="00BE6D2B">
            <w:pPr>
              <w:keepNext/>
              <w:keepLines/>
              <w:widowControl w:val="0"/>
              <w:suppressAutoHyphens/>
              <w:jc w:val="center"/>
              <w:rPr>
                <w:b/>
                <w:snapToGrid w:val="0"/>
                <w:sz w:val="20"/>
                <w:szCs w:val="20"/>
              </w:rPr>
            </w:pPr>
            <w:r w:rsidRPr="00F65696">
              <w:rPr>
                <w:b/>
                <w:sz w:val="20"/>
                <w:szCs w:val="20"/>
                <w:lang w:val="fr-FR"/>
              </w:rPr>
              <w:t>En suspens</w:t>
            </w:r>
          </w:p>
        </w:tc>
      </w:tr>
      <w:tr w:rsidR="00996278" w:rsidRPr="006524DF" w14:paraId="44400D0D" w14:textId="77777777" w:rsidTr="00F65696">
        <w:trPr>
          <w:cantSplit/>
          <w:tblHeader/>
        </w:trPr>
        <w:tc>
          <w:tcPr>
            <w:tcW w:w="1370" w:type="pct"/>
            <w:tcBorders>
              <w:top w:val="single" w:sz="4" w:space="0" w:color="auto"/>
              <w:left w:val="single" w:sz="4" w:space="0" w:color="auto"/>
              <w:bottom w:val="single" w:sz="4" w:space="0" w:color="auto"/>
              <w:right w:val="single" w:sz="4" w:space="0" w:color="auto"/>
            </w:tcBorders>
          </w:tcPr>
          <w:p w14:paraId="75FCA57C" w14:textId="1B5C639E" w:rsidR="00996278" w:rsidRPr="00F65696" w:rsidRDefault="00F65696" w:rsidP="00BE6D2B">
            <w:pPr>
              <w:widowControl w:val="0"/>
              <w:suppressAutoHyphens/>
              <w:jc w:val="left"/>
              <w:rPr>
                <w:snapToGrid w:val="0"/>
                <w:sz w:val="20"/>
                <w:szCs w:val="20"/>
              </w:rPr>
            </w:pPr>
            <w:r w:rsidRPr="00F65696">
              <w:rPr>
                <w:snapToGrid w:val="0"/>
                <w:sz w:val="20"/>
                <w:szCs w:val="20"/>
                <w:lang w:val="fr-FR"/>
              </w:rPr>
              <w:t>Canada</w:t>
            </w:r>
          </w:p>
        </w:tc>
        <w:tc>
          <w:tcPr>
            <w:tcW w:w="864" w:type="pct"/>
            <w:tcBorders>
              <w:top w:val="single" w:sz="4" w:space="0" w:color="auto"/>
              <w:left w:val="single" w:sz="4" w:space="0" w:color="auto"/>
              <w:bottom w:val="single" w:sz="4" w:space="0" w:color="auto"/>
              <w:right w:val="single" w:sz="4" w:space="0" w:color="auto"/>
            </w:tcBorders>
            <w:tcMar>
              <w:right w:w="432" w:type="dxa"/>
            </w:tcMar>
          </w:tcPr>
          <w:p w14:paraId="786579A8" w14:textId="77777777" w:rsidR="00996278" w:rsidRPr="006524DF" w:rsidRDefault="00996278" w:rsidP="007079A4">
            <w:pPr>
              <w:widowControl w:val="0"/>
              <w:suppressAutoHyphens/>
              <w:jc w:val="right"/>
              <w:rPr>
                <w:snapToGrid w:val="0"/>
                <w:sz w:val="20"/>
                <w:szCs w:val="20"/>
              </w:rPr>
            </w:pPr>
            <w:r w:rsidRPr="006524DF">
              <w:rPr>
                <w:snapToGrid w:val="0"/>
                <w:sz w:val="20"/>
                <w:szCs w:val="20"/>
              </w:rPr>
              <w:t>2</w:t>
            </w:r>
          </w:p>
        </w:tc>
        <w:tc>
          <w:tcPr>
            <w:tcW w:w="922" w:type="pct"/>
            <w:tcBorders>
              <w:top w:val="single" w:sz="4" w:space="0" w:color="auto"/>
              <w:left w:val="single" w:sz="4" w:space="0" w:color="auto"/>
              <w:bottom w:val="single" w:sz="4" w:space="0" w:color="auto"/>
              <w:right w:val="single" w:sz="4" w:space="0" w:color="auto"/>
            </w:tcBorders>
            <w:tcMar>
              <w:right w:w="432" w:type="dxa"/>
            </w:tcMar>
          </w:tcPr>
          <w:p w14:paraId="67F92CB9" w14:textId="77777777" w:rsidR="00996278" w:rsidRPr="006524DF" w:rsidRDefault="00996278" w:rsidP="007079A4">
            <w:pPr>
              <w:widowControl w:val="0"/>
              <w:jc w:val="right"/>
              <w:rPr>
                <w:snapToGrid w:val="0"/>
                <w:sz w:val="20"/>
                <w:szCs w:val="20"/>
              </w:rPr>
            </w:pPr>
            <w:r w:rsidRPr="006524DF">
              <w:rPr>
                <w:snapToGrid w:val="0"/>
                <w:sz w:val="20"/>
                <w:szCs w:val="20"/>
              </w:rPr>
              <w:t>0</w:t>
            </w:r>
          </w:p>
        </w:tc>
        <w:tc>
          <w:tcPr>
            <w:tcW w:w="998" w:type="pct"/>
            <w:tcBorders>
              <w:top w:val="single" w:sz="4" w:space="0" w:color="auto"/>
              <w:left w:val="single" w:sz="4" w:space="0" w:color="auto"/>
              <w:bottom w:val="single" w:sz="4" w:space="0" w:color="auto"/>
              <w:right w:val="single" w:sz="4" w:space="0" w:color="auto"/>
            </w:tcBorders>
            <w:tcMar>
              <w:right w:w="432" w:type="dxa"/>
            </w:tcMar>
          </w:tcPr>
          <w:p w14:paraId="5D359770"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tcMar>
              <w:right w:w="432" w:type="dxa"/>
            </w:tcMar>
          </w:tcPr>
          <w:p w14:paraId="6BFF828B" w14:textId="77777777" w:rsidR="00996278" w:rsidRPr="006524DF" w:rsidRDefault="00996278" w:rsidP="007079A4">
            <w:pPr>
              <w:widowControl w:val="0"/>
              <w:suppressAutoHyphens/>
              <w:jc w:val="right"/>
              <w:rPr>
                <w:snapToGrid w:val="0"/>
                <w:sz w:val="20"/>
                <w:szCs w:val="20"/>
              </w:rPr>
            </w:pPr>
            <w:r w:rsidRPr="006524DF">
              <w:rPr>
                <w:snapToGrid w:val="0"/>
                <w:sz w:val="20"/>
                <w:szCs w:val="20"/>
              </w:rPr>
              <w:t>2</w:t>
            </w:r>
          </w:p>
        </w:tc>
      </w:tr>
      <w:tr w:rsidR="00996278" w:rsidRPr="006524DF" w14:paraId="5DA2A73C" w14:textId="77777777" w:rsidTr="00F65696">
        <w:trPr>
          <w:cantSplit/>
          <w:trHeight w:val="58"/>
        </w:trPr>
        <w:tc>
          <w:tcPr>
            <w:tcW w:w="1370" w:type="pct"/>
            <w:tcBorders>
              <w:top w:val="single" w:sz="4" w:space="0" w:color="auto"/>
              <w:left w:val="single" w:sz="4" w:space="0" w:color="auto"/>
              <w:bottom w:val="single" w:sz="4" w:space="0" w:color="auto"/>
              <w:right w:val="single" w:sz="4" w:space="0" w:color="auto"/>
            </w:tcBorders>
            <w:hideMark/>
          </w:tcPr>
          <w:p w14:paraId="68417D9E" w14:textId="6DD280B0" w:rsidR="00996278" w:rsidRPr="00F65696" w:rsidRDefault="00F65696" w:rsidP="00BE6D2B">
            <w:pPr>
              <w:widowControl w:val="0"/>
              <w:suppressAutoHyphens/>
              <w:jc w:val="left"/>
              <w:rPr>
                <w:snapToGrid w:val="0"/>
                <w:sz w:val="20"/>
                <w:szCs w:val="20"/>
              </w:rPr>
            </w:pPr>
            <w:r w:rsidRPr="00F65696">
              <w:rPr>
                <w:snapToGrid w:val="0"/>
                <w:sz w:val="20"/>
                <w:szCs w:val="20"/>
                <w:lang w:val="fr-FR"/>
              </w:rPr>
              <w:t>France</w:t>
            </w:r>
          </w:p>
        </w:tc>
        <w:tc>
          <w:tcPr>
            <w:tcW w:w="864" w:type="pct"/>
            <w:tcBorders>
              <w:top w:val="single" w:sz="4" w:space="0" w:color="auto"/>
              <w:left w:val="single" w:sz="4" w:space="0" w:color="auto"/>
              <w:bottom w:val="single" w:sz="4" w:space="0" w:color="auto"/>
              <w:right w:val="single" w:sz="4" w:space="0" w:color="auto"/>
            </w:tcBorders>
            <w:tcMar>
              <w:right w:w="432" w:type="dxa"/>
            </w:tcMar>
            <w:hideMark/>
          </w:tcPr>
          <w:p w14:paraId="337D04B2" w14:textId="77777777" w:rsidR="00996278" w:rsidRPr="006524DF" w:rsidRDefault="00996278" w:rsidP="007079A4">
            <w:pPr>
              <w:widowControl w:val="0"/>
              <w:suppressAutoHyphens/>
              <w:jc w:val="right"/>
              <w:rPr>
                <w:snapToGrid w:val="0"/>
                <w:sz w:val="20"/>
                <w:szCs w:val="20"/>
              </w:rPr>
            </w:pPr>
            <w:r w:rsidRPr="006524DF">
              <w:rPr>
                <w:snapToGrid w:val="0"/>
                <w:sz w:val="20"/>
                <w:szCs w:val="20"/>
              </w:rPr>
              <w:t>13</w:t>
            </w:r>
          </w:p>
        </w:tc>
        <w:tc>
          <w:tcPr>
            <w:tcW w:w="922" w:type="pct"/>
            <w:tcBorders>
              <w:top w:val="single" w:sz="4" w:space="0" w:color="auto"/>
              <w:left w:val="single" w:sz="4" w:space="0" w:color="auto"/>
              <w:bottom w:val="single" w:sz="4" w:space="0" w:color="auto"/>
              <w:right w:val="single" w:sz="4" w:space="0" w:color="auto"/>
            </w:tcBorders>
            <w:tcMar>
              <w:right w:w="432" w:type="dxa"/>
            </w:tcMar>
            <w:hideMark/>
          </w:tcPr>
          <w:p w14:paraId="5E29E286" w14:textId="77777777" w:rsidR="00996278" w:rsidRPr="006524DF" w:rsidRDefault="00996278" w:rsidP="007079A4">
            <w:pPr>
              <w:widowControl w:val="0"/>
              <w:suppressAutoHyphens/>
              <w:jc w:val="right"/>
              <w:rPr>
                <w:snapToGrid w:val="0"/>
                <w:sz w:val="20"/>
                <w:szCs w:val="20"/>
              </w:rPr>
            </w:pPr>
            <w:r w:rsidRPr="006524DF">
              <w:rPr>
                <w:snapToGrid w:val="0"/>
                <w:sz w:val="20"/>
                <w:szCs w:val="20"/>
              </w:rPr>
              <w:t>13</w:t>
            </w:r>
          </w:p>
        </w:tc>
        <w:tc>
          <w:tcPr>
            <w:tcW w:w="998" w:type="pct"/>
            <w:tcBorders>
              <w:top w:val="single" w:sz="4" w:space="0" w:color="auto"/>
              <w:left w:val="single" w:sz="4" w:space="0" w:color="auto"/>
              <w:bottom w:val="single" w:sz="4" w:space="0" w:color="auto"/>
              <w:right w:val="single" w:sz="4" w:space="0" w:color="auto"/>
            </w:tcBorders>
            <w:tcMar>
              <w:right w:w="432" w:type="dxa"/>
            </w:tcMar>
            <w:hideMark/>
          </w:tcPr>
          <w:p w14:paraId="07E421EC"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tcMar>
              <w:right w:w="432" w:type="dxa"/>
            </w:tcMar>
            <w:hideMark/>
          </w:tcPr>
          <w:p w14:paraId="55F61C25"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r>
      <w:tr w:rsidR="00996278" w:rsidRPr="006524DF" w14:paraId="1FE5A589" w14:textId="77777777" w:rsidTr="00F65696">
        <w:trPr>
          <w:cantSplit/>
        </w:trPr>
        <w:tc>
          <w:tcPr>
            <w:tcW w:w="1370" w:type="pct"/>
            <w:tcBorders>
              <w:top w:val="single" w:sz="4" w:space="0" w:color="auto"/>
              <w:left w:val="single" w:sz="4" w:space="0" w:color="auto"/>
              <w:bottom w:val="single" w:sz="4" w:space="0" w:color="auto"/>
              <w:right w:val="single" w:sz="4" w:space="0" w:color="auto"/>
            </w:tcBorders>
            <w:hideMark/>
          </w:tcPr>
          <w:p w14:paraId="43F682F0" w14:textId="711F1100" w:rsidR="00996278" w:rsidRPr="00F65696" w:rsidRDefault="00F65696" w:rsidP="00BE6D2B">
            <w:pPr>
              <w:widowControl w:val="0"/>
              <w:suppressAutoHyphens/>
              <w:jc w:val="left"/>
              <w:rPr>
                <w:snapToGrid w:val="0"/>
                <w:sz w:val="20"/>
                <w:szCs w:val="20"/>
              </w:rPr>
            </w:pPr>
            <w:r w:rsidRPr="00F65696">
              <w:rPr>
                <w:snapToGrid w:val="0"/>
                <w:sz w:val="20"/>
                <w:szCs w:val="20"/>
                <w:lang w:val="fr-FR"/>
              </w:rPr>
              <w:t>Allemagne</w:t>
            </w:r>
          </w:p>
        </w:tc>
        <w:tc>
          <w:tcPr>
            <w:tcW w:w="864" w:type="pct"/>
            <w:tcBorders>
              <w:top w:val="single" w:sz="4" w:space="0" w:color="auto"/>
              <w:left w:val="single" w:sz="4" w:space="0" w:color="auto"/>
              <w:bottom w:val="single" w:sz="4" w:space="0" w:color="auto"/>
              <w:right w:val="single" w:sz="4" w:space="0" w:color="auto"/>
            </w:tcBorders>
            <w:tcMar>
              <w:right w:w="432" w:type="dxa"/>
            </w:tcMar>
            <w:hideMark/>
          </w:tcPr>
          <w:p w14:paraId="6309F85E" w14:textId="77777777" w:rsidR="00996278" w:rsidRPr="006524DF" w:rsidRDefault="00996278" w:rsidP="007079A4">
            <w:pPr>
              <w:widowControl w:val="0"/>
              <w:suppressAutoHyphens/>
              <w:jc w:val="right"/>
              <w:rPr>
                <w:snapToGrid w:val="0"/>
                <w:sz w:val="20"/>
                <w:szCs w:val="20"/>
              </w:rPr>
            </w:pPr>
            <w:r w:rsidRPr="006524DF">
              <w:rPr>
                <w:snapToGrid w:val="0"/>
                <w:sz w:val="20"/>
                <w:szCs w:val="20"/>
              </w:rPr>
              <w:t>20</w:t>
            </w:r>
          </w:p>
        </w:tc>
        <w:tc>
          <w:tcPr>
            <w:tcW w:w="922" w:type="pct"/>
            <w:tcBorders>
              <w:top w:val="single" w:sz="4" w:space="0" w:color="auto"/>
              <w:left w:val="single" w:sz="4" w:space="0" w:color="auto"/>
              <w:bottom w:val="single" w:sz="4" w:space="0" w:color="auto"/>
              <w:right w:val="single" w:sz="4" w:space="0" w:color="auto"/>
            </w:tcBorders>
            <w:tcMar>
              <w:right w:w="432" w:type="dxa"/>
            </w:tcMar>
            <w:hideMark/>
          </w:tcPr>
          <w:p w14:paraId="108A1D6C" w14:textId="77777777" w:rsidR="00996278" w:rsidRPr="006524DF" w:rsidRDefault="00996278" w:rsidP="007079A4">
            <w:pPr>
              <w:widowControl w:val="0"/>
              <w:suppressAutoHyphens/>
              <w:jc w:val="right"/>
              <w:rPr>
                <w:snapToGrid w:val="0"/>
                <w:sz w:val="20"/>
                <w:szCs w:val="20"/>
              </w:rPr>
            </w:pPr>
            <w:r w:rsidRPr="006524DF">
              <w:rPr>
                <w:snapToGrid w:val="0"/>
                <w:sz w:val="20"/>
                <w:szCs w:val="20"/>
              </w:rPr>
              <w:t>19</w:t>
            </w:r>
          </w:p>
        </w:tc>
        <w:tc>
          <w:tcPr>
            <w:tcW w:w="998" w:type="pct"/>
            <w:tcBorders>
              <w:top w:val="single" w:sz="4" w:space="0" w:color="auto"/>
              <w:left w:val="single" w:sz="4" w:space="0" w:color="auto"/>
              <w:bottom w:val="single" w:sz="4" w:space="0" w:color="auto"/>
              <w:right w:val="single" w:sz="4" w:space="0" w:color="auto"/>
            </w:tcBorders>
            <w:tcMar>
              <w:right w:w="432" w:type="dxa"/>
            </w:tcMar>
            <w:hideMark/>
          </w:tcPr>
          <w:p w14:paraId="1D976199"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tcMar>
              <w:right w:w="432" w:type="dxa"/>
            </w:tcMar>
            <w:hideMark/>
          </w:tcPr>
          <w:p w14:paraId="5387E83F" w14:textId="77777777" w:rsidR="00996278" w:rsidRPr="006524DF" w:rsidRDefault="00996278" w:rsidP="007079A4">
            <w:pPr>
              <w:widowControl w:val="0"/>
              <w:suppressAutoHyphens/>
              <w:jc w:val="right"/>
              <w:rPr>
                <w:snapToGrid w:val="0"/>
                <w:sz w:val="20"/>
                <w:szCs w:val="20"/>
              </w:rPr>
            </w:pPr>
            <w:r w:rsidRPr="006524DF">
              <w:rPr>
                <w:snapToGrid w:val="0"/>
                <w:sz w:val="20"/>
                <w:szCs w:val="20"/>
              </w:rPr>
              <w:t>1</w:t>
            </w:r>
          </w:p>
        </w:tc>
      </w:tr>
      <w:tr w:rsidR="00996278" w:rsidRPr="006524DF" w14:paraId="706FE32D" w14:textId="77777777" w:rsidTr="00F65696">
        <w:trPr>
          <w:cantSplit/>
        </w:trPr>
        <w:tc>
          <w:tcPr>
            <w:tcW w:w="1370" w:type="pct"/>
            <w:tcBorders>
              <w:top w:val="single" w:sz="4" w:space="0" w:color="auto"/>
              <w:left w:val="single" w:sz="4" w:space="0" w:color="auto"/>
              <w:bottom w:val="single" w:sz="4" w:space="0" w:color="auto"/>
              <w:right w:val="single" w:sz="4" w:space="0" w:color="auto"/>
            </w:tcBorders>
            <w:hideMark/>
          </w:tcPr>
          <w:p w14:paraId="480C3AC8" w14:textId="4B91234B" w:rsidR="00996278" w:rsidRPr="00F65696" w:rsidRDefault="00F65696" w:rsidP="00BE6D2B">
            <w:pPr>
              <w:widowControl w:val="0"/>
              <w:suppressAutoHyphens/>
              <w:jc w:val="left"/>
              <w:rPr>
                <w:snapToGrid w:val="0"/>
                <w:sz w:val="20"/>
                <w:szCs w:val="20"/>
              </w:rPr>
            </w:pPr>
            <w:r w:rsidRPr="00F65696">
              <w:rPr>
                <w:snapToGrid w:val="0"/>
                <w:sz w:val="20"/>
                <w:szCs w:val="20"/>
                <w:lang w:val="fr-FR"/>
              </w:rPr>
              <w:t>Italie</w:t>
            </w:r>
          </w:p>
        </w:tc>
        <w:tc>
          <w:tcPr>
            <w:tcW w:w="864" w:type="pct"/>
            <w:tcBorders>
              <w:top w:val="single" w:sz="4" w:space="0" w:color="auto"/>
              <w:left w:val="single" w:sz="4" w:space="0" w:color="auto"/>
              <w:bottom w:val="single" w:sz="4" w:space="0" w:color="auto"/>
              <w:right w:val="single" w:sz="4" w:space="0" w:color="auto"/>
            </w:tcBorders>
            <w:tcMar>
              <w:right w:w="432" w:type="dxa"/>
            </w:tcMar>
            <w:hideMark/>
          </w:tcPr>
          <w:p w14:paraId="1837E579" w14:textId="77777777" w:rsidR="00996278" w:rsidRPr="006524DF" w:rsidRDefault="00996278" w:rsidP="007079A4">
            <w:pPr>
              <w:widowControl w:val="0"/>
              <w:suppressAutoHyphens/>
              <w:jc w:val="right"/>
              <w:rPr>
                <w:snapToGrid w:val="0"/>
                <w:sz w:val="20"/>
                <w:szCs w:val="20"/>
              </w:rPr>
            </w:pPr>
            <w:r w:rsidRPr="006524DF">
              <w:rPr>
                <w:snapToGrid w:val="0"/>
                <w:sz w:val="20"/>
                <w:szCs w:val="20"/>
              </w:rPr>
              <w:t>11</w:t>
            </w:r>
          </w:p>
        </w:tc>
        <w:tc>
          <w:tcPr>
            <w:tcW w:w="922" w:type="pct"/>
            <w:tcBorders>
              <w:top w:val="single" w:sz="4" w:space="0" w:color="auto"/>
              <w:left w:val="single" w:sz="4" w:space="0" w:color="auto"/>
              <w:bottom w:val="single" w:sz="4" w:space="0" w:color="auto"/>
              <w:right w:val="single" w:sz="4" w:space="0" w:color="auto"/>
            </w:tcBorders>
            <w:tcMar>
              <w:right w:w="432" w:type="dxa"/>
            </w:tcMar>
            <w:hideMark/>
          </w:tcPr>
          <w:p w14:paraId="336B0C21" w14:textId="77777777" w:rsidR="00996278" w:rsidRPr="006524DF" w:rsidRDefault="00996278" w:rsidP="007079A4">
            <w:pPr>
              <w:widowControl w:val="0"/>
              <w:suppressAutoHyphens/>
              <w:jc w:val="right"/>
              <w:rPr>
                <w:snapToGrid w:val="0"/>
                <w:sz w:val="20"/>
                <w:szCs w:val="20"/>
              </w:rPr>
            </w:pPr>
            <w:r w:rsidRPr="006524DF">
              <w:rPr>
                <w:snapToGrid w:val="0"/>
                <w:sz w:val="20"/>
                <w:szCs w:val="20"/>
              </w:rPr>
              <w:t>11</w:t>
            </w:r>
          </w:p>
        </w:tc>
        <w:tc>
          <w:tcPr>
            <w:tcW w:w="998" w:type="pct"/>
            <w:tcBorders>
              <w:top w:val="single" w:sz="4" w:space="0" w:color="auto"/>
              <w:left w:val="single" w:sz="4" w:space="0" w:color="auto"/>
              <w:bottom w:val="single" w:sz="4" w:space="0" w:color="auto"/>
              <w:right w:val="single" w:sz="4" w:space="0" w:color="auto"/>
            </w:tcBorders>
            <w:tcMar>
              <w:right w:w="432" w:type="dxa"/>
            </w:tcMar>
            <w:hideMark/>
          </w:tcPr>
          <w:p w14:paraId="2CBD182B"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tcMar>
              <w:right w:w="432" w:type="dxa"/>
            </w:tcMar>
            <w:hideMark/>
          </w:tcPr>
          <w:p w14:paraId="6D54FCB7"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r>
      <w:tr w:rsidR="00996278" w:rsidRPr="006524DF" w14:paraId="521BCC3F" w14:textId="77777777" w:rsidTr="00F65696">
        <w:trPr>
          <w:cantSplit/>
        </w:trPr>
        <w:tc>
          <w:tcPr>
            <w:tcW w:w="1370" w:type="pct"/>
            <w:tcBorders>
              <w:top w:val="single" w:sz="4" w:space="0" w:color="auto"/>
              <w:left w:val="single" w:sz="4" w:space="0" w:color="auto"/>
              <w:bottom w:val="single" w:sz="4" w:space="0" w:color="auto"/>
              <w:right w:val="single" w:sz="4" w:space="0" w:color="auto"/>
            </w:tcBorders>
            <w:hideMark/>
          </w:tcPr>
          <w:p w14:paraId="0F6B285E" w14:textId="1CE6AC1C" w:rsidR="00996278" w:rsidRPr="00F65696" w:rsidRDefault="00F65696" w:rsidP="00BE6D2B">
            <w:pPr>
              <w:widowControl w:val="0"/>
              <w:suppressAutoHyphens/>
              <w:jc w:val="left"/>
              <w:rPr>
                <w:snapToGrid w:val="0"/>
                <w:sz w:val="20"/>
                <w:szCs w:val="20"/>
              </w:rPr>
            </w:pPr>
            <w:r w:rsidRPr="00F65696">
              <w:rPr>
                <w:snapToGrid w:val="0"/>
                <w:sz w:val="20"/>
                <w:szCs w:val="20"/>
                <w:lang w:val="fr-FR"/>
              </w:rPr>
              <w:t>Japon</w:t>
            </w:r>
          </w:p>
        </w:tc>
        <w:tc>
          <w:tcPr>
            <w:tcW w:w="864" w:type="pct"/>
            <w:tcBorders>
              <w:top w:val="single" w:sz="4" w:space="0" w:color="auto"/>
              <w:left w:val="single" w:sz="4" w:space="0" w:color="auto"/>
              <w:bottom w:val="single" w:sz="4" w:space="0" w:color="auto"/>
              <w:right w:val="single" w:sz="4" w:space="0" w:color="auto"/>
            </w:tcBorders>
            <w:tcMar>
              <w:right w:w="432" w:type="dxa"/>
            </w:tcMar>
            <w:hideMark/>
          </w:tcPr>
          <w:p w14:paraId="1CF84ABC" w14:textId="77777777" w:rsidR="00996278" w:rsidRPr="006524DF" w:rsidRDefault="00996278" w:rsidP="007079A4">
            <w:pPr>
              <w:widowControl w:val="0"/>
              <w:suppressAutoHyphens/>
              <w:jc w:val="right"/>
              <w:rPr>
                <w:snapToGrid w:val="0"/>
                <w:sz w:val="20"/>
                <w:szCs w:val="20"/>
              </w:rPr>
            </w:pPr>
            <w:r w:rsidRPr="006524DF">
              <w:rPr>
                <w:snapToGrid w:val="0"/>
                <w:sz w:val="20"/>
                <w:szCs w:val="20"/>
              </w:rPr>
              <w:t>6</w:t>
            </w:r>
          </w:p>
        </w:tc>
        <w:tc>
          <w:tcPr>
            <w:tcW w:w="922" w:type="pct"/>
            <w:tcBorders>
              <w:top w:val="single" w:sz="4" w:space="0" w:color="auto"/>
              <w:left w:val="single" w:sz="4" w:space="0" w:color="auto"/>
              <w:bottom w:val="single" w:sz="4" w:space="0" w:color="auto"/>
              <w:right w:val="single" w:sz="4" w:space="0" w:color="auto"/>
            </w:tcBorders>
            <w:tcMar>
              <w:right w:w="432" w:type="dxa"/>
            </w:tcMar>
            <w:hideMark/>
          </w:tcPr>
          <w:p w14:paraId="7C57C4B1" w14:textId="77777777" w:rsidR="00996278" w:rsidRPr="006524DF" w:rsidRDefault="00996278" w:rsidP="007079A4">
            <w:pPr>
              <w:widowControl w:val="0"/>
              <w:suppressAutoHyphens/>
              <w:jc w:val="right"/>
              <w:rPr>
                <w:snapToGrid w:val="0"/>
                <w:sz w:val="20"/>
                <w:szCs w:val="20"/>
              </w:rPr>
            </w:pPr>
            <w:r w:rsidRPr="006524DF">
              <w:rPr>
                <w:snapToGrid w:val="0"/>
                <w:sz w:val="20"/>
                <w:szCs w:val="20"/>
              </w:rPr>
              <w:t>6</w:t>
            </w:r>
          </w:p>
        </w:tc>
        <w:tc>
          <w:tcPr>
            <w:tcW w:w="998" w:type="pct"/>
            <w:tcBorders>
              <w:top w:val="single" w:sz="4" w:space="0" w:color="auto"/>
              <w:left w:val="single" w:sz="4" w:space="0" w:color="auto"/>
              <w:bottom w:val="single" w:sz="4" w:space="0" w:color="auto"/>
              <w:right w:val="single" w:sz="4" w:space="0" w:color="auto"/>
            </w:tcBorders>
            <w:tcMar>
              <w:right w:w="432" w:type="dxa"/>
            </w:tcMar>
            <w:hideMark/>
          </w:tcPr>
          <w:p w14:paraId="4E21B58F"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tcMar>
              <w:right w:w="432" w:type="dxa"/>
            </w:tcMar>
            <w:hideMark/>
          </w:tcPr>
          <w:p w14:paraId="7E3F0124"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r>
      <w:tr w:rsidR="00996278" w:rsidRPr="006524DF" w14:paraId="6DD9BFB5" w14:textId="77777777" w:rsidTr="00F65696">
        <w:trPr>
          <w:cantSplit/>
        </w:trPr>
        <w:tc>
          <w:tcPr>
            <w:tcW w:w="1370" w:type="pct"/>
            <w:tcBorders>
              <w:top w:val="single" w:sz="4" w:space="0" w:color="auto"/>
              <w:left w:val="single" w:sz="4" w:space="0" w:color="auto"/>
              <w:bottom w:val="single" w:sz="4" w:space="0" w:color="auto"/>
              <w:right w:val="single" w:sz="4" w:space="0" w:color="auto"/>
            </w:tcBorders>
            <w:hideMark/>
          </w:tcPr>
          <w:p w14:paraId="0F7764A2" w14:textId="460C3BB5" w:rsidR="00996278" w:rsidRPr="00F65696" w:rsidRDefault="00F65696" w:rsidP="00BE6D2B">
            <w:pPr>
              <w:widowControl w:val="0"/>
              <w:suppressAutoHyphens/>
              <w:jc w:val="left"/>
              <w:rPr>
                <w:snapToGrid w:val="0"/>
                <w:sz w:val="20"/>
                <w:szCs w:val="20"/>
              </w:rPr>
            </w:pPr>
            <w:r w:rsidRPr="00F65696">
              <w:rPr>
                <w:snapToGrid w:val="0"/>
                <w:sz w:val="20"/>
                <w:szCs w:val="20"/>
                <w:lang w:val="fr-FR"/>
              </w:rPr>
              <w:t>Espagne</w:t>
            </w:r>
          </w:p>
        </w:tc>
        <w:tc>
          <w:tcPr>
            <w:tcW w:w="864" w:type="pct"/>
            <w:tcBorders>
              <w:top w:val="single" w:sz="4" w:space="0" w:color="auto"/>
              <w:left w:val="single" w:sz="4" w:space="0" w:color="auto"/>
              <w:bottom w:val="single" w:sz="4" w:space="0" w:color="auto"/>
              <w:right w:val="single" w:sz="4" w:space="0" w:color="auto"/>
            </w:tcBorders>
            <w:tcMar>
              <w:right w:w="432" w:type="dxa"/>
            </w:tcMar>
            <w:hideMark/>
          </w:tcPr>
          <w:p w14:paraId="725C42DC" w14:textId="77777777" w:rsidR="00996278" w:rsidRPr="006524DF" w:rsidRDefault="00996278" w:rsidP="007079A4">
            <w:pPr>
              <w:widowControl w:val="0"/>
              <w:suppressAutoHyphens/>
              <w:jc w:val="right"/>
              <w:rPr>
                <w:snapToGrid w:val="0"/>
                <w:sz w:val="20"/>
                <w:szCs w:val="20"/>
              </w:rPr>
            </w:pPr>
            <w:r w:rsidRPr="006524DF">
              <w:rPr>
                <w:snapToGrid w:val="0"/>
                <w:sz w:val="20"/>
                <w:szCs w:val="20"/>
              </w:rPr>
              <w:t>1</w:t>
            </w:r>
          </w:p>
        </w:tc>
        <w:tc>
          <w:tcPr>
            <w:tcW w:w="922" w:type="pct"/>
            <w:tcBorders>
              <w:top w:val="single" w:sz="4" w:space="0" w:color="auto"/>
              <w:left w:val="single" w:sz="4" w:space="0" w:color="auto"/>
              <w:bottom w:val="single" w:sz="4" w:space="0" w:color="auto"/>
              <w:right w:val="single" w:sz="4" w:space="0" w:color="auto"/>
            </w:tcBorders>
            <w:tcMar>
              <w:right w:w="432" w:type="dxa"/>
            </w:tcMar>
            <w:hideMark/>
          </w:tcPr>
          <w:p w14:paraId="587DF1F9" w14:textId="77777777" w:rsidR="00996278" w:rsidRPr="006524DF" w:rsidRDefault="00996278" w:rsidP="007079A4">
            <w:pPr>
              <w:widowControl w:val="0"/>
              <w:suppressAutoHyphens/>
              <w:jc w:val="right"/>
              <w:rPr>
                <w:snapToGrid w:val="0"/>
                <w:sz w:val="20"/>
                <w:szCs w:val="20"/>
              </w:rPr>
            </w:pPr>
            <w:r w:rsidRPr="006524DF">
              <w:rPr>
                <w:snapToGrid w:val="0"/>
                <w:sz w:val="20"/>
                <w:szCs w:val="20"/>
              </w:rPr>
              <w:t>1</w:t>
            </w:r>
          </w:p>
        </w:tc>
        <w:tc>
          <w:tcPr>
            <w:tcW w:w="998" w:type="pct"/>
            <w:tcBorders>
              <w:top w:val="single" w:sz="4" w:space="0" w:color="auto"/>
              <w:left w:val="single" w:sz="4" w:space="0" w:color="auto"/>
              <w:bottom w:val="single" w:sz="4" w:space="0" w:color="auto"/>
              <w:right w:val="single" w:sz="4" w:space="0" w:color="auto"/>
            </w:tcBorders>
            <w:tcMar>
              <w:right w:w="432" w:type="dxa"/>
            </w:tcMar>
            <w:hideMark/>
          </w:tcPr>
          <w:p w14:paraId="72B8C7A1"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tcMar>
              <w:right w:w="432" w:type="dxa"/>
            </w:tcMar>
            <w:hideMark/>
          </w:tcPr>
          <w:p w14:paraId="35CF5417"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r>
      <w:tr w:rsidR="00996278" w:rsidRPr="006524DF" w14:paraId="05345DD2" w14:textId="77777777" w:rsidTr="00F65696">
        <w:trPr>
          <w:cantSplit/>
        </w:trPr>
        <w:tc>
          <w:tcPr>
            <w:tcW w:w="1370" w:type="pct"/>
            <w:tcBorders>
              <w:top w:val="single" w:sz="4" w:space="0" w:color="auto"/>
              <w:left w:val="single" w:sz="4" w:space="0" w:color="auto"/>
              <w:bottom w:val="single" w:sz="4" w:space="0" w:color="auto"/>
              <w:right w:val="single" w:sz="4" w:space="0" w:color="auto"/>
            </w:tcBorders>
            <w:hideMark/>
          </w:tcPr>
          <w:p w14:paraId="559C7C49" w14:textId="3F82463D" w:rsidR="00996278" w:rsidRPr="00A44B75" w:rsidRDefault="00F65696" w:rsidP="00BE6D2B">
            <w:pPr>
              <w:widowControl w:val="0"/>
              <w:suppressAutoHyphens/>
              <w:jc w:val="left"/>
              <w:rPr>
                <w:snapToGrid w:val="0"/>
                <w:sz w:val="20"/>
                <w:szCs w:val="20"/>
                <w:lang w:val="fr-FR"/>
              </w:rPr>
            </w:pPr>
            <w:r w:rsidRPr="00F65696">
              <w:rPr>
                <w:snapToGrid w:val="0"/>
                <w:sz w:val="20"/>
                <w:szCs w:val="20"/>
                <w:lang w:val="fr-FR"/>
              </w:rPr>
              <w:t>Royaume-Uni de Grande Bretagne et d</w:t>
            </w:r>
            <w:r w:rsidR="005A0776">
              <w:rPr>
                <w:snapToGrid w:val="0"/>
                <w:sz w:val="20"/>
                <w:szCs w:val="20"/>
                <w:lang w:val="fr-FR"/>
              </w:rPr>
              <w:t>’</w:t>
            </w:r>
            <w:r w:rsidRPr="00F65696">
              <w:rPr>
                <w:snapToGrid w:val="0"/>
                <w:sz w:val="20"/>
                <w:szCs w:val="20"/>
                <w:lang w:val="fr-FR"/>
              </w:rPr>
              <w:t>Irlande du Nord</w:t>
            </w:r>
            <w:r w:rsidR="00996278" w:rsidRPr="00A44B75">
              <w:rPr>
                <w:snapToGrid w:val="0"/>
                <w:sz w:val="20"/>
                <w:szCs w:val="20"/>
                <w:lang w:val="fr-FR"/>
              </w:rPr>
              <w:t xml:space="preserve"> </w:t>
            </w:r>
          </w:p>
        </w:tc>
        <w:tc>
          <w:tcPr>
            <w:tcW w:w="864" w:type="pct"/>
            <w:tcBorders>
              <w:top w:val="single" w:sz="4" w:space="0" w:color="auto"/>
              <w:left w:val="single" w:sz="4" w:space="0" w:color="auto"/>
              <w:bottom w:val="single" w:sz="4" w:space="0" w:color="auto"/>
              <w:right w:val="single" w:sz="4" w:space="0" w:color="auto"/>
            </w:tcBorders>
            <w:tcMar>
              <w:right w:w="432" w:type="dxa"/>
            </w:tcMar>
            <w:hideMark/>
          </w:tcPr>
          <w:p w14:paraId="6F58EE55" w14:textId="77777777" w:rsidR="00996278" w:rsidRPr="006524DF" w:rsidRDefault="00996278" w:rsidP="007079A4">
            <w:pPr>
              <w:widowControl w:val="0"/>
              <w:suppressAutoHyphens/>
              <w:jc w:val="right"/>
              <w:rPr>
                <w:snapToGrid w:val="0"/>
                <w:sz w:val="20"/>
                <w:szCs w:val="20"/>
              </w:rPr>
            </w:pPr>
            <w:r w:rsidRPr="006524DF">
              <w:rPr>
                <w:snapToGrid w:val="0"/>
                <w:sz w:val="20"/>
                <w:szCs w:val="20"/>
              </w:rPr>
              <w:t>1</w:t>
            </w:r>
          </w:p>
        </w:tc>
        <w:tc>
          <w:tcPr>
            <w:tcW w:w="922" w:type="pct"/>
            <w:tcBorders>
              <w:top w:val="single" w:sz="4" w:space="0" w:color="auto"/>
              <w:left w:val="single" w:sz="4" w:space="0" w:color="auto"/>
              <w:bottom w:val="single" w:sz="4" w:space="0" w:color="auto"/>
              <w:right w:val="single" w:sz="4" w:space="0" w:color="auto"/>
            </w:tcBorders>
            <w:tcMar>
              <w:right w:w="432" w:type="dxa"/>
            </w:tcMar>
            <w:hideMark/>
          </w:tcPr>
          <w:p w14:paraId="41BC2FB6" w14:textId="77777777" w:rsidR="00996278" w:rsidRPr="006524DF" w:rsidRDefault="00996278" w:rsidP="007079A4">
            <w:pPr>
              <w:widowControl w:val="0"/>
              <w:suppressAutoHyphens/>
              <w:jc w:val="right"/>
              <w:rPr>
                <w:snapToGrid w:val="0"/>
                <w:sz w:val="20"/>
                <w:szCs w:val="20"/>
              </w:rPr>
            </w:pPr>
            <w:r w:rsidRPr="006524DF">
              <w:rPr>
                <w:snapToGrid w:val="0"/>
                <w:sz w:val="20"/>
                <w:szCs w:val="20"/>
              </w:rPr>
              <w:t>1</w:t>
            </w:r>
          </w:p>
        </w:tc>
        <w:tc>
          <w:tcPr>
            <w:tcW w:w="998" w:type="pct"/>
            <w:tcBorders>
              <w:top w:val="single" w:sz="4" w:space="0" w:color="auto"/>
              <w:left w:val="single" w:sz="4" w:space="0" w:color="auto"/>
              <w:bottom w:val="single" w:sz="4" w:space="0" w:color="auto"/>
              <w:right w:val="single" w:sz="4" w:space="0" w:color="auto"/>
            </w:tcBorders>
            <w:tcMar>
              <w:right w:w="432" w:type="dxa"/>
            </w:tcMar>
            <w:hideMark/>
          </w:tcPr>
          <w:p w14:paraId="6B7F2445"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tcMar>
              <w:right w:w="432" w:type="dxa"/>
            </w:tcMar>
            <w:hideMark/>
          </w:tcPr>
          <w:p w14:paraId="079F4C07"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r>
      <w:tr w:rsidR="00996278" w:rsidRPr="006524DF" w14:paraId="0D3F1872" w14:textId="77777777" w:rsidTr="00F65696">
        <w:trPr>
          <w:cantSplit/>
        </w:trPr>
        <w:tc>
          <w:tcPr>
            <w:tcW w:w="1370" w:type="pct"/>
            <w:tcBorders>
              <w:top w:val="single" w:sz="4" w:space="0" w:color="auto"/>
              <w:left w:val="single" w:sz="4" w:space="0" w:color="auto"/>
              <w:bottom w:val="single" w:sz="4" w:space="0" w:color="auto"/>
              <w:right w:val="single" w:sz="4" w:space="0" w:color="auto"/>
            </w:tcBorders>
            <w:hideMark/>
          </w:tcPr>
          <w:p w14:paraId="44FFFA62" w14:textId="4F4634BE" w:rsidR="00996278" w:rsidRPr="00F65696" w:rsidRDefault="00F65696" w:rsidP="00BE6D2B">
            <w:pPr>
              <w:widowControl w:val="0"/>
              <w:suppressAutoHyphens/>
              <w:jc w:val="left"/>
              <w:rPr>
                <w:snapToGrid w:val="0"/>
                <w:sz w:val="20"/>
                <w:szCs w:val="20"/>
              </w:rPr>
            </w:pPr>
            <w:r w:rsidRPr="00F65696">
              <w:rPr>
                <w:snapToGrid w:val="0"/>
                <w:sz w:val="20"/>
                <w:szCs w:val="20"/>
                <w:lang w:val="fr-FR"/>
              </w:rPr>
              <w:t>États-Unis d´Amérique</w:t>
            </w:r>
          </w:p>
        </w:tc>
        <w:tc>
          <w:tcPr>
            <w:tcW w:w="864" w:type="pct"/>
            <w:tcBorders>
              <w:top w:val="single" w:sz="4" w:space="0" w:color="auto"/>
              <w:left w:val="single" w:sz="4" w:space="0" w:color="auto"/>
              <w:bottom w:val="single" w:sz="4" w:space="0" w:color="auto"/>
              <w:right w:val="single" w:sz="4" w:space="0" w:color="auto"/>
            </w:tcBorders>
            <w:tcMar>
              <w:right w:w="432" w:type="dxa"/>
            </w:tcMar>
            <w:hideMark/>
          </w:tcPr>
          <w:p w14:paraId="2B356B2D" w14:textId="77777777" w:rsidR="00996278" w:rsidRPr="006524DF" w:rsidRDefault="00996278" w:rsidP="007079A4">
            <w:pPr>
              <w:widowControl w:val="0"/>
              <w:suppressAutoHyphens/>
              <w:jc w:val="right"/>
              <w:rPr>
                <w:snapToGrid w:val="0"/>
                <w:sz w:val="20"/>
                <w:szCs w:val="20"/>
              </w:rPr>
            </w:pPr>
            <w:r w:rsidRPr="006524DF">
              <w:rPr>
                <w:snapToGrid w:val="0"/>
                <w:sz w:val="20"/>
                <w:szCs w:val="20"/>
              </w:rPr>
              <w:t>2</w:t>
            </w:r>
          </w:p>
        </w:tc>
        <w:tc>
          <w:tcPr>
            <w:tcW w:w="922" w:type="pct"/>
            <w:tcBorders>
              <w:top w:val="single" w:sz="4" w:space="0" w:color="auto"/>
              <w:left w:val="single" w:sz="4" w:space="0" w:color="auto"/>
              <w:bottom w:val="single" w:sz="4" w:space="0" w:color="auto"/>
              <w:right w:val="single" w:sz="4" w:space="0" w:color="auto"/>
            </w:tcBorders>
            <w:tcMar>
              <w:right w:w="432" w:type="dxa"/>
            </w:tcMar>
            <w:hideMark/>
          </w:tcPr>
          <w:p w14:paraId="3B5D7491" w14:textId="77777777" w:rsidR="00996278" w:rsidRPr="006524DF" w:rsidRDefault="00996278" w:rsidP="007079A4">
            <w:pPr>
              <w:widowControl w:val="0"/>
              <w:suppressAutoHyphens/>
              <w:jc w:val="right"/>
              <w:rPr>
                <w:snapToGrid w:val="0"/>
                <w:sz w:val="20"/>
                <w:szCs w:val="20"/>
              </w:rPr>
            </w:pPr>
            <w:r w:rsidRPr="006524DF">
              <w:rPr>
                <w:snapToGrid w:val="0"/>
                <w:sz w:val="20"/>
                <w:szCs w:val="20"/>
              </w:rPr>
              <w:t>2</w:t>
            </w:r>
          </w:p>
        </w:tc>
        <w:tc>
          <w:tcPr>
            <w:tcW w:w="998" w:type="pct"/>
            <w:tcBorders>
              <w:top w:val="single" w:sz="4" w:space="0" w:color="auto"/>
              <w:left w:val="single" w:sz="4" w:space="0" w:color="auto"/>
              <w:bottom w:val="single" w:sz="4" w:space="0" w:color="auto"/>
              <w:right w:val="single" w:sz="4" w:space="0" w:color="auto"/>
            </w:tcBorders>
            <w:tcMar>
              <w:right w:w="432" w:type="dxa"/>
            </w:tcMar>
            <w:hideMark/>
          </w:tcPr>
          <w:p w14:paraId="0B4DA2A4"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tcMar>
              <w:right w:w="432" w:type="dxa"/>
            </w:tcMar>
            <w:hideMark/>
          </w:tcPr>
          <w:p w14:paraId="3C651763"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r>
      <w:tr w:rsidR="00996278" w:rsidRPr="006524DF" w14:paraId="75891279" w14:textId="77777777" w:rsidTr="00F65696">
        <w:trPr>
          <w:cantSplit/>
        </w:trPr>
        <w:tc>
          <w:tcPr>
            <w:tcW w:w="1370" w:type="pct"/>
            <w:tcBorders>
              <w:top w:val="single" w:sz="4" w:space="0" w:color="auto"/>
              <w:left w:val="single" w:sz="4" w:space="0" w:color="auto"/>
              <w:bottom w:val="single" w:sz="4" w:space="0" w:color="auto"/>
              <w:right w:val="single" w:sz="4" w:space="0" w:color="auto"/>
            </w:tcBorders>
            <w:hideMark/>
          </w:tcPr>
          <w:p w14:paraId="48997AF8" w14:textId="7C830F90" w:rsidR="00996278" w:rsidRPr="00F65696" w:rsidRDefault="00F65696" w:rsidP="00BE6D2B">
            <w:pPr>
              <w:widowControl w:val="0"/>
              <w:suppressAutoHyphens/>
              <w:jc w:val="left"/>
              <w:rPr>
                <w:snapToGrid w:val="0"/>
                <w:sz w:val="20"/>
                <w:szCs w:val="20"/>
              </w:rPr>
            </w:pPr>
            <w:r w:rsidRPr="00F65696">
              <w:rPr>
                <w:snapToGrid w:val="0"/>
                <w:sz w:val="20"/>
                <w:szCs w:val="20"/>
                <w:lang w:val="fr-FR"/>
              </w:rPr>
              <w:t>PNUD</w:t>
            </w:r>
          </w:p>
        </w:tc>
        <w:tc>
          <w:tcPr>
            <w:tcW w:w="864" w:type="pct"/>
            <w:tcBorders>
              <w:top w:val="single" w:sz="4" w:space="0" w:color="auto"/>
              <w:left w:val="single" w:sz="4" w:space="0" w:color="auto"/>
              <w:bottom w:val="single" w:sz="4" w:space="0" w:color="auto"/>
              <w:right w:val="single" w:sz="4" w:space="0" w:color="auto"/>
            </w:tcBorders>
            <w:tcMar>
              <w:right w:w="432" w:type="dxa"/>
            </w:tcMar>
            <w:hideMark/>
          </w:tcPr>
          <w:p w14:paraId="430F66B8" w14:textId="77777777" w:rsidR="00996278" w:rsidRPr="006524DF" w:rsidRDefault="00996278" w:rsidP="007079A4">
            <w:pPr>
              <w:widowControl w:val="0"/>
              <w:suppressAutoHyphens/>
              <w:jc w:val="right"/>
              <w:rPr>
                <w:snapToGrid w:val="0"/>
                <w:sz w:val="20"/>
                <w:szCs w:val="20"/>
              </w:rPr>
            </w:pPr>
            <w:r w:rsidRPr="006524DF">
              <w:rPr>
                <w:snapToGrid w:val="0"/>
                <w:sz w:val="20"/>
                <w:szCs w:val="20"/>
              </w:rPr>
              <w:t>898</w:t>
            </w:r>
          </w:p>
        </w:tc>
        <w:tc>
          <w:tcPr>
            <w:tcW w:w="922" w:type="pct"/>
            <w:tcBorders>
              <w:top w:val="single" w:sz="4" w:space="0" w:color="auto"/>
              <w:left w:val="single" w:sz="4" w:space="0" w:color="auto"/>
              <w:bottom w:val="single" w:sz="4" w:space="0" w:color="auto"/>
              <w:right w:val="single" w:sz="4" w:space="0" w:color="auto"/>
            </w:tcBorders>
            <w:tcMar>
              <w:right w:w="432" w:type="dxa"/>
            </w:tcMar>
            <w:hideMark/>
          </w:tcPr>
          <w:p w14:paraId="40E46687" w14:textId="77777777" w:rsidR="00996278" w:rsidRPr="006524DF" w:rsidRDefault="00996278" w:rsidP="007079A4">
            <w:pPr>
              <w:widowControl w:val="0"/>
              <w:suppressAutoHyphens/>
              <w:jc w:val="right"/>
              <w:rPr>
                <w:snapToGrid w:val="0"/>
                <w:sz w:val="20"/>
                <w:szCs w:val="20"/>
              </w:rPr>
            </w:pPr>
            <w:r w:rsidRPr="006524DF">
              <w:rPr>
                <w:snapToGrid w:val="0"/>
                <w:sz w:val="20"/>
                <w:szCs w:val="20"/>
              </w:rPr>
              <w:t>897</w:t>
            </w:r>
          </w:p>
        </w:tc>
        <w:tc>
          <w:tcPr>
            <w:tcW w:w="998" w:type="pct"/>
            <w:tcBorders>
              <w:top w:val="single" w:sz="4" w:space="0" w:color="auto"/>
              <w:left w:val="single" w:sz="4" w:space="0" w:color="auto"/>
              <w:bottom w:val="single" w:sz="4" w:space="0" w:color="auto"/>
              <w:right w:val="single" w:sz="4" w:space="0" w:color="auto"/>
            </w:tcBorders>
            <w:tcMar>
              <w:right w:w="432" w:type="dxa"/>
            </w:tcMar>
            <w:hideMark/>
          </w:tcPr>
          <w:p w14:paraId="153E200A"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tcMar>
              <w:right w:w="432" w:type="dxa"/>
            </w:tcMar>
            <w:hideMark/>
          </w:tcPr>
          <w:p w14:paraId="0B5FCEB1" w14:textId="77777777" w:rsidR="00996278" w:rsidRPr="006524DF" w:rsidRDefault="00996278" w:rsidP="007079A4">
            <w:pPr>
              <w:widowControl w:val="0"/>
              <w:suppressAutoHyphens/>
              <w:jc w:val="right"/>
              <w:rPr>
                <w:snapToGrid w:val="0"/>
                <w:sz w:val="20"/>
                <w:szCs w:val="20"/>
              </w:rPr>
            </w:pPr>
            <w:r w:rsidRPr="006524DF">
              <w:rPr>
                <w:snapToGrid w:val="0"/>
                <w:sz w:val="20"/>
                <w:szCs w:val="20"/>
              </w:rPr>
              <w:t>1</w:t>
            </w:r>
          </w:p>
        </w:tc>
      </w:tr>
      <w:tr w:rsidR="00996278" w:rsidRPr="006524DF" w14:paraId="0223E1C2" w14:textId="77777777" w:rsidTr="00F65696">
        <w:trPr>
          <w:cantSplit/>
        </w:trPr>
        <w:tc>
          <w:tcPr>
            <w:tcW w:w="1370" w:type="pct"/>
            <w:tcBorders>
              <w:top w:val="single" w:sz="4" w:space="0" w:color="auto"/>
              <w:left w:val="single" w:sz="4" w:space="0" w:color="auto"/>
              <w:bottom w:val="single" w:sz="4" w:space="0" w:color="auto"/>
              <w:right w:val="single" w:sz="4" w:space="0" w:color="auto"/>
            </w:tcBorders>
            <w:hideMark/>
          </w:tcPr>
          <w:p w14:paraId="26969250" w14:textId="4D299591" w:rsidR="00996278" w:rsidRPr="00F65696" w:rsidRDefault="00F65696" w:rsidP="00BE6D2B">
            <w:pPr>
              <w:widowControl w:val="0"/>
              <w:suppressAutoHyphens/>
              <w:jc w:val="left"/>
              <w:rPr>
                <w:snapToGrid w:val="0"/>
                <w:sz w:val="20"/>
                <w:szCs w:val="20"/>
              </w:rPr>
            </w:pPr>
            <w:r w:rsidRPr="00F65696">
              <w:rPr>
                <w:snapToGrid w:val="0"/>
                <w:sz w:val="20"/>
                <w:szCs w:val="20"/>
                <w:lang w:val="fr-FR"/>
              </w:rPr>
              <w:t>ONUDI</w:t>
            </w:r>
          </w:p>
        </w:tc>
        <w:tc>
          <w:tcPr>
            <w:tcW w:w="864" w:type="pct"/>
            <w:tcBorders>
              <w:top w:val="single" w:sz="4" w:space="0" w:color="auto"/>
              <w:left w:val="single" w:sz="4" w:space="0" w:color="auto"/>
              <w:bottom w:val="single" w:sz="4" w:space="0" w:color="auto"/>
              <w:right w:val="single" w:sz="4" w:space="0" w:color="auto"/>
            </w:tcBorders>
            <w:tcMar>
              <w:right w:w="432" w:type="dxa"/>
            </w:tcMar>
            <w:hideMark/>
          </w:tcPr>
          <w:p w14:paraId="7977BF55" w14:textId="77777777" w:rsidR="00996278" w:rsidRPr="006524DF" w:rsidRDefault="00996278" w:rsidP="007079A4">
            <w:pPr>
              <w:widowControl w:val="0"/>
              <w:suppressAutoHyphens/>
              <w:jc w:val="right"/>
              <w:rPr>
                <w:snapToGrid w:val="0"/>
                <w:sz w:val="20"/>
                <w:szCs w:val="20"/>
              </w:rPr>
            </w:pPr>
            <w:r w:rsidRPr="006524DF">
              <w:rPr>
                <w:snapToGrid w:val="0"/>
                <w:sz w:val="20"/>
                <w:szCs w:val="20"/>
              </w:rPr>
              <w:t>452</w:t>
            </w:r>
          </w:p>
        </w:tc>
        <w:tc>
          <w:tcPr>
            <w:tcW w:w="922" w:type="pct"/>
            <w:tcBorders>
              <w:top w:val="single" w:sz="4" w:space="0" w:color="auto"/>
              <w:left w:val="single" w:sz="4" w:space="0" w:color="auto"/>
              <w:bottom w:val="single" w:sz="4" w:space="0" w:color="auto"/>
              <w:right w:val="single" w:sz="4" w:space="0" w:color="auto"/>
            </w:tcBorders>
            <w:tcMar>
              <w:right w:w="432" w:type="dxa"/>
            </w:tcMar>
            <w:hideMark/>
          </w:tcPr>
          <w:p w14:paraId="01F40988" w14:textId="77777777" w:rsidR="00996278" w:rsidRPr="006524DF" w:rsidRDefault="00996278" w:rsidP="007079A4">
            <w:pPr>
              <w:widowControl w:val="0"/>
              <w:suppressAutoHyphens/>
              <w:jc w:val="right"/>
              <w:rPr>
                <w:snapToGrid w:val="0"/>
                <w:sz w:val="20"/>
                <w:szCs w:val="20"/>
              </w:rPr>
            </w:pPr>
            <w:r w:rsidRPr="006524DF">
              <w:rPr>
                <w:snapToGrid w:val="0"/>
                <w:sz w:val="20"/>
                <w:szCs w:val="20"/>
              </w:rPr>
              <w:t>449</w:t>
            </w:r>
          </w:p>
        </w:tc>
        <w:tc>
          <w:tcPr>
            <w:tcW w:w="998" w:type="pct"/>
            <w:tcBorders>
              <w:top w:val="single" w:sz="4" w:space="0" w:color="auto"/>
              <w:left w:val="single" w:sz="4" w:space="0" w:color="auto"/>
              <w:bottom w:val="single" w:sz="4" w:space="0" w:color="auto"/>
              <w:right w:val="single" w:sz="4" w:space="0" w:color="auto"/>
            </w:tcBorders>
            <w:tcMar>
              <w:right w:w="432" w:type="dxa"/>
            </w:tcMar>
            <w:hideMark/>
          </w:tcPr>
          <w:p w14:paraId="0A1E5E62"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tcMar>
              <w:right w:w="432" w:type="dxa"/>
            </w:tcMar>
            <w:hideMark/>
          </w:tcPr>
          <w:p w14:paraId="4A177D04" w14:textId="77777777" w:rsidR="00996278" w:rsidRPr="006524DF" w:rsidRDefault="00996278" w:rsidP="007079A4">
            <w:pPr>
              <w:widowControl w:val="0"/>
              <w:suppressAutoHyphens/>
              <w:jc w:val="right"/>
              <w:rPr>
                <w:snapToGrid w:val="0"/>
                <w:sz w:val="20"/>
                <w:szCs w:val="20"/>
              </w:rPr>
            </w:pPr>
            <w:r w:rsidRPr="006524DF">
              <w:rPr>
                <w:snapToGrid w:val="0"/>
                <w:sz w:val="20"/>
                <w:szCs w:val="20"/>
              </w:rPr>
              <w:t>3</w:t>
            </w:r>
          </w:p>
        </w:tc>
      </w:tr>
      <w:tr w:rsidR="00996278" w:rsidRPr="006524DF" w14:paraId="7E3063DA" w14:textId="77777777" w:rsidTr="00F65696">
        <w:trPr>
          <w:cantSplit/>
        </w:trPr>
        <w:tc>
          <w:tcPr>
            <w:tcW w:w="1370" w:type="pct"/>
            <w:tcBorders>
              <w:top w:val="single" w:sz="4" w:space="0" w:color="auto"/>
              <w:left w:val="single" w:sz="4" w:space="0" w:color="auto"/>
              <w:bottom w:val="single" w:sz="4" w:space="0" w:color="auto"/>
              <w:right w:val="single" w:sz="4" w:space="0" w:color="auto"/>
            </w:tcBorders>
            <w:hideMark/>
          </w:tcPr>
          <w:p w14:paraId="35987577" w14:textId="0CA8769F" w:rsidR="00996278" w:rsidRPr="00F65696" w:rsidRDefault="00F65696" w:rsidP="00BE6D2B">
            <w:pPr>
              <w:widowControl w:val="0"/>
              <w:suppressAutoHyphens/>
              <w:jc w:val="left"/>
              <w:rPr>
                <w:snapToGrid w:val="0"/>
                <w:sz w:val="20"/>
                <w:szCs w:val="20"/>
              </w:rPr>
            </w:pPr>
            <w:r w:rsidRPr="00F65696">
              <w:rPr>
                <w:snapToGrid w:val="0"/>
                <w:sz w:val="20"/>
                <w:szCs w:val="20"/>
                <w:lang w:val="fr-FR"/>
              </w:rPr>
              <w:t>Banque mondiale</w:t>
            </w:r>
          </w:p>
        </w:tc>
        <w:tc>
          <w:tcPr>
            <w:tcW w:w="864" w:type="pct"/>
            <w:tcBorders>
              <w:top w:val="single" w:sz="4" w:space="0" w:color="auto"/>
              <w:left w:val="single" w:sz="4" w:space="0" w:color="auto"/>
              <w:bottom w:val="single" w:sz="4" w:space="0" w:color="auto"/>
              <w:right w:val="single" w:sz="4" w:space="0" w:color="auto"/>
            </w:tcBorders>
            <w:tcMar>
              <w:right w:w="432" w:type="dxa"/>
            </w:tcMar>
            <w:hideMark/>
          </w:tcPr>
          <w:p w14:paraId="34DF3398" w14:textId="77777777" w:rsidR="00996278" w:rsidRPr="006524DF" w:rsidRDefault="00996278" w:rsidP="007079A4">
            <w:pPr>
              <w:widowControl w:val="0"/>
              <w:suppressAutoHyphens/>
              <w:jc w:val="right"/>
              <w:rPr>
                <w:snapToGrid w:val="0"/>
                <w:sz w:val="20"/>
                <w:szCs w:val="20"/>
              </w:rPr>
            </w:pPr>
            <w:r w:rsidRPr="006524DF">
              <w:rPr>
                <w:snapToGrid w:val="0"/>
                <w:sz w:val="20"/>
                <w:szCs w:val="20"/>
              </w:rPr>
              <w:t>457</w:t>
            </w:r>
          </w:p>
        </w:tc>
        <w:tc>
          <w:tcPr>
            <w:tcW w:w="922" w:type="pct"/>
            <w:tcBorders>
              <w:top w:val="single" w:sz="4" w:space="0" w:color="auto"/>
              <w:left w:val="single" w:sz="4" w:space="0" w:color="auto"/>
              <w:bottom w:val="single" w:sz="4" w:space="0" w:color="auto"/>
              <w:right w:val="single" w:sz="4" w:space="0" w:color="auto"/>
            </w:tcBorders>
            <w:tcMar>
              <w:right w:w="432" w:type="dxa"/>
            </w:tcMar>
            <w:hideMark/>
          </w:tcPr>
          <w:p w14:paraId="71CB2522" w14:textId="77777777" w:rsidR="00996278" w:rsidRPr="006524DF" w:rsidRDefault="00996278" w:rsidP="007079A4">
            <w:pPr>
              <w:widowControl w:val="0"/>
              <w:suppressAutoHyphens/>
              <w:jc w:val="right"/>
              <w:rPr>
                <w:snapToGrid w:val="0"/>
                <w:sz w:val="20"/>
                <w:szCs w:val="20"/>
              </w:rPr>
            </w:pPr>
            <w:r w:rsidRPr="006524DF">
              <w:rPr>
                <w:snapToGrid w:val="0"/>
                <w:sz w:val="20"/>
                <w:szCs w:val="20"/>
              </w:rPr>
              <w:t>455</w:t>
            </w:r>
          </w:p>
        </w:tc>
        <w:tc>
          <w:tcPr>
            <w:tcW w:w="998" w:type="pct"/>
            <w:tcBorders>
              <w:top w:val="single" w:sz="4" w:space="0" w:color="auto"/>
              <w:left w:val="single" w:sz="4" w:space="0" w:color="auto"/>
              <w:bottom w:val="single" w:sz="4" w:space="0" w:color="auto"/>
              <w:right w:val="single" w:sz="4" w:space="0" w:color="auto"/>
            </w:tcBorders>
            <w:tcMar>
              <w:right w:w="432" w:type="dxa"/>
            </w:tcMar>
            <w:hideMark/>
          </w:tcPr>
          <w:p w14:paraId="195C7E2B"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tcMar>
              <w:right w:w="432" w:type="dxa"/>
            </w:tcMar>
            <w:hideMark/>
          </w:tcPr>
          <w:p w14:paraId="0C60F1FE" w14:textId="77777777" w:rsidR="00996278" w:rsidRPr="006524DF" w:rsidRDefault="00996278" w:rsidP="007079A4">
            <w:pPr>
              <w:widowControl w:val="0"/>
              <w:suppressAutoHyphens/>
              <w:jc w:val="right"/>
              <w:rPr>
                <w:snapToGrid w:val="0"/>
                <w:sz w:val="20"/>
                <w:szCs w:val="20"/>
              </w:rPr>
            </w:pPr>
            <w:r w:rsidRPr="006524DF">
              <w:rPr>
                <w:snapToGrid w:val="0"/>
                <w:sz w:val="20"/>
                <w:szCs w:val="20"/>
              </w:rPr>
              <w:t>2</w:t>
            </w:r>
          </w:p>
        </w:tc>
      </w:tr>
      <w:tr w:rsidR="00996278" w:rsidRPr="006524DF" w14:paraId="543329C0" w14:textId="77777777" w:rsidTr="00F65696">
        <w:trPr>
          <w:cantSplit/>
        </w:trPr>
        <w:tc>
          <w:tcPr>
            <w:tcW w:w="1370" w:type="pct"/>
            <w:tcBorders>
              <w:top w:val="single" w:sz="4" w:space="0" w:color="auto"/>
              <w:left w:val="single" w:sz="4" w:space="0" w:color="auto"/>
              <w:bottom w:val="single" w:sz="4" w:space="0" w:color="auto"/>
              <w:right w:val="single" w:sz="4" w:space="0" w:color="auto"/>
            </w:tcBorders>
            <w:hideMark/>
          </w:tcPr>
          <w:p w14:paraId="2173A672" w14:textId="3AD09D77" w:rsidR="00996278" w:rsidRPr="00F65696" w:rsidRDefault="00F65696" w:rsidP="00BE6D2B">
            <w:pPr>
              <w:widowControl w:val="0"/>
              <w:suppressAutoHyphens/>
              <w:jc w:val="left"/>
              <w:rPr>
                <w:b/>
                <w:snapToGrid w:val="0"/>
                <w:sz w:val="20"/>
                <w:szCs w:val="20"/>
              </w:rPr>
            </w:pPr>
            <w:r w:rsidRPr="00F65696">
              <w:rPr>
                <w:b/>
                <w:snapToGrid w:val="0"/>
                <w:sz w:val="20"/>
                <w:szCs w:val="20"/>
                <w:lang w:val="fr-FR"/>
              </w:rPr>
              <w:t>Total</w:t>
            </w:r>
          </w:p>
        </w:tc>
        <w:tc>
          <w:tcPr>
            <w:tcW w:w="864" w:type="pct"/>
            <w:tcBorders>
              <w:top w:val="single" w:sz="4" w:space="0" w:color="auto"/>
              <w:left w:val="single" w:sz="4" w:space="0" w:color="auto"/>
              <w:bottom w:val="single" w:sz="4" w:space="0" w:color="auto"/>
              <w:right w:val="single" w:sz="4" w:space="0" w:color="auto"/>
            </w:tcBorders>
            <w:tcMar>
              <w:right w:w="432" w:type="dxa"/>
            </w:tcMar>
            <w:hideMark/>
          </w:tcPr>
          <w:p w14:paraId="6CC52DD1" w14:textId="01235C32" w:rsidR="00996278" w:rsidRPr="006524DF" w:rsidRDefault="00996278" w:rsidP="005A0776">
            <w:pPr>
              <w:widowControl w:val="0"/>
              <w:tabs>
                <w:tab w:val="left" w:pos="600"/>
                <w:tab w:val="center" w:pos="915"/>
              </w:tabs>
              <w:suppressAutoHyphens/>
              <w:jc w:val="right"/>
              <w:rPr>
                <w:b/>
                <w:snapToGrid w:val="0"/>
                <w:sz w:val="20"/>
                <w:szCs w:val="20"/>
              </w:rPr>
            </w:pPr>
            <w:r w:rsidRPr="006524DF">
              <w:rPr>
                <w:b/>
                <w:snapToGrid w:val="0"/>
                <w:sz w:val="20"/>
                <w:szCs w:val="20"/>
              </w:rPr>
              <w:t>1</w:t>
            </w:r>
            <w:r w:rsidR="005A0776">
              <w:rPr>
                <w:b/>
                <w:snapToGrid w:val="0"/>
                <w:sz w:val="20"/>
                <w:szCs w:val="20"/>
              </w:rPr>
              <w:t> </w:t>
            </w:r>
            <w:r w:rsidRPr="006524DF">
              <w:rPr>
                <w:b/>
                <w:snapToGrid w:val="0"/>
                <w:sz w:val="20"/>
                <w:szCs w:val="20"/>
              </w:rPr>
              <w:t>863</w:t>
            </w:r>
          </w:p>
        </w:tc>
        <w:tc>
          <w:tcPr>
            <w:tcW w:w="922" w:type="pct"/>
            <w:tcBorders>
              <w:top w:val="single" w:sz="4" w:space="0" w:color="auto"/>
              <w:left w:val="single" w:sz="4" w:space="0" w:color="auto"/>
              <w:bottom w:val="single" w:sz="4" w:space="0" w:color="auto"/>
              <w:right w:val="single" w:sz="4" w:space="0" w:color="auto"/>
            </w:tcBorders>
            <w:tcMar>
              <w:right w:w="432" w:type="dxa"/>
            </w:tcMar>
            <w:hideMark/>
          </w:tcPr>
          <w:p w14:paraId="637B92ED" w14:textId="11543214" w:rsidR="00996278" w:rsidRPr="006524DF" w:rsidRDefault="00996278" w:rsidP="005A0776">
            <w:pPr>
              <w:widowControl w:val="0"/>
              <w:suppressAutoHyphens/>
              <w:jc w:val="right"/>
              <w:rPr>
                <w:b/>
                <w:snapToGrid w:val="0"/>
                <w:sz w:val="20"/>
                <w:szCs w:val="20"/>
              </w:rPr>
            </w:pPr>
            <w:r w:rsidRPr="006524DF">
              <w:rPr>
                <w:b/>
                <w:sz w:val="20"/>
              </w:rPr>
              <w:t>1</w:t>
            </w:r>
            <w:r w:rsidR="005A0776">
              <w:rPr>
                <w:b/>
                <w:sz w:val="20"/>
              </w:rPr>
              <w:t> </w:t>
            </w:r>
            <w:r w:rsidRPr="006524DF">
              <w:rPr>
                <w:b/>
                <w:sz w:val="20"/>
              </w:rPr>
              <w:t>854</w:t>
            </w:r>
          </w:p>
        </w:tc>
        <w:tc>
          <w:tcPr>
            <w:tcW w:w="998" w:type="pct"/>
            <w:tcBorders>
              <w:top w:val="single" w:sz="4" w:space="0" w:color="auto"/>
              <w:left w:val="single" w:sz="4" w:space="0" w:color="auto"/>
              <w:bottom w:val="single" w:sz="4" w:space="0" w:color="auto"/>
              <w:right w:val="single" w:sz="4" w:space="0" w:color="auto"/>
            </w:tcBorders>
            <w:tcMar>
              <w:right w:w="432" w:type="dxa"/>
            </w:tcMar>
            <w:hideMark/>
          </w:tcPr>
          <w:p w14:paraId="16C06C6F" w14:textId="77777777" w:rsidR="00996278" w:rsidRPr="006524DF" w:rsidRDefault="00996278" w:rsidP="007079A4">
            <w:pPr>
              <w:widowControl w:val="0"/>
              <w:suppressAutoHyphens/>
              <w:jc w:val="right"/>
              <w:rPr>
                <w:b/>
                <w:snapToGrid w:val="0"/>
                <w:sz w:val="20"/>
                <w:szCs w:val="20"/>
              </w:rPr>
            </w:pPr>
            <w:r w:rsidRPr="006524DF">
              <w:rPr>
                <w:b/>
                <w:sz w:val="20"/>
              </w:rPr>
              <w:t>0</w:t>
            </w:r>
          </w:p>
        </w:tc>
        <w:tc>
          <w:tcPr>
            <w:tcW w:w="846" w:type="pct"/>
            <w:tcBorders>
              <w:top w:val="single" w:sz="4" w:space="0" w:color="auto"/>
              <w:left w:val="single" w:sz="4" w:space="0" w:color="auto"/>
              <w:bottom w:val="single" w:sz="4" w:space="0" w:color="auto"/>
              <w:right w:val="single" w:sz="4" w:space="0" w:color="auto"/>
            </w:tcBorders>
            <w:tcMar>
              <w:right w:w="432" w:type="dxa"/>
            </w:tcMar>
            <w:hideMark/>
          </w:tcPr>
          <w:p w14:paraId="6F0CAC19" w14:textId="77777777" w:rsidR="00996278" w:rsidRPr="006524DF" w:rsidRDefault="00996278" w:rsidP="007079A4">
            <w:pPr>
              <w:widowControl w:val="0"/>
              <w:suppressAutoHyphens/>
              <w:jc w:val="right"/>
              <w:rPr>
                <w:b/>
                <w:snapToGrid w:val="0"/>
                <w:sz w:val="20"/>
                <w:szCs w:val="20"/>
              </w:rPr>
            </w:pPr>
            <w:r w:rsidRPr="006524DF">
              <w:rPr>
                <w:b/>
                <w:sz w:val="20"/>
              </w:rPr>
              <w:t>9</w:t>
            </w:r>
          </w:p>
        </w:tc>
      </w:tr>
    </w:tbl>
    <w:bookmarkEnd w:id="11"/>
    <w:p w14:paraId="1B95E83E" w14:textId="5FCAE465" w:rsidR="00F65696" w:rsidRPr="00A44B75" w:rsidRDefault="00F65696" w:rsidP="00F65696">
      <w:pPr>
        <w:pStyle w:val="Heading1"/>
        <w:widowControl w:val="0"/>
        <w:tabs>
          <w:tab w:val="clear" w:pos="0"/>
          <w:tab w:val="num" w:pos="720"/>
        </w:tabs>
        <w:spacing w:before="240"/>
        <w:rPr>
          <w:lang w:val="fr-FR"/>
        </w:rPr>
      </w:pPr>
      <w:r w:rsidRPr="00F65696">
        <w:rPr>
          <w:lang w:val="fr-FR"/>
        </w:rPr>
        <w:t>Sur les 1 264 projets ne portant pas sur des investissements</w:t>
      </w:r>
      <w:r w:rsidRPr="00F65696">
        <w:rPr>
          <w:rStyle w:val="FootnoteReference"/>
          <w:lang w:val="fr-FR"/>
        </w:rPr>
        <w:footnoteReference w:id="4"/>
      </w:r>
      <w:r w:rsidR="005C2F25">
        <w:rPr>
          <w:lang w:val="fr-FR"/>
        </w:rPr>
        <w:t xml:space="preserve"> </w:t>
      </w:r>
      <w:r w:rsidRPr="00F65696">
        <w:rPr>
          <w:lang w:val="fr-FR"/>
        </w:rPr>
        <w:t>menés à bien, les agences bilatérales et d</w:t>
      </w:r>
      <w:r w:rsidR="005A0776">
        <w:rPr>
          <w:lang w:val="fr-FR"/>
        </w:rPr>
        <w:t>’</w:t>
      </w:r>
      <w:r w:rsidRPr="00F65696">
        <w:rPr>
          <w:lang w:val="fr-FR"/>
        </w:rPr>
        <w:t>exécution ont soumis 1 234 rapports d</w:t>
      </w:r>
      <w:r w:rsidR="005A0776">
        <w:rPr>
          <w:lang w:val="fr-FR"/>
        </w:rPr>
        <w:t>’</w:t>
      </w:r>
      <w:r w:rsidRPr="00F65696">
        <w:rPr>
          <w:lang w:val="fr-FR"/>
        </w:rPr>
        <w:t>achèvement de projet</w:t>
      </w:r>
      <w:r w:rsidR="002C62C8">
        <w:rPr>
          <w:lang w:val="fr-FR"/>
        </w:rPr>
        <w:t>s</w:t>
      </w:r>
      <w:r w:rsidRPr="00F65696">
        <w:rPr>
          <w:lang w:val="fr-FR"/>
        </w:rPr>
        <w:t>, faisant qu</w:t>
      </w:r>
      <w:r w:rsidR="005A0776">
        <w:rPr>
          <w:lang w:val="fr-FR"/>
        </w:rPr>
        <w:t>’</w:t>
      </w:r>
      <w:r w:rsidRPr="00F65696">
        <w:rPr>
          <w:lang w:val="fr-FR"/>
        </w:rPr>
        <w:t>il reste 30 RAP en souffrance, comme l</w:t>
      </w:r>
      <w:r w:rsidR="005A0776">
        <w:rPr>
          <w:lang w:val="fr-FR"/>
        </w:rPr>
        <w:t>’</w:t>
      </w:r>
      <w:r w:rsidRPr="00F65696">
        <w:rPr>
          <w:lang w:val="fr-FR"/>
        </w:rPr>
        <w:t>indique le tableau 4.</w:t>
      </w:r>
      <w:r w:rsidRPr="00A44B75">
        <w:rPr>
          <w:lang w:val="fr-FR"/>
        </w:rPr>
        <w:t xml:space="preserve"> </w:t>
      </w:r>
    </w:p>
    <w:p w14:paraId="64664103" w14:textId="30498A11" w:rsidR="00222C40" w:rsidRPr="00A44B75" w:rsidRDefault="00F65696" w:rsidP="00605D6D">
      <w:pPr>
        <w:pStyle w:val="FootnoteText"/>
        <w:keepNext/>
        <w:keepLines/>
        <w:widowControl w:val="0"/>
        <w:ind w:left="14"/>
        <w:contextualSpacing/>
        <w:rPr>
          <w:b/>
          <w:sz w:val="21"/>
          <w:szCs w:val="21"/>
          <w:lang w:val="fr-FR"/>
        </w:rPr>
      </w:pPr>
      <w:r w:rsidRPr="00F65696">
        <w:rPr>
          <w:b/>
          <w:sz w:val="21"/>
          <w:szCs w:val="21"/>
          <w:lang w:val="fr-FR"/>
        </w:rPr>
        <w:t>Tableau 4. RAP remis pour des projets ne portant pas sur des investissements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67"/>
        <w:gridCol w:w="1868"/>
        <w:gridCol w:w="1867"/>
        <w:gridCol w:w="1868"/>
      </w:tblGrid>
      <w:tr w:rsidR="00996278" w:rsidRPr="006524DF" w14:paraId="6933F228" w14:textId="77777777" w:rsidTr="00996278">
        <w:trPr>
          <w:trHeight w:val="467"/>
          <w:tblHeader/>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7314D0B5" w14:textId="5FDF772B" w:rsidR="00996278" w:rsidRPr="00F65696" w:rsidRDefault="00F65696" w:rsidP="00BE6D2B">
            <w:pPr>
              <w:widowControl w:val="0"/>
              <w:jc w:val="left"/>
              <w:rPr>
                <w:b/>
                <w:color w:val="000000"/>
                <w:sz w:val="20"/>
                <w:szCs w:val="20"/>
              </w:rPr>
            </w:pPr>
            <w:r w:rsidRPr="00F65696">
              <w:rPr>
                <w:b/>
                <w:color w:val="000000"/>
                <w:sz w:val="20"/>
                <w:szCs w:val="20"/>
                <w:lang w:val="fr-FR"/>
              </w:rPr>
              <w:t>Agence</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0097AC84" w14:textId="5C638291" w:rsidR="00996278" w:rsidRPr="00F65696" w:rsidRDefault="00F65696" w:rsidP="00BE6D2B">
            <w:pPr>
              <w:widowControl w:val="0"/>
              <w:jc w:val="center"/>
              <w:rPr>
                <w:b/>
                <w:color w:val="000000"/>
                <w:sz w:val="20"/>
                <w:szCs w:val="20"/>
              </w:rPr>
            </w:pPr>
            <w:r w:rsidRPr="00F65696">
              <w:rPr>
                <w:b/>
                <w:color w:val="000000"/>
                <w:sz w:val="20"/>
                <w:szCs w:val="20"/>
                <w:lang w:val="fr-FR"/>
              </w:rPr>
              <w:t>Achevés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55C1E1B3" w14:textId="6E9F2B40" w:rsidR="00996278" w:rsidRPr="00A44B75" w:rsidRDefault="00F65696" w:rsidP="00BE6D2B">
            <w:pPr>
              <w:widowControl w:val="0"/>
              <w:jc w:val="center"/>
              <w:rPr>
                <w:b/>
                <w:sz w:val="20"/>
                <w:szCs w:val="20"/>
                <w:lang w:val="fr-FR"/>
              </w:rPr>
            </w:pPr>
            <w:r w:rsidRPr="00F65696">
              <w:rPr>
                <w:b/>
                <w:sz w:val="20"/>
                <w:szCs w:val="20"/>
                <w:lang w:val="fr-FR"/>
              </w:rPr>
              <w:t>Reçus avant la 87</w:t>
            </w:r>
            <w:r w:rsidRPr="00F65696">
              <w:rPr>
                <w:b/>
                <w:sz w:val="20"/>
                <w:szCs w:val="20"/>
                <w:vertAlign w:val="superscript"/>
                <w:lang w:val="fr-FR"/>
              </w:rPr>
              <w:t>e</w:t>
            </w:r>
            <w:r w:rsidR="005A0776">
              <w:rPr>
                <w:b/>
                <w:sz w:val="20"/>
                <w:szCs w:val="20"/>
                <w:lang w:val="fr-FR"/>
              </w:rPr>
              <w:t> </w:t>
            </w:r>
            <w:r w:rsidRPr="00F65696">
              <w:rPr>
                <w:b/>
                <w:sz w:val="20"/>
                <w:szCs w:val="20"/>
                <w:lang w:val="fr-FR"/>
              </w:rPr>
              <w:t>réunion</w:t>
            </w:r>
          </w:p>
        </w:tc>
        <w:tc>
          <w:tcPr>
            <w:tcW w:w="1867" w:type="dxa"/>
            <w:tcBorders>
              <w:top w:val="single" w:sz="4" w:space="0" w:color="auto"/>
              <w:left w:val="single" w:sz="4" w:space="0" w:color="auto"/>
              <w:bottom w:val="single" w:sz="4" w:space="0" w:color="auto"/>
              <w:right w:val="single" w:sz="4" w:space="0" w:color="auto"/>
            </w:tcBorders>
            <w:vAlign w:val="center"/>
            <w:hideMark/>
          </w:tcPr>
          <w:p w14:paraId="09FC6E24" w14:textId="3B951E95" w:rsidR="00996278" w:rsidRPr="00A44B75" w:rsidRDefault="00F65696" w:rsidP="00BE6D2B">
            <w:pPr>
              <w:widowControl w:val="0"/>
              <w:jc w:val="center"/>
              <w:rPr>
                <w:b/>
                <w:sz w:val="20"/>
                <w:szCs w:val="20"/>
                <w:lang w:val="fr-FR"/>
              </w:rPr>
            </w:pPr>
            <w:r w:rsidRPr="00F65696">
              <w:rPr>
                <w:b/>
                <w:sz w:val="20"/>
                <w:szCs w:val="20"/>
                <w:lang w:val="fr-FR"/>
              </w:rPr>
              <w:t>Reçus après la 87</w:t>
            </w:r>
            <w:r w:rsidRPr="00F65696">
              <w:rPr>
                <w:b/>
                <w:sz w:val="20"/>
                <w:szCs w:val="20"/>
                <w:vertAlign w:val="superscript"/>
                <w:lang w:val="fr-FR"/>
              </w:rPr>
              <w:t>e</w:t>
            </w:r>
            <w:r w:rsidR="005A0776">
              <w:rPr>
                <w:b/>
                <w:sz w:val="20"/>
                <w:szCs w:val="20"/>
                <w:lang w:val="fr-FR"/>
              </w:rPr>
              <w:t> </w:t>
            </w:r>
            <w:r w:rsidRPr="00F65696">
              <w:rPr>
                <w:b/>
                <w:sz w:val="20"/>
                <w:szCs w:val="20"/>
                <w:lang w:val="fr-FR"/>
              </w:rPr>
              <w:t>réunion</w:t>
            </w:r>
          </w:p>
        </w:tc>
        <w:tc>
          <w:tcPr>
            <w:tcW w:w="1868" w:type="dxa"/>
            <w:tcBorders>
              <w:top w:val="single" w:sz="4" w:space="0" w:color="auto"/>
              <w:left w:val="single" w:sz="4" w:space="0" w:color="auto"/>
              <w:bottom w:val="single" w:sz="4" w:space="0" w:color="auto"/>
              <w:right w:val="single" w:sz="4" w:space="0" w:color="auto"/>
            </w:tcBorders>
            <w:vAlign w:val="center"/>
            <w:hideMark/>
          </w:tcPr>
          <w:p w14:paraId="341A1F6A" w14:textId="0F9248F2" w:rsidR="00996278" w:rsidRPr="00F65696" w:rsidRDefault="00F65696" w:rsidP="00BE6D2B">
            <w:pPr>
              <w:widowControl w:val="0"/>
              <w:jc w:val="center"/>
              <w:rPr>
                <w:b/>
                <w:sz w:val="20"/>
                <w:szCs w:val="20"/>
              </w:rPr>
            </w:pPr>
            <w:r w:rsidRPr="00F65696">
              <w:rPr>
                <w:b/>
                <w:sz w:val="20"/>
                <w:szCs w:val="20"/>
                <w:lang w:val="fr-FR"/>
              </w:rPr>
              <w:t>En suspens</w:t>
            </w:r>
          </w:p>
        </w:tc>
      </w:tr>
      <w:tr w:rsidR="00996278" w:rsidRPr="006524DF" w14:paraId="28582CC1" w14:textId="77777777" w:rsidTr="007079A4">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08DDE1C5" w14:textId="30729DEF" w:rsidR="00996278" w:rsidRPr="00F65696" w:rsidRDefault="00F65696" w:rsidP="00BE6D2B">
            <w:pPr>
              <w:widowControl w:val="0"/>
              <w:jc w:val="left"/>
              <w:rPr>
                <w:color w:val="000000"/>
                <w:sz w:val="20"/>
                <w:szCs w:val="20"/>
              </w:rPr>
            </w:pPr>
            <w:r w:rsidRPr="00F65696">
              <w:rPr>
                <w:color w:val="000000"/>
                <w:sz w:val="20"/>
                <w:szCs w:val="20"/>
                <w:lang w:val="fr-FR"/>
              </w:rPr>
              <w:t>Canada</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432AF1FF" w14:textId="77777777" w:rsidR="00996278" w:rsidRPr="006524DF" w:rsidRDefault="00996278" w:rsidP="007079A4">
            <w:pPr>
              <w:widowControl w:val="0"/>
              <w:jc w:val="right"/>
              <w:rPr>
                <w:sz w:val="20"/>
                <w:szCs w:val="20"/>
              </w:rPr>
            </w:pPr>
            <w:r w:rsidRPr="006524DF">
              <w:rPr>
                <w:sz w:val="20"/>
                <w:szCs w:val="20"/>
              </w:rPr>
              <w:t>57</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61929CA6" w14:textId="77777777" w:rsidR="00996278" w:rsidRPr="006524DF" w:rsidRDefault="00996278" w:rsidP="007079A4">
            <w:pPr>
              <w:widowControl w:val="0"/>
              <w:jc w:val="right"/>
              <w:rPr>
                <w:sz w:val="20"/>
                <w:szCs w:val="20"/>
              </w:rPr>
            </w:pPr>
            <w:r w:rsidRPr="006524DF">
              <w:rPr>
                <w:sz w:val="20"/>
                <w:szCs w:val="20"/>
              </w:rPr>
              <w:t>57</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5090846A" w14:textId="77777777" w:rsidR="00996278" w:rsidRPr="006524DF" w:rsidRDefault="00996278" w:rsidP="007079A4">
            <w:pPr>
              <w:widowControl w:val="0"/>
              <w:jc w:val="right"/>
              <w:rPr>
                <w:sz w:val="20"/>
                <w:szCs w:val="20"/>
              </w:rPr>
            </w:pPr>
            <w:r w:rsidRPr="006524DF">
              <w:rPr>
                <w:sz w:val="20"/>
                <w:szCs w:val="20"/>
              </w:rPr>
              <w:t>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5334B6DD" w14:textId="77777777" w:rsidR="00996278" w:rsidRPr="006524DF" w:rsidRDefault="00996278" w:rsidP="007079A4">
            <w:pPr>
              <w:widowControl w:val="0"/>
              <w:jc w:val="right"/>
              <w:rPr>
                <w:sz w:val="20"/>
                <w:szCs w:val="20"/>
              </w:rPr>
            </w:pPr>
            <w:r w:rsidRPr="006524DF">
              <w:rPr>
                <w:sz w:val="20"/>
                <w:szCs w:val="20"/>
              </w:rPr>
              <w:t>0</w:t>
            </w:r>
          </w:p>
        </w:tc>
      </w:tr>
      <w:tr w:rsidR="00996278" w:rsidRPr="006524DF" w14:paraId="5F81E004" w14:textId="77777777" w:rsidTr="007079A4">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59B9B43D" w14:textId="7E6F6404" w:rsidR="00996278" w:rsidRPr="00F65696" w:rsidRDefault="00F65696" w:rsidP="00BE6D2B">
            <w:pPr>
              <w:widowControl w:val="0"/>
              <w:jc w:val="left"/>
              <w:rPr>
                <w:color w:val="000000"/>
                <w:sz w:val="20"/>
                <w:szCs w:val="20"/>
              </w:rPr>
            </w:pPr>
            <w:r w:rsidRPr="00F65696">
              <w:rPr>
                <w:color w:val="000000"/>
                <w:sz w:val="20"/>
                <w:szCs w:val="20"/>
                <w:lang w:val="fr-FR"/>
              </w:rPr>
              <w:t>France</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444476FB" w14:textId="77777777" w:rsidR="00996278" w:rsidRPr="006524DF" w:rsidRDefault="00996278" w:rsidP="007079A4">
            <w:pPr>
              <w:widowControl w:val="0"/>
              <w:jc w:val="right"/>
              <w:rPr>
                <w:sz w:val="20"/>
                <w:szCs w:val="20"/>
              </w:rPr>
            </w:pPr>
            <w:r w:rsidRPr="006524DF">
              <w:rPr>
                <w:sz w:val="20"/>
                <w:szCs w:val="20"/>
              </w:rPr>
              <w:t>34</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11954777" w14:textId="77777777" w:rsidR="00996278" w:rsidRPr="006524DF" w:rsidRDefault="00996278" w:rsidP="007079A4">
            <w:pPr>
              <w:widowControl w:val="0"/>
              <w:jc w:val="right"/>
              <w:rPr>
                <w:sz w:val="20"/>
                <w:szCs w:val="20"/>
              </w:rPr>
            </w:pPr>
            <w:r w:rsidRPr="006524DF">
              <w:rPr>
                <w:sz w:val="20"/>
                <w:szCs w:val="20"/>
              </w:rPr>
              <w:t>34</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26E35043" w14:textId="77777777" w:rsidR="00996278" w:rsidRPr="006524DF" w:rsidRDefault="00996278" w:rsidP="007079A4">
            <w:pPr>
              <w:widowControl w:val="0"/>
              <w:jc w:val="right"/>
              <w:rPr>
                <w:sz w:val="20"/>
                <w:szCs w:val="20"/>
              </w:rPr>
            </w:pPr>
            <w:r w:rsidRPr="006524DF">
              <w:rPr>
                <w:sz w:val="20"/>
                <w:szCs w:val="20"/>
              </w:rPr>
              <w:t>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798ADE5F" w14:textId="77777777" w:rsidR="00996278" w:rsidRPr="006524DF" w:rsidRDefault="00996278" w:rsidP="007079A4">
            <w:pPr>
              <w:widowControl w:val="0"/>
              <w:jc w:val="right"/>
              <w:rPr>
                <w:sz w:val="20"/>
                <w:szCs w:val="20"/>
              </w:rPr>
            </w:pPr>
            <w:r w:rsidRPr="006524DF">
              <w:rPr>
                <w:sz w:val="20"/>
                <w:szCs w:val="20"/>
              </w:rPr>
              <w:t>0</w:t>
            </w:r>
          </w:p>
        </w:tc>
      </w:tr>
      <w:tr w:rsidR="00996278" w:rsidRPr="006524DF" w14:paraId="0C8B835B" w14:textId="77777777" w:rsidTr="007079A4">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147BDCE3" w14:textId="0FC5F26C" w:rsidR="00996278" w:rsidRPr="00F65696" w:rsidRDefault="00F65696" w:rsidP="00BE6D2B">
            <w:pPr>
              <w:widowControl w:val="0"/>
              <w:jc w:val="left"/>
              <w:rPr>
                <w:color w:val="000000"/>
                <w:sz w:val="20"/>
                <w:szCs w:val="20"/>
              </w:rPr>
            </w:pPr>
            <w:r w:rsidRPr="00F65696">
              <w:rPr>
                <w:color w:val="000000"/>
                <w:sz w:val="20"/>
                <w:szCs w:val="20"/>
                <w:lang w:val="fr-FR"/>
              </w:rPr>
              <w:t>Allemagne</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6ED5A55D" w14:textId="77777777" w:rsidR="00996278" w:rsidRPr="006524DF" w:rsidRDefault="00996278" w:rsidP="007079A4">
            <w:pPr>
              <w:widowControl w:val="0"/>
              <w:jc w:val="right"/>
              <w:rPr>
                <w:sz w:val="20"/>
                <w:szCs w:val="20"/>
              </w:rPr>
            </w:pPr>
            <w:r w:rsidRPr="006524DF">
              <w:rPr>
                <w:sz w:val="20"/>
                <w:szCs w:val="20"/>
              </w:rPr>
              <w:t>62</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1535C3C5" w14:textId="77777777" w:rsidR="00996278" w:rsidRPr="006524DF" w:rsidRDefault="00996278" w:rsidP="007079A4">
            <w:pPr>
              <w:widowControl w:val="0"/>
              <w:jc w:val="right"/>
              <w:rPr>
                <w:sz w:val="20"/>
                <w:szCs w:val="20"/>
              </w:rPr>
            </w:pPr>
            <w:r w:rsidRPr="006524DF">
              <w:rPr>
                <w:sz w:val="20"/>
                <w:szCs w:val="20"/>
              </w:rPr>
              <w:t>60</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4AA40E18" w14:textId="77777777" w:rsidR="00996278" w:rsidRPr="006524DF" w:rsidRDefault="00996278" w:rsidP="007079A4">
            <w:pPr>
              <w:widowControl w:val="0"/>
              <w:jc w:val="right"/>
              <w:rPr>
                <w:sz w:val="20"/>
                <w:szCs w:val="20"/>
              </w:rPr>
            </w:pPr>
            <w:r w:rsidRPr="006524DF">
              <w:rPr>
                <w:sz w:val="20"/>
                <w:szCs w:val="20"/>
              </w:rPr>
              <w:t>1</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12BD8B09" w14:textId="77777777" w:rsidR="00996278" w:rsidRPr="006524DF" w:rsidRDefault="00996278" w:rsidP="007079A4">
            <w:pPr>
              <w:widowControl w:val="0"/>
              <w:jc w:val="right"/>
              <w:rPr>
                <w:sz w:val="20"/>
                <w:szCs w:val="20"/>
              </w:rPr>
            </w:pPr>
            <w:r w:rsidRPr="006524DF">
              <w:rPr>
                <w:sz w:val="20"/>
                <w:szCs w:val="20"/>
              </w:rPr>
              <w:t>1</w:t>
            </w:r>
          </w:p>
        </w:tc>
      </w:tr>
      <w:tr w:rsidR="00996278" w:rsidRPr="006524DF" w14:paraId="3C25CC99" w14:textId="77777777" w:rsidTr="007079A4">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5F3AFE8B" w14:textId="53FF0000" w:rsidR="00996278" w:rsidRPr="00F65696" w:rsidRDefault="00F65696" w:rsidP="00BE6D2B">
            <w:pPr>
              <w:widowControl w:val="0"/>
              <w:jc w:val="left"/>
              <w:rPr>
                <w:color w:val="000000"/>
                <w:sz w:val="20"/>
                <w:szCs w:val="20"/>
              </w:rPr>
            </w:pPr>
            <w:r w:rsidRPr="00F65696">
              <w:rPr>
                <w:color w:val="000000"/>
                <w:sz w:val="20"/>
                <w:szCs w:val="20"/>
                <w:lang w:val="fr-FR"/>
              </w:rPr>
              <w:t>Japon</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7543F515" w14:textId="77777777" w:rsidR="00996278" w:rsidRPr="006524DF" w:rsidRDefault="00996278" w:rsidP="007079A4">
            <w:pPr>
              <w:widowControl w:val="0"/>
              <w:jc w:val="right"/>
              <w:rPr>
                <w:sz w:val="20"/>
                <w:szCs w:val="20"/>
              </w:rPr>
            </w:pPr>
            <w:r w:rsidRPr="006524DF">
              <w:rPr>
                <w:sz w:val="20"/>
                <w:szCs w:val="20"/>
              </w:rPr>
              <w:t>17</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4B1E179F" w14:textId="77777777" w:rsidR="00996278" w:rsidRPr="006524DF" w:rsidRDefault="00996278" w:rsidP="007079A4">
            <w:pPr>
              <w:widowControl w:val="0"/>
              <w:jc w:val="right"/>
              <w:rPr>
                <w:sz w:val="20"/>
                <w:szCs w:val="20"/>
              </w:rPr>
            </w:pPr>
            <w:r w:rsidRPr="006524DF">
              <w:rPr>
                <w:sz w:val="20"/>
                <w:szCs w:val="20"/>
              </w:rPr>
              <w:t>17</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5C7D054D" w14:textId="77777777" w:rsidR="00996278" w:rsidRPr="006524DF" w:rsidRDefault="00996278" w:rsidP="007079A4">
            <w:pPr>
              <w:widowControl w:val="0"/>
              <w:jc w:val="right"/>
              <w:rPr>
                <w:sz w:val="20"/>
                <w:szCs w:val="20"/>
              </w:rPr>
            </w:pPr>
            <w:r w:rsidRPr="006524DF">
              <w:rPr>
                <w:sz w:val="20"/>
                <w:szCs w:val="20"/>
              </w:rPr>
              <w:t>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4341534F" w14:textId="77777777" w:rsidR="00996278" w:rsidRPr="006524DF" w:rsidRDefault="00996278" w:rsidP="007079A4">
            <w:pPr>
              <w:widowControl w:val="0"/>
              <w:jc w:val="right"/>
              <w:rPr>
                <w:sz w:val="20"/>
                <w:szCs w:val="20"/>
              </w:rPr>
            </w:pPr>
            <w:r w:rsidRPr="006524DF">
              <w:rPr>
                <w:sz w:val="20"/>
                <w:szCs w:val="20"/>
              </w:rPr>
              <w:t>0</w:t>
            </w:r>
          </w:p>
        </w:tc>
      </w:tr>
      <w:tr w:rsidR="00996278" w:rsidRPr="006524DF" w14:paraId="0B819E2D" w14:textId="77777777" w:rsidTr="007079A4">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1126EDB0" w14:textId="10725A2E" w:rsidR="00996278" w:rsidRPr="00F65696" w:rsidRDefault="00F65696" w:rsidP="00BE6D2B">
            <w:pPr>
              <w:widowControl w:val="0"/>
              <w:jc w:val="left"/>
              <w:rPr>
                <w:color w:val="000000"/>
                <w:sz w:val="20"/>
                <w:szCs w:val="20"/>
              </w:rPr>
            </w:pPr>
            <w:r w:rsidRPr="00F65696">
              <w:rPr>
                <w:color w:val="000000"/>
                <w:sz w:val="20"/>
                <w:szCs w:val="20"/>
                <w:lang w:val="fr-FR"/>
              </w:rPr>
              <w:t>Portugal</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1D794631" w14:textId="77777777" w:rsidR="00996278" w:rsidRPr="006524DF" w:rsidRDefault="00996278" w:rsidP="007079A4">
            <w:pPr>
              <w:widowControl w:val="0"/>
              <w:jc w:val="right"/>
              <w:rPr>
                <w:sz w:val="20"/>
                <w:szCs w:val="20"/>
              </w:rPr>
            </w:pPr>
            <w:r w:rsidRPr="006524DF">
              <w:rPr>
                <w:sz w:val="20"/>
                <w:szCs w:val="20"/>
              </w:rPr>
              <w:t>1</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508683B1" w14:textId="77777777" w:rsidR="00996278" w:rsidRPr="006524DF" w:rsidRDefault="00996278" w:rsidP="007079A4">
            <w:pPr>
              <w:widowControl w:val="0"/>
              <w:jc w:val="right"/>
              <w:rPr>
                <w:sz w:val="20"/>
                <w:szCs w:val="20"/>
              </w:rPr>
            </w:pPr>
            <w:r w:rsidRPr="006524DF">
              <w:rPr>
                <w:sz w:val="20"/>
                <w:szCs w:val="20"/>
              </w:rPr>
              <w:t>0</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5376F87D" w14:textId="77777777" w:rsidR="00996278" w:rsidRPr="006524DF" w:rsidRDefault="00996278" w:rsidP="007079A4">
            <w:pPr>
              <w:widowControl w:val="0"/>
              <w:jc w:val="right"/>
              <w:rPr>
                <w:sz w:val="20"/>
                <w:szCs w:val="20"/>
              </w:rPr>
            </w:pPr>
            <w:r w:rsidRPr="006524DF">
              <w:rPr>
                <w:sz w:val="20"/>
                <w:szCs w:val="20"/>
              </w:rPr>
              <w:t>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1627AF6D" w14:textId="77777777" w:rsidR="00996278" w:rsidRPr="006524DF" w:rsidRDefault="00996278" w:rsidP="007079A4">
            <w:pPr>
              <w:widowControl w:val="0"/>
              <w:jc w:val="right"/>
              <w:rPr>
                <w:sz w:val="20"/>
                <w:szCs w:val="20"/>
              </w:rPr>
            </w:pPr>
            <w:r w:rsidRPr="006524DF">
              <w:rPr>
                <w:sz w:val="20"/>
                <w:szCs w:val="20"/>
              </w:rPr>
              <w:t>1</w:t>
            </w:r>
          </w:p>
        </w:tc>
      </w:tr>
      <w:tr w:rsidR="00996278" w:rsidRPr="006524DF" w14:paraId="4A6EBA6D" w14:textId="77777777" w:rsidTr="007079A4">
        <w:trPr>
          <w:trHeight w:val="233"/>
        </w:trPr>
        <w:tc>
          <w:tcPr>
            <w:tcW w:w="1890" w:type="dxa"/>
            <w:tcBorders>
              <w:top w:val="single" w:sz="4" w:space="0" w:color="auto"/>
              <w:left w:val="single" w:sz="4" w:space="0" w:color="auto"/>
              <w:bottom w:val="single" w:sz="4" w:space="0" w:color="auto"/>
              <w:right w:val="single" w:sz="4" w:space="0" w:color="auto"/>
            </w:tcBorders>
            <w:noWrap/>
            <w:vAlign w:val="center"/>
          </w:tcPr>
          <w:p w14:paraId="069DD2F5" w14:textId="5960FE0D" w:rsidR="00996278" w:rsidRPr="00F65696" w:rsidRDefault="00F65696" w:rsidP="00BE6D2B">
            <w:pPr>
              <w:widowControl w:val="0"/>
              <w:jc w:val="left"/>
              <w:rPr>
                <w:color w:val="000000"/>
                <w:sz w:val="20"/>
                <w:szCs w:val="20"/>
              </w:rPr>
            </w:pPr>
            <w:r w:rsidRPr="00F65696">
              <w:rPr>
                <w:color w:val="000000"/>
                <w:sz w:val="20"/>
                <w:szCs w:val="20"/>
                <w:lang w:val="fr-FR"/>
              </w:rPr>
              <w:t>Fédération de Russie</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tcPr>
          <w:p w14:paraId="6FB2B3BA" w14:textId="77777777" w:rsidR="00996278" w:rsidRPr="006524DF" w:rsidRDefault="00996278" w:rsidP="007079A4">
            <w:pPr>
              <w:widowControl w:val="0"/>
              <w:jc w:val="right"/>
              <w:rPr>
                <w:sz w:val="20"/>
                <w:szCs w:val="20"/>
              </w:rPr>
            </w:pPr>
            <w:r w:rsidRPr="006524DF">
              <w:rPr>
                <w:sz w:val="20"/>
                <w:szCs w:val="20"/>
              </w:rPr>
              <w:t>1</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tcPr>
          <w:p w14:paraId="35A5E5A6" w14:textId="77777777" w:rsidR="00996278" w:rsidRPr="006524DF" w:rsidRDefault="00996278" w:rsidP="007079A4">
            <w:pPr>
              <w:widowControl w:val="0"/>
              <w:jc w:val="right"/>
              <w:rPr>
                <w:sz w:val="20"/>
                <w:szCs w:val="20"/>
              </w:rPr>
            </w:pPr>
            <w:r w:rsidRPr="006524DF">
              <w:rPr>
                <w:sz w:val="20"/>
                <w:szCs w:val="20"/>
              </w:rPr>
              <w:t>0</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tcPr>
          <w:p w14:paraId="3867ED8B" w14:textId="77777777" w:rsidR="00996278" w:rsidRPr="006524DF" w:rsidRDefault="00996278" w:rsidP="007079A4">
            <w:pPr>
              <w:widowControl w:val="0"/>
              <w:jc w:val="right"/>
              <w:rPr>
                <w:sz w:val="20"/>
                <w:szCs w:val="20"/>
              </w:rPr>
            </w:pPr>
            <w:r w:rsidRPr="006524DF">
              <w:rPr>
                <w:sz w:val="20"/>
                <w:szCs w:val="20"/>
              </w:rPr>
              <w:t>1</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tcPr>
          <w:p w14:paraId="0610B7FB" w14:textId="77777777" w:rsidR="00996278" w:rsidRPr="006524DF" w:rsidRDefault="00996278" w:rsidP="007079A4">
            <w:pPr>
              <w:widowControl w:val="0"/>
              <w:jc w:val="right"/>
              <w:rPr>
                <w:sz w:val="20"/>
                <w:szCs w:val="20"/>
              </w:rPr>
            </w:pPr>
            <w:r w:rsidRPr="006524DF">
              <w:rPr>
                <w:sz w:val="20"/>
                <w:szCs w:val="20"/>
              </w:rPr>
              <w:t>0</w:t>
            </w:r>
          </w:p>
        </w:tc>
      </w:tr>
      <w:tr w:rsidR="00996278" w:rsidRPr="006524DF" w14:paraId="5C469839" w14:textId="77777777" w:rsidTr="007079A4">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14F2C1D0" w14:textId="6F9CCBC5" w:rsidR="00996278" w:rsidRPr="00F65696" w:rsidRDefault="00F65696" w:rsidP="00BE6D2B">
            <w:pPr>
              <w:widowControl w:val="0"/>
              <w:jc w:val="left"/>
              <w:rPr>
                <w:color w:val="000000"/>
                <w:sz w:val="20"/>
                <w:szCs w:val="20"/>
              </w:rPr>
            </w:pPr>
            <w:r w:rsidRPr="00F65696">
              <w:rPr>
                <w:color w:val="000000"/>
                <w:sz w:val="20"/>
                <w:szCs w:val="20"/>
                <w:lang w:val="fr-FR"/>
              </w:rPr>
              <w:t>PNUD</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400216B7" w14:textId="77777777" w:rsidR="00996278" w:rsidRPr="006524DF" w:rsidRDefault="00996278" w:rsidP="007079A4">
            <w:pPr>
              <w:widowControl w:val="0"/>
              <w:jc w:val="right"/>
              <w:rPr>
                <w:sz w:val="20"/>
                <w:szCs w:val="20"/>
              </w:rPr>
            </w:pPr>
            <w:r w:rsidRPr="006524DF">
              <w:rPr>
                <w:sz w:val="20"/>
                <w:szCs w:val="20"/>
              </w:rPr>
              <w:t>299</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2B2E2F44" w14:textId="77777777" w:rsidR="00996278" w:rsidRPr="006524DF" w:rsidRDefault="00996278" w:rsidP="007079A4">
            <w:pPr>
              <w:widowControl w:val="0"/>
              <w:jc w:val="right"/>
              <w:rPr>
                <w:sz w:val="20"/>
                <w:szCs w:val="20"/>
              </w:rPr>
            </w:pPr>
            <w:r w:rsidRPr="006524DF">
              <w:rPr>
                <w:sz w:val="20"/>
                <w:szCs w:val="20"/>
              </w:rPr>
              <w:t>295</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25D813CE" w14:textId="77777777" w:rsidR="00996278" w:rsidRPr="006524DF" w:rsidRDefault="00996278" w:rsidP="007079A4">
            <w:pPr>
              <w:widowControl w:val="0"/>
              <w:jc w:val="right"/>
              <w:rPr>
                <w:sz w:val="20"/>
                <w:szCs w:val="20"/>
              </w:rPr>
            </w:pPr>
            <w:r w:rsidRPr="006524DF">
              <w:rPr>
                <w:sz w:val="20"/>
                <w:szCs w:val="20"/>
              </w:rPr>
              <w:t>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6D7C7FFA" w14:textId="77777777" w:rsidR="00996278" w:rsidRPr="006524DF" w:rsidRDefault="00996278" w:rsidP="007079A4">
            <w:pPr>
              <w:widowControl w:val="0"/>
              <w:jc w:val="right"/>
              <w:rPr>
                <w:sz w:val="20"/>
                <w:szCs w:val="20"/>
              </w:rPr>
            </w:pPr>
            <w:r w:rsidRPr="006524DF">
              <w:rPr>
                <w:sz w:val="20"/>
                <w:szCs w:val="20"/>
              </w:rPr>
              <w:t>4</w:t>
            </w:r>
          </w:p>
        </w:tc>
      </w:tr>
      <w:tr w:rsidR="00996278" w:rsidRPr="006524DF" w14:paraId="176F3209" w14:textId="77777777" w:rsidTr="007079A4">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1B4AAD08" w14:textId="21D69101" w:rsidR="00996278" w:rsidRPr="00F65696" w:rsidRDefault="00F65696" w:rsidP="00BE6D2B">
            <w:pPr>
              <w:widowControl w:val="0"/>
              <w:jc w:val="left"/>
              <w:rPr>
                <w:color w:val="000000"/>
                <w:sz w:val="20"/>
                <w:szCs w:val="20"/>
              </w:rPr>
            </w:pPr>
            <w:r w:rsidRPr="00F65696">
              <w:rPr>
                <w:color w:val="000000"/>
                <w:sz w:val="20"/>
                <w:szCs w:val="20"/>
                <w:lang w:val="fr-FR"/>
              </w:rPr>
              <w:t>PNUE</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1ADCDC15" w14:textId="77777777" w:rsidR="00996278" w:rsidRPr="006524DF" w:rsidRDefault="00996278" w:rsidP="007079A4">
            <w:pPr>
              <w:widowControl w:val="0"/>
              <w:jc w:val="right"/>
              <w:rPr>
                <w:sz w:val="20"/>
                <w:szCs w:val="20"/>
              </w:rPr>
            </w:pPr>
            <w:r w:rsidRPr="006524DF">
              <w:rPr>
                <w:sz w:val="20"/>
                <w:szCs w:val="20"/>
              </w:rPr>
              <w:t>498</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25F3D2BE" w14:textId="77777777" w:rsidR="00996278" w:rsidRPr="006524DF" w:rsidRDefault="00996278" w:rsidP="007079A4">
            <w:pPr>
              <w:widowControl w:val="0"/>
              <w:jc w:val="right"/>
              <w:rPr>
                <w:sz w:val="20"/>
                <w:szCs w:val="20"/>
              </w:rPr>
            </w:pPr>
            <w:r w:rsidRPr="006524DF">
              <w:rPr>
                <w:sz w:val="20"/>
                <w:szCs w:val="20"/>
              </w:rPr>
              <w:t>472</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15E896F2" w14:textId="77777777" w:rsidR="00996278" w:rsidRPr="006524DF" w:rsidRDefault="00996278" w:rsidP="007079A4">
            <w:pPr>
              <w:widowControl w:val="0"/>
              <w:jc w:val="right"/>
              <w:rPr>
                <w:sz w:val="20"/>
                <w:szCs w:val="20"/>
              </w:rPr>
            </w:pPr>
            <w:r w:rsidRPr="006524DF">
              <w:rPr>
                <w:sz w:val="20"/>
                <w:szCs w:val="20"/>
              </w:rPr>
              <w:t>11</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16F3862D" w14:textId="77777777" w:rsidR="00996278" w:rsidRPr="006524DF" w:rsidRDefault="00996278" w:rsidP="007079A4">
            <w:pPr>
              <w:widowControl w:val="0"/>
              <w:jc w:val="right"/>
              <w:rPr>
                <w:sz w:val="20"/>
                <w:szCs w:val="20"/>
              </w:rPr>
            </w:pPr>
            <w:r w:rsidRPr="006524DF">
              <w:rPr>
                <w:sz w:val="20"/>
                <w:szCs w:val="20"/>
              </w:rPr>
              <w:t>15</w:t>
            </w:r>
          </w:p>
        </w:tc>
      </w:tr>
      <w:tr w:rsidR="00996278" w:rsidRPr="006524DF" w14:paraId="40D9F976" w14:textId="77777777" w:rsidTr="007079A4">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1FDF33E6" w14:textId="05BCFC4B" w:rsidR="00996278" w:rsidRPr="00F65696" w:rsidRDefault="00F65696" w:rsidP="00BE6D2B">
            <w:pPr>
              <w:widowControl w:val="0"/>
              <w:jc w:val="left"/>
              <w:rPr>
                <w:color w:val="000000"/>
                <w:sz w:val="20"/>
                <w:szCs w:val="20"/>
              </w:rPr>
            </w:pPr>
            <w:r w:rsidRPr="00F65696">
              <w:rPr>
                <w:color w:val="000000"/>
                <w:sz w:val="20"/>
                <w:szCs w:val="20"/>
                <w:lang w:val="fr-FR"/>
              </w:rPr>
              <w:t>ONUDI</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50D6D3F9" w14:textId="77777777" w:rsidR="00996278" w:rsidRPr="006524DF" w:rsidRDefault="00996278" w:rsidP="007079A4">
            <w:pPr>
              <w:widowControl w:val="0"/>
              <w:jc w:val="right"/>
              <w:rPr>
                <w:sz w:val="20"/>
                <w:szCs w:val="20"/>
              </w:rPr>
            </w:pPr>
            <w:r w:rsidRPr="006524DF">
              <w:rPr>
                <w:sz w:val="20"/>
                <w:szCs w:val="20"/>
              </w:rPr>
              <w:t>160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5C8ED3FE" w14:textId="77777777" w:rsidR="00996278" w:rsidRPr="006524DF" w:rsidRDefault="00996278" w:rsidP="007079A4">
            <w:pPr>
              <w:widowControl w:val="0"/>
              <w:jc w:val="right"/>
              <w:rPr>
                <w:sz w:val="20"/>
                <w:szCs w:val="20"/>
              </w:rPr>
            </w:pPr>
            <w:r w:rsidRPr="006524DF">
              <w:rPr>
                <w:sz w:val="20"/>
                <w:szCs w:val="20"/>
              </w:rPr>
              <w:t>154</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6E679D9F" w14:textId="77777777" w:rsidR="00996278" w:rsidRPr="006524DF" w:rsidRDefault="00996278" w:rsidP="007079A4">
            <w:pPr>
              <w:widowControl w:val="0"/>
              <w:jc w:val="right"/>
              <w:rPr>
                <w:sz w:val="20"/>
                <w:szCs w:val="20"/>
              </w:rPr>
            </w:pPr>
            <w:r w:rsidRPr="006524DF">
              <w:rPr>
                <w:sz w:val="20"/>
                <w:szCs w:val="20"/>
              </w:rPr>
              <w:t>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1816E19D" w14:textId="77777777" w:rsidR="00996278" w:rsidRPr="006524DF" w:rsidRDefault="00996278" w:rsidP="007079A4">
            <w:pPr>
              <w:widowControl w:val="0"/>
              <w:jc w:val="right"/>
              <w:rPr>
                <w:sz w:val="20"/>
                <w:szCs w:val="20"/>
              </w:rPr>
            </w:pPr>
            <w:r w:rsidRPr="006524DF">
              <w:rPr>
                <w:sz w:val="20"/>
                <w:szCs w:val="20"/>
              </w:rPr>
              <w:t>6</w:t>
            </w:r>
          </w:p>
        </w:tc>
      </w:tr>
      <w:tr w:rsidR="00996278" w:rsidRPr="006524DF" w14:paraId="1561280F" w14:textId="77777777" w:rsidTr="007079A4">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0543EAE7" w14:textId="0975F313" w:rsidR="00996278" w:rsidRPr="00F65696" w:rsidRDefault="00F65696" w:rsidP="00BE6D2B">
            <w:pPr>
              <w:widowControl w:val="0"/>
              <w:jc w:val="left"/>
              <w:rPr>
                <w:color w:val="000000"/>
                <w:sz w:val="20"/>
                <w:szCs w:val="20"/>
              </w:rPr>
            </w:pPr>
            <w:r w:rsidRPr="00F65696">
              <w:rPr>
                <w:color w:val="000000"/>
                <w:sz w:val="20"/>
                <w:szCs w:val="20"/>
                <w:lang w:val="fr-FR"/>
              </w:rPr>
              <w:t>Banque mondiale</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19975AE4" w14:textId="77777777" w:rsidR="00996278" w:rsidRPr="006524DF" w:rsidRDefault="00996278" w:rsidP="007079A4">
            <w:pPr>
              <w:widowControl w:val="0"/>
              <w:jc w:val="right"/>
              <w:rPr>
                <w:sz w:val="20"/>
                <w:szCs w:val="20"/>
              </w:rPr>
            </w:pPr>
            <w:r w:rsidRPr="006524DF">
              <w:rPr>
                <w:sz w:val="20"/>
                <w:szCs w:val="20"/>
              </w:rPr>
              <w:t>44</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5E868E6E" w14:textId="77777777" w:rsidR="00996278" w:rsidRPr="006524DF" w:rsidRDefault="00996278" w:rsidP="007079A4">
            <w:pPr>
              <w:widowControl w:val="0"/>
              <w:jc w:val="right"/>
              <w:rPr>
                <w:sz w:val="20"/>
                <w:szCs w:val="20"/>
              </w:rPr>
            </w:pPr>
            <w:r w:rsidRPr="006524DF">
              <w:rPr>
                <w:sz w:val="20"/>
                <w:szCs w:val="20"/>
              </w:rPr>
              <w:t>41</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6B12F53D" w14:textId="77777777" w:rsidR="00996278" w:rsidRPr="006524DF" w:rsidRDefault="00996278" w:rsidP="007079A4">
            <w:pPr>
              <w:widowControl w:val="0"/>
              <w:jc w:val="right"/>
              <w:rPr>
                <w:sz w:val="20"/>
                <w:szCs w:val="20"/>
              </w:rPr>
            </w:pPr>
            <w:r w:rsidRPr="006524DF">
              <w:rPr>
                <w:sz w:val="20"/>
                <w:szCs w:val="20"/>
              </w:rPr>
              <w:t>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515718D9" w14:textId="77777777" w:rsidR="00996278" w:rsidRPr="006524DF" w:rsidRDefault="00996278" w:rsidP="007079A4">
            <w:pPr>
              <w:widowControl w:val="0"/>
              <w:jc w:val="right"/>
              <w:rPr>
                <w:sz w:val="20"/>
                <w:szCs w:val="20"/>
              </w:rPr>
            </w:pPr>
            <w:r w:rsidRPr="006524DF">
              <w:rPr>
                <w:sz w:val="20"/>
                <w:szCs w:val="20"/>
              </w:rPr>
              <w:t>3</w:t>
            </w:r>
          </w:p>
        </w:tc>
      </w:tr>
      <w:tr w:rsidR="00996278" w:rsidRPr="006524DF" w14:paraId="0A569B41" w14:textId="77777777" w:rsidTr="007079A4">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4B4A7827" w14:textId="0FE1E703" w:rsidR="00996278" w:rsidRPr="00F65696" w:rsidRDefault="00F65696" w:rsidP="00BE6D2B">
            <w:pPr>
              <w:widowControl w:val="0"/>
              <w:jc w:val="left"/>
              <w:rPr>
                <w:color w:val="000000"/>
                <w:sz w:val="20"/>
                <w:szCs w:val="20"/>
              </w:rPr>
            </w:pPr>
            <w:r w:rsidRPr="00F65696">
              <w:rPr>
                <w:color w:val="000000"/>
                <w:sz w:val="20"/>
                <w:szCs w:val="20"/>
                <w:lang w:val="fr-FR"/>
              </w:rPr>
              <w:lastRenderedPageBreak/>
              <w:t>Autres</w:t>
            </w:r>
            <w:r w:rsidRPr="00F65696">
              <w:rPr>
                <w:rStyle w:val="FootnoteReference"/>
                <w:color w:val="000000"/>
                <w:sz w:val="20"/>
                <w:szCs w:val="20"/>
                <w:lang w:val="fr-FR"/>
              </w:rPr>
              <w:footnoteReference w:id="5"/>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02F04C8F" w14:textId="77777777" w:rsidR="00996278" w:rsidRPr="006524DF" w:rsidRDefault="00996278" w:rsidP="007079A4">
            <w:pPr>
              <w:widowControl w:val="0"/>
              <w:jc w:val="right"/>
              <w:rPr>
                <w:sz w:val="20"/>
                <w:szCs w:val="20"/>
              </w:rPr>
            </w:pPr>
            <w:r w:rsidRPr="006524DF">
              <w:rPr>
                <w:sz w:val="20"/>
                <w:szCs w:val="20"/>
              </w:rPr>
              <w:t>91</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57B5BC00" w14:textId="77777777" w:rsidR="00996278" w:rsidRPr="006524DF" w:rsidRDefault="00996278" w:rsidP="007079A4">
            <w:pPr>
              <w:widowControl w:val="0"/>
              <w:jc w:val="right"/>
              <w:rPr>
                <w:sz w:val="20"/>
                <w:szCs w:val="20"/>
              </w:rPr>
            </w:pPr>
            <w:r w:rsidRPr="006524DF">
              <w:rPr>
                <w:sz w:val="20"/>
                <w:szCs w:val="20"/>
              </w:rPr>
              <w:t>91</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71FA32BA" w14:textId="77777777" w:rsidR="00996278" w:rsidRPr="006524DF" w:rsidRDefault="00996278" w:rsidP="007079A4">
            <w:pPr>
              <w:widowControl w:val="0"/>
              <w:jc w:val="right"/>
              <w:rPr>
                <w:sz w:val="20"/>
                <w:szCs w:val="20"/>
              </w:rPr>
            </w:pPr>
            <w:r w:rsidRPr="006524DF">
              <w:rPr>
                <w:sz w:val="20"/>
                <w:szCs w:val="20"/>
              </w:rPr>
              <w:t>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2678FB8A" w14:textId="77777777" w:rsidR="00996278" w:rsidRPr="006524DF" w:rsidRDefault="00996278" w:rsidP="007079A4">
            <w:pPr>
              <w:widowControl w:val="0"/>
              <w:jc w:val="right"/>
              <w:rPr>
                <w:sz w:val="20"/>
                <w:szCs w:val="20"/>
              </w:rPr>
            </w:pPr>
            <w:r w:rsidRPr="006524DF">
              <w:rPr>
                <w:sz w:val="20"/>
                <w:szCs w:val="20"/>
              </w:rPr>
              <w:t>0</w:t>
            </w:r>
          </w:p>
        </w:tc>
      </w:tr>
      <w:tr w:rsidR="00996278" w:rsidRPr="006524DF" w14:paraId="16E43111" w14:textId="77777777" w:rsidTr="007079A4">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378EAFFB" w14:textId="7F2B4EAB" w:rsidR="00996278" w:rsidRPr="00F65696" w:rsidRDefault="00F65696" w:rsidP="00BE6D2B">
            <w:pPr>
              <w:widowControl w:val="0"/>
              <w:suppressAutoHyphens/>
              <w:jc w:val="left"/>
              <w:rPr>
                <w:b/>
                <w:snapToGrid w:val="0"/>
                <w:sz w:val="20"/>
                <w:szCs w:val="20"/>
              </w:rPr>
            </w:pPr>
            <w:r w:rsidRPr="00F65696">
              <w:rPr>
                <w:b/>
                <w:snapToGrid w:val="0"/>
                <w:sz w:val="20"/>
                <w:szCs w:val="20"/>
                <w:lang w:val="fr-FR"/>
              </w:rPr>
              <w:t>Total</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7801FFD4" w14:textId="66B0FC7F" w:rsidR="00996278" w:rsidRPr="006524DF" w:rsidRDefault="00996278" w:rsidP="007079A4">
            <w:pPr>
              <w:widowControl w:val="0"/>
              <w:suppressAutoHyphens/>
              <w:jc w:val="right"/>
              <w:rPr>
                <w:b/>
                <w:snapToGrid w:val="0"/>
                <w:sz w:val="20"/>
                <w:szCs w:val="20"/>
              </w:rPr>
            </w:pPr>
            <w:r w:rsidRPr="006524DF">
              <w:rPr>
                <w:b/>
                <w:sz w:val="20"/>
                <w:szCs w:val="20"/>
              </w:rPr>
              <w:t>1</w:t>
            </w:r>
            <w:r w:rsidR="005A0776">
              <w:rPr>
                <w:b/>
                <w:sz w:val="20"/>
                <w:szCs w:val="20"/>
              </w:rPr>
              <w:t> </w:t>
            </w:r>
            <w:r w:rsidRPr="006524DF">
              <w:rPr>
                <w:b/>
                <w:sz w:val="20"/>
                <w:szCs w:val="20"/>
              </w:rPr>
              <w:t>264</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7FC06B70" w14:textId="05FFDE81" w:rsidR="00996278" w:rsidRPr="006524DF" w:rsidRDefault="00996278" w:rsidP="007079A4">
            <w:pPr>
              <w:widowControl w:val="0"/>
              <w:suppressAutoHyphens/>
              <w:jc w:val="right"/>
              <w:rPr>
                <w:b/>
                <w:snapToGrid w:val="0"/>
                <w:sz w:val="20"/>
                <w:szCs w:val="20"/>
              </w:rPr>
            </w:pPr>
            <w:r w:rsidRPr="006524DF">
              <w:rPr>
                <w:b/>
                <w:sz w:val="20"/>
                <w:szCs w:val="20"/>
              </w:rPr>
              <w:t>1</w:t>
            </w:r>
            <w:r w:rsidR="005A0776">
              <w:rPr>
                <w:b/>
                <w:sz w:val="20"/>
                <w:szCs w:val="20"/>
              </w:rPr>
              <w:t> </w:t>
            </w:r>
            <w:r w:rsidRPr="006524DF">
              <w:rPr>
                <w:b/>
                <w:sz w:val="20"/>
                <w:szCs w:val="20"/>
              </w:rPr>
              <w:t>221</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13E6989C" w14:textId="77777777" w:rsidR="00996278" w:rsidRPr="006524DF" w:rsidRDefault="00996278" w:rsidP="007079A4">
            <w:pPr>
              <w:widowControl w:val="0"/>
              <w:suppressAutoHyphens/>
              <w:jc w:val="right"/>
              <w:rPr>
                <w:b/>
                <w:snapToGrid w:val="0"/>
                <w:sz w:val="20"/>
                <w:szCs w:val="20"/>
              </w:rPr>
            </w:pPr>
            <w:r w:rsidRPr="006524DF">
              <w:rPr>
                <w:b/>
                <w:sz w:val="20"/>
                <w:szCs w:val="20"/>
              </w:rPr>
              <w:t>13</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107941F6" w14:textId="77777777" w:rsidR="00996278" w:rsidRPr="006524DF" w:rsidRDefault="00996278" w:rsidP="007079A4">
            <w:pPr>
              <w:widowControl w:val="0"/>
              <w:suppressAutoHyphens/>
              <w:jc w:val="right"/>
              <w:rPr>
                <w:b/>
                <w:snapToGrid w:val="0"/>
                <w:sz w:val="20"/>
                <w:szCs w:val="20"/>
              </w:rPr>
            </w:pPr>
            <w:r w:rsidRPr="006524DF">
              <w:rPr>
                <w:b/>
                <w:sz w:val="20"/>
                <w:szCs w:val="20"/>
              </w:rPr>
              <w:t>30</w:t>
            </w:r>
          </w:p>
        </w:tc>
      </w:tr>
    </w:tbl>
    <w:p w14:paraId="41066CCA" w14:textId="0B6E2991" w:rsidR="00ED0BBA" w:rsidRPr="00A44B75" w:rsidRDefault="00ED0BBA" w:rsidP="00ED0BBA">
      <w:pPr>
        <w:pStyle w:val="Heading1"/>
        <w:widowControl w:val="0"/>
        <w:tabs>
          <w:tab w:val="clear" w:pos="0"/>
          <w:tab w:val="num" w:pos="720"/>
        </w:tabs>
        <w:spacing w:before="240"/>
        <w:rPr>
          <w:lang w:val="fr-FR"/>
        </w:rPr>
      </w:pPr>
      <w:r w:rsidRPr="00ED0BBA">
        <w:rPr>
          <w:lang w:val="fr-FR"/>
        </w:rPr>
        <w:t>La liste des projets ne portant pas sur des investissements reçus après la 87</w:t>
      </w:r>
      <w:r w:rsidRPr="00ED0BBA">
        <w:rPr>
          <w:vertAlign w:val="superscript"/>
          <w:lang w:val="fr-FR"/>
        </w:rPr>
        <w:t>e</w:t>
      </w:r>
      <w:r w:rsidRPr="00ED0BBA">
        <w:rPr>
          <w:lang w:val="fr-FR"/>
        </w:rPr>
        <w:t xml:space="preserve"> réunion figure à l</w:t>
      </w:r>
      <w:r w:rsidR="005A0776">
        <w:rPr>
          <w:lang w:val="fr-FR"/>
        </w:rPr>
        <w:t>’</w:t>
      </w:r>
      <w:r w:rsidRPr="00ED0BBA">
        <w:rPr>
          <w:lang w:val="fr-FR"/>
        </w:rPr>
        <w:t>annexe II au présent document.</w:t>
      </w:r>
      <w:r w:rsidRPr="00A44B75">
        <w:rPr>
          <w:lang w:val="fr-FR"/>
        </w:rPr>
        <w:t xml:space="preserve"> </w:t>
      </w:r>
      <w:r w:rsidRPr="00ED0BBA">
        <w:rPr>
          <w:lang w:val="fr-FR"/>
        </w:rPr>
        <w:t>Les résultats cumulés pertinents pour le décaissement, l</w:t>
      </w:r>
      <w:r w:rsidR="005A0776">
        <w:rPr>
          <w:lang w:val="fr-FR"/>
        </w:rPr>
        <w:t>’</w:t>
      </w:r>
      <w:r w:rsidRPr="00ED0BBA">
        <w:rPr>
          <w:lang w:val="fr-FR"/>
        </w:rPr>
        <w:t>élimination réelle et les retards sont indiqués au tableau 5.</w:t>
      </w:r>
    </w:p>
    <w:p w14:paraId="2589C4CC" w14:textId="7AE4D739" w:rsidR="00222C40" w:rsidRPr="00A44B75" w:rsidRDefault="00ED0BBA" w:rsidP="00605D6D">
      <w:pPr>
        <w:pStyle w:val="Heading1"/>
        <w:keepNext/>
        <w:keepLines/>
        <w:widowControl w:val="0"/>
        <w:numPr>
          <w:ilvl w:val="0"/>
          <w:numId w:val="0"/>
        </w:numPr>
        <w:tabs>
          <w:tab w:val="left" w:pos="720"/>
        </w:tabs>
        <w:spacing w:after="0"/>
        <w:rPr>
          <w:b/>
          <w:sz w:val="21"/>
          <w:szCs w:val="21"/>
          <w:lang w:val="fr-FR"/>
        </w:rPr>
      </w:pPr>
      <w:r w:rsidRPr="00DC7207">
        <w:rPr>
          <w:b/>
          <w:sz w:val="21"/>
          <w:szCs w:val="21"/>
          <w:lang w:val="fr-FR"/>
        </w:rPr>
        <w:t>Tableau 5. Vue d</w:t>
      </w:r>
      <w:r w:rsidR="005A0776">
        <w:rPr>
          <w:b/>
          <w:sz w:val="21"/>
          <w:szCs w:val="21"/>
          <w:lang w:val="fr-FR"/>
        </w:rPr>
        <w:t>’</w:t>
      </w:r>
      <w:r w:rsidRPr="00DC7207">
        <w:rPr>
          <w:b/>
          <w:sz w:val="21"/>
          <w:szCs w:val="21"/>
          <w:lang w:val="fr-FR"/>
        </w:rPr>
        <w:t>ensemble du budget, des SAO éliminées et des retards dans les projets individuels soumis après la 87</w:t>
      </w:r>
      <w:r w:rsidRPr="00DC7207">
        <w:rPr>
          <w:b/>
          <w:sz w:val="21"/>
          <w:szCs w:val="21"/>
          <w:vertAlign w:val="superscript"/>
          <w:lang w:val="fr-FR"/>
        </w:rPr>
        <w:t>e</w:t>
      </w:r>
      <w:r w:rsidRPr="00DC7207">
        <w:rPr>
          <w:b/>
          <w:sz w:val="21"/>
          <w:szCs w:val="21"/>
          <w:lang w:val="fr-FR"/>
        </w:rPr>
        <w:t xml:space="preserve"> réunion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039"/>
        <w:gridCol w:w="1179"/>
        <w:gridCol w:w="1179"/>
        <w:gridCol w:w="1179"/>
        <w:gridCol w:w="1179"/>
        <w:gridCol w:w="1179"/>
        <w:gridCol w:w="1179"/>
      </w:tblGrid>
      <w:tr w:rsidR="00222C40" w:rsidRPr="006524DF" w14:paraId="47EAF265" w14:textId="77777777" w:rsidTr="00996278">
        <w:trPr>
          <w:tblHeader/>
        </w:trPr>
        <w:tc>
          <w:tcPr>
            <w:tcW w:w="1247" w:type="dxa"/>
            <w:vMerge w:val="restart"/>
            <w:shd w:val="clear" w:color="auto" w:fill="auto"/>
            <w:vAlign w:val="center"/>
            <w:hideMark/>
          </w:tcPr>
          <w:p w14:paraId="314F81FA" w14:textId="4FA3DAE8" w:rsidR="00222C40" w:rsidRPr="00DC7207" w:rsidRDefault="00DC7207" w:rsidP="00BE6D2B">
            <w:pPr>
              <w:widowControl w:val="0"/>
              <w:jc w:val="left"/>
              <w:rPr>
                <w:b/>
                <w:bCs/>
                <w:sz w:val="20"/>
                <w:szCs w:val="20"/>
                <w:lang w:val="en-CA" w:eastAsia="en-CA"/>
              </w:rPr>
            </w:pPr>
            <w:r w:rsidRPr="00DC7207">
              <w:rPr>
                <w:b/>
                <w:bCs/>
                <w:sz w:val="20"/>
                <w:szCs w:val="20"/>
                <w:lang w:val="fr-FR" w:eastAsia="en-CA"/>
              </w:rPr>
              <w:t>Agence</w:t>
            </w:r>
          </w:p>
        </w:tc>
        <w:tc>
          <w:tcPr>
            <w:tcW w:w="1039" w:type="dxa"/>
            <w:vMerge w:val="restart"/>
            <w:shd w:val="clear" w:color="auto" w:fill="auto"/>
            <w:tcMar>
              <w:left w:w="0" w:type="dxa"/>
              <w:right w:w="0" w:type="dxa"/>
            </w:tcMar>
            <w:vAlign w:val="center"/>
            <w:hideMark/>
          </w:tcPr>
          <w:p w14:paraId="523A32AE" w14:textId="76EC789C" w:rsidR="00222C40" w:rsidRPr="00DC7207" w:rsidRDefault="00DC7207" w:rsidP="00BE6D2B">
            <w:pPr>
              <w:widowControl w:val="0"/>
              <w:jc w:val="center"/>
              <w:rPr>
                <w:b/>
                <w:bCs/>
                <w:sz w:val="20"/>
                <w:szCs w:val="20"/>
                <w:lang w:val="en-CA" w:eastAsia="en-CA"/>
              </w:rPr>
            </w:pPr>
            <w:r w:rsidRPr="00DC7207">
              <w:rPr>
                <w:b/>
                <w:bCs/>
                <w:sz w:val="20"/>
                <w:szCs w:val="20"/>
                <w:lang w:val="fr-FR" w:eastAsia="en-CA"/>
              </w:rPr>
              <w:t>Nombre de</w:t>
            </w:r>
            <w:r w:rsidR="005A0776">
              <w:rPr>
                <w:b/>
                <w:bCs/>
                <w:sz w:val="20"/>
                <w:szCs w:val="20"/>
                <w:lang w:val="fr-FR" w:eastAsia="en-CA"/>
              </w:rPr>
              <w:t> </w:t>
            </w:r>
            <w:r w:rsidRPr="00DC7207">
              <w:rPr>
                <w:b/>
                <w:bCs/>
                <w:sz w:val="20"/>
                <w:szCs w:val="20"/>
                <w:lang w:val="fr-FR" w:eastAsia="en-CA"/>
              </w:rPr>
              <w:t>projets</w:t>
            </w:r>
          </w:p>
        </w:tc>
        <w:tc>
          <w:tcPr>
            <w:tcW w:w="2358" w:type="dxa"/>
            <w:gridSpan w:val="2"/>
            <w:shd w:val="clear" w:color="auto" w:fill="auto"/>
            <w:vAlign w:val="center"/>
            <w:hideMark/>
          </w:tcPr>
          <w:p w14:paraId="1DB71567" w14:textId="3A438F86" w:rsidR="00222C40" w:rsidRPr="00DC7207" w:rsidRDefault="00DC7207" w:rsidP="00BE6D2B">
            <w:pPr>
              <w:widowControl w:val="0"/>
              <w:jc w:val="center"/>
              <w:rPr>
                <w:b/>
                <w:bCs/>
                <w:sz w:val="20"/>
                <w:szCs w:val="20"/>
                <w:lang w:val="en-CA" w:eastAsia="en-CA"/>
              </w:rPr>
            </w:pPr>
            <w:r w:rsidRPr="00DC7207">
              <w:rPr>
                <w:b/>
                <w:bCs/>
                <w:sz w:val="20"/>
                <w:szCs w:val="20"/>
                <w:lang w:val="fr-FR" w:eastAsia="en-CA"/>
              </w:rPr>
              <w:t>Financements (US $)</w:t>
            </w:r>
          </w:p>
        </w:tc>
        <w:tc>
          <w:tcPr>
            <w:tcW w:w="2358" w:type="dxa"/>
            <w:gridSpan w:val="2"/>
            <w:shd w:val="clear" w:color="auto" w:fill="auto"/>
            <w:vAlign w:val="center"/>
            <w:hideMark/>
          </w:tcPr>
          <w:p w14:paraId="012DA728" w14:textId="58522D6E" w:rsidR="00222C40" w:rsidRPr="006524DF" w:rsidRDefault="00DC7207" w:rsidP="00605D6D">
            <w:pPr>
              <w:widowControl w:val="0"/>
              <w:jc w:val="center"/>
              <w:rPr>
                <w:b/>
                <w:bCs/>
                <w:sz w:val="20"/>
                <w:szCs w:val="20"/>
                <w:lang w:val="en-CA" w:eastAsia="en-CA"/>
              </w:rPr>
            </w:pPr>
            <w:r w:rsidRPr="00DC7207">
              <w:rPr>
                <w:b/>
                <w:bCs/>
                <w:sz w:val="20"/>
                <w:szCs w:val="20"/>
                <w:lang w:val="fr-FR" w:eastAsia="en-CA"/>
              </w:rPr>
              <w:t>Élimination</w:t>
            </w:r>
            <w:r w:rsidR="005A0776">
              <w:rPr>
                <w:b/>
                <w:bCs/>
                <w:sz w:val="20"/>
                <w:szCs w:val="20"/>
                <w:lang w:val="fr-FR" w:eastAsia="en-CA"/>
              </w:rPr>
              <w:t> </w:t>
            </w:r>
          </w:p>
          <w:p w14:paraId="13BCE23E" w14:textId="439C40B1" w:rsidR="00B93466" w:rsidRPr="00DC7207" w:rsidRDefault="00DC7207" w:rsidP="00BE6D2B">
            <w:pPr>
              <w:widowControl w:val="0"/>
              <w:jc w:val="center"/>
              <w:rPr>
                <w:b/>
                <w:bCs/>
                <w:sz w:val="20"/>
                <w:szCs w:val="20"/>
                <w:lang w:val="en-CA" w:eastAsia="en-CA"/>
              </w:rPr>
            </w:pPr>
            <w:r w:rsidRPr="00DC7207">
              <w:rPr>
                <w:b/>
                <w:bCs/>
                <w:sz w:val="20"/>
                <w:szCs w:val="20"/>
                <w:lang w:val="fr-FR" w:eastAsia="en-CA"/>
              </w:rPr>
              <w:t>(tonnes PAO)</w:t>
            </w:r>
          </w:p>
        </w:tc>
        <w:tc>
          <w:tcPr>
            <w:tcW w:w="2358" w:type="dxa"/>
            <w:gridSpan w:val="2"/>
            <w:shd w:val="clear" w:color="auto" w:fill="auto"/>
            <w:vAlign w:val="center"/>
            <w:hideMark/>
          </w:tcPr>
          <w:p w14:paraId="5040257C" w14:textId="01FE71B6" w:rsidR="00222C40" w:rsidRPr="00DC7207" w:rsidRDefault="00DC7207" w:rsidP="00BE6D2B">
            <w:pPr>
              <w:widowControl w:val="0"/>
              <w:jc w:val="center"/>
              <w:rPr>
                <w:b/>
                <w:bCs/>
                <w:sz w:val="20"/>
                <w:szCs w:val="20"/>
                <w:lang w:val="en-CA" w:eastAsia="en-CA"/>
              </w:rPr>
            </w:pPr>
            <w:r w:rsidRPr="00DC7207">
              <w:rPr>
                <w:b/>
                <w:bCs/>
                <w:sz w:val="20"/>
                <w:szCs w:val="20"/>
                <w:lang w:val="fr-FR" w:eastAsia="en-CA"/>
              </w:rPr>
              <w:t xml:space="preserve">Durée/retards moyens (mois) </w:t>
            </w:r>
            <w:r w:rsidRPr="00DC7207">
              <w:rPr>
                <w:rStyle w:val="FootnoteReference"/>
                <w:b/>
                <w:bCs/>
                <w:sz w:val="20"/>
                <w:szCs w:val="20"/>
                <w:lang w:val="fr-FR" w:eastAsia="en-CA"/>
              </w:rPr>
              <w:footnoteReference w:id="6"/>
            </w:r>
          </w:p>
        </w:tc>
      </w:tr>
      <w:tr w:rsidR="00222C40" w:rsidRPr="006524DF" w14:paraId="711C0838" w14:textId="77777777" w:rsidTr="00996278">
        <w:trPr>
          <w:tblHeader/>
        </w:trPr>
        <w:tc>
          <w:tcPr>
            <w:tcW w:w="1247" w:type="dxa"/>
            <w:vMerge/>
            <w:vAlign w:val="center"/>
            <w:hideMark/>
          </w:tcPr>
          <w:p w14:paraId="1B61D932" w14:textId="77777777" w:rsidR="00222C40" w:rsidRPr="006524DF" w:rsidRDefault="00222C40" w:rsidP="00605D6D">
            <w:pPr>
              <w:widowControl w:val="0"/>
              <w:jc w:val="left"/>
              <w:rPr>
                <w:b/>
                <w:bCs/>
                <w:sz w:val="20"/>
                <w:szCs w:val="20"/>
                <w:lang w:val="en-CA" w:eastAsia="en-CA"/>
              </w:rPr>
            </w:pPr>
          </w:p>
        </w:tc>
        <w:tc>
          <w:tcPr>
            <w:tcW w:w="1039" w:type="dxa"/>
            <w:vMerge/>
            <w:vAlign w:val="center"/>
            <w:hideMark/>
          </w:tcPr>
          <w:p w14:paraId="13D6181A" w14:textId="77777777" w:rsidR="00222C40" w:rsidRPr="006524DF" w:rsidRDefault="00222C40" w:rsidP="00605D6D">
            <w:pPr>
              <w:widowControl w:val="0"/>
              <w:jc w:val="left"/>
              <w:rPr>
                <w:b/>
                <w:bCs/>
                <w:sz w:val="20"/>
                <w:szCs w:val="20"/>
                <w:lang w:val="en-CA" w:eastAsia="en-CA"/>
              </w:rPr>
            </w:pPr>
          </w:p>
        </w:tc>
        <w:tc>
          <w:tcPr>
            <w:tcW w:w="1179" w:type="dxa"/>
            <w:shd w:val="clear" w:color="auto" w:fill="auto"/>
            <w:vAlign w:val="center"/>
            <w:hideMark/>
          </w:tcPr>
          <w:p w14:paraId="1767551F" w14:textId="1FAAB437" w:rsidR="00222C40" w:rsidRPr="00DC7207" w:rsidRDefault="00DC7207" w:rsidP="00BE6D2B">
            <w:pPr>
              <w:widowControl w:val="0"/>
              <w:jc w:val="center"/>
              <w:rPr>
                <w:b/>
                <w:bCs/>
                <w:sz w:val="20"/>
                <w:szCs w:val="20"/>
                <w:lang w:val="en-CA" w:eastAsia="en-CA"/>
              </w:rPr>
            </w:pPr>
            <w:r w:rsidRPr="00DC7207">
              <w:rPr>
                <w:b/>
                <w:bCs/>
                <w:sz w:val="20"/>
                <w:szCs w:val="20"/>
                <w:lang w:val="fr-FR" w:eastAsia="en-CA"/>
              </w:rPr>
              <w:t>Approuvé</w:t>
            </w:r>
          </w:p>
        </w:tc>
        <w:tc>
          <w:tcPr>
            <w:tcW w:w="1179" w:type="dxa"/>
            <w:shd w:val="clear" w:color="auto" w:fill="auto"/>
            <w:vAlign w:val="center"/>
            <w:hideMark/>
          </w:tcPr>
          <w:p w14:paraId="72393829" w14:textId="412B4FFB" w:rsidR="00222C40" w:rsidRPr="00DC7207" w:rsidRDefault="00DC7207" w:rsidP="00BE6D2B">
            <w:pPr>
              <w:widowControl w:val="0"/>
              <w:jc w:val="center"/>
              <w:rPr>
                <w:b/>
                <w:bCs/>
                <w:sz w:val="20"/>
                <w:szCs w:val="20"/>
                <w:lang w:val="en-CA" w:eastAsia="en-CA"/>
              </w:rPr>
            </w:pPr>
            <w:r w:rsidRPr="00DC7207">
              <w:rPr>
                <w:b/>
                <w:bCs/>
                <w:sz w:val="20"/>
                <w:szCs w:val="20"/>
                <w:lang w:val="fr-FR" w:eastAsia="en-CA"/>
              </w:rPr>
              <w:t>Décaissé</w:t>
            </w:r>
          </w:p>
        </w:tc>
        <w:tc>
          <w:tcPr>
            <w:tcW w:w="1179" w:type="dxa"/>
            <w:shd w:val="clear" w:color="auto" w:fill="auto"/>
            <w:vAlign w:val="center"/>
            <w:hideMark/>
          </w:tcPr>
          <w:p w14:paraId="182C7C0D" w14:textId="1001F29D" w:rsidR="00222C40" w:rsidRPr="00DC7207" w:rsidRDefault="00DC7207" w:rsidP="00BE6D2B">
            <w:pPr>
              <w:widowControl w:val="0"/>
              <w:jc w:val="center"/>
              <w:rPr>
                <w:b/>
                <w:bCs/>
                <w:sz w:val="20"/>
                <w:szCs w:val="20"/>
                <w:lang w:val="en-CA" w:eastAsia="en-CA"/>
              </w:rPr>
            </w:pPr>
            <w:r w:rsidRPr="00DC7207">
              <w:rPr>
                <w:b/>
                <w:bCs/>
                <w:sz w:val="20"/>
                <w:szCs w:val="20"/>
                <w:lang w:val="fr-FR" w:eastAsia="en-CA"/>
              </w:rPr>
              <w:t>Approuvé</w:t>
            </w:r>
          </w:p>
        </w:tc>
        <w:tc>
          <w:tcPr>
            <w:tcW w:w="1179" w:type="dxa"/>
            <w:shd w:val="clear" w:color="auto" w:fill="auto"/>
            <w:vAlign w:val="center"/>
            <w:hideMark/>
          </w:tcPr>
          <w:p w14:paraId="7D9FBBA3" w14:textId="66EE4912" w:rsidR="00222C40" w:rsidRPr="00DC7207" w:rsidRDefault="00DC7207" w:rsidP="00BE6D2B">
            <w:pPr>
              <w:widowControl w:val="0"/>
              <w:jc w:val="center"/>
              <w:rPr>
                <w:b/>
                <w:bCs/>
                <w:sz w:val="20"/>
                <w:szCs w:val="20"/>
                <w:lang w:val="en-CA" w:eastAsia="en-CA"/>
              </w:rPr>
            </w:pPr>
            <w:r w:rsidRPr="00DC7207">
              <w:rPr>
                <w:b/>
                <w:bCs/>
                <w:sz w:val="20"/>
                <w:szCs w:val="20"/>
                <w:lang w:val="fr-FR" w:eastAsia="en-CA"/>
              </w:rPr>
              <w:t>Réelles</w:t>
            </w:r>
          </w:p>
        </w:tc>
        <w:tc>
          <w:tcPr>
            <w:tcW w:w="1179" w:type="dxa"/>
            <w:shd w:val="clear" w:color="auto" w:fill="auto"/>
            <w:vAlign w:val="center"/>
            <w:hideMark/>
          </w:tcPr>
          <w:p w14:paraId="73EE4FE7" w14:textId="7559E751" w:rsidR="00222C40" w:rsidRPr="00DC7207" w:rsidRDefault="00DC7207" w:rsidP="00BE6D2B">
            <w:pPr>
              <w:widowControl w:val="0"/>
              <w:jc w:val="center"/>
              <w:rPr>
                <w:b/>
                <w:bCs/>
                <w:sz w:val="20"/>
                <w:szCs w:val="20"/>
                <w:lang w:val="en-CA" w:eastAsia="en-CA"/>
              </w:rPr>
            </w:pPr>
            <w:r w:rsidRPr="00DC7207">
              <w:rPr>
                <w:b/>
                <w:bCs/>
                <w:sz w:val="20"/>
                <w:szCs w:val="20"/>
                <w:lang w:val="fr-FR" w:eastAsia="en-CA"/>
              </w:rPr>
              <w:t>Durée</w:t>
            </w:r>
          </w:p>
        </w:tc>
        <w:tc>
          <w:tcPr>
            <w:tcW w:w="1179" w:type="dxa"/>
            <w:shd w:val="clear" w:color="auto" w:fill="auto"/>
            <w:vAlign w:val="center"/>
            <w:hideMark/>
          </w:tcPr>
          <w:p w14:paraId="187C3C25" w14:textId="0A214DAC" w:rsidR="00222C40" w:rsidRPr="00DC7207" w:rsidRDefault="00DC7207" w:rsidP="00BE6D2B">
            <w:pPr>
              <w:widowControl w:val="0"/>
              <w:jc w:val="center"/>
              <w:rPr>
                <w:b/>
                <w:bCs/>
                <w:sz w:val="20"/>
                <w:szCs w:val="20"/>
                <w:lang w:val="en-CA" w:eastAsia="en-CA"/>
              </w:rPr>
            </w:pPr>
            <w:r w:rsidRPr="00DC7207">
              <w:rPr>
                <w:b/>
                <w:bCs/>
                <w:sz w:val="20"/>
                <w:szCs w:val="20"/>
                <w:lang w:val="fr-FR" w:eastAsia="en-CA"/>
              </w:rPr>
              <w:t>Retards</w:t>
            </w:r>
          </w:p>
        </w:tc>
      </w:tr>
      <w:tr w:rsidR="00200F77" w:rsidRPr="006524DF" w14:paraId="501CE151" w14:textId="77777777" w:rsidTr="007079A4">
        <w:tc>
          <w:tcPr>
            <w:tcW w:w="1247" w:type="dxa"/>
            <w:shd w:val="clear" w:color="auto" w:fill="auto"/>
            <w:noWrap/>
            <w:vAlign w:val="center"/>
            <w:hideMark/>
          </w:tcPr>
          <w:p w14:paraId="5B742FB3" w14:textId="294B8E1F" w:rsidR="00200F77" w:rsidRPr="00DC7207" w:rsidRDefault="00DC7207" w:rsidP="00BE6D2B">
            <w:pPr>
              <w:widowControl w:val="0"/>
              <w:rPr>
                <w:sz w:val="20"/>
                <w:szCs w:val="20"/>
                <w:lang w:val="en-CA" w:eastAsia="en-CA"/>
              </w:rPr>
            </w:pPr>
            <w:r w:rsidRPr="00DC7207">
              <w:rPr>
                <w:sz w:val="20"/>
                <w:szCs w:val="20"/>
                <w:lang w:val="fr-FR" w:eastAsia="en-CA"/>
              </w:rPr>
              <w:t>Allemagne</w:t>
            </w:r>
          </w:p>
        </w:tc>
        <w:tc>
          <w:tcPr>
            <w:tcW w:w="1039" w:type="dxa"/>
            <w:shd w:val="clear" w:color="auto" w:fill="auto"/>
            <w:noWrap/>
            <w:tcMar>
              <w:right w:w="288" w:type="dxa"/>
            </w:tcMar>
            <w:hideMark/>
          </w:tcPr>
          <w:p w14:paraId="1356BA79" w14:textId="77777777" w:rsidR="00200F77" w:rsidRPr="006524DF" w:rsidRDefault="00200F77" w:rsidP="007079A4">
            <w:pPr>
              <w:widowControl w:val="0"/>
              <w:jc w:val="right"/>
              <w:rPr>
                <w:sz w:val="20"/>
                <w:szCs w:val="20"/>
              </w:rPr>
            </w:pPr>
            <w:r w:rsidRPr="006524DF">
              <w:rPr>
                <w:sz w:val="20"/>
                <w:szCs w:val="20"/>
                <w:lang w:val="en-CA" w:eastAsia="en-CA"/>
              </w:rPr>
              <w:t>1</w:t>
            </w:r>
          </w:p>
        </w:tc>
        <w:tc>
          <w:tcPr>
            <w:tcW w:w="1179" w:type="dxa"/>
            <w:shd w:val="clear" w:color="auto" w:fill="auto"/>
            <w:noWrap/>
            <w:tcMar>
              <w:left w:w="0" w:type="dxa"/>
              <w:right w:w="288" w:type="dxa"/>
            </w:tcMar>
            <w:hideMark/>
          </w:tcPr>
          <w:p w14:paraId="013C82A3" w14:textId="77B1FA83" w:rsidR="00200F77" w:rsidRPr="006524DF" w:rsidRDefault="00200F77" w:rsidP="007079A4">
            <w:pPr>
              <w:widowControl w:val="0"/>
              <w:jc w:val="right"/>
              <w:rPr>
                <w:sz w:val="20"/>
                <w:szCs w:val="20"/>
                <w:lang w:val="en-CA" w:eastAsia="en-CA"/>
              </w:rPr>
            </w:pPr>
            <w:r w:rsidRPr="006524DF">
              <w:rPr>
                <w:sz w:val="20"/>
                <w:szCs w:val="20"/>
                <w:lang w:val="en-CA" w:eastAsia="en-CA"/>
              </w:rPr>
              <w:t>30</w:t>
            </w:r>
            <w:r w:rsidR="005A0776">
              <w:rPr>
                <w:sz w:val="20"/>
                <w:szCs w:val="20"/>
                <w:lang w:val="en-CA" w:eastAsia="en-CA"/>
              </w:rPr>
              <w:t> </w:t>
            </w:r>
            <w:r w:rsidRPr="006524DF">
              <w:rPr>
                <w:sz w:val="20"/>
                <w:szCs w:val="20"/>
                <w:lang w:val="en-CA" w:eastAsia="en-CA"/>
              </w:rPr>
              <w:t>000</w:t>
            </w:r>
          </w:p>
        </w:tc>
        <w:tc>
          <w:tcPr>
            <w:tcW w:w="1179" w:type="dxa"/>
            <w:shd w:val="clear" w:color="auto" w:fill="auto"/>
            <w:noWrap/>
            <w:tcMar>
              <w:left w:w="0" w:type="dxa"/>
              <w:right w:w="288" w:type="dxa"/>
            </w:tcMar>
            <w:hideMark/>
          </w:tcPr>
          <w:p w14:paraId="096C500E" w14:textId="34B3BF10" w:rsidR="00200F77" w:rsidRPr="006524DF" w:rsidRDefault="00200F77" w:rsidP="007079A4">
            <w:pPr>
              <w:widowControl w:val="0"/>
              <w:jc w:val="right"/>
              <w:rPr>
                <w:sz w:val="20"/>
                <w:szCs w:val="20"/>
                <w:lang w:val="en-CA" w:eastAsia="en-CA"/>
              </w:rPr>
            </w:pPr>
            <w:r w:rsidRPr="006524DF">
              <w:rPr>
                <w:sz w:val="20"/>
                <w:szCs w:val="20"/>
                <w:lang w:val="en-CA" w:eastAsia="en-CA"/>
              </w:rPr>
              <w:t>30</w:t>
            </w:r>
            <w:r w:rsidR="005A0776">
              <w:rPr>
                <w:sz w:val="20"/>
                <w:szCs w:val="20"/>
                <w:lang w:val="en-CA" w:eastAsia="en-CA"/>
              </w:rPr>
              <w:t> </w:t>
            </w:r>
            <w:r w:rsidRPr="006524DF">
              <w:rPr>
                <w:sz w:val="20"/>
                <w:szCs w:val="20"/>
                <w:lang w:val="en-CA" w:eastAsia="en-CA"/>
              </w:rPr>
              <w:t>000</w:t>
            </w:r>
          </w:p>
        </w:tc>
        <w:tc>
          <w:tcPr>
            <w:tcW w:w="1179" w:type="dxa"/>
            <w:shd w:val="clear" w:color="auto" w:fill="auto"/>
            <w:noWrap/>
            <w:tcMar>
              <w:left w:w="0" w:type="dxa"/>
              <w:right w:w="288" w:type="dxa"/>
            </w:tcMar>
            <w:hideMark/>
          </w:tcPr>
          <w:p w14:paraId="1B47DC57"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0</w:t>
            </w:r>
          </w:p>
        </w:tc>
        <w:tc>
          <w:tcPr>
            <w:tcW w:w="1179" w:type="dxa"/>
            <w:shd w:val="clear" w:color="auto" w:fill="auto"/>
            <w:noWrap/>
            <w:tcMar>
              <w:left w:w="0" w:type="dxa"/>
              <w:right w:w="288" w:type="dxa"/>
            </w:tcMar>
            <w:hideMark/>
          </w:tcPr>
          <w:p w14:paraId="2EDCBDE0"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0</w:t>
            </w:r>
          </w:p>
        </w:tc>
        <w:tc>
          <w:tcPr>
            <w:tcW w:w="1179" w:type="dxa"/>
            <w:shd w:val="clear" w:color="auto" w:fill="auto"/>
            <w:noWrap/>
            <w:tcMar>
              <w:left w:w="0" w:type="dxa"/>
              <w:right w:w="288" w:type="dxa"/>
            </w:tcMar>
            <w:hideMark/>
          </w:tcPr>
          <w:p w14:paraId="656D0869"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31</w:t>
            </w:r>
          </w:p>
        </w:tc>
        <w:tc>
          <w:tcPr>
            <w:tcW w:w="1179" w:type="dxa"/>
            <w:shd w:val="clear" w:color="auto" w:fill="auto"/>
            <w:noWrap/>
            <w:tcMar>
              <w:left w:w="0" w:type="dxa"/>
              <w:right w:w="288" w:type="dxa"/>
            </w:tcMar>
            <w:hideMark/>
          </w:tcPr>
          <w:p w14:paraId="22E89806"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13</w:t>
            </w:r>
          </w:p>
        </w:tc>
      </w:tr>
      <w:tr w:rsidR="00200F77" w:rsidRPr="006524DF" w14:paraId="4D7FE360" w14:textId="77777777" w:rsidTr="007079A4">
        <w:tc>
          <w:tcPr>
            <w:tcW w:w="1247" w:type="dxa"/>
            <w:shd w:val="clear" w:color="auto" w:fill="auto"/>
            <w:noWrap/>
            <w:vAlign w:val="center"/>
            <w:hideMark/>
          </w:tcPr>
          <w:p w14:paraId="7EFCB0AC" w14:textId="2C8B995B" w:rsidR="00200F77" w:rsidRPr="00DC7207" w:rsidRDefault="00DC7207" w:rsidP="00BE6D2B">
            <w:pPr>
              <w:widowControl w:val="0"/>
              <w:jc w:val="left"/>
              <w:rPr>
                <w:sz w:val="20"/>
                <w:szCs w:val="20"/>
                <w:lang w:val="en-CA" w:eastAsia="en-CA"/>
              </w:rPr>
            </w:pPr>
            <w:r w:rsidRPr="00DC7207">
              <w:rPr>
                <w:sz w:val="20"/>
                <w:szCs w:val="20"/>
                <w:lang w:val="fr-FR" w:eastAsia="en-CA"/>
              </w:rPr>
              <w:t>Fédération de Russie</w:t>
            </w:r>
          </w:p>
        </w:tc>
        <w:tc>
          <w:tcPr>
            <w:tcW w:w="1039" w:type="dxa"/>
            <w:shd w:val="clear" w:color="auto" w:fill="auto"/>
            <w:noWrap/>
            <w:tcMar>
              <w:right w:w="288" w:type="dxa"/>
            </w:tcMar>
            <w:hideMark/>
          </w:tcPr>
          <w:p w14:paraId="3F12A4EE"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1</w:t>
            </w:r>
          </w:p>
        </w:tc>
        <w:tc>
          <w:tcPr>
            <w:tcW w:w="1179" w:type="dxa"/>
            <w:shd w:val="clear" w:color="auto" w:fill="auto"/>
            <w:noWrap/>
            <w:tcMar>
              <w:left w:w="0" w:type="dxa"/>
              <w:right w:w="288" w:type="dxa"/>
            </w:tcMar>
            <w:hideMark/>
          </w:tcPr>
          <w:p w14:paraId="494E0E69" w14:textId="4736BFFA" w:rsidR="00200F77" w:rsidRPr="006524DF" w:rsidRDefault="00200F77" w:rsidP="007079A4">
            <w:pPr>
              <w:widowControl w:val="0"/>
              <w:jc w:val="right"/>
              <w:rPr>
                <w:sz w:val="20"/>
                <w:szCs w:val="20"/>
                <w:lang w:val="en-CA" w:eastAsia="en-CA"/>
              </w:rPr>
            </w:pPr>
            <w:r w:rsidRPr="006524DF">
              <w:rPr>
                <w:sz w:val="20"/>
                <w:szCs w:val="20"/>
                <w:lang w:val="en-CA" w:eastAsia="en-CA"/>
              </w:rPr>
              <w:t>591</w:t>
            </w:r>
            <w:r w:rsidR="005A0776">
              <w:rPr>
                <w:sz w:val="20"/>
                <w:szCs w:val="20"/>
                <w:lang w:val="en-CA" w:eastAsia="en-CA"/>
              </w:rPr>
              <w:t> </w:t>
            </w:r>
            <w:r w:rsidRPr="006524DF">
              <w:rPr>
                <w:sz w:val="20"/>
                <w:szCs w:val="20"/>
                <w:lang w:val="en-CA" w:eastAsia="en-CA"/>
              </w:rPr>
              <w:t>600</w:t>
            </w:r>
          </w:p>
        </w:tc>
        <w:tc>
          <w:tcPr>
            <w:tcW w:w="1179" w:type="dxa"/>
            <w:shd w:val="clear" w:color="auto" w:fill="auto"/>
            <w:noWrap/>
            <w:tcMar>
              <w:left w:w="0" w:type="dxa"/>
              <w:right w:w="288" w:type="dxa"/>
            </w:tcMar>
            <w:hideMark/>
          </w:tcPr>
          <w:p w14:paraId="528BA4B7" w14:textId="47BCC98D" w:rsidR="00200F77" w:rsidRPr="006524DF" w:rsidRDefault="00200F77" w:rsidP="007079A4">
            <w:pPr>
              <w:widowControl w:val="0"/>
              <w:jc w:val="right"/>
              <w:rPr>
                <w:sz w:val="20"/>
                <w:szCs w:val="20"/>
                <w:lang w:val="en-CA" w:eastAsia="en-CA"/>
              </w:rPr>
            </w:pPr>
            <w:r w:rsidRPr="006524DF">
              <w:rPr>
                <w:sz w:val="20"/>
                <w:szCs w:val="20"/>
                <w:lang w:val="en-CA" w:eastAsia="en-CA"/>
              </w:rPr>
              <w:t>591</w:t>
            </w:r>
            <w:r w:rsidR="005A0776">
              <w:rPr>
                <w:sz w:val="20"/>
                <w:szCs w:val="20"/>
                <w:lang w:val="en-CA" w:eastAsia="en-CA"/>
              </w:rPr>
              <w:t> </w:t>
            </w:r>
            <w:r w:rsidRPr="006524DF">
              <w:rPr>
                <w:sz w:val="20"/>
                <w:szCs w:val="20"/>
                <w:lang w:val="en-CA" w:eastAsia="en-CA"/>
              </w:rPr>
              <w:t>235</w:t>
            </w:r>
          </w:p>
        </w:tc>
        <w:tc>
          <w:tcPr>
            <w:tcW w:w="1179" w:type="dxa"/>
            <w:shd w:val="clear" w:color="auto" w:fill="auto"/>
            <w:noWrap/>
            <w:tcMar>
              <w:left w:w="0" w:type="dxa"/>
              <w:right w:w="288" w:type="dxa"/>
            </w:tcMar>
            <w:hideMark/>
          </w:tcPr>
          <w:p w14:paraId="523AE0C3"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0</w:t>
            </w:r>
          </w:p>
        </w:tc>
        <w:tc>
          <w:tcPr>
            <w:tcW w:w="1179" w:type="dxa"/>
            <w:shd w:val="clear" w:color="auto" w:fill="auto"/>
            <w:noWrap/>
            <w:tcMar>
              <w:left w:w="0" w:type="dxa"/>
              <w:right w:w="288" w:type="dxa"/>
            </w:tcMar>
            <w:hideMark/>
          </w:tcPr>
          <w:p w14:paraId="37CD8257"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0</w:t>
            </w:r>
          </w:p>
        </w:tc>
        <w:tc>
          <w:tcPr>
            <w:tcW w:w="1179" w:type="dxa"/>
            <w:shd w:val="clear" w:color="auto" w:fill="auto"/>
            <w:noWrap/>
            <w:tcMar>
              <w:left w:w="0" w:type="dxa"/>
              <w:right w:w="288" w:type="dxa"/>
            </w:tcMar>
            <w:hideMark/>
          </w:tcPr>
          <w:p w14:paraId="620E13DA"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43</w:t>
            </w:r>
          </w:p>
        </w:tc>
        <w:tc>
          <w:tcPr>
            <w:tcW w:w="1179" w:type="dxa"/>
            <w:shd w:val="clear" w:color="auto" w:fill="auto"/>
            <w:noWrap/>
            <w:tcMar>
              <w:left w:w="0" w:type="dxa"/>
              <w:right w:w="288" w:type="dxa"/>
            </w:tcMar>
            <w:hideMark/>
          </w:tcPr>
          <w:p w14:paraId="511C80A4"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7</w:t>
            </w:r>
          </w:p>
        </w:tc>
      </w:tr>
      <w:tr w:rsidR="00200F77" w:rsidRPr="006524DF" w14:paraId="4C58C237" w14:textId="77777777" w:rsidTr="007079A4">
        <w:tc>
          <w:tcPr>
            <w:tcW w:w="1247" w:type="dxa"/>
            <w:shd w:val="clear" w:color="auto" w:fill="auto"/>
            <w:noWrap/>
            <w:vAlign w:val="center"/>
            <w:hideMark/>
          </w:tcPr>
          <w:p w14:paraId="3E42C4DF" w14:textId="10737100" w:rsidR="00200F77" w:rsidRPr="00DC7207" w:rsidRDefault="00DC7207" w:rsidP="00BE6D2B">
            <w:pPr>
              <w:widowControl w:val="0"/>
              <w:jc w:val="left"/>
              <w:rPr>
                <w:sz w:val="20"/>
                <w:szCs w:val="20"/>
                <w:lang w:val="en-CA" w:eastAsia="en-CA"/>
              </w:rPr>
            </w:pPr>
            <w:r w:rsidRPr="00DC7207">
              <w:rPr>
                <w:sz w:val="20"/>
                <w:szCs w:val="20"/>
                <w:lang w:val="fr-FR" w:eastAsia="en-CA"/>
              </w:rPr>
              <w:t>PNUE</w:t>
            </w:r>
          </w:p>
        </w:tc>
        <w:tc>
          <w:tcPr>
            <w:tcW w:w="1039" w:type="dxa"/>
            <w:shd w:val="clear" w:color="auto" w:fill="auto"/>
            <w:noWrap/>
            <w:tcMar>
              <w:right w:w="288" w:type="dxa"/>
            </w:tcMar>
            <w:hideMark/>
          </w:tcPr>
          <w:p w14:paraId="2287878A"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11</w:t>
            </w:r>
          </w:p>
        </w:tc>
        <w:tc>
          <w:tcPr>
            <w:tcW w:w="1179" w:type="dxa"/>
            <w:shd w:val="clear" w:color="auto" w:fill="auto"/>
            <w:noWrap/>
            <w:tcMar>
              <w:left w:w="0" w:type="dxa"/>
              <w:right w:w="288" w:type="dxa"/>
            </w:tcMar>
            <w:hideMark/>
          </w:tcPr>
          <w:p w14:paraId="44677B85" w14:textId="2F0B57AC" w:rsidR="00200F77" w:rsidRPr="006524DF" w:rsidRDefault="00200F77" w:rsidP="007079A4">
            <w:pPr>
              <w:widowControl w:val="0"/>
              <w:jc w:val="right"/>
              <w:rPr>
                <w:sz w:val="20"/>
                <w:szCs w:val="20"/>
                <w:lang w:val="en-CA" w:eastAsia="en-CA"/>
              </w:rPr>
            </w:pPr>
            <w:r w:rsidRPr="006524DF">
              <w:rPr>
                <w:sz w:val="20"/>
                <w:szCs w:val="20"/>
                <w:lang w:val="en-CA" w:eastAsia="en-CA"/>
              </w:rPr>
              <w:t>330</w:t>
            </w:r>
            <w:r w:rsidR="005A0776">
              <w:rPr>
                <w:sz w:val="20"/>
                <w:szCs w:val="20"/>
                <w:lang w:val="en-CA" w:eastAsia="en-CA"/>
              </w:rPr>
              <w:t> </w:t>
            </w:r>
            <w:r w:rsidRPr="006524DF">
              <w:rPr>
                <w:sz w:val="20"/>
                <w:szCs w:val="20"/>
                <w:lang w:val="en-CA" w:eastAsia="en-CA"/>
              </w:rPr>
              <w:t>000</w:t>
            </w:r>
          </w:p>
        </w:tc>
        <w:tc>
          <w:tcPr>
            <w:tcW w:w="1179" w:type="dxa"/>
            <w:shd w:val="clear" w:color="auto" w:fill="auto"/>
            <w:noWrap/>
            <w:tcMar>
              <w:left w:w="0" w:type="dxa"/>
              <w:right w:w="288" w:type="dxa"/>
            </w:tcMar>
            <w:hideMark/>
          </w:tcPr>
          <w:p w14:paraId="50FA749B" w14:textId="697FCDCA" w:rsidR="00200F77" w:rsidRPr="006524DF" w:rsidRDefault="00200F77" w:rsidP="007079A4">
            <w:pPr>
              <w:widowControl w:val="0"/>
              <w:jc w:val="right"/>
              <w:rPr>
                <w:sz w:val="20"/>
                <w:szCs w:val="20"/>
                <w:lang w:val="en-CA" w:eastAsia="en-CA"/>
              </w:rPr>
            </w:pPr>
            <w:r w:rsidRPr="006524DF">
              <w:rPr>
                <w:sz w:val="20"/>
                <w:szCs w:val="20"/>
                <w:lang w:val="en-CA" w:eastAsia="en-CA"/>
              </w:rPr>
              <w:t>275</w:t>
            </w:r>
            <w:r w:rsidR="005A0776">
              <w:rPr>
                <w:sz w:val="20"/>
                <w:szCs w:val="20"/>
                <w:lang w:val="en-CA" w:eastAsia="en-CA"/>
              </w:rPr>
              <w:t> </w:t>
            </w:r>
            <w:r w:rsidRPr="006524DF">
              <w:rPr>
                <w:sz w:val="20"/>
                <w:szCs w:val="20"/>
                <w:lang w:val="en-CA" w:eastAsia="en-CA"/>
              </w:rPr>
              <w:t>770</w:t>
            </w:r>
          </w:p>
        </w:tc>
        <w:tc>
          <w:tcPr>
            <w:tcW w:w="1179" w:type="dxa"/>
            <w:shd w:val="clear" w:color="auto" w:fill="auto"/>
            <w:noWrap/>
            <w:tcMar>
              <w:left w:w="0" w:type="dxa"/>
              <w:right w:w="288" w:type="dxa"/>
            </w:tcMar>
            <w:hideMark/>
          </w:tcPr>
          <w:p w14:paraId="33584F9A"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0</w:t>
            </w:r>
          </w:p>
        </w:tc>
        <w:tc>
          <w:tcPr>
            <w:tcW w:w="1179" w:type="dxa"/>
            <w:shd w:val="clear" w:color="auto" w:fill="auto"/>
            <w:noWrap/>
            <w:tcMar>
              <w:left w:w="0" w:type="dxa"/>
              <w:right w:w="288" w:type="dxa"/>
            </w:tcMar>
            <w:hideMark/>
          </w:tcPr>
          <w:p w14:paraId="5DF292FF"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0</w:t>
            </w:r>
          </w:p>
        </w:tc>
        <w:tc>
          <w:tcPr>
            <w:tcW w:w="1179" w:type="dxa"/>
            <w:shd w:val="clear" w:color="auto" w:fill="auto"/>
            <w:noWrap/>
            <w:tcMar>
              <w:left w:w="0" w:type="dxa"/>
              <w:right w:w="288" w:type="dxa"/>
            </w:tcMar>
            <w:hideMark/>
          </w:tcPr>
          <w:p w14:paraId="3DFE287D" w14:textId="568D73D9" w:rsidR="00200F77" w:rsidRPr="006524DF" w:rsidRDefault="00200F77" w:rsidP="007079A4">
            <w:pPr>
              <w:widowControl w:val="0"/>
              <w:jc w:val="right"/>
              <w:rPr>
                <w:sz w:val="20"/>
                <w:szCs w:val="20"/>
                <w:lang w:val="en-CA" w:eastAsia="en-CA"/>
              </w:rPr>
            </w:pPr>
            <w:r w:rsidRPr="006524DF">
              <w:rPr>
                <w:sz w:val="20"/>
                <w:szCs w:val="20"/>
                <w:lang w:val="en-CA" w:eastAsia="en-CA"/>
              </w:rPr>
              <w:t>26</w:t>
            </w:r>
            <w:r w:rsidR="005A0776">
              <w:rPr>
                <w:sz w:val="20"/>
                <w:szCs w:val="20"/>
                <w:lang w:val="en-CA" w:eastAsia="en-CA"/>
              </w:rPr>
              <w:t>,</w:t>
            </w:r>
            <w:r w:rsidRPr="006524DF">
              <w:rPr>
                <w:sz w:val="20"/>
                <w:szCs w:val="20"/>
                <w:lang w:val="en-CA" w:eastAsia="en-CA"/>
              </w:rPr>
              <w:t>18</w:t>
            </w:r>
          </w:p>
        </w:tc>
        <w:tc>
          <w:tcPr>
            <w:tcW w:w="1179" w:type="dxa"/>
            <w:shd w:val="clear" w:color="auto" w:fill="auto"/>
            <w:noWrap/>
            <w:tcMar>
              <w:left w:w="0" w:type="dxa"/>
              <w:right w:w="288" w:type="dxa"/>
            </w:tcMar>
            <w:hideMark/>
          </w:tcPr>
          <w:p w14:paraId="5A6413CF"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0</w:t>
            </w:r>
          </w:p>
        </w:tc>
      </w:tr>
      <w:tr w:rsidR="00200F77" w:rsidRPr="006524DF" w14:paraId="26BE0F19" w14:textId="77777777" w:rsidTr="007079A4">
        <w:tc>
          <w:tcPr>
            <w:tcW w:w="1247" w:type="dxa"/>
            <w:shd w:val="clear" w:color="auto" w:fill="auto"/>
            <w:noWrap/>
            <w:vAlign w:val="center"/>
            <w:hideMark/>
          </w:tcPr>
          <w:p w14:paraId="041FA5E7" w14:textId="46A9821F" w:rsidR="00200F77" w:rsidRPr="00DC7207" w:rsidRDefault="00DC7207" w:rsidP="00BE6D2B">
            <w:pPr>
              <w:widowControl w:val="0"/>
              <w:jc w:val="left"/>
              <w:rPr>
                <w:b/>
                <w:bCs/>
                <w:sz w:val="20"/>
                <w:szCs w:val="20"/>
                <w:lang w:val="en-CA" w:eastAsia="en-CA"/>
              </w:rPr>
            </w:pPr>
            <w:r w:rsidRPr="00DC7207">
              <w:rPr>
                <w:b/>
                <w:bCs/>
                <w:sz w:val="20"/>
                <w:szCs w:val="20"/>
                <w:lang w:val="fr-FR" w:eastAsia="en-CA"/>
              </w:rPr>
              <w:t>Total</w:t>
            </w:r>
          </w:p>
        </w:tc>
        <w:tc>
          <w:tcPr>
            <w:tcW w:w="1039" w:type="dxa"/>
            <w:shd w:val="clear" w:color="auto" w:fill="auto"/>
            <w:noWrap/>
            <w:tcMar>
              <w:right w:w="288" w:type="dxa"/>
            </w:tcMar>
            <w:hideMark/>
          </w:tcPr>
          <w:p w14:paraId="4D2C544D" w14:textId="77777777" w:rsidR="00200F77" w:rsidRPr="006524DF" w:rsidRDefault="00200F77" w:rsidP="007079A4">
            <w:pPr>
              <w:widowControl w:val="0"/>
              <w:jc w:val="right"/>
              <w:rPr>
                <w:b/>
                <w:bCs/>
                <w:sz w:val="20"/>
                <w:szCs w:val="20"/>
              </w:rPr>
            </w:pPr>
            <w:r w:rsidRPr="006524DF">
              <w:rPr>
                <w:b/>
                <w:bCs/>
                <w:sz w:val="20"/>
                <w:szCs w:val="20"/>
                <w:lang w:val="en-CA" w:eastAsia="en-CA"/>
              </w:rPr>
              <w:t>13</w:t>
            </w:r>
          </w:p>
        </w:tc>
        <w:tc>
          <w:tcPr>
            <w:tcW w:w="1179" w:type="dxa"/>
            <w:shd w:val="clear" w:color="auto" w:fill="auto"/>
            <w:noWrap/>
            <w:tcMar>
              <w:left w:w="0" w:type="dxa"/>
              <w:right w:w="288" w:type="dxa"/>
            </w:tcMar>
            <w:hideMark/>
          </w:tcPr>
          <w:p w14:paraId="38AAEF75" w14:textId="09150ECE" w:rsidR="00200F77" w:rsidRPr="006524DF" w:rsidRDefault="00200F77" w:rsidP="007079A4">
            <w:pPr>
              <w:widowControl w:val="0"/>
              <w:jc w:val="right"/>
              <w:rPr>
                <w:b/>
                <w:sz w:val="20"/>
                <w:szCs w:val="20"/>
                <w:lang w:val="en-CA" w:eastAsia="en-CA"/>
              </w:rPr>
            </w:pPr>
            <w:r w:rsidRPr="006524DF">
              <w:rPr>
                <w:b/>
                <w:sz w:val="20"/>
                <w:szCs w:val="20"/>
                <w:lang w:val="en-CA" w:eastAsia="en-CA"/>
              </w:rPr>
              <w:t>951</w:t>
            </w:r>
            <w:r w:rsidR="005A0776">
              <w:rPr>
                <w:b/>
                <w:sz w:val="20"/>
                <w:szCs w:val="20"/>
                <w:lang w:val="en-CA" w:eastAsia="en-CA"/>
              </w:rPr>
              <w:t> </w:t>
            </w:r>
            <w:r w:rsidRPr="006524DF">
              <w:rPr>
                <w:b/>
                <w:sz w:val="20"/>
                <w:szCs w:val="20"/>
                <w:lang w:val="en-CA" w:eastAsia="en-CA"/>
              </w:rPr>
              <w:t>600</w:t>
            </w:r>
          </w:p>
        </w:tc>
        <w:tc>
          <w:tcPr>
            <w:tcW w:w="1179" w:type="dxa"/>
            <w:shd w:val="clear" w:color="auto" w:fill="auto"/>
            <w:noWrap/>
            <w:tcMar>
              <w:left w:w="0" w:type="dxa"/>
              <w:right w:w="288" w:type="dxa"/>
            </w:tcMar>
            <w:hideMark/>
          </w:tcPr>
          <w:p w14:paraId="10B11B0C" w14:textId="119649CE" w:rsidR="00200F77" w:rsidRPr="006524DF" w:rsidRDefault="00200F77" w:rsidP="007079A4">
            <w:pPr>
              <w:widowControl w:val="0"/>
              <w:jc w:val="right"/>
              <w:rPr>
                <w:b/>
                <w:sz w:val="20"/>
                <w:szCs w:val="20"/>
                <w:lang w:val="en-CA" w:eastAsia="en-CA"/>
              </w:rPr>
            </w:pPr>
            <w:r w:rsidRPr="006524DF">
              <w:rPr>
                <w:b/>
                <w:sz w:val="20"/>
                <w:szCs w:val="20"/>
                <w:lang w:val="en-CA" w:eastAsia="en-CA"/>
              </w:rPr>
              <w:t>897</w:t>
            </w:r>
            <w:r w:rsidR="005A0776">
              <w:rPr>
                <w:b/>
                <w:sz w:val="20"/>
                <w:szCs w:val="20"/>
                <w:lang w:val="en-CA" w:eastAsia="en-CA"/>
              </w:rPr>
              <w:t> </w:t>
            </w:r>
            <w:r w:rsidRPr="006524DF">
              <w:rPr>
                <w:b/>
                <w:sz w:val="20"/>
                <w:szCs w:val="20"/>
                <w:lang w:val="en-CA" w:eastAsia="en-CA"/>
              </w:rPr>
              <w:t>005</w:t>
            </w:r>
          </w:p>
        </w:tc>
        <w:tc>
          <w:tcPr>
            <w:tcW w:w="1179" w:type="dxa"/>
            <w:shd w:val="clear" w:color="auto" w:fill="auto"/>
            <w:noWrap/>
            <w:tcMar>
              <w:left w:w="0" w:type="dxa"/>
              <w:right w:w="288" w:type="dxa"/>
            </w:tcMar>
            <w:hideMark/>
          </w:tcPr>
          <w:p w14:paraId="75675008" w14:textId="77777777" w:rsidR="00200F77" w:rsidRPr="006524DF" w:rsidRDefault="00200F77" w:rsidP="007079A4">
            <w:pPr>
              <w:widowControl w:val="0"/>
              <w:jc w:val="right"/>
              <w:rPr>
                <w:b/>
                <w:sz w:val="20"/>
                <w:szCs w:val="20"/>
                <w:lang w:val="en-CA" w:eastAsia="en-CA"/>
              </w:rPr>
            </w:pPr>
            <w:r w:rsidRPr="006524DF">
              <w:rPr>
                <w:b/>
                <w:sz w:val="20"/>
                <w:szCs w:val="20"/>
                <w:lang w:val="en-CA" w:eastAsia="en-CA"/>
              </w:rPr>
              <w:t>0</w:t>
            </w:r>
          </w:p>
        </w:tc>
        <w:tc>
          <w:tcPr>
            <w:tcW w:w="1179" w:type="dxa"/>
            <w:shd w:val="clear" w:color="auto" w:fill="auto"/>
            <w:noWrap/>
            <w:tcMar>
              <w:left w:w="0" w:type="dxa"/>
              <w:right w:w="288" w:type="dxa"/>
            </w:tcMar>
            <w:hideMark/>
          </w:tcPr>
          <w:p w14:paraId="17763759" w14:textId="77777777" w:rsidR="00200F77" w:rsidRPr="006524DF" w:rsidRDefault="00200F77" w:rsidP="007079A4">
            <w:pPr>
              <w:widowControl w:val="0"/>
              <w:jc w:val="right"/>
              <w:rPr>
                <w:b/>
                <w:sz w:val="20"/>
                <w:szCs w:val="20"/>
                <w:lang w:val="en-CA" w:eastAsia="en-CA"/>
              </w:rPr>
            </w:pPr>
            <w:r w:rsidRPr="006524DF">
              <w:rPr>
                <w:b/>
                <w:sz w:val="20"/>
                <w:szCs w:val="20"/>
                <w:lang w:val="en-CA" w:eastAsia="en-CA"/>
              </w:rPr>
              <w:t>0</w:t>
            </w:r>
          </w:p>
        </w:tc>
        <w:tc>
          <w:tcPr>
            <w:tcW w:w="1179" w:type="dxa"/>
            <w:shd w:val="clear" w:color="auto" w:fill="auto"/>
            <w:noWrap/>
            <w:tcMar>
              <w:left w:w="0" w:type="dxa"/>
              <w:right w:w="288" w:type="dxa"/>
            </w:tcMar>
            <w:hideMark/>
          </w:tcPr>
          <w:p w14:paraId="2D360F4D" w14:textId="6A23DFC5" w:rsidR="00200F77" w:rsidRPr="006524DF" w:rsidRDefault="00200F77" w:rsidP="007079A4">
            <w:pPr>
              <w:widowControl w:val="0"/>
              <w:jc w:val="right"/>
              <w:rPr>
                <w:b/>
                <w:sz w:val="20"/>
                <w:szCs w:val="20"/>
                <w:lang w:val="en-CA" w:eastAsia="en-CA"/>
              </w:rPr>
            </w:pPr>
            <w:r w:rsidRPr="006524DF">
              <w:rPr>
                <w:b/>
                <w:sz w:val="20"/>
                <w:szCs w:val="20"/>
                <w:lang w:val="en-CA" w:eastAsia="en-CA"/>
              </w:rPr>
              <w:t>27</w:t>
            </w:r>
            <w:r w:rsidR="005A0776">
              <w:rPr>
                <w:b/>
                <w:sz w:val="20"/>
                <w:szCs w:val="20"/>
                <w:lang w:val="en-CA" w:eastAsia="en-CA"/>
              </w:rPr>
              <w:t>,</w:t>
            </w:r>
            <w:r w:rsidRPr="006524DF">
              <w:rPr>
                <w:b/>
                <w:sz w:val="20"/>
                <w:szCs w:val="20"/>
                <w:lang w:val="en-CA" w:eastAsia="en-CA"/>
              </w:rPr>
              <w:t>84</w:t>
            </w:r>
          </w:p>
        </w:tc>
        <w:tc>
          <w:tcPr>
            <w:tcW w:w="1179" w:type="dxa"/>
            <w:shd w:val="clear" w:color="auto" w:fill="auto"/>
            <w:noWrap/>
            <w:tcMar>
              <w:left w:w="0" w:type="dxa"/>
              <w:right w:w="288" w:type="dxa"/>
            </w:tcMar>
            <w:hideMark/>
          </w:tcPr>
          <w:p w14:paraId="0DF5B8C5" w14:textId="77777777" w:rsidR="00200F77" w:rsidRPr="006524DF" w:rsidRDefault="00200F77" w:rsidP="007079A4">
            <w:pPr>
              <w:widowControl w:val="0"/>
              <w:jc w:val="right"/>
              <w:rPr>
                <w:b/>
                <w:sz w:val="20"/>
                <w:szCs w:val="20"/>
                <w:lang w:val="en-CA" w:eastAsia="en-CA"/>
              </w:rPr>
            </w:pPr>
            <w:r w:rsidRPr="006524DF">
              <w:rPr>
                <w:b/>
                <w:sz w:val="20"/>
                <w:szCs w:val="20"/>
                <w:lang w:val="en-CA" w:eastAsia="en-CA"/>
              </w:rPr>
              <w:t>0</w:t>
            </w:r>
          </w:p>
        </w:tc>
      </w:tr>
    </w:tbl>
    <w:p w14:paraId="6455E807" w14:textId="29A151BD" w:rsidR="00222C40" w:rsidRPr="006524DF" w:rsidRDefault="00DC7207" w:rsidP="00DC7207">
      <w:pPr>
        <w:keepNext/>
        <w:keepLines/>
        <w:widowControl w:val="0"/>
        <w:spacing w:before="240" w:after="240"/>
        <w:rPr>
          <w:b/>
          <w:lang w:val="en-CA" w:eastAsia="ja-JP"/>
        </w:rPr>
      </w:pPr>
      <w:r w:rsidRPr="00DC7207">
        <w:rPr>
          <w:b/>
          <w:lang w:val="fr-FR" w:eastAsia="ja-JP"/>
        </w:rPr>
        <w:t>Raisons des retards</w:t>
      </w:r>
      <w:r w:rsidR="00222C40" w:rsidRPr="00DC7207">
        <w:rPr>
          <w:b/>
          <w:lang w:val="en-CA" w:eastAsia="ja-JP"/>
        </w:rPr>
        <w:t xml:space="preserve"> </w:t>
      </w:r>
    </w:p>
    <w:p w14:paraId="3DC4E6C3" w14:textId="1109A4AE" w:rsidR="00F71793" w:rsidRPr="00A44B75" w:rsidRDefault="00DC7207" w:rsidP="000E52FD">
      <w:pPr>
        <w:pStyle w:val="Heading1"/>
        <w:rPr>
          <w:vanish/>
          <w:lang w:val="fr-FR"/>
        </w:rPr>
      </w:pPr>
      <w:r w:rsidRPr="00DC7207">
        <w:rPr>
          <w:lang w:val="fr-FR"/>
        </w:rPr>
        <w:t>Les rapports de vérification ont été retardés pour diverses raisons allant des restrictions de déplacement, du court délai pour effectuer la vérification, des informations incomplètes et de la classification erronée des codes du Système harmonisé (SH).</w:t>
      </w:r>
      <w:r w:rsidRPr="00A44B75">
        <w:rPr>
          <w:lang w:val="fr-FR"/>
        </w:rPr>
        <w:t xml:space="preserve"> </w:t>
      </w:r>
      <w:r w:rsidR="00F71793" w:rsidRPr="00F71793">
        <w:rPr>
          <w:lang w:val="fr-FR"/>
        </w:rPr>
        <w:t>Ces problèmes ont tous été résolus grâce à la coopération à l</w:t>
      </w:r>
      <w:r w:rsidR="005A0776">
        <w:rPr>
          <w:lang w:val="fr-FR"/>
        </w:rPr>
        <w:t>’</w:t>
      </w:r>
      <w:r w:rsidR="00F71793" w:rsidRPr="00F71793">
        <w:rPr>
          <w:lang w:val="fr-FR"/>
        </w:rPr>
        <w:t>échelon national entre les consultants, les agences d</w:t>
      </w:r>
      <w:r w:rsidR="005A0776">
        <w:rPr>
          <w:lang w:val="fr-FR"/>
        </w:rPr>
        <w:t>’</w:t>
      </w:r>
      <w:r w:rsidR="00F71793" w:rsidRPr="00F71793">
        <w:rPr>
          <w:lang w:val="fr-FR"/>
        </w:rPr>
        <w:t>exécution et les différentes parties prenantes.</w:t>
      </w:r>
      <w:r w:rsidR="00F71793" w:rsidRPr="00A44B75">
        <w:rPr>
          <w:lang w:val="fr-FR"/>
        </w:rPr>
        <w:t xml:space="preserve"> </w:t>
      </w:r>
    </w:p>
    <w:p w14:paraId="56F2C6F9" w14:textId="77777777" w:rsidR="000E52FD" w:rsidRDefault="000E52FD" w:rsidP="000E52FD">
      <w:pPr>
        <w:pStyle w:val="Heading1"/>
        <w:widowControl w:val="0"/>
        <w:spacing w:before="240"/>
        <w:rPr>
          <w:color w:val="000000"/>
          <w:shd w:val="clear" w:color="auto" w:fill="FFFFFF"/>
          <w:lang w:val="fr-FR"/>
        </w:rPr>
      </w:pPr>
    </w:p>
    <w:p w14:paraId="438218FB" w14:textId="5119698A" w:rsidR="00C17232" w:rsidRPr="000E52FD" w:rsidRDefault="00C17232" w:rsidP="000E52FD">
      <w:pPr>
        <w:pStyle w:val="Heading1"/>
        <w:numPr>
          <w:ilvl w:val="0"/>
          <w:numId w:val="15"/>
        </w:numPr>
        <w:rPr>
          <w:color w:val="000000"/>
          <w:shd w:val="clear" w:color="auto" w:fill="FFFFFF"/>
          <w:lang w:val="fr-FR"/>
        </w:rPr>
      </w:pPr>
      <w:r w:rsidRPr="000E52FD">
        <w:rPr>
          <w:shd w:val="clear" w:color="auto" w:fill="FFFFFF"/>
          <w:lang w:val="fr-FR"/>
        </w:rPr>
        <w:t>En raison des restrictions de voyage dues à la pandémie de COVID-19, un auditeur n</w:t>
      </w:r>
      <w:r w:rsidR="005A0776" w:rsidRPr="000E52FD">
        <w:rPr>
          <w:shd w:val="clear" w:color="auto" w:fill="FFFFFF"/>
          <w:lang w:val="fr-FR"/>
        </w:rPr>
        <w:t>’</w:t>
      </w:r>
      <w:r w:rsidRPr="000E52FD">
        <w:rPr>
          <w:shd w:val="clear" w:color="auto" w:fill="FFFFFF"/>
          <w:lang w:val="fr-FR"/>
        </w:rPr>
        <w:t>a pas pu se rendre dans le pays pour organiser des réunions en présentiel pour y rencontrer les parties prenantes et vérifier les documents originaux. L</w:t>
      </w:r>
      <w:r w:rsidR="005A0776" w:rsidRPr="000E52FD">
        <w:rPr>
          <w:shd w:val="clear" w:color="auto" w:fill="FFFFFF"/>
          <w:lang w:val="fr-FR"/>
        </w:rPr>
        <w:t>’</w:t>
      </w:r>
      <w:r w:rsidRPr="000E52FD">
        <w:rPr>
          <w:shd w:val="clear" w:color="auto" w:fill="FFFFFF"/>
          <w:lang w:val="fr-FR"/>
        </w:rPr>
        <w:t>UNO a facilité des réunions virtuelles entre l</w:t>
      </w:r>
      <w:r w:rsidR="005A0776" w:rsidRPr="000E52FD">
        <w:rPr>
          <w:shd w:val="clear" w:color="auto" w:fill="FFFFFF"/>
          <w:lang w:val="fr-FR"/>
        </w:rPr>
        <w:t>’</w:t>
      </w:r>
      <w:r w:rsidRPr="000E52FD">
        <w:rPr>
          <w:shd w:val="clear" w:color="auto" w:fill="FFFFFF"/>
          <w:lang w:val="fr-FR"/>
        </w:rPr>
        <w:t>auditeur et les parties prenantes, s</w:t>
      </w:r>
      <w:r w:rsidR="005A0776" w:rsidRPr="000E52FD">
        <w:rPr>
          <w:shd w:val="clear" w:color="auto" w:fill="FFFFFF"/>
          <w:lang w:val="fr-FR"/>
        </w:rPr>
        <w:t>’</w:t>
      </w:r>
      <w:r w:rsidRPr="000E52FD">
        <w:rPr>
          <w:shd w:val="clear" w:color="auto" w:fill="FFFFFF"/>
          <w:lang w:val="fr-FR"/>
        </w:rPr>
        <w:t>est coordonné avec eux et a envoyé par courrier électronique à l</w:t>
      </w:r>
      <w:r w:rsidR="005A0776" w:rsidRPr="000E52FD">
        <w:rPr>
          <w:shd w:val="clear" w:color="auto" w:fill="FFFFFF"/>
          <w:lang w:val="fr-FR"/>
        </w:rPr>
        <w:t>’</w:t>
      </w:r>
      <w:r w:rsidRPr="000E52FD">
        <w:rPr>
          <w:shd w:val="clear" w:color="auto" w:fill="FFFFFF"/>
          <w:lang w:val="fr-FR"/>
        </w:rPr>
        <w:t xml:space="preserve">auditeur toutes les informations et documents requis. </w:t>
      </w:r>
    </w:p>
    <w:p w14:paraId="21FC467D" w14:textId="682C4695" w:rsidR="009249A5" w:rsidRPr="00A44B75" w:rsidRDefault="009249A5" w:rsidP="009249A5">
      <w:pPr>
        <w:pStyle w:val="Heading1"/>
        <w:widowControl w:val="0"/>
        <w:spacing w:before="240"/>
        <w:rPr>
          <w:lang w:val="fr-FR"/>
        </w:rPr>
      </w:pPr>
      <w:r w:rsidRPr="009249A5">
        <w:rPr>
          <w:lang w:val="fr-FR"/>
        </w:rPr>
        <w:t>Un pays a mentionné que le délai imparti entre la réception des informations de 2019 émanant des parties prenantes (par ex., les douanes) et la date de soumission du rapport de vérification en 2020, aux fins d</w:t>
      </w:r>
      <w:r w:rsidR="005A0776">
        <w:rPr>
          <w:lang w:val="fr-FR"/>
        </w:rPr>
        <w:t>’</w:t>
      </w:r>
      <w:r w:rsidRPr="009249A5">
        <w:rPr>
          <w:lang w:val="fr-FR"/>
        </w:rPr>
        <w:t>examen par le Secrétariat pour étudier la demande de tranche suivante, était trop court étant donné la quantité d</w:t>
      </w:r>
      <w:r w:rsidR="005A0776">
        <w:rPr>
          <w:lang w:val="fr-FR"/>
        </w:rPr>
        <w:t>’</w:t>
      </w:r>
      <w:r w:rsidRPr="009249A5">
        <w:rPr>
          <w:lang w:val="fr-FR"/>
        </w:rPr>
        <w:t>informations à examiner. Des retards étaient ainsi inévitables.</w:t>
      </w:r>
      <w:r w:rsidRPr="00A44B75">
        <w:rPr>
          <w:lang w:val="fr-FR"/>
        </w:rPr>
        <w:t xml:space="preserve"> </w:t>
      </w:r>
      <w:r w:rsidRPr="009249A5">
        <w:rPr>
          <w:lang w:val="fr-FR"/>
        </w:rPr>
        <w:t>Le calendrier était un problème pour l</w:t>
      </w:r>
      <w:r w:rsidR="005A0776">
        <w:rPr>
          <w:lang w:val="fr-FR"/>
        </w:rPr>
        <w:t>’</w:t>
      </w:r>
      <w:r w:rsidRPr="009249A5">
        <w:rPr>
          <w:lang w:val="fr-FR"/>
        </w:rPr>
        <w:t>auditeur chargé d</w:t>
      </w:r>
      <w:r w:rsidR="005A0776">
        <w:rPr>
          <w:lang w:val="fr-FR"/>
        </w:rPr>
        <w:t>’</w:t>
      </w:r>
      <w:r w:rsidRPr="009249A5">
        <w:rPr>
          <w:lang w:val="fr-FR"/>
        </w:rPr>
        <w:t>effectuer simultanément quatre vérifications dans les Pays insulaires du Pacifique (PIP) afin de maintenir la cohérence de la validation et de l</w:t>
      </w:r>
      <w:r w:rsidR="005A0776">
        <w:rPr>
          <w:lang w:val="fr-FR"/>
        </w:rPr>
        <w:t>’</w:t>
      </w:r>
      <w:r w:rsidRPr="009249A5">
        <w:rPr>
          <w:lang w:val="fr-FR"/>
        </w:rPr>
        <w:t>analyse des données de consommation.</w:t>
      </w:r>
      <w:r w:rsidRPr="00A44B75">
        <w:rPr>
          <w:lang w:val="fr-FR"/>
        </w:rPr>
        <w:t xml:space="preserve"> </w:t>
      </w:r>
      <w:r w:rsidRPr="009249A5">
        <w:rPr>
          <w:lang w:val="fr-FR"/>
        </w:rPr>
        <w:t>Certaines vérifications avaient lieu dans les PIP pour la première fois, ce qui a entraîné des retards en raison du manque d</w:t>
      </w:r>
      <w:r w:rsidR="005A0776">
        <w:rPr>
          <w:lang w:val="fr-FR"/>
        </w:rPr>
        <w:t>’</w:t>
      </w:r>
      <w:r w:rsidRPr="009249A5">
        <w:rPr>
          <w:lang w:val="fr-FR"/>
        </w:rPr>
        <w:t>expérience des parties prenantes et de la nécessité de bien comprendre la portée et les détails de la coopération requise.</w:t>
      </w:r>
      <w:r w:rsidRPr="00A44B75">
        <w:rPr>
          <w:lang w:val="fr-FR"/>
        </w:rPr>
        <w:t xml:space="preserve"> </w:t>
      </w:r>
      <w:r w:rsidRPr="009249A5">
        <w:rPr>
          <w:lang w:val="fr-FR"/>
        </w:rPr>
        <w:t>Dans certains pays, le Service des douanes et de la protection des frontières n</w:t>
      </w:r>
      <w:r w:rsidR="005A0776">
        <w:rPr>
          <w:lang w:val="fr-FR"/>
        </w:rPr>
        <w:t>’</w:t>
      </w:r>
      <w:r w:rsidRPr="009249A5">
        <w:rPr>
          <w:lang w:val="fr-FR"/>
        </w:rPr>
        <w:t xml:space="preserve">a pas été en mesure de fournir une déclaration en douane en raison des lois sur la confidentialité ; des documents manquants ou bien des informations incomplètes ou insuffisantes ont été présentées dans les rapports initiaux ; </w:t>
      </w:r>
      <w:r w:rsidR="005C2F25">
        <w:rPr>
          <w:lang w:val="fr-FR"/>
        </w:rPr>
        <w:t>d</w:t>
      </w:r>
      <w:r w:rsidRPr="009249A5">
        <w:rPr>
          <w:lang w:val="fr-FR"/>
        </w:rPr>
        <w:t xml:space="preserve">es retards dans la récupération des données du Système automatisé de gestion des douanes (SYDONIA) étaient dus à une mauvaise classification des codes du système harmonisé (SH) ; et </w:t>
      </w:r>
      <w:r w:rsidR="005C2F25">
        <w:rPr>
          <w:lang w:val="fr-FR"/>
        </w:rPr>
        <w:t>d</w:t>
      </w:r>
      <w:r w:rsidRPr="009249A5">
        <w:rPr>
          <w:lang w:val="fr-FR"/>
        </w:rPr>
        <w:t>es déclarations en douane des expéditions n</w:t>
      </w:r>
      <w:r w:rsidR="005A0776">
        <w:rPr>
          <w:lang w:val="fr-FR"/>
        </w:rPr>
        <w:t>’</w:t>
      </w:r>
      <w:r w:rsidRPr="009249A5">
        <w:rPr>
          <w:lang w:val="fr-FR"/>
        </w:rPr>
        <w:t>avaient pas été documentées par l</w:t>
      </w:r>
      <w:r w:rsidR="005A0776">
        <w:rPr>
          <w:lang w:val="fr-FR"/>
        </w:rPr>
        <w:t>’</w:t>
      </w:r>
      <w:r w:rsidRPr="009249A5">
        <w:rPr>
          <w:lang w:val="fr-FR"/>
        </w:rPr>
        <w:t>UNO.</w:t>
      </w:r>
    </w:p>
    <w:p w14:paraId="258AB55F" w14:textId="190512E5" w:rsidR="009249A5" w:rsidRPr="00A44B75" w:rsidRDefault="009249A5" w:rsidP="009249A5">
      <w:pPr>
        <w:pStyle w:val="Heading1"/>
        <w:widowControl w:val="0"/>
        <w:spacing w:before="240"/>
        <w:rPr>
          <w:color w:val="000000"/>
          <w:shd w:val="clear" w:color="auto" w:fill="FFFFFF"/>
          <w:lang w:val="fr-FR"/>
        </w:rPr>
      </w:pPr>
      <w:r w:rsidRPr="009249A5">
        <w:rPr>
          <w:color w:val="000000"/>
          <w:shd w:val="clear" w:color="auto" w:fill="FFFFFF"/>
          <w:lang w:val="fr-FR"/>
        </w:rPr>
        <w:lastRenderedPageBreak/>
        <w:t>Un projet d</w:t>
      </w:r>
      <w:r w:rsidR="005A0776">
        <w:rPr>
          <w:color w:val="000000"/>
          <w:shd w:val="clear" w:color="auto" w:fill="FFFFFF"/>
          <w:lang w:val="fr-FR"/>
        </w:rPr>
        <w:t>’</w:t>
      </w:r>
      <w:r w:rsidRPr="009249A5">
        <w:rPr>
          <w:color w:val="000000"/>
          <w:shd w:val="clear" w:color="auto" w:fill="FFFFFF"/>
          <w:lang w:val="fr-FR"/>
        </w:rPr>
        <w:t>assistance technique visant à créer des centres d</w:t>
      </w:r>
      <w:r w:rsidR="005A0776">
        <w:rPr>
          <w:color w:val="000000"/>
          <w:shd w:val="clear" w:color="auto" w:fill="FFFFFF"/>
          <w:lang w:val="fr-FR"/>
        </w:rPr>
        <w:t>’</w:t>
      </w:r>
      <w:r w:rsidRPr="009249A5">
        <w:rPr>
          <w:color w:val="000000"/>
          <w:shd w:val="clear" w:color="auto" w:fill="FFFFFF"/>
          <w:lang w:val="fr-FR"/>
        </w:rPr>
        <w:t>excellence a connu des retards de mise en œuvre en raison des difficultés d</w:t>
      </w:r>
      <w:r w:rsidR="005A0776">
        <w:rPr>
          <w:color w:val="000000"/>
          <w:shd w:val="clear" w:color="auto" w:fill="FFFFFF"/>
          <w:lang w:val="fr-FR"/>
        </w:rPr>
        <w:t>’</w:t>
      </w:r>
      <w:r w:rsidRPr="009249A5">
        <w:rPr>
          <w:color w:val="000000"/>
          <w:shd w:val="clear" w:color="auto" w:fill="FFFFFF"/>
          <w:lang w:val="fr-FR"/>
        </w:rPr>
        <w:t>identification et de remplacement des bénéficiaires pour le centre d</w:t>
      </w:r>
      <w:r w:rsidR="005A0776">
        <w:rPr>
          <w:color w:val="000000"/>
          <w:shd w:val="clear" w:color="auto" w:fill="FFFFFF"/>
          <w:lang w:val="fr-FR"/>
        </w:rPr>
        <w:t>’</w:t>
      </w:r>
      <w:r w:rsidRPr="009249A5">
        <w:rPr>
          <w:color w:val="000000"/>
          <w:shd w:val="clear" w:color="auto" w:fill="FFFFFF"/>
          <w:lang w:val="fr-FR"/>
        </w:rPr>
        <w:t>excellence régional et des longs processus d</w:t>
      </w:r>
      <w:r w:rsidR="005A0776">
        <w:rPr>
          <w:color w:val="000000"/>
          <w:shd w:val="clear" w:color="auto" w:fill="FFFFFF"/>
          <w:lang w:val="fr-FR"/>
        </w:rPr>
        <w:t>’</w:t>
      </w:r>
      <w:r w:rsidRPr="009249A5">
        <w:rPr>
          <w:color w:val="000000"/>
          <w:shd w:val="clear" w:color="auto" w:fill="FFFFFF"/>
          <w:lang w:val="fr-FR"/>
        </w:rPr>
        <w:t>appel d</w:t>
      </w:r>
      <w:r w:rsidR="005A0776">
        <w:rPr>
          <w:color w:val="000000"/>
          <w:shd w:val="clear" w:color="auto" w:fill="FFFFFF"/>
          <w:lang w:val="fr-FR"/>
        </w:rPr>
        <w:t>’</w:t>
      </w:r>
      <w:r w:rsidRPr="009249A5">
        <w:rPr>
          <w:color w:val="000000"/>
          <w:shd w:val="clear" w:color="auto" w:fill="FFFFFF"/>
          <w:lang w:val="fr-FR"/>
        </w:rPr>
        <w:t xml:space="preserve">offres </w:t>
      </w:r>
      <w:r>
        <w:rPr>
          <w:color w:val="000000"/>
          <w:shd w:val="clear" w:color="auto" w:fill="FFFFFF"/>
          <w:lang w:val="fr-FR"/>
        </w:rPr>
        <w:t>y afférents</w:t>
      </w:r>
      <w:r w:rsidRPr="009249A5">
        <w:rPr>
          <w:color w:val="000000"/>
          <w:shd w:val="clear" w:color="auto" w:fill="FFFFFF"/>
          <w:lang w:val="fr-FR"/>
        </w:rPr>
        <w:t>.</w:t>
      </w:r>
      <w:r w:rsidRPr="00A44B75">
        <w:rPr>
          <w:color w:val="000000"/>
          <w:shd w:val="clear" w:color="auto" w:fill="FFFFFF"/>
          <w:lang w:val="fr-FR"/>
        </w:rPr>
        <w:t xml:space="preserve"> </w:t>
      </w:r>
      <w:r w:rsidRPr="009249A5">
        <w:rPr>
          <w:color w:val="000000"/>
          <w:shd w:val="clear" w:color="auto" w:fill="FFFFFF"/>
          <w:lang w:val="fr-FR"/>
        </w:rPr>
        <w:t>D</w:t>
      </w:r>
      <w:r w:rsidR="005A0776">
        <w:rPr>
          <w:color w:val="000000"/>
          <w:shd w:val="clear" w:color="auto" w:fill="FFFFFF"/>
          <w:lang w:val="fr-FR"/>
        </w:rPr>
        <w:t>’</w:t>
      </w:r>
      <w:r w:rsidRPr="009249A5">
        <w:rPr>
          <w:color w:val="000000"/>
          <w:shd w:val="clear" w:color="auto" w:fill="FFFFFF"/>
          <w:lang w:val="fr-FR"/>
        </w:rPr>
        <w:t>autres retards découlaient des réformes politiques internes qui ont empêché le lancement de certaines activités et le transfert de fonds en temps voulu.</w:t>
      </w:r>
    </w:p>
    <w:p w14:paraId="57B2684E" w14:textId="3702D91E" w:rsidR="00222C40" w:rsidRPr="009249A5" w:rsidRDefault="009249A5" w:rsidP="009249A5">
      <w:pPr>
        <w:pStyle w:val="Heading1"/>
        <w:keepNext/>
        <w:keepLines/>
        <w:widowControl w:val="0"/>
        <w:numPr>
          <w:ilvl w:val="0"/>
          <w:numId w:val="0"/>
        </w:numPr>
        <w:tabs>
          <w:tab w:val="left" w:pos="720"/>
        </w:tabs>
        <w:rPr>
          <w:b/>
        </w:rPr>
      </w:pPr>
      <w:r w:rsidRPr="009249A5">
        <w:rPr>
          <w:b/>
          <w:lang w:val="fr-FR"/>
        </w:rPr>
        <w:t>Enseignements tirés</w:t>
      </w:r>
      <w:r w:rsidRPr="009249A5">
        <w:rPr>
          <w:vertAlign w:val="superscript"/>
          <w:lang w:val="fr-FR"/>
        </w:rPr>
        <w:footnoteReference w:id="7"/>
      </w:r>
    </w:p>
    <w:p w14:paraId="01F788C4" w14:textId="42BF62C0" w:rsidR="009249A5" w:rsidRPr="00A44B75" w:rsidRDefault="009249A5" w:rsidP="009249A5">
      <w:pPr>
        <w:pStyle w:val="Heading1"/>
        <w:widowControl w:val="0"/>
        <w:tabs>
          <w:tab w:val="clear" w:pos="0"/>
          <w:tab w:val="num" w:pos="720"/>
        </w:tabs>
        <w:spacing w:before="240"/>
        <w:rPr>
          <w:lang w:val="fr-FR"/>
        </w:rPr>
      </w:pPr>
      <w:r w:rsidRPr="009249A5">
        <w:rPr>
          <w:lang w:val="fr-FR"/>
        </w:rPr>
        <w:t>Les enseignements récurrents découlaient, entre autres : des besoins de communication, de classification des données et de formation ; des nouveaux projets avec des parties prenantes manquant d</w:t>
      </w:r>
      <w:r w:rsidR="005A0776">
        <w:rPr>
          <w:lang w:val="fr-FR"/>
        </w:rPr>
        <w:t>’</w:t>
      </w:r>
      <w:r w:rsidRPr="009249A5">
        <w:rPr>
          <w:lang w:val="fr-FR"/>
        </w:rPr>
        <w:t>expérience ; des restrictions de voyage ; de l</w:t>
      </w:r>
      <w:r w:rsidR="005A0776">
        <w:rPr>
          <w:lang w:val="fr-FR"/>
        </w:rPr>
        <w:t>’</w:t>
      </w:r>
      <w:r w:rsidRPr="009249A5">
        <w:rPr>
          <w:lang w:val="fr-FR"/>
        </w:rPr>
        <w:t>application des réglementations ; et de la nécessité d</w:t>
      </w:r>
      <w:r w:rsidR="005A0776">
        <w:rPr>
          <w:lang w:val="fr-FR"/>
        </w:rPr>
        <w:t>’</w:t>
      </w:r>
      <w:r w:rsidRPr="009249A5">
        <w:rPr>
          <w:lang w:val="fr-FR"/>
        </w:rPr>
        <w:t>une évaluation approfondie de la situation d</w:t>
      </w:r>
      <w:r w:rsidR="005A0776">
        <w:rPr>
          <w:lang w:val="fr-FR"/>
        </w:rPr>
        <w:t>’</w:t>
      </w:r>
      <w:r w:rsidRPr="009249A5">
        <w:rPr>
          <w:lang w:val="fr-FR"/>
        </w:rPr>
        <w:t>ensemble et des besoins du pays.</w:t>
      </w:r>
      <w:r w:rsidRPr="00A44B75">
        <w:rPr>
          <w:lang w:val="fr-FR"/>
        </w:rPr>
        <w:t xml:space="preserve"> </w:t>
      </w:r>
    </w:p>
    <w:p w14:paraId="45717626" w14:textId="1B3BC6A6" w:rsidR="00222C40" w:rsidRPr="009249A5" w:rsidRDefault="009249A5" w:rsidP="009249A5">
      <w:pPr>
        <w:pStyle w:val="Heading1"/>
        <w:widowControl w:val="0"/>
        <w:numPr>
          <w:ilvl w:val="0"/>
          <w:numId w:val="0"/>
        </w:numPr>
        <w:spacing w:before="240"/>
        <w:rPr>
          <w:u w:val="single"/>
        </w:rPr>
      </w:pPr>
      <w:r w:rsidRPr="009249A5">
        <w:rPr>
          <w:u w:val="single"/>
          <w:lang w:val="fr-FR"/>
        </w:rPr>
        <w:t>Rapport de vérification</w:t>
      </w:r>
    </w:p>
    <w:p w14:paraId="70F6034B" w14:textId="4F35E36D" w:rsidR="009249A5" w:rsidRPr="00A44B75" w:rsidRDefault="009249A5" w:rsidP="005733B5">
      <w:pPr>
        <w:pStyle w:val="Heading1"/>
        <w:widowControl w:val="0"/>
        <w:tabs>
          <w:tab w:val="clear" w:pos="0"/>
          <w:tab w:val="num" w:pos="720"/>
        </w:tabs>
        <w:spacing w:before="240"/>
        <w:rPr>
          <w:lang w:val="fr-FR"/>
        </w:rPr>
      </w:pPr>
      <w:r w:rsidRPr="009249A5">
        <w:rPr>
          <w:lang w:val="fr-FR"/>
        </w:rPr>
        <w:t xml:space="preserve">Les rapports de vérification contenaient une série de recommandations pour les </w:t>
      </w:r>
      <w:r w:rsidRPr="005C2F25">
        <w:rPr>
          <w:lang w:val="fr-FR"/>
        </w:rPr>
        <w:t xml:space="preserve">projets en cours et à venir et de nombreux rapports ont soulevé </w:t>
      </w:r>
      <w:r w:rsidR="005C2F25" w:rsidRPr="005C2F25">
        <w:rPr>
          <w:lang w:val="fr-FR"/>
        </w:rPr>
        <w:t>le problème</w:t>
      </w:r>
      <w:r w:rsidRPr="005C2F25">
        <w:rPr>
          <w:lang w:val="fr-FR"/>
        </w:rPr>
        <w:t xml:space="preserve"> des restrictions de voyage.</w:t>
      </w:r>
      <w:r w:rsidR="005A0776" w:rsidRPr="00A44B75">
        <w:rPr>
          <w:lang w:val="fr-FR"/>
        </w:rPr>
        <w:t> </w:t>
      </w:r>
      <w:r w:rsidRPr="005C2F25">
        <w:rPr>
          <w:lang w:val="fr-FR"/>
        </w:rPr>
        <w:t>Ces restrictions</w:t>
      </w:r>
      <w:r w:rsidR="005C2F25" w:rsidRPr="005C2F25">
        <w:rPr>
          <w:lang w:val="fr-FR"/>
        </w:rPr>
        <w:t xml:space="preserve"> ont</w:t>
      </w:r>
      <w:r w:rsidRPr="005C2F25">
        <w:rPr>
          <w:lang w:val="fr-FR"/>
        </w:rPr>
        <w:t xml:space="preserve"> ralenti le processus et entravé</w:t>
      </w:r>
      <w:r w:rsidRPr="009249A5">
        <w:rPr>
          <w:lang w:val="fr-FR"/>
        </w:rPr>
        <w:t xml:space="preserve"> la collecte de</w:t>
      </w:r>
      <w:r w:rsidR="005C2F25">
        <w:rPr>
          <w:lang w:val="fr-FR"/>
        </w:rPr>
        <w:t>s</w:t>
      </w:r>
      <w:r w:rsidRPr="009249A5">
        <w:rPr>
          <w:lang w:val="fr-FR"/>
        </w:rPr>
        <w:t xml:space="preserve"> données.</w:t>
      </w:r>
      <w:r w:rsidRPr="00A44B75">
        <w:rPr>
          <w:lang w:val="fr-FR"/>
        </w:rPr>
        <w:t xml:space="preserve"> </w:t>
      </w:r>
      <w:r w:rsidR="005733B5" w:rsidRPr="005733B5">
        <w:rPr>
          <w:lang w:val="fr-FR"/>
        </w:rPr>
        <w:t xml:space="preserve">Les divergences dans la communication des données ont été résolues grâce à une coopération et </w:t>
      </w:r>
      <w:r w:rsidR="000E52FD" w:rsidRPr="005733B5">
        <w:rPr>
          <w:lang w:val="fr-FR"/>
        </w:rPr>
        <w:t>une communication renforcée</w:t>
      </w:r>
      <w:r w:rsidR="000E52FD">
        <w:rPr>
          <w:lang w:val="fr-FR"/>
        </w:rPr>
        <w:t>s</w:t>
      </w:r>
      <w:r w:rsidR="005733B5" w:rsidRPr="005733B5">
        <w:rPr>
          <w:lang w:val="fr-FR"/>
        </w:rPr>
        <w:t xml:space="preserve"> avec les parties prenantes concernées et une coordination prise en main par l</w:t>
      </w:r>
      <w:r w:rsidR="005A0776">
        <w:rPr>
          <w:lang w:val="fr-FR"/>
        </w:rPr>
        <w:t>’</w:t>
      </w:r>
      <w:r w:rsidR="005733B5" w:rsidRPr="005733B5">
        <w:rPr>
          <w:lang w:val="fr-FR"/>
        </w:rPr>
        <w:t>UNO, ce qui a permis au vérificateur de mener à bien sa mission.</w:t>
      </w:r>
      <w:r w:rsidR="005733B5" w:rsidRPr="00A44B75">
        <w:rPr>
          <w:lang w:val="fr-FR"/>
        </w:rPr>
        <w:t xml:space="preserve"> </w:t>
      </w:r>
    </w:p>
    <w:p w14:paraId="41DC7976" w14:textId="0159E866" w:rsidR="005733B5" w:rsidRPr="00A44B75" w:rsidRDefault="005733B5" w:rsidP="005733B5">
      <w:pPr>
        <w:pStyle w:val="Heading1"/>
        <w:rPr>
          <w:vanish/>
          <w:lang w:val="fr-FR"/>
        </w:rPr>
      </w:pPr>
      <w:r w:rsidRPr="005733B5">
        <w:rPr>
          <w:lang w:val="fr-FR"/>
        </w:rPr>
        <w:t xml:space="preserve">Un rapport mentionne les changements fréquents de personnel, notamment au service des douanes, </w:t>
      </w:r>
      <w:r w:rsidR="005C2F25">
        <w:rPr>
          <w:lang w:val="fr-FR"/>
        </w:rPr>
        <w:t xml:space="preserve">entraînant </w:t>
      </w:r>
      <w:r w:rsidRPr="005733B5">
        <w:rPr>
          <w:lang w:val="fr-FR"/>
        </w:rPr>
        <w:t xml:space="preserve">au sein </w:t>
      </w:r>
      <w:r w:rsidR="005C2F25">
        <w:rPr>
          <w:lang w:val="fr-FR"/>
        </w:rPr>
        <w:t xml:space="preserve">de ce dernier </w:t>
      </w:r>
      <w:r w:rsidRPr="005733B5">
        <w:rPr>
          <w:lang w:val="fr-FR"/>
        </w:rPr>
        <w:t>un manque d</w:t>
      </w:r>
      <w:r w:rsidR="005A0776">
        <w:rPr>
          <w:lang w:val="fr-FR"/>
        </w:rPr>
        <w:t>’</w:t>
      </w:r>
      <w:r w:rsidRPr="005733B5">
        <w:rPr>
          <w:lang w:val="fr-FR"/>
        </w:rPr>
        <w:t>homologue de l</w:t>
      </w:r>
      <w:r w:rsidR="005A0776">
        <w:rPr>
          <w:lang w:val="fr-FR"/>
        </w:rPr>
        <w:t>’</w:t>
      </w:r>
      <w:r w:rsidRPr="005733B5">
        <w:rPr>
          <w:lang w:val="fr-FR"/>
        </w:rPr>
        <w:t>UNO en mesure d</w:t>
      </w:r>
      <w:r w:rsidR="005A0776">
        <w:rPr>
          <w:lang w:val="fr-FR"/>
        </w:rPr>
        <w:t>’</w:t>
      </w:r>
      <w:r w:rsidRPr="005733B5">
        <w:rPr>
          <w:lang w:val="fr-FR"/>
        </w:rPr>
        <w:t>assurer le suivi nécessaire dans le temps.</w:t>
      </w:r>
      <w:r w:rsidRPr="00A44B75">
        <w:rPr>
          <w:lang w:val="fr-FR"/>
        </w:rPr>
        <w:t xml:space="preserve"> </w:t>
      </w:r>
      <w:r w:rsidRPr="005733B5">
        <w:rPr>
          <w:lang w:val="fr-FR"/>
        </w:rPr>
        <w:t>Ce rapport recommandait que les institutions gouvernementales responsables établissent des mécanismes permettant de maintenir des filières de communication permanentes indépendamment de la rotation du personnel.</w:t>
      </w:r>
      <w:r w:rsidRPr="00A44B75">
        <w:rPr>
          <w:lang w:val="fr-FR"/>
        </w:rPr>
        <w:t xml:space="preserve"> </w:t>
      </w:r>
    </w:p>
    <w:p w14:paraId="1EEB9BA2" w14:textId="77777777" w:rsidR="000E52FD" w:rsidRDefault="000E52FD" w:rsidP="005733B5">
      <w:pPr>
        <w:pStyle w:val="Heading1"/>
        <w:rPr>
          <w:lang w:val="fr-FR"/>
        </w:rPr>
      </w:pPr>
    </w:p>
    <w:p w14:paraId="5DB23D31" w14:textId="474BEB61" w:rsidR="005733B5" w:rsidRPr="000E52FD" w:rsidRDefault="005733B5" w:rsidP="000E52FD">
      <w:pPr>
        <w:pStyle w:val="Heading1"/>
        <w:numPr>
          <w:ilvl w:val="0"/>
          <w:numId w:val="16"/>
        </w:numPr>
        <w:rPr>
          <w:lang w:val="fr-FR"/>
        </w:rPr>
      </w:pPr>
      <w:r w:rsidRPr="000E52FD">
        <w:rPr>
          <w:lang w:val="fr-FR"/>
        </w:rPr>
        <w:t>Le rapprochement périodique des données issues de différentes sources est important pour communiquer avec précision les données de consommation du pays. Trois pays ont mentionné que bien qu</w:t>
      </w:r>
      <w:r w:rsidR="005A0776" w:rsidRPr="000E52FD">
        <w:rPr>
          <w:lang w:val="fr-FR"/>
        </w:rPr>
        <w:t>’</w:t>
      </w:r>
      <w:r w:rsidRPr="000E52FD">
        <w:rPr>
          <w:lang w:val="fr-FR"/>
        </w:rPr>
        <w:t>ils aient mis en œuvre l</w:t>
      </w:r>
      <w:r w:rsidR="005A0776" w:rsidRPr="000E52FD">
        <w:rPr>
          <w:lang w:val="fr-FR"/>
        </w:rPr>
        <w:t>’</w:t>
      </w:r>
      <w:r w:rsidRPr="000E52FD">
        <w:rPr>
          <w:lang w:val="fr-FR"/>
        </w:rPr>
        <w:t>exigence de déclaration après dédouanement conformément à la recommandation de la vérification précédente, ceci</w:t>
      </w:r>
      <w:r w:rsidR="005C2F25" w:rsidRPr="000E52FD">
        <w:rPr>
          <w:lang w:val="fr-FR"/>
        </w:rPr>
        <w:t xml:space="preserve"> </w:t>
      </w:r>
      <w:r w:rsidRPr="000E52FD">
        <w:rPr>
          <w:lang w:val="fr-FR"/>
        </w:rPr>
        <w:t>ne s</w:t>
      </w:r>
      <w:r w:rsidR="005A0776" w:rsidRPr="000E52FD">
        <w:rPr>
          <w:lang w:val="fr-FR"/>
        </w:rPr>
        <w:t>’</w:t>
      </w:r>
      <w:r w:rsidRPr="000E52FD">
        <w:rPr>
          <w:lang w:val="fr-FR"/>
        </w:rPr>
        <w:t>appliquait</w:t>
      </w:r>
      <w:r w:rsidR="005A0776" w:rsidRPr="000E52FD">
        <w:rPr>
          <w:lang w:val="fr-FR"/>
        </w:rPr>
        <w:t xml:space="preserve"> </w:t>
      </w:r>
      <w:r w:rsidRPr="000E52FD">
        <w:rPr>
          <w:lang w:val="fr-FR"/>
        </w:rPr>
        <w:t>qu</w:t>
      </w:r>
      <w:r w:rsidR="005A0776" w:rsidRPr="000E52FD">
        <w:rPr>
          <w:lang w:val="fr-FR"/>
        </w:rPr>
        <w:t>’</w:t>
      </w:r>
      <w:r w:rsidRPr="000E52FD">
        <w:rPr>
          <w:lang w:val="fr-FR"/>
        </w:rPr>
        <w:t>aux expéditions documentées par l</w:t>
      </w:r>
      <w:r w:rsidR="005A0776" w:rsidRPr="000E52FD">
        <w:rPr>
          <w:lang w:val="fr-FR"/>
        </w:rPr>
        <w:t>’</w:t>
      </w:r>
      <w:r w:rsidRPr="000E52FD">
        <w:rPr>
          <w:lang w:val="fr-FR"/>
        </w:rPr>
        <w:t>UNO. Le processus de vérification a identifié des déclarations d</w:t>
      </w:r>
      <w:r w:rsidR="005A0776" w:rsidRPr="000E52FD">
        <w:rPr>
          <w:lang w:val="fr-FR"/>
        </w:rPr>
        <w:t>’</w:t>
      </w:r>
      <w:r w:rsidRPr="000E52FD">
        <w:rPr>
          <w:lang w:val="fr-FR"/>
        </w:rPr>
        <w:t>expédition manquantes du service des douanes, qui n</w:t>
      </w:r>
      <w:r w:rsidR="005A0776" w:rsidRPr="000E52FD">
        <w:rPr>
          <w:lang w:val="fr-FR"/>
        </w:rPr>
        <w:t>’</w:t>
      </w:r>
      <w:r w:rsidRPr="000E52FD">
        <w:rPr>
          <w:lang w:val="fr-FR"/>
        </w:rPr>
        <w:t>ont pas été prises en compte par l</w:t>
      </w:r>
      <w:r w:rsidR="005A0776" w:rsidRPr="000E52FD">
        <w:rPr>
          <w:lang w:val="fr-FR"/>
        </w:rPr>
        <w:t>’</w:t>
      </w:r>
      <w:r w:rsidRPr="000E52FD">
        <w:rPr>
          <w:lang w:val="fr-FR"/>
        </w:rPr>
        <w:t xml:space="preserve">UNO. </w:t>
      </w:r>
      <w:r w:rsidR="009A564E" w:rsidRPr="000E52FD">
        <w:rPr>
          <w:lang w:val="fr-FR"/>
        </w:rPr>
        <w:t>L</w:t>
      </w:r>
      <w:r w:rsidR="005A0776" w:rsidRPr="000E52FD">
        <w:rPr>
          <w:lang w:val="fr-FR"/>
        </w:rPr>
        <w:t>’</w:t>
      </w:r>
      <w:r w:rsidR="009A564E" w:rsidRPr="000E52FD">
        <w:rPr>
          <w:lang w:val="fr-FR"/>
        </w:rPr>
        <w:t>un des pays a indiqué que l</w:t>
      </w:r>
      <w:r w:rsidR="005A0776" w:rsidRPr="000E52FD">
        <w:rPr>
          <w:lang w:val="fr-FR"/>
        </w:rPr>
        <w:t>’</w:t>
      </w:r>
      <w:r w:rsidR="009A564E" w:rsidRPr="000E52FD">
        <w:rPr>
          <w:lang w:val="fr-FR"/>
        </w:rPr>
        <w:t>enregistrement des données douanières était en train de passer à un système en ligne, ce qui faciliterait à l</w:t>
      </w:r>
      <w:r w:rsidR="005A0776" w:rsidRPr="000E52FD">
        <w:rPr>
          <w:lang w:val="fr-FR"/>
        </w:rPr>
        <w:t>’</w:t>
      </w:r>
      <w:r w:rsidR="009A564E" w:rsidRPr="000E52FD">
        <w:rPr>
          <w:lang w:val="fr-FR"/>
        </w:rPr>
        <w:t>avenir le rapprochement des données.</w:t>
      </w:r>
    </w:p>
    <w:p w14:paraId="12FAF98B" w14:textId="7E19D114" w:rsidR="005733B5" w:rsidRPr="00A44B75" w:rsidRDefault="005733B5" w:rsidP="005733B5">
      <w:pPr>
        <w:pStyle w:val="Heading1"/>
        <w:rPr>
          <w:lang w:val="fr-FR"/>
        </w:rPr>
      </w:pPr>
      <w:r w:rsidRPr="005733B5">
        <w:rPr>
          <w:lang w:val="fr-FR"/>
        </w:rPr>
        <w:t>Le rapport de vérification a recommandé à un gouvernement d</w:t>
      </w:r>
      <w:r w:rsidR="005A0776">
        <w:rPr>
          <w:lang w:val="fr-FR"/>
        </w:rPr>
        <w:t>’</w:t>
      </w:r>
      <w:r w:rsidRPr="005733B5">
        <w:rPr>
          <w:lang w:val="fr-FR"/>
        </w:rPr>
        <w:t>appliquer le système de quotas et d</w:t>
      </w:r>
      <w:r w:rsidR="005A0776">
        <w:rPr>
          <w:lang w:val="fr-FR"/>
        </w:rPr>
        <w:t>’</w:t>
      </w:r>
      <w:r w:rsidRPr="005733B5">
        <w:rPr>
          <w:lang w:val="fr-FR"/>
        </w:rPr>
        <w:t>autorisations d</w:t>
      </w:r>
      <w:r w:rsidR="005A0776">
        <w:rPr>
          <w:lang w:val="fr-FR"/>
        </w:rPr>
        <w:t>’</w:t>
      </w:r>
      <w:r w:rsidRPr="005733B5">
        <w:rPr>
          <w:lang w:val="fr-FR"/>
        </w:rPr>
        <w:t>importation, et de sanctionner les importateurs qui ne respectent pas la réglementation.</w:t>
      </w:r>
    </w:p>
    <w:p w14:paraId="6A022B60" w14:textId="4CD3F1F3" w:rsidR="007C5160" w:rsidRPr="006524DF" w:rsidRDefault="005733B5" w:rsidP="005733B5">
      <w:pPr>
        <w:pStyle w:val="Heading1"/>
        <w:numPr>
          <w:ilvl w:val="0"/>
          <w:numId w:val="0"/>
        </w:numPr>
        <w:rPr>
          <w:u w:val="single"/>
          <w:lang w:val="en-US"/>
        </w:rPr>
      </w:pPr>
      <w:r w:rsidRPr="005733B5">
        <w:rPr>
          <w:u w:val="single"/>
          <w:lang w:val="fr-FR"/>
        </w:rPr>
        <w:t>Centre d</w:t>
      </w:r>
      <w:r w:rsidR="005A0776">
        <w:rPr>
          <w:u w:val="single"/>
          <w:lang w:val="fr-FR"/>
        </w:rPr>
        <w:t>’</w:t>
      </w:r>
      <w:r w:rsidRPr="005733B5">
        <w:rPr>
          <w:u w:val="single"/>
          <w:lang w:val="fr-FR"/>
        </w:rPr>
        <w:t>excellence</w:t>
      </w:r>
      <w:r w:rsidR="00D1509A" w:rsidRPr="005733B5">
        <w:rPr>
          <w:u w:val="single"/>
          <w:lang w:val="en-US"/>
        </w:rPr>
        <w:t xml:space="preserve"> </w:t>
      </w:r>
    </w:p>
    <w:p w14:paraId="5FC574EF" w14:textId="77777777" w:rsidR="00F44AD7" w:rsidRDefault="005733B5" w:rsidP="005733B5">
      <w:pPr>
        <w:pStyle w:val="Heading1"/>
        <w:rPr>
          <w:lang w:val="fr-FR"/>
        </w:rPr>
      </w:pPr>
      <w:r w:rsidRPr="00F44AD7">
        <w:rPr>
          <w:lang w:val="fr-FR"/>
        </w:rPr>
        <w:t>Il est nécessaire d</w:t>
      </w:r>
      <w:r w:rsidR="005A0776" w:rsidRPr="00F44AD7">
        <w:rPr>
          <w:lang w:val="fr-FR"/>
        </w:rPr>
        <w:t>’</w:t>
      </w:r>
      <w:r w:rsidRPr="00F44AD7">
        <w:rPr>
          <w:lang w:val="fr-FR"/>
        </w:rPr>
        <w:t>évaluer en profondeur la situation du pays dans la conception du projet lors des phases de démarrage.</w:t>
      </w:r>
      <w:r w:rsidRPr="00A44B75">
        <w:rPr>
          <w:lang w:val="fr-FR"/>
        </w:rPr>
        <w:t xml:space="preserve"> </w:t>
      </w:r>
      <w:r w:rsidRPr="00F44AD7">
        <w:rPr>
          <w:lang w:val="fr-FR"/>
        </w:rPr>
        <w:t>Par exemple, le manque d</w:t>
      </w:r>
      <w:r w:rsidR="005A0776" w:rsidRPr="00F44AD7">
        <w:rPr>
          <w:lang w:val="fr-FR"/>
        </w:rPr>
        <w:t>’</w:t>
      </w:r>
      <w:r w:rsidRPr="00F44AD7">
        <w:rPr>
          <w:lang w:val="fr-FR"/>
        </w:rPr>
        <w:t>écoles de formation professionnelle et d</w:t>
      </w:r>
      <w:r w:rsidR="005A0776" w:rsidRPr="00F44AD7">
        <w:rPr>
          <w:lang w:val="fr-FR"/>
        </w:rPr>
        <w:t>’</w:t>
      </w:r>
      <w:r w:rsidRPr="00F44AD7">
        <w:rPr>
          <w:lang w:val="fr-FR"/>
        </w:rPr>
        <w:t>universités, de spécialistes qualifiés, de sources de cofinancement ainsi que l</w:t>
      </w:r>
      <w:r w:rsidR="005A0776" w:rsidRPr="00F44AD7">
        <w:rPr>
          <w:lang w:val="fr-FR"/>
        </w:rPr>
        <w:t>’</w:t>
      </w:r>
      <w:r w:rsidRPr="00F44AD7">
        <w:rPr>
          <w:lang w:val="fr-FR"/>
        </w:rPr>
        <w:t>instabilité politique temporaire dans un pays donné au moment de la mise en œuvre du projet peuvent entraîner des retards de mise en œuvre importants.</w:t>
      </w:r>
      <w:r w:rsidRPr="00A44B75">
        <w:rPr>
          <w:lang w:val="fr-FR"/>
        </w:rPr>
        <w:t xml:space="preserve"> </w:t>
      </w:r>
      <w:r w:rsidRPr="00F44AD7">
        <w:rPr>
          <w:lang w:val="fr-FR"/>
        </w:rPr>
        <w:t>Il est nécessaire d</w:t>
      </w:r>
      <w:r w:rsidR="005A0776" w:rsidRPr="00F44AD7">
        <w:rPr>
          <w:lang w:val="fr-FR"/>
        </w:rPr>
        <w:t>’</w:t>
      </w:r>
      <w:r w:rsidRPr="00F44AD7">
        <w:rPr>
          <w:lang w:val="fr-FR"/>
        </w:rPr>
        <w:t xml:space="preserve">inclure ces facteurs dans le cadre de </w:t>
      </w:r>
      <w:r w:rsidR="00635279" w:rsidRPr="00F44AD7">
        <w:rPr>
          <w:lang w:val="fr-FR"/>
        </w:rPr>
        <w:t xml:space="preserve">la </w:t>
      </w:r>
      <w:r w:rsidRPr="00F44AD7">
        <w:rPr>
          <w:lang w:val="fr-FR"/>
        </w:rPr>
        <w:t>gestion des risques lors de la phase de conception de la proposition de projet.</w:t>
      </w:r>
    </w:p>
    <w:p w14:paraId="72E4DD04" w14:textId="47C9C6D6" w:rsidR="005733B5" w:rsidRPr="00A44B75" w:rsidRDefault="005733B5" w:rsidP="005733B5">
      <w:pPr>
        <w:pStyle w:val="Heading1"/>
        <w:rPr>
          <w:lang w:val="fr-FR"/>
        </w:rPr>
      </w:pPr>
      <w:r w:rsidRPr="00F44AD7">
        <w:rPr>
          <w:lang w:val="fr-FR"/>
        </w:rPr>
        <w:lastRenderedPageBreak/>
        <w:t>Un autre enseignement soulignait l</w:t>
      </w:r>
      <w:r w:rsidR="005A0776" w:rsidRPr="00F44AD7">
        <w:rPr>
          <w:lang w:val="fr-FR"/>
        </w:rPr>
        <w:t>’</w:t>
      </w:r>
      <w:r w:rsidRPr="00F44AD7">
        <w:rPr>
          <w:lang w:val="fr-FR"/>
        </w:rPr>
        <w:t>importance de la formation des utilisateurs finaux (c</w:t>
      </w:r>
      <w:r w:rsidR="005A0776" w:rsidRPr="00F44AD7">
        <w:rPr>
          <w:lang w:val="fr-FR"/>
        </w:rPr>
        <w:t>’</w:t>
      </w:r>
      <w:r w:rsidRPr="00F44AD7">
        <w:rPr>
          <w:lang w:val="fr-FR"/>
        </w:rPr>
        <w:t>est</w:t>
      </w:r>
      <w:r w:rsidR="0021415D">
        <w:rPr>
          <w:lang w:val="fr-FR"/>
        </w:rPr>
        <w:noBreakHyphen/>
      </w:r>
      <w:r w:rsidRPr="00F44AD7">
        <w:rPr>
          <w:lang w:val="fr-FR"/>
        </w:rPr>
        <w:t>à</w:t>
      </w:r>
      <w:r w:rsidR="0021415D">
        <w:rPr>
          <w:lang w:val="fr-FR"/>
        </w:rPr>
        <w:noBreakHyphen/>
      </w:r>
      <w:r w:rsidRPr="00F44AD7">
        <w:rPr>
          <w:lang w:val="fr-FR"/>
        </w:rPr>
        <w:t>dire</w:t>
      </w:r>
      <w:r w:rsidR="0021415D">
        <w:rPr>
          <w:lang w:val="fr-FR"/>
        </w:rPr>
        <w:t> </w:t>
      </w:r>
      <w:r w:rsidRPr="00F44AD7">
        <w:rPr>
          <w:lang w:val="fr-FR"/>
        </w:rPr>
        <w:t xml:space="preserve">les propriétaires de systèmes de réfrigération et les clients potentiels) à la mise en œuvre de projets futurs similaires, car ils </w:t>
      </w:r>
      <w:r w:rsidR="00A13E55" w:rsidRPr="00F44AD7">
        <w:rPr>
          <w:lang w:val="fr-FR"/>
        </w:rPr>
        <w:t xml:space="preserve">représentent </w:t>
      </w:r>
      <w:r w:rsidRPr="00F44AD7">
        <w:rPr>
          <w:lang w:val="fr-FR"/>
        </w:rPr>
        <w:t>les véritables décideurs sur les marchés locaux.</w:t>
      </w:r>
    </w:p>
    <w:p w14:paraId="4EE27316" w14:textId="1E2E0E16" w:rsidR="005733B5" w:rsidRPr="00A44B75" w:rsidRDefault="005733B5" w:rsidP="00A13E55">
      <w:pPr>
        <w:pStyle w:val="Heading1"/>
        <w:rPr>
          <w:lang w:val="fr-FR"/>
        </w:rPr>
      </w:pPr>
      <w:r w:rsidRPr="005733B5">
        <w:rPr>
          <w:lang w:val="fr-FR"/>
        </w:rPr>
        <w:t>Dans un cas, le projet de centre d</w:t>
      </w:r>
      <w:r w:rsidR="005A0776">
        <w:rPr>
          <w:lang w:val="fr-FR"/>
        </w:rPr>
        <w:t>’</w:t>
      </w:r>
      <w:r w:rsidRPr="005733B5">
        <w:rPr>
          <w:lang w:val="fr-FR"/>
        </w:rPr>
        <w:t>excellence a été approuvé avec un budget réduit de plus de</w:t>
      </w:r>
      <w:r w:rsidR="0021415D">
        <w:rPr>
          <w:lang w:val="fr-FR"/>
        </w:rPr>
        <w:t> </w:t>
      </w:r>
      <w:r w:rsidRPr="005733B5">
        <w:rPr>
          <w:lang w:val="fr-FR"/>
        </w:rPr>
        <w:t>30</w:t>
      </w:r>
      <w:r w:rsidR="0021415D">
        <w:rPr>
          <w:lang w:val="fr-FR"/>
        </w:rPr>
        <w:t> </w:t>
      </w:r>
      <w:r w:rsidRPr="005733B5">
        <w:rPr>
          <w:lang w:val="fr-FR"/>
        </w:rPr>
        <w:t>pour cent par rapport au budget initial proposé.</w:t>
      </w:r>
      <w:r w:rsidRPr="00A44B75">
        <w:rPr>
          <w:lang w:val="fr-FR"/>
        </w:rPr>
        <w:t xml:space="preserve"> </w:t>
      </w:r>
      <w:r w:rsidR="00A13E55" w:rsidRPr="00A13E55">
        <w:rPr>
          <w:lang w:val="fr-FR"/>
        </w:rPr>
        <w:t>Selon l</w:t>
      </w:r>
      <w:r w:rsidR="005A0776">
        <w:rPr>
          <w:lang w:val="fr-FR"/>
        </w:rPr>
        <w:t>’</w:t>
      </w:r>
      <w:r w:rsidR="00A13E55" w:rsidRPr="00A13E55">
        <w:rPr>
          <w:lang w:val="fr-FR"/>
        </w:rPr>
        <w:t>agence bilatérale, cette réduction a entraîné une diminution du nombre de techniciens formés ; l</w:t>
      </w:r>
      <w:r w:rsidR="005A0776">
        <w:rPr>
          <w:lang w:val="fr-FR"/>
        </w:rPr>
        <w:t>’</w:t>
      </w:r>
      <w:r w:rsidR="00A13E55" w:rsidRPr="00A13E55">
        <w:rPr>
          <w:lang w:val="fr-FR"/>
        </w:rPr>
        <w:t>agence bilatérale a suggéré que ces fonds soient alloués dans la phase II du projet et qu</w:t>
      </w:r>
      <w:r w:rsidR="005A0776">
        <w:rPr>
          <w:lang w:val="fr-FR"/>
        </w:rPr>
        <w:t>’</w:t>
      </w:r>
      <w:r w:rsidR="00A13E55" w:rsidRPr="00A13E55">
        <w:rPr>
          <w:lang w:val="fr-FR"/>
        </w:rPr>
        <w:t>ils puissent être directement prélevés sur la contribution du pays au Fonds multilatéral.</w:t>
      </w:r>
      <w:r w:rsidR="00A13E55" w:rsidRPr="00A44B75">
        <w:rPr>
          <w:lang w:val="fr-FR"/>
        </w:rPr>
        <w:t xml:space="preserve"> </w:t>
      </w:r>
    </w:p>
    <w:p w14:paraId="2DFD9FB0" w14:textId="4A75F4C3" w:rsidR="00222C40" w:rsidRPr="00A44B75" w:rsidRDefault="00A13E55" w:rsidP="00A13E55">
      <w:pPr>
        <w:pStyle w:val="Heading1"/>
        <w:keepNext/>
        <w:keepLines/>
        <w:widowControl w:val="0"/>
        <w:numPr>
          <w:ilvl w:val="0"/>
          <w:numId w:val="0"/>
        </w:numPr>
        <w:spacing w:before="240"/>
        <w:rPr>
          <w:b/>
          <w:lang w:val="fr-FR" w:eastAsia="ja-JP"/>
        </w:rPr>
      </w:pPr>
      <w:r w:rsidRPr="00A13E55">
        <w:rPr>
          <w:b/>
          <w:lang w:val="fr-FR" w:eastAsia="ja-JP"/>
        </w:rPr>
        <w:t>RAP pour des accords pluriannuels et autres RAP en suspens</w:t>
      </w:r>
    </w:p>
    <w:p w14:paraId="551B8BDE" w14:textId="70068113" w:rsidR="00A13E55" w:rsidRPr="00A44B75" w:rsidRDefault="00A13E55" w:rsidP="00A13E55">
      <w:pPr>
        <w:pStyle w:val="Heading1"/>
        <w:widowControl w:val="0"/>
        <w:tabs>
          <w:tab w:val="clear" w:pos="0"/>
          <w:tab w:val="num" w:pos="720"/>
        </w:tabs>
        <w:rPr>
          <w:lang w:val="fr-FR"/>
        </w:rPr>
      </w:pPr>
      <w:r w:rsidRPr="00A13E55">
        <w:rPr>
          <w:lang w:val="fr-FR"/>
        </w:rPr>
        <w:t>Le Secrétariat prend note avec satisfaction des efforts déployés par certaines agences bilatérales et d</w:t>
      </w:r>
      <w:r w:rsidR="005A0776">
        <w:rPr>
          <w:lang w:val="fr-FR"/>
        </w:rPr>
        <w:t>’</w:t>
      </w:r>
      <w:r w:rsidRPr="00A13E55">
        <w:rPr>
          <w:lang w:val="fr-FR"/>
        </w:rPr>
        <w:t>exécution pour résorber le retard pris</w:t>
      </w:r>
      <w:r w:rsidR="005A0776">
        <w:rPr>
          <w:lang w:val="fr-FR"/>
        </w:rPr>
        <w:t> </w:t>
      </w:r>
      <w:r w:rsidRPr="00A13E55">
        <w:rPr>
          <w:lang w:val="fr-FR"/>
        </w:rPr>
        <w:t>par les RAP en souffrance.</w:t>
      </w:r>
      <w:r w:rsidRPr="00A44B75">
        <w:rPr>
          <w:lang w:val="fr-FR"/>
        </w:rPr>
        <w:t xml:space="preserve"> </w:t>
      </w:r>
      <w:r w:rsidRPr="00A13E55">
        <w:rPr>
          <w:lang w:val="fr-FR"/>
        </w:rPr>
        <w:t>Les listes de rapports d</w:t>
      </w:r>
      <w:r w:rsidR="005A0776">
        <w:rPr>
          <w:lang w:val="fr-FR"/>
        </w:rPr>
        <w:t>’</w:t>
      </w:r>
      <w:r w:rsidRPr="00A13E55">
        <w:rPr>
          <w:lang w:val="fr-FR"/>
        </w:rPr>
        <w:t>achèvement de projet</w:t>
      </w:r>
      <w:r w:rsidR="002C62C8">
        <w:rPr>
          <w:lang w:val="fr-FR"/>
        </w:rPr>
        <w:t>s</w:t>
      </w:r>
      <w:r w:rsidRPr="00A13E55">
        <w:rPr>
          <w:lang w:val="fr-FR"/>
        </w:rPr>
        <w:t xml:space="preserve"> en souffrance figurent aux Annexes III à V.</w:t>
      </w:r>
      <w:r w:rsidRPr="00A44B75">
        <w:rPr>
          <w:lang w:val="fr-FR"/>
        </w:rPr>
        <w:t xml:space="preserve"> </w:t>
      </w:r>
      <w:r w:rsidRPr="00A13E55">
        <w:rPr>
          <w:lang w:val="fr-FR"/>
        </w:rPr>
        <w:t>Le Secrétariat souligne à nouveau l</w:t>
      </w:r>
      <w:r w:rsidR="005A0776">
        <w:rPr>
          <w:lang w:val="fr-FR"/>
        </w:rPr>
        <w:t>’</w:t>
      </w:r>
      <w:r w:rsidRPr="00A13E55">
        <w:rPr>
          <w:lang w:val="fr-FR"/>
        </w:rPr>
        <w:t>importance de remettre tous les RAP en souffrance, en particulier ceux correspondant à la phase I du PGEH,</w:t>
      </w:r>
      <w:r w:rsidR="005A0776">
        <w:rPr>
          <w:lang w:val="fr-FR"/>
        </w:rPr>
        <w:t> </w:t>
      </w:r>
      <w:r w:rsidRPr="00A13E55">
        <w:rPr>
          <w:lang w:val="fr-FR"/>
        </w:rPr>
        <w:t>ces rapports étant obligatoires pour l</w:t>
      </w:r>
      <w:r w:rsidR="005A0776">
        <w:rPr>
          <w:lang w:val="fr-FR"/>
        </w:rPr>
        <w:t>’</w:t>
      </w:r>
      <w:r w:rsidRPr="00A13E55">
        <w:rPr>
          <w:lang w:val="fr-FR"/>
        </w:rPr>
        <w:t>approbation de la phase II</w:t>
      </w:r>
      <w:r w:rsidRPr="00A13E55">
        <w:rPr>
          <w:rStyle w:val="FootnoteReference"/>
        </w:rPr>
        <w:footnoteReference w:id="8"/>
      </w:r>
      <w:r w:rsidR="005A0776">
        <w:rPr>
          <w:lang w:val="fr-FR"/>
        </w:rPr>
        <w:t>.</w:t>
      </w:r>
    </w:p>
    <w:p w14:paraId="43BECE7C" w14:textId="473DCB67" w:rsidR="00222C40" w:rsidRPr="00A13E55" w:rsidRDefault="00A13E55" w:rsidP="00A13E55">
      <w:pPr>
        <w:pStyle w:val="Heading1"/>
        <w:keepNext/>
        <w:keepLines/>
        <w:numPr>
          <w:ilvl w:val="0"/>
          <w:numId w:val="0"/>
        </w:numPr>
        <w:tabs>
          <w:tab w:val="num" w:pos="720"/>
        </w:tabs>
        <w:rPr>
          <w:b/>
          <w:lang w:val="en-US"/>
        </w:rPr>
      </w:pPr>
      <w:r w:rsidRPr="00A13E55">
        <w:rPr>
          <w:b/>
          <w:lang w:val="fr-FR"/>
        </w:rPr>
        <w:t>RECOMMANDATION</w:t>
      </w:r>
    </w:p>
    <w:p w14:paraId="17393231" w14:textId="4B98795E" w:rsidR="00A13E55" w:rsidRPr="00A44B75" w:rsidRDefault="00A13E55" w:rsidP="00A13E55">
      <w:pPr>
        <w:pStyle w:val="Heading1"/>
        <w:widowControl w:val="0"/>
        <w:tabs>
          <w:tab w:val="clear" w:pos="0"/>
          <w:tab w:val="num" w:pos="720"/>
        </w:tabs>
        <w:rPr>
          <w:lang w:val="fr-FR"/>
        </w:rPr>
      </w:pPr>
      <w:r w:rsidRPr="00A13E55">
        <w:rPr>
          <w:lang w:val="fr-FR"/>
        </w:rPr>
        <w:t>Le Comité exécutif pourrait envisager :</w:t>
      </w:r>
      <w:r w:rsidRPr="00A44B75">
        <w:rPr>
          <w:lang w:val="fr-FR"/>
        </w:rPr>
        <w:t xml:space="preserve"> </w:t>
      </w:r>
    </w:p>
    <w:p w14:paraId="450C3B92" w14:textId="3D460ADB" w:rsidR="00A13E55" w:rsidRPr="00A44B75" w:rsidRDefault="00A13E55" w:rsidP="00A13E55">
      <w:pPr>
        <w:pStyle w:val="Heading2"/>
        <w:tabs>
          <w:tab w:val="clear" w:pos="0"/>
          <w:tab w:val="num" w:pos="-540"/>
        </w:tabs>
        <w:rPr>
          <w:lang w:val="fr-FR"/>
        </w:rPr>
      </w:pPr>
      <w:r w:rsidRPr="00A13E55">
        <w:rPr>
          <w:lang w:val="fr-FR"/>
        </w:rPr>
        <w:t>De prendre note du rapport global d</w:t>
      </w:r>
      <w:r w:rsidR="005A0776">
        <w:rPr>
          <w:lang w:val="fr-FR"/>
        </w:rPr>
        <w:t>’</w:t>
      </w:r>
      <w:r w:rsidRPr="00A13E55">
        <w:rPr>
          <w:lang w:val="fr-FR"/>
        </w:rPr>
        <w:t>achèvement de projet</w:t>
      </w:r>
      <w:r w:rsidR="002C62C8">
        <w:rPr>
          <w:lang w:val="fr-FR"/>
        </w:rPr>
        <w:t>s</w:t>
      </w:r>
      <w:r w:rsidRPr="00A13E55">
        <w:rPr>
          <w:lang w:val="fr-FR"/>
        </w:rPr>
        <w:t xml:space="preserve"> (RAP) 2021, figurant dans le document UNEP/OzL.Pro/ExCom/88/19 ;</w:t>
      </w:r>
      <w:r w:rsidRPr="00A44B75">
        <w:rPr>
          <w:lang w:val="fr-FR"/>
        </w:rPr>
        <w:t xml:space="preserve"> </w:t>
      </w:r>
    </w:p>
    <w:p w14:paraId="2E203D65" w14:textId="7E53455D" w:rsidR="00A13E55" w:rsidRPr="00A44B75" w:rsidRDefault="00A13E55" w:rsidP="00A13E55">
      <w:pPr>
        <w:pStyle w:val="Heading2"/>
        <w:tabs>
          <w:tab w:val="clear" w:pos="0"/>
          <w:tab w:val="num" w:pos="-540"/>
        </w:tabs>
        <w:rPr>
          <w:lang w:val="fr-FR"/>
        </w:rPr>
      </w:pPr>
      <w:r w:rsidRPr="00A13E55">
        <w:rPr>
          <w:lang w:val="fr-FR"/>
        </w:rPr>
        <w:t>D</w:t>
      </w:r>
      <w:r w:rsidR="005A0776">
        <w:rPr>
          <w:lang w:val="fr-FR"/>
        </w:rPr>
        <w:t>’</w:t>
      </w:r>
      <w:r w:rsidRPr="00A13E55">
        <w:rPr>
          <w:lang w:val="fr-FR"/>
        </w:rPr>
        <w:t>exhorter les agences bilatérales et d</w:t>
      </w:r>
      <w:r w:rsidR="005A0776">
        <w:rPr>
          <w:lang w:val="fr-FR"/>
        </w:rPr>
        <w:t>’</w:t>
      </w:r>
      <w:r w:rsidRPr="00A13E55">
        <w:rPr>
          <w:lang w:val="fr-FR"/>
        </w:rPr>
        <w:t>exécution à soumettre à la 90</w:t>
      </w:r>
      <w:r w:rsidRPr="00A13E55">
        <w:rPr>
          <w:vertAlign w:val="superscript"/>
          <w:lang w:val="fr-FR"/>
        </w:rPr>
        <w:t>e</w:t>
      </w:r>
      <w:r w:rsidRPr="00A13E55">
        <w:rPr>
          <w:lang w:val="fr-FR"/>
        </w:rPr>
        <w:t xml:space="preserve"> réunion les rapports d</w:t>
      </w:r>
      <w:r w:rsidR="005A0776">
        <w:rPr>
          <w:lang w:val="fr-FR"/>
        </w:rPr>
        <w:t>’</w:t>
      </w:r>
      <w:r w:rsidRPr="00A13E55">
        <w:rPr>
          <w:lang w:val="fr-FR"/>
        </w:rPr>
        <w:t>achèvement de projet</w:t>
      </w:r>
      <w:r w:rsidR="002C62C8">
        <w:rPr>
          <w:lang w:val="fr-FR"/>
        </w:rPr>
        <w:t>s</w:t>
      </w:r>
      <w:r w:rsidRPr="00A13E55">
        <w:rPr>
          <w:lang w:val="fr-FR"/>
        </w:rPr>
        <w:t xml:space="preserve"> en souffrance concernant des accords pluriannuels et des projets individuels, ou bien d</w:t>
      </w:r>
      <w:r w:rsidR="005A0776">
        <w:rPr>
          <w:lang w:val="fr-FR"/>
        </w:rPr>
        <w:t>’</w:t>
      </w:r>
      <w:r w:rsidRPr="00A13E55">
        <w:rPr>
          <w:lang w:val="fr-FR"/>
        </w:rPr>
        <w:t>exposer les raisons pour lesquelles ces rapports n</w:t>
      </w:r>
      <w:r w:rsidR="005A0776">
        <w:rPr>
          <w:lang w:val="fr-FR"/>
        </w:rPr>
        <w:t>’</w:t>
      </w:r>
      <w:r w:rsidRPr="00A13E55">
        <w:rPr>
          <w:lang w:val="fr-FR"/>
        </w:rPr>
        <w:t>ont pas pu être soumis ;</w:t>
      </w:r>
      <w:r w:rsidRPr="00A44B75">
        <w:rPr>
          <w:lang w:val="fr-FR"/>
        </w:rPr>
        <w:t xml:space="preserve"> </w:t>
      </w:r>
    </w:p>
    <w:p w14:paraId="49AAD884" w14:textId="0751DDC9" w:rsidR="00A13E55" w:rsidRPr="00A44B75" w:rsidRDefault="00A13E55" w:rsidP="00A13E55">
      <w:pPr>
        <w:pStyle w:val="Heading2"/>
        <w:tabs>
          <w:tab w:val="clear" w:pos="0"/>
          <w:tab w:val="num" w:pos="-540"/>
        </w:tabs>
        <w:rPr>
          <w:lang w:val="fr-FR"/>
        </w:rPr>
      </w:pPr>
      <w:r w:rsidRPr="00A13E55">
        <w:rPr>
          <w:lang w:val="fr-FR"/>
        </w:rPr>
        <w:t>D</w:t>
      </w:r>
      <w:r w:rsidR="005A0776">
        <w:rPr>
          <w:lang w:val="fr-FR"/>
        </w:rPr>
        <w:t>’</w:t>
      </w:r>
      <w:r w:rsidRPr="00A13E55">
        <w:rPr>
          <w:lang w:val="fr-FR"/>
        </w:rPr>
        <w:t>exhorter les agences principales et de coopération à coordonner étroitement leurs travaux pour finaliser leurs sections des RAP, afin de permettre à l</w:t>
      </w:r>
      <w:r w:rsidR="005A0776">
        <w:rPr>
          <w:lang w:val="fr-FR"/>
        </w:rPr>
        <w:t>’</w:t>
      </w:r>
      <w:r w:rsidRPr="00A13E55">
        <w:rPr>
          <w:lang w:val="fr-FR"/>
        </w:rPr>
        <w:t>agence d</w:t>
      </w:r>
      <w:r w:rsidR="005A0776">
        <w:rPr>
          <w:lang w:val="fr-FR"/>
        </w:rPr>
        <w:t>’</w:t>
      </w:r>
      <w:r w:rsidRPr="00A13E55">
        <w:rPr>
          <w:lang w:val="fr-FR"/>
        </w:rPr>
        <w:t xml:space="preserve">exécution principale de remettre les </w:t>
      </w:r>
      <w:r w:rsidRPr="00635279">
        <w:rPr>
          <w:lang w:val="fr-FR"/>
        </w:rPr>
        <w:t>RAP complets</w:t>
      </w:r>
      <w:r w:rsidR="00635279">
        <w:rPr>
          <w:lang w:val="fr-FR"/>
        </w:rPr>
        <w:t xml:space="preserve"> </w:t>
      </w:r>
      <w:r w:rsidRPr="00A13E55">
        <w:rPr>
          <w:lang w:val="fr-FR"/>
        </w:rPr>
        <w:t>aux dates prévues ;</w:t>
      </w:r>
    </w:p>
    <w:p w14:paraId="6130B0C6" w14:textId="45080BC4" w:rsidR="00A13E55" w:rsidRPr="00A44B75" w:rsidRDefault="00A13E55" w:rsidP="00A13E55">
      <w:pPr>
        <w:pStyle w:val="Heading2"/>
        <w:tabs>
          <w:tab w:val="clear" w:pos="0"/>
          <w:tab w:val="num" w:pos="-540"/>
        </w:tabs>
        <w:rPr>
          <w:lang w:val="fr-FR"/>
        </w:rPr>
      </w:pPr>
      <w:r w:rsidRPr="00A13E55">
        <w:rPr>
          <w:lang w:val="fr-FR"/>
        </w:rPr>
        <w:t>D</w:t>
      </w:r>
      <w:r w:rsidR="005A0776">
        <w:rPr>
          <w:lang w:val="fr-FR"/>
        </w:rPr>
        <w:t>’</w:t>
      </w:r>
      <w:r w:rsidRPr="00A13E55">
        <w:rPr>
          <w:lang w:val="fr-FR"/>
        </w:rPr>
        <w:t>exhorter les agences bilatérales et d</w:t>
      </w:r>
      <w:r w:rsidR="005A0776">
        <w:rPr>
          <w:lang w:val="fr-FR"/>
        </w:rPr>
        <w:t>’</w:t>
      </w:r>
      <w:r w:rsidRPr="00A13E55">
        <w:rPr>
          <w:lang w:val="fr-FR"/>
        </w:rPr>
        <w:t xml:space="preserve">exécution lors de la soumission de leurs RAP, à </w:t>
      </w:r>
      <w:r w:rsidR="00635279">
        <w:rPr>
          <w:lang w:val="fr-FR"/>
        </w:rPr>
        <w:t>communiquer des</w:t>
      </w:r>
      <w:r w:rsidRPr="00A13E55">
        <w:rPr>
          <w:lang w:val="fr-FR"/>
        </w:rPr>
        <w:t xml:space="preserve"> enseignements </w:t>
      </w:r>
      <w:r w:rsidRPr="00635279">
        <w:rPr>
          <w:lang w:val="fr-FR"/>
        </w:rPr>
        <w:t xml:space="preserve">tirés clairs et pertinents, </w:t>
      </w:r>
      <w:r w:rsidR="00F44AD7">
        <w:rPr>
          <w:lang w:val="fr-FR"/>
        </w:rPr>
        <w:t>en vue de</w:t>
      </w:r>
      <w:r w:rsidRPr="00A13E55">
        <w:rPr>
          <w:lang w:val="fr-FR"/>
        </w:rPr>
        <w:t xml:space="preserve"> recommandations concrètes pour l</w:t>
      </w:r>
      <w:r w:rsidR="005A0776">
        <w:rPr>
          <w:lang w:val="fr-FR"/>
        </w:rPr>
        <w:t>’</w:t>
      </w:r>
      <w:r w:rsidRPr="00A13E55">
        <w:rPr>
          <w:lang w:val="fr-FR"/>
        </w:rPr>
        <w:t>amélioration de la mise en œuvre future de projet</w:t>
      </w:r>
      <w:r w:rsidR="002C62C8">
        <w:rPr>
          <w:lang w:val="fr-FR"/>
        </w:rPr>
        <w:t>s</w:t>
      </w:r>
      <w:r w:rsidRPr="00A13E55">
        <w:rPr>
          <w:lang w:val="fr-FR"/>
        </w:rPr>
        <w:t xml:space="preserve"> ou la reproductibilité de bonnes pratiques ; et</w:t>
      </w:r>
    </w:p>
    <w:p w14:paraId="73C9EE71" w14:textId="097D968E" w:rsidR="00A13E55" w:rsidRPr="00A44B75" w:rsidRDefault="00A13E55" w:rsidP="00A13E55">
      <w:pPr>
        <w:pStyle w:val="Heading2"/>
        <w:tabs>
          <w:tab w:val="clear" w:pos="0"/>
          <w:tab w:val="num" w:pos="-540"/>
        </w:tabs>
        <w:rPr>
          <w:lang w:val="fr-FR"/>
        </w:rPr>
      </w:pPr>
      <w:r w:rsidRPr="00A13E55">
        <w:rPr>
          <w:lang w:val="fr-FR"/>
        </w:rPr>
        <w:t>D</w:t>
      </w:r>
      <w:r w:rsidR="005A0776">
        <w:rPr>
          <w:lang w:val="fr-FR"/>
        </w:rPr>
        <w:t>’</w:t>
      </w:r>
      <w:r w:rsidRPr="00A13E55">
        <w:rPr>
          <w:lang w:val="fr-FR"/>
        </w:rPr>
        <w:t>inviter toutes les personnes impliquées dans la préparation et la mise en œuvre des accords pluriannuels et des projets individuels, à tenir compte le cas échéant des enseignements tirés des RAP lors de la proposition et de la mise en œuvre de futurs projets.</w:t>
      </w:r>
    </w:p>
    <w:p w14:paraId="6A694D99" w14:textId="77777777" w:rsidR="00222C40" w:rsidRPr="00A44B75" w:rsidRDefault="00222C40" w:rsidP="00605D6D">
      <w:pPr>
        <w:pStyle w:val="Heading2"/>
        <w:numPr>
          <w:ilvl w:val="1"/>
          <w:numId w:val="1"/>
        </w:numPr>
        <w:spacing w:before="120"/>
        <w:rPr>
          <w:lang w:val="fr-FR"/>
        </w:rPr>
        <w:sectPr w:rsidR="00222C40" w:rsidRPr="00A44B75" w:rsidSect="002F2E98">
          <w:headerReference w:type="even" r:id="rId15"/>
          <w:headerReference w:type="default" r:id="rId16"/>
          <w:footerReference w:type="even" r:id="rId17"/>
          <w:footerReference w:type="default" r:id="rId18"/>
          <w:footerReference w:type="first" r:id="rId19"/>
          <w:pgSz w:w="12240" w:h="15840" w:code="1"/>
          <w:pgMar w:top="720" w:right="1440" w:bottom="851" w:left="1440" w:header="720" w:footer="475" w:gutter="0"/>
          <w:cols w:space="720"/>
          <w:titlePg/>
        </w:sectPr>
      </w:pPr>
    </w:p>
    <w:p w14:paraId="64D2C37E" w14:textId="77777777" w:rsidR="00E60644" w:rsidRPr="006524DF" w:rsidRDefault="00E60644" w:rsidP="00E60644">
      <w:pPr>
        <w:pStyle w:val="Heading2"/>
        <w:keepNext/>
        <w:keepLines/>
        <w:numPr>
          <w:ilvl w:val="0"/>
          <w:numId w:val="0"/>
        </w:numPr>
        <w:tabs>
          <w:tab w:val="left" w:pos="720"/>
        </w:tabs>
        <w:jc w:val="center"/>
        <w:rPr>
          <w:b/>
        </w:rPr>
      </w:pPr>
      <w:r w:rsidRPr="006524DF">
        <w:rPr>
          <w:b/>
        </w:rPr>
        <w:lastRenderedPageBreak/>
        <w:t>Annex I</w:t>
      </w:r>
    </w:p>
    <w:p w14:paraId="04A2A712" w14:textId="77777777" w:rsidR="00E60644" w:rsidRPr="006524DF" w:rsidRDefault="00E60644" w:rsidP="00E60644">
      <w:pPr>
        <w:widowControl w:val="0"/>
        <w:spacing w:after="240"/>
        <w:jc w:val="center"/>
        <w:rPr>
          <w:b/>
        </w:rPr>
      </w:pPr>
      <w:r w:rsidRPr="006524DF">
        <w:rPr>
          <w:b/>
        </w:rPr>
        <w:t>MYA PCRs RECEIVED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3241"/>
        <w:gridCol w:w="1709"/>
        <w:gridCol w:w="2246"/>
      </w:tblGrid>
      <w:tr w:rsidR="00E60644" w:rsidRPr="006524DF" w14:paraId="20D92998" w14:textId="77777777" w:rsidTr="00C60C62">
        <w:tc>
          <w:tcPr>
            <w:tcW w:w="1152" w:type="pct"/>
            <w:tcBorders>
              <w:top w:val="single" w:sz="4" w:space="0" w:color="auto"/>
              <w:left w:val="single" w:sz="4" w:space="0" w:color="auto"/>
              <w:bottom w:val="single" w:sz="4" w:space="0" w:color="auto"/>
              <w:right w:val="single" w:sz="4" w:space="0" w:color="auto"/>
            </w:tcBorders>
            <w:vAlign w:val="center"/>
            <w:hideMark/>
          </w:tcPr>
          <w:p w14:paraId="6EF01F66" w14:textId="77777777" w:rsidR="00E60644" w:rsidRPr="006524DF" w:rsidRDefault="00E60644" w:rsidP="00102A32">
            <w:pPr>
              <w:widowControl w:val="0"/>
              <w:jc w:val="center"/>
              <w:rPr>
                <w:b/>
                <w:bCs/>
                <w:sz w:val="20"/>
                <w:szCs w:val="20"/>
                <w:lang w:val="en-CA" w:eastAsia="en-CA"/>
              </w:rPr>
            </w:pPr>
            <w:r w:rsidRPr="006524DF">
              <w:rPr>
                <w:b/>
                <w:bCs/>
                <w:sz w:val="20"/>
                <w:szCs w:val="20"/>
                <w:lang w:val="en-CA" w:eastAsia="en-CA"/>
              </w:rPr>
              <w:t>Country</w:t>
            </w:r>
          </w:p>
        </w:tc>
        <w:tc>
          <w:tcPr>
            <w:tcW w:w="1733" w:type="pct"/>
            <w:tcBorders>
              <w:top w:val="single" w:sz="4" w:space="0" w:color="auto"/>
              <w:left w:val="single" w:sz="4" w:space="0" w:color="auto"/>
              <w:bottom w:val="single" w:sz="4" w:space="0" w:color="auto"/>
              <w:right w:val="single" w:sz="4" w:space="0" w:color="auto"/>
            </w:tcBorders>
            <w:vAlign w:val="center"/>
            <w:hideMark/>
          </w:tcPr>
          <w:p w14:paraId="0CF17F4C" w14:textId="77777777" w:rsidR="00E60644" w:rsidRPr="006524DF" w:rsidRDefault="00E60644" w:rsidP="00102A32">
            <w:pPr>
              <w:widowControl w:val="0"/>
              <w:jc w:val="center"/>
              <w:rPr>
                <w:b/>
                <w:bCs/>
                <w:sz w:val="20"/>
                <w:szCs w:val="20"/>
                <w:lang w:val="en-CA" w:eastAsia="en-CA"/>
              </w:rPr>
            </w:pPr>
            <w:r w:rsidRPr="006524DF">
              <w:rPr>
                <w:b/>
                <w:bCs/>
                <w:sz w:val="20"/>
                <w:szCs w:val="20"/>
                <w:lang w:val="en-CA" w:eastAsia="en-CA"/>
              </w:rPr>
              <w:t>MYA sector</w:t>
            </w:r>
          </w:p>
        </w:tc>
        <w:tc>
          <w:tcPr>
            <w:tcW w:w="914" w:type="pct"/>
            <w:tcBorders>
              <w:top w:val="single" w:sz="4" w:space="0" w:color="auto"/>
              <w:left w:val="single" w:sz="4" w:space="0" w:color="auto"/>
              <w:bottom w:val="single" w:sz="4" w:space="0" w:color="auto"/>
              <w:right w:val="single" w:sz="4" w:space="0" w:color="auto"/>
            </w:tcBorders>
            <w:vAlign w:val="center"/>
            <w:hideMark/>
          </w:tcPr>
          <w:p w14:paraId="27AD482C" w14:textId="77777777" w:rsidR="00E60644" w:rsidRPr="006524DF" w:rsidRDefault="00E60644" w:rsidP="00102A32">
            <w:pPr>
              <w:widowControl w:val="0"/>
              <w:jc w:val="center"/>
              <w:rPr>
                <w:b/>
                <w:bCs/>
                <w:sz w:val="20"/>
                <w:szCs w:val="20"/>
                <w:lang w:val="en-CA" w:eastAsia="en-CA"/>
              </w:rPr>
            </w:pPr>
            <w:r w:rsidRPr="006524DF">
              <w:rPr>
                <w:b/>
                <w:bCs/>
                <w:sz w:val="20"/>
                <w:szCs w:val="20"/>
                <w:lang w:val="en-CA" w:eastAsia="en-CA"/>
              </w:rPr>
              <w:t>Lead agency</w:t>
            </w:r>
          </w:p>
        </w:tc>
        <w:tc>
          <w:tcPr>
            <w:tcW w:w="1201" w:type="pct"/>
            <w:tcBorders>
              <w:top w:val="single" w:sz="4" w:space="0" w:color="auto"/>
              <w:left w:val="single" w:sz="4" w:space="0" w:color="auto"/>
              <w:bottom w:val="single" w:sz="4" w:space="0" w:color="auto"/>
              <w:right w:val="single" w:sz="4" w:space="0" w:color="auto"/>
            </w:tcBorders>
            <w:vAlign w:val="center"/>
            <w:hideMark/>
          </w:tcPr>
          <w:p w14:paraId="3DB6975A" w14:textId="77777777" w:rsidR="00E60644" w:rsidRPr="006524DF" w:rsidRDefault="00E60644" w:rsidP="00102A32">
            <w:pPr>
              <w:widowControl w:val="0"/>
              <w:jc w:val="center"/>
              <w:rPr>
                <w:b/>
                <w:bCs/>
                <w:sz w:val="20"/>
                <w:szCs w:val="20"/>
                <w:lang w:val="en-CA" w:eastAsia="en-CA"/>
              </w:rPr>
            </w:pPr>
            <w:r w:rsidRPr="006524DF">
              <w:rPr>
                <w:b/>
                <w:bCs/>
                <w:sz w:val="20"/>
                <w:szCs w:val="20"/>
                <w:lang w:val="en-CA" w:eastAsia="en-CA"/>
              </w:rPr>
              <w:t>Cooperating agencies</w:t>
            </w:r>
          </w:p>
        </w:tc>
      </w:tr>
      <w:tr w:rsidR="00CF4114" w:rsidRPr="006524DF" w14:paraId="409B787F" w14:textId="77777777" w:rsidTr="00C60C62">
        <w:tc>
          <w:tcPr>
            <w:tcW w:w="1152" w:type="pct"/>
            <w:tcBorders>
              <w:top w:val="single" w:sz="4" w:space="0" w:color="auto"/>
              <w:left w:val="single" w:sz="4" w:space="0" w:color="auto"/>
              <w:bottom w:val="single" w:sz="4" w:space="0" w:color="auto"/>
              <w:right w:val="single" w:sz="4" w:space="0" w:color="auto"/>
            </w:tcBorders>
            <w:vAlign w:val="center"/>
          </w:tcPr>
          <w:p w14:paraId="461D7426" w14:textId="77777777" w:rsidR="00CF4114" w:rsidRPr="006524DF" w:rsidRDefault="00C60C62" w:rsidP="00AD15F0">
            <w:pPr>
              <w:widowControl w:val="0"/>
              <w:jc w:val="left"/>
              <w:rPr>
                <w:b/>
                <w:bCs/>
                <w:sz w:val="20"/>
                <w:szCs w:val="20"/>
                <w:lang w:val="en-CA" w:eastAsia="en-CA"/>
              </w:rPr>
            </w:pPr>
            <w:r w:rsidRPr="006524DF">
              <w:rPr>
                <w:sz w:val="20"/>
                <w:szCs w:val="20"/>
                <w:lang w:val="en-US"/>
              </w:rPr>
              <w:t>China</w:t>
            </w:r>
          </w:p>
        </w:tc>
        <w:tc>
          <w:tcPr>
            <w:tcW w:w="1733" w:type="pct"/>
            <w:tcBorders>
              <w:top w:val="single" w:sz="4" w:space="0" w:color="auto"/>
              <w:left w:val="single" w:sz="4" w:space="0" w:color="auto"/>
              <w:bottom w:val="single" w:sz="4" w:space="0" w:color="auto"/>
              <w:right w:val="single" w:sz="4" w:space="0" w:color="auto"/>
            </w:tcBorders>
            <w:vAlign w:val="center"/>
          </w:tcPr>
          <w:p w14:paraId="72FDBE07" w14:textId="77777777" w:rsidR="00CF4114" w:rsidRPr="006524DF" w:rsidRDefault="00C60C62" w:rsidP="00AD15F0">
            <w:pPr>
              <w:widowControl w:val="0"/>
              <w:jc w:val="left"/>
              <w:rPr>
                <w:sz w:val="20"/>
                <w:szCs w:val="20"/>
                <w:lang w:val="en-US"/>
              </w:rPr>
            </w:pPr>
            <w:r w:rsidRPr="006524DF">
              <w:rPr>
                <w:sz w:val="20"/>
                <w:szCs w:val="20"/>
                <w:lang w:val="en-US"/>
              </w:rPr>
              <w:t>Halon</w:t>
            </w:r>
          </w:p>
        </w:tc>
        <w:tc>
          <w:tcPr>
            <w:tcW w:w="914" w:type="pct"/>
            <w:tcBorders>
              <w:top w:val="single" w:sz="4" w:space="0" w:color="auto"/>
              <w:left w:val="single" w:sz="4" w:space="0" w:color="auto"/>
              <w:bottom w:val="single" w:sz="4" w:space="0" w:color="auto"/>
              <w:right w:val="single" w:sz="4" w:space="0" w:color="auto"/>
            </w:tcBorders>
            <w:vAlign w:val="center"/>
          </w:tcPr>
          <w:p w14:paraId="0B7005C9" w14:textId="243EA690" w:rsidR="00CF4114" w:rsidRPr="006524DF" w:rsidRDefault="004604EB" w:rsidP="004604EB">
            <w:pPr>
              <w:widowControl w:val="0"/>
              <w:jc w:val="center"/>
              <w:rPr>
                <w:bCs/>
                <w:sz w:val="20"/>
                <w:szCs w:val="20"/>
                <w:lang w:val="en-CA" w:eastAsia="en-CA"/>
              </w:rPr>
            </w:pPr>
            <w:r w:rsidRPr="006524DF">
              <w:rPr>
                <w:bCs/>
                <w:sz w:val="20"/>
                <w:szCs w:val="20"/>
                <w:lang w:val="en-CA" w:eastAsia="en-CA"/>
              </w:rPr>
              <w:t>World Bank</w:t>
            </w:r>
          </w:p>
        </w:tc>
        <w:tc>
          <w:tcPr>
            <w:tcW w:w="1201" w:type="pct"/>
            <w:tcBorders>
              <w:top w:val="single" w:sz="4" w:space="0" w:color="auto"/>
              <w:left w:val="single" w:sz="4" w:space="0" w:color="auto"/>
              <w:bottom w:val="single" w:sz="4" w:space="0" w:color="auto"/>
              <w:right w:val="single" w:sz="4" w:space="0" w:color="auto"/>
            </w:tcBorders>
            <w:vAlign w:val="center"/>
          </w:tcPr>
          <w:p w14:paraId="639AB194" w14:textId="77777777" w:rsidR="00CF4114" w:rsidRPr="006524DF" w:rsidRDefault="00CF4114" w:rsidP="00AD15F0">
            <w:pPr>
              <w:widowControl w:val="0"/>
              <w:jc w:val="left"/>
              <w:rPr>
                <w:bCs/>
                <w:sz w:val="20"/>
                <w:szCs w:val="20"/>
                <w:lang w:val="en-CA" w:eastAsia="en-CA"/>
              </w:rPr>
            </w:pPr>
          </w:p>
        </w:tc>
      </w:tr>
      <w:tr w:rsidR="005C01DE" w:rsidRPr="006524DF" w14:paraId="12FC4CB0" w14:textId="77777777" w:rsidTr="00C60C62">
        <w:tc>
          <w:tcPr>
            <w:tcW w:w="1152" w:type="pct"/>
            <w:tcBorders>
              <w:top w:val="single" w:sz="4" w:space="0" w:color="auto"/>
              <w:left w:val="single" w:sz="4" w:space="0" w:color="auto"/>
              <w:bottom w:val="single" w:sz="4" w:space="0" w:color="auto"/>
              <w:right w:val="single" w:sz="4" w:space="0" w:color="auto"/>
            </w:tcBorders>
            <w:vAlign w:val="center"/>
          </w:tcPr>
          <w:p w14:paraId="276A7209" w14:textId="77777777" w:rsidR="005C01DE" w:rsidRPr="006524DF" w:rsidRDefault="00C60C62" w:rsidP="005C01DE">
            <w:pPr>
              <w:widowControl w:val="0"/>
              <w:jc w:val="left"/>
              <w:rPr>
                <w:sz w:val="20"/>
                <w:szCs w:val="20"/>
                <w:lang w:val="en-US"/>
              </w:rPr>
            </w:pPr>
            <w:r w:rsidRPr="006524DF">
              <w:rPr>
                <w:sz w:val="20"/>
                <w:szCs w:val="20"/>
                <w:lang w:val="en-US"/>
              </w:rPr>
              <w:t>China</w:t>
            </w:r>
          </w:p>
        </w:tc>
        <w:tc>
          <w:tcPr>
            <w:tcW w:w="1733" w:type="pct"/>
            <w:tcBorders>
              <w:top w:val="single" w:sz="4" w:space="0" w:color="auto"/>
              <w:left w:val="single" w:sz="4" w:space="0" w:color="auto"/>
              <w:bottom w:val="single" w:sz="4" w:space="0" w:color="auto"/>
              <w:right w:val="single" w:sz="4" w:space="0" w:color="auto"/>
            </w:tcBorders>
            <w:vAlign w:val="center"/>
          </w:tcPr>
          <w:p w14:paraId="39A58B34" w14:textId="77777777" w:rsidR="005C01DE" w:rsidRPr="006524DF" w:rsidRDefault="00C60C62" w:rsidP="00C60C62">
            <w:pPr>
              <w:widowControl w:val="0"/>
              <w:jc w:val="left"/>
              <w:rPr>
                <w:sz w:val="20"/>
                <w:szCs w:val="20"/>
                <w:lang w:val="en-US"/>
              </w:rPr>
            </w:pPr>
            <w:r w:rsidRPr="006524DF">
              <w:rPr>
                <w:sz w:val="20"/>
                <w:szCs w:val="20"/>
                <w:lang w:val="en-US"/>
              </w:rPr>
              <w:t>Process agent</w:t>
            </w:r>
            <w:r w:rsidR="005C01DE" w:rsidRPr="006524DF">
              <w:rPr>
                <w:sz w:val="20"/>
                <w:szCs w:val="20"/>
                <w:lang w:val="en-US"/>
              </w:rPr>
              <w:t xml:space="preserve"> </w:t>
            </w:r>
            <w:r w:rsidRPr="006524DF">
              <w:rPr>
                <w:sz w:val="20"/>
                <w:szCs w:val="20"/>
                <w:lang w:val="en-US"/>
              </w:rPr>
              <w:t>(</w:t>
            </w:r>
            <w:r w:rsidR="00EA1B43" w:rsidRPr="006524DF">
              <w:rPr>
                <w:sz w:val="20"/>
                <w:szCs w:val="20"/>
                <w:lang w:val="en-US"/>
              </w:rPr>
              <w:t>p</w:t>
            </w:r>
            <w:r w:rsidR="005C01DE" w:rsidRPr="006524DF">
              <w:rPr>
                <w:sz w:val="20"/>
                <w:szCs w:val="20"/>
                <w:lang w:val="en-US"/>
              </w:rPr>
              <w:t>hase I)</w:t>
            </w:r>
          </w:p>
        </w:tc>
        <w:tc>
          <w:tcPr>
            <w:tcW w:w="914" w:type="pct"/>
            <w:tcBorders>
              <w:top w:val="single" w:sz="4" w:space="0" w:color="auto"/>
              <w:left w:val="single" w:sz="4" w:space="0" w:color="auto"/>
              <w:bottom w:val="single" w:sz="4" w:space="0" w:color="auto"/>
              <w:right w:val="single" w:sz="4" w:space="0" w:color="auto"/>
            </w:tcBorders>
            <w:vAlign w:val="center"/>
          </w:tcPr>
          <w:p w14:paraId="1EDA0BC1" w14:textId="53A4E14B" w:rsidR="005C01DE" w:rsidRPr="006524DF" w:rsidRDefault="004604EB" w:rsidP="00C60C62">
            <w:pPr>
              <w:widowControl w:val="0"/>
              <w:jc w:val="center"/>
              <w:rPr>
                <w:bCs/>
                <w:sz w:val="20"/>
                <w:szCs w:val="20"/>
                <w:lang w:val="en-CA" w:eastAsia="en-CA"/>
              </w:rPr>
            </w:pPr>
            <w:r w:rsidRPr="006524DF">
              <w:rPr>
                <w:bCs/>
                <w:sz w:val="20"/>
                <w:szCs w:val="20"/>
                <w:lang w:val="en-CA" w:eastAsia="en-CA"/>
              </w:rPr>
              <w:t>World Bank</w:t>
            </w:r>
          </w:p>
        </w:tc>
        <w:tc>
          <w:tcPr>
            <w:tcW w:w="1201" w:type="pct"/>
            <w:tcBorders>
              <w:top w:val="single" w:sz="4" w:space="0" w:color="auto"/>
              <w:left w:val="single" w:sz="4" w:space="0" w:color="auto"/>
              <w:bottom w:val="single" w:sz="4" w:space="0" w:color="auto"/>
              <w:right w:val="single" w:sz="4" w:space="0" w:color="auto"/>
            </w:tcBorders>
            <w:vAlign w:val="center"/>
          </w:tcPr>
          <w:p w14:paraId="2E01B7FE" w14:textId="77777777" w:rsidR="005C01DE" w:rsidRPr="006524DF" w:rsidRDefault="005C01DE" w:rsidP="005C01DE">
            <w:pPr>
              <w:widowControl w:val="0"/>
              <w:jc w:val="left"/>
              <w:rPr>
                <w:bCs/>
                <w:sz w:val="20"/>
                <w:szCs w:val="20"/>
                <w:lang w:val="en-CA" w:eastAsia="en-CA"/>
              </w:rPr>
            </w:pPr>
          </w:p>
        </w:tc>
      </w:tr>
      <w:tr w:rsidR="005C01DE" w:rsidRPr="006524DF" w14:paraId="1E0A133F" w14:textId="77777777" w:rsidTr="00C60C62">
        <w:tc>
          <w:tcPr>
            <w:tcW w:w="1152" w:type="pct"/>
            <w:tcBorders>
              <w:top w:val="single" w:sz="4" w:space="0" w:color="auto"/>
              <w:left w:val="single" w:sz="4" w:space="0" w:color="auto"/>
              <w:bottom w:val="single" w:sz="4" w:space="0" w:color="auto"/>
              <w:right w:val="single" w:sz="4" w:space="0" w:color="auto"/>
            </w:tcBorders>
            <w:vAlign w:val="center"/>
          </w:tcPr>
          <w:p w14:paraId="7416C55D" w14:textId="77777777" w:rsidR="005C01DE" w:rsidRPr="006524DF" w:rsidRDefault="00C60C62" w:rsidP="005C01DE">
            <w:pPr>
              <w:widowControl w:val="0"/>
              <w:jc w:val="left"/>
              <w:rPr>
                <w:sz w:val="20"/>
                <w:szCs w:val="20"/>
                <w:lang w:val="en-US"/>
              </w:rPr>
            </w:pPr>
            <w:r w:rsidRPr="006524DF">
              <w:rPr>
                <w:sz w:val="20"/>
                <w:szCs w:val="20"/>
                <w:lang w:val="en-US"/>
              </w:rPr>
              <w:t>China</w:t>
            </w:r>
          </w:p>
        </w:tc>
        <w:tc>
          <w:tcPr>
            <w:tcW w:w="1733" w:type="pct"/>
            <w:tcBorders>
              <w:top w:val="single" w:sz="4" w:space="0" w:color="auto"/>
              <w:left w:val="single" w:sz="4" w:space="0" w:color="auto"/>
              <w:bottom w:val="single" w:sz="4" w:space="0" w:color="auto"/>
              <w:right w:val="single" w:sz="4" w:space="0" w:color="auto"/>
            </w:tcBorders>
            <w:vAlign w:val="center"/>
          </w:tcPr>
          <w:p w14:paraId="289E814A" w14:textId="77777777" w:rsidR="005C01DE" w:rsidRPr="006524DF" w:rsidRDefault="00EA1B43" w:rsidP="005C01DE">
            <w:pPr>
              <w:widowControl w:val="0"/>
              <w:jc w:val="left"/>
              <w:rPr>
                <w:sz w:val="20"/>
                <w:szCs w:val="20"/>
                <w:lang w:val="en-US"/>
              </w:rPr>
            </w:pPr>
            <w:r w:rsidRPr="006524DF">
              <w:rPr>
                <w:sz w:val="20"/>
                <w:szCs w:val="20"/>
                <w:lang w:val="en-US"/>
              </w:rPr>
              <w:t>Process agent (p</w:t>
            </w:r>
            <w:r w:rsidR="00C60C62" w:rsidRPr="006524DF">
              <w:rPr>
                <w:sz w:val="20"/>
                <w:szCs w:val="20"/>
                <w:lang w:val="en-US"/>
              </w:rPr>
              <w:t>hase II)</w:t>
            </w:r>
          </w:p>
        </w:tc>
        <w:tc>
          <w:tcPr>
            <w:tcW w:w="914" w:type="pct"/>
            <w:tcBorders>
              <w:top w:val="single" w:sz="4" w:space="0" w:color="auto"/>
              <w:left w:val="single" w:sz="4" w:space="0" w:color="auto"/>
              <w:bottom w:val="single" w:sz="4" w:space="0" w:color="auto"/>
              <w:right w:val="single" w:sz="4" w:space="0" w:color="auto"/>
            </w:tcBorders>
            <w:vAlign w:val="center"/>
          </w:tcPr>
          <w:p w14:paraId="63D2BB23" w14:textId="2E7D7760" w:rsidR="005C01DE" w:rsidRPr="006524DF" w:rsidRDefault="004604EB" w:rsidP="00C60C62">
            <w:pPr>
              <w:widowControl w:val="0"/>
              <w:jc w:val="center"/>
              <w:rPr>
                <w:bCs/>
                <w:sz w:val="20"/>
                <w:szCs w:val="20"/>
                <w:lang w:val="en-CA" w:eastAsia="en-CA"/>
              </w:rPr>
            </w:pPr>
            <w:r w:rsidRPr="006524DF">
              <w:rPr>
                <w:bCs/>
                <w:sz w:val="20"/>
                <w:szCs w:val="20"/>
                <w:lang w:val="en-CA" w:eastAsia="en-CA"/>
              </w:rPr>
              <w:t>World Bank</w:t>
            </w:r>
          </w:p>
        </w:tc>
        <w:tc>
          <w:tcPr>
            <w:tcW w:w="1201" w:type="pct"/>
            <w:tcBorders>
              <w:top w:val="single" w:sz="4" w:space="0" w:color="auto"/>
              <w:left w:val="single" w:sz="4" w:space="0" w:color="auto"/>
              <w:bottom w:val="single" w:sz="4" w:space="0" w:color="auto"/>
              <w:right w:val="single" w:sz="4" w:space="0" w:color="auto"/>
            </w:tcBorders>
            <w:vAlign w:val="center"/>
          </w:tcPr>
          <w:p w14:paraId="266223F4" w14:textId="77777777" w:rsidR="005C01DE" w:rsidRPr="006524DF" w:rsidRDefault="005C01DE" w:rsidP="005C01DE">
            <w:pPr>
              <w:widowControl w:val="0"/>
              <w:jc w:val="left"/>
              <w:rPr>
                <w:bCs/>
                <w:sz w:val="20"/>
                <w:szCs w:val="20"/>
                <w:lang w:val="en-CA" w:eastAsia="en-CA"/>
              </w:rPr>
            </w:pPr>
          </w:p>
        </w:tc>
      </w:tr>
      <w:tr w:rsidR="00386020" w:rsidRPr="006524DF" w14:paraId="5E0D5F64" w14:textId="77777777" w:rsidTr="00C60C62">
        <w:tc>
          <w:tcPr>
            <w:tcW w:w="1152" w:type="pct"/>
            <w:tcBorders>
              <w:top w:val="single" w:sz="4" w:space="0" w:color="auto"/>
              <w:left w:val="single" w:sz="4" w:space="0" w:color="auto"/>
              <w:bottom w:val="single" w:sz="4" w:space="0" w:color="auto"/>
              <w:right w:val="single" w:sz="4" w:space="0" w:color="auto"/>
            </w:tcBorders>
            <w:vAlign w:val="center"/>
          </w:tcPr>
          <w:p w14:paraId="039115EE" w14:textId="77777777" w:rsidR="00386020" w:rsidRPr="00765981" w:rsidRDefault="00386020" w:rsidP="00386020">
            <w:pPr>
              <w:widowControl w:val="0"/>
              <w:jc w:val="left"/>
              <w:rPr>
                <w:sz w:val="20"/>
                <w:szCs w:val="20"/>
                <w:lang w:val="en-US"/>
              </w:rPr>
            </w:pPr>
            <w:r w:rsidRPr="006524DF">
              <w:rPr>
                <w:sz w:val="20"/>
                <w:lang w:val="en-CA" w:eastAsia="en-CA"/>
              </w:rPr>
              <w:t>Democratic Republic of the Congo (the)</w:t>
            </w:r>
          </w:p>
        </w:tc>
        <w:tc>
          <w:tcPr>
            <w:tcW w:w="1733" w:type="pct"/>
            <w:tcBorders>
              <w:top w:val="single" w:sz="4" w:space="0" w:color="auto"/>
              <w:left w:val="single" w:sz="4" w:space="0" w:color="auto"/>
              <w:bottom w:val="single" w:sz="4" w:space="0" w:color="auto"/>
              <w:right w:val="single" w:sz="4" w:space="0" w:color="auto"/>
            </w:tcBorders>
            <w:vAlign w:val="center"/>
          </w:tcPr>
          <w:p w14:paraId="70030E38" w14:textId="77777777" w:rsidR="00386020" w:rsidRPr="006524DF" w:rsidRDefault="00386020" w:rsidP="00386020">
            <w:pPr>
              <w:widowControl w:val="0"/>
              <w:jc w:val="left"/>
              <w:rPr>
                <w:sz w:val="20"/>
                <w:szCs w:val="20"/>
                <w:lang w:val="en-US"/>
              </w:rPr>
            </w:pPr>
            <w:r w:rsidRPr="006524DF">
              <w:rPr>
                <w:sz w:val="20"/>
                <w:lang w:val="en-CA" w:eastAsia="en-CA"/>
              </w:rPr>
              <w:t>HCFC phase-out plan (stage I)</w:t>
            </w:r>
          </w:p>
        </w:tc>
        <w:tc>
          <w:tcPr>
            <w:tcW w:w="914" w:type="pct"/>
            <w:tcBorders>
              <w:top w:val="single" w:sz="4" w:space="0" w:color="auto"/>
              <w:left w:val="single" w:sz="4" w:space="0" w:color="auto"/>
              <w:bottom w:val="single" w:sz="4" w:space="0" w:color="auto"/>
              <w:right w:val="single" w:sz="4" w:space="0" w:color="auto"/>
            </w:tcBorders>
            <w:vAlign w:val="center"/>
          </w:tcPr>
          <w:p w14:paraId="4045747A" w14:textId="77777777" w:rsidR="00386020" w:rsidRPr="006524DF" w:rsidRDefault="00386020" w:rsidP="00386020">
            <w:pPr>
              <w:widowControl w:val="0"/>
              <w:jc w:val="center"/>
              <w:rPr>
                <w:bCs/>
                <w:sz w:val="20"/>
                <w:szCs w:val="20"/>
                <w:lang w:val="en-CA" w:eastAsia="en-CA"/>
              </w:rPr>
            </w:pPr>
            <w:r w:rsidRPr="006524DF">
              <w:rPr>
                <w:sz w:val="20"/>
              </w:rPr>
              <w:t>UNEP</w:t>
            </w:r>
          </w:p>
        </w:tc>
        <w:tc>
          <w:tcPr>
            <w:tcW w:w="1201" w:type="pct"/>
            <w:tcBorders>
              <w:top w:val="single" w:sz="4" w:space="0" w:color="auto"/>
              <w:left w:val="single" w:sz="4" w:space="0" w:color="auto"/>
              <w:bottom w:val="single" w:sz="4" w:space="0" w:color="auto"/>
              <w:right w:val="single" w:sz="4" w:space="0" w:color="auto"/>
            </w:tcBorders>
            <w:vAlign w:val="center"/>
          </w:tcPr>
          <w:p w14:paraId="43924928" w14:textId="77777777" w:rsidR="00386020" w:rsidRPr="006524DF" w:rsidRDefault="00386020" w:rsidP="00386020">
            <w:pPr>
              <w:widowControl w:val="0"/>
              <w:jc w:val="left"/>
              <w:rPr>
                <w:bCs/>
                <w:sz w:val="20"/>
                <w:szCs w:val="20"/>
                <w:lang w:val="en-CA" w:eastAsia="en-CA"/>
              </w:rPr>
            </w:pPr>
            <w:r w:rsidRPr="006524DF">
              <w:rPr>
                <w:sz w:val="20"/>
              </w:rPr>
              <w:t>UNDP</w:t>
            </w:r>
          </w:p>
        </w:tc>
      </w:tr>
      <w:tr w:rsidR="00386020" w:rsidRPr="006524DF" w14:paraId="78A8386D" w14:textId="77777777" w:rsidTr="00C60C62">
        <w:trPr>
          <w:trHeight w:val="50"/>
        </w:trPr>
        <w:tc>
          <w:tcPr>
            <w:tcW w:w="1152" w:type="pct"/>
            <w:tcBorders>
              <w:top w:val="single" w:sz="4" w:space="0" w:color="auto"/>
              <w:left w:val="single" w:sz="4" w:space="0" w:color="auto"/>
              <w:bottom w:val="single" w:sz="4" w:space="0" w:color="auto"/>
              <w:right w:val="single" w:sz="4" w:space="0" w:color="auto"/>
            </w:tcBorders>
            <w:vAlign w:val="center"/>
          </w:tcPr>
          <w:p w14:paraId="421173B1" w14:textId="77777777" w:rsidR="00386020" w:rsidRPr="006524DF" w:rsidRDefault="00386020" w:rsidP="00386020">
            <w:pPr>
              <w:widowControl w:val="0"/>
              <w:jc w:val="left"/>
              <w:rPr>
                <w:b/>
                <w:bCs/>
                <w:sz w:val="20"/>
                <w:szCs w:val="20"/>
                <w:lang w:val="en-CA" w:eastAsia="en-CA"/>
              </w:rPr>
            </w:pPr>
            <w:r w:rsidRPr="006524DF">
              <w:rPr>
                <w:sz w:val="20"/>
                <w:szCs w:val="20"/>
                <w:lang w:val="en-US"/>
              </w:rPr>
              <w:t>Indonesia</w:t>
            </w:r>
          </w:p>
        </w:tc>
        <w:tc>
          <w:tcPr>
            <w:tcW w:w="1733" w:type="pct"/>
            <w:tcBorders>
              <w:top w:val="single" w:sz="4" w:space="0" w:color="auto"/>
              <w:left w:val="single" w:sz="4" w:space="0" w:color="auto"/>
              <w:bottom w:val="single" w:sz="4" w:space="0" w:color="auto"/>
              <w:right w:val="single" w:sz="4" w:space="0" w:color="auto"/>
            </w:tcBorders>
            <w:vAlign w:val="center"/>
          </w:tcPr>
          <w:p w14:paraId="32902A83" w14:textId="70D208E1" w:rsidR="00386020" w:rsidRPr="006524DF" w:rsidRDefault="00386020" w:rsidP="00386020">
            <w:pPr>
              <w:widowControl w:val="0"/>
              <w:jc w:val="left"/>
              <w:rPr>
                <w:sz w:val="20"/>
                <w:szCs w:val="20"/>
                <w:lang w:val="en-US"/>
              </w:rPr>
            </w:pPr>
            <w:r w:rsidRPr="006524DF">
              <w:rPr>
                <w:sz w:val="20"/>
                <w:szCs w:val="20"/>
                <w:lang w:val="en-US"/>
              </w:rPr>
              <w:t>HCFC phase-out p</w:t>
            </w:r>
            <w:r w:rsidR="006A2A6C" w:rsidRPr="006524DF">
              <w:rPr>
                <w:sz w:val="20"/>
                <w:szCs w:val="20"/>
                <w:lang w:val="en-US"/>
              </w:rPr>
              <w:t>lan (s</w:t>
            </w:r>
            <w:r w:rsidRPr="006524DF">
              <w:rPr>
                <w:sz w:val="20"/>
                <w:szCs w:val="20"/>
                <w:lang w:val="en-US"/>
              </w:rPr>
              <w:t>tage I)</w:t>
            </w:r>
          </w:p>
        </w:tc>
        <w:tc>
          <w:tcPr>
            <w:tcW w:w="914" w:type="pct"/>
            <w:tcBorders>
              <w:top w:val="single" w:sz="4" w:space="0" w:color="auto"/>
              <w:left w:val="single" w:sz="4" w:space="0" w:color="auto"/>
              <w:bottom w:val="single" w:sz="4" w:space="0" w:color="auto"/>
              <w:right w:val="single" w:sz="4" w:space="0" w:color="auto"/>
            </w:tcBorders>
            <w:vAlign w:val="center"/>
          </w:tcPr>
          <w:p w14:paraId="5FBBBBEE" w14:textId="77777777" w:rsidR="00386020" w:rsidRPr="006524DF" w:rsidRDefault="00386020" w:rsidP="00386020">
            <w:pPr>
              <w:widowControl w:val="0"/>
              <w:jc w:val="center"/>
              <w:rPr>
                <w:b/>
                <w:bCs/>
                <w:sz w:val="20"/>
                <w:szCs w:val="20"/>
                <w:lang w:val="en-CA" w:eastAsia="en-CA"/>
              </w:rPr>
            </w:pPr>
            <w:r w:rsidRPr="006524DF">
              <w:rPr>
                <w:bCs/>
                <w:sz w:val="20"/>
                <w:szCs w:val="20"/>
                <w:lang w:val="en-CA" w:eastAsia="en-CA"/>
              </w:rPr>
              <w:t>UNDP</w:t>
            </w:r>
          </w:p>
        </w:tc>
        <w:tc>
          <w:tcPr>
            <w:tcW w:w="1201" w:type="pct"/>
            <w:tcBorders>
              <w:top w:val="single" w:sz="4" w:space="0" w:color="auto"/>
              <w:left w:val="single" w:sz="4" w:space="0" w:color="auto"/>
              <w:bottom w:val="single" w:sz="4" w:space="0" w:color="auto"/>
              <w:right w:val="single" w:sz="4" w:space="0" w:color="auto"/>
            </w:tcBorders>
            <w:vAlign w:val="center"/>
          </w:tcPr>
          <w:p w14:paraId="40257938" w14:textId="5AF0528E" w:rsidR="00386020" w:rsidRPr="006524DF" w:rsidRDefault="00386020" w:rsidP="004604EB">
            <w:pPr>
              <w:widowControl w:val="0"/>
              <w:jc w:val="left"/>
              <w:rPr>
                <w:b/>
                <w:bCs/>
                <w:sz w:val="20"/>
                <w:szCs w:val="20"/>
                <w:lang w:val="en-CA" w:eastAsia="en-CA"/>
              </w:rPr>
            </w:pPr>
            <w:r w:rsidRPr="006524DF">
              <w:rPr>
                <w:bCs/>
                <w:sz w:val="20"/>
                <w:szCs w:val="20"/>
                <w:lang w:val="en-CA" w:eastAsia="en-CA"/>
              </w:rPr>
              <w:t>UNIDO/</w:t>
            </w:r>
            <w:r w:rsidR="004604EB" w:rsidRPr="006524DF">
              <w:rPr>
                <w:bCs/>
                <w:sz w:val="20"/>
                <w:szCs w:val="20"/>
                <w:lang w:val="en-CA" w:eastAsia="en-CA"/>
              </w:rPr>
              <w:t>World Bank/</w:t>
            </w:r>
            <w:r w:rsidRPr="006524DF">
              <w:rPr>
                <w:bCs/>
                <w:sz w:val="20"/>
                <w:szCs w:val="20"/>
                <w:lang w:val="en-CA" w:eastAsia="en-CA"/>
              </w:rPr>
              <w:t>Australia</w:t>
            </w:r>
          </w:p>
        </w:tc>
      </w:tr>
    </w:tbl>
    <w:p w14:paraId="68899AB1" w14:textId="77777777" w:rsidR="00E60644" w:rsidRPr="00765981" w:rsidRDefault="00E60644" w:rsidP="00E60644">
      <w:pPr>
        <w:widowControl w:val="0"/>
        <w:spacing w:after="240"/>
        <w:jc w:val="center"/>
        <w:rPr>
          <w:b/>
          <w:lang w:val="en-US"/>
        </w:rPr>
      </w:pPr>
    </w:p>
    <w:p w14:paraId="02006420" w14:textId="77777777" w:rsidR="00E60644" w:rsidRPr="00765981" w:rsidRDefault="00E60644" w:rsidP="00E60644">
      <w:pPr>
        <w:widowControl w:val="0"/>
        <w:spacing w:after="240"/>
        <w:jc w:val="center"/>
        <w:rPr>
          <w:b/>
        </w:rPr>
        <w:sectPr w:rsidR="00E60644" w:rsidRPr="00765981" w:rsidSect="002F2E98">
          <w:headerReference w:type="even" r:id="rId20"/>
          <w:headerReference w:type="default" r:id="rId21"/>
          <w:footerReference w:type="even" r:id="rId22"/>
          <w:footerReference w:type="default" r:id="rId23"/>
          <w:headerReference w:type="first" r:id="rId24"/>
          <w:footerReference w:type="first" r:id="rId25"/>
          <w:pgSz w:w="12240" w:h="15840" w:code="1"/>
          <w:pgMar w:top="720" w:right="1440" w:bottom="864" w:left="1440" w:header="720" w:footer="475" w:gutter="0"/>
          <w:pgNumType w:start="1"/>
          <w:cols w:space="720"/>
          <w:titlePg/>
        </w:sectPr>
      </w:pPr>
    </w:p>
    <w:p w14:paraId="640DE1B6" w14:textId="77777777" w:rsidR="00E60644" w:rsidRPr="006524DF" w:rsidRDefault="00E60644" w:rsidP="00E60644">
      <w:pPr>
        <w:widowControl w:val="0"/>
        <w:spacing w:after="240"/>
        <w:jc w:val="center"/>
        <w:rPr>
          <w:b/>
        </w:rPr>
      </w:pPr>
      <w:r w:rsidRPr="006524DF">
        <w:rPr>
          <w:b/>
        </w:rPr>
        <w:lastRenderedPageBreak/>
        <w:t xml:space="preserve">Annex II </w:t>
      </w:r>
    </w:p>
    <w:p w14:paraId="0398E4E8" w14:textId="77777777" w:rsidR="00E60644" w:rsidRPr="006524DF" w:rsidRDefault="00E60644" w:rsidP="00E60644">
      <w:pPr>
        <w:widowControl w:val="0"/>
        <w:spacing w:after="240"/>
        <w:jc w:val="center"/>
        <w:rPr>
          <w:b/>
        </w:rPr>
      </w:pPr>
      <w:r w:rsidRPr="006524DF">
        <w:rPr>
          <w:b/>
        </w:rPr>
        <w:t>INDIVIDUAL PCRs RECEIVED</w:t>
      </w:r>
    </w:p>
    <w:tbl>
      <w:tblPr>
        <w:tblW w:w="9464" w:type="dxa"/>
        <w:tblLayout w:type="fixed"/>
        <w:tblLook w:val="04A0" w:firstRow="1" w:lastRow="0" w:firstColumn="1" w:lastColumn="0" w:noHBand="0" w:noVBand="1"/>
      </w:tblPr>
      <w:tblGrid>
        <w:gridCol w:w="2235"/>
        <w:gridCol w:w="1270"/>
        <w:gridCol w:w="5959"/>
      </w:tblGrid>
      <w:tr w:rsidR="00E60644" w:rsidRPr="006524DF" w14:paraId="5544A114" w14:textId="77777777" w:rsidTr="006A16CC">
        <w:trPr>
          <w:tblHeader/>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1B923DF9" w14:textId="77777777" w:rsidR="00E60644" w:rsidRPr="006524DF" w:rsidRDefault="00E60644" w:rsidP="00102A32">
            <w:pPr>
              <w:widowControl w:val="0"/>
              <w:jc w:val="center"/>
              <w:rPr>
                <w:b/>
                <w:bCs/>
                <w:sz w:val="20"/>
                <w:szCs w:val="20"/>
                <w:lang w:val="en-CA" w:eastAsia="en-CA"/>
              </w:rPr>
            </w:pPr>
            <w:r w:rsidRPr="006524DF">
              <w:rPr>
                <w:b/>
                <w:bCs/>
                <w:sz w:val="20"/>
                <w:szCs w:val="20"/>
                <w:lang w:val="en-CA" w:eastAsia="en-CA"/>
              </w:rPr>
              <w:t>Code</w:t>
            </w:r>
          </w:p>
        </w:tc>
        <w:tc>
          <w:tcPr>
            <w:tcW w:w="1270" w:type="dxa"/>
            <w:tcBorders>
              <w:top w:val="single" w:sz="4" w:space="0" w:color="auto"/>
              <w:left w:val="nil"/>
              <w:bottom w:val="single" w:sz="4" w:space="0" w:color="auto"/>
              <w:right w:val="single" w:sz="4" w:space="0" w:color="auto"/>
            </w:tcBorders>
            <w:shd w:val="clear" w:color="auto" w:fill="auto"/>
            <w:hideMark/>
          </w:tcPr>
          <w:p w14:paraId="54603AF2" w14:textId="77777777" w:rsidR="00E60644" w:rsidRPr="006524DF" w:rsidRDefault="00E60644" w:rsidP="00102A32">
            <w:pPr>
              <w:widowControl w:val="0"/>
              <w:jc w:val="center"/>
              <w:rPr>
                <w:b/>
                <w:bCs/>
                <w:sz w:val="20"/>
                <w:szCs w:val="20"/>
                <w:lang w:val="en-CA" w:eastAsia="en-CA"/>
              </w:rPr>
            </w:pPr>
            <w:r w:rsidRPr="006524DF">
              <w:rPr>
                <w:b/>
                <w:bCs/>
                <w:sz w:val="20"/>
                <w:szCs w:val="20"/>
                <w:lang w:val="en-CA" w:eastAsia="en-CA"/>
              </w:rPr>
              <w:t>Agency</w:t>
            </w:r>
          </w:p>
        </w:tc>
        <w:tc>
          <w:tcPr>
            <w:tcW w:w="5959" w:type="dxa"/>
            <w:tcBorders>
              <w:top w:val="single" w:sz="4" w:space="0" w:color="auto"/>
              <w:left w:val="nil"/>
              <w:bottom w:val="single" w:sz="4" w:space="0" w:color="auto"/>
              <w:right w:val="single" w:sz="4" w:space="0" w:color="auto"/>
            </w:tcBorders>
            <w:shd w:val="clear" w:color="auto" w:fill="auto"/>
            <w:hideMark/>
          </w:tcPr>
          <w:p w14:paraId="0AC22651" w14:textId="77777777" w:rsidR="00E60644" w:rsidRPr="006524DF" w:rsidRDefault="00E60644" w:rsidP="00102A32">
            <w:pPr>
              <w:widowControl w:val="0"/>
              <w:jc w:val="center"/>
              <w:rPr>
                <w:b/>
                <w:bCs/>
                <w:sz w:val="20"/>
                <w:szCs w:val="20"/>
                <w:lang w:val="en-CA" w:eastAsia="en-CA"/>
              </w:rPr>
            </w:pPr>
            <w:r w:rsidRPr="006524DF">
              <w:rPr>
                <w:b/>
                <w:bCs/>
                <w:sz w:val="20"/>
                <w:szCs w:val="20"/>
                <w:lang w:val="en-CA" w:eastAsia="en-CA"/>
              </w:rPr>
              <w:t>Project Title</w:t>
            </w:r>
          </w:p>
        </w:tc>
      </w:tr>
      <w:tr w:rsidR="005C01DE" w:rsidRPr="006524DF" w14:paraId="420CF878" w14:textId="77777777" w:rsidTr="00490F4F">
        <w:trPr>
          <w:tblHead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44E46A2F" w14:textId="77777777" w:rsidR="005C01DE" w:rsidRPr="006524DF" w:rsidRDefault="00C60C62" w:rsidP="005C01DE">
            <w:pPr>
              <w:widowControl w:val="0"/>
              <w:jc w:val="left"/>
              <w:rPr>
                <w:b/>
                <w:bCs/>
                <w:sz w:val="20"/>
                <w:szCs w:val="20"/>
                <w:lang w:val="en-CA" w:eastAsia="en-CA"/>
              </w:rPr>
            </w:pPr>
            <w:r w:rsidRPr="006524DF">
              <w:rPr>
                <w:sz w:val="20"/>
                <w:szCs w:val="20"/>
                <w:lang w:val="en-CA" w:eastAsia="en-CA"/>
              </w:rPr>
              <w:t>COI/PHA/80/TAS/26</w:t>
            </w:r>
          </w:p>
        </w:tc>
        <w:tc>
          <w:tcPr>
            <w:tcW w:w="1270" w:type="dxa"/>
            <w:tcBorders>
              <w:top w:val="single" w:sz="4" w:space="0" w:color="auto"/>
              <w:left w:val="nil"/>
              <w:bottom w:val="single" w:sz="4" w:space="0" w:color="auto"/>
              <w:right w:val="single" w:sz="4" w:space="0" w:color="auto"/>
            </w:tcBorders>
            <w:shd w:val="clear" w:color="auto" w:fill="auto"/>
            <w:vAlign w:val="center"/>
          </w:tcPr>
          <w:p w14:paraId="09CA78D3" w14:textId="77777777" w:rsidR="005C01DE" w:rsidRPr="006524DF" w:rsidRDefault="00490F4F" w:rsidP="005C01DE">
            <w:pPr>
              <w:widowControl w:val="0"/>
              <w:jc w:val="left"/>
              <w:rPr>
                <w:bCs/>
                <w:sz w:val="20"/>
                <w:szCs w:val="20"/>
                <w:lang w:val="en-CA" w:eastAsia="en-CA"/>
              </w:rPr>
            </w:pPr>
            <w:r w:rsidRPr="006524DF">
              <w:rPr>
                <w:sz w:val="20"/>
                <w:szCs w:val="20"/>
                <w:lang w:val="en-CA" w:eastAsia="en-CA"/>
              </w:rPr>
              <w:t>UNEP</w:t>
            </w:r>
          </w:p>
        </w:tc>
        <w:tc>
          <w:tcPr>
            <w:tcW w:w="5959" w:type="dxa"/>
            <w:tcBorders>
              <w:top w:val="single" w:sz="4" w:space="0" w:color="auto"/>
              <w:left w:val="nil"/>
              <w:bottom w:val="single" w:sz="4" w:space="0" w:color="auto"/>
              <w:right w:val="single" w:sz="4" w:space="0" w:color="auto"/>
            </w:tcBorders>
            <w:shd w:val="clear" w:color="auto" w:fill="FFFFFF" w:themeFill="background1"/>
          </w:tcPr>
          <w:p w14:paraId="3789F1C6" w14:textId="77777777" w:rsidR="005C01DE" w:rsidRPr="006524DF" w:rsidRDefault="00490F4F" w:rsidP="005C01DE">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AD15F0" w:rsidRPr="006524DF" w14:paraId="6C269A03" w14:textId="77777777" w:rsidTr="00490F4F">
        <w:tc>
          <w:tcPr>
            <w:tcW w:w="2235" w:type="dxa"/>
            <w:tcBorders>
              <w:top w:val="nil"/>
              <w:left w:val="single" w:sz="4" w:space="0" w:color="auto"/>
              <w:bottom w:val="single" w:sz="4" w:space="0" w:color="auto"/>
              <w:right w:val="single" w:sz="4" w:space="0" w:color="auto"/>
            </w:tcBorders>
            <w:shd w:val="clear" w:color="auto" w:fill="auto"/>
            <w:vAlign w:val="center"/>
            <w:hideMark/>
          </w:tcPr>
          <w:p w14:paraId="06A4EEA3" w14:textId="77777777" w:rsidR="00AD15F0" w:rsidRPr="006524DF" w:rsidRDefault="00C60C62" w:rsidP="00AD15F0">
            <w:pPr>
              <w:widowControl w:val="0"/>
              <w:jc w:val="left"/>
              <w:rPr>
                <w:sz w:val="20"/>
                <w:szCs w:val="20"/>
                <w:lang w:val="en-CA" w:eastAsia="en-CA"/>
              </w:rPr>
            </w:pPr>
            <w:r w:rsidRPr="006524DF">
              <w:rPr>
                <w:sz w:val="20"/>
                <w:szCs w:val="20"/>
                <w:lang w:val="en-CA" w:eastAsia="en-CA"/>
              </w:rPr>
              <w:t>DJI/PHA/80/TAS/24</w:t>
            </w:r>
          </w:p>
        </w:tc>
        <w:tc>
          <w:tcPr>
            <w:tcW w:w="1270" w:type="dxa"/>
            <w:tcBorders>
              <w:top w:val="nil"/>
              <w:left w:val="nil"/>
              <w:bottom w:val="single" w:sz="4" w:space="0" w:color="auto"/>
              <w:right w:val="single" w:sz="4" w:space="0" w:color="auto"/>
            </w:tcBorders>
            <w:shd w:val="clear" w:color="auto" w:fill="auto"/>
            <w:vAlign w:val="center"/>
            <w:hideMark/>
          </w:tcPr>
          <w:p w14:paraId="00638AEE" w14:textId="77777777" w:rsidR="00AD15F0" w:rsidRPr="006524DF" w:rsidRDefault="00490F4F" w:rsidP="00AD15F0">
            <w:pPr>
              <w:widowControl w:val="0"/>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FFFFFF" w:themeFill="background1"/>
            <w:vAlign w:val="center"/>
            <w:hideMark/>
          </w:tcPr>
          <w:p w14:paraId="05D58A48" w14:textId="77777777" w:rsidR="00AD15F0" w:rsidRPr="006524DF" w:rsidRDefault="00490F4F" w:rsidP="00AD15F0">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490F4F" w:rsidRPr="006524DF" w14:paraId="6B145D80" w14:textId="77777777" w:rsidTr="00490F4F">
        <w:tc>
          <w:tcPr>
            <w:tcW w:w="2235" w:type="dxa"/>
            <w:tcBorders>
              <w:top w:val="nil"/>
              <w:left w:val="single" w:sz="4" w:space="0" w:color="auto"/>
              <w:bottom w:val="single" w:sz="4" w:space="0" w:color="auto"/>
              <w:right w:val="single" w:sz="4" w:space="0" w:color="auto"/>
            </w:tcBorders>
            <w:shd w:val="clear" w:color="auto" w:fill="auto"/>
            <w:vAlign w:val="center"/>
          </w:tcPr>
          <w:p w14:paraId="1FEF5399" w14:textId="77777777" w:rsidR="00490F4F" w:rsidRPr="006524DF" w:rsidRDefault="00490F4F" w:rsidP="00AD15F0">
            <w:pPr>
              <w:widowControl w:val="0"/>
              <w:jc w:val="left"/>
              <w:rPr>
                <w:sz w:val="20"/>
                <w:szCs w:val="20"/>
                <w:lang w:val="en-CA" w:eastAsia="en-CA"/>
              </w:rPr>
            </w:pPr>
            <w:r w:rsidRPr="006524DF">
              <w:rPr>
                <w:sz w:val="20"/>
                <w:szCs w:val="20"/>
                <w:lang w:val="en-CA" w:eastAsia="en-CA"/>
              </w:rPr>
              <w:t>EUR/REF/76/DEM/16</w:t>
            </w:r>
          </w:p>
        </w:tc>
        <w:tc>
          <w:tcPr>
            <w:tcW w:w="1270" w:type="dxa"/>
            <w:tcBorders>
              <w:top w:val="nil"/>
              <w:left w:val="nil"/>
              <w:bottom w:val="single" w:sz="4" w:space="0" w:color="auto"/>
              <w:right w:val="single" w:sz="4" w:space="0" w:color="auto"/>
            </w:tcBorders>
            <w:shd w:val="clear" w:color="auto" w:fill="FFFFFF" w:themeFill="background1"/>
            <w:vAlign w:val="center"/>
          </w:tcPr>
          <w:p w14:paraId="3B66D47F" w14:textId="77777777" w:rsidR="00490F4F" w:rsidRPr="006524DF" w:rsidRDefault="00490F4F" w:rsidP="00AD15F0">
            <w:pPr>
              <w:widowControl w:val="0"/>
              <w:jc w:val="left"/>
              <w:rPr>
                <w:sz w:val="20"/>
                <w:szCs w:val="20"/>
                <w:lang w:val="en-CA" w:eastAsia="en-CA"/>
              </w:rPr>
            </w:pPr>
            <w:r w:rsidRPr="006524DF">
              <w:rPr>
                <w:sz w:val="20"/>
                <w:szCs w:val="20"/>
                <w:lang w:val="en-CA" w:eastAsia="en-CA"/>
              </w:rPr>
              <w:t>Russian Federation</w:t>
            </w:r>
          </w:p>
        </w:tc>
        <w:tc>
          <w:tcPr>
            <w:tcW w:w="5959" w:type="dxa"/>
            <w:tcBorders>
              <w:top w:val="nil"/>
              <w:left w:val="nil"/>
              <w:bottom w:val="single" w:sz="4" w:space="0" w:color="auto"/>
              <w:right w:val="single" w:sz="4" w:space="0" w:color="auto"/>
            </w:tcBorders>
            <w:shd w:val="clear" w:color="auto" w:fill="FFFFFF" w:themeFill="background1"/>
            <w:vAlign w:val="center"/>
          </w:tcPr>
          <w:p w14:paraId="72F2E3A6" w14:textId="77777777" w:rsidR="00490F4F" w:rsidRPr="006524DF" w:rsidRDefault="00490F4F" w:rsidP="00AD15F0">
            <w:pPr>
              <w:widowControl w:val="0"/>
              <w:jc w:val="left"/>
              <w:rPr>
                <w:sz w:val="20"/>
                <w:szCs w:val="20"/>
                <w:lang w:val="en-CA" w:eastAsia="en-CA"/>
              </w:rPr>
            </w:pPr>
            <w:r w:rsidRPr="006524DF">
              <w:rPr>
                <w:sz w:val="20"/>
                <w:szCs w:val="20"/>
                <w:lang w:val="en-CA" w:eastAsia="en-CA"/>
              </w:rPr>
              <w:t>Development of a regional centre of excellence for training and certification and demonstration of low-global warming potential alternative refrigerants</w:t>
            </w:r>
          </w:p>
        </w:tc>
      </w:tr>
      <w:tr w:rsidR="00490F4F" w:rsidRPr="006524DF" w14:paraId="203B1572" w14:textId="77777777" w:rsidTr="006A16CC">
        <w:tc>
          <w:tcPr>
            <w:tcW w:w="2235" w:type="dxa"/>
            <w:tcBorders>
              <w:top w:val="nil"/>
              <w:left w:val="single" w:sz="4" w:space="0" w:color="auto"/>
              <w:bottom w:val="single" w:sz="4" w:space="0" w:color="auto"/>
              <w:right w:val="single" w:sz="4" w:space="0" w:color="auto"/>
            </w:tcBorders>
            <w:shd w:val="clear" w:color="auto" w:fill="auto"/>
            <w:vAlign w:val="center"/>
          </w:tcPr>
          <w:p w14:paraId="0753DDA2" w14:textId="77777777" w:rsidR="00490F4F" w:rsidRPr="006524DF" w:rsidRDefault="00490F4F" w:rsidP="00490F4F">
            <w:pPr>
              <w:widowControl w:val="0"/>
              <w:jc w:val="left"/>
              <w:rPr>
                <w:sz w:val="20"/>
                <w:szCs w:val="20"/>
                <w:lang w:val="en-CA" w:eastAsia="en-CA"/>
              </w:rPr>
            </w:pPr>
            <w:r w:rsidRPr="006524DF">
              <w:rPr>
                <w:sz w:val="20"/>
                <w:szCs w:val="20"/>
                <w:lang w:val="en-CA" w:eastAsia="en-CA"/>
              </w:rPr>
              <w:t>GAB/PHA/80/TAS/35</w:t>
            </w:r>
          </w:p>
        </w:tc>
        <w:tc>
          <w:tcPr>
            <w:tcW w:w="1270" w:type="dxa"/>
            <w:tcBorders>
              <w:top w:val="nil"/>
              <w:left w:val="nil"/>
              <w:bottom w:val="single" w:sz="4" w:space="0" w:color="auto"/>
              <w:right w:val="single" w:sz="4" w:space="0" w:color="auto"/>
            </w:tcBorders>
            <w:shd w:val="clear" w:color="auto" w:fill="auto"/>
            <w:vAlign w:val="center"/>
          </w:tcPr>
          <w:p w14:paraId="376A3325" w14:textId="77777777" w:rsidR="00490F4F" w:rsidRPr="006524DF" w:rsidRDefault="00490F4F" w:rsidP="00490F4F">
            <w:pPr>
              <w:widowControl w:val="0"/>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auto"/>
            <w:vAlign w:val="center"/>
          </w:tcPr>
          <w:p w14:paraId="0038DB20" w14:textId="77777777" w:rsidR="00490F4F" w:rsidRPr="006524DF" w:rsidRDefault="00490F4F" w:rsidP="00490F4F">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490F4F" w:rsidRPr="006524DF" w14:paraId="31D9253F" w14:textId="77777777" w:rsidTr="006A16CC">
        <w:tc>
          <w:tcPr>
            <w:tcW w:w="2235" w:type="dxa"/>
            <w:tcBorders>
              <w:top w:val="nil"/>
              <w:left w:val="single" w:sz="4" w:space="0" w:color="auto"/>
              <w:bottom w:val="single" w:sz="4" w:space="0" w:color="auto"/>
              <w:right w:val="single" w:sz="4" w:space="0" w:color="auto"/>
            </w:tcBorders>
            <w:shd w:val="clear" w:color="auto" w:fill="auto"/>
            <w:vAlign w:val="center"/>
          </w:tcPr>
          <w:p w14:paraId="15B28073" w14:textId="77777777" w:rsidR="00490F4F" w:rsidRPr="006524DF" w:rsidRDefault="00490F4F" w:rsidP="00490F4F">
            <w:pPr>
              <w:widowControl w:val="0"/>
              <w:jc w:val="left"/>
              <w:rPr>
                <w:sz w:val="20"/>
                <w:szCs w:val="20"/>
                <w:lang w:val="en-CA" w:eastAsia="en-CA"/>
              </w:rPr>
            </w:pPr>
            <w:r w:rsidRPr="006524DF">
              <w:rPr>
                <w:sz w:val="20"/>
                <w:szCs w:val="20"/>
                <w:lang w:val="en-CA" w:eastAsia="en-CA"/>
              </w:rPr>
              <w:t>LAO/PHA/82/TAS/32</w:t>
            </w:r>
          </w:p>
        </w:tc>
        <w:tc>
          <w:tcPr>
            <w:tcW w:w="1270" w:type="dxa"/>
            <w:tcBorders>
              <w:top w:val="nil"/>
              <w:left w:val="nil"/>
              <w:bottom w:val="single" w:sz="4" w:space="0" w:color="auto"/>
              <w:right w:val="single" w:sz="4" w:space="0" w:color="auto"/>
            </w:tcBorders>
            <w:shd w:val="clear" w:color="auto" w:fill="auto"/>
            <w:vAlign w:val="center"/>
          </w:tcPr>
          <w:p w14:paraId="7BF668F5" w14:textId="77777777" w:rsidR="00490F4F" w:rsidRPr="006524DF" w:rsidRDefault="00490F4F" w:rsidP="00490F4F">
            <w:pPr>
              <w:widowControl w:val="0"/>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auto"/>
            <w:vAlign w:val="center"/>
          </w:tcPr>
          <w:p w14:paraId="37256D26" w14:textId="77777777" w:rsidR="00490F4F" w:rsidRPr="006524DF" w:rsidRDefault="00490F4F" w:rsidP="00490F4F">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5C01DE" w:rsidRPr="006524DF" w14:paraId="4483373A" w14:textId="77777777" w:rsidTr="006A16CC">
        <w:tc>
          <w:tcPr>
            <w:tcW w:w="2235" w:type="dxa"/>
            <w:tcBorders>
              <w:top w:val="nil"/>
              <w:left w:val="single" w:sz="4" w:space="0" w:color="auto"/>
              <w:bottom w:val="single" w:sz="4" w:space="0" w:color="auto"/>
              <w:right w:val="single" w:sz="4" w:space="0" w:color="auto"/>
            </w:tcBorders>
            <w:shd w:val="clear" w:color="auto" w:fill="auto"/>
            <w:vAlign w:val="center"/>
          </w:tcPr>
          <w:p w14:paraId="72769E93" w14:textId="77777777" w:rsidR="005C01DE" w:rsidRPr="006524DF" w:rsidRDefault="00C60C62" w:rsidP="00AD15F0">
            <w:pPr>
              <w:widowControl w:val="0"/>
              <w:jc w:val="left"/>
              <w:rPr>
                <w:sz w:val="20"/>
                <w:szCs w:val="20"/>
                <w:lang w:val="en-CA" w:eastAsia="en-CA"/>
              </w:rPr>
            </w:pPr>
            <w:r w:rsidRPr="006524DF">
              <w:rPr>
                <w:sz w:val="20"/>
                <w:szCs w:val="20"/>
                <w:lang w:val="en-CA" w:eastAsia="en-CA"/>
              </w:rPr>
              <w:t>MON/PHA/82/TAS/28</w:t>
            </w:r>
          </w:p>
        </w:tc>
        <w:tc>
          <w:tcPr>
            <w:tcW w:w="1270" w:type="dxa"/>
            <w:tcBorders>
              <w:top w:val="nil"/>
              <w:left w:val="nil"/>
              <w:bottom w:val="single" w:sz="4" w:space="0" w:color="auto"/>
              <w:right w:val="single" w:sz="4" w:space="0" w:color="auto"/>
            </w:tcBorders>
            <w:shd w:val="clear" w:color="auto" w:fill="auto"/>
            <w:vAlign w:val="center"/>
          </w:tcPr>
          <w:p w14:paraId="4BAE728D" w14:textId="77777777" w:rsidR="005C01DE" w:rsidRPr="006524DF" w:rsidRDefault="00490F4F" w:rsidP="00AD15F0">
            <w:pPr>
              <w:widowControl w:val="0"/>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FFFFFF" w:themeFill="background1"/>
            <w:vAlign w:val="center"/>
          </w:tcPr>
          <w:p w14:paraId="7E6D5C84" w14:textId="77777777" w:rsidR="005C01DE" w:rsidRPr="006524DF" w:rsidRDefault="00490F4F" w:rsidP="00490F4F">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6E7799" w:rsidRPr="006524DF" w14:paraId="42363939" w14:textId="77777777" w:rsidTr="006A16CC">
        <w:tc>
          <w:tcPr>
            <w:tcW w:w="2235" w:type="dxa"/>
            <w:tcBorders>
              <w:top w:val="nil"/>
              <w:left w:val="single" w:sz="4" w:space="0" w:color="auto"/>
              <w:bottom w:val="single" w:sz="4" w:space="0" w:color="auto"/>
              <w:right w:val="single" w:sz="4" w:space="0" w:color="auto"/>
            </w:tcBorders>
            <w:shd w:val="clear" w:color="auto" w:fill="auto"/>
            <w:vAlign w:val="center"/>
          </w:tcPr>
          <w:p w14:paraId="78EA8EE6" w14:textId="77777777" w:rsidR="006E7799" w:rsidRPr="006524DF" w:rsidRDefault="00C60C62" w:rsidP="00AD15F0">
            <w:pPr>
              <w:widowControl w:val="0"/>
              <w:jc w:val="left"/>
              <w:rPr>
                <w:sz w:val="20"/>
                <w:szCs w:val="20"/>
                <w:lang w:val="en-CA" w:eastAsia="en-CA"/>
              </w:rPr>
            </w:pPr>
            <w:r w:rsidRPr="006524DF">
              <w:rPr>
                <w:sz w:val="20"/>
                <w:szCs w:val="20"/>
                <w:lang w:val="en-CA" w:eastAsia="en-CA"/>
              </w:rPr>
              <w:t>NEP/PHA/82/TAS/39</w:t>
            </w:r>
          </w:p>
        </w:tc>
        <w:tc>
          <w:tcPr>
            <w:tcW w:w="1270" w:type="dxa"/>
            <w:tcBorders>
              <w:top w:val="nil"/>
              <w:left w:val="nil"/>
              <w:bottom w:val="single" w:sz="4" w:space="0" w:color="auto"/>
              <w:right w:val="single" w:sz="4" w:space="0" w:color="auto"/>
            </w:tcBorders>
            <w:shd w:val="clear" w:color="auto" w:fill="auto"/>
            <w:vAlign w:val="center"/>
          </w:tcPr>
          <w:p w14:paraId="5978FDCC" w14:textId="77777777" w:rsidR="006E7799" w:rsidRPr="006524DF" w:rsidRDefault="00490F4F" w:rsidP="00AD15F0">
            <w:pPr>
              <w:widowControl w:val="0"/>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FFFFFF" w:themeFill="background1"/>
            <w:vAlign w:val="center"/>
          </w:tcPr>
          <w:p w14:paraId="11AD58D9" w14:textId="77777777" w:rsidR="006E7799" w:rsidRPr="006524DF" w:rsidRDefault="00490F4F" w:rsidP="00AD15F0">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490F4F" w:rsidRPr="006524DF" w14:paraId="2A25A51B" w14:textId="77777777" w:rsidTr="006A16CC">
        <w:tc>
          <w:tcPr>
            <w:tcW w:w="2235" w:type="dxa"/>
            <w:tcBorders>
              <w:top w:val="nil"/>
              <w:left w:val="single" w:sz="4" w:space="0" w:color="auto"/>
              <w:bottom w:val="single" w:sz="4" w:space="0" w:color="auto"/>
              <w:right w:val="single" w:sz="4" w:space="0" w:color="auto"/>
            </w:tcBorders>
            <w:shd w:val="clear" w:color="auto" w:fill="auto"/>
            <w:vAlign w:val="center"/>
          </w:tcPr>
          <w:p w14:paraId="353E28FB" w14:textId="77777777" w:rsidR="00490F4F" w:rsidRPr="006524DF" w:rsidRDefault="00490F4F" w:rsidP="00490F4F">
            <w:pPr>
              <w:widowControl w:val="0"/>
              <w:jc w:val="left"/>
              <w:rPr>
                <w:sz w:val="20"/>
                <w:szCs w:val="20"/>
                <w:lang w:val="en-CA" w:eastAsia="en-CA"/>
              </w:rPr>
            </w:pPr>
            <w:r w:rsidRPr="006524DF">
              <w:rPr>
                <w:sz w:val="20"/>
                <w:szCs w:val="20"/>
                <w:lang w:val="en-CA" w:eastAsia="en-CA"/>
              </w:rPr>
              <w:t>SAM/PHA/82/TAS/22</w:t>
            </w:r>
          </w:p>
        </w:tc>
        <w:tc>
          <w:tcPr>
            <w:tcW w:w="1270" w:type="dxa"/>
            <w:tcBorders>
              <w:top w:val="nil"/>
              <w:left w:val="nil"/>
              <w:bottom w:val="single" w:sz="4" w:space="0" w:color="auto"/>
              <w:right w:val="single" w:sz="4" w:space="0" w:color="auto"/>
            </w:tcBorders>
            <w:shd w:val="clear" w:color="auto" w:fill="auto"/>
            <w:vAlign w:val="center"/>
          </w:tcPr>
          <w:p w14:paraId="2CB706E4" w14:textId="77777777" w:rsidR="00490F4F" w:rsidRPr="006524DF" w:rsidRDefault="00490F4F" w:rsidP="00490F4F">
            <w:pPr>
              <w:widowControl w:val="0"/>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FFFFFF" w:themeFill="background1"/>
            <w:vAlign w:val="center"/>
          </w:tcPr>
          <w:p w14:paraId="04902D47" w14:textId="77777777" w:rsidR="00490F4F" w:rsidRPr="006524DF" w:rsidRDefault="00490F4F" w:rsidP="00490F4F">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490F4F" w:rsidRPr="006524DF" w14:paraId="7A87ABA9" w14:textId="77777777" w:rsidTr="006A16CC">
        <w:tc>
          <w:tcPr>
            <w:tcW w:w="2235" w:type="dxa"/>
            <w:tcBorders>
              <w:top w:val="nil"/>
              <w:left w:val="single" w:sz="4" w:space="0" w:color="auto"/>
              <w:bottom w:val="single" w:sz="4" w:space="0" w:color="auto"/>
              <w:right w:val="single" w:sz="4" w:space="0" w:color="auto"/>
            </w:tcBorders>
            <w:shd w:val="clear" w:color="auto" w:fill="auto"/>
            <w:vAlign w:val="center"/>
          </w:tcPr>
          <w:p w14:paraId="013BCC03" w14:textId="77777777" w:rsidR="00490F4F" w:rsidRPr="006524DF" w:rsidRDefault="00490F4F" w:rsidP="00490F4F">
            <w:pPr>
              <w:widowControl w:val="0"/>
              <w:jc w:val="left"/>
              <w:rPr>
                <w:sz w:val="20"/>
                <w:szCs w:val="20"/>
                <w:lang w:val="en-CA" w:eastAsia="en-CA"/>
              </w:rPr>
            </w:pPr>
            <w:r w:rsidRPr="006524DF">
              <w:rPr>
                <w:sz w:val="20"/>
                <w:szCs w:val="20"/>
                <w:lang w:val="en-CA" w:eastAsia="en-CA"/>
              </w:rPr>
              <w:t>SOI/PHA/82/TAS/15</w:t>
            </w:r>
          </w:p>
        </w:tc>
        <w:tc>
          <w:tcPr>
            <w:tcW w:w="1270" w:type="dxa"/>
            <w:tcBorders>
              <w:top w:val="nil"/>
              <w:left w:val="nil"/>
              <w:bottom w:val="single" w:sz="4" w:space="0" w:color="auto"/>
              <w:right w:val="single" w:sz="4" w:space="0" w:color="auto"/>
            </w:tcBorders>
            <w:shd w:val="clear" w:color="auto" w:fill="auto"/>
            <w:vAlign w:val="center"/>
          </w:tcPr>
          <w:p w14:paraId="6E0E4257" w14:textId="77777777" w:rsidR="00490F4F" w:rsidRPr="006524DF" w:rsidRDefault="00490F4F" w:rsidP="00490F4F">
            <w:pPr>
              <w:widowControl w:val="0"/>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auto"/>
            <w:vAlign w:val="center"/>
          </w:tcPr>
          <w:p w14:paraId="3413E6BD" w14:textId="77777777" w:rsidR="00490F4F" w:rsidRPr="006524DF" w:rsidRDefault="00490F4F" w:rsidP="00490F4F">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490F4F" w:rsidRPr="006524DF" w14:paraId="34C67E23" w14:textId="77777777" w:rsidTr="006A16CC">
        <w:tc>
          <w:tcPr>
            <w:tcW w:w="2235" w:type="dxa"/>
            <w:tcBorders>
              <w:top w:val="nil"/>
              <w:left w:val="single" w:sz="4" w:space="0" w:color="auto"/>
              <w:bottom w:val="single" w:sz="4" w:space="0" w:color="auto"/>
              <w:right w:val="single" w:sz="4" w:space="0" w:color="auto"/>
            </w:tcBorders>
            <w:shd w:val="clear" w:color="auto" w:fill="auto"/>
            <w:vAlign w:val="center"/>
          </w:tcPr>
          <w:p w14:paraId="41D16BC7" w14:textId="77777777" w:rsidR="00490F4F" w:rsidRPr="006524DF" w:rsidRDefault="00490F4F" w:rsidP="00490F4F">
            <w:pPr>
              <w:widowControl w:val="0"/>
              <w:jc w:val="left"/>
              <w:rPr>
                <w:sz w:val="20"/>
                <w:szCs w:val="20"/>
                <w:lang w:val="en-CA" w:eastAsia="en-CA"/>
              </w:rPr>
            </w:pPr>
            <w:r w:rsidRPr="006524DF">
              <w:rPr>
                <w:sz w:val="20"/>
                <w:szCs w:val="20"/>
                <w:lang w:val="uz-Cyrl-UZ" w:eastAsia="en-CA"/>
              </w:rPr>
              <w:t>TOG/PHA/80/TAS/31  </w:t>
            </w:r>
          </w:p>
        </w:tc>
        <w:tc>
          <w:tcPr>
            <w:tcW w:w="1270" w:type="dxa"/>
            <w:tcBorders>
              <w:top w:val="nil"/>
              <w:left w:val="nil"/>
              <w:bottom w:val="single" w:sz="4" w:space="0" w:color="auto"/>
              <w:right w:val="single" w:sz="4" w:space="0" w:color="auto"/>
            </w:tcBorders>
            <w:shd w:val="clear" w:color="auto" w:fill="auto"/>
            <w:vAlign w:val="center"/>
          </w:tcPr>
          <w:p w14:paraId="1A209506" w14:textId="77777777" w:rsidR="00490F4F" w:rsidRPr="006524DF" w:rsidRDefault="00490F4F" w:rsidP="00490F4F">
            <w:pPr>
              <w:widowControl w:val="0"/>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auto"/>
            <w:vAlign w:val="center"/>
          </w:tcPr>
          <w:p w14:paraId="6F01D7F3" w14:textId="77777777" w:rsidR="00490F4F" w:rsidRPr="006524DF" w:rsidRDefault="00490F4F" w:rsidP="00490F4F">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490F4F" w:rsidRPr="006524DF" w14:paraId="04B5A329" w14:textId="77777777" w:rsidTr="00C60C62">
        <w:tc>
          <w:tcPr>
            <w:tcW w:w="2235" w:type="dxa"/>
            <w:tcBorders>
              <w:top w:val="nil"/>
              <w:left w:val="single" w:sz="4" w:space="0" w:color="auto"/>
              <w:bottom w:val="single" w:sz="4" w:space="0" w:color="auto"/>
              <w:right w:val="single" w:sz="4" w:space="0" w:color="auto"/>
            </w:tcBorders>
            <w:shd w:val="clear" w:color="auto" w:fill="auto"/>
            <w:vAlign w:val="center"/>
          </w:tcPr>
          <w:p w14:paraId="3DE1DE1B" w14:textId="77777777" w:rsidR="00490F4F" w:rsidRPr="006524DF" w:rsidRDefault="00490F4F" w:rsidP="00490F4F">
            <w:pPr>
              <w:widowControl w:val="0"/>
              <w:contextualSpacing/>
              <w:jc w:val="left"/>
              <w:rPr>
                <w:sz w:val="20"/>
                <w:szCs w:val="20"/>
                <w:lang w:val="uz-Cyrl-UZ" w:eastAsia="en-CA"/>
              </w:rPr>
            </w:pPr>
            <w:r w:rsidRPr="006524DF">
              <w:rPr>
                <w:sz w:val="20"/>
                <w:szCs w:val="20"/>
                <w:lang w:val="en-CA" w:eastAsia="en-CA"/>
              </w:rPr>
              <w:t>TON/PHA/82/TAS/14</w:t>
            </w:r>
          </w:p>
        </w:tc>
        <w:tc>
          <w:tcPr>
            <w:tcW w:w="1270" w:type="dxa"/>
            <w:tcBorders>
              <w:top w:val="nil"/>
              <w:left w:val="nil"/>
              <w:bottom w:val="single" w:sz="4" w:space="0" w:color="auto"/>
              <w:right w:val="single" w:sz="4" w:space="0" w:color="auto"/>
            </w:tcBorders>
            <w:shd w:val="clear" w:color="auto" w:fill="auto"/>
            <w:vAlign w:val="center"/>
          </w:tcPr>
          <w:p w14:paraId="1D128009" w14:textId="77777777" w:rsidR="00490F4F" w:rsidRPr="006524DF" w:rsidRDefault="00490F4F" w:rsidP="00490F4F">
            <w:pPr>
              <w:widowControl w:val="0"/>
              <w:contextualSpacing/>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auto"/>
            <w:vAlign w:val="center"/>
          </w:tcPr>
          <w:p w14:paraId="69C6A505" w14:textId="77777777" w:rsidR="00490F4F" w:rsidRPr="006524DF" w:rsidRDefault="00490F4F" w:rsidP="00490F4F">
            <w:pPr>
              <w:widowControl w:val="0"/>
              <w:contextualSpacing/>
              <w:jc w:val="left"/>
              <w:rPr>
                <w:bCs/>
                <w:sz w:val="20"/>
                <w:szCs w:val="20"/>
                <w:lang w:val="en-CA" w:eastAsia="en-CA"/>
              </w:rPr>
            </w:pPr>
            <w:r w:rsidRPr="006524DF">
              <w:rPr>
                <w:sz w:val="20"/>
                <w:szCs w:val="20"/>
                <w:lang w:val="en-CA" w:eastAsia="en-CA"/>
              </w:rPr>
              <w:t>Verification report on the implementation of the HCFC phase-out management plan</w:t>
            </w:r>
          </w:p>
        </w:tc>
      </w:tr>
      <w:tr w:rsidR="00490F4F" w:rsidRPr="006524DF" w14:paraId="63C73384" w14:textId="77777777" w:rsidTr="00C60C62">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4741166A" w14:textId="77777777" w:rsidR="00490F4F" w:rsidRPr="006524DF" w:rsidRDefault="00490F4F" w:rsidP="00490F4F">
            <w:pPr>
              <w:widowControl w:val="0"/>
              <w:contextualSpacing/>
              <w:jc w:val="left"/>
              <w:rPr>
                <w:sz w:val="20"/>
                <w:szCs w:val="20"/>
                <w:lang w:val="en-CA" w:eastAsia="en-CA"/>
              </w:rPr>
            </w:pPr>
            <w:r w:rsidRPr="006524DF">
              <w:rPr>
                <w:sz w:val="20"/>
                <w:szCs w:val="20"/>
                <w:lang w:val="en-CA" w:eastAsia="en-CA"/>
              </w:rPr>
              <w:t>TTR/PHA/82/TAS/14</w:t>
            </w:r>
          </w:p>
        </w:tc>
        <w:tc>
          <w:tcPr>
            <w:tcW w:w="1270" w:type="dxa"/>
            <w:tcBorders>
              <w:top w:val="single" w:sz="4" w:space="0" w:color="auto"/>
              <w:left w:val="nil"/>
              <w:bottom w:val="single" w:sz="4" w:space="0" w:color="auto"/>
              <w:right w:val="single" w:sz="4" w:space="0" w:color="auto"/>
            </w:tcBorders>
            <w:shd w:val="clear" w:color="auto" w:fill="auto"/>
            <w:vAlign w:val="center"/>
          </w:tcPr>
          <w:p w14:paraId="2705B507" w14:textId="77777777" w:rsidR="00490F4F" w:rsidRPr="006524DF" w:rsidRDefault="00490F4F" w:rsidP="00490F4F">
            <w:pPr>
              <w:widowControl w:val="0"/>
              <w:contextualSpacing/>
              <w:jc w:val="left"/>
              <w:rPr>
                <w:sz w:val="20"/>
                <w:szCs w:val="20"/>
                <w:lang w:val="en-CA" w:eastAsia="en-CA"/>
              </w:rPr>
            </w:pPr>
            <w:r w:rsidRPr="006524DF">
              <w:rPr>
                <w:sz w:val="20"/>
                <w:szCs w:val="20"/>
                <w:lang w:val="en-CA" w:eastAsia="en-CA"/>
              </w:rPr>
              <w:t>UNEP</w:t>
            </w:r>
          </w:p>
        </w:tc>
        <w:tc>
          <w:tcPr>
            <w:tcW w:w="5959" w:type="dxa"/>
            <w:tcBorders>
              <w:top w:val="single" w:sz="4" w:space="0" w:color="auto"/>
              <w:left w:val="nil"/>
              <w:bottom w:val="single" w:sz="4" w:space="0" w:color="auto"/>
              <w:right w:val="single" w:sz="4" w:space="0" w:color="auto"/>
            </w:tcBorders>
            <w:shd w:val="clear" w:color="auto" w:fill="auto"/>
            <w:vAlign w:val="center"/>
          </w:tcPr>
          <w:p w14:paraId="20FEA330" w14:textId="77777777" w:rsidR="00490F4F" w:rsidRPr="006524DF" w:rsidRDefault="00490F4F" w:rsidP="00490F4F">
            <w:pPr>
              <w:widowControl w:val="0"/>
              <w:contextualSpacing/>
              <w:jc w:val="left"/>
              <w:rPr>
                <w:sz w:val="20"/>
                <w:szCs w:val="20"/>
                <w:lang w:val="en-CA" w:eastAsia="en-CA"/>
              </w:rPr>
            </w:pPr>
            <w:r w:rsidRPr="006524DF">
              <w:rPr>
                <w:sz w:val="20"/>
                <w:szCs w:val="20"/>
                <w:lang w:val="en-CA" w:eastAsia="en-CA"/>
              </w:rPr>
              <w:t>Verification report on the implementation of the HCFC phase-out management plan</w:t>
            </w:r>
          </w:p>
        </w:tc>
      </w:tr>
      <w:tr w:rsidR="00490F4F" w:rsidRPr="006524DF" w14:paraId="3C463FF9" w14:textId="77777777" w:rsidTr="006A16CC">
        <w:tc>
          <w:tcPr>
            <w:tcW w:w="2235" w:type="dxa"/>
            <w:tcBorders>
              <w:top w:val="nil"/>
              <w:left w:val="single" w:sz="4" w:space="0" w:color="auto"/>
              <w:bottom w:val="single" w:sz="4" w:space="0" w:color="auto"/>
              <w:right w:val="single" w:sz="4" w:space="0" w:color="auto"/>
            </w:tcBorders>
            <w:shd w:val="clear" w:color="auto" w:fill="auto"/>
            <w:vAlign w:val="center"/>
          </w:tcPr>
          <w:p w14:paraId="6C1028F1" w14:textId="77777777" w:rsidR="00490F4F" w:rsidRPr="006524DF" w:rsidRDefault="00490F4F" w:rsidP="00490F4F">
            <w:pPr>
              <w:widowControl w:val="0"/>
              <w:contextualSpacing/>
              <w:jc w:val="left"/>
              <w:rPr>
                <w:sz w:val="20"/>
                <w:szCs w:val="20"/>
                <w:lang w:val="en-CA" w:eastAsia="en-CA"/>
              </w:rPr>
            </w:pPr>
            <w:r w:rsidRPr="006524DF">
              <w:rPr>
                <w:sz w:val="20"/>
                <w:szCs w:val="20"/>
                <w:lang w:val="en-CA" w:eastAsia="en-CA"/>
              </w:rPr>
              <w:t>ZIM/PHA/75/TAS/52</w:t>
            </w:r>
          </w:p>
        </w:tc>
        <w:tc>
          <w:tcPr>
            <w:tcW w:w="1270" w:type="dxa"/>
            <w:tcBorders>
              <w:top w:val="nil"/>
              <w:left w:val="nil"/>
              <w:bottom w:val="single" w:sz="4" w:space="0" w:color="auto"/>
              <w:right w:val="single" w:sz="4" w:space="0" w:color="auto"/>
            </w:tcBorders>
            <w:shd w:val="clear" w:color="auto" w:fill="auto"/>
            <w:vAlign w:val="center"/>
          </w:tcPr>
          <w:p w14:paraId="42FF8529" w14:textId="77777777" w:rsidR="00490F4F" w:rsidRPr="006524DF" w:rsidRDefault="00490F4F" w:rsidP="00490F4F">
            <w:pPr>
              <w:widowControl w:val="0"/>
              <w:contextualSpacing/>
              <w:jc w:val="left"/>
              <w:rPr>
                <w:sz w:val="20"/>
                <w:szCs w:val="20"/>
                <w:lang w:val="en-CA" w:eastAsia="en-CA"/>
              </w:rPr>
            </w:pPr>
            <w:r w:rsidRPr="006524DF">
              <w:rPr>
                <w:sz w:val="20"/>
                <w:szCs w:val="20"/>
                <w:lang w:val="en-CA" w:eastAsia="en-CA"/>
              </w:rPr>
              <w:t>Germany</w:t>
            </w:r>
          </w:p>
        </w:tc>
        <w:tc>
          <w:tcPr>
            <w:tcW w:w="5959" w:type="dxa"/>
            <w:tcBorders>
              <w:top w:val="nil"/>
              <w:left w:val="nil"/>
              <w:bottom w:val="single" w:sz="4" w:space="0" w:color="auto"/>
              <w:right w:val="single" w:sz="4" w:space="0" w:color="auto"/>
            </w:tcBorders>
            <w:shd w:val="clear" w:color="auto" w:fill="auto"/>
            <w:vAlign w:val="center"/>
          </w:tcPr>
          <w:p w14:paraId="5FA4470A" w14:textId="78F1CA49" w:rsidR="00490F4F" w:rsidRPr="006524DF" w:rsidRDefault="00490F4F" w:rsidP="00282747">
            <w:pPr>
              <w:widowControl w:val="0"/>
              <w:contextualSpacing/>
              <w:jc w:val="left"/>
              <w:rPr>
                <w:sz w:val="20"/>
                <w:szCs w:val="20"/>
                <w:lang w:val="en-CA" w:eastAsia="en-CA"/>
              </w:rPr>
            </w:pPr>
            <w:r w:rsidRPr="006524DF">
              <w:rPr>
                <w:sz w:val="20"/>
                <w:szCs w:val="20"/>
                <w:lang w:val="en-CA" w:eastAsia="en-CA"/>
              </w:rPr>
              <w:t>Verification report for stage I of HCFC phase-out management plan</w:t>
            </w:r>
          </w:p>
        </w:tc>
      </w:tr>
    </w:tbl>
    <w:p w14:paraId="6E10F82A" w14:textId="77777777" w:rsidR="00E60644" w:rsidRPr="00765981" w:rsidRDefault="00E60644" w:rsidP="00E60644">
      <w:pPr>
        <w:widowControl w:val="0"/>
        <w:spacing w:after="240"/>
        <w:rPr>
          <w:b/>
          <w:lang w:val="en-CA"/>
        </w:rPr>
        <w:sectPr w:rsidR="00E60644" w:rsidRPr="00765981" w:rsidSect="002F2E98">
          <w:headerReference w:type="even" r:id="rId26"/>
          <w:headerReference w:type="first" r:id="rId27"/>
          <w:footerReference w:type="first" r:id="rId28"/>
          <w:pgSz w:w="12240" w:h="15840" w:code="1"/>
          <w:pgMar w:top="720" w:right="1440" w:bottom="864" w:left="1440" w:header="720" w:footer="475" w:gutter="0"/>
          <w:pgNumType w:start="1"/>
          <w:cols w:space="720"/>
          <w:titlePg/>
        </w:sectPr>
      </w:pPr>
    </w:p>
    <w:p w14:paraId="1C0D52C1" w14:textId="77777777" w:rsidR="00E60644" w:rsidRPr="006524DF" w:rsidRDefault="00E60644" w:rsidP="00E60644">
      <w:pPr>
        <w:widowControl w:val="0"/>
        <w:spacing w:after="240"/>
        <w:jc w:val="center"/>
        <w:rPr>
          <w:b/>
        </w:rPr>
      </w:pPr>
      <w:r w:rsidRPr="006524DF">
        <w:rPr>
          <w:b/>
        </w:rPr>
        <w:lastRenderedPageBreak/>
        <w:t xml:space="preserve">Annex III </w:t>
      </w:r>
    </w:p>
    <w:p w14:paraId="462C7461" w14:textId="77777777" w:rsidR="00E60644" w:rsidRPr="006524DF" w:rsidRDefault="00E60644" w:rsidP="009F2C38">
      <w:pPr>
        <w:widowControl w:val="0"/>
        <w:spacing w:after="360"/>
        <w:jc w:val="center"/>
        <w:rPr>
          <w:b/>
          <w:sz w:val="24"/>
        </w:rPr>
      </w:pPr>
      <w:r w:rsidRPr="006524DF">
        <w:rPr>
          <w:b/>
        </w:rPr>
        <w:t>OUTSTANDING INDIVIDUAL PCRs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756"/>
        <w:gridCol w:w="5285"/>
      </w:tblGrid>
      <w:tr w:rsidR="00E60644" w:rsidRPr="006524DF" w14:paraId="29EB691D" w14:textId="77777777" w:rsidTr="00E82F97">
        <w:trPr>
          <w:tblHeader/>
        </w:trPr>
        <w:tc>
          <w:tcPr>
            <w:tcW w:w="1235" w:type="pct"/>
            <w:tcBorders>
              <w:top w:val="single" w:sz="4" w:space="0" w:color="auto"/>
              <w:left w:val="single" w:sz="4" w:space="0" w:color="auto"/>
              <w:bottom w:val="single" w:sz="4" w:space="0" w:color="auto"/>
              <w:right w:val="single" w:sz="4" w:space="0" w:color="auto"/>
            </w:tcBorders>
            <w:vAlign w:val="center"/>
            <w:hideMark/>
          </w:tcPr>
          <w:p w14:paraId="327984E8" w14:textId="77777777" w:rsidR="00E60644" w:rsidRPr="006524DF" w:rsidRDefault="00E60644" w:rsidP="00102A32">
            <w:pPr>
              <w:widowControl w:val="0"/>
              <w:contextualSpacing/>
              <w:jc w:val="left"/>
              <w:rPr>
                <w:b/>
                <w:bCs/>
                <w:sz w:val="20"/>
                <w:szCs w:val="20"/>
                <w:lang w:val="en-CA" w:eastAsia="en-CA"/>
              </w:rPr>
            </w:pPr>
            <w:r w:rsidRPr="006524DF">
              <w:rPr>
                <w:b/>
                <w:bCs/>
                <w:sz w:val="20"/>
                <w:szCs w:val="20"/>
                <w:lang w:val="en-CA" w:eastAsia="en-CA"/>
              </w:rPr>
              <w:t>Project Number</w:t>
            </w:r>
          </w:p>
        </w:tc>
        <w:tc>
          <w:tcPr>
            <w:tcW w:w="939" w:type="pct"/>
            <w:tcBorders>
              <w:top w:val="single" w:sz="4" w:space="0" w:color="auto"/>
              <w:left w:val="single" w:sz="4" w:space="0" w:color="auto"/>
              <w:bottom w:val="single" w:sz="4" w:space="0" w:color="auto"/>
              <w:right w:val="single" w:sz="4" w:space="0" w:color="auto"/>
            </w:tcBorders>
            <w:vAlign w:val="center"/>
            <w:hideMark/>
          </w:tcPr>
          <w:p w14:paraId="7AEC7FAF" w14:textId="77777777" w:rsidR="00E60644" w:rsidRPr="006524DF" w:rsidRDefault="00E60644" w:rsidP="00102A32">
            <w:pPr>
              <w:widowControl w:val="0"/>
              <w:contextualSpacing/>
              <w:jc w:val="left"/>
              <w:rPr>
                <w:b/>
                <w:bCs/>
                <w:sz w:val="20"/>
                <w:szCs w:val="20"/>
                <w:lang w:val="en-CA" w:eastAsia="en-CA"/>
              </w:rPr>
            </w:pPr>
            <w:r w:rsidRPr="006524DF">
              <w:rPr>
                <w:b/>
                <w:bCs/>
                <w:sz w:val="20"/>
                <w:szCs w:val="20"/>
                <w:lang w:val="en-CA" w:eastAsia="en-CA"/>
              </w:rPr>
              <w:t>Agency</w:t>
            </w:r>
          </w:p>
        </w:tc>
        <w:tc>
          <w:tcPr>
            <w:tcW w:w="2826" w:type="pct"/>
            <w:tcBorders>
              <w:top w:val="single" w:sz="4" w:space="0" w:color="auto"/>
              <w:left w:val="single" w:sz="4" w:space="0" w:color="auto"/>
              <w:bottom w:val="single" w:sz="4" w:space="0" w:color="auto"/>
              <w:right w:val="single" w:sz="4" w:space="0" w:color="auto"/>
            </w:tcBorders>
            <w:vAlign w:val="center"/>
            <w:hideMark/>
          </w:tcPr>
          <w:p w14:paraId="5DEB60BF" w14:textId="77777777" w:rsidR="00E60644" w:rsidRPr="006524DF" w:rsidRDefault="00E60644" w:rsidP="00102A32">
            <w:pPr>
              <w:widowControl w:val="0"/>
              <w:contextualSpacing/>
              <w:jc w:val="left"/>
              <w:rPr>
                <w:b/>
                <w:bCs/>
                <w:sz w:val="20"/>
                <w:szCs w:val="20"/>
                <w:lang w:val="en-CA" w:eastAsia="en-CA"/>
              </w:rPr>
            </w:pPr>
            <w:r w:rsidRPr="006524DF">
              <w:rPr>
                <w:b/>
                <w:bCs/>
                <w:sz w:val="20"/>
                <w:szCs w:val="20"/>
                <w:lang w:val="en-CA" w:eastAsia="en-CA"/>
              </w:rPr>
              <w:t>Project Title</w:t>
            </w:r>
          </w:p>
        </w:tc>
      </w:tr>
      <w:tr w:rsidR="00A91CD0" w:rsidRPr="006524DF" w14:paraId="1A8763DF"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3BB3274A" w14:textId="02E14E87"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ALB/PHA/82/TAS/37</w:t>
            </w:r>
          </w:p>
        </w:tc>
        <w:tc>
          <w:tcPr>
            <w:tcW w:w="939" w:type="pct"/>
            <w:tcBorders>
              <w:top w:val="single" w:sz="4" w:space="0" w:color="auto"/>
              <w:left w:val="single" w:sz="4" w:space="0" w:color="auto"/>
              <w:bottom w:val="single" w:sz="4" w:space="0" w:color="auto"/>
              <w:right w:val="single" w:sz="4" w:space="0" w:color="auto"/>
            </w:tcBorders>
            <w:vAlign w:val="center"/>
          </w:tcPr>
          <w:p w14:paraId="62F70757" w14:textId="21B5E37A"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39E17D0E" w14:textId="796562D2" w:rsidR="00A91CD0" w:rsidRPr="006524DF" w:rsidRDefault="00A91CD0" w:rsidP="0021415D">
            <w:pPr>
              <w:widowControl w:val="0"/>
              <w:contextualSpacing/>
              <w:rPr>
                <w:b/>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A91CD0" w:rsidRPr="006524DF" w14:paraId="5DAF4DE8"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6735DEE8" w14:textId="5158882E"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ARM/PHA/84/TAS/23</w:t>
            </w:r>
          </w:p>
        </w:tc>
        <w:tc>
          <w:tcPr>
            <w:tcW w:w="939" w:type="pct"/>
            <w:tcBorders>
              <w:top w:val="single" w:sz="4" w:space="0" w:color="auto"/>
              <w:left w:val="single" w:sz="4" w:space="0" w:color="auto"/>
              <w:bottom w:val="single" w:sz="4" w:space="0" w:color="auto"/>
              <w:right w:val="single" w:sz="4" w:space="0" w:color="auto"/>
            </w:tcBorders>
            <w:vAlign w:val="center"/>
          </w:tcPr>
          <w:p w14:paraId="18B55369" w14:textId="33028F91"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UNDP</w:t>
            </w:r>
          </w:p>
        </w:tc>
        <w:tc>
          <w:tcPr>
            <w:tcW w:w="2826" w:type="pct"/>
            <w:tcBorders>
              <w:top w:val="single" w:sz="4" w:space="0" w:color="auto"/>
              <w:left w:val="single" w:sz="4" w:space="0" w:color="auto"/>
              <w:bottom w:val="single" w:sz="4" w:space="0" w:color="auto"/>
              <w:right w:val="single" w:sz="4" w:space="0" w:color="auto"/>
            </w:tcBorders>
            <w:vAlign w:val="center"/>
          </w:tcPr>
          <w:p w14:paraId="7F4D908C" w14:textId="083F00F7" w:rsidR="00A91CD0" w:rsidRPr="006524DF" w:rsidRDefault="00A91CD0" w:rsidP="0021415D">
            <w:pPr>
              <w:widowControl w:val="0"/>
              <w:contextualSpacing/>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A91CD0" w:rsidRPr="006524DF" w14:paraId="3BD0D747"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472C3C53" w14:textId="77777777"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ASP/REF/76/DEM/59</w:t>
            </w:r>
          </w:p>
        </w:tc>
        <w:tc>
          <w:tcPr>
            <w:tcW w:w="939" w:type="pct"/>
            <w:tcBorders>
              <w:top w:val="single" w:sz="4" w:space="0" w:color="auto"/>
              <w:left w:val="single" w:sz="4" w:space="0" w:color="auto"/>
              <w:bottom w:val="single" w:sz="4" w:space="0" w:color="auto"/>
              <w:right w:val="single" w:sz="4" w:space="0" w:color="auto"/>
            </w:tcBorders>
            <w:vAlign w:val="center"/>
          </w:tcPr>
          <w:p w14:paraId="07131E3D" w14:textId="77777777"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037BB4B9" w14:textId="77777777" w:rsidR="00A91CD0" w:rsidRPr="006524DF" w:rsidRDefault="00A91CD0" w:rsidP="0021415D">
            <w:pPr>
              <w:widowControl w:val="0"/>
              <w:contextualSpacing/>
              <w:rPr>
                <w:sz w:val="20"/>
                <w:szCs w:val="20"/>
                <w:lang w:val="en-CA" w:eastAsia="en-CA"/>
              </w:rPr>
            </w:pPr>
            <w:r w:rsidRPr="006524DF">
              <w:rPr>
                <w:sz w:val="20"/>
                <w:szCs w:val="20"/>
                <w:lang w:val="en-CA" w:eastAsia="en-CA"/>
              </w:rPr>
              <w:t>Promoting alternative refrigerants in air-conditioning for high ambient countries in West Asia (PRAHA-II)</w:t>
            </w:r>
          </w:p>
        </w:tc>
      </w:tr>
      <w:tr w:rsidR="00A91CD0" w:rsidRPr="006524DF" w14:paraId="207E8822"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797BB2AA" w14:textId="6A5C7E94"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BKF/PHA/84/TAS/40</w:t>
            </w:r>
          </w:p>
        </w:tc>
        <w:tc>
          <w:tcPr>
            <w:tcW w:w="939" w:type="pct"/>
            <w:tcBorders>
              <w:top w:val="single" w:sz="4" w:space="0" w:color="auto"/>
              <w:left w:val="single" w:sz="4" w:space="0" w:color="auto"/>
              <w:bottom w:val="single" w:sz="4" w:space="0" w:color="auto"/>
              <w:right w:val="single" w:sz="4" w:space="0" w:color="auto"/>
            </w:tcBorders>
            <w:vAlign w:val="center"/>
          </w:tcPr>
          <w:p w14:paraId="19820D2F" w14:textId="594DAAC4"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2D408D6E" w14:textId="139D07C8" w:rsidR="00A91CD0" w:rsidRPr="006524DF" w:rsidRDefault="00A91CD0" w:rsidP="0021415D">
            <w:pPr>
              <w:widowControl w:val="0"/>
              <w:contextualSpacing/>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A91CD0" w:rsidRPr="006524DF" w14:paraId="166F1F0B"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55DF8FDD" w14:textId="77777777"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BOT/PHA/80/TAS/20</w:t>
            </w:r>
          </w:p>
        </w:tc>
        <w:tc>
          <w:tcPr>
            <w:tcW w:w="939" w:type="pct"/>
            <w:tcBorders>
              <w:top w:val="single" w:sz="4" w:space="0" w:color="auto"/>
              <w:left w:val="single" w:sz="4" w:space="0" w:color="auto"/>
              <w:bottom w:val="single" w:sz="4" w:space="0" w:color="auto"/>
              <w:right w:val="single" w:sz="4" w:space="0" w:color="auto"/>
            </w:tcBorders>
            <w:vAlign w:val="center"/>
          </w:tcPr>
          <w:p w14:paraId="7C9EFFA7" w14:textId="77777777"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7AC298DC" w14:textId="77777777" w:rsidR="00A91CD0" w:rsidRPr="006524DF" w:rsidRDefault="00A91CD0" w:rsidP="0021415D">
            <w:pPr>
              <w:widowControl w:val="0"/>
              <w:contextualSpacing/>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A91CD0" w:rsidRPr="006524DF" w14:paraId="228CA576"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5CC8F083" w14:textId="05A4B295"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BZE/PHA/82/TAS/35</w:t>
            </w:r>
          </w:p>
        </w:tc>
        <w:tc>
          <w:tcPr>
            <w:tcW w:w="939" w:type="pct"/>
            <w:tcBorders>
              <w:top w:val="single" w:sz="4" w:space="0" w:color="auto"/>
              <w:left w:val="single" w:sz="4" w:space="0" w:color="auto"/>
              <w:bottom w:val="single" w:sz="4" w:space="0" w:color="auto"/>
              <w:right w:val="single" w:sz="4" w:space="0" w:color="auto"/>
            </w:tcBorders>
            <w:vAlign w:val="center"/>
          </w:tcPr>
          <w:p w14:paraId="23BFC761" w14:textId="4C82C453"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0F509C66" w14:textId="4FB27EF7" w:rsidR="00A91CD0" w:rsidRPr="006524DF" w:rsidRDefault="00A91CD0" w:rsidP="0021415D">
            <w:pPr>
              <w:widowControl w:val="0"/>
              <w:contextualSpacing/>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A91CD0" w:rsidRPr="006524DF" w14:paraId="03B0D453"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6011C41B" w14:textId="77E07994"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CPR/ARS/56/INV/473</w:t>
            </w:r>
          </w:p>
        </w:tc>
        <w:tc>
          <w:tcPr>
            <w:tcW w:w="939" w:type="pct"/>
            <w:tcBorders>
              <w:top w:val="single" w:sz="4" w:space="0" w:color="auto"/>
              <w:left w:val="single" w:sz="4" w:space="0" w:color="auto"/>
              <w:bottom w:val="single" w:sz="4" w:space="0" w:color="auto"/>
              <w:right w:val="single" w:sz="4" w:space="0" w:color="auto"/>
            </w:tcBorders>
            <w:vAlign w:val="center"/>
          </w:tcPr>
          <w:p w14:paraId="249D1993" w14:textId="090A4203"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39EAE71B" w14:textId="5C12E011" w:rsidR="00A91CD0" w:rsidRPr="006524DF" w:rsidRDefault="00A91CD0" w:rsidP="0021415D">
            <w:pPr>
              <w:widowControl w:val="0"/>
              <w:contextualSpacing/>
              <w:rPr>
                <w:bCs/>
                <w:sz w:val="20"/>
                <w:szCs w:val="20"/>
                <w:lang w:val="en-CA" w:eastAsia="en-CA"/>
              </w:rPr>
            </w:pPr>
            <w:r w:rsidRPr="006524DF">
              <w:rPr>
                <w:bCs/>
                <w:sz w:val="20"/>
                <w:szCs w:val="20"/>
                <w:lang w:val="en-CA" w:eastAsia="en-CA"/>
              </w:rPr>
              <w:t>Sector plan for phase-out of CFCs consumption in Metred</w:t>
            </w:r>
            <w:r w:rsidRPr="006524DF">
              <w:rPr>
                <w:bCs/>
                <w:sz w:val="20"/>
                <w:szCs w:val="20"/>
                <w:lang w:val="en-CA" w:eastAsia="en-CA"/>
              </w:rPr>
              <w:noBreakHyphen/>
              <w:t>Dose Inhalers sector</w:t>
            </w:r>
          </w:p>
        </w:tc>
      </w:tr>
      <w:tr w:rsidR="00A91CD0" w:rsidRPr="006524DF" w14:paraId="4246B848"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518D0DA3" w14:textId="717F6682"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CUB/PHA/82/TAS/60</w:t>
            </w:r>
          </w:p>
        </w:tc>
        <w:tc>
          <w:tcPr>
            <w:tcW w:w="939" w:type="pct"/>
            <w:tcBorders>
              <w:top w:val="single" w:sz="4" w:space="0" w:color="auto"/>
              <w:left w:val="single" w:sz="4" w:space="0" w:color="auto"/>
              <w:bottom w:val="single" w:sz="4" w:space="0" w:color="auto"/>
              <w:right w:val="single" w:sz="4" w:space="0" w:color="auto"/>
            </w:tcBorders>
            <w:vAlign w:val="center"/>
          </w:tcPr>
          <w:p w14:paraId="2B511197" w14:textId="11D01A2B"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UNDP</w:t>
            </w:r>
          </w:p>
        </w:tc>
        <w:tc>
          <w:tcPr>
            <w:tcW w:w="2826" w:type="pct"/>
            <w:tcBorders>
              <w:top w:val="single" w:sz="4" w:space="0" w:color="auto"/>
              <w:left w:val="single" w:sz="4" w:space="0" w:color="auto"/>
              <w:bottom w:val="single" w:sz="4" w:space="0" w:color="auto"/>
              <w:right w:val="single" w:sz="4" w:space="0" w:color="auto"/>
            </w:tcBorders>
            <w:vAlign w:val="center"/>
          </w:tcPr>
          <w:p w14:paraId="601C8C7E" w14:textId="7788A122" w:rsidR="00A91CD0" w:rsidRPr="006524DF" w:rsidRDefault="00A91CD0" w:rsidP="0021415D">
            <w:pPr>
              <w:widowControl w:val="0"/>
              <w:contextualSpacing/>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4A117703"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67B003EE" w14:textId="1BA04DA0"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DOM/REF/81/INV/64</w:t>
            </w:r>
          </w:p>
        </w:tc>
        <w:tc>
          <w:tcPr>
            <w:tcW w:w="939" w:type="pct"/>
            <w:tcBorders>
              <w:top w:val="single" w:sz="4" w:space="0" w:color="auto"/>
              <w:left w:val="single" w:sz="4" w:space="0" w:color="auto"/>
              <w:bottom w:val="single" w:sz="4" w:space="0" w:color="auto"/>
              <w:right w:val="single" w:sz="4" w:space="0" w:color="auto"/>
            </w:tcBorders>
            <w:vAlign w:val="center"/>
          </w:tcPr>
          <w:p w14:paraId="6693AEB4" w14:textId="6A75EB2F"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Canada</w:t>
            </w:r>
          </w:p>
        </w:tc>
        <w:tc>
          <w:tcPr>
            <w:tcW w:w="2826" w:type="pct"/>
            <w:tcBorders>
              <w:top w:val="single" w:sz="4" w:space="0" w:color="auto"/>
              <w:left w:val="single" w:sz="4" w:space="0" w:color="auto"/>
              <w:bottom w:val="single" w:sz="4" w:space="0" w:color="auto"/>
              <w:right w:val="single" w:sz="4" w:space="0" w:color="auto"/>
            </w:tcBorders>
            <w:vAlign w:val="center"/>
          </w:tcPr>
          <w:p w14:paraId="4AA22926" w14:textId="67D15985" w:rsidR="00E82F97" w:rsidRPr="006524DF" w:rsidRDefault="00E82F97" w:rsidP="0021415D">
            <w:pPr>
              <w:widowControl w:val="0"/>
              <w:contextualSpacing/>
              <w:rPr>
                <w:bCs/>
                <w:sz w:val="20"/>
                <w:szCs w:val="20"/>
                <w:lang w:val="en-CA" w:eastAsia="en-CA"/>
              </w:rPr>
            </w:pPr>
            <w:r w:rsidRPr="006524DF">
              <w:rPr>
                <w:bCs/>
                <w:sz w:val="20"/>
                <w:szCs w:val="20"/>
                <w:lang w:val="en-CA" w:eastAsia="en-CA"/>
              </w:rPr>
              <w:t xml:space="preserve">Conversion of a commercial refrigerator manufacturing line at </w:t>
            </w:r>
            <w:proofErr w:type="spellStart"/>
            <w:r w:rsidRPr="006524DF">
              <w:rPr>
                <w:bCs/>
                <w:sz w:val="20"/>
                <w:szCs w:val="20"/>
                <w:lang w:val="en-CA" w:eastAsia="en-CA"/>
              </w:rPr>
              <w:t>Fábrica</w:t>
            </w:r>
            <w:proofErr w:type="spellEnd"/>
            <w:r w:rsidRPr="006524DF">
              <w:rPr>
                <w:bCs/>
                <w:sz w:val="20"/>
                <w:szCs w:val="20"/>
                <w:lang w:val="en-CA" w:eastAsia="en-CA"/>
              </w:rPr>
              <w:t xml:space="preserve"> de </w:t>
            </w:r>
            <w:proofErr w:type="spellStart"/>
            <w:r w:rsidRPr="006524DF">
              <w:rPr>
                <w:bCs/>
                <w:sz w:val="20"/>
                <w:szCs w:val="20"/>
                <w:lang w:val="en-CA" w:eastAsia="en-CA"/>
              </w:rPr>
              <w:t>Refrigeradores</w:t>
            </w:r>
            <w:proofErr w:type="spellEnd"/>
            <w:r w:rsidRPr="006524DF">
              <w:rPr>
                <w:bCs/>
                <w:sz w:val="20"/>
                <w:szCs w:val="20"/>
                <w:lang w:val="en-CA" w:eastAsia="en-CA"/>
              </w:rPr>
              <w:t xml:space="preserve"> </w:t>
            </w:r>
            <w:proofErr w:type="spellStart"/>
            <w:r w:rsidRPr="006524DF">
              <w:rPr>
                <w:bCs/>
                <w:sz w:val="20"/>
                <w:szCs w:val="20"/>
                <w:lang w:val="en-CA" w:eastAsia="en-CA"/>
              </w:rPr>
              <w:t>Comerciales</w:t>
            </w:r>
            <w:proofErr w:type="spellEnd"/>
            <w:r w:rsidRPr="006524DF">
              <w:rPr>
                <w:bCs/>
                <w:sz w:val="20"/>
                <w:szCs w:val="20"/>
                <w:lang w:val="en-CA" w:eastAsia="en-CA"/>
              </w:rPr>
              <w:t>, SRL (FARCO) from HFC-134a and R-404A to propane (R-290) as refrigerant</w:t>
            </w:r>
          </w:p>
        </w:tc>
      </w:tr>
      <w:tr w:rsidR="00A91CD0" w:rsidRPr="006524DF" w14:paraId="0683704A"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40EE8882" w14:textId="6A4A3B37"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ERI/PHA/82/TAS/17</w:t>
            </w:r>
          </w:p>
        </w:tc>
        <w:tc>
          <w:tcPr>
            <w:tcW w:w="939" w:type="pct"/>
            <w:tcBorders>
              <w:top w:val="single" w:sz="4" w:space="0" w:color="auto"/>
              <w:left w:val="single" w:sz="4" w:space="0" w:color="auto"/>
              <w:bottom w:val="single" w:sz="4" w:space="0" w:color="auto"/>
              <w:right w:val="single" w:sz="4" w:space="0" w:color="auto"/>
            </w:tcBorders>
            <w:vAlign w:val="center"/>
          </w:tcPr>
          <w:p w14:paraId="19F7BFC4" w14:textId="4213B0DF"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50848231" w14:textId="08753AA0" w:rsidR="00A91CD0" w:rsidRPr="006524DF" w:rsidRDefault="00A91CD0" w:rsidP="0021415D">
            <w:pPr>
              <w:widowControl w:val="0"/>
              <w:contextualSpacing/>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A91CD0" w:rsidRPr="006524DF" w14:paraId="4A73121A"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7A3753B5" w14:textId="204F9983"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FIJ/PHA/82/TAS/35</w:t>
            </w:r>
          </w:p>
        </w:tc>
        <w:tc>
          <w:tcPr>
            <w:tcW w:w="939" w:type="pct"/>
            <w:tcBorders>
              <w:top w:val="single" w:sz="4" w:space="0" w:color="auto"/>
              <w:left w:val="single" w:sz="4" w:space="0" w:color="auto"/>
              <w:bottom w:val="single" w:sz="4" w:space="0" w:color="auto"/>
              <w:right w:val="single" w:sz="4" w:space="0" w:color="auto"/>
            </w:tcBorders>
            <w:vAlign w:val="center"/>
          </w:tcPr>
          <w:p w14:paraId="37933D5E" w14:textId="3E89DF05"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UNDP</w:t>
            </w:r>
          </w:p>
        </w:tc>
        <w:tc>
          <w:tcPr>
            <w:tcW w:w="2826" w:type="pct"/>
            <w:tcBorders>
              <w:top w:val="single" w:sz="4" w:space="0" w:color="auto"/>
              <w:left w:val="single" w:sz="4" w:space="0" w:color="auto"/>
              <w:bottom w:val="single" w:sz="4" w:space="0" w:color="auto"/>
              <w:right w:val="single" w:sz="4" w:space="0" w:color="auto"/>
            </w:tcBorders>
            <w:vAlign w:val="center"/>
          </w:tcPr>
          <w:p w14:paraId="26A6074E" w14:textId="4A3D9A7B" w:rsidR="00A91CD0" w:rsidRPr="006524DF" w:rsidRDefault="00A91CD0" w:rsidP="0021415D">
            <w:pPr>
              <w:widowControl w:val="0"/>
              <w:contextualSpacing/>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A91CD0" w:rsidRPr="006524DF" w14:paraId="0A4F6C11"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7CAC22DC" w14:textId="05A2083E"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GAM/PHA/82/TAS/36</w:t>
            </w:r>
          </w:p>
        </w:tc>
        <w:tc>
          <w:tcPr>
            <w:tcW w:w="939" w:type="pct"/>
            <w:tcBorders>
              <w:top w:val="single" w:sz="4" w:space="0" w:color="auto"/>
              <w:left w:val="single" w:sz="4" w:space="0" w:color="auto"/>
              <w:bottom w:val="single" w:sz="4" w:space="0" w:color="auto"/>
              <w:right w:val="single" w:sz="4" w:space="0" w:color="auto"/>
            </w:tcBorders>
            <w:vAlign w:val="center"/>
          </w:tcPr>
          <w:p w14:paraId="72C24456" w14:textId="4F659073"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21C47F2B" w14:textId="06635BE1" w:rsidR="00A91CD0" w:rsidRPr="006524DF" w:rsidRDefault="00A91CD0" w:rsidP="0021415D">
            <w:pPr>
              <w:widowControl w:val="0"/>
              <w:contextualSpacing/>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A91CD0" w:rsidRPr="006524DF" w14:paraId="0ED66FBB"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2B56F2B0" w14:textId="7E4C82E8"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GBS/PHA/82/TAS/25</w:t>
            </w:r>
          </w:p>
        </w:tc>
        <w:tc>
          <w:tcPr>
            <w:tcW w:w="939" w:type="pct"/>
            <w:tcBorders>
              <w:top w:val="single" w:sz="4" w:space="0" w:color="auto"/>
              <w:left w:val="single" w:sz="4" w:space="0" w:color="auto"/>
              <w:bottom w:val="single" w:sz="4" w:space="0" w:color="auto"/>
              <w:right w:val="single" w:sz="4" w:space="0" w:color="auto"/>
            </w:tcBorders>
            <w:vAlign w:val="center"/>
          </w:tcPr>
          <w:p w14:paraId="41A91C82" w14:textId="310A0F24"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0FB78783" w14:textId="69F3B776" w:rsidR="00A91CD0" w:rsidRPr="006524DF" w:rsidRDefault="00A91CD0" w:rsidP="0021415D">
            <w:pPr>
              <w:widowControl w:val="0"/>
              <w:contextualSpacing/>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A91CD0" w:rsidRPr="006524DF" w14:paraId="5D83F8E5"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4006AADC" w14:textId="77777777"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GLO/REF/47/DEM/268</w:t>
            </w:r>
          </w:p>
        </w:tc>
        <w:tc>
          <w:tcPr>
            <w:tcW w:w="939" w:type="pct"/>
            <w:tcBorders>
              <w:top w:val="single" w:sz="4" w:space="0" w:color="auto"/>
              <w:left w:val="single" w:sz="4" w:space="0" w:color="auto"/>
              <w:bottom w:val="single" w:sz="4" w:space="0" w:color="auto"/>
              <w:right w:val="single" w:sz="4" w:space="0" w:color="auto"/>
            </w:tcBorders>
            <w:noWrap/>
            <w:vAlign w:val="center"/>
          </w:tcPr>
          <w:p w14:paraId="5AD586CC" w14:textId="77777777"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World Bank</w:t>
            </w:r>
          </w:p>
        </w:tc>
        <w:tc>
          <w:tcPr>
            <w:tcW w:w="2826" w:type="pct"/>
            <w:tcBorders>
              <w:top w:val="single" w:sz="4" w:space="0" w:color="auto"/>
              <w:left w:val="single" w:sz="4" w:space="0" w:color="auto"/>
              <w:bottom w:val="single" w:sz="4" w:space="0" w:color="auto"/>
              <w:right w:val="single" w:sz="4" w:space="0" w:color="auto"/>
            </w:tcBorders>
            <w:vAlign w:val="center"/>
          </w:tcPr>
          <w:p w14:paraId="4CA127E2" w14:textId="77777777" w:rsidR="00A91CD0" w:rsidRPr="006524DF" w:rsidRDefault="00A91CD0" w:rsidP="0021415D">
            <w:pPr>
              <w:widowControl w:val="0"/>
              <w:contextualSpacing/>
              <w:rPr>
                <w:sz w:val="20"/>
                <w:szCs w:val="20"/>
                <w:lang w:val="en-CA" w:eastAsia="en-CA"/>
              </w:rPr>
            </w:pPr>
            <w:r w:rsidRPr="006524DF">
              <w:rPr>
                <w:sz w:val="20"/>
                <w:szCs w:val="20"/>
                <w:lang w:val="en-CA" w:eastAsia="en-CA"/>
              </w:rPr>
              <w:t>Global chiller replacement project (China, India, Indonesia, Malaysia and Philippines)</w:t>
            </w:r>
          </w:p>
        </w:tc>
      </w:tr>
      <w:tr w:rsidR="00A91CD0" w:rsidRPr="006524DF" w14:paraId="0E060B92"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2AF04355" w14:textId="77777777" w:rsidR="00A91CD0" w:rsidRPr="006524DF" w:rsidRDefault="00A91CD0" w:rsidP="003575C8">
            <w:pPr>
              <w:widowControl w:val="0"/>
              <w:contextualSpacing/>
              <w:jc w:val="left"/>
              <w:rPr>
                <w:b/>
                <w:bCs/>
                <w:sz w:val="20"/>
                <w:szCs w:val="20"/>
                <w:lang w:val="en-CA" w:eastAsia="en-CA"/>
              </w:rPr>
            </w:pPr>
            <w:r w:rsidRPr="006524DF">
              <w:rPr>
                <w:sz w:val="20"/>
                <w:szCs w:val="20"/>
                <w:lang w:val="en-CA" w:eastAsia="en-CA"/>
              </w:rPr>
              <w:t>GLO/SEV/47/TAS/269</w:t>
            </w:r>
          </w:p>
        </w:tc>
        <w:tc>
          <w:tcPr>
            <w:tcW w:w="939" w:type="pct"/>
            <w:tcBorders>
              <w:top w:val="single" w:sz="4" w:space="0" w:color="auto"/>
              <w:left w:val="single" w:sz="4" w:space="0" w:color="auto"/>
              <w:bottom w:val="single" w:sz="4" w:space="0" w:color="auto"/>
              <w:right w:val="single" w:sz="4" w:space="0" w:color="auto"/>
            </w:tcBorders>
            <w:vAlign w:val="center"/>
          </w:tcPr>
          <w:p w14:paraId="5E53DB0F" w14:textId="77777777"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Portugal</w:t>
            </w:r>
          </w:p>
        </w:tc>
        <w:tc>
          <w:tcPr>
            <w:tcW w:w="2826" w:type="pct"/>
            <w:tcBorders>
              <w:top w:val="single" w:sz="4" w:space="0" w:color="auto"/>
              <w:left w:val="single" w:sz="4" w:space="0" w:color="auto"/>
              <w:bottom w:val="single" w:sz="4" w:space="0" w:color="auto"/>
              <w:right w:val="single" w:sz="4" w:space="0" w:color="auto"/>
            </w:tcBorders>
            <w:vAlign w:val="center"/>
          </w:tcPr>
          <w:p w14:paraId="5207BDB8" w14:textId="77777777" w:rsidR="00A91CD0" w:rsidRPr="006524DF" w:rsidRDefault="00A91CD0" w:rsidP="0021415D">
            <w:pPr>
              <w:widowControl w:val="0"/>
              <w:contextualSpacing/>
              <w:rPr>
                <w:bCs/>
                <w:sz w:val="20"/>
                <w:szCs w:val="20"/>
                <w:lang w:val="en-CA" w:eastAsia="en-CA"/>
              </w:rPr>
            </w:pPr>
            <w:r w:rsidRPr="006524DF">
              <w:rPr>
                <w:bCs/>
                <w:sz w:val="20"/>
                <w:szCs w:val="20"/>
                <w:lang w:val="en-CA" w:eastAsia="en-CA"/>
              </w:rPr>
              <w:t>Communication and cooperation support to Portuguese speaking countries (Angola, Cape Verde, East Timor, Guinea Bissau, Mozambique and Sao Tome and Principe)</w:t>
            </w:r>
          </w:p>
        </w:tc>
      </w:tr>
      <w:tr w:rsidR="00A91CD0" w:rsidRPr="006524DF" w14:paraId="7C93D8C0"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18F69DB5" w14:textId="77777777"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GLO/SEV/63/TAS/309</w:t>
            </w:r>
          </w:p>
        </w:tc>
        <w:tc>
          <w:tcPr>
            <w:tcW w:w="939" w:type="pct"/>
            <w:tcBorders>
              <w:top w:val="single" w:sz="4" w:space="0" w:color="auto"/>
              <w:left w:val="single" w:sz="4" w:space="0" w:color="auto"/>
              <w:bottom w:val="single" w:sz="4" w:space="0" w:color="auto"/>
              <w:right w:val="single" w:sz="4" w:space="0" w:color="auto"/>
            </w:tcBorders>
            <w:noWrap/>
            <w:vAlign w:val="center"/>
          </w:tcPr>
          <w:p w14:paraId="480CEF09" w14:textId="77777777"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World Bank</w:t>
            </w:r>
          </w:p>
        </w:tc>
        <w:tc>
          <w:tcPr>
            <w:tcW w:w="2826" w:type="pct"/>
            <w:tcBorders>
              <w:top w:val="single" w:sz="4" w:space="0" w:color="auto"/>
              <w:left w:val="single" w:sz="4" w:space="0" w:color="auto"/>
              <w:bottom w:val="single" w:sz="4" w:space="0" w:color="auto"/>
              <w:right w:val="single" w:sz="4" w:space="0" w:color="auto"/>
            </w:tcBorders>
            <w:vAlign w:val="center"/>
          </w:tcPr>
          <w:p w14:paraId="333B14A5" w14:textId="77777777" w:rsidR="00A91CD0" w:rsidRPr="006524DF" w:rsidRDefault="00A91CD0" w:rsidP="0021415D">
            <w:pPr>
              <w:widowControl w:val="0"/>
              <w:contextualSpacing/>
              <w:rPr>
                <w:sz w:val="20"/>
                <w:szCs w:val="20"/>
                <w:lang w:val="en-CA" w:eastAsia="en-CA"/>
              </w:rPr>
            </w:pPr>
            <w:r w:rsidRPr="006524DF">
              <w:rPr>
                <w:sz w:val="20"/>
                <w:szCs w:val="20"/>
                <w:lang w:val="en-CA" w:eastAsia="en-CA"/>
              </w:rPr>
              <w:t>Resource mobilization for HCFC phase-out co-benefits study</w:t>
            </w:r>
          </w:p>
        </w:tc>
      </w:tr>
      <w:tr w:rsidR="00A91CD0" w:rsidRPr="006524DF" w14:paraId="324A4AAB"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4EEF43A5" w14:textId="77777777"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IND/HAL/34/INV/315</w:t>
            </w:r>
          </w:p>
        </w:tc>
        <w:tc>
          <w:tcPr>
            <w:tcW w:w="939" w:type="pct"/>
            <w:tcBorders>
              <w:top w:val="single" w:sz="4" w:space="0" w:color="auto"/>
              <w:left w:val="single" w:sz="4" w:space="0" w:color="auto"/>
              <w:bottom w:val="single" w:sz="4" w:space="0" w:color="auto"/>
              <w:right w:val="single" w:sz="4" w:space="0" w:color="auto"/>
            </w:tcBorders>
            <w:noWrap/>
            <w:vAlign w:val="center"/>
          </w:tcPr>
          <w:p w14:paraId="4C03018F" w14:textId="77777777"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World Bank</w:t>
            </w:r>
          </w:p>
        </w:tc>
        <w:tc>
          <w:tcPr>
            <w:tcW w:w="2826" w:type="pct"/>
            <w:tcBorders>
              <w:top w:val="single" w:sz="4" w:space="0" w:color="auto"/>
              <w:left w:val="single" w:sz="4" w:space="0" w:color="auto"/>
              <w:bottom w:val="single" w:sz="4" w:space="0" w:color="auto"/>
              <w:right w:val="single" w:sz="4" w:space="0" w:color="auto"/>
            </w:tcBorders>
            <w:vAlign w:val="center"/>
          </w:tcPr>
          <w:p w14:paraId="2A5FA504" w14:textId="77777777" w:rsidR="00A91CD0" w:rsidRPr="006524DF" w:rsidRDefault="00A91CD0" w:rsidP="0021415D">
            <w:pPr>
              <w:widowControl w:val="0"/>
              <w:contextualSpacing/>
              <w:rPr>
                <w:sz w:val="20"/>
                <w:szCs w:val="20"/>
                <w:lang w:val="en-CA" w:eastAsia="en-CA"/>
              </w:rPr>
            </w:pPr>
            <w:r w:rsidRPr="006524DF">
              <w:rPr>
                <w:sz w:val="20"/>
                <w:szCs w:val="20"/>
                <w:lang w:val="en-CA" w:eastAsia="en-CA"/>
              </w:rPr>
              <w:t>Halon production and consumption sector phase out plan</w:t>
            </w:r>
          </w:p>
        </w:tc>
      </w:tr>
      <w:tr w:rsidR="00A91CD0" w:rsidRPr="006524DF" w14:paraId="796AA4BB"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671F4F25" w14:textId="77777777" w:rsidR="00A91CD0" w:rsidRPr="006524DF" w:rsidRDefault="00A91CD0" w:rsidP="003575C8">
            <w:pPr>
              <w:widowControl w:val="0"/>
              <w:contextualSpacing/>
              <w:jc w:val="left"/>
              <w:rPr>
                <w:b/>
                <w:bCs/>
                <w:sz w:val="20"/>
                <w:szCs w:val="20"/>
                <w:lang w:val="en-CA" w:eastAsia="en-CA"/>
              </w:rPr>
            </w:pPr>
            <w:r w:rsidRPr="006524DF">
              <w:rPr>
                <w:sz w:val="20"/>
                <w:szCs w:val="20"/>
                <w:lang w:val="en-CA" w:eastAsia="en-CA"/>
              </w:rPr>
              <w:t>JOR/FUM/29/INV/54</w:t>
            </w:r>
          </w:p>
        </w:tc>
        <w:tc>
          <w:tcPr>
            <w:tcW w:w="939" w:type="pct"/>
            <w:tcBorders>
              <w:top w:val="single" w:sz="4" w:space="0" w:color="auto"/>
              <w:left w:val="single" w:sz="4" w:space="0" w:color="auto"/>
              <w:bottom w:val="single" w:sz="4" w:space="0" w:color="auto"/>
              <w:right w:val="single" w:sz="4" w:space="0" w:color="auto"/>
            </w:tcBorders>
            <w:vAlign w:val="center"/>
          </w:tcPr>
          <w:p w14:paraId="372C3428" w14:textId="77777777"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Germany</w:t>
            </w:r>
          </w:p>
        </w:tc>
        <w:tc>
          <w:tcPr>
            <w:tcW w:w="2826" w:type="pct"/>
            <w:tcBorders>
              <w:top w:val="single" w:sz="4" w:space="0" w:color="auto"/>
              <w:left w:val="single" w:sz="4" w:space="0" w:color="auto"/>
              <w:bottom w:val="single" w:sz="4" w:space="0" w:color="auto"/>
              <w:right w:val="single" w:sz="4" w:space="0" w:color="auto"/>
            </w:tcBorders>
            <w:vAlign w:val="center"/>
          </w:tcPr>
          <w:p w14:paraId="35D9A3B8" w14:textId="77777777" w:rsidR="00A91CD0" w:rsidRPr="006524DF" w:rsidRDefault="00A91CD0" w:rsidP="0021415D">
            <w:pPr>
              <w:widowControl w:val="0"/>
              <w:contextualSpacing/>
              <w:rPr>
                <w:bCs/>
                <w:sz w:val="20"/>
                <w:szCs w:val="20"/>
                <w:lang w:val="en-CA" w:eastAsia="en-CA"/>
              </w:rPr>
            </w:pPr>
            <w:r w:rsidRPr="006524DF">
              <w:rPr>
                <w:bCs/>
                <w:sz w:val="20"/>
                <w:szCs w:val="20"/>
                <w:lang w:val="en-CA" w:eastAsia="en-CA"/>
              </w:rPr>
              <w:t>Complete phase-out of the use of methyl bromide in Jordan</w:t>
            </w:r>
          </w:p>
        </w:tc>
      </w:tr>
      <w:tr w:rsidR="00A91CD0" w:rsidRPr="006524DF" w14:paraId="3A6B20E3"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0B3E8070" w14:textId="77777777"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JOR/PHA/38/INV/77</w:t>
            </w:r>
          </w:p>
        </w:tc>
        <w:tc>
          <w:tcPr>
            <w:tcW w:w="939" w:type="pct"/>
            <w:tcBorders>
              <w:top w:val="single" w:sz="4" w:space="0" w:color="auto"/>
              <w:left w:val="single" w:sz="4" w:space="0" w:color="auto"/>
              <w:bottom w:val="single" w:sz="4" w:space="0" w:color="auto"/>
              <w:right w:val="single" w:sz="4" w:space="0" w:color="auto"/>
            </w:tcBorders>
            <w:noWrap/>
            <w:vAlign w:val="center"/>
          </w:tcPr>
          <w:p w14:paraId="77D20EBE" w14:textId="77777777"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World Bank</w:t>
            </w:r>
          </w:p>
        </w:tc>
        <w:tc>
          <w:tcPr>
            <w:tcW w:w="2826" w:type="pct"/>
            <w:tcBorders>
              <w:top w:val="single" w:sz="4" w:space="0" w:color="auto"/>
              <w:left w:val="single" w:sz="4" w:space="0" w:color="auto"/>
              <w:bottom w:val="single" w:sz="4" w:space="0" w:color="auto"/>
              <w:right w:val="single" w:sz="4" w:space="0" w:color="auto"/>
            </w:tcBorders>
            <w:vAlign w:val="center"/>
          </w:tcPr>
          <w:p w14:paraId="508C88DB" w14:textId="77777777" w:rsidR="00A91CD0" w:rsidRPr="006524DF" w:rsidRDefault="00A91CD0" w:rsidP="0021415D">
            <w:pPr>
              <w:widowControl w:val="0"/>
              <w:contextualSpacing/>
              <w:rPr>
                <w:sz w:val="20"/>
                <w:szCs w:val="20"/>
                <w:lang w:val="en-CA" w:eastAsia="en-CA"/>
              </w:rPr>
            </w:pPr>
            <w:r w:rsidRPr="006524DF">
              <w:rPr>
                <w:sz w:val="20"/>
                <w:szCs w:val="20"/>
                <w:lang w:val="en-CA" w:eastAsia="en-CA"/>
              </w:rPr>
              <w:t>National ODS phase-out plan: aerosol, foam, MAC service and solvent sectors</w:t>
            </w:r>
          </w:p>
        </w:tc>
      </w:tr>
      <w:tr w:rsidR="00A91CD0" w:rsidRPr="006524DF" w14:paraId="54F0CB17"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1116A5DB" w14:textId="471C61CF"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JOR/REF/81/INV/103</w:t>
            </w:r>
          </w:p>
        </w:tc>
        <w:tc>
          <w:tcPr>
            <w:tcW w:w="939" w:type="pct"/>
            <w:tcBorders>
              <w:top w:val="single" w:sz="4" w:space="0" w:color="auto"/>
              <w:left w:val="single" w:sz="4" w:space="0" w:color="auto"/>
              <w:bottom w:val="single" w:sz="4" w:space="0" w:color="auto"/>
              <w:right w:val="single" w:sz="4" w:space="0" w:color="auto"/>
            </w:tcBorders>
            <w:noWrap/>
            <w:vAlign w:val="center"/>
          </w:tcPr>
          <w:p w14:paraId="2CE58A7E" w14:textId="5BBA70A2"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7CFEC5A2" w14:textId="57E8F9CA" w:rsidR="00A91CD0" w:rsidRPr="006524DF" w:rsidRDefault="00A91CD0" w:rsidP="0021415D">
            <w:pPr>
              <w:widowControl w:val="0"/>
              <w:contextualSpacing/>
              <w:rPr>
                <w:sz w:val="20"/>
                <w:szCs w:val="20"/>
                <w:lang w:val="en-CA" w:eastAsia="en-CA"/>
              </w:rPr>
            </w:pPr>
            <w:r w:rsidRPr="006524DF">
              <w:rPr>
                <w:sz w:val="20"/>
                <w:szCs w:val="20"/>
                <w:lang w:val="en-CA" w:eastAsia="en-CA"/>
              </w:rPr>
              <w:t>Conversion of large commercial unitary roof top air</w:t>
            </w:r>
            <w:r w:rsidRPr="006524DF">
              <w:rPr>
                <w:sz w:val="20"/>
                <w:szCs w:val="20"/>
                <w:lang w:val="en-CA" w:eastAsia="en-CA"/>
              </w:rPr>
              <w:noBreakHyphen/>
              <w:t>conditioning units of up to 400kW manufacturing facility from HFC (R134a, R</w:t>
            </w:r>
            <w:r w:rsidR="00014AA9" w:rsidRPr="006524DF">
              <w:rPr>
                <w:sz w:val="20"/>
                <w:szCs w:val="20"/>
                <w:lang w:val="en-CA" w:eastAsia="en-CA"/>
              </w:rPr>
              <w:t>-</w:t>
            </w:r>
            <w:r w:rsidRPr="006524DF">
              <w:rPr>
                <w:sz w:val="20"/>
                <w:szCs w:val="20"/>
                <w:lang w:val="en-CA" w:eastAsia="en-CA"/>
              </w:rPr>
              <w:t>407</w:t>
            </w:r>
            <w:r w:rsidR="00014AA9" w:rsidRPr="006524DF">
              <w:rPr>
                <w:sz w:val="20"/>
                <w:szCs w:val="20"/>
                <w:lang w:val="en-CA" w:eastAsia="en-CA"/>
              </w:rPr>
              <w:t>C</w:t>
            </w:r>
            <w:r w:rsidRPr="006524DF">
              <w:rPr>
                <w:sz w:val="20"/>
                <w:szCs w:val="20"/>
                <w:lang w:val="en-CA" w:eastAsia="en-CA"/>
              </w:rPr>
              <w:t>, R</w:t>
            </w:r>
            <w:r w:rsidR="00014AA9" w:rsidRPr="006524DF">
              <w:rPr>
                <w:sz w:val="20"/>
                <w:szCs w:val="20"/>
                <w:lang w:val="en-CA" w:eastAsia="en-CA"/>
              </w:rPr>
              <w:t>-</w:t>
            </w:r>
            <w:r w:rsidRPr="006524DF">
              <w:rPr>
                <w:sz w:val="20"/>
                <w:szCs w:val="20"/>
                <w:lang w:val="en-CA" w:eastAsia="en-CA"/>
              </w:rPr>
              <w:t>410</w:t>
            </w:r>
            <w:r w:rsidR="00014AA9" w:rsidRPr="006524DF">
              <w:rPr>
                <w:sz w:val="20"/>
                <w:szCs w:val="20"/>
                <w:lang w:val="en-CA" w:eastAsia="en-CA"/>
              </w:rPr>
              <w:t>A</w:t>
            </w:r>
            <w:r w:rsidRPr="006524DF">
              <w:rPr>
                <w:sz w:val="20"/>
                <w:szCs w:val="20"/>
                <w:lang w:val="en-CA" w:eastAsia="en-CA"/>
              </w:rPr>
              <w:t>) to propane R</w:t>
            </w:r>
            <w:r w:rsidR="00014AA9" w:rsidRPr="006524DF">
              <w:rPr>
                <w:sz w:val="20"/>
                <w:szCs w:val="20"/>
                <w:lang w:val="en-CA" w:eastAsia="en-CA"/>
              </w:rPr>
              <w:noBreakHyphen/>
            </w:r>
            <w:r w:rsidRPr="006524DF">
              <w:rPr>
                <w:sz w:val="20"/>
                <w:szCs w:val="20"/>
                <w:lang w:val="en-CA" w:eastAsia="en-CA"/>
              </w:rPr>
              <w:t>290 as refrigerant at Petra Engineering Industries Co.</w:t>
            </w:r>
          </w:p>
        </w:tc>
      </w:tr>
      <w:tr w:rsidR="00A91CD0" w:rsidRPr="006524DF" w14:paraId="0073DD15"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7E5825CA" w14:textId="1D867DD4"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LEB/REF/81/INV/03+</w:t>
            </w:r>
          </w:p>
        </w:tc>
        <w:tc>
          <w:tcPr>
            <w:tcW w:w="939" w:type="pct"/>
            <w:tcBorders>
              <w:top w:val="single" w:sz="4" w:space="0" w:color="auto"/>
              <w:left w:val="single" w:sz="4" w:space="0" w:color="auto"/>
              <w:bottom w:val="single" w:sz="4" w:space="0" w:color="auto"/>
              <w:right w:val="single" w:sz="4" w:space="0" w:color="auto"/>
            </w:tcBorders>
            <w:noWrap/>
            <w:vAlign w:val="center"/>
          </w:tcPr>
          <w:p w14:paraId="16AEB3AB" w14:textId="5B55F91F"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472F6649" w14:textId="3A4777E5" w:rsidR="00A91CD0" w:rsidRPr="006524DF" w:rsidRDefault="00A91CD0" w:rsidP="0021415D">
            <w:pPr>
              <w:widowControl w:val="0"/>
              <w:contextualSpacing/>
              <w:rPr>
                <w:sz w:val="20"/>
                <w:szCs w:val="20"/>
                <w:lang w:val="en-CA" w:eastAsia="en-CA"/>
              </w:rPr>
            </w:pPr>
            <w:r w:rsidRPr="006524DF">
              <w:rPr>
                <w:sz w:val="20"/>
                <w:szCs w:val="20"/>
                <w:lang w:val="en-CA" w:eastAsia="en-CA"/>
              </w:rPr>
              <w:t>Conversion from HFC-134a and HFC-404A to R-600a and R</w:t>
            </w:r>
            <w:r w:rsidRPr="006524DF">
              <w:rPr>
                <w:sz w:val="20"/>
                <w:szCs w:val="20"/>
                <w:lang w:val="en-CA" w:eastAsia="en-CA"/>
              </w:rPr>
              <w:noBreakHyphen/>
              <w:t xml:space="preserve">290 in domestic refrigeration at </w:t>
            </w:r>
            <w:proofErr w:type="spellStart"/>
            <w:r w:rsidRPr="006524DF">
              <w:rPr>
                <w:sz w:val="20"/>
                <w:szCs w:val="20"/>
                <w:lang w:val="en-CA" w:eastAsia="en-CA"/>
              </w:rPr>
              <w:t>Lematic</w:t>
            </w:r>
            <w:proofErr w:type="spellEnd"/>
            <w:r w:rsidRPr="006524DF">
              <w:rPr>
                <w:sz w:val="20"/>
                <w:szCs w:val="20"/>
                <w:lang w:val="en-CA" w:eastAsia="en-CA"/>
              </w:rPr>
              <w:t xml:space="preserve"> Industries</w:t>
            </w:r>
          </w:p>
        </w:tc>
      </w:tr>
      <w:tr w:rsidR="00E82F97" w:rsidRPr="006524DF" w14:paraId="4A04200A"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7727A356" w14:textId="0E6D1359" w:rsidR="00E82F97" w:rsidRPr="006524DF" w:rsidRDefault="00E82F97" w:rsidP="003575C8">
            <w:pPr>
              <w:widowControl w:val="0"/>
              <w:contextualSpacing/>
              <w:jc w:val="left"/>
              <w:rPr>
                <w:sz w:val="20"/>
                <w:szCs w:val="20"/>
                <w:lang w:val="en-CA" w:eastAsia="en-CA"/>
              </w:rPr>
            </w:pPr>
            <w:r w:rsidRPr="006524DF">
              <w:rPr>
                <w:sz w:val="20"/>
                <w:szCs w:val="20"/>
                <w:lang w:val="en-CA" w:eastAsia="en-CA"/>
              </w:rPr>
              <w:t>LIR/PHA/85/TAS/29</w:t>
            </w:r>
          </w:p>
        </w:tc>
        <w:tc>
          <w:tcPr>
            <w:tcW w:w="939" w:type="pct"/>
            <w:tcBorders>
              <w:top w:val="single" w:sz="4" w:space="0" w:color="auto"/>
              <w:left w:val="single" w:sz="4" w:space="0" w:color="auto"/>
              <w:bottom w:val="single" w:sz="4" w:space="0" w:color="auto"/>
              <w:right w:val="single" w:sz="4" w:space="0" w:color="auto"/>
            </w:tcBorders>
            <w:noWrap/>
            <w:vAlign w:val="center"/>
          </w:tcPr>
          <w:p w14:paraId="46B2242F" w14:textId="1C8169C9" w:rsidR="00E82F97" w:rsidRPr="006524DF" w:rsidRDefault="00E82F97" w:rsidP="003575C8">
            <w:pPr>
              <w:widowControl w:val="0"/>
              <w:contextualSpacing/>
              <w:jc w:val="left"/>
              <w:rPr>
                <w:sz w:val="20"/>
                <w:szCs w:val="20"/>
                <w:lang w:val="en-CA" w:eastAsia="en-CA"/>
              </w:rPr>
            </w:pPr>
            <w:r w:rsidRPr="006524DF">
              <w:rPr>
                <w:sz w:val="20"/>
                <w:szCs w:val="20"/>
                <w:lang w:val="en-CA" w:eastAsia="en-CA"/>
              </w:rPr>
              <w:t>Germany</w:t>
            </w:r>
          </w:p>
        </w:tc>
        <w:tc>
          <w:tcPr>
            <w:tcW w:w="2826" w:type="pct"/>
            <w:tcBorders>
              <w:top w:val="single" w:sz="4" w:space="0" w:color="auto"/>
              <w:left w:val="single" w:sz="4" w:space="0" w:color="auto"/>
              <w:bottom w:val="single" w:sz="4" w:space="0" w:color="auto"/>
              <w:right w:val="single" w:sz="4" w:space="0" w:color="auto"/>
            </w:tcBorders>
            <w:vAlign w:val="center"/>
          </w:tcPr>
          <w:p w14:paraId="3B230859" w14:textId="04AD9F45" w:rsidR="00E82F97" w:rsidRPr="006524DF" w:rsidRDefault="00E82F97" w:rsidP="0021415D">
            <w:pPr>
              <w:widowControl w:val="0"/>
              <w:contextualSpacing/>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4B2731FD"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68955BD6" w14:textId="6D843EFB" w:rsidR="00E82F97" w:rsidRPr="006524DF" w:rsidRDefault="00E82F97" w:rsidP="003575C8">
            <w:pPr>
              <w:widowControl w:val="0"/>
              <w:contextualSpacing/>
              <w:jc w:val="left"/>
              <w:rPr>
                <w:sz w:val="20"/>
                <w:szCs w:val="20"/>
                <w:lang w:val="en-CA" w:eastAsia="en-CA"/>
              </w:rPr>
            </w:pPr>
            <w:r w:rsidRPr="006524DF">
              <w:rPr>
                <w:sz w:val="20"/>
                <w:szCs w:val="20"/>
                <w:lang w:val="en-CA" w:eastAsia="en-CA"/>
              </w:rPr>
              <w:t>MAG/PHA/82/TAS/31</w:t>
            </w:r>
          </w:p>
        </w:tc>
        <w:tc>
          <w:tcPr>
            <w:tcW w:w="939" w:type="pct"/>
            <w:tcBorders>
              <w:top w:val="single" w:sz="4" w:space="0" w:color="auto"/>
              <w:left w:val="single" w:sz="4" w:space="0" w:color="auto"/>
              <w:bottom w:val="single" w:sz="4" w:space="0" w:color="auto"/>
              <w:right w:val="single" w:sz="4" w:space="0" w:color="auto"/>
            </w:tcBorders>
            <w:noWrap/>
            <w:vAlign w:val="center"/>
          </w:tcPr>
          <w:p w14:paraId="44F11C13" w14:textId="232F8A52"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70CEDDFD" w14:textId="71DA240F" w:rsidR="00E82F97" w:rsidRPr="006524DF" w:rsidRDefault="00E82F97" w:rsidP="0021415D">
            <w:pPr>
              <w:widowControl w:val="0"/>
              <w:contextualSpacing/>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40BAA8AD"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5242CEFD" w14:textId="0925CC33" w:rsidR="00E82F97" w:rsidRPr="006524DF" w:rsidRDefault="00E82F97" w:rsidP="003575C8">
            <w:pPr>
              <w:widowControl w:val="0"/>
              <w:contextualSpacing/>
              <w:jc w:val="left"/>
              <w:rPr>
                <w:sz w:val="20"/>
                <w:szCs w:val="20"/>
                <w:lang w:val="en-CA" w:eastAsia="en-CA"/>
              </w:rPr>
            </w:pPr>
            <w:r w:rsidRPr="006524DF">
              <w:rPr>
                <w:sz w:val="20"/>
                <w:szCs w:val="20"/>
                <w:lang w:val="en-CA" w:eastAsia="en-CA"/>
              </w:rPr>
              <w:t>MEX/REF/81/INV/187</w:t>
            </w:r>
          </w:p>
        </w:tc>
        <w:tc>
          <w:tcPr>
            <w:tcW w:w="939" w:type="pct"/>
            <w:tcBorders>
              <w:top w:val="single" w:sz="4" w:space="0" w:color="auto"/>
              <w:left w:val="single" w:sz="4" w:space="0" w:color="auto"/>
              <w:bottom w:val="single" w:sz="4" w:space="0" w:color="auto"/>
              <w:right w:val="single" w:sz="4" w:space="0" w:color="auto"/>
            </w:tcBorders>
            <w:noWrap/>
            <w:vAlign w:val="center"/>
          </w:tcPr>
          <w:p w14:paraId="680BA091" w14:textId="34928618"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UNDP</w:t>
            </w:r>
          </w:p>
        </w:tc>
        <w:tc>
          <w:tcPr>
            <w:tcW w:w="2826" w:type="pct"/>
            <w:tcBorders>
              <w:top w:val="single" w:sz="4" w:space="0" w:color="auto"/>
              <w:left w:val="single" w:sz="4" w:space="0" w:color="auto"/>
              <w:bottom w:val="single" w:sz="4" w:space="0" w:color="auto"/>
              <w:right w:val="single" w:sz="4" w:space="0" w:color="auto"/>
            </w:tcBorders>
            <w:vAlign w:val="center"/>
          </w:tcPr>
          <w:p w14:paraId="211BC0A8" w14:textId="4FE7F587" w:rsidR="00E82F97" w:rsidRPr="006524DF" w:rsidRDefault="00E82F97" w:rsidP="0021415D">
            <w:pPr>
              <w:widowControl w:val="0"/>
              <w:contextualSpacing/>
              <w:rPr>
                <w:bCs/>
                <w:sz w:val="20"/>
                <w:szCs w:val="20"/>
                <w:lang w:val="en-CA" w:eastAsia="en-CA"/>
              </w:rPr>
            </w:pPr>
            <w:r w:rsidRPr="006524DF">
              <w:rPr>
                <w:bCs/>
                <w:sz w:val="20"/>
                <w:szCs w:val="20"/>
                <w:lang w:val="en-CA" w:eastAsia="en-CA"/>
              </w:rPr>
              <w:t>Conversion of domestic refrigeration manufacturing facility from HFC-134a to isobutane as a refrigerant and conversion of compressors manufacturing facility from HFC-134a-based to isobutane-based at Mabe Mexico</w:t>
            </w:r>
          </w:p>
        </w:tc>
      </w:tr>
      <w:tr w:rsidR="00E82F97" w:rsidRPr="006524DF" w14:paraId="238CD247"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6B876D5E" w14:textId="1CE39005" w:rsidR="00E82F97" w:rsidRPr="006524DF" w:rsidRDefault="00E82F97" w:rsidP="003575C8">
            <w:pPr>
              <w:widowControl w:val="0"/>
              <w:contextualSpacing/>
              <w:jc w:val="left"/>
              <w:rPr>
                <w:sz w:val="20"/>
                <w:szCs w:val="20"/>
                <w:lang w:val="en-CA" w:eastAsia="en-CA"/>
              </w:rPr>
            </w:pPr>
            <w:r w:rsidRPr="006524DF">
              <w:rPr>
                <w:sz w:val="20"/>
                <w:szCs w:val="20"/>
                <w:lang w:val="en-CA" w:eastAsia="en-CA"/>
              </w:rPr>
              <w:lastRenderedPageBreak/>
              <w:t>MEX/REF/81/INV/188</w:t>
            </w:r>
          </w:p>
        </w:tc>
        <w:tc>
          <w:tcPr>
            <w:tcW w:w="939" w:type="pct"/>
            <w:tcBorders>
              <w:top w:val="single" w:sz="4" w:space="0" w:color="auto"/>
              <w:left w:val="single" w:sz="4" w:space="0" w:color="auto"/>
              <w:bottom w:val="single" w:sz="4" w:space="0" w:color="auto"/>
              <w:right w:val="single" w:sz="4" w:space="0" w:color="auto"/>
            </w:tcBorders>
            <w:noWrap/>
            <w:vAlign w:val="center"/>
          </w:tcPr>
          <w:p w14:paraId="457BA05D" w14:textId="047E9957"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Canada</w:t>
            </w:r>
          </w:p>
        </w:tc>
        <w:tc>
          <w:tcPr>
            <w:tcW w:w="2826" w:type="pct"/>
            <w:tcBorders>
              <w:top w:val="single" w:sz="4" w:space="0" w:color="auto"/>
              <w:left w:val="single" w:sz="4" w:space="0" w:color="auto"/>
              <w:bottom w:val="single" w:sz="4" w:space="0" w:color="auto"/>
              <w:right w:val="single" w:sz="4" w:space="0" w:color="auto"/>
            </w:tcBorders>
            <w:vAlign w:val="center"/>
          </w:tcPr>
          <w:p w14:paraId="32C3FB4F" w14:textId="450F3136" w:rsidR="00E82F97" w:rsidRPr="006524DF" w:rsidRDefault="00E82F97" w:rsidP="0021415D">
            <w:pPr>
              <w:widowControl w:val="0"/>
              <w:contextualSpacing/>
              <w:rPr>
                <w:bCs/>
                <w:sz w:val="20"/>
                <w:szCs w:val="20"/>
                <w:lang w:val="en-CA" w:eastAsia="en-CA"/>
              </w:rPr>
            </w:pPr>
            <w:r w:rsidRPr="006524DF">
              <w:rPr>
                <w:bCs/>
                <w:sz w:val="20"/>
                <w:szCs w:val="20"/>
                <w:lang w:val="en-CA" w:eastAsia="en-CA"/>
              </w:rPr>
              <w:t>Conversion of domestic refrigeration manufacturing facility from HFC-134a to isobutane as a refrigerant and conversion of compressors manufacturing facility from HFC-134a-based to isobutane-based at Mabe Mexico</w:t>
            </w:r>
          </w:p>
        </w:tc>
      </w:tr>
      <w:tr w:rsidR="00E82F97" w:rsidRPr="006524DF" w14:paraId="4D862D5C"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26880D9E" w14:textId="3D52F555" w:rsidR="00E82F97" w:rsidRPr="006524DF" w:rsidRDefault="00E82F97" w:rsidP="003575C8">
            <w:pPr>
              <w:widowControl w:val="0"/>
              <w:contextualSpacing/>
              <w:jc w:val="left"/>
              <w:rPr>
                <w:sz w:val="20"/>
                <w:szCs w:val="20"/>
                <w:lang w:val="en-CA" w:eastAsia="en-CA"/>
              </w:rPr>
            </w:pPr>
            <w:r w:rsidRPr="006524DF">
              <w:rPr>
                <w:sz w:val="20"/>
                <w:szCs w:val="20"/>
                <w:lang w:val="en-CA" w:eastAsia="en-CA"/>
              </w:rPr>
              <w:t>MLW/PHA/82/TAS/44</w:t>
            </w:r>
          </w:p>
        </w:tc>
        <w:tc>
          <w:tcPr>
            <w:tcW w:w="939" w:type="pct"/>
            <w:tcBorders>
              <w:top w:val="single" w:sz="4" w:space="0" w:color="auto"/>
              <w:left w:val="single" w:sz="4" w:space="0" w:color="auto"/>
              <w:bottom w:val="single" w:sz="4" w:space="0" w:color="auto"/>
              <w:right w:val="single" w:sz="4" w:space="0" w:color="auto"/>
            </w:tcBorders>
            <w:noWrap/>
            <w:vAlign w:val="center"/>
          </w:tcPr>
          <w:p w14:paraId="4C7F384B" w14:textId="317484F1"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479F838A" w14:textId="5E1CD895" w:rsidR="00E82F97" w:rsidRPr="006524DF" w:rsidRDefault="00E82F97" w:rsidP="0021415D">
            <w:pPr>
              <w:widowControl w:val="0"/>
              <w:contextualSpacing/>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0A7F0534"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17EFE1BE" w14:textId="5BA243D8" w:rsidR="00E82F97" w:rsidRPr="006524DF" w:rsidRDefault="00E82F97" w:rsidP="003575C8">
            <w:pPr>
              <w:widowControl w:val="0"/>
              <w:contextualSpacing/>
              <w:jc w:val="left"/>
              <w:rPr>
                <w:sz w:val="20"/>
                <w:szCs w:val="20"/>
                <w:lang w:val="en-CA" w:eastAsia="en-CA"/>
              </w:rPr>
            </w:pPr>
            <w:r w:rsidRPr="006524DF">
              <w:rPr>
                <w:sz w:val="20"/>
                <w:szCs w:val="20"/>
                <w:lang w:val="en-CA" w:eastAsia="en-CA"/>
              </w:rPr>
              <w:t>MOG/PHA/84/TAS/14</w:t>
            </w:r>
          </w:p>
        </w:tc>
        <w:tc>
          <w:tcPr>
            <w:tcW w:w="939" w:type="pct"/>
            <w:tcBorders>
              <w:top w:val="single" w:sz="4" w:space="0" w:color="auto"/>
              <w:left w:val="single" w:sz="4" w:space="0" w:color="auto"/>
              <w:bottom w:val="single" w:sz="4" w:space="0" w:color="auto"/>
              <w:right w:val="single" w:sz="4" w:space="0" w:color="auto"/>
            </w:tcBorders>
            <w:noWrap/>
            <w:vAlign w:val="center"/>
          </w:tcPr>
          <w:p w14:paraId="68B402F9" w14:textId="19BC8A44"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5CE2F933" w14:textId="71110CB2" w:rsidR="00E82F97" w:rsidRPr="006524DF" w:rsidRDefault="00E82F97" w:rsidP="0021415D">
            <w:pPr>
              <w:widowControl w:val="0"/>
              <w:contextualSpacing/>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35FFCD4B"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262C0531" w14:textId="5184AB27" w:rsidR="00E82F97" w:rsidRPr="006524DF" w:rsidRDefault="00E82F97" w:rsidP="003575C8">
            <w:pPr>
              <w:widowControl w:val="0"/>
              <w:contextualSpacing/>
              <w:jc w:val="left"/>
              <w:rPr>
                <w:sz w:val="20"/>
                <w:szCs w:val="20"/>
                <w:lang w:val="en-CA" w:eastAsia="en-CA"/>
              </w:rPr>
            </w:pPr>
            <w:r w:rsidRPr="006524DF">
              <w:rPr>
                <w:sz w:val="20"/>
                <w:szCs w:val="20"/>
                <w:lang w:val="en-CA" w:eastAsia="en-CA"/>
              </w:rPr>
              <w:t>NER/PHA/82/TAS/34</w:t>
            </w:r>
          </w:p>
        </w:tc>
        <w:tc>
          <w:tcPr>
            <w:tcW w:w="939" w:type="pct"/>
            <w:tcBorders>
              <w:top w:val="single" w:sz="4" w:space="0" w:color="auto"/>
              <w:left w:val="single" w:sz="4" w:space="0" w:color="auto"/>
              <w:bottom w:val="single" w:sz="4" w:space="0" w:color="auto"/>
              <w:right w:val="single" w:sz="4" w:space="0" w:color="auto"/>
            </w:tcBorders>
            <w:noWrap/>
            <w:vAlign w:val="center"/>
          </w:tcPr>
          <w:p w14:paraId="01CFF3CF" w14:textId="1955964E"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21C8F8DC" w14:textId="0373E9C2" w:rsidR="00E82F97" w:rsidRPr="006524DF" w:rsidRDefault="00E82F97" w:rsidP="0021415D">
            <w:pPr>
              <w:widowControl w:val="0"/>
              <w:contextualSpacing/>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3F649D64"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3AD96A73" w14:textId="77777777"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 xml:space="preserve">ODS </w:t>
            </w:r>
            <w:r w:rsidRPr="006524DF">
              <w:rPr>
                <w:sz w:val="20"/>
                <w:szCs w:val="20"/>
                <w:lang w:val="en-CA" w:eastAsia="en-CA"/>
              </w:rPr>
              <w:t>alternative surveys</w:t>
            </w:r>
          </w:p>
        </w:tc>
        <w:tc>
          <w:tcPr>
            <w:tcW w:w="939" w:type="pct"/>
            <w:tcBorders>
              <w:top w:val="single" w:sz="4" w:space="0" w:color="auto"/>
              <w:left w:val="single" w:sz="4" w:space="0" w:color="auto"/>
              <w:bottom w:val="single" w:sz="4" w:space="0" w:color="auto"/>
              <w:right w:val="single" w:sz="4" w:space="0" w:color="auto"/>
            </w:tcBorders>
            <w:noWrap/>
            <w:vAlign w:val="center"/>
          </w:tcPr>
          <w:p w14:paraId="41D58A48" w14:textId="77777777" w:rsidR="00E82F97" w:rsidRPr="006524DF" w:rsidRDefault="00E82F97" w:rsidP="003575C8">
            <w:pPr>
              <w:widowControl w:val="0"/>
              <w:contextualSpacing/>
              <w:jc w:val="left"/>
              <w:rPr>
                <w:sz w:val="20"/>
                <w:szCs w:val="20"/>
                <w:lang w:val="en-CA" w:eastAsia="en-CA"/>
              </w:rPr>
            </w:pPr>
            <w:r w:rsidRPr="006524DF">
              <w:rPr>
                <w:sz w:val="20"/>
                <w:szCs w:val="20"/>
                <w:lang w:val="en-CA" w:eastAsia="en-CA"/>
              </w:rPr>
              <w:t>World Bank</w:t>
            </w:r>
          </w:p>
        </w:tc>
        <w:tc>
          <w:tcPr>
            <w:tcW w:w="2826" w:type="pct"/>
            <w:tcBorders>
              <w:top w:val="single" w:sz="4" w:space="0" w:color="auto"/>
              <w:left w:val="single" w:sz="4" w:space="0" w:color="auto"/>
              <w:bottom w:val="single" w:sz="4" w:space="0" w:color="auto"/>
              <w:right w:val="single" w:sz="4" w:space="0" w:color="auto"/>
            </w:tcBorders>
            <w:vAlign w:val="center"/>
          </w:tcPr>
          <w:p w14:paraId="3826B117" w14:textId="77777777" w:rsidR="00E82F97" w:rsidRPr="006524DF" w:rsidRDefault="00E82F97" w:rsidP="0021415D">
            <w:pPr>
              <w:widowControl w:val="0"/>
              <w:contextualSpacing/>
              <w:rPr>
                <w:sz w:val="20"/>
                <w:szCs w:val="20"/>
                <w:lang w:val="en-CA" w:eastAsia="en-CA"/>
              </w:rPr>
            </w:pPr>
            <w:r w:rsidRPr="006524DF">
              <w:rPr>
                <w:sz w:val="20"/>
                <w:szCs w:val="20"/>
                <w:lang w:val="en-CA" w:eastAsia="en-CA"/>
              </w:rPr>
              <w:t>Survey of ODS alternatives at the national level</w:t>
            </w:r>
          </w:p>
        </w:tc>
      </w:tr>
      <w:tr w:rsidR="00E82F97" w:rsidRPr="006524DF" w14:paraId="5275D822"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495E64DF" w14:textId="736DF857"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SAU/REF/76/DEM/28</w:t>
            </w:r>
          </w:p>
        </w:tc>
        <w:tc>
          <w:tcPr>
            <w:tcW w:w="939" w:type="pct"/>
            <w:tcBorders>
              <w:top w:val="single" w:sz="4" w:space="0" w:color="auto"/>
              <w:left w:val="single" w:sz="4" w:space="0" w:color="auto"/>
              <w:bottom w:val="single" w:sz="4" w:space="0" w:color="auto"/>
              <w:right w:val="single" w:sz="4" w:space="0" w:color="auto"/>
            </w:tcBorders>
            <w:noWrap/>
            <w:vAlign w:val="center"/>
          </w:tcPr>
          <w:p w14:paraId="45509CE6" w14:textId="1A42D13C" w:rsidR="00E82F97" w:rsidRPr="006524DF" w:rsidRDefault="00E82F97" w:rsidP="003575C8">
            <w:pPr>
              <w:widowControl w:val="0"/>
              <w:contextualSpacing/>
              <w:jc w:val="left"/>
              <w:rPr>
                <w:sz w:val="20"/>
                <w:szCs w:val="20"/>
                <w:lang w:val="en-CA" w:eastAsia="en-CA"/>
              </w:rPr>
            </w:pPr>
            <w:r w:rsidRPr="006524DF">
              <w:rPr>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409FEDE2" w14:textId="344A16CB" w:rsidR="00E82F97" w:rsidRPr="006524DF" w:rsidRDefault="00E82F97" w:rsidP="0021415D">
            <w:pPr>
              <w:widowControl w:val="0"/>
              <w:contextualSpacing/>
              <w:rPr>
                <w:sz w:val="20"/>
                <w:szCs w:val="20"/>
                <w:lang w:val="en-CA" w:eastAsia="en-CA"/>
              </w:rPr>
            </w:pPr>
            <w:r w:rsidRPr="006524DF">
              <w:rPr>
                <w:sz w:val="20"/>
                <w:szCs w:val="20"/>
                <w:lang w:val="en-CA" w:eastAsia="en-CA"/>
              </w:rPr>
              <w:t>Demonstration project on promoting HFO-based low</w:t>
            </w:r>
            <w:r w:rsidR="0021415D">
              <w:rPr>
                <w:sz w:val="20"/>
                <w:szCs w:val="20"/>
                <w:lang w:val="en-CA" w:eastAsia="en-CA"/>
              </w:rPr>
              <w:noBreakHyphen/>
            </w:r>
            <w:r w:rsidRPr="006524DF">
              <w:rPr>
                <w:sz w:val="20"/>
                <w:szCs w:val="20"/>
                <w:lang w:val="en-CA" w:eastAsia="en-CA"/>
              </w:rPr>
              <w:t>global</w:t>
            </w:r>
            <w:r w:rsidRPr="006524DF">
              <w:rPr>
                <w:sz w:val="20"/>
                <w:szCs w:val="20"/>
                <w:lang w:val="en-CA" w:eastAsia="en-CA"/>
              </w:rPr>
              <w:noBreakHyphen/>
              <w:t>warming potential refrigerants for air-conditioning sector in high ambient temperatures</w:t>
            </w:r>
          </w:p>
        </w:tc>
      </w:tr>
      <w:tr w:rsidR="00E82F97" w:rsidRPr="006524DF" w14:paraId="4D729EFE"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3280A4BB" w14:textId="749EE38B"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SRL/PHA/82/TAS/51</w:t>
            </w:r>
          </w:p>
        </w:tc>
        <w:tc>
          <w:tcPr>
            <w:tcW w:w="939" w:type="pct"/>
            <w:tcBorders>
              <w:top w:val="single" w:sz="4" w:space="0" w:color="auto"/>
              <w:left w:val="single" w:sz="4" w:space="0" w:color="auto"/>
              <w:bottom w:val="single" w:sz="4" w:space="0" w:color="auto"/>
              <w:right w:val="single" w:sz="4" w:space="0" w:color="auto"/>
            </w:tcBorders>
            <w:noWrap/>
            <w:vAlign w:val="center"/>
          </w:tcPr>
          <w:p w14:paraId="0C3C781F" w14:textId="30756215"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UNDP</w:t>
            </w:r>
          </w:p>
        </w:tc>
        <w:tc>
          <w:tcPr>
            <w:tcW w:w="2826" w:type="pct"/>
            <w:tcBorders>
              <w:top w:val="single" w:sz="4" w:space="0" w:color="auto"/>
              <w:left w:val="single" w:sz="4" w:space="0" w:color="auto"/>
              <w:bottom w:val="single" w:sz="4" w:space="0" w:color="auto"/>
              <w:right w:val="single" w:sz="4" w:space="0" w:color="auto"/>
            </w:tcBorders>
            <w:vAlign w:val="center"/>
          </w:tcPr>
          <w:p w14:paraId="06D8FD1B" w14:textId="2240914E" w:rsidR="00E82F97" w:rsidRPr="006524DF" w:rsidRDefault="00E82F97" w:rsidP="0021415D">
            <w:pPr>
              <w:widowControl w:val="0"/>
              <w:contextualSpacing/>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2875D2B9"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69D0BDBA" w14:textId="55A05345"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STP/PHA/82/TAS/29</w:t>
            </w:r>
          </w:p>
        </w:tc>
        <w:tc>
          <w:tcPr>
            <w:tcW w:w="939" w:type="pct"/>
            <w:tcBorders>
              <w:top w:val="single" w:sz="4" w:space="0" w:color="auto"/>
              <w:left w:val="single" w:sz="4" w:space="0" w:color="auto"/>
              <w:bottom w:val="single" w:sz="4" w:space="0" w:color="auto"/>
              <w:right w:val="single" w:sz="4" w:space="0" w:color="auto"/>
            </w:tcBorders>
            <w:noWrap/>
            <w:vAlign w:val="center"/>
          </w:tcPr>
          <w:p w14:paraId="080B81A8" w14:textId="113D741B"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3C79D1E3" w14:textId="7D9BEF6B" w:rsidR="00E82F97" w:rsidRPr="006524DF" w:rsidRDefault="00E82F97" w:rsidP="0021415D">
            <w:pPr>
              <w:widowControl w:val="0"/>
              <w:contextualSpacing/>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3960C815"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7095A0F1" w14:textId="0B80212D"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STV/PHA/77/TAS/24</w:t>
            </w:r>
          </w:p>
        </w:tc>
        <w:tc>
          <w:tcPr>
            <w:tcW w:w="939" w:type="pct"/>
            <w:tcBorders>
              <w:top w:val="single" w:sz="4" w:space="0" w:color="auto"/>
              <w:left w:val="single" w:sz="4" w:space="0" w:color="auto"/>
              <w:bottom w:val="single" w:sz="4" w:space="0" w:color="auto"/>
              <w:right w:val="single" w:sz="4" w:space="0" w:color="auto"/>
            </w:tcBorders>
            <w:noWrap/>
            <w:vAlign w:val="center"/>
          </w:tcPr>
          <w:p w14:paraId="374C2C12" w14:textId="5AE95178"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00438563" w14:textId="43E75132" w:rsidR="00E82F97" w:rsidRPr="006524DF" w:rsidRDefault="00E82F97" w:rsidP="0021415D">
            <w:pPr>
              <w:widowControl w:val="0"/>
              <w:contextualSpacing/>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3D879B2F"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11F6DD99" w14:textId="77777777"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SWA/PHA/80/TAS/24</w:t>
            </w:r>
          </w:p>
        </w:tc>
        <w:tc>
          <w:tcPr>
            <w:tcW w:w="939" w:type="pct"/>
            <w:tcBorders>
              <w:top w:val="single" w:sz="4" w:space="0" w:color="auto"/>
              <w:left w:val="single" w:sz="4" w:space="0" w:color="auto"/>
              <w:bottom w:val="single" w:sz="4" w:space="0" w:color="auto"/>
              <w:right w:val="single" w:sz="4" w:space="0" w:color="auto"/>
            </w:tcBorders>
            <w:noWrap/>
            <w:vAlign w:val="center"/>
          </w:tcPr>
          <w:p w14:paraId="469FE902" w14:textId="77777777" w:rsidR="00E82F97" w:rsidRPr="006524DF" w:rsidRDefault="00E82F97" w:rsidP="003575C8">
            <w:pPr>
              <w:widowControl w:val="0"/>
              <w:contextualSpacing/>
              <w:jc w:val="left"/>
              <w:rPr>
                <w:sz w:val="20"/>
                <w:szCs w:val="20"/>
                <w:lang w:val="en-CA" w:eastAsia="en-CA"/>
              </w:rPr>
            </w:pPr>
            <w:r w:rsidRPr="006524DF">
              <w:rPr>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7FBAD4EE" w14:textId="77777777" w:rsidR="00E82F97" w:rsidRPr="006524DF" w:rsidRDefault="00E82F97" w:rsidP="0021415D">
            <w:pPr>
              <w:widowControl w:val="0"/>
              <w:contextualSpacing/>
              <w:rPr>
                <w:sz w:val="20"/>
                <w:szCs w:val="20"/>
                <w:lang w:val="en-CA" w:eastAsia="en-CA"/>
              </w:rPr>
            </w:pPr>
            <w:r w:rsidRPr="006524DF">
              <w:rPr>
                <w:sz w:val="20"/>
                <w:szCs w:val="20"/>
                <w:lang w:val="en-CA" w:eastAsia="en-CA"/>
              </w:rPr>
              <w:t>Verification report on the implementation of the HCFC phase</w:t>
            </w:r>
            <w:r w:rsidRPr="006524DF">
              <w:rPr>
                <w:sz w:val="20"/>
                <w:szCs w:val="20"/>
                <w:lang w:val="en-CA" w:eastAsia="en-CA"/>
              </w:rPr>
              <w:noBreakHyphen/>
              <w:t>out management plan</w:t>
            </w:r>
          </w:p>
        </w:tc>
      </w:tr>
      <w:tr w:rsidR="00E82F97" w:rsidRPr="006524DF" w14:paraId="0D9772B9"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2E5BBADD" w14:textId="437167BC"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TKM/PHA/82/TAS/14</w:t>
            </w:r>
          </w:p>
        </w:tc>
        <w:tc>
          <w:tcPr>
            <w:tcW w:w="939" w:type="pct"/>
            <w:tcBorders>
              <w:top w:val="single" w:sz="4" w:space="0" w:color="auto"/>
              <w:left w:val="single" w:sz="4" w:space="0" w:color="auto"/>
              <w:bottom w:val="single" w:sz="4" w:space="0" w:color="auto"/>
              <w:right w:val="single" w:sz="4" w:space="0" w:color="auto"/>
            </w:tcBorders>
            <w:noWrap/>
            <w:vAlign w:val="center"/>
          </w:tcPr>
          <w:p w14:paraId="101C6B7B" w14:textId="1D46AF1E"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2D541431" w14:textId="3BB8D26A" w:rsidR="00E82F97" w:rsidRPr="006524DF" w:rsidRDefault="00E82F97" w:rsidP="0021415D">
            <w:pPr>
              <w:widowControl w:val="0"/>
              <w:contextualSpacing/>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1BC9FB26"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072B8213" w14:textId="438F7E01"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UGA/PHA/82/TAS/25</w:t>
            </w:r>
          </w:p>
        </w:tc>
        <w:tc>
          <w:tcPr>
            <w:tcW w:w="939" w:type="pct"/>
            <w:tcBorders>
              <w:top w:val="single" w:sz="4" w:space="0" w:color="auto"/>
              <w:left w:val="single" w:sz="4" w:space="0" w:color="auto"/>
              <w:bottom w:val="single" w:sz="4" w:space="0" w:color="auto"/>
              <w:right w:val="single" w:sz="4" w:space="0" w:color="auto"/>
            </w:tcBorders>
            <w:noWrap/>
            <w:vAlign w:val="center"/>
          </w:tcPr>
          <w:p w14:paraId="2B29CB1A" w14:textId="0FB7B252"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7D6160C2" w14:textId="1540A639" w:rsidR="00E82F97" w:rsidRPr="006524DF" w:rsidRDefault="00E82F97" w:rsidP="0021415D">
            <w:pPr>
              <w:widowControl w:val="0"/>
              <w:contextualSpacing/>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54863B0B"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58DCA959" w14:textId="54A78329"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URT/PHA/82/TAS/38</w:t>
            </w:r>
          </w:p>
        </w:tc>
        <w:tc>
          <w:tcPr>
            <w:tcW w:w="939" w:type="pct"/>
            <w:tcBorders>
              <w:top w:val="single" w:sz="4" w:space="0" w:color="auto"/>
              <w:left w:val="single" w:sz="4" w:space="0" w:color="auto"/>
              <w:bottom w:val="single" w:sz="4" w:space="0" w:color="auto"/>
              <w:right w:val="single" w:sz="4" w:space="0" w:color="auto"/>
            </w:tcBorders>
            <w:noWrap/>
            <w:vAlign w:val="center"/>
          </w:tcPr>
          <w:p w14:paraId="24599360" w14:textId="1F0B2F88"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1B778DC3" w14:textId="0B2B2976" w:rsidR="00E82F97" w:rsidRPr="006524DF" w:rsidRDefault="00E82F97" w:rsidP="0021415D">
            <w:pPr>
              <w:widowControl w:val="0"/>
              <w:contextualSpacing/>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675082B2"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5BE9C3BD" w14:textId="388B36EA"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YUG/PHA/82/TAS/49</w:t>
            </w:r>
          </w:p>
        </w:tc>
        <w:tc>
          <w:tcPr>
            <w:tcW w:w="939" w:type="pct"/>
            <w:tcBorders>
              <w:top w:val="single" w:sz="4" w:space="0" w:color="auto"/>
              <w:left w:val="single" w:sz="4" w:space="0" w:color="auto"/>
              <w:bottom w:val="single" w:sz="4" w:space="0" w:color="auto"/>
              <w:right w:val="single" w:sz="4" w:space="0" w:color="auto"/>
            </w:tcBorders>
            <w:noWrap/>
            <w:vAlign w:val="center"/>
          </w:tcPr>
          <w:p w14:paraId="3206FDC3" w14:textId="5A7FEFAF"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5141E08E" w14:textId="791AF40C" w:rsidR="00E82F97" w:rsidRPr="006524DF" w:rsidRDefault="00E82F97" w:rsidP="0021415D">
            <w:pPr>
              <w:widowControl w:val="0"/>
              <w:contextualSpacing/>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2D509C44"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3924D2B2" w14:textId="00C15A14"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ZAM/PHA/82/TAS/35</w:t>
            </w:r>
          </w:p>
        </w:tc>
        <w:tc>
          <w:tcPr>
            <w:tcW w:w="939" w:type="pct"/>
            <w:tcBorders>
              <w:top w:val="single" w:sz="4" w:space="0" w:color="auto"/>
              <w:left w:val="single" w:sz="4" w:space="0" w:color="auto"/>
              <w:bottom w:val="single" w:sz="4" w:space="0" w:color="auto"/>
              <w:right w:val="single" w:sz="4" w:space="0" w:color="auto"/>
            </w:tcBorders>
            <w:noWrap/>
            <w:vAlign w:val="center"/>
          </w:tcPr>
          <w:p w14:paraId="54B3CBA2" w14:textId="6A4B28DE"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1097DEF2" w14:textId="606BBB2A" w:rsidR="00E82F97" w:rsidRPr="006524DF" w:rsidRDefault="00E82F97" w:rsidP="0021415D">
            <w:pPr>
              <w:widowControl w:val="0"/>
              <w:contextualSpacing/>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bl>
    <w:p w14:paraId="74A586A5" w14:textId="77777777" w:rsidR="00E60644" w:rsidRPr="00765981" w:rsidRDefault="00E60644" w:rsidP="00D20704">
      <w:pPr>
        <w:widowControl w:val="0"/>
        <w:spacing w:after="240"/>
        <w:rPr>
          <w:b/>
          <w:lang w:val="en-CA"/>
        </w:rPr>
      </w:pPr>
    </w:p>
    <w:p w14:paraId="0D2B6A18" w14:textId="77777777" w:rsidR="00681C69" w:rsidRPr="00765981" w:rsidRDefault="00681C69" w:rsidP="00D20704">
      <w:pPr>
        <w:widowControl w:val="0"/>
        <w:spacing w:after="240"/>
        <w:rPr>
          <w:b/>
          <w:lang w:val="en-CA"/>
        </w:rPr>
      </w:pPr>
    </w:p>
    <w:p w14:paraId="5591E1D3" w14:textId="77777777" w:rsidR="00681C69" w:rsidRPr="00765981" w:rsidRDefault="00681C69" w:rsidP="00D20704">
      <w:pPr>
        <w:widowControl w:val="0"/>
        <w:spacing w:after="240"/>
        <w:rPr>
          <w:b/>
          <w:lang w:val="en-CA"/>
        </w:rPr>
        <w:sectPr w:rsidR="00681C69" w:rsidRPr="00765981" w:rsidSect="002F2E98">
          <w:headerReference w:type="even" r:id="rId29"/>
          <w:headerReference w:type="default" r:id="rId30"/>
          <w:headerReference w:type="first" r:id="rId31"/>
          <w:footerReference w:type="first" r:id="rId32"/>
          <w:pgSz w:w="12240" w:h="15840" w:code="1"/>
          <w:pgMar w:top="720" w:right="1440" w:bottom="864" w:left="1440" w:header="720" w:footer="475" w:gutter="0"/>
          <w:pgNumType w:start="1"/>
          <w:cols w:space="720"/>
          <w:titlePg/>
        </w:sectPr>
      </w:pPr>
    </w:p>
    <w:p w14:paraId="589143F4" w14:textId="77777777" w:rsidR="00E60644" w:rsidRPr="006524DF" w:rsidRDefault="00E60644" w:rsidP="00E60644">
      <w:pPr>
        <w:widowControl w:val="0"/>
        <w:spacing w:after="240"/>
        <w:jc w:val="center"/>
        <w:rPr>
          <w:b/>
        </w:rPr>
      </w:pPr>
      <w:r w:rsidRPr="006524DF">
        <w:rPr>
          <w:b/>
        </w:rPr>
        <w:lastRenderedPageBreak/>
        <w:t xml:space="preserve">Annex IV </w:t>
      </w:r>
    </w:p>
    <w:p w14:paraId="57E8BB7C" w14:textId="77777777" w:rsidR="00E60644" w:rsidRPr="006524DF" w:rsidRDefault="00E60644" w:rsidP="00E60644">
      <w:pPr>
        <w:widowControl w:val="0"/>
        <w:spacing w:after="240"/>
        <w:jc w:val="center"/>
        <w:rPr>
          <w:b/>
        </w:rPr>
      </w:pPr>
      <w:r w:rsidRPr="006524DF">
        <w:rPr>
          <w:b/>
        </w:rPr>
        <w:t>OUTSTANDING PCRs BY DECISION</w:t>
      </w:r>
    </w:p>
    <w:tbl>
      <w:tblPr>
        <w:tblStyle w:val="TableGrid"/>
        <w:tblW w:w="9527" w:type="dxa"/>
        <w:tblLook w:val="04A0" w:firstRow="1" w:lastRow="0" w:firstColumn="1" w:lastColumn="0" w:noHBand="0" w:noVBand="1"/>
      </w:tblPr>
      <w:tblGrid>
        <w:gridCol w:w="2155"/>
        <w:gridCol w:w="4320"/>
        <w:gridCol w:w="3052"/>
      </w:tblGrid>
      <w:tr w:rsidR="00E60644" w:rsidRPr="006524DF" w14:paraId="6DCF7398" w14:textId="77777777" w:rsidTr="006A16CC">
        <w:tc>
          <w:tcPr>
            <w:tcW w:w="2155" w:type="dxa"/>
            <w:vAlign w:val="center"/>
            <w:hideMark/>
          </w:tcPr>
          <w:p w14:paraId="166D67B4" w14:textId="77777777" w:rsidR="00E60644" w:rsidRPr="006524DF" w:rsidRDefault="00E60644" w:rsidP="00102A32">
            <w:pPr>
              <w:widowControl w:val="0"/>
              <w:jc w:val="center"/>
              <w:rPr>
                <w:b/>
                <w:sz w:val="20"/>
                <w:lang w:val="en-CA"/>
              </w:rPr>
            </w:pPr>
            <w:r w:rsidRPr="006524DF">
              <w:rPr>
                <w:b/>
                <w:sz w:val="20"/>
                <w:lang w:val="en-CA"/>
              </w:rPr>
              <w:t>Country</w:t>
            </w:r>
          </w:p>
        </w:tc>
        <w:tc>
          <w:tcPr>
            <w:tcW w:w="4320" w:type="dxa"/>
            <w:vAlign w:val="center"/>
            <w:hideMark/>
          </w:tcPr>
          <w:p w14:paraId="7E302E31" w14:textId="77777777" w:rsidR="00E60644" w:rsidRPr="006524DF" w:rsidRDefault="00E60644" w:rsidP="00102A32">
            <w:pPr>
              <w:widowControl w:val="0"/>
              <w:jc w:val="center"/>
              <w:rPr>
                <w:b/>
                <w:sz w:val="20"/>
                <w:lang w:val="en-CA"/>
              </w:rPr>
            </w:pPr>
            <w:r w:rsidRPr="006524DF">
              <w:rPr>
                <w:b/>
                <w:sz w:val="20"/>
                <w:lang w:val="en-CA"/>
              </w:rPr>
              <w:t>MYA Sector/Title</w:t>
            </w:r>
          </w:p>
        </w:tc>
        <w:tc>
          <w:tcPr>
            <w:tcW w:w="3052" w:type="dxa"/>
            <w:vAlign w:val="center"/>
            <w:hideMark/>
          </w:tcPr>
          <w:p w14:paraId="19690AC9" w14:textId="77777777" w:rsidR="00E60644" w:rsidRPr="006524DF" w:rsidRDefault="00E60644" w:rsidP="00102A32">
            <w:pPr>
              <w:widowControl w:val="0"/>
              <w:jc w:val="center"/>
              <w:rPr>
                <w:b/>
                <w:sz w:val="20"/>
                <w:lang w:val="en-CA"/>
              </w:rPr>
            </w:pPr>
            <w:r w:rsidRPr="006524DF">
              <w:rPr>
                <w:b/>
                <w:sz w:val="20"/>
                <w:lang w:val="en-CA"/>
              </w:rPr>
              <w:t>Lead agency and Cooperating agency</w:t>
            </w:r>
          </w:p>
        </w:tc>
      </w:tr>
      <w:tr w:rsidR="006A2A6C" w:rsidRPr="006524DF" w14:paraId="02F43EE4" w14:textId="77777777" w:rsidTr="006A16CC">
        <w:tc>
          <w:tcPr>
            <w:tcW w:w="2155" w:type="dxa"/>
            <w:vAlign w:val="center"/>
          </w:tcPr>
          <w:p w14:paraId="4A927F5C" w14:textId="1B8961E2" w:rsidR="006A2A6C" w:rsidRPr="006524DF" w:rsidRDefault="006A2A6C" w:rsidP="006A2A6C">
            <w:pPr>
              <w:widowControl w:val="0"/>
              <w:jc w:val="left"/>
              <w:rPr>
                <w:sz w:val="20"/>
                <w:lang w:val="en-CA" w:eastAsia="en-CA"/>
              </w:rPr>
            </w:pPr>
            <w:r w:rsidRPr="006524DF">
              <w:rPr>
                <w:sz w:val="20"/>
                <w:lang w:val="en-CA" w:eastAsia="en-CA"/>
              </w:rPr>
              <w:t>Saudi Arabia</w:t>
            </w:r>
          </w:p>
        </w:tc>
        <w:tc>
          <w:tcPr>
            <w:tcW w:w="4320" w:type="dxa"/>
            <w:vAlign w:val="center"/>
          </w:tcPr>
          <w:p w14:paraId="712CD10C" w14:textId="08F130EC" w:rsidR="006A2A6C" w:rsidRPr="006524DF" w:rsidRDefault="006A2A6C" w:rsidP="006A2A6C">
            <w:pPr>
              <w:widowControl w:val="0"/>
              <w:jc w:val="left"/>
              <w:rPr>
                <w:sz w:val="20"/>
                <w:lang w:val="en-CA" w:eastAsia="en-CA"/>
              </w:rPr>
            </w:pPr>
            <w:r w:rsidRPr="006524DF">
              <w:rPr>
                <w:sz w:val="20"/>
                <w:lang w:val="en-CA" w:eastAsia="en-CA"/>
              </w:rPr>
              <w:t>HCFC phase-out plan (stage I)</w:t>
            </w:r>
          </w:p>
        </w:tc>
        <w:tc>
          <w:tcPr>
            <w:tcW w:w="3052" w:type="dxa"/>
            <w:vAlign w:val="center"/>
          </w:tcPr>
          <w:p w14:paraId="5F5CB763" w14:textId="549D75D4" w:rsidR="006A2A6C" w:rsidRPr="006524DF" w:rsidRDefault="006A2A6C" w:rsidP="006A2A6C">
            <w:pPr>
              <w:widowControl w:val="0"/>
              <w:jc w:val="left"/>
              <w:rPr>
                <w:sz w:val="20"/>
              </w:rPr>
            </w:pPr>
            <w:r w:rsidRPr="006524DF">
              <w:rPr>
                <w:b/>
                <w:sz w:val="20"/>
              </w:rPr>
              <w:t>UNIDO</w:t>
            </w:r>
            <w:r w:rsidRPr="006524DF">
              <w:rPr>
                <w:sz w:val="20"/>
              </w:rPr>
              <w:t>/UNEP/Japan</w:t>
            </w:r>
          </w:p>
        </w:tc>
      </w:tr>
    </w:tbl>
    <w:p w14:paraId="6F1D4FD9" w14:textId="77777777" w:rsidR="00E60644" w:rsidRPr="00765981" w:rsidRDefault="00E60644" w:rsidP="00E60644">
      <w:pPr>
        <w:widowControl w:val="0"/>
        <w:spacing w:after="240"/>
        <w:rPr>
          <w:sz w:val="20"/>
          <w:szCs w:val="20"/>
          <w:lang w:val="en-CA"/>
        </w:rPr>
      </w:pPr>
    </w:p>
    <w:p w14:paraId="528D1951" w14:textId="77777777" w:rsidR="00E60644" w:rsidRPr="00765981" w:rsidRDefault="00E60644" w:rsidP="00E60644">
      <w:pPr>
        <w:widowControl w:val="0"/>
        <w:spacing w:after="240"/>
        <w:jc w:val="center"/>
        <w:rPr>
          <w:b/>
          <w:lang w:val="en-CA"/>
        </w:rPr>
      </w:pPr>
    </w:p>
    <w:p w14:paraId="0A110EF9" w14:textId="77777777" w:rsidR="00E60644" w:rsidRPr="00765981" w:rsidRDefault="00E60644" w:rsidP="00E60644">
      <w:pPr>
        <w:widowControl w:val="0"/>
        <w:spacing w:after="240"/>
        <w:jc w:val="center"/>
        <w:rPr>
          <w:b/>
          <w:lang w:val="en-CA"/>
        </w:rPr>
        <w:sectPr w:rsidR="00E60644" w:rsidRPr="00765981" w:rsidSect="002F2E98">
          <w:headerReference w:type="first" r:id="rId33"/>
          <w:footerReference w:type="first" r:id="rId34"/>
          <w:pgSz w:w="12240" w:h="15840" w:code="1"/>
          <w:pgMar w:top="720" w:right="1440" w:bottom="864" w:left="1440" w:header="720" w:footer="475" w:gutter="0"/>
          <w:pgNumType w:start="1"/>
          <w:cols w:space="720"/>
          <w:titlePg/>
        </w:sectPr>
      </w:pPr>
    </w:p>
    <w:p w14:paraId="4B781211" w14:textId="77777777" w:rsidR="00E60644" w:rsidRPr="006524DF" w:rsidRDefault="00E60644" w:rsidP="00E60644">
      <w:pPr>
        <w:widowControl w:val="0"/>
        <w:spacing w:after="240"/>
        <w:jc w:val="center"/>
        <w:rPr>
          <w:b/>
        </w:rPr>
      </w:pPr>
      <w:r w:rsidRPr="006524DF">
        <w:rPr>
          <w:b/>
        </w:rPr>
        <w:lastRenderedPageBreak/>
        <w:t>Annex V</w:t>
      </w:r>
    </w:p>
    <w:p w14:paraId="5859E513" w14:textId="77777777" w:rsidR="00E60644" w:rsidRPr="006524DF" w:rsidRDefault="00E60644" w:rsidP="00E60644">
      <w:pPr>
        <w:widowControl w:val="0"/>
        <w:spacing w:after="240"/>
        <w:jc w:val="center"/>
        <w:rPr>
          <w:b/>
        </w:rPr>
      </w:pPr>
      <w:r w:rsidRPr="006524DF">
        <w:rPr>
          <w:b/>
        </w:rPr>
        <w:t>OUTSTANDING MYA PCRs</w:t>
      </w:r>
    </w:p>
    <w:tbl>
      <w:tblPr>
        <w:tblStyle w:val="TableGrid"/>
        <w:tblW w:w="0" w:type="auto"/>
        <w:tblLayout w:type="fixed"/>
        <w:tblLook w:val="04A0" w:firstRow="1" w:lastRow="0" w:firstColumn="1" w:lastColumn="0" w:noHBand="0" w:noVBand="1"/>
      </w:tblPr>
      <w:tblGrid>
        <w:gridCol w:w="1809"/>
        <w:gridCol w:w="3998"/>
        <w:gridCol w:w="3543"/>
      </w:tblGrid>
      <w:tr w:rsidR="00E60644" w:rsidRPr="006524DF" w14:paraId="0C180A18" w14:textId="77777777" w:rsidTr="00102A32">
        <w:tc>
          <w:tcPr>
            <w:tcW w:w="1809" w:type="dxa"/>
            <w:tcBorders>
              <w:top w:val="single" w:sz="4" w:space="0" w:color="auto"/>
              <w:left w:val="single" w:sz="4" w:space="0" w:color="auto"/>
              <w:bottom w:val="single" w:sz="4" w:space="0" w:color="auto"/>
              <w:right w:val="single" w:sz="4" w:space="0" w:color="auto"/>
            </w:tcBorders>
            <w:vAlign w:val="center"/>
            <w:hideMark/>
          </w:tcPr>
          <w:p w14:paraId="0BB5EE03" w14:textId="77777777" w:rsidR="00E60644" w:rsidRPr="006524DF" w:rsidRDefault="00E60644" w:rsidP="00102A32">
            <w:pPr>
              <w:widowControl w:val="0"/>
              <w:jc w:val="center"/>
              <w:rPr>
                <w:b/>
                <w:sz w:val="20"/>
                <w:lang w:val="en-CA"/>
              </w:rPr>
            </w:pPr>
            <w:r w:rsidRPr="006524DF">
              <w:rPr>
                <w:b/>
                <w:sz w:val="20"/>
                <w:lang w:val="en-CA"/>
              </w:rPr>
              <w:t>Country</w:t>
            </w:r>
          </w:p>
        </w:tc>
        <w:tc>
          <w:tcPr>
            <w:tcW w:w="3998" w:type="dxa"/>
            <w:tcBorders>
              <w:top w:val="single" w:sz="4" w:space="0" w:color="auto"/>
              <w:left w:val="single" w:sz="4" w:space="0" w:color="auto"/>
              <w:bottom w:val="single" w:sz="4" w:space="0" w:color="auto"/>
              <w:right w:val="single" w:sz="4" w:space="0" w:color="auto"/>
            </w:tcBorders>
            <w:vAlign w:val="center"/>
            <w:hideMark/>
          </w:tcPr>
          <w:p w14:paraId="5D788FFA" w14:textId="77777777" w:rsidR="00E60644" w:rsidRPr="006524DF" w:rsidRDefault="00E60644" w:rsidP="00102A32">
            <w:pPr>
              <w:widowControl w:val="0"/>
              <w:jc w:val="center"/>
              <w:rPr>
                <w:b/>
                <w:sz w:val="20"/>
                <w:lang w:val="en-CA"/>
              </w:rPr>
            </w:pPr>
            <w:r w:rsidRPr="006524DF">
              <w:rPr>
                <w:b/>
                <w:sz w:val="20"/>
                <w:lang w:val="en-CA"/>
              </w:rPr>
              <w:t>MYA Sector/Title</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5384E12" w14:textId="77777777" w:rsidR="00E60644" w:rsidRPr="006524DF" w:rsidRDefault="00E60644" w:rsidP="00102A32">
            <w:pPr>
              <w:widowControl w:val="0"/>
              <w:jc w:val="center"/>
              <w:rPr>
                <w:b/>
                <w:sz w:val="20"/>
                <w:lang w:val="en-CA"/>
              </w:rPr>
            </w:pPr>
            <w:r w:rsidRPr="006524DF">
              <w:rPr>
                <w:b/>
                <w:sz w:val="20"/>
                <w:lang w:val="en-CA"/>
              </w:rPr>
              <w:t>Lead agency and Cooperating agency</w:t>
            </w:r>
          </w:p>
        </w:tc>
      </w:tr>
      <w:tr w:rsidR="0028661D" w:rsidRPr="006524DF" w14:paraId="4F816282" w14:textId="77777777" w:rsidTr="00102A32">
        <w:tc>
          <w:tcPr>
            <w:tcW w:w="1809" w:type="dxa"/>
            <w:tcBorders>
              <w:top w:val="single" w:sz="4" w:space="0" w:color="auto"/>
              <w:left w:val="single" w:sz="4" w:space="0" w:color="auto"/>
              <w:bottom w:val="single" w:sz="4" w:space="0" w:color="auto"/>
              <w:right w:val="single" w:sz="4" w:space="0" w:color="auto"/>
            </w:tcBorders>
            <w:vAlign w:val="center"/>
          </w:tcPr>
          <w:p w14:paraId="1DE21AFD" w14:textId="760E16A6" w:rsidR="0028661D" w:rsidRPr="006524DF" w:rsidRDefault="0028661D" w:rsidP="0028661D">
            <w:pPr>
              <w:widowControl w:val="0"/>
              <w:jc w:val="left"/>
              <w:rPr>
                <w:b/>
                <w:sz w:val="20"/>
                <w:lang w:val="en-CA"/>
              </w:rPr>
            </w:pPr>
            <w:r w:rsidRPr="006524DF">
              <w:rPr>
                <w:sz w:val="20"/>
                <w:lang w:val="en-CA"/>
              </w:rPr>
              <w:t>Argentina</w:t>
            </w:r>
          </w:p>
        </w:tc>
        <w:tc>
          <w:tcPr>
            <w:tcW w:w="3998" w:type="dxa"/>
            <w:tcBorders>
              <w:top w:val="single" w:sz="4" w:space="0" w:color="auto"/>
              <w:left w:val="single" w:sz="4" w:space="0" w:color="auto"/>
              <w:bottom w:val="single" w:sz="4" w:space="0" w:color="auto"/>
              <w:right w:val="single" w:sz="4" w:space="0" w:color="auto"/>
            </w:tcBorders>
            <w:vAlign w:val="center"/>
          </w:tcPr>
          <w:p w14:paraId="06320B58" w14:textId="7647A9DE" w:rsidR="0028661D" w:rsidRPr="006524DF" w:rsidRDefault="0028661D" w:rsidP="0028661D">
            <w:pPr>
              <w:widowControl w:val="0"/>
              <w:jc w:val="left"/>
              <w:rPr>
                <w:b/>
                <w:sz w:val="20"/>
                <w:lang w:val="en-CA"/>
              </w:rPr>
            </w:pPr>
            <w:r w:rsidRPr="006524DF">
              <w:rPr>
                <w:sz w:val="20"/>
                <w:lang w:val="en-CA" w:eastAsia="en-CA"/>
              </w:rPr>
              <w:t>HCFC phase-out plan (stage I)</w:t>
            </w:r>
          </w:p>
        </w:tc>
        <w:tc>
          <w:tcPr>
            <w:tcW w:w="3543" w:type="dxa"/>
            <w:tcBorders>
              <w:top w:val="single" w:sz="4" w:space="0" w:color="auto"/>
              <w:left w:val="single" w:sz="4" w:space="0" w:color="auto"/>
              <w:bottom w:val="single" w:sz="4" w:space="0" w:color="auto"/>
              <w:right w:val="single" w:sz="4" w:space="0" w:color="auto"/>
            </w:tcBorders>
            <w:vAlign w:val="center"/>
          </w:tcPr>
          <w:p w14:paraId="48E9E19F" w14:textId="69367E25" w:rsidR="0028661D" w:rsidRPr="006524DF" w:rsidRDefault="0028661D" w:rsidP="0028661D">
            <w:pPr>
              <w:widowControl w:val="0"/>
              <w:jc w:val="left"/>
              <w:rPr>
                <w:b/>
                <w:sz w:val="20"/>
                <w:lang w:val="en-CA"/>
              </w:rPr>
            </w:pPr>
            <w:r w:rsidRPr="006524DF">
              <w:rPr>
                <w:b/>
                <w:sz w:val="20"/>
                <w:lang w:val="en-CA"/>
              </w:rPr>
              <w:t>UNIDO</w:t>
            </w:r>
            <w:r w:rsidR="000161CB" w:rsidRPr="006524DF">
              <w:rPr>
                <w:b/>
                <w:sz w:val="20"/>
                <w:lang w:val="en-CA"/>
              </w:rPr>
              <w:t>/</w:t>
            </w:r>
            <w:r w:rsidR="005C4DAF" w:rsidRPr="006524DF">
              <w:rPr>
                <w:sz w:val="20"/>
                <w:lang w:val="en-CA"/>
              </w:rPr>
              <w:t>World Bank</w:t>
            </w:r>
            <w:r w:rsidR="000161CB" w:rsidRPr="006524DF">
              <w:rPr>
                <w:sz w:val="20"/>
                <w:lang w:val="en-CA"/>
              </w:rPr>
              <w:t>/Italy</w:t>
            </w:r>
          </w:p>
        </w:tc>
      </w:tr>
      <w:tr w:rsidR="0028661D" w:rsidRPr="006524DF" w14:paraId="6CD358A8" w14:textId="77777777" w:rsidTr="00102A32">
        <w:tc>
          <w:tcPr>
            <w:tcW w:w="1809" w:type="dxa"/>
            <w:tcBorders>
              <w:top w:val="single" w:sz="4" w:space="0" w:color="auto"/>
              <w:left w:val="single" w:sz="4" w:space="0" w:color="auto"/>
              <w:bottom w:val="single" w:sz="4" w:space="0" w:color="auto"/>
              <w:right w:val="single" w:sz="4" w:space="0" w:color="auto"/>
            </w:tcBorders>
            <w:vAlign w:val="center"/>
            <w:hideMark/>
          </w:tcPr>
          <w:p w14:paraId="1147F072" w14:textId="77777777" w:rsidR="0028661D" w:rsidRPr="006524DF" w:rsidRDefault="0028661D" w:rsidP="0028661D">
            <w:pPr>
              <w:widowControl w:val="0"/>
              <w:jc w:val="left"/>
              <w:rPr>
                <w:sz w:val="20"/>
                <w:lang w:val="en-CA"/>
              </w:rPr>
            </w:pPr>
            <w:r w:rsidRPr="006524DF">
              <w:rPr>
                <w:sz w:val="20"/>
                <w:lang w:val="en-CA"/>
              </w:rPr>
              <w:t>Argentina</w:t>
            </w:r>
          </w:p>
        </w:tc>
        <w:tc>
          <w:tcPr>
            <w:tcW w:w="3998" w:type="dxa"/>
            <w:tcBorders>
              <w:top w:val="single" w:sz="4" w:space="0" w:color="auto"/>
              <w:left w:val="single" w:sz="4" w:space="0" w:color="auto"/>
              <w:bottom w:val="single" w:sz="4" w:space="0" w:color="auto"/>
              <w:right w:val="single" w:sz="4" w:space="0" w:color="auto"/>
            </w:tcBorders>
            <w:vAlign w:val="center"/>
            <w:hideMark/>
          </w:tcPr>
          <w:p w14:paraId="0FE001F6" w14:textId="77777777" w:rsidR="0028661D" w:rsidRPr="006524DF" w:rsidRDefault="0028661D" w:rsidP="0028661D">
            <w:pPr>
              <w:widowControl w:val="0"/>
              <w:jc w:val="left"/>
              <w:rPr>
                <w:sz w:val="20"/>
                <w:lang w:val="en-CA"/>
              </w:rPr>
            </w:pPr>
            <w:r w:rsidRPr="006524DF">
              <w:rPr>
                <w:sz w:val="20"/>
                <w:lang w:val="en-CA"/>
              </w:rPr>
              <w:t>Production CFC</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FB7E4DB" w14:textId="2949C905" w:rsidR="0028661D" w:rsidRPr="006524DF" w:rsidRDefault="005C4DAF" w:rsidP="0028661D">
            <w:pPr>
              <w:widowControl w:val="0"/>
              <w:jc w:val="left"/>
              <w:rPr>
                <w:b/>
                <w:sz w:val="20"/>
                <w:lang w:val="en-CA"/>
              </w:rPr>
            </w:pPr>
            <w:r w:rsidRPr="006524DF">
              <w:rPr>
                <w:b/>
                <w:sz w:val="20"/>
                <w:lang w:val="en-CA"/>
              </w:rPr>
              <w:t>World Bank</w:t>
            </w:r>
          </w:p>
        </w:tc>
      </w:tr>
      <w:tr w:rsidR="0028661D" w:rsidRPr="006524DF" w14:paraId="4C74EA18" w14:textId="77777777" w:rsidTr="00102A32">
        <w:tc>
          <w:tcPr>
            <w:tcW w:w="1809" w:type="dxa"/>
            <w:tcBorders>
              <w:top w:val="single" w:sz="4" w:space="0" w:color="auto"/>
              <w:left w:val="single" w:sz="4" w:space="0" w:color="auto"/>
              <w:bottom w:val="single" w:sz="4" w:space="0" w:color="auto"/>
              <w:right w:val="single" w:sz="4" w:space="0" w:color="auto"/>
            </w:tcBorders>
            <w:vAlign w:val="center"/>
            <w:hideMark/>
          </w:tcPr>
          <w:p w14:paraId="02FD2098" w14:textId="77777777" w:rsidR="0028661D" w:rsidRPr="006524DF" w:rsidRDefault="0028661D" w:rsidP="0028661D">
            <w:pPr>
              <w:widowControl w:val="0"/>
              <w:jc w:val="left"/>
              <w:rPr>
                <w:sz w:val="20"/>
                <w:lang w:val="en-CA"/>
              </w:rPr>
            </w:pPr>
            <w:r w:rsidRPr="006524DF">
              <w:rPr>
                <w:sz w:val="20"/>
                <w:lang w:val="en-CA"/>
              </w:rPr>
              <w:t>Bahamas</w:t>
            </w:r>
          </w:p>
        </w:tc>
        <w:tc>
          <w:tcPr>
            <w:tcW w:w="3998" w:type="dxa"/>
            <w:tcBorders>
              <w:top w:val="single" w:sz="4" w:space="0" w:color="auto"/>
              <w:left w:val="single" w:sz="4" w:space="0" w:color="auto"/>
              <w:bottom w:val="single" w:sz="4" w:space="0" w:color="auto"/>
              <w:right w:val="single" w:sz="4" w:space="0" w:color="auto"/>
            </w:tcBorders>
            <w:vAlign w:val="center"/>
            <w:hideMark/>
          </w:tcPr>
          <w:p w14:paraId="43D80890" w14:textId="77777777" w:rsidR="0028661D" w:rsidRPr="006524DF" w:rsidRDefault="0028661D" w:rsidP="0028661D">
            <w:pPr>
              <w:widowControl w:val="0"/>
              <w:jc w:val="left"/>
              <w:rPr>
                <w:sz w:val="20"/>
                <w:lang w:val="en-US"/>
              </w:rPr>
            </w:pPr>
            <w:r w:rsidRPr="006524DF">
              <w:rPr>
                <w:sz w:val="20"/>
                <w:lang w:val="en-CA"/>
              </w:rPr>
              <w:t>CFC phase-out plan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1CD4FA2" w14:textId="4B557926" w:rsidR="0028661D" w:rsidRPr="006524DF" w:rsidRDefault="005C4DAF" w:rsidP="0028661D">
            <w:pPr>
              <w:widowControl w:val="0"/>
              <w:jc w:val="left"/>
              <w:rPr>
                <w:b/>
                <w:sz w:val="20"/>
                <w:lang w:val="en-CA"/>
              </w:rPr>
            </w:pPr>
            <w:r w:rsidRPr="006524DF">
              <w:rPr>
                <w:b/>
                <w:sz w:val="20"/>
                <w:lang w:val="en-CA"/>
              </w:rPr>
              <w:t>World Bank</w:t>
            </w:r>
          </w:p>
        </w:tc>
      </w:tr>
      <w:tr w:rsidR="0028661D" w:rsidRPr="006524DF" w14:paraId="315CE488" w14:textId="77777777" w:rsidTr="00102A32">
        <w:tc>
          <w:tcPr>
            <w:tcW w:w="1809" w:type="dxa"/>
            <w:tcBorders>
              <w:top w:val="single" w:sz="4" w:space="0" w:color="auto"/>
              <w:left w:val="single" w:sz="4" w:space="0" w:color="auto"/>
              <w:bottom w:val="single" w:sz="4" w:space="0" w:color="auto"/>
              <w:right w:val="single" w:sz="4" w:space="0" w:color="auto"/>
            </w:tcBorders>
            <w:vAlign w:val="center"/>
            <w:hideMark/>
          </w:tcPr>
          <w:p w14:paraId="3C45784E" w14:textId="77777777" w:rsidR="0028661D" w:rsidRPr="006524DF" w:rsidRDefault="0028661D" w:rsidP="0028661D">
            <w:pPr>
              <w:widowControl w:val="0"/>
              <w:jc w:val="left"/>
              <w:rPr>
                <w:sz w:val="20"/>
                <w:lang w:val="en-CA"/>
              </w:rPr>
            </w:pPr>
            <w:r w:rsidRPr="006524DF">
              <w:rPr>
                <w:sz w:val="20"/>
                <w:lang w:val="en-CA"/>
              </w:rPr>
              <w:t>China</w:t>
            </w:r>
          </w:p>
        </w:tc>
        <w:tc>
          <w:tcPr>
            <w:tcW w:w="3998" w:type="dxa"/>
            <w:tcBorders>
              <w:top w:val="single" w:sz="4" w:space="0" w:color="auto"/>
              <w:left w:val="single" w:sz="4" w:space="0" w:color="auto"/>
              <w:bottom w:val="single" w:sz="4" w:space="0" w:color="auto"/>
              <w:right w:val="single" w:sz="4" w:space="0" w:color="auto"/>
            </w:tcBorders>
            <w:vAlign w:val="center"/>
            <w:hideMark/>
          </w:tcPr>
          <w:p w14:paraId="50251D27" w14:textId="77777777" w:rsidR="0028661D" w:rsidRPr="006524DF" w:rsidRDefault="0028661D" w:rsidP="0028661D">
            <w:pPr>
              <w:widowControl w:val="0"/>
              <w:jc w:val="left"/>
              <w:rPr>
                <w:sz w:val="20"/>
                <w:lang w:val="en-CA"/>
              </w:rPr>
            </w:pPr>
            <w:r w:rsidRPr="006524DF">
              <w:rPr>
                <w:sz w:val="20"/>
                <w:lang w:val="en-CA"/>
              </w:rPr>
              <w:t>CFCs/CTC/Halon accelerated phase</w:t>
            </w:r>
            <w:r w:rsidRPr="006524DF">
              <w:rPr>
                <w:sz w:val="20"/>
                <w:lang w:val="en-CA"/>
              </w:rPr>
              <w:noBreakHyphen/>
              <w:t>out plan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ADC52AF" w14:textId="3C80E20D" w:rsidR="0028661D" w:rsidRPr="006524DF" w:rsidRDefault="005C4DAF" w:rsidP="0028661D">
            <w:pPr>
              <w:widowControl w:val="0"/>
              <w:jc w:val="left"/>
              <w:rPr>
                <w:b/>
                <w:sz w:val="20"/>
                <w:lang w:val="en-CA"/>
              </w:rPr>
            </w:pPr>
            <w:r w:rsidRPr="006524DF">
              <w:rPr>
                <w:b/>
                <w:sz w:val="20"/>
                <w:lang w:val="en-CA"/>
              </w:rPr>
              <w:t>World Bank</w:t>
            </w:r>
            <w:r w:rsidR="0028661D" w:rsidRPr="006524DF">
              <w:rPr>
                <w:sz w:val="20"/>
                <w:lang w:val="en-CA"/>
              </w:rPr>
              <w:t xml:space="preserve">/United States of America </w:t>
            </w:r>
          </w:p>
        </w:tc>
      </w:tr>
      <w:tr w:rsidR="000161CB" w:rsidRPr="006524DF" w14:paraId="4F3C5787" w14:textId="77777777" w:rsidTr="00102A32">
        <w:tc>
          <w:tcPr>
            <w:tcW w:w="1809" w:type="dxa"/>
            <w:tcBorders>
              <w:top w:val="single" w:sz="4" w:space="0" w:color="auto"/>
              <w:left w:val="single" w:sz="4" w:space="0" w:color="auto"/>
              <w:bottom w:val="single" w:sz="4" w:space="0" w:color="auto"/>
              <w:right w:val="single" w:sz="4" w:space="0" w:color="auto"/>
            </w:tcBorders>
            <w:vAlign w:val="center"/>
          </w:tcPr>
          <w:p w14:paraId="69155F43" w14:textId="0B5A08F6" w:rsidR="000161CB" w:rsidRPr="006524DF" w:rsidRDefault="000161CB" w:rsidP="000161CB">
            <w:pPr>
              <w:widowControl w:val="0"/>
              <w:jc w:val="left"/>
              <w:rPr>
                <w:sz w:val="20"/>
                <w:lang w:val="en-CA"/>
              </w:rPr>
            </w:pPr>
            <w:r w:rsidRPr="006524DF">
              <w:rPr>
                <w:sz w:val="20"/>
                <w:lang w:val="en-CA"/>
              </w:rPr>
              <w:t>Costa Rica</w:t>
            </w:r>
          </w:p>
        </w:tc>
        <w:tc>
          <w:tcPr>
            <w:tcW w:w="3998" w:type="dxa"/>
            <w:tcBorders>
              <w:top w:val="single" w:sz="4" w:space="0" w:color="auto"/>
              <w:left w:val="single" w:sz="4" w:space="0" w:color="auto"/>
              <w:bottom w:val="single" w:sz="4" w:space="0" w:color="auto"/>
              <w:right w:val="single" w:sz="4" w:space="0" w:color="auto"/>
            </w:tcBorders>
            <w:vAlign w:val="center"/>
          </w:tcPr>
          <w:p w14:paraId="73F47C28" w14:textId="7815E1FE" w:rsidR="000161CB" w:rsidRPr="006524DF" w:rsidRDefault="000161CB" w:rsidP="000161CB">
            <w:pPr>
              <w:widowControl w:val="0"/>
              <w:jc w:val="left"/>
              <w:rPr>
                <w:sz w:val="20"/>
                <w:lang w:val="en-CA"/>
              </w:rPr>
            </w:pPr>
            <w:r w:rsidRPr="006524DF">
              <w:rPr>
                <w:sz w:val="20"/>
                <w:lang w:val="en-CA" w:eastAsia="en-CA"/>
              </w:rPr>
              <w:t>HCFC phase-out plan (stage I)</w:t>
            </w:r>
          </w:p>
        </w:tc>
        <w:tc>
          <w:tcPr>
            <w:tcW w:w="3543" w:type="dxa"/>
            <w:tcBorders>
              <w:top w:val="single" w:sz="4" w:space="0" w:color="auto"/>
              <w:left w:val="single" w:sz="4" w:space="0" w:color="auto"/>
              <w:bottom w:val="single" w:sz="4" w:space="0" w:color="auto"/>
              <w:right w:val="single" w:sz="4" w:space="0" w:color="auto"/>
            </w:tcBorders>
            <w:vAlign w:val="center"/>
          </w:tcPr>
          <w:p w14:paraId="054BFD2D" w14:textId="5BD01434" w:rsidR="000161CB" w:rsidRPr="006524DF" w:rsidRDefault="000161CB" w:rsidP="000161CB">
            <w:pPr>
              <w:widowControl w:val="0"/>
              <w:jc w:val="left"/>
              <w:rPr>
                <w:b/>
                <w:sz w:val="20"/>
                <w:lang w:val="en-CA"/>
              </w:rPr>
            </w:pPr>
            <w:r w:rsidRPr="006524DF">
              <w:rPr>
                <w:b/>
                <w:sz w:val="20"/>
                <w:lang w:val="en-CA"/>
              </w:rPr>
              <w:t>UNDP</w:t>
            </w:r>
          </w:p>
        </w:tc>
      </w:tr>
      <w:tr w:rsidR="000161CB" w:rsidRPr="006524DF" w14:paraId="122AA44B" w14:textId="77777777" w:rsidTr="00102A32">
        <w:tc>
          <w:tcPr>
            <w:tcW w:w="1809" w:type="dxa"/>
            <w:tcBorders>
              <w:top w:val="single" w:sz="4" w:space="0" w:color="auto"/>
              <w:left w:val="single" w:sz="4" w:space="0" w:color="auto"/>
              <w:bottom w:val="single" w:sz="4" w:space="0" w:color="auto"/>
              <w:right w:val="single" w:sz="4" w:space="0" w:color="auto"/>
            </w:tcBorders>
            <w:vAlign w:val="center"/>
            <w:hideMark/>
          </w:tcPr>
          <w:p w14:paraId="53B810E5" w14:textId="77777777" w:rsidR="000161CB" w:rsidRPr="006524DF" w:rsidRDefault="000161CB" w:rsidP="000161CB">
            <w:pPr>
              <w:widowControl w:val="0"/>
              <w:jc w:val="left"/>
              <w:rPr>
                <w:sz w:val="20"/>
                <w:lang w:val="en-CA"/>
              </w:rPr>
            </w:pPr>
            <w:r w:rsidRPr="006524DF">
              <w:rPr>
                <w:sz w:val="20"/>
                <w:lang w:val="en-CA"/>
              </w:rPr>
              <w:t>Philippines</w:t>
            </w:r>
          </w:p>
        </w:tc>
        <w:tc>
          <w:tcPr>
            <w:tcW w:w="3998" w:type="dxa"/>
            <w:tcBorders>
              <w:top w:val="single" w:sz="4" w:space="0" w:color="auto"/>
              <w:left w:val="single" w:sz="4" w:space="0" w:color="auto"/>
              <w:bottom w:val="single" w:sz="4" w:space="0" w:color="auto"/>
              <w:right w:val="single" w:sz="4" w:space="0" w:color="auto"/>
            </w:tcBorders>
            <w:vAlign w:val="center"/>
            <w:hideMark/>
          </w:tcPr>
          <w:p w14:paraId="576CF2B6" w14:textId="77777777" w:rsidR="000161CB" w:rsidRPr="006524DF" w:rsidRDefault="000161CB" w:rsidP="000161CB">
            <w:pPr>
              <w:widowControl w:val="0"/>
              <w:jc w:val="left"/>
              <w:rPr>
                <w:sz w:val="20"/>
                <w:lang w:val="en-CA"/>
              </w:rPr>
            </w:pPr>
            <w:r w:rsidRPr="006524DF">
              <w:rPr>
                <w:sz w:val="20"/>
                <w:lang w:val="en-CA"/>
              </w:rPr>
              <w:t>CFC phase-out plan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9A821F0" w14:textId="53E1732D" w:rsidR="000161CB" w:rsidRPr="006524DF" w:rsidRDefault="005C4DAF" w:rsidP="000161CB">
            <w:pPr>
              <w:widowControl w:val="0"/>
              <w:jc w:val="left"/>
              <w:rPr>
                <w:b/>
                <w:sz w:val="20"/>
                <w:lang w:val="en-CA"/>
              </w:rPr>
            </w:pPr>
            <w:r w:rsidRPr="006524DF">
              <w:rPr>
                <w:b/>
                <w:sz w:val="20"/>
                <w:lang w:val="en-CA"/>
              </w:rPr>
              <w:t>World Bank</w:t>
            </w:r>
            <w:r w:rsidR="000161CB" w:rsidRPr="006524DF">
              <w:rPr>
                <w:sz w:val="20"/>
                <w:lang w:val="en-CA"/>
              </w:rPr>
              <w:t>/Sweden/UNEP</w:t>
            </w:r>
          </w:p>
        </w:tc>
      </w:tr>
      <w:tr w:rsidR="000161CB" w:rsidRPr="006524DF" w14:paraId="2E96BAE2" w14:textId="77777777" w:rsidTr="00102A32">
        <w:tc>
          <w:tcPr>
            <w:tcW w:w="1809" w:type="dxa"/>
            <w:tcBorders>
              <w:top w:val="single" w:sz="4" w:space="0" w:color="auto"/>
              <w:left w:val="single" w:sz="4" w:space="0" w:color="auto"/>
              <w:bottom w:val="single" w:sz="4" w:space="0" w:color="auto"/>
              <w:right w:val="single" w:sz="4" w:space="0" w:color="auto"/>
            </w:tcBorders>
            <w:vAlign w:val="center"/>
            <w:hideMark/>
          </w:tcPr>
          <w:p w14:paraId="08ED9C41" w14:textId="77777777" w:rsidR="000161CB" w:rsidRPr="006524DF" w:rsidRDefault="000161CB" w:rsidP="000161CB">
            <w:pPr>
              <w:widowControl w:val="0"/>
              <w:jc w:val="left"/>
              <w:rPr>
                <w:sz w:val="20"/>
                <w:lang w:val="en-CA"/>
              </w:rPr>
            </w:pPr>
            <w:r w:rsidRPr="006524DF">
              <w:rPr>
                <w:sz w:val="20"/>
                <w:lang w:val="en-CA"/>
              </w:rPr>
              <w:t>Viet Nam</w:t>
            </w:r>
          </w:p>
        </w:tc>
        <w:tc>
          <w:tcPr>
            <w:tcW w:w="3998" w:type="dxa"/>
            <w:tcBorders>
              <w:top w:val="single" w:sz="4" w:space="0" w:color="auto"/>
              <w:left w:val="single" w:sz="4" w:space="0" w:color="auto"/>
              <w:bottom w:val="single" w:sz="4" w:space="0" w:color="auto"/>
              <w:right w:val="single" w:sz="4" w:space="0" w:color="auto"/>
            </w:tcBorders>
            <w:vAlign w:val="center"/>
            <w:hideMark/>
          </w:tcPr>
          <w:p w14:paraId="1E901646" w14:textId="77777777" w:rsidR="000161CB" w:rsidRPr="006524DF" w:rsidRDefault="000161CB" w:rsidP="000161CB">
            <w:pPr>
              <w:widowControl w:val="0"/>
              <w:jc w:val="left"/>
              <w:rPr>
                <w:sz w:val="20"/>
                <w:lang w:val="en-CA"/>
              </w:rPr>
            </w:pPr>
            <w:r w:rsidRPr="006524DF">
              <w:rPr>
                <w:sz w:val="20"/>
                <w:lang w:val="en-CA"/>
              </w:rPr>
              <w:t>Methyl bromide</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8B338CC" w14:textId="495F5273" w:rsidR="000161CB" w:rsidRPr="006524DF" w:rsidRDefault="005C4DAF" w:rsidP="000161CB">
            <w:pPr>
              <w:widowControl w:val="0"/>
              <w:jc w:val="left"/>
              <w:rPr>
                <w:b/>
                <w:sz w:val="20"/>
                <w:lang w:val="en-CA"/>
              </w:rPr>
            </w:pPr>
            <w:r w:rsidRPr="006524DF">
              <w:rPr>
                <w:b/>
                <w:sz w:val="20"/>
                <w:lang w:val="en-CA"/>
              </w:rPr>
              <w:t>World Bank</w:t>
            </w:r>
          </w:p>
        </w:tc>
      </w:tr>
      <w:tr w:rsidR="000161CB" w:rsidRPr="0097510B" w14:paraId="701B416F" w14:textId="77777777" w:rsidTr="00102A32">
        <w:tc>
          <w:tcPr>
            <w:tcW w:w="1809" w:type="dxa"/>
            <w:tcBorders>
              <w:top w:val="single" w:sz="4" w:space="0" w:color="auto"/>
              <w:left w:val="single" w:sz="4" w:space="0" w:color="auto"/>
              <w:bottom w:val="single" w:sz="4" w:space="0" w:color="auto"/>
              <w:right w:val="single" w:sz="4" w:space="0" w:color="auto"/>
            </w:tcBorders>
            <w:vAlign w:val="center"/>
            <w:hideMark/>
          </w:tcPr>
          <w:p w14:paraId="678C4298" w14:textId="77777777" w:rsidR="000161CB" w:rsidRPr="006524DF" w:rsidRDefault="000161CB" w:rsidP="000161CB">
            <w:pPr>
              <w:widowControl w:val="0"/>
              <w:jc w:val="left"/>
              <w:rPr>
                <w:sz w:val="20"/>
                <w:lang w:val="en-CA"/>
              </w:rPr>
            </w:pPr>
            <w:r w:rsidRPr="006524DF">
              <w:rPr>
                <w:sz w:val="20"/>
                <w:lang w:val="en-CA"/>
              </w:rPr>
              <w:t>Yemen</w:t>
            </w:r>
          </w:p>
        </w:tc>
        <w:tc>
          <w:tcPr>
            <w:tcW w:w="3998" w:type="dxa"/>
            <w:tcBorders>
              <w:top w:val="single" w:sz="4" w:space="0" w:color="auto"/>
              <w:left w:val="single" w:sz="4" w:space="0" w:color="auto"/>
              <w:bottom w:val="single" w:sz="4" w:space="0" w:color="auto"/>
              <w:right w:val="single" w:sz="4" w:space="0" w:color="auto"/>
            </w:tcBorders>
            <w:vAlign w:val="center"/>
            <w:hideMark/>
          </w:tcPr>
          <w:p w14:paraId="0AE3C0E6" w14:textId="77777777" w:rsidR="000161CB" w:rsidRPr="006524DF" w:rsidRDefault="000161CB" w:rsidP="000161CB">
            <w:pPr>
              <w:widowControl w:val="0"/>
              <w:jc w:val="left"/>
              <w:rPr>
                <w:sz w:val="20"/>
                <w:lang w:val="en-CA"/>
              </w:rPr>
            </w:pPr>
            <w:r w:rsidRPr="006524DF">
              <w:rPr>
                <w:sz w:val="20"/>
                <w:lang w:val="en-CA"/>
              </w:rPr>
              <w:t>Methyl bromide</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E6BFECF" w14:textId="77777777" w:rsidR="000161CB" w:rsidRPr="00EA1B43" w:rsidRDefault="000161CB" w:rsidP="000161CB">
            <w:pPr>
              <w:widowControl w:val="0"/>
              <w:jc w:val="left"/>
              <w:rPr>
                <w:b/>
                <w:sz w:val="20"/>
                <w:lang w:val="fr-CA"/>
              </w:rPr>
            </w:pPr>
            <w:r w:rsidRPr="006524DF">
              <w:rPr>
                <w:b/>
                <w:sz w:val="20"/>
                <w:lang w:val="en-CA"/>
              </w:rPr>
              <w:t>Germany</w:t>
            </w:r>
          </w:p>
        </w:tc>
      </w:tr>
    </w:tbl>
    <w:p w14:paraId="60AA314A" w14:textId="77777777" w:rsidR="00E60644" w:rsidRPr="006A5C1F" w:rsidRDefault="00E60644" w:rsidP="00AF3406">
      <w:pPr>
        <w:widowControl w:val="0"/>
        <w:spacing w:after="240"/>
        <w:rPr>
          <w:b/>
          <w:lang w:val="en-CA"/>
        </w:rPr>
      </w:pPr>
    </w:p>
    <w:p w14:paraId="7C31C85C" w14:textId="77777777" w:rsidR="00E60644" w:rsidRPr="005764B1" w:rsidRDefault="00E60644" w:rsidP="00E60644">
      <w:pPr>
        <w:widowControl w:val="0"/>
      </w:pPr>
    </w:p>
    <w:p w14:paraId="1CE06184" w14:textId="111B34CD" w:rsidR="008C5738" w:rsidRPr="00BB2764" w:rsidRDefault="008C5738" w:rsidP="00F97AFB">
      <w:pPr>
        <w:pStyle w:val="Heading2"/>
        <w:keepNext/>
        <w:keepLines/>
        <w:numPr>
          <w:ilvl w:val="0"/>
          <w:numId w:val="0"/>
        </w:numPr>
        <w:tabs>
          <w:tab w:val="left" w:pos="720"/>
        </w:tabs>
        <w:jc w:val="center"/>
      </w:pPr>
    </w:p>
    <w:sectPr w:rsidR="008C5738" w:rsidRPr="00BB2764" w:rsidSect="00222C40">
      <w:headerReference w:type="even" r:id="rId35"/>
      <w:headerReference w:type="default" r:id="rId36"/>
      <w:footerReference w:type="even" r:id="rId37"/>
      <w:footerReference w:type="default" r:id="rId38"/>
      <w:headerReference w:type="first" r:id="rId39"/>
      <w:footerReference w:type="first" r:id="rId40"/>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49B69" w14:textId="77777777" w:rsidR="00326AAD" w:rsidRDefault="00326AAD" w:rsidP="004A504B">
      <w:r>
        <w:separator/>
      </w:r>
    </w:p>
  </w:endnote>
  <w:endnote w:type="continuationSeparator" w:id="0">
    <w:p w14:paraId="4A3BFE51" w14:textId="77777777" w:rsidR="00326AAD" w:rsidRDefault="00326AAD"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1FB4E" w14:textId="656A93BC" w:rsidR="009A564E" w:rsidRPr="0033525D" w:rsidRDefault="009A564E">
    <w:pPr>
      <w:jc w:val="center"/>
    </w:pPr>
    <w:r>
      <w:fldChar w:fldCharType="begin"/>
    </w:r>
    <w:r>
      <w:instrText xml:space="preserve"> PAGE </w:instrText>
    </w:r>
    <w:r>
      <w:fldChar w:fldCharType="separate"/>
    </w:r>
    <w:r w:rsidR="002C62C8">
      <w:rPr>
        <w:noProof/>
      </w:rPr>
      <w:t>8</w:t>
    </w:r>
    <w:r>
      <w:rPr>
        <w:noProof/>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B58DE" w14:textId="77777777" w:rsidR="009A564E" w:rsidRPr="0033525D" w:rsidRDefault="009A564E">
    <w:pPr>
      <w:jc w:val="center"/>
    </w:pPr>
    <w:r>
      <w:fldChar w:fldCharType="begin"/>
    </w:r>
    <w:r>
      <w:instrText xml:space="preserve"> PAGE </w:instrText>
    </w:r>
    <w:r>
      <w:fldChar w:fldCharType="separate"/>
    </w:r>
    <w:r>
      <w:rPr>
        <w:noProof/>
      </w:rPr>
      <w:t>2</w:t>
    </w:r>
    <w:r>
      <w:rPr>
        <w:noProof/>
      </w:rPr>
      <w:fldChar w:fldCharType="end"/>
    </w:r>
  </w:p>
  <w:p w14:paraId="0ADD2C72" w14:textId="77777777" w:rsidR="009A564E" w:rsidRDefault="009A564E"/>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FAFFD" w14:textId="77777777" w:rsidR="009A564E" w:rsidRPr="0033525D" w:rsidRDefault="009A564E">
    <w:pPr>
      <w:jc w:val="center"/>
    </w:pPr>
    <w:r>
      <w:fldChar w:fldCharType="begin"/>
    </w:r>
    <w:r>
      <w:instrText xml:space="preserve"> PAGE </w:instrText>
    </w:r>
    <w:r>
      <w:fldChar w:fldCharType="separate"/>
    </w:r>
    <w:r>
      <w:rPr>
        <w:noProof/>
      </w:rPr>
      <w:t>3</w:t>
    </w:r>
    <w:r>
      <w:rPr>
        <w:noProof/>
      </w:rPr>
      <w:fldChar w:fldCharType="end"/>
    </w:r>
  </w:p>
  <w:p w14:paraId="716F1F73" w14:textId="77777777" w:rsidR="009A564E" w:rsidRDefault="009A564E"/>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149557"/>
      <w:docPartObj>
        <w:docPartGallery w:val="Page Numbers (Bottom of Page)"/>
        <w:docPartUnique/>
      </w:docPartObj>
    </w:sdtPr>
    <w:sdtEndPr>
      <w:rPr>
        <w:noProof/>
      </w:rPr>
    </w:sdtEndPr>
    <w:sdtContent>
      <w:p w14:paraId="40A709E8" w14:textId="65E378B9" w:rsidR="009A564E" w:rsidRDefault="009A564E">
        <w:pPr>
          <w:pStyle w:val="Footer"/>
          <w:jc w:val="center"/>
        </w:pPr>
        <w:r>
          <w:fldChar w:fldCharType="begin"/>
        </w:r>
        <w:r>
          <w:instrText xml:space="preserve"> PAGE   \* MERGEFORMAT </w:instrText>
        </w:r>
        <w:r>
          <w:fldChar w:fldCharType="separate"/>
        </w:r>
        <w:r w:rsidR="002C62C8">
          <w:rPr>
            <w:noProof/>
          </w:rPr>
          <w:t>1</w:t>
        </w:r>
        <w:r>
          <w:rPr>
            <w:noProof/>
          </w:rPr>
          <w:fldChar w:fldCharType="end"/>
        </w:r>
      </w:p>
    </w:sdtContent>
  </w:sdt>
  <w:p w14:paraId="6333DC86" w14:textId="77777777" w:rsidR="009A564E" w:rsidRPr="00222C40" w:rsidRDefault="009A564E" w:rsidP="00222C40">
    <w:pPr>
      <w:pStyle w:val="Footer"/>
    </w:pPr>
  </w:p>
  <w:p w14:paraId="579FF950" w14:textId="77777777" w:rsidR="009A564E" w:rsidRDefault="009A564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543A8" w14:textId="4A4588B8" w:rsidR="009A564E" w:rsidRPr="0033525D" w:rsidRDefault="009A564E">
    <w:pPr>
      <w:jc w:val="center"/>
    </w:pPr>
    <w:r>
      <w:fldChar w:fldCharType="begin"/>
    </w:r>
    <w:r>
      <w:instrText xml:space="preserve"> PAGE </w:instrText>
    </w:r>
    <w:r>
      <w:fldChar w:fldCharType="separate"/>
    </w:r>
    <w:r w:rsidR="002C62C8">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50B39" w14:textId="77777777" w:rsidR="009A564E" w:rsidRDefault="009A564E" w:rsidP="009A564E">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0769F1F9" w14:textId="0597D5CF" w:rsidR="009A564E" w:rsidRPr="00A44B75" w:rsidRDefault="009A564E" w:rsidP="009A564E">
    <w:pPr>
      <w:pBdr>
        <w:top w:val="single" w:sz="4" w:space="1" w:color="auto"/>
        <w:left w:val="single" w:sz="4" w:space="4" w:color="auto"/>
        <w:bottom w:val="single" w:sz="4" w:space="1" w:color="auto"/>
        <w:right w:val="single" w:sz="4" w:space="4" w:color="auto"/>
      </w:pBdr>
      <w:jc w:val="center"/>
      <w:rPr>
        <w:sz w:val="18"/>
        <w:szCs w:val="18"/>
        <w:lang w:val="fr-FR"/>
      </w:rPr>
    </w:pPr>
    <w:r>
      <w:rPr>
        <w:rFonts w:cs="MS Serif"/>
        <w:sz w:val="20"/>
        <w:lang w:val="fr-FR"/>
      </w:rPr>
      <w:t>Montréal sont présentés sous réserve des décisions pouvant être prises par le Comité exécutif après leur publication</w:t>
    </w:r>
    <w:r w:rsidRPr="00A44B75">
      <w:rPr>
        <w:sz w:val="18"/>
        <w:szCs w:val="18"/>
        <w:lang w:val="fr-FR"/>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C32E" w14:textId="5A9971C6" w:rsidR="009A564E" w:rsidRPr="0033525D" w:rsidRDefault="009A564E">
    <w:pPr>
      <w:jc w:val="center"/>
    </w:pPr>
    <w:r>
      <w:fldChar w:fldCharType="begin"/>
    </w:r>
    <w:r>
      <w:instrText xml:space="preserve"> PAGE </w:instrText>
    </w:r>
    <w:r>
      <w:fldChar w:fldCharType="separate"/>
    </w:r>
    <w:r w:rsidR="002C62C8">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D459D" w14:textId="77777777" w:rsidR="009A564E" w:rsidRPr="0033525D" w:rsidRDefault="009A564E">
    <w:pPr>
      <w:jc w:val="center"/>
    </w:pPr>
    <w:r>
      <w:fldChar w:fldCharType="begin"/>
    </w:r>
    <w:r>
      <w:instrText xml:space="preserve"> PAGE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324369"/>
      <w:docPartObj>
        <w:docPartGallery w:val="Page Numbers (Bottom of Page)"/>
        <w:docPartUnique/>
      </w:docPartObj>
    </w:sdtPr>
    <w:sdtEndPr>
      <w:rPr>
        <w:noProof/>
      </w:rPr>
    </w:sdtEndPr>
    <w:sdtContent>
      <w:p w14:paraId="27786A82" w14:textId="3067AC75" w:rsidR="009A564E" w:rsidRDefault="009A564E">
        <w:pPr>
          <w:pStyle w:val="Footer"/>
          <w:jc w:val="center"/>
        </w:pPr>
        <w:r>
          <w:fldChar w:fldCharType="begin"/>
        </w:r>
        <w:r>
          <w:instrText xml:space="preserve"> PAGE   \* MERGEFORMAT </w:instrText>
        </w:r>
        <w:r>
          <w:fldChar w:fldCharType="separate"/>
        </w:r>
        <w:r w:rsidR="002C62C8">
          <w:rPr>
            <w:noProof/>
          </w:rPr>
          <w:t>1</w:t>
        </w:r>
        <w:r>
          <w:rPr>
            <w:noProof/>
          </w:rPr>
          <w:fldChar w:fldCharType="end"/>
        </w:r>
      </w:p>
    </w:sdtContent>
  </w:sdt>
  <w:p w14:paraId="519ACFDF" w14:textId="77777777" w:rsidR="009A564E" w:rsidRPr="006A5C1F" w:rsidRDefault="009A564E" w:rsidP="002F2E98">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844146"/>
      <w:docPartObj>
        <w:docPartGallery w:val="Page Numbers (Bottom of Page)"/>
        <w:docPartUnique/>
      </w:docPartObj>
    </w:sdtPr>
    <w:sdtEndPr>
      <w:rPr>
        <w:noProof/>
      </w:rPr>
    </w:sdtEndPr>
    <w:sdtContent>
      <w:p w14:paraId="786D936B" w14:textId="233F064A" w:rsidR="009A564E" w:rsidRDefault="009A564E">
        <w:pPr>
          <w:pStyle w:val="Footer"/>
          <w:jc w:val="center"/>
        </w:pPr>
        <w:r>
          <w:fldChar w:fldCharType="begin"/>
        </w:r>
        <w:r>
          <w:instrText xml:space="preserve"> PAGE   \* MERGEFORMAT </w:instrText>
        </w:r>
        <w:r>
          <w:fldChar w:fldCharType="separate"/>
        </w:r>
        <w:r w:rsidR="002C62C8">
          <w:rPr>
            <w:noProof/>
          </w:rPr>
          <w:t>1</w:t>
        </w:r>
        <w:r>
          <w:rPr>
            <w:noProof/>
          </w:rPr>
          <w:fldChar w:fldCharType="end"/>
        </w:r>
      </w:p>
    </w:sdtContent>
  </w:sdt>
  <w:p w14:paraId="1EBD74B9" w14:textId="77777777" w:rsidR="009A564E" w:rsidRPr="006A5C1F" w:rsidRDefault="009A564E" w:rsidP="002F2E98">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634645"/>
      <w:docPartObj>
        <w:docPartGallery w:val="Page Numbers (Bottom of Page)"/>
        <w:docPartUnique/>
      </w:docPartObj>
    </w:sdtPr>
    <w:sdtEndPr>
      <w:rPr>
        <w:noProof/>
      </w:rPr>
    </w:sdtEndPr>
    <w:sdtContent>
      <w:p w14:paraId="43E27238" w14:textId="2CAC40C6" w:rsidR="009A564E" w:rsidRDefault="009A564E">
        <w:pPr>
          <w:pStyle w:val="Footer"/>
          <w:jc w:val="center"/>
        </w:pPr>
        <w:r>
          <w:fldChar w:fldCharType="begin"/>
        </w:r>
        <w:r>
          <w:instrText xml:space="preserve"> PAGE   \* MERGEFORMAT </w:instrText>
        </w:r>
        <w:r>
          <w:fldChar w:fldCharType="separate"/>
        </w:r>
        <w:r w:rsidR="002C62C8">
          <w:rPr>
            <w:noProof/>
          </w:rPr>
          <w:t>1</w:t>
        </w:r>
        <w:r>
          <w:rPr>
            <w:noProof/>
          </w:rPr>
          <w:fldChar w:fldCharType="end"/>
        </w:r>
      </w:p>
    </w:sdtContent>
  </w:sdt>
  <w:p w14:paraId="6144B25F" w14:textId="77777777" w:rsidR="009A564E" w:rsidRPr="006A5C1F" w:rsidRDefault="009A564E" w:rsidP="002F2E98">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62185"/>
      <w:docPartObj>
        <w:docPartGallery w:val="Page Numbers (Bottom of Page)"/>
        <w:docPartUnique/>
      </w:docPartObj>
    </w:sdtPr>
    <w:sdtEndPr>
      <w:rPr>
        <w:noProof/>
      </w:rPr>
    </w:sdtEndPr>
    <w:sdtContent>
      <w:p w14:paraId="7850E7E0" w14:textId="0DC71B68" w:rsidR="009A564E" w:rsidRDefault="009A564E">
        <w:pPr>
          <w:pStyle w:val="Footer"/>
          <w:jc w:val="center"/>
        </w:pPr>
        <w:r>
          <w:fldChar w:fldCharType="begin"/>
        </w:r>
        <w:r>
          <w:instrText xml:space="preserve"> PAGE   \* MERGEFORMAT </w:instrText>
        </w:r>
        <w:r>
          <w:fldChar w:fldCharType="separate"/>
        </w:r>
        <w:r w:rsidR="002C62C8">
          <w:rPr>
            <w:noProof/>
          </w:rPr>
          <w:t>1</w:t>
        </w:r>
        <w:r>
          <w:rPr>
            <w:noProof/>
          </w:rPr>
          <w:fldChar w:fldCharType="end"/>
        </w:r>
      </w:p>
    </w:sdtContent>
  </w:sdt>
  <w:p w14:paraId="52DC7576" w14:textId="77777777" w:rsidR="009A564E" w:rsidRPr="006A5C1F" w:rsidRDefault="009A564E" w:rsidP="002F2E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326DE" w14:textId="77777777" w:rsidR="00326AAD" w:rsidRDefault="00326AAD" w:rsidP="004A504B">
      <w:r>
        <w:separator/>
      </w:r>
    </w:p>
  </w:footnote>
  <w:footnote w:type="continuationSeparator" w:id="0">
    <w:p w14:paraId="354C3770" w14:textId="77777777" w:rsidR="00326AAD" w:rsidRDefault="00326AAD" w:rsidP="004A504B">
      <w:r>
        <w:continuationSeparator/>
      </w:r>
    </w:p>
  </w:footnote>
  <w:footnote w:id="1">
    <w:p w14:paraId="728908D4" w14:textId="302CC37B" w:rsidR="009A564E" w:rsidRPr="00A44B75" w:rsidRDefault="009A564E" w:rsidP="001642A6">
      <w:pPr>
        <w:pStyle w:val="FootnoteText"/>
        <w:rPr>
          <w:lang w:val="fr-FR"/>
        </w:rPr>
      </w:pPr>
      <w:r>
        <w:rPr>
          <w:rStyle w:val="FootnoteReference"/>
        </w:rPr>
        <w:footnoteRef/>
      </w:r>
      <w:r w:rsidRPr="00A44B75">
        <w:rPr>
          <w:lang w:val="fr-FR"/>
        </w:rPr>
        <w:t xml:space="preserve"> </w:t>
      </w:r>
      <w:r w:rsidRPr="001642A6">
        <w:rPr>
          <w:lang w:val="fr-FR"/>
        </w:rPr>
        <w:t>Les réunions et le processus d’approbation intersessions se dérouleront en ligne en novembre et en décembre 2021 à cause du coronavirus (COVID-19)</w:t>
      </w:r>
    </w:p>
    <w:p w14:paraId="0E24A055" w14:textId="77777777" w:rsidR="009A564E" w:rsidRPr="00A44B75" w:rsidRDefault="009A564E" w:rsidP="00BC6CFF">
      <w:pPr>
        <w:pStyle w:val="FootnoteText"/>
        <w:rPr>
          <w:lang w:val="fr-FR"/>
        </w:rPr>
      </w:pPr>
    </w:p>
  </w:footnote>
  <w:footnote w:id="2">
    <w:p w14:paraId="1225B8DE" w14:textId="399420B3" w:rsidR="009A564E" w:rsidRPr="00A44B75" w:rsidRDefault="009A564E" w:rsidP="00AF297F">
      <w:pPr>
        <w:pStyle w:val="FootnoteText"/>
        <w:rPr>
          <w:lang w:val="fr-FR"/>
        </w:rPr>
      </w:pPr>
      <w:r>
        <w:rPr>
          <w:rStyle w:val="FootnoteReference"/>
        </w:rPr>
        <w:footnoteRef/>
      </w:r>
      <w:r w:rsidRPr="00A44B75">
        <w:rPr>
          <w:lang w:val="fr-FR"/>
        </w:rPr>
        <w:t xml:space="preserve"> </w:t>
      </w:r>
      <w:r w:rsidRPr="001642A6">
        <w:rPr>
          <w:lang w:val="fr-FR"/>
        </w:rPr>
        <w:t xml:space="preserve">La moyenne totale est </w:t>
      </w:r>
      <w:r w:rsidR="00F44AD7">
        <w:rPr>
          <w:lang w:val="fr-FR"/>
        </w:rPr>
        <w:t>fond</w:t>
      </w:r>
      <w:r w:rsidRPr="001642A6">
        <w:rPr>
          <w:lang w:val="fr-FR"/>
        </w:rPr>
        <w:t>ée sur le total des cinq RAP pour accords pluriannuels reçus, figurant à l’Annexe I.</w:t>
      </w:r>
      <w:r w:rsidR="005A0776" w:rsidRPr="00A44B75">
        <w:rPr>
          <w:lang w:val="fr-FR"/>
        </w:rPr>
        <w:t> </w:t>
      </w:r>
    </w:p>
  </w:footnote>
  <w:footnote w:id="3">
    <w:p w14:paraId="49E2F7E6" w14:textId="07B4712F" w:rsidR="009A564E" w:rsidRPr="00A44B75" w:rsidRDefault="009A564E" w:rsidP="0021415D">
      <w:pPr>
        <w:pStyle w:val="FootnoteText"/>
        <w:rPr>
          <w:lang w:val="fr-FR"/>
        </w:rPr>
      </w:pPr>
      <w:r>
        <w:rPr>
          <w:rStyle w:val="FootnoteReference"/>
        </w:rPr>
        <w:footnoteRef/>
      </w:r>
      <w:r w:rsidRPr="00A44B75">
        <w:rPr>
          <w:lang w:val="fr-FR"/>
        </w:rPr>
        <w:t xml:space="preserve"> </w:t>
      </w:r>
      <w:r w:rsidRPr="001642A6">
        <w:rPr>
          <w:lang w:val="fr-FR"/>
        </w:rPr>
        <w:t>Des descriptions détaillées peuvent être consultées dans la base des données des RAP pour des accords pluriannuels, à l’adresse suivante :</w:t>
      </w:r>
      <w:r w:rsidRPr="00A44B75">
        <w:rPr>
          <w:lang w:val="fr-FR"/>
        </w:rPr>
        <w:t xml:space="preserve"> </w:t>
      </w:r>
      <w:r w:rsidR="002C62C8">
        <w:fldChar w:fldCharType="begin"/>
      </w:r>
      <w:r w:rsidR="002C62C8" w:rsidRPr="002C62C8">
        <w:rPr>
          <w:lang w:val="fr-CA"/>
        </w:rPr>
        <w:instrText xml:space="preserve"> HYPERLINK "http://www.multilateralfund.org/pcrmya/search.aspx" </w:instrText>
      </w:r>
      <w:r w:rsidR="002C62C8">
        <w:fldChar w:fldCharType="separate"/>
      </w:r>
      <w:r w:rsidRPr="001642A6">
        <w:rPr>
          <w:rStyle w:val="Hyperlink"/>
          <w:lang w:val="fr-FR"/>
        </w:rPr>
        <w:t>http://www.multilateralfund.org/myapcr/search.aspx</w:t>
      </w:r>
      <w:r w:rsidR="002C62C8">
        <w:rPr>
          <w:rStyle w:val="Hyperlink"/>
          <w:lang w:val="fr-FR"/>
        </w:rPr>
        <w:fldChar w:fldCharType="end"/>
      </w:r>
    </w:p>
  </w:footnote>
  <w:footnote w:id="4">
    <w:p w14:paraId="60071588" w14:textId="07B4C6C4" w:rsidR="009A564E" w:rsidRPr="00A44B75" w:rsidRDefault="009A564E" w:rsidP="00F65696">
      <w:pPr>
        <w:pStyle w:val="FootnoteText"/>
        <w:rPr>
          <w:lang w:val="fr-FR"/>
        </w:rPr>
      </w:pPr>
      <w:r w:rsidRPr="000161CB">
        <w:rPr>
          <w:rStyle w:val="FootnoteReference"/>
        </w:rPr>
        <w:footnoteRef/>
      </w:r>
      <w:r w:rsidRPr="00A44B75">
        <w:rPr>
          <w:lang w:val="fr-FR"/>
        </w:rPr>
        <w:t xml:space="preserve"> </w:t>
      </w:r>
      <w:r w:rsidRPr="001642A6">
        <w:rPr>
          <w:snapToGrid w:val="0"/>
          <w:lang w:val="fr-FR"/>
        </w:rPr>
        <w:t>Excluant la préparation de projet, les programmes de pays, les projets pluriannuels, le réseautage, les activités d’échange d’informations et les projets de renforcement des institutions.</w:t>
      </w:r>
    </w:p>
  </w:footnote>
  <w:footnote w:id="5">
    <w:p w14:paraId="3AF4D945" w14:textId="7B331FC1" w:rsidR="009A564E" w:rsidRPr="00A44B75" w:rsidRDefault="009A564E" w:rsidP="00F65696">
      <w:pPr>
        <w:pStyle w:val="FootnoteText"/>
        <w:rPr>
          <w:lang w:val="fr-FR"/>
        </w:rPr>
      </w:pPr>
      <w:r w:rsidRPr="000161CB">
        <w:rPr>
          <w:rStyle w:val="FootnoteReference"/>
        </w:rPr>
        <w:footnoteRef/>
      </w:r>
      <w:r w:rsidRPr="00A44B75">
        <w:rPr>
          <w:lang w:val="fr-FR"/>
        </w:rPr>
        <w:t xml:space="preserve"> </w:t>
      </w:r>
      <w:r w:rsidRPr="001642A6">
        <w:rPr>
          <w:lang w:val="fr-FR"/>
        </w:rPr>
        <w:t>Incluant les RAP achevés et reçus provenant des pays suivants :</w:t>
      </w:r>
      <w:r w:rsidRPr="00A44B75">
        <w:rPr>
          <w:lang w:val="fr-FR"/>
        </w:rPr>
        <w:t xml:space="preserve"> </w:t>
      </w:r>
      <w:r w:rsidRPr="001642A6">
        <w:rPr>
          <w:lang w:val="fr-FR"/>
        </w:rPr>
        <w:t>Afrique du Sud (1), Australie (25), Autriche (1), Danemark (1), Espagne (4), États-Unis d’Amérique (40), Finlande (5), Israël (2), Italie (1), Pologne (1), République tchèque (2), Suède (5) et Suisse (3).</w:t>
      </w:r>
    </w:p>
  </w:footnote>
  <w:footnote w:id="6">
    <w:p w14:paraId="1EA3A4C9" w14:textId="639062B0" w:rsidR="009A564E" w:rsidRPr="00A44B75" w:rsidRDefault="009A564E">
      <w:pPr>
        <w:pStyle w:val="FootnoteText"/>
        <w:rPr>
          <w:lang w:val="fr-FR"/>
        </w:rPr>
      </w:pPr>
      <w:r>
        <w:rPr>
          <w:rStyle w:val="FootnoteReference"/>
        </w:rPr>
        <w:footnoteRef/>
      </w:r>
      <w:r w:rsidRPr="00A44B75">
        <w:rPr>
          <w:lang w:val="fr-FR"/>
        </w:rPr>
        <w:t xml:space="preserve"> </w:t>
      </w:r>
      <w:r w:rsidRPr="001642A6">
        <w:rPr>
          <w:lang w:val="fr-FR"/>
        </w:rPr>
        <w:t>La moyenne totale est fondée sur le total des 13 RAP individuels reçus.</w:t>
      </w:r>
      <w:r w:rsidR="005A0776" w:rsidRPr="00A44B75">
        <w:rPr>
          <w:lang w:val="fr-FR"/>
        </w:rPr>
        <w:t> </w:t>
      </w:r>
    </w:p>
  </w:footnote>
  <w:footnote w:id="7">
    <w:p w14:paraId="64C314A1" w14:textId="54CE1C4A" w:rsidR="009A564E" w:rsidRPr="00A44B75" w:rsidRDefault="009A564E" w:rsidP="009249A5">
      <w:pPr>
        <w:pStyle w:val="FootnoteText"/>
        <w:rPr>
          <w:lang w:val="fr-FR"/>
        </w:rPr>
      </w:pPr>
      <w:r>
        <w:rPr>
          <w:rStyle w:val="FootnoteReference"/>
        </w:rPr>
        <w:footnoteRef/>
      </w:r>
      <w:r w:rsidRPr="00A44B75">
        <w:rPr>
          <w:lang w:val="fr-FR"/>
        </w:rPr>
        <w:t xml:space="preserve"> </w:t>
      </w:r>
      <w:r w:rsidRPr="001642A6">
        <w:rPr>
          <w:lang w:val="fr-FR"/>
        </w:rPr>
        <w:t>Les enseignements tirés des RAP individuels peuvent être consultés dans la base des données correspondante, à l’adresse suivante :</w:t>
      </w:r>
      <w:r w:rsidRPr="00A44B75">
        <w:rPr>
          <w:lang w:val="fr-FR"/>
        </w:rPr>
        <w:t xml:space="preserve"> </w:t>
      </w:r>
      <w:r w:rsidR="002C62C8">
        <w:fldChar w:fldCharType="begin"/>
      </w:r>
      <w:r w:rsidR="002C62C8" w:rsidRPr="002C62C8">
        <w:rPr>
          <w:lang w:val="fr-CA"/>
        </w:rPr>
        <w:instrText xml:space="preserve"> HYPERLINK "http://www.multilateralfund.org/pcrindividual/search.aspx" </w:instrText>
      </w:r>
      <w:r w:rsidR="002C62C8">
        <w:fldChar w:fldCharType="separate"/>
      </w:r>
      <w:r w:rsidRPr="001642A6">
        <w:rPr>
          <w:rStyle w:val="Hyperlink"/>
          <w:lang w:val="fr-FR"/>
        </w:rPr>
        <w:t>http://www.multilateralfund.org/pcrindividual/search.aspx</w:t>
      </w:r>
      <w:r w:rsidR="002C62C8">
        <w:rPr>
          <w:rStyle w:val="Hyperlink"/>
          <w:lang w:val="fr-FR"/>
        </w:rPr>
        <w:fldChar w:fldCharType="end"/>
      </w:r>
    </w:p>
  </w:footnote>
  <w:footnote w:id="8">
    <w:p w14:paraId="7D0B383A" w14:textId="5C447F58" w:rsidR="009A564E" w:rsidRPr="001642A6" w:rsidRDefault="009A564E" w:rsidP="00222C40">
      <w:pPr>
        <w:pStyle w:val="FootnoteText"/>
        <w:rPr>
          <w:lang w:val="en-CA"/>
        </w:rPr>
      </w:pPr>
      <w:r>
        <w:rPr>
          <w:rStyle w:val="FootnoteReference"/>
        </w:rPr>
        <w:footnoteRef/>
      </w:r>
      <w:r>
        <w:t xml:space="preserve"> </w:t>
      </w:r>
      <w:r w:rsidRPr="001642A6">
        <w:rPr>
          <w:lang w:val="fr-FR"/>
        </w:rPr>
        <w:t>(Décision 81/29).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852E0" w14:textId="77777777" w:rsidR="009A564E" w:rsidRPr="0033525D" w:rsidRDefault="00326AAD">
    <w:r>
      <w:fldChar w:fldCharType="begin"/>
    </w:r>
    <w:r>
      <w:instrText xml:space="preserve"> DOCPROPERTY "Document number"  \* MERGEFORMAT </w:instrText>
    </w:r>
    <w:r>
      <w:fldChar w:fldCharType="separate"/>
    </w:r>
    <w:r w:rsidR="00F44AD7">
      <w:t>UNEP/</w:t>
    </w:r>
    <w:proofErr w:type="spellStart"/>
    <w:r w:rsidR="00F44AD7">
      <w:t>OzL.Pro</w:t>
    </w:r>
    <w:proofErr w:type="spellEnd"/>
    <w:r w:rsidR="00F44AD7">
      <w:t>/</w:t>
    </w:r>
    <w:proofErr w:type="spellStart"/>
    <w:r w:rsidR="00F44AD7">
      <w:t>ExCom</w:t>
    </w:r>
    <w:proofErr w:type="spellEnd"/>
    <w:r w:rsidR="00F44AD7">
      <w:t>/88/19</w:t>
    </w:r>
    <w:r>
      <w:fldChar w:fldCharType="end"/>
    </w:r>
  </w:p>
  <w:p w14:paraId="77104758" w14:textId="77777777" w:rsidR="009A564E" w:rsidRPr="0033525D" w:rsidRDefault="009A564E"/>
  <w:p w14:paraId="468DF15B" w14:textId="77777777" w:rsidR="009A564E" w:rsidRPr="0033525D" w:rsidRDefault="009A564E"/>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75DC" w14:textId="70F928FF" w:rsidR="009A564E" w:rsidRPr="0033525D" w:rsidRDefault="00326AAD" w:rsidP="002F2E98">
    <w:pPr>
      <w:jc w:val="right"/>
    </w:pPr>
    <w:r>
      <w:fldChar w:fldCharType="begin"/>
    </w:r>
    <w:r>
      <w:instrText xml:space="preserve"> DOCPROPERTY "Document number"  \* MERGEFORMAT </w:instrText>
    </w:r>
    <w:r>
      <w:fldChar w:fldCharType="separate"/>
    </w:r>
    <w:r w:rsidR="000E52FD">
      <w:t>UNEP/</w:t>
    </w:r>
    <w:proofErr w:type="spellStart"/>
    <w:r w:rsidR="000E52FD">
      <w:t>OzL.Pro</w:t>
    </w:r>
    <w:proofErr w:type="spellEnd"/>
    <w:r w:rsidR="000E52FD">
      <w:t>/</w:t>
    </w:r>
    <w:proofErr w:type="spellStart"/>
    <w:r w:rsidR="000E52FD">
      <w:t>ExCom</w:t>
    </w:r>
    <w:proofErr w:type="spellEnd"/>
    <w:r w:rsidR="000E52FD">
      <w:t>/88/19</w:t>
    </w:r>
    <w:r>
      <w:fldChar w:fldCharType="end"/>
    </w:r>
  </w:p>
  <w:p w14:paraId="1F6D5310" w14:textId="77777777" w:rsidR="009A564E" w:rsidRDefault="009A564E" w:rsidP="002F2E98">
    <w:pPr>
      <w:pStyle w:val="Header"/>
      <w:jc w:val="right"/>
    </w:pPr>
    <w:r>
      <w:t>Annex III</w:t>
    </w:r>
  </w:p>
  <w:p w14:paraId="401853FF" w14:textId="77777777" w:rsidR="009A564E" w:rsidRDefault="009A564E">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7513" w14:textId="4848C552" w:rsidR="009A564E" w:rsidRPr="0033525D" w:rsidRDefault="00326AAD" w:rsidP="002F2E98">
    <w:pPr>
      <w:jc w:val="right"/>
    </w:pPr>
    <w:r>
      <w:fldChar w:fldCharType="begin"/>
    </w:r>
    <w:r>
      <w:instrText xml:space="preserve"> DOCPROPERTY "Document number"  \* MERGEFORMAT </w:instrText>
    </w:r>
    <w:r>
      <w:fldChar w:fldCharType="separate"/>
    </w:r>
    <w:r w:rsidR="000E52FD">
      <w:t>UNEP/</w:t>
    </w:r>
    <w:proofErr w:type="spellStart"/>
    <w:r w:rsidR="000E52FD">
      <w:t>OzL.Pro</w:t>
    </w:r>
    <w:proofErr w:type="spellEnd"/>
    <w:r w:rsidR="000E52FD">
      <w:t>/</w:t>
    </w:r>
    <w:proofErr w:type="spellStart"/>
    <w:r w:rsidR="000E52FD">
      <w:t>ExCom</w:t>
    </w:r>
    <w:proofErr w:type="spellEnd"/>
    <w:r w:rsidR="000E52FD">
      <w:t>/88/19</w:t>
    </w:r>
    <w:r>
      <w:fldChar w:fldCharType="end"/>
    </w:r>
  </w:p>
  <w:p w14:paraId="2800431A" w14:textId="77777777" w:rsidR="009A564E" w:rsidRDefault="009A564E" w:rsidP="002F2E98">
    <w:pPr>
      <w:pStyle w:val="Header"/>
      <w:jc w:val="right"/>
    </w:pPr>
    <w:r>
      <w:t>Annex IV</w:t>
    </w:r>
  </w:p>
  <w:p w14:paraId="2D1B172F" w14:textId="77777777" w:rsidR="009A564E" w:rsidRDefault="009A564E">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BADA2" w14:textId="77777777" w:rsidR="009A564E" w:rsidRPr="0033525D" w:rsidRDefault="00326AAD">
    <w:r>
      <w:fldChar w:fldCharType="begin"/>
    </w:r>
    <w:r>
      <w:instrText xml:space="preserve"> DOCPROPERTY "Document number"  \* MERGEFORMAT </w:instrText>
    </w:r>
    <w:r>
      <w:fldChar w:fldCharType="separate"/>
    </w:r>
    <w:r w:rsidR="00F44AD7">
      <w:t>UNEP/</w:t>
    </w:r>
    <w:proofErr w:type="spellStart"/>
    <w:r w:rsidR="00F44AD7">
      <w:t>OzL.Pro</w:t>
    </w:r>
    <w:proofErr w:type="spellEnd"/>
    <w:r w:rsidR="00F44AD7">
      <w:t>/</w:t>
    </w:r>
    <w:proofErr w:type="spellStart"/>
    <w:r w:rsidR="00F44AD7">
      <w:t>ExCom</w:t>
    </w:r>
    <w:proofErr w:type="spellEnd"/>
    <w:r w:rsidR="00F44AD7">
      <w:t>/88/19</w:t>
    </w:r>
    <w:r>
      <w:fldChar w:fldCharType="end"/>
    </w:r>
  </w:p>
  <w:p w14:paraId="4730EDB4" w14:textId="77777777" w:rsidR="009A564E" w:rsidRPr="0033525D" w:rsidRDefault="009A564E"/>
  <w:p w14:paraId="3B1BE1AA" w14:textId="77777777" w:rsidR="009A564E" w:rsidRPr="0033525D" w:rsidRDefault="009A564E"/>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439E" w14:textId="77777777" w:rsidR="009A564E" w:rsidRPr="0033525D" w:rsidRDefault="00326AAD">
    <w:pPr>
      <w:jc w:val="right"/>
    </w:pPr>
    <w:r>
      <w:fldChar w:fldCharType="begin"/>
    </w:r>
    <w:r>
      <w:instrText xml:space="preserve"> DOCPROPERTY "Document number"  \* MERGEFORMAT </w:instrText>
    </w:r>
    <w:r>
      <w:fldChar w:fldCharType="separate"/>
    </w:r>
    <w:r w:rsidR="00F44AD7">
      <w:t>UNEP/</w:t>
    </w:r>
    <w:proofErr w:type="spellStart"/>
    <w:r w:rsidR="00F44AD7">
      <w:t>OzL.Pro</w:t>
    </w:r>
    <w:proofErr w:type="spellEnd"/>
    <w:r w:rsidR="00F44AD7">
      <w:t>/</w:t>
    </w:r>
    <w:proofErr w:type="spellStart"/>
    <w:r w:rsidR="00F44AD7">
      <w:t>ExCom</w:t>
    </w:r>
    <w:proofErr w:type="spellEnd"/>
    <w:r w:rsidR="00F44AD7">
      <w:t>/88/19</w:t>
    </w:r>
    <w:r>
      <w:fldChar w:fldCharType="end"/>
    </w:r>
  </w:p>
  <w:p w14:paraId="75DFC429" w14:textId="77777777" w:rsidR="009A564E" w:rsidRPr="0033525D" w:rsidRDefault="009A564E"/>
  <w:p w14:paraId="247548D7" w14:textId="77777777" w:rsidR="009A564E" w:rsidRPr="0033525D" w:rsidRDefault="009A564E">
    <w:pPr>
      <w:pStyle w:val="Header"/>
    </w:pPr>
  </w:p>
  <w:p w14:paraId="427821F8" w14:textId="77777777" w:rsidR="009A564E" w:rsidRDefault="009A564E"/>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E2651" w14:textId="24BE8E25" w:rsidR="009A564E" w:rsidRPr="0033525D" w:rsidRDefault="00326AAD" w:rsidP="002F2E98">
    <w:pPr>
      <w:jc w:val="right"/>
    </w:pPr>
    <w:r>
      <w:fldChar w:fldCharType="begin"/>
    </w:r>
    <w:r>
      <w:instrText xml:space="preserve"> DOCPROPERTY "Document number"  \* MERGEFORMAT </w:instrText>
    </w:r>
    <w:r>
      <w:fldChar w:fldCharType="separate"/>
    </w:r>
    <w:r w:rsidR="000E52FD">
      <w:t>UNEP/</w:t>
    </w:r>
    <w:proofErr w:type="spellStart"/>
    <w:r w:rsidR="000E52FD">
      <w:t>OzL.Pro</w:t>
    </w:r>
    <w:proofErr w:type="spellEnd"/>
    <w:r w:rsidR="000E52FD">
      <w:t>/</w:t>
    </w:r>
    <w:proofErr w:type="spellStart"/>
    <w:r w:rsidR="000E52FD">
      <w:t>ExCom</w:t>
    </w:r>
    <w:proofErr w:type="spellEnd"/>
    <w:r w:rsidR="000E52FD">
      <w:t>/88/19</w:t>
    </w:r>
    <w:r>
      <w:fldChar w:fldCharType="end"/>
    </w:r>
  </w:p>
  <w:p w14:paraId="24748322" w14:textId="0AC7FE72" w:rsidR="009A564E" w:rsidRDefault="009A564E" w:rsidP="00AE6605">
    <w:pPr>
      <w:pStyle w:val="Header"/>
      <w:jc w:val="right"/>
    </w:pPr>
    <w:r>
      <w:t>Annex V</w:t>
    </w:r>
  </w:p>
  <w:p w14:paraId="24D763CE" w14:textId="77777777" w:rsidR="009A564E" w:rsidRDefault="009A564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A0EBE" w14:textId="77777777" w:rsidR="009A564E" w:rsidRPr="0033525D" w:rsidRDefault="00326AAD">
    <w:pPr>
      <w:jc w:val="right"/>
    </w:pPr>
    <w:r>
      <w:fldChar w:fldCharType="begin"/>
    </w:r>
    <w:r>
      <w:instrText xml:space="preserve"> DOCPROPERTY "Document number"  \* MERGEFORMAT </w:instrText>
    </w:r>
    <w:r>
      <w:fldChar w:fldCharType="separate"/>
    </w:r>
    <w:r w:rsidR="00F44AD7">
      <w:t>UNEP/</w:t>
    </w:r>
    <w:proofErr w:type="spellStart"/>
    <w:r w:rsidR="00F44AD7">
      <w:t>OzL.Pro</w:t>
    </w:r>
    <w:proofErr w:type="spellEnd"/>
    <w:r w:rsidR="00F44AD7">
      <w:t>/</w:t>
    </w:r>
    <w:proofErr w:type="spellStart"/>
    <w:r w:rsidR="00F44AD7">
      <w:t>ExCom</w:t>
    </w:r>
    <w:proofErr w:type="spellEnd"/>
    <w:r w:rsidR="00F44AD7">
      <w:t>/88/19</w:t>
    </w:r>
    <w:r>
      <w:fldChar w:fldCharType="end"/>
    </w:r>
  </w:p>
  <w:p w14:paraId="086478E7" w14:textId="77777777" w:rsidR="009A564E" w:rsidRPr="0033525D" w:rsidRDefault="009A564E"/>
  <w:p w14:paraId="117EDC49" w14:textId="77777777" w:rsidR="009A564E" w:rsidRPr="0033525D" w:rsidRDefault="009A564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585B1" w14:textId="77777777" w:rsidR="009A564E" w:rsidRPr="0033525D" w:rsidRDefault="00326AAD">
    <w:r>
      <w:fldChar w:fldCharType="begin"/>
    </w:r>
    <w:r>
      <w:instrText xml:space="preserve"> DOCPROPERTY "Document number"  \* MERGEFORMAT </w:instrText>
    </w:r>
    <w:r>
      <w:fldChar w:fldCharType="separate"/>
    </w:r>
    <w:r w:rsidR="00F44AD7">
      <w:t>UNEP/</w:t>
    </w:r>
    <w:proofErr w:type="spellStart"/>
    <w:r w:rsidR="00F44AD7">
      <w:t>OzL.Pro</w:t>
    </w:r>
    <w:proofErr w:type="spellEnd"/>
    <w:r w:rsidR="00F44AD7">
      <w:t>/</w:t>
    </w:r>
    <w:proofErr w:type="spellStart"/>
    <w:r w:rsidR="00F44AD7">
      <w:t>ExCom</w:t>
    </w:r>
    <w:proofErr w:type="spellEnd"/>
    <w:r w:rsidR="00F44AD7">
      <w:t>/88/19</w:t>
    </w:r>
    <w:r>
      <w:fldChar w:fldCharType="end"/>
    </w:r>
  </w:p>
  <w:p w14:paraId="68E6BEB3" w14:textId="77777777" w:rsidR="009A564E" w:rsidRPr="0033525D" w:rsidRDefault="009A564E"/>
  <w:p w14:paraId="772ECC57" w14:textId="77777777" w:rsidR="009A564E" w:rsidRPr="0033525D" w:rsidRDefault="009A564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38628" w14:textId="77777777" w:rsidR="009A564E" w:rsidRPr="0033525D" w:rsidRDefault="00326AAD">
    <w:pPr>
      <w:jc w:val="right"/>
    </w:pPr>
    <w:r>
      <w:fldChar w:fldCharType="begin"/>
    </w:r>
    <w:r>
      <w:instrText xml:space="preserve"> DOCPROPERTY "Document number"  \* MERGEFORMAT </w:instrText>
    </w:r>
    <w:r>
      <w:fldChar w:fldCharType="separate"/>
    </w:r>
    <w:r w:rsidR="00F44AD7">
      <w:t>UNEP/</w:t>
    </w:r>
    <w:proofErr w:type="spellStart"/>
    <w:r w:rsidR="00F44AD7">
      <w:t>OzL.Pro</w:t>
    </w:r>
    <w:proofErr w:type="spellEnd"/>
    <w:r w:rsidR="00F44AD7">
      <w:t>/</w:t>
    </w:r>
    <w:proofErr w:type="spellStart"/>
    <w:r w:rsidR="00F44AD7">
      <w:t>ExCom</w:t>
    </w:r>
    <w:proofErr w:type="spellEnd"/>
    <w:r w:rsidR="00F44AD7">
      <w:t>/88/19</w:t>
    </w:r>
    <w:r>
      <w:fldChar w:fldCharType="end"/>
    </w:r>
  </w:p>
  <w:p w14:paraId="5C2E6E9E" w14:textId="77777777" w:rsidR="009A564E" w:rsidRPr="0033525D" w:rsidRDefault="009A564E"/>
  <w:p w14:paraId="7C56852D" w14:textId="77777777" w:rsidR="009A564E" w:rsidRPr="0033525D" w:rsidRDefault="009A564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6393" w14:textId="76FE04D4" w:rsidR="009A564E" w:rsidRPr="0033525D" w:rsidRDefault="00326AAD" w:rsidP="002F2E98">
    <w:pPr>
      <w:jc w:val="right"/>
    </w:pPr>
    <w:r>
      <w:fldChar w:fldCharType="begin"/>
    </w:r>
    <w:r>
      <w:instrText xml:space="preserve"> DOCPROPERTY "Document number"  \* MERGEFORMAT </w:instrText>
    </w:r>
    <w:r>
      <w:fldChar w:fldCharType="separate"/>
    </w:r>
    <w:r w:rsidR="000E52FD">
      <w:t>UNEP/</w:t>
    </w:r>
    <w:proofErr w:type="spellStart"/>
    <w:r w:rsidR="000E52FD">
      <w:t>OzL.Pro</w:t>
    </w:r>
    <w:proofErr w:type="spellEnd"/>
    <w:r w:rsidR="000E52FD">
      <w:t>/</w:t>
    </w:r>
    <w:proofErr w:type="spellStart"/>
    <w:r w:rsidR="000E52FD">
      <w:t>ExCom</w:t>
    </w:r>
    <w:proofErr w:type="spellEnd"/>
    <w:r w:rsidR="000E52FD">
      <w:t>/88/19</w:t>
    </w:r>
    <w:r>
      <w:fldChar w:fldCharType="end"/>
    </w:r>
  </w:p>
  <w:p w14:paraId="35ABE042" w14:textId="77777777" w:rsidR="009A564E" w:rsidRDefault="009A564E" w:rsidP="002F2E98">
    <w:pPr>
      <w:pStyle w:val="Header"/>
      <w:jc w:val="right"/>
    </w:pPr>
    <w:r>
      <w:t>Annex I</w:t>
    </w:r>
  </w:p>
  <w:p w14:paraId="1DC7265C" w14:textId="77777777" w:rsidR="009A564E" w:rsidRDefault="009A564E" w:rsidP="00014AA9">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40B8" w14:textId="77777777" w:rsidR="009A564E" w:rsidRPr="0033525D" w:rsidRDefault="00326AAD">
    <w:r>
      <w:fldChar w:fldCharType="begin"/>
    </w:r>
    <w:r>
      <w:instrText xml:space="preserve"> DOCPROPERTY "Document number"  \* MERGEFORMAT </w:instrText>
    </w:r>
    <w:r>
      <w:fldChar w:fldCharType="separate"/>
    </w:r>
    <w:r w:rsidR="00F44AD7">
      <w:t>UNEP/</w:t>
    </w:r>
    <w:proofErr w:type="spellStart"/>
    <w:r w:rsidR="00F44AD7">
      <w:t>OzL.Pro</w:t>
    </w:r>
    <w:proofErr w:type="spellEnd"/>
    <w:r w:rsidR="00F44AD7">
      <w:t>/</w:t>
    </w:r>
    <w:proofErr w:type="spellStart"/>
    <w:r w:rsidR="00F44AD7">
      <w:t>ExCom</w:t>
    </w:r>
    <w:proofErr w:type="spellEnd"/>
    <w:r w:rsidR="00F44AD7">
      <w:t>/88/19</w:t>
    </w:r>
    <w:r>
      <w:fldChar w:fldCharType="end"/>
    </w:r>
  </w:p>
  <w:p w14:paraId="389DA378" w14:textId="77777777" w:rsidR="009A564E" w:rsidRPr="0033525D" w:rsidRDefault="009A564E">
    <w:r>
      <w:t>Annex II</w:t>
    </w:r>
  </w:p>
  <w:p w14:paraId="1294F728" w14:textId="77777777" w:rsidR="009A564E" w:rsidRPr="0033525D" w:rsidRDefault="009A564E"/>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CCA15" w14:textId="0EB1B110" w:rsidR="009A564E" w:rsidRPr="0033525D" w:rsidRDefault="00326AAD" w:rsidP="002F2E98">
    <w:pPr>
      <w:jc w:val="right"/>
    </w:pPr>
    <w:r>
      <w:fldChar w:fldCharType="begin"/>
    </w:r>
    <w:r>
      <w:instrText xml:space="preserve"> DOCPROPERTY "Document number"  \* MERGEFORMAT </w:instrText>
    </w:r>
    <w:r>
      <w:fldChar w:fldCharType="separate"/>
    </w:r>
    <w:r w:rsidR="000E52FD">
      <w:t>UNEP/</w:t>
    </w:r>
    <w:proofErr w:type="spellStart"/>
    <w:r w:rsidR="000E52FD">
      <w:t>OzL.Pro</w:t>
    </w:r>
    <w:proofErr w:type="spellEnd"/>
    <w:r w:rsidR="000E52FD">
      <w:t>/</w:t>
    </w:r>
    <w:proofErr w:type="spellStart"/>
    <w:r w:rsidR="000E52FD">
      <w:t>ExCom</w:t>
    </w:r>
    <w:proofErr w:type="spellEnd"/>
    <w:r w:rsidR="000E52FD">
      <w:t>/88/19</w:t>
    </w:r>
    <w:r>
      <w:fldChar w:fldCharType="end"/>
    </w:r>
  </w:p>
  <w:p w14:paraId="6FA13841" w14:textId="77777777" w:rsidR="009A564E" w:rsidRDefault="009A564E" w:rsidP="002F2E98">
    <w:pPr>
      <w:pStyle w:val="Header"/>
      <w:jc w:val="right"/>
    </w:pPr>
    <w:r>
      <w:t>Annex II</w:t>
    </w:r>
  </w:p>
  <w:p w14:paraId="16F81166" w14:textId="77777777" w:rsidR="009A564E" w:rsidRDefault="009A564E">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D17E3" w14:textId="42EEAF1B" w:rsidR="009A564E" w:rsidRPr="0033525D" w:rsidRDefault="00326AAD">
    <w:r>
      <w:fldChar w:fldCharType="begin"/>
    </w:r>
    <w:r>
      <w:instrText xml:space="preserve"> DOCPROPERTY "Document number"  \* MERGEFORMAT </w:instrText>
    </w:r>
    <w:r>
      <w:fldChar w:fldCharType="separate"/>
    </w:r>
    <w:r w:rsidR="000E52FD">
      <w:t>UNEP/</w:t>
    </w:r>
    <w:proofErr w:type="spellStart"/>
    <w:r w:rsidR="000E52FD">
      <w:t>OzL.Pro</w:t>
    </w:r>
    <w:proofErr w:type="spellEnd"/>
    <w:r w:rsidR="000E52FD">
      <w:t>/</w:t>
    </w:r>
    <w:proofErr w:type="spellStart"/>
    <w:r w:rsidR="000E52FD">
      <w:t>ExCom</w:t>
    </w:r>
    <w:proofErr w:type="spellEnd"/>
    <w:r w:rsidR="000E52FD">
      <w:t>/88/19</w:t>
    </w:r>
    <w:r>
      <w:fldChar w:fldCharType="end"/>
    </w:r>
  </w:p>
  <w:p w14:paraId="6DDA1A6E" w14:textId="77777777" w:rsidR="009A564E" w:rsidRPr="0033525D" w:rsidRDefault="009A564E">
    <w:r>
      <w:t>Annex III</w:t>
    </w:r>
  </w:p>
  <w:p w14:paraId="6334EC4A" w14:textId="77777777" w:rsidR="009A564E" w:rsidRPr="0033525D" w:rsidRDefault="009A564E"/>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3F654" w14:textId="77777777" w:rsidR="009A564E" w:rsidRPr="0033525D" w:rsidRDefault="00326AAD">
    <w:pPr>
      <w:jc w:val="right"/>
    </w:pPr>
    <w:r>
      <w:fldChar w:fldCharType="begin"/>
    </w:r>
    <w:r>
      <w:instrText xml:space="preserve"> DOCPROPERTY "Document number"  \* MERGEFORMAT </w:instrText>
    </w:r>
    <w:r>
      <w:fldChar w:fldCharType="separate"/>
    </w:r>
    <w:r w:rsidR="00F44AD7">
      <w:t>UNEP/</w:t>
    </w:r>
    <w:proofErr w:type="spellStart"/>
    <w:r w:rsidR="00F44AD7">
      <w:t>OzL.Pro</w:t>
    </w:r>
    <w:proofErr w:type="spellEnd"/>
    <w:r w:rsidR="00F44AD7">
      <w:t>/</w:t>
    </w:r>
    <w:proofErr w:type="spellStart"/>
    <w:r w:rsidR="00F44AD7">
      <w:t>ExCom</w:t>
    </w:r>
    <w:proofErr w:type="spellEnd"/>
    <w:r w:rsidR="00F44AD7">
      <w:t>/88/19</w:t>
    </w:r>
    <w:r>
      <w:fldChar w:fldCharType="end"/>
    </w:r>
  </w:p>
  <w:p w14:paraId="6EFDB122" w14:textId="77777777" w:rsidR="009A564E" w:rsidRPr="0033525D" w:rsidRDefault="009A564E" w:rsidP="002F2E98">
    <w:pPr>
      <w:jc w:val="right"/>
    </w:pPr>
    <w:r>
      <w:t>Annex III</w:t>
    </w:r>
  </w:p>
  <w:p w14:paraId="15814B8C" w14:textId="77777777" w:rsidR="009A564E" w:rsidRPr="0033525D" w:rsidRDefault="009A56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A6CC908"/>
    <w:lvl w:ilvl="0">
      <w:start w:val="1"/>
      <w:numFmt w:val="decimal"/>
      <w:pStyle w:val="Heading1"/>
      <w:lvlText w:val="%1."/>
      <w:lvlJc w:val="left"/>
      <w:pPr>
        <w:tabs>
          <w:tab w:val="num" w:pos="0"/>
        </w:tabs>
        <w:ind w:left="0" w:firstLine="0"/>
      </w:pPr>
      <w:rPr>
        <w:rFonts w:ascii="Times New Roman" w:hAnsi="Times New Roman" w:cs="Times New Roman" w:hint="default"/>
        <w:b w:val="0"/>
        <w:color w:val="auto"/>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 w15:restartNumberingAfterBreak="0">
    <w:nsid w:val="24C251F8"/>
    <w:multiLevelType w:val="multilevel"/>
    <w:tmpl w:val="77F6B65E"/>
    <w:lvl w:ilvl="0">
      <w:start w:val="1"/>
      <w:numFmt w:val="lowerLetter"/>
      <w:lvlText w:val="(%1)"/>
      <w:lvlJc w:val="left"/>
      <w:pPr>
        <w:tabs>
          <w:tab w:val="num" w:pos="720"/>
        </w:tabs>
        <w:ind w:left="720" w:firstLine="0"/>
      </w:pPr>
    </w:lvl>
    <w:lvl w:ilvl="1">
      <w:start w:val="1"/>
      <w:numFmt w:val="lowerLetter"/>
      <w:pStyle w:val="lisa"/>
      <w:lvlText w:val="(%2)"/>
      <w:lvlJc w:val="left"/>
      <w:pPr>
        <w:tabs>
          <w:tab w:val="num" w:pos="1710"/>
        </w:tabs>
        <w:ind w:left="2430" w:hanging="720"/>
      </w:pPr>
      <w:rPr>
        <w:b/>
        <w:i w:val="0"/>
      </w:rPr>
    </w:lvl>
    <w:lvl w:ilvl="2">
      <w:start w:val="1"/>
      <w:numFmt w:val="lowerRoman"/>
      <w:lvlText w:val="(%3)"/>
      <w:lvlJc w:val="left"/>
      <w:pPr>
        <w:tabs>
          <w:tab w:val="num" w:pos="1440"/>
        </w:tabs>
        <w:ind w:left="3600" w:hanging="720"/>
      </w:pPr>
    </w:lvl>
    <w:lvl w:ilvl="3">
      <w:start w:val="1"/>
      <w:numFmt w:val="lowerLetter"/>
      <w:lvlText w:val="%4)"/>
      <w:lvlJc w:val="left"/>
      <w:pPr>
        <w:tabs>
          <w:tab w:val="num" w:pos="1440"/>
        </w:tabs>
        <w:ind w:left="4306" w:hanging="706"/>
      </w:pPr>
    </w:lvl>
    <w:lvl w:ilvl="4">
      <w:start w:val="1"/>
      <w:numFmt w:val="decimal"/>
      <w:lvlText w:val="(%5)"/>
      <w:lvlJc w:val="left"/>
      <w:pPr>
        <w:tabs>
          <w:tab w:val="num" w:pos="1440"/>
        </w:tabs>
        <w:ind w:left="5011" w:hanging="705"/>
      </w:pPr>
    </w:lvl>
    <w:lvl w:ilvl="5">
      <w:start w:val="1"/>
      <w:numFmt w:val="lowerLetter"/>
      <w:lvlText w:val="(%6)"/>
      <w:lvlJc w:val="left"/>
      <w:pPr>
        <w:tabs>
          <w:tab w:val="num" w:pos="1440"/>
        </w:tabs>
        <w:ind w:left="5731" w:hanging="720"/>
      </w:pPr>
    </w:lvl>
    <w:lvl w:ilvl="6">
      <w:start w:val="1"/>
      <w:numFmt w:val="lowerRoman"/>
      <w:lvlText w:val="(%7)"/>
      <w:lvlJc w:val="left"/>
      <w:pPr>
        <w:tabs>
          <w:tab w:val="num" w:pos="1440"/>
        </w:tabs>
        <w:ind w:left="6437" w:hanging="706"/>
      </w:pPr>
    </w:lvl>
    <w:lvl w:ilvl="7">
      <w:start w:val="1"/>
      <w:numFmt w:val="lowerLetter"/>
      <w:lvlText w:val="(%8)"/>
      <w:lvlJc w:val="left"/>
      <w:pPr>
        <w:tabs>
          <w:tab w:val="num" w:pos="1440"/>
        </w:tabs>
        <w:ind w:left="7142" w:hanging="705"/>
      </w:pPr>
    </w:lvl>
    <w:lvl w:ilvl="8">
      <w:start w:val="1"/>
      <w:numFmt w:val="lowerRoman"/>
      <w:lvlText w:val="(%9)"/>
      <w:lvlJc w:val="left"/>
      <w:pPr>
        <w:tabs>
          <w:tab w:val="num" w:pos="1440"/>
        </w:tabs>
        <w:ind w:left="7848" w:hanging="706"/>
      </w:pPr>
    </w:lvl>
  </w:abstractNum>
  <w:abstractNum w:abstractNumId="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5B004B8F"/>
    <w:multiLevelType w:val="multilevel"/>
    <w:tmpl w:val="E5487642"/>
    <w:lvl w:ilvl="0">
      <w:start w:val="1"/>
      <w:numFmt w:val="upperRoman"/>
      <w:pStyle w:val="IIntroduction"/>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0"/>
  </w:num>
  <w:num w:numId="3">
    <w:abstractNumId w:val="0"/>
  </w:num>
  <w:num w:numId="4">
    <w:abstractNumId w:val="0"/>
  </w:num>
  <w:num w:numId="5">
    <w:abstractNumId w:val="2"/>
  </w:num>
  <w:num w:numId="6">
    <w:abstractNumId w:val="4"/>
  </w:num>
  <w:num w:numId="7">
    <w:abstractNumId w:val="5"/>
  </w:num>
  <w:num w:numId="8">
    <w:abstractNumId w:val="7"/>
  </w:num>
  <w:num w:numId="9">
    <w:abstractNumId w:val="3"/>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2"/>
    </w:lvlOverride>
  </w:num>
  <w:num w:numId="15">
    <w:abstractNumId w:val="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3"/>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222C40"/>
    <w:rsid w:val="00000FED"/>
    <w:rsid w:val="000041A8"/>
    <w:rsid w:val="0000434E"/>
    <w:rsid w:val="0000445D"/>
    <w:rsid w:val="0001081E"/>
    <w:rsid w:val="000127CD"/>
    <w:rsid w:val="00014AA9"/>
    <w:rsid w:val="000161CB"/>
    <w:rsid w:val="00020266"/>
    <w:rsid w:val="000211A9"/>
    <w:rsid w:val="00024BD0"/>
    <w:rsid w:val="00027D3B"/>
    <w:rsid w:val="00031260"/>
    <w:rsid w:val="00035042"/>
    <w:rsid w:val="0003681A"/>
    <w:rsid w:val="000372B7"/>
    <w:rsid w:val="00041030"/>
    <w:rsid w:val="000424C6"/>
    <w:rsid w:val="000437BD"/>
    <w:rsid w:val="00046173"/>
    <w:rsid w:val="000476AD"/>
    <w:rsid w:val="00050F6E"/>
    <w:rsid w:val="00053A54"/>
    <w:rsid w:val="00055DBE"/>
    <w:rsid w:val="00061EC2"/>
    <w:rsid w:val="000717D0"/>
    <w:rsid w:val="00072C24"/>
    <w:rsid w:val="00073086"/>
    <w:rsid w:val="00073AD2"/>
    <w:rsid w:val="00075144"/>
    <w:rsid w:val="00080ED0"/>
    <w:rsid w:val="0008449F"/>
    <w:rsid w:val="00085B8F"/>
    <w:rsid w:val="000879B7"/>
    <w:rsid w:val="00090481"/>
    <w:rsid w:val="00091332"/>
    <w:rsid w:val="00094773"/>
    <w:rsid w:val="00095C24"/>
    <w:rsid w:val="0009657E"/>
    <w:rsid w:val="000A0206"/>
    <w:rsid w:val="000A0281"/>
    <w:rsid w:val="000A3826"/>
    <w:rsid w:val="000A6C26"/>
    <w:rsid w:val="000B4AEF"/>
    <w:rsid w:val="000B77D6"/>
    <w:rsid w:val="000C5D01"/>
    <w:rsid w:val="000C78D8"/>
    <w:rsid w:val="000D0E47"/>
    <w:rsid w:val="000D1C6D"/>
    <w:rsid w:val="000D22B3"/>
    <w:rsid w:val="000D338E"/>
    <w:rsid w:val="000D3E2A"/>
    <w:rsid w:val="000D52A4"/>
    <w:rsid w:val="000D5E7F"/>
    <w:rsid w:val="000E07BC"/>
    <w:rsid w:val="000E52FD"/>
    <w:rsid w:val="000E552F"/>
    <w:rsid w:val="000E7546"/>
    <w:rsid w:val="000F1CD4"/>
    <w:rsid w:val="000F1E2D"/>
    <w:rsid w:val="000F3CE0"/>
    <w:rsid w:val="000F4103"/>
    <w:rsid w:val="000F6F60"/>
    <w:rsid w:val="000F70A7"/>
    <w:rsid w:val="000F7A2D"/>
    <w:rsid w:val="00102A32"/>
    <w:rsid w:val="00107D26"/>
    <w:rsid w:val="00110DA2"/>
    <w:rsid w:val="00113CCA"/>
    <w:rsid w:val="00114F90"/>
    <w:rsid w:val="00116739"/>
    <w:rsid w:val="00120425"/>
    <w:rsid w:val="00122F25"/>
    <w:rsid w:val="0012477D"/>
    <w:rsid w:val="001310A2"/>
    <w:rsid w:val="00135980"/>
    <w:rsid w:val="001469EB"/>
    <w:rsid w:val="001539E8"/>
    <w:rsid w:val="001642A6"/>
    <w:rsid w:val="00164719"/>
    <w:rsid w:val="00166FC4"/>
    <w:rsid w:val="001677AC"/>
    <w:rsid w:val="00173F16"/>
    <w:rsid w:val="001755AE"/>
    <w:rsid w:val="00180366"/>
    <w:rsid w:val="001804EA"/>
    <w:rsid w:val="001834DF"/>
    <w:rsid w:val="00190A61"/>
    <w:rsid w:val="00191277"/>
    <w:rsid w:val="00192E31"/>
    <w:rsid w:val="001A3342"/>
    <w:rsid w:val="001A3E3D"/>
    <w:rsid w:val="001A7049"/>
    <w:rsid w:val="001B086A"/>
    <w:rsid w:val="001B1E40"/>
    <w:rsid w:val="001C0A2A"/>
    <w:rsid w:val="001C276C"/>
    <w:rsid w:val="001C62CE"/>
    <w:rsid w:val="001C764E"/>
    <w:rsid w:val="001D5BCC"/>
    <w:rsid w:val="001D5F3C"/>
    <w:rsid w:val="001E1052"/>
    <w:rsid w:val="001E21B1"/>
    <w:rsid w:val="001E2F93"/>
    <w:rsid w:val="001E38FB"/>
    <w:rsid w:val="001E4554"/>
    <w:rsid w:val="001E61E5"/>
    <w:rsid w:val="001E62F3"/>
    <w:rsid w:val="001E6CDA"/>
    <w:rsid w:val="001F2159"/>
    <w:rsid w:val="001F6D5C"/>
    <w:rsid w:val="001F7902"/>
    <w:rsid w:val="00200F77"/>
    <w:rsid w:val="00202317"/>
    <w:rsid w:val="002027EB"/>
    <w:rsid w:val="00206477"/>
    <w:rsid w:val="00210B8B"/>
    <w:rsid w:val="00210DFF"/>
    <w:rsid w:val="0021415D"/>
    <w:rsid w:val="00214863"/>
    <w:rsid w:val="002156B4"/>
    <w:rsid w:val="00222C40"/>
    <w:rsid w:val="00224FCD"/>
    <w:rsid w:val="00237B5C"/>
    <w:rsid w:val="002400A8"/>
    <w:rsid w:val="00243CD2"/>
    <w:rsid w:val="00245DB7"/>
    <w:rsid w:val="002477E1"/>
    <w:rsid w:val="00253222"/>
    <w:rsid w:val="00261887"/>
    <w:rsid w:val="00262847"/>
    <w:rsid w:val="00263554"/>
    <w:rsid w:val="00271644"/>
    <w:rsid w:val="00277CFC"/>
    <w:rsid w:val="00281BB2"/>
    <w:rsid w:val="00282747"/>
    <w:rsid w:val="0028661D"/>
    <w:rsid w:val="002976EC"/>
    <w:rsid w:val="002A5AEA"/>
    <w:rsid w:val="002A5EFD"/>
    <w:rsid w:val="002A6C54"/>
    <w:rsid w:val="002B254E"/>
    <w:rsid w:val="002B5FA5"/>
    <w:rsid w:val="002B6E52"/>
    <w:rsid w:val="002B72E9"/>
    <w:rsid w:val="002C17C6"/>
    <w:rsid w:val="002C21AA"/>
    <w:rsid w:val="002C3FF8"/>
    <w:rsid w:val="002C62C8"/>
    <w:rsid w:val="002C7998"/>
    <w:rsid w:val="002F0A8B"/>
    <w:rsid w:val="002F1E53"/>
    <w:rsid w:val="002F2040"/>
    <w:rsid w:val="002F2CAA"/>
    <w:rsid w:val="002F2E98"/>
    <w:rsid w:val="002F5457"/>
    <w:rsid w:val="002F6A93"/>
    <w:rsid w:val="0030052C"/>
    <w:rsid w:val="00300CF0"/>
    <w:rsid w:val="00301363"/>
    <w:rsid w:val="003052B9"/>
    <w:rsid w:val="0030643D"/>
    <w:rsid w:val="003067C8"/>
    <w:rsid w:val="00310E2F"/>
    <w:rsid w:val="00321512"/>
    <w:rsid w:val="003229D1"/>
    <w:rsid w:val="00323A06"/>
    <w:rsid w:val="0032539A"/>
    <w:rsid w:val="00326AAD"/>
    <w:rsid w:val="003306E1"/>
    <w:rsid w:val="003320E4"/>
    <w:rsid w:val="00334C7A"/>
    <w:rsid w:val="0033525D"/>
    <w:rsid w:val="0033576E"/>
    <w:rsid w:val="003414F3"/>
    <w:rsid w:val="00341652"/>
    <w:rsid w:val="0035613E"/>
    <w:rsid w:val="003575C8"/>
    <w:rsid w:val="00357EDF"/>
    <w:rsid w:val="003636CC"/>
    <w:rsid w:val="00363EE9"/>
    <w:rsid w:val="0036729E"/>
    <w:rsid w:val="00372370"/>
    <w:rsid w:val="00376128"/>
    <w:rsid w:val="0037742E"/>
    <w:rsid w:val="00377D56"/>
    <w:rsid w:val="0038245A"/>
    <w:rsid w:val="003840E6"/>
    <w:rsid w:val="00385CFC"/>
    <w:rsid w:val="00386020"/>
    <w:rsid w:val="0038684B"/>
    <w:rsid w:val="0039337A"/>
    <w:rsid w:val="003A1E4E"/>
    <w:rsid w:val="003A3189"/>
    <w:rsid w:val="003A3CA7"/>
    <w:rsid w:val="003A7741"/>
    <w:rsid w:val="003B33BD"/>
    <w:rsid w:val="003B3BA7"/>
    <w:rsid w:val="003B569D"/>
    <w:rsid w:val="003C3C0E"/>
    <w:rsid w:val="003C56CF"/>
    <w:rsid w:val="003C663E"/>
    <w:rsid w:val="003D078A"/>
    <w:rsid w:val="003D42A6"/>
    <w:rsid w:val="003D4F21"/>
    <w:rsid w:val="003D4FAC"/>
    <w:rsid w:val="003E7906"/>
    <w:rsid w:val="003F3C50"/>
    <w:rsid w:val="003F7B40"/>
    <w:rsid w:val="00406A6A"/>
    <w:rsid w:val="00406B22"/>
    <w:rsid w:val="00410957"/>
    <w:rsid w:val="004132C6"/>
    <w:rsid w:val="0041408A"/>
    <w:rsid w:val="00415D79"/>
    <w:rsid w:val="00424DBF"/>
    <w:rsid w:val="00427451"/>
    <w:rsid w:val="004328A7"/>
    <w:rsid w:val="00434C74"/>
    <w:rsid w:val="004356A7"/>
    <w:rsid w:val="00437E93"/>
    <w:rsid w:val="0044291C"/>
    <w:rsid w:val="004478D6"/>
    <w:rsid w:val="004557AB"/>
    <w:rsid w:val="00455FF9"/>
    <w:rsid w:val="00456EB4"/>
    <w:rsid w:val="004604EB"/>
    <w:rsid w:val="004622F8"/>
    <w:rsid w:val="004718F3"/>
    <w:rsid w:val="004743AF"/>
    <w:rsid w:val="00475040"/>
    <w:rsid w:val="004773D4"/>
    <w:rsid w:val="00481761"/>
    <w:rsid w:val="004842E1"/>
    <w:rsid w:val="00490F4F"/>
    <w:rsid w:val="00491082"/>
    <w:rsid w:val="00493BA1"/>
    <w:rsid w:val="00493D40"/>
    <w:rsid w:val="004967B6"/>
    <w:rsid w:val="00497DD3"/>
    <w:rsid w:val="004A0387"/>
    <w:rsid w:val="004A46FC"/>
    <w:rsid w:val="004A504B"/>
    <w:rsid w:val="004A6911"/>
    <w:rsid w:val="004B2A39"/>
    <w:rsid w:val="004B4014"/>
    <w:rsid w:val="004B54E0"/>
    <w:rsid w:val="004B630A"/>
    <w:rsid w:val="004B6C33"/>
    <w:rsid w:val="004B7384"/>
    <w:rsid w:val="004B7666"/>
    <w:rsid w:val="004C0ED7"/>
    <w:rsid w:val="004C4269"/>
    <w:rsid w:val="004D045A"/>
    <w:rsid w:val="004D6236"/>
    <w:rsid w:val="004D7F90"/>
    <w:rsid w:val="004E0D8F"/>
    <w:rsid w:val="004E4DBB"/>
    <w:rsid w:val="004E4E41"/>
    <w:rsid w:val="004E5A3E"/>
    <w:rsid w:val="004E7975"/>
    <w:rsid w:val="004E7F9C"/>
    <w:rsid w:val="004F1C92"/>
    <w:rsid w:val="004F3493"/>
    <w:rsid w:val="004F3D4E"/>
    <w:rsid w:val="004F4704"/>
    <w:rsid w:val="004F5143"/>
    <w:rsid w:val="005042BF"/>
    <w:rsid w:val="00512B09"/>
    <w:rsid w:val="00513CC7"/>
    <w:rsid w:val="005220ED"/>
    <w:rsid w:val="0052290E"/>
    <w:rsid w:val="005246C9"/>
    <w:rsid w:val="005267D0"/>
    <w:rsid w:val="00530B85"/>
    <w:rsid w:val="0053337F"/>
    <w:rsid w:val="00533796"/>
    <w:rsid w:val="00537343"/>
    <w:rsid w:val="00544F4E"/>
    <w:rsid w:val="00547E39"/>
    <w:rsid w:val="00555D75"/>
    <w:rsid w:val="0056017D"/>
    <w:rsid w:val="00560DF0"/>
    <w:rsid w:val="0056759C"/>
    <w:rsid w:val="005733B5"/>
    <w:rsid w:val="0058472B"/>
    <w:rsid w:val="0059241B"/>
    <w:rsid w:val="00592538"/>
    <w:rsid w:val="0059513E"/>
    <w:rsid w:val="005A0776"/>
    <w:rsid w:val="005A26C2"/>
    <w:rsid w:val="005A2C01"/>
    <w:rsid w:val="005A6D9F"/>
    <w:rsid w:val="005A777A"/>
    <w:rsid w:val="005B0814"/>
    <w:rsid w:val="005B48FF"/>
    <w:rsid w:val="005B64F0"/>
    <w:rsid w:val="005B6ECB"/>
    <w:rsid w:val="005C01DE"/>
    <w:rsid w:val="005C2F25"/>
    <w:rsid w:val="005C3AAC"/>
    <w:rsid w:val="005C4DAF"/>
    <w:rsid w:val="005C5C35"/>
    <w:rsid w:val="005D1B1E"/>
    <w:rsid w:val="005D20DA"/>
    <w:rsid w:val="005D363F"/>
    <w:rsid w:val="005D77DD"/>
    <w:rsid w:val="005E0970"/>
    <w:rsid w:val="005F08B4"/>
    <w:rsid w:val="005F5162"/>
    <w:rsid w:val="005F7505"/>
    <w:rsid w:val="0060151A"/>
    <w:rsid w:val="00603321"/>
    <w:rsid w:val="00604C15"/>
    <w:rsid w:val="00605D6D"/>
    <w:rsid w:val="00605E38"/>
    <w:rsid w:val="006158A1"/>
    <w:rsid w:val="006158D5"/>
    <w:rsid w:val="00617D08"/>
    <w:rsid w:val="00625D83"/>
    <w:rsid w:val="00635279"/>
    <w:rsid w:val="00643337"/>
    <w:rsid w:val="0065233E"/>
    <w:rsid w:val="006524DF"/>
    <w:rsid w:val="00654468"/>
    <w:rsid w:val="00655559"/>
    <w:rsid w:val="00655C53"/>
    <w:rsid w:val="006573FE"/>
    <w:rsid w:val="00657434"/>
    <w:rsid w:val="006623E7"/>
    <w:rsid w:val="00662B80"/>
    <w:rsid w:val="00670100"/>
    <w:rsid w:val="00670F6C"/>
    <w:rsid w:val="006718C9"/>
    <w:rsid w:val="00676C3E"/>
    <w:rsid w:val="00681C69"/>
    <w:rsid w:val="006852C7"/>
    <w:rsid w:val="006852CE"/>
    <w:rsid w:val="0069054C"/>
    <w:rsid w:val="00692D14"/>
    <w:rsid w:val="006948D0"/>
    <w:rsid w:val="006A16CC"/>
    <w:rsid w:val="006A2A6C"/>
    <w:rsid w:val="006A7C08"/>
    <w:rsid w:val="006B1926"/>
    <w:rsid w:val="006B1D2C"/>
    <w:rsid w:val="006B62F4"/>
    <w:rsid w:val="006B65C7"/>
    <w:rsid w:val="006C1727"/>
    <w:rsid w:val="006C32FD"/>
    <w:rsid w:val="006C39CE"/>
    <w:rsid w:val="006C6748"/>
    <w:rsid w:val="006D0FCC"/>
    <w:rsid w:val="006D21F5"/>
    <w:rsid w:val="006D34D2"/>
    <w:rsid w:val="006D662D"/>
    <w:rsid w:val="006E0A92"/>
    <w:rsid w:val="006E126D"/>
    <w:rsid w:val="006E1FC3"/>
    <w:rsid w:val="006E7799"/>
    <w:rsid w:val="007015B6"/>
    <w:rsid w:val="00703054"/>
    <w:rsid w:val="00704CE9"/>
    <w:rsid w:val="0070616B"/>
    <w:rsid w:val="00706295"/>
    <w:rsid w:val="00706DC3"/>
    <w:rsid w:val="00706FDA"/>
    <w:rsid w:val="007079A4"/>
    <w:rsid w:val="00707D41"/>
    <w:rsid w:val="00711F9A"/>
    <w:rsid w:val="00713810"/>
    <w:rsid w:val="00714FC7"/>
    <w:rsid w:val="00720F24"/>
    <w:rsid w:val="0072518A"/>
    <w:rsid w:val="0072601A"/>
    <w:rsid w:val="007265B2"/>
    <w:rsid w:val="0072674B"/>
    <w:rsid w:val="007303A5"/>
    <w:rsid w:val="00730B3E"/>
    <w:rsid w:val="00731B98"/>
    <w:rsid w:val="0073420B"/>
    <w:rsid w:val="0073497E"/>
    <w:rsid w:val="00737E71"/>
    <w:rsid w:val="0074760E"/>
    <w:rsid w:val="00747CD0"/>
    <w:rsid w:val="00751225"/>
    <w:rsid w:val="00751312"/>
    <w:rsid w:val="007538DD"/>
    <w:rsid w:val="00754ABA"/>
    <w:rsid w:val="00765981"/>
    <w:rsid w:val="00772CA3"/>
    <w:rsid w:val="0077335C"/>
    <w:rsid w:val="00773B67"/>
    <w:rsid w:val="00776043"/>
    <w:rsid w:val="00777755"/>
    <w:rsid w:val="00780E68"/>
    <w:rsid w:val="00790291"/>
    <w:rsid w:val="00795ED5"/>
    <w:rsid w:val="007A1546"/>
    <w:rsid w:val="007A228C"/>
    <w:rsid w:val="007A368E"/>
    <w:rsid w:val="007A5868"/>
    <w:rsid w:val="007A6A5C"/>
    <w:rsid w:val="007A6FC5"/>
    <w:rsid w:val="007B04CE"/>
    <w:rsid w:val="007B6871"/>
    <w:rsid w:val="007B6F73"/>
    <w:rsid w:val="007B769D"/>
    <w:rsid w:val="007B7A2F"/>
    <w:rsid w:val="007C3D33"/>
    <w:rsid w:val="007C4181"/>
    <w:rsid w:val="007C5160"/>
    <w:rsid w:val="007D294A"/>
    <w:rsid w:val="007D47D2"/>
    <w:rsid w:val="007D5761"/>
    <w:rsid w:val="007D6E7B"/>
    <w:rsid w:val="007D6EC0"/>
    <w:rsid w:val="007D7674"/>
    <w:rsid w:val="007D7E1D"/>
    <w:rsid w:val="007E0A31"/>
    <w:rsid w:val="007E0EA4"/>
    <w:rsid w:val="007E13D1"/>
    <w:rsid w:val="007F1736"/>
    <w:rsid w:val="007F3233"/>
    <w:rsid w:val="007F66F0"/>
    <w:rsid w:val="00803669"/>
    <w:rsid w:val="0080711E"/>
    <w:rsid w:val="00807366"/>
    <w:rsid w:val="00810DE4"/>
    <w:rsid w:val="00817715"/>
    <w:rsid w:val="00826265"/>
    <w:rsid w:val="00831979"/>
    <w:rsid w:val="00832407"/>
    <w:rsid w:val="00836081"/>
    <w:rsid w:val="008450A4"/>
    <w:rsid w:val="008466D1"/>
    <w:rsid w:val="008504E3"/>
    <w:rsid w:val="00851352"/>
    <w:rsid w:val="00854001"/>
    <w:rsid w:val="0085428B"/>
    <w:rsid w:val="008552AB"/>
    <w:rsid w:val="00857077"/>
    <w:rsid w:val="00863230"/>
    <w:rsid w:val="00865BD0"/>
    <w:rsid w:val="00865EC8"/>
    <w:rsid w:val="008660F5"/>
    <w:rsid w:val="00870853"/>
    <w:rsid w:val="008717D8"/>
    <w:rsid w:val="0087215C"/>
    <w:rsid w:val="00873DDC"/>
    <w:rsid w:val="00875D25"/>
    <w:rsid w:val="00880E35"/>
    <w:rsid w:val="008854C6"/>
    <w:rsid w:val="008875FE"/>
    <w:rsid w:val="00887F8E"/>
    <w:rsid w:val="008916A8"/>
    <w:rsid w:val="0089262E"/>
    <w:rsid w:val="00894B2D"/>
    <w:rsid w:val="00896234"/>
    <w:rsid w:val="00897E43"/>
    <w:rsid w:val="008B0590"/>
    <w:rsid w:val="008B2186"/>
    <w:rsid w:val="008B432D"/>
    <w:rsid w:val="008B5450"/>
    <w:rsid w:val="008B76DE"/>
    <w:rsid w:val="008B7F68"/>
    <w:rsid w:val="008C5738"/>
    <w:rsid w:val="008C7EAD"/>
    <w:rsid w:val="008D0CFE"/>
    <w:rsid w:val="008D6152"/>
    <w:rsid w:val="008E7E9D"/>
    <w:rsid w:val="008F0F81"/>
    <w:rsid w:val="008F27BF"/>
    <w:rsid w:val="008F5A81"/>
    <w:rsid w:val="00905B89"/>
    <w:rsid w:val="009142EC"/>
    <w:rsid w:val="009154C3"/>
    <w:rsid w:val="0091660A"/>
    <w:rsid w:val="00920AE9"/>
    <w:rsid w:val="009210D3"/>
    <w:rsid w:val="009217B4"/>
    <w:rsid w:val="0092307B"/>
    <w:rsid w:val="00923540"/>
    <w:rsid w:val="009249A5"/>
    <w:rsid w:val="00925391"/>
    <w:rsid w:val="00925EB5"/>
    <w:rsid w:val="00926767"/>
    <w:rsid w:val="009361D5"/>
    <w:rsid w:val="009406FC"/>
    <w:rsid w:val="009428A4"/>
    <w:rsid w:val="00953D3F"/>
    <w:rsid w:val="009608D8"/>
    <w:rsid w:val="0096302A"/>
    <w:rsid w:val="009659F4"/>
    <w:rsid w:val="0096639F"/>
    <w:rsid w:val="0096690A"/>
    <w:rsid w:val="00970D60"/>
    <w:rsid w:val="009727EE"/>
    <w:rsid w:val="00972E40"/>
    <w:rsid w:val="0097510B"/>
    <w:rsid w:val="00976C0B"/>
    <w:rsid w:val="0099390E"/>
    <w:rsid w:val="009960E5"/>
    <w:rsid w:val="00996278"/>
    <w:rsid w:val="00996C4C"/>
    <w:rsid w:val="009A1ECE"/>
    <w:rsid w:val="009A564E"/>
    <w:rsid w:val="009A7ADC"/>
    <w:rsid w:val="009B50B4"/>
    <w:rsid w:val="009C19B7"/>
    <w:rsid w:val="009C1AC0"/>
    <w:rsid w:val="009C4CF8"/>
    <w:rsid w:val="009C5ABB"/>
    <w:rsid w:val="009D31BC"/>
    <w:rsid w:val="009D7C51"/>
    <w:rsid w:val="009E196C"/>
    <w:rsid w:val="009F2C38"/>
    <w:rsid w:val="009F33A7"/>
    <w:rsid w:val="009F36BF"/>
    <w:rsid w:val="00A0644B"/>
    <w:rsid w:val="00A111B6"/>
    <w:rsid w:val="00A13E55"/>
    <w:rsid w:val="00A16EC5"/>
    <w:rsid w:val="00A2037D"/>
    <w:rsid w:val="00A223E2"/>
    <w:rsid w:val="00A23E1D"/>
    <w:rsid w:val="00A26D27"/>
    <w:rsid w:val="00A30B26"/>
    <w:rsid w:val="00A37457"/>
    <w:rsid w:val="00A376EE"/>
    <w:rsid w:val="00A42A99"/>
    <w:rsid w:val="00A44B75"/>
    <w:rsid w:val="00A463DC"/>
    <w:rsid w:val="00A5151A"/>
    <w:rsid w:val="00A5344D"/>
    <w:rsid w:val="00A54CEA"/>
    <w:rsid w:val="00A5518B"/>
    <w:rsid w:val="00A57E0A"/>
    <w:rsid w:val="00A61FAF"/>
    <w:rsid w:val="00A721DA"/>
    <w:rsid w:val="00A823F6"/>
    <w:rsid w:val="00A8275C"/>
    <w:rsid w:val="00A831F4"/>
    <w:rsid w:val="00A853F9"/>
    <w:rsid w:val="00A8683A"/>
    <w:rsid w:val="00A8719E"/>
    <w:rsid w:val="00A91CD0"/>
    <w:rsid w:val="00A97DF5"/>
    <w:rsid w:val="00AA0A89"/>
    <w:rsid w:val="00AA439A"/>
    <w:rsid w:val="00AA5AFA"/>
    <w:rsid w:val="00AA6429"/>
    <w:rsid w:val="00AB200D"/>
    <w:rsid w:val="00AB23B3"/>
    <w:rsid w:val="00AB6D98"/>
    <w:rsid w:val="00AC01AA"/>
    <w:rsid w:val="00AC4F72"/>
    <w:rsid w:val="00AD05C2"/>
    <w:rsid w:val="00AD15F0"/>
    <w:rsid w:val="00AD5C4D"/>
    <w:rsid w:val="00AD7282"/>
    <w:rsid w:val="00AE0C27"/>
    <w:rsid w:val="00AE6605"/>
    <w:rsid w:val="00AE76B4"/>
    <w:rsid w:val="00AF1FF9"/>
    <w:rsid w:val="00AF2645"/>
    <w:rsid w:val="00AF297F"/>
    <w:rsid w:val="00AF3406"/>
    <w:rsid w:val="00AF61A0"/>
    <w:rsid w:val="00AF741A"/>
    <w:rsid w:val="00B01ADB"/>
    <w:rsid w:val="00B04161"/>
    <w:rsid w:val="00B056F9"/>
    <w:rsid w:val="00B10C7A"/>
    <w:rsid w:val="00B11B27"/>
    <w:rsid w:val="00B11E3D"/>
    <w:rsid w:val="00B12990"/>
    <w:rsid w:val="00B14196"/>
    <w:rsid w:val="00B14276"/>
    <w:rsid w:val="00B15A02"/>
    <w:rsid w:val="00B17E82"/>
    <w:rsid w:val="00B245EE"/>
    <w:rsid w:val="00B2598B"/>
    <w:rsid w:val="00B25D10"/>
    <w:rsid w:val="00B32C8C"/>
    <w:rsid w:val="00B35DB3"/>
    <w:rsid w:val="00B45304"/>
    <w:rsid w:val="00B4575A"/>
    <w:rsid w:val="00B52564"/>
    <w:rsid w:val="00B5277F"/>
    <w:rsid w:val="00B54E30"/>
    <w:rsid w:val="00B56FE0"/>
    <w:rsid w:val="00B57557"/>
    <w:rsid w:val="00B575BA"/>
    <w:rsid w:val="00B60665"/>
    <w:rsid w:val="00B71608"/>
    <w:rsid w:val="00B74E41"/>
    <w:rsid w:val="00B76429"/>
    <w:rsid w:val="00B805BF"/>
    <w:rsid w:val="00B92D93"/>
    <w:rsid w:val="00B93466"/>
    <w:rsid w:val="00B956D4"/>
    <w:rsid w:val="00B96AA0"/>
    <w:rsid w:val="00B97446"/>
    <w:rsid w:val="00BA2624"/>
    <w:rsid w:val="00BA4CCB"/>
    <w:rsid w:val="00BA7432"/>
    <w:rsid w:val="00BB2764"/>
    <w:rsid w:val="00BB454B"/>
    <w:rsid w:val="00BB50A4"/>
    <w:rsid w:val="00BC18A8"/>
    <w:rsid w:val="00BC1AA0"/>
    <w:rsid w:val="00BC1D0A"/>
    <w:rsid w:val="00BC2495"/>
    <w:rsid w:val="00BC6059"/>
    <w:rsid w:val="00BC6CFF"/>
    <w:rsid w:val="00BC7EB9"/>
    <w:rsid w:val="00BD2643"/>
    <w:rsid w:val="00BD56B1"/>
    <w:rsid w:val="00BD6558"/>
    <w:rsid w:val="00BE1D11"/>
    <w:rsid w:val="00BE5F60"/>
    <w:rsid w:val="00BE60DD"/>
    <w:rsid w:val="00BE6D2B"/>
    <w:rsid w:val="00BE7E68"/>
    <w:rsid w:val="00BF1575"/>
    <w:rsid w:val="00BF2F76"/>
    <w:rsid w:val="00BF3022"/>
    <w:rsid w:val="00BF3214"/>
    <w:rsid w:val="00BF5492"/>
    <w:rsid w:val="00BF5573"/>
    <w:rsid w:val="00BF6148"/>
    <w:rsid w:val="00BF64E3"/>
    <w:rsid w:val="00C00012"/>
    <w:rsid w:val="00C07929"/>
    <w:rsid w:val="00C113ED"/>
    <w:rsid w:val="00C1577D"/>
    <w:rsid w:val="00C15867"/>
    <w:rsid w:val="00C17232"/>
    <w:rsid w:val="00C179CB"/>
    <w:rsid w:val="00C2296D"/>
    <w:rsid w:val="00C23155"/>
    <w:rsid w:val="00C32091"/>
    <w:rsid w:val="00C4081E"/>
    <w:rsid w:val="00C40C41"/>
    <w:rsid w:val="00C45816"/>
    <w:rsid w:val="00C45885"/>
    <w:rsid w:val="00C50F22"/>
    <w:rsid w:val="00C54B2B"/>
    <w:rsid w:val="00C57971"/>
    <w:rsid w:val="00C60C62"/>
    <w:rsid w:val="00C60F9B"/>
    <w:rsid w:val="00C63921"/>
    <w:rsid w:val="00C64E51"/>
    <w:rsid w:val="00C65BD7"/>
    <w:rsid w:val="00C665BA"/>
    <w:rsid w:val="00C71292"/>
    <w:rsid w:val="00C76BA4"/>
    <w:rsid w:val="00C8250D"/>
    <w:rsid w:val="00C83A48"/>
    <w:rsid w:val="00C85865"/>
    <w:rsid w:val="00C85E85"/>
    <w:rsid w:val="00C94A4A"/>
    <w:rsid w:val="00C959F1"/>
    <w:rsid w:val="00CA2A53"/>
    <w:rsid w:val="00CA2C22"/>
    <w:rsid w:val="00CA2EAE"/>
    <w:rsid w:val="00CA38BF"/>
    <w:rsid w:val="00CA4AC1"/>
    <w:rsid w:val="00CB0316"/>
    <w:rsid w:val="00CB0B11"/>
    <w:rsid w:val="00CB426A"/>
    <w:rsid w:val="00CB5354"/>
    <w:rsid w:val="00CB6784"/>
    <w:rsid w:val="00CB67EF"/>
    <w:rsid w:val="00CC3C9E"/>
    <w:rsid w:val="00CC6A14"/>
    <w:rsid w:val="00CC70A3"/>
    <w:rsid w:val="00CD3A09"/>
    <w:rsid w:val="00CD4442"/>
    <w:rsid w:val="00CD4955"/>
    <w:rsid w:val="00CD4BF5"/>
    <w:rsid w:val="00CD53C3"/>
    <w:rsid w:val="00CD574E"/>
    <w:rsid w:val="00CD5E5A"/>
    <w:rsid w:val="00CD758C"/>
    <w:rsid w:val="00CE4C22"/>
    <w:rsid w:val="00CF00E0"/>
    <w:rsid w:val="00CF1577"/>
    <w:rsid w:val="00CF2A23"/>
    <w:rsid w:val="00CF4114"/>
    <w:rsid w:val="00CF41EC"/>
    <w:rsid w:val="00CF5D04"/>
    <w:rsid w:val="00D02CF4"/>
    <w:rsid w:val="00D04DE4"/>
    <w:rsid w:val="00D063F1"/>
    <w:rsid w:val="00D0644A"/>
    <w:rsid w:val="00D06E39"/>
    <w:rsid w:val="00D10596"/>
    <w:rsid w:val="00D10E14"/>
    <w:rsid w:val="00D14F22"/>
    <w:rsid w:val="00D1509A"/>
    <w:rsid w:val="00D1675A"/>
    <w:rsid w:val="00D175FB"/>
    <w:rsid w:val="00D20704"/>
    <w:rsid w:val="00D20963"/>
    <w:rsid w:val="00D42FAD"/>
    <w:rsid w:val="00D44954"/>
    <w:rsid w:val="00D4741C"/>
    <w:rsid w:val="00D478B8"/>
    <w:rsid w:val="00D51314"/>
    <w:rsid w:val="00D52A62"/>
    <w:rsid w:val="00D564A6"/>
    <w:rsid w:val="00D5676A"/>
    <w:rsid w:val="00D57918"/>
    <w:rsid w:val="00D607B9"/>
    <w:rsid w:val="00D62681"/>
    <w:rsid w:val="00D73790"/>
    <w:rsid w:val="00D73DC6"/>
    <w:rsid w:val="00D74C1A"/>
    <w:rsid w:val="00D754C1"/>
    <w:rsid w:val="00D77393"/>
    <w:rsid w:val="00D77A35"/>
    <w:rsid w:val="00D81B3E"/>
    <w:rsid w:val="00D8550C"/>
    <w:rsid w:val="00D86027"/>
    <w:rsid w:val="00D86F23"/>
    <w:rsid w:val="00D870EB"/>
    <w:rsid w:val="00D87FA7"/>
    <w:rsid w:val="00D90C38"/>
    <w:rsid w:val="00D90C70"/>
    <w:rsid w:val="00D90E49"/>
    <w:rsid w:val="00D930A1"/>
    <w:rsid w:val="00D95261"/>
    <w:rsid w:val="00D96ADE"/>
    <w:rsid w:val="00DA0CE2"/>
    <w:rsid w:val="00DA1B61"/>
    <w:rsid w:val="00DA65AF"/>
    <w:rsid w:val="00DA724A"/>
    <w:rsid w:val="00DB54A7"/>
    <w:rsid w:val="00DC6A10"/>
    <w:rsid w:val="00DC7207"/>
    <w:rsid w:val="00DD415D"/>
    <w:rsid w:val="00DE09EE"/>
    <w:rsid w:val="00DE5BFC"/>
    <w:rsid w:val="00DE657E"/>
    <w:rsid w:val="00DF0DA2"/>
    <w:rsid w:val="00DF4603"/>
    <w:rsid w:val="00DF4704"/>
    <w:rsid w:val="00DF5184"/>
    <w:rsid w:val="00E024AA"/>
    <w:rsid w:val="00E029F6"/>
    <w:rsid w:val="00E03C1D"/>
    <w:rsid w:val="00E15C77"/>
    <w:rsid w:val="00E15E2B"/>
    <w:rsid w:val="00E16AB3"/>
    <w:rsid w:val="00E17E80"/>
    <w:rsid w:val="00E2327A"/>
    <w:rsid w:val="00E23709"/>
    <w:rsid w:val="00E250F1"/>
    <w:rsid w:val="00E25766"/>
    <w:rsid w:val="00E27A05"/>
    <w:rsid w:val="00E3550D"/>
    <w:rsid w:val="00E359FB"/>
    <w:rsid w:val="00E447A2"/>
    <w:rsid w:val="00E4533C"/>
    <w:rsid w:val="00E46AAA"/>
    <w:rsid w:val="00E522AC"/>
    <w:rsid w:val="00E52838"/>
    <w:rsid w:val="00E52F73"/>
    <w:rsid w:val="00E60644"/>
    <w:rsid w:val="00E614E0"/>
    <w:rsid w:val="00E6546D"/>
    <w:rsid w:val="00E73F7F"/>
    <w:rsid w:val="00E76643"/>
    <w:rsid w:val="00E82F97"/>
    <w:rsid w:val="00E8322C"/>
    <w:rsid w:val="00E85409"/>
    <w:rsid w:val="00E87466"/>
    <w:rsid w:val="00E9186A"/>
    <w:rsid w:val="00E93321"/>
    <w:rsid w:val="00E94AD7"/>
    <w:rsid w:val="00E97469"/>
    <w:rsid w:val="00EA1B43"/>
    <w:rsid w:val="00EA429F"/>
    <w:rsid w:val="00EA4F9E"/>
    <w:rsid w:val="00EA63CA"/>
    <w:rsid w:val="00EA6D3B"/>
    <w:rsid w:val="00EA734C"/>
    <w:rsid w:val="00EA764F"/>
    <w:rsid w:val="00EB00AD"/>
    <w:rsid w:val="00EB12EE"/>
    <w:rsid w:val="00EB136C"/>
    <w:rsid w:val="00EB28B4"/>
    <w:rsid w:val="00EB2D68"/>
    <w:rsid w:val="00EB390D"/>
    <w:rsid w:val="00EB480E"/>
    <w:rsid w:val="00EB4D0A"/>
    <w:rsid w:val="00EB5EC6"/>
    <w:rsid w:val="00EB73F4"/>
    <w:rsid w:val="00EB7FC9"/>
    <w:rsid w:val="00ED06D2"/>
    <w:rsid w:val="00ED0BBA"/>
    <w:rsid w:val="00ED27E8"/>
    <w:rsid w:val="00ED28E3"/>
    <w:rsid w:val="00ED7027"/>
    <w:rsid w:val="00ED7137"/>
    <w:rsid w:val="00EE05AC"/>
    <w:rsid w:val="00EE19FC"/>
    <w:rsid w:val="00EE39AD"/>
    <w:rsid w:val="00EE5AA7"/>
    <w:rsid w:val="00EE71AE"/>
    <w:rsid w:val="00EE7BC5"/>
    <w:rsid w:val="00EF06EA"/>
    <w:rsid w:val="00EF09FA"/>
    <w:rsid w:val="00EF3A2C"/>
    <w:rsid w:val="00EF765B"/>
    <w:rsid w:val="00F1002E"/>
    <w:rsid w:val="00F13FD8"/>
    <w:rsid w:val="00F14B86"/>
    <w:rsid w:val="00F20FA2"/>
    <w:rsid w:val="00F21088"/>
    <w:rsid w:val="00F32461"/>
    <w:rsid w:val="00F327E7"/>
    <w:rsid w:val="00F34237"/>
    <w:rsid w:val="00F345E1"/>
    <w:rsid w:val="00F35568"/>
    <w:rsid w:val="00F35746"/>
    <w:rsid w:val="00F36CB8"/>
    <w:rsid w:val="00F42322"/>
    <w:rsid w:val="00F447C7"/>
    <w:rsid w:val="00F44AD7"/>
    <w:rsid w:val="00F44C82"/>
    <w:rsid w:val="00F459B4"/>
    <w:rsid w:val="00F46E40"/>
    <w:rsid w:val="00F51FBA"/>
    <w:rsid w:val="00F5211B"/>
    <w:rsid w:val="00F5351A"/>
    <w:rsid w:val="00F53FB0"/>
    <w:rsid w:val="00F554A9"/>
    <w:rsid w:val="00F60AC9"/>
    <w:rsid w:val="00F6280F"/>
    <w:rsid w:val="00F65696"/>
    <w:rsid w:val="00F716FD"/>
    <w:rsid w:val="00F71793"/>
    <w:rsid w:val="00F76746"/>
    <w:rsid w:val="00F77ED3"/>
    <w:rsid w:val="00F80355"/>
    <w:rsid w:val="00F84557"/>
    <w:rsid w:val="00F87C43"/>
    <w:rsid w:val="00F94F23"/>
    <w:rsid w:val="00F97AFB"/>
    <w:rsid w:val="00FA628C"/>
    <w:rsid w:val="00FB0C81"/>
    <w:rsid w:val="00FB7E2D"/>
    <w:rsid w:val="00FC2200"/>
    <w:rsid w:val="00FC2540"/>
    <w:rsid w:val="00FC43DF"/>
    <w:rsid w:val="00FD02B0"/>
    <w:rsid w:val="00FD0B9B"/>
    <w:rsid w:val="00FD463D"/>
    <w:rsid w:val="00FD67B0"/>
    <w:rsid w:val="00FD76FE"/>
    <w:rsid w:val="00FE48A9"/>
    <w:rsid w:val="00FE4BE2"/>
    <w:rsid w:val="00FF0204"/>
    <w:rsid w:val="00FF2B19"/>
    <w:rsid w:val="00FF3853"/>
    <w:rsid w:val="00FF3995"/>
    <w:rsid w:val="00FF3AED"/>
    <w:rsid w:val="00FF59BB"/>
    <w:rsid w:val="00FF5A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E31B55"/>
  <w15:docId w15:val="{942E6628-8CFA-469F-B667-FC765447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0"/>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10"/>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qFormat/>
    <w:rsid w:val="0033525D"/>
    <w:pPr>
      <w:widowControl w:val="0"/>
      <w:numPr>
        <w:ilvl w:val="2"/>
        <w:numId w:val="10"/>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10"/>
      </w:numPr>
      <w:spacing w:before="240" w:after="60"/>
      <w:outlineLvl w:val="3"/>
    </w:pPr>
  </w:style>
  <w:style w:type="paragraph" w:styleId="Heading5">
    <w:name w:val="heading 5"/>
    <w:basedOn w:val="Normal"/>
    <w:next w:val="Normal"/>
    <w:qFormat/>
    <w:rsid w:val="00DC6A10"/>
    <w:pPr>
      <w:keepNext/>
      <w:numPr>
        <w:numId w:val="9"/>
      </w:numPr>
      <w:spacing w:after="240"/>
      <w:ind w:left="3600" w:hanging="720"/>
      <w:outlineLvl w:val="4"/>
    </w:pPr>
  </w:style>
  <w:style w:type="paragraph" w:styleId="Heading6">
    <w:name w:val="heading 6"/>
    <w:basedOn w:val="Normal"/>
    <w:next w:val="Normal"/>
    <w:qFormat/>
    <w:rsid w:val="00A5151A"/>
    <w:pPr>
      <w:numPr>
        <w:ilvl w:val="5"/>
        <w:numId w:val="10"/>
      </w:numPr>
      <w:spacing w:before="240" w:after="60"/>
      <w:outlineLvl w:val="5"/>
    </w:pPr>
    <w:rPr>
      <w:rFonts w:ascii="Arial" w:hAnsi="Arial"/>
      <w:i/>
    </w:rPr>
  </w:style>
  <w:style w:type="paragraph" w:styleId="Heading7">
    <w:name w:val="heading 7"/>
    <w:basedOn w:val="Normal"/>
    <w:next w:val="Normal"/>
    <w:qFormat/>
    <w:rsid w:val="00A5151A"/>
    <w:pPr>
      <w:numPr>
        <w:ilvl w:val="6"/>
        <w:numId w:val="10"/>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5"/>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6"/>
      </w:numPr>
    </w:pPr>
  </w:style>
  <w:style w:type="numbering" w:styleId="ArticleSection">
    <w:name w:val="Outline List 3"/>
    <w:basedOn w:val="NoList"/>
    <w:semiHidden/>
    <w:rsid w:val="00493D40"/>
    <w:pPr>
      <w:numPr>
        <w:numId w:val="7"/>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iPriority w:val="99"/>
    <w:unhideWhenUsed/>
    <w:rsid w:val="006E126D"/>
    <w:rPr>
      <w:sz w:val="20"/>
      <w:szCs w:val="20"/>
    </w:rPr>
  </w:style>
  <w:style w:type="character" w:customStyle="1" w:styleId="FootnoteTextChar">
    <w:name w:val="Footnote Text Char"/>
    <w:basedOn w:val="DefaultParagraphFont"/>
    <w:link w:val="FootnoteText"/>
    <w:uiPriority w:val="99"/>
    <w:rsid w:val="006E126D"/>
    <w:rPr>
      <w:lang w:val="en-GB"/>
    </w:rPr>
  </w:style>
  <w:style w:type="character" w:styleId="FootnoteReference">
    <w:name w:val="footnote reference"/>
    <w:aliases w:val="Footnote text,Footnote Text1,Footnote Text2"/>
    <w:basedOn w:val="DefaultParagraphFont"/>
    <w:uiPriority w:val="99"/>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222C40"/>
    <w:rPr>
      <w:sz w:val="22"/>
      <w:szCs w:val="22"/>
      <w:lang w:val="en-GB"/>
    </w:rPr>
  </w:style>
  <w:style w:type="paragraph" w:customStyle="1" w:styleId="lisa">
    <w:name w:val="lisa"/>
    <w:basedOn w:val="Normal"/>
    <w:rsid w:val="00222C40"/>
    <w:pPr>
      <w:widowControl w:val="0"/>
      <w:numPr>
        <w:ilvl w:val="1"/>
        <w:numId w:val="11"/>
      </w:numPr>
      <w:spacing w:after="240"/>
      <w:outlineLvl w:val="1"/>
    </w:pPr>
    <w:rPr>
      <w:b/>
      <w:szCs w:val="24"/>
    </w:rPr>
  </w:style>
  <w:style w:type="character" w:styleId="Hyperlink">
    <w:name w:val="Hyperlink"/>
    <w:basedOn w:val="DefaultParagraphFont"/>
    <w:uiPriority w:val="99"/>
    <w:semiHidden/>
    <w:unhideWhenUsed/>
    <w:rsid w:val="00222C40"/>
    <w:rPr>
      <w:color w:val="0000FF"/>
      <w:u w:val="single"/>
    </w:rPr>
  </w:style>
  <w:style w:type="paragraph" w:customStyle="1" w:styleId="IIntroduction">
    <w:name w:val="I. Introduction"/>
    <w:basedOn w:val="Normal"/>
    <w:rsid w:val="00222C40"/>
    <w:pPr>
      <w:numPr>
        <w:numId w:val="12"/>
      </w:numPr>
      <w:spacing w:before="240" w:after="240"/>
    </w:pPr>
    <w:rPr>
      <w:b/>
      <w:sz w:val="24"/>
      <w:szCs w:val="20"/>
    </w:rPr>
  </w:style>
  <w:style w:type="character" w:customStyle="1" w:styleId="FooterChar">
    <w:name w:val="Footer Char"/>
    <w:basedOn w:val="DefaultParagraphFont"/>
    <w:link w:val="Footer"/>
    <w:uiPriority w:val="99"/>
    <w:rsid w:val="00222C40"/>
    <w:rPr>
      <w:sz w:val="22"/>
      <w:szCs w:val="22"/>
      <w:lang w:val="en-GB"/>
    </w:rPr>
  </w:style>
  <w:style w:type="paragraph" w:styleId="ListParagraph">
    <w:name w:val="List Paragraph"/>
    <w:basedOn w:val="Normal"/>
    <w:uiPriority w:val="34"/>
    <w:qFormat/>
    <w:rsid w:val="00222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3014">
      <w:bodyDiv w:val="1"/>
      <w:marLeft w:val="0"/>
      <w:marRight w:val="0"/>
      <w:marTop w:val="0"/>
      <w:marBottom w:val="0"/>
      <w:divBdr>
        <w:top w:val="none" w:sz="0" w:space="0" w:color="auto"/>
        <w:left w:val="none" w:sz="0" w:space="0" w:color="auto"/>
        <w:bottom w:val="none" w:sz="0" w:space="0" w:color="auto"/>
        <w:right w:val="none" w:sz="0" w:space="0" w:color="auto"/>
      </w:divBdr>
    </w:div>
    <w:div w:id="60173979">
      <w:bodyDiv w:val="1"/>
      <w:marLeft w:val="0"/>
      <w:marRight w:val="0"/>
      <w:marTop w:val="0"/>
      <w:marBottom w:val="0"/>
      <w:divBdr>
        <w:top w:val="none" w:sz="0" w:space="0" w:color="auto"/>
        <w:left w:val="none" w:sz="0" w:space="0" w:color="auto"/>
        <w:bottom w:val="none" w:sz="0" w:space="0" w:color="auto"/>
        <w:right w:val="none" w:sz="0" w:space="0" w:color="auto"/>
      </w:divBdr>
    </w:div>
    <w:div w:id="74330113">
      <w:bodyDiv w:val="1"/>
      <w:marLeft w:val="0"/>
      <w:marRight w:val="0"/>
      <w:marTop w:val="0"/>
      <w:marBottom w:val="0"/>
      <w:divBdr>
        <w:top w:val="none" w:sz="0" w:space="0" w:color="auto"/>
        <w:left w:val="none" w:sz="0" w:space="0" w:color="auto"/>
        <w:bottom w:val="none" w:sz="0" w:space="0" w:color="auto"/>
        <w:right w:val="none" w:sz="0" w:space="0" w:color="auto"/>
      </w:divBdr>
    </w:div>
    <w:div w:id="176778727">
      <w:bodyDiv w:val="1"/>
      <w:marLeft w:val="0"/>
      <w:marRight w:val="0"/>
      <w:marTop w:val="0"/>
      <w:marBottom w:val="0"/>
      <w:divBdr>
        <w:top w:val="none" w:sz="0" w:space="0" w:color="auto"/>
        <w:left w:val="none" w:sz="0" w:space="0" w:color="auto"/>
        <w:bottom w:val="none" w:sz="0" w:space="0" w:color="auto"/>
        <w:right w:val="none" w:sz="0" w:space="0" w:color="auto"/>
      </w:divBdr>
    </w:div>
    <w:div w:id="231353475">
      <w:bodyDiv w:val="1"/>
      <w:marLeft w:val="0"/>
      <w:marRight w:val="0"/>
      <w:marTop w:val="0"/>
      <w:marBottom w:val="0"/>
      <w:divBdr>
        <w:top w:val="none" w:sz="0" w:space="0" w:color="auto"/>
        <w:left w:val="none" w:sz="0" w:space="0" w:color="auto"/>
        <w:bottom w:val="none" w:sz="0" w:space="0" w:color="auto"/>
        <w:right w:val="none" w:sz="0" w:space="0" w:color="auto"/>
      </w:divBdr>
    </w:div>
    <w:div w:id="268897173">
      <w:bodyDiv w:val="1"/>
      <w:marLeft w:val="0"/>
      <w:marRight w:val="0"/>
      <w:marTop w:val="0"/>
      <w:marBottom w:val="0"/>
      <w:divBdr>
        <w:top w:val="none" w:sz="0" w:space="0" w:color="auto"/>
        <w:left w:val="none" w:sz="0" w:space="0" w:color="auto"/>
        <w:bottom w:val="none" w:sz="0" w:space="0" w:color="auto"/>
        <w:right w:val="none" w:sz="0" w:space="0" w:color="auto"/>
      </w:divBdr>
    </w:div>
    <w:div w:id="280041426">
      <w:bodyDiv w:val="1"/>
      <w:marLeft w:val="0"/>
      <w:marRight w:val="0"/>
      <w:marTop w:val="0"/>
      <w:marBottom w:val="0"/>
      <w:divBdr>
        <w:top w:val="none" w:sz="0" w:space="0" w:color="auto"/>
        <w:left w:val="none" w:sz="0" w:space="0" w:color="auto"/>
        <w:bottom w:val="none" w:sz="0" w:space="0" w:color="auto"/>
        <w:right w:val="none" w:sz="0" w:space="0" w:color="auto"/>
      </w:divBdr>
    </w:div>
    <w:div w:id="414203608">
      <w:bodyDiv w:val="1"/>
      <w:marLeft w:val="0"/>
      <w:marRight w:val="0"/>
      <w:marTop w:val="0"/>
      <w:marBottom w:val="0"/>
      <w:divBdr>
        <w:top w:val="none" w:sz="0" w:space="0" w:color="auto"/>
        <w:left w:val="none" w:sz="0" w:space="0" w:color="auto"/>
        <w:bottom w:val="none" w:sz="0" w:space="0" w:color="auto"/>
        <w:right w:val="none" w:sz="0" w:space="0" w:color="auto"/>
      </w:divBdr>
    </w:div>
    <w:div w:id="536818277">
      <w:bodyDiv w:val="1"/>
      <w:marLeft w:val="0"/>
      <w:marRight w:val="0"/>
      <w:marTop w:val="0"/>
      <w:marBottom w:val="0"/>
      <w:divBdr>
        <w:top w:val="none" w:sz="0" w:space="0" w:color="auto"/>
        <w:left w:val="none" w:sz="0" w:space="0" w:color="auto"/>
        <w:bottom w:val="none" w:sz="0" w:space="0" w:color="auto"/>
        <w:right w:val="none" w:sz="0" w:space="0" w:color="auto"/>
      </w:divBdr>
    </w:div>
    <w:div w:id="701176185">
      <w:bodyDiv w:val="1"/>
      <w:marLeft w:val="0"/>
      <w:marRight w:val="0"/>
      <w:marTop w:val="0"/>
      <w:marBottom w:val="0"/>
      <w:divBdr>
        <w:top w:val="none" w:sz="0" w:space="0" w:color="auto"/>
        <w:left w:val="none" w:sz="0" w:space="0" w:color="auto"/>
        <w:bottom w:val="none" w:sz="0" w:space="0" w:color="auto"/>
        <w:right w:val="none" w:sz="0" w:space="0" w:color="auto"/>
      </w:divBdr>
    </w:div>
    <w:div w:id="795216611">
      <w:bodyDiv w:val="1"/>
      <w:marLeft w:val="0"/>
      <w:marRight w:val="0"/>
      <w:marTop w:val="0"/>
      <w:marBottom w:val="0"/>
      <w:divBdr>
        <w:top w:val="none" w:sz="0" w:space="0" w:color="auto"/>
        <w:left w:val="none" w:sz="0" w:space="0" w:color="auto"/>
        <w:bottom w:val="none" w:sz="0" w:space="0" w:color="auto"/>
        <w:right w:val="none" w:sz="0" w:space="0" w:color="auto"/>
      </w:divBdr>
    </w:div>
    <w:div w:id="849026951">
      <w:bodyDiv w:val="1"/>
      <w:marLeft w:val="0"/>
      <w:marRight w:val="0"/>
      <w:marTop w:val="0"/>
      <w:marBottom w:val="0"/>
      <w:divBdr>
        <w:top w:val="none" w:sz="0" w:space="0" w:color="auto"/>
        <w:left w:val="none" w:sz="0" w:space="0" w:color="auto"/>
        <w:bottom w:val="none" w:sz="0" w:space="0" w:color="auto"/>
        <w:right w:val="none" w:sz="0" w:space="0" w:color="auto"/>
      </w:divBdr>
    </w:div>
    <w:div w:id="1094010547">
      <w:bodyDiv w:val="1"/>
      <w:marLeft w:val="0"/>
      <w:marRight w:val="0"/>
      <w:marTop w:val="0"/>
      <w:marBottom w:val="0"/>
      <w:divBdr>
        <w:top w:val="none" w:sz="0" w:space="0" w:color="auto"/>
        <w:left w:val="none" w:sz="0" w:space="0" w:color="auto"/>
        <w:bottom w:val="none" w:sz="0" w:space="0" w:color="auto"/>
        <w:right w:val="none" w:sz="0" w:space="0" w:color="auto"/>
      </w:divBdr>
    </w:div>
    <w:div w:id="1260915044">
      <w:bodyDiv w:val="1"/>
      <w:marLeft w:val="0"/>
      <w:marRight w:val="0"/>
      <w:marTop w:val="0"/>
      <w:marBottom w:val="0"/>
      <w:divBdr>
        <w:top w:val="none" w:sz="0" w:space="0" w:color="auto"/>
        <w:left w:val="none" w:sz="0" w:space="0" w:color="auto"/>
        <w:bottom w:val="none" w:sz="0" w:space="0" w:color="auto"/>
        <w:right w:val="none" w:sz="0" w:space="0" w:color="auto"/>
      </w:divBdr>
    </w:div>
    <w:div w:id="1766027279">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eader" Target="header6.xml"/><Relationship Id="rId39"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F56DB39A5B9F46AA87ED0A960035E8" ma:contentTypeVersion="2" ma:contentTypeDescription="Create a new document." ma:contentTypeScope="" ma:versionID="9a9384c066cc674c8397f85f8985ec5f">
  <xsd:schema xmlns:xsd="http://www.w3.org/2001/XMLSchema" xmlns:p="http://schemas.microsoft.com/office/2006/metadata/properties" xmlns:ns2="8662b4aa-cf42-4f00-a3f0-9d3b4acad230" xmlns:ns3="310e179b-1379-4e79-9b74-d5a32b1812d3" targetNamespace="http://schemas.microsoft.com/office/2006/metadata/properties" ma:root="true" ma:fieldsID="e0755585b90475625861c97e4ef1469a"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ocument_x0020_Number xmlns="8662b4aa-cf42-4f00-a3f0-9d3b4acad230">UNEP/OzL.Pro/ExCom/88/19</Document_x0020_Number>
    <DocumentType xmlns="310e179b-1379-4e79-9b74-d5a32b1812d3">Pre-session</DocumentType>
  </documentManagement>
</p:properties>
</file>

<file path=customXml/itemProps1.xml><?xml version="1.0" encoding="utf-8"?>
<ds:datastoreItem xmlns:ds="http://schemas.openxmlformats.org/officeDocument/2006/customXml" ds:itemID="{EF65D6A2-0A68-4848-A88E-F1BA1DDBEB89}"/>
</file>

<file path=customXml/itemProps2.xml><?xml version="1.0" encoding="utf-8"?>
<ds:datastoreItem xmlns:ds="http://schemas.openxmlformats.org/officeDocument/2006/customXml" ds:itemID="{D3425F5C-56F8-4AA6-B9BE-6811482E32F3}"/>
</file>

<file path=customXml/itemProps3.xml><?xml version="1.0" encoding="utf-8"?>
<ds:datastoreItem xmlns:ds="http://schemas.openxmlformats.org/officeDocument/2006/customXml" ds:itemID="{4043E099-833C-40C1-BAED-1F671A73E03D}"/>
</file>

<file path=customXml/itemProps4.xml><?xml version="1.0" encoding="utf-8"?>
<ds:datastoreItem xmlns:ds="http://schemas.openxmlformats.org/officeDocument/2006/customXml" ds:itemID="{F0B85CF5-C627-4216-8243-5893ABB8765F}"/>
</file>

<file path=docProps/app.xml><?xml version="1.0" encoding="utf-8"?>
<Properties xmlns="http://schemas.openxmlformats.org/officeDocument/2006/extended-properties" xmlns:vt="http://schemas.openxmlformats.org/officeDocument/2006/docPropsVTypes">
  <Template>Normal</Template>
  <TotalTime>10</TotalTime>
  <Pages>17</Pages>
  <Words>4838</Words>
  <Characters>27580</Characters>
  <Application>Microsoft Office Word</Application>
  <DocSecurity>0</DocSecurity>
  <Lines>229</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Rapport global d'achevement de projet 2021</vt:lpstr>
      <vt:lpstr>2021 consolidated project completion report</vt:lpstr>
    </vt:vector>
  </TitlesOfParts>
  <Company>UNMFS</Company>
  <LinksUpToDate>false</LinksUpToDate>
  <CharactersWithSpaces>32354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global d'achevement de projet 2021</dc:title>
  <dc:subject> </dc:subject>
  <dc:creator>Evaluation Office MLF</dc:creator>
  <cp:lastModifiedBy>HBE</cp:lastModifiedBy>
  <cp:revision>4</cp:revision>
  <cp:lastPrinted>2021-10-21T15:34:00Z</cp:lastPrinted>
  <dcterms:created xsi:type="dcterms:W3CDTF">2021-10-22T03:14:00Z</dcterms:created>
  <dcterms:modified xsi:type="dcterms:W3CDTF">2021-11-14T05:31:00Z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UNEP/OzL.Pro/ExCom/88/19</vt:lpwstr>
  </property>
  <property fmtid="{D5CDD505-2E9C-101B-9397-08002B2CF9AE}" pid="3" name="Revision date">
    <vt:lpwstr>10/19/2021</vt:lpwstr>
  </property>
  <property fmtid="{D5CDD505-2E9C-101B-9397-08002B2CF9AE}" pid="4" name="ContentTypeId">
    <vt:lpwstr>0x01010009F56DB39A5B9F46AA87ED0A960035E8</vt:lpwstr>
  </property>
</Properties>
</file>