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13" w:type="dxa"/>
        <w:tblInd w:w="-432" w:type="dxa"/>
        <w:tblLayout w:type="fixed"/>
        <w:tblLook w:val="0000" w:firstRow="0" w:lastRow="0" w:firstColumn="0" w:lastColumn="0" w:noHBand="0" w:noVBand="0"/>
      </w:tblPr>
      <w:tblGrid>
        <w:gridCol w:w="2100"/>
        <w:gridCol w:w="3969"/>
        <w:gridCol w:w="3544"/>
      </w:tblGrid>
      <w:tr w:rsidR="00441083" w14:paraId="20F60BEE" w14:textId="77777777" w:rsidTr="00E13515">
        <w:trPr>
          <w:trHeight w:val="720"/>
        </w:trPr>
        <w:tc>
          <w:tcPr>
            <w:tcW w:w="6069" w:type="dxa"/>
            <w:gridSpan w:val="2"/>
            <w:tcBorders>
              <w:bottom w:val="single" w:sz="18" w:space="0" w:color="auto"/>
            </w:tcBorders>
          </w:tcPr>
          <w:p w14:paraId="35E54D52" w14:textId="77777777" w:rsidR="00441083" w:rsidRDefault="00E60D9C">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b/>
                <w:sz w:val="28"/>
                <w:szCs w:val="28"/>
              </w:rPr>
            </w:pPr>
            <w:r>
              <w:rPr>
                <w:rFonts w:ascii="Univers" w:hAnsi="Univers"/>
                <w:b/>
                <w:sz w:val="28"/>
                <w:szCs w:val="28"/>
              </w:rPr>
              <w:t>NATIONS</w:t>
            </w:r>
          </w:p>
          <w:p w14:paraId="38D40434" w14:textId="77777777" w:rsidR="00441083" w:rsidRDefault="00E60D9C">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sz w:val="28"/>
                <w:szCs w:val="28"/>
              </w:rPr>
            </w:pPr>
            <w:r>
              <w:rPr>
                <w:rFonts w:ascii="Univers" w:hAnsi="Univers"/>
                <w:b/>
                <w:sz w:val="28"/>
                <w:szCs w:val="28"/>
              </w:rPr>
              <w:t xml:space="preserve">UNIES </w:t>
            </w:r>
          </w:p>
        </w:tc>
        <w:tc>
          <w:tcPr>
            <w:tcW w:w="3544" w:type="dxa"/>
            <w:tcBorders>
              <w:bottom w:val="single" w:sz="18" w:space="0" w:color="auto"/>
            </w:tcBorders>
          </w:tcPr>
          <w:p w14:paraId="38B20852" w14:textId="77777777" w:rsidR="00441083" w:rsidRDefault="00E60D9C">
            <w:pPr>
              <w:tabs>
                <w:tab w:val="left" w:pos="3010"/>
              </w:tabs>
              <w:jc w:val="center"/>
              <w:rPr>
                <w:sz w:val="52"/>
                <w:szCs w:val="52"/>
              </w:rPr>
            </w:pPr>
            <w:r>
              <w:rPr>
                <w:rFonts w:ascii="Univers Bold" w:hAnsi="Univers Bold"/>
                <w:b/>
                <w:sz w:val="72"/>
                <w:lang w:val="fr-CA"/>
              </w:rPr>
              <w:t xml:space="preserve">          EP</w:t>
            </w:r>
          </w:p>
        </w:tc>
      </w:tr>
      <w:tr w:rsidR="00441083" w14:paraId="540712C9" w14:textId="77777777" w:rsidTr="00E135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8"/>
        </w:trPr>
        <w:tc>
          <w:tcPr>
            <w:tcW w:w="2100" w:type="dxa"/>
            <w:tcBorders>
              <w:top w:val="nil"/>
              <w:left w:val="nil"/>
              <w:bottom w:val="single" w:sz="36" w:space="0" w:color="auto"/>
              <w:right w:val="nil"/>
            </w:tcBorders>
          </w:tcPr>
          <w:p w14:paraId="1A3470A5" w14:textId="77777777" w:rsidR="00441083" w:rsidRDefault="00C6443E">
            <w:pPr>
              <w:spacing w:before="120"/>
            </w:pPr>
            <w:r>
              <w:rPr>
                <w:noProof/>
                <w:lang w:val="en-CA" w:eastAsia="en-CA"/>
              </w:rPr>
              <w:drawing>
                <wp:anchor distT="0" distB="0" distL="114300" distR="114300" simplePos="0" relativeHeight="251657216" behindDoc="0" locked="0" layoutInCell="1" allowOverlap="1" wp14:anchorId="3A26CD2D" wp14:editId="75EEAF9F">
                  <wp:simplePos x="0" y="0"/>
                  <wp:positionH relativeFrom="column">
                    <wp:posOffset>63693</wp:posOffset>
                  </wp:positionH>
                  <wp:positionV relativeFrom="paragraph">
                    <wp:posOffset>955562</wp:posOffset>
                  </wp:positionV>
                  <wp:extent cx="800100" cy="705485"/>
                  <wp:effectExtent l="76200" t="76200" r="76200" b="75565"/>
                  <wp:wrapNone/>
                  <wp:docPr id="2" name="Picture 2"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
                          <pic:cNvPicPr>
                            <a:picLocks noChangeAspect="1" noChangeArrowheads="1"/>
                          </pic:cNvPicPr>
                        </pic:nvPicPr>
                        <pic:blipFill>
                          <a:blip r:embed="rId8" cstate="print"/>
                          <a:srcRect/>
                          <a:stretch>
                            <a:fillRect/>
                          </a:stretch>
                        </pic:blipFill>
                        <pic:spPr bwMode="auto">
                          <a:xfrm>
                            <a:off x="0" y="0"/>
                            <a:ext cx="800100" cy="705485"/>
                          </a:xfrm>
                          <a:prstGeom prst="rect">
                            <a:avLst/>
                          </a:prstGeom>
                          <a:noFill/>
                        </pic:spPr>
                      </pic:pic>
                    </a:graphicData>
                  </a:graphic>
                </wp:anchor>
              </w:drawing>
            </w:r>
            <w:r w:rsidR="001C3D0C">
              <w:rPr>
                <w:noProof/>
                <w:lang w:val="en-CA" w:eastAsia="en-CA"/>
              </w:rPr>
              <w:drawing>
                <wp:anchor distT="0" distB="0" distL="114300" distR="114300" simplePos="0" relativeHeight="251659264" behindDoc="1" locked="0" layoutInCell="0" allowOverlap="1" wp14:anchorId="17452D23" wp14:editId="53E15814">
                  <wp:simplePos x="0" y="0"/>
                  <wp:positionH relativeFrom="column">
                    <wp:posOffset>72390</wp:posOffset>
                  </wp:positionH>
                  <wp:positionV relativeFrom="paragraph">
                    <wp:posOffset>112395</wp:posOffset>
                  </wp:positionV>
                  <wp:extent cx="760809" cy="676275"/>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760809" cy="676275"/>
                          </a:xfrm>
                          <a:prstGeom prst="rect">
                            <a:avLst/>
                          </a:prstGeom>
                          <a:noFill/>
                        </pic:spPr>
                      </pic:pic>
                    </a:graphicData>
                  </a:graphic>
                  <wp14:sizeRelH relativeFrom="margin">
                    <wp14:pctWidth>0</wp14:pctWidth>
                  </wp14:sizeRelH>
                  <wp14:sizeRelV relativeFrom="margin">
                    <wp14:pctHeight>0</wp14:pctHeight>
                  </wp14:sizeRelV>
                </wp:anchor>
              </w:drawing>
            </w:r>
          </w:p>
        </w:tc>
        <w:tc>
          <w:tcPr>
            <w:tcW w:w="3969" w:type="dxa"/>
            <w:tcBorders>
              <w:top w:val="nil"/>
              <w:left w:val="nil"/>
              <w:bottom w:val="single" w:sz="36" w:space="0" w:color="auto"/>
              <w:right w:val="nil"/>
            </w:tcBorders>
          </w:tcPr>
          <w:p w14:paraId="50875794" w14:textId="77777777" w:rsidR="00F35B7E" w:rsidRDefault="00F35B7E">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fr-CA"/>
              </w:rPr>
            </w:pPr>
          </w:p>
          <w:p w14:paraId="62F57E8E" w14:textId="60D46DDB" w:rsidR="00441083" w:rsidRDefault="00E60D9C">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fr-CA"/>
              </w:rPr>
            </w:pPr>
            <w:r>
              <w:rPr>
                <w:rFonts w:ascii="Univers" w:hAnsi="Univers"/>
                <w:b/>
                <w:sz w:val="32"/>
                <w:lang w:val="fr-CA"/>
              </w:rPr>
              <w:t>Programme des</w:t>
            </w:r>
          </w:p>
          <w:p w14:paraId="7F04F19D" w14:textId="77777777" w:rsidR="00441083" w:rsidRDefault="00E60D9C">
            <w:pPr>
              <w:rPr>
                <w:rFonts w:ascii="Univers" w:hAnsi="Univers"/>
                <w:b/>
                <w:sz w:val="32"/>
                <w:lang w:val="fr-CA"/>
              </w:rPr>
            </w:pPr>
            <w:r>
              <w:rPr>
                <w:rFonts w:ascii="Univers" w:hAnsi="Univers"/>
                <w:b/>
                <w:sz w:val="32"/>
                <w:lang w:val="fr-CA"/>
              </w:rPr>
              <w:t>Nations Unies pour</w:t>
            </w:r>
          </w:p>
          <w:p w14:paraId="7BB600AE" w14:textId="77777777" w:rsidR="00441083" w:rsidRDefault="00E60D9C">
            <w:pPr>
              <w:rPr>
                <w:rFonts w:ascii="Univers" w:hAnsi="Univers"/>
                <w:b/>
                <w:sz w:val="32"/>
                <w:lang w:val="fr-CA"/>
              </w:rPr>
            </w:pPr>
            <w:r>
              <w:rPr>
                <w:rFonts w:ascii="Univers" w:hAnsi="Univers"/>
                <w:b/>
                <w:sz w:val="32"/>
                <w:lang w:val="fr-CA"/>
              </w:rPr>
              <w:t>l’environnement</w:t>
            </w:r>
          </w:p>
          <w:p w14:paraId="1044FBBD" w14:textId="77777777" w:rsidR="00441083" w:rsidRDefault="00E60D9C">
            <w:pPr>
              <w:spacing w:before="720"/>
              <w:ind w:left="158"/>
              <w:rPr>
                <w:lang w:val="fr-FR"/>
              </w:rPr>
            </w:pPr>
            <w:r>
              <w:rPr>
                <w:lang w:val="fr-FR"/>
              </w:rPr>
              <w:t xml:space="preserve"> </w:t>
            </w:r>
          </w:p>
        </w:tc>
        <w:tc>
          <w:tcPr>
            <w:tcW w:w="3544" w:type="dxa"/>
            <w:tcBorders>
              <w:top w:val="nil"/>
              <w:left w:val="nil"/>
              <w:bottom w:val="single" w:sz="36" w:space="0" w:color="auto"/>
              <w:right w:val="nil"/>
            </w:tcBorders>
          </w:tcPr>
          <w:p w14:paraId="3A0C72F8" w14:textId="77777777" w:rsidR="00F35B7E" w:rsidRDefault="00F35B7E">
            <w:pPr>
              <w:rPr>
                <w:lang w:val="fr-FR"/>
              </w:rPr>
            </w:pPr>
          </w:p>
          <w:p w14:paraId="0A943786" w14:textId="7337AD9E" w:rsidR="00441083" w:rsidRPr="00DD3433" w:rsidRDefault="00E60D9C">
            <w:pPr>
              <w:rPr>
                <w:lang w:val="fr-FR"/>
              </w:rPr>
            </w:pPr>
            <w:proofErr w:type="spellStart"/>
            <w:r w:rsidRPr="00DD3433">
              <w:rPr>
                <w:lang w:val="fr-FR"/>
              </w:rPr>
              <w:t>Distr</w:t>
            </w:r>
            <w:proofErr w:type="spellEnd"/>
            <w:r w:rsidRPr="00DD3433">
              <w:rPr>
                <w:lang w:val="fr-FR"/>
              </w:rPr>
              <w:t>.</w:t>
            </w:r>
          </w:p>
          <w:p w14:paraId="7322D67C" w14:textId="77777777" w:rsidR="00441083" w:rsidRPr="00DD3433" w:rsidRDefault="00E60D9C" w:rsidP="00DD3433">
            <w:pPr>
              <w:rPr>
                <w:lang w:val="fr-FR"/>
              </w:rPr>
            </w:pPr>
            <w:r w:rsidRPr="00DD3433">
              <w:rPr>
                <w:lang w:val="fr-FR"/>
              </w:rPr>
              <w:t>G</w:t>
            </w:r>
            <w:r w:rsidR="00DD3433" w:rsidRPr="00DD3433">
              <w:rPr>
                <w:lang w:val="fr-FR"/>
              </w:rPr>
              <w:t>É</w:t>
            </w:r>
            <w:r w:rsidRPr="00DD3433">
              <w:rPr>
                <w:lang w:val="fr-FR"/>
              </w:rPr>
              <w:t>N</w:t>
            </w:r>
            <w:r w:rsidR="00DD3433" w:rsidRPr="00DD3433">
              <w:rPr>
                <w:lang w:val="fr-FR"/>
              </w:rPr>
              <w:t>É</w:t>
            </w:r>
            <w:r w:rsidRPr="00DD3433">
              <w:rPr>
                <w:lang w:val="fr-FR"/>
              </w:rPr>
              <w:t>RAL</w:t>
            </w:r>
            <w:r w:rsidR="00FF3CF1" w:rsidRPr="00DD3433">
              <w:rPr>
                <w:lang w:val="fr-FR"/>
              </w:rPr>
              <w:t>E</w:t>
            </w:r>
          </w:p>
          <w:p w14:paraId="1A8B45D7" w14:textId="77777777" w:rsidR="00441083" w:rsidRPr="00DD3433" w:rsidRDefault="00441083">
            <w:pPr>
              <w:rPr>
                <w:lang w:val="fr-FR"/>
              </w:rPr>
            </w:pPr>
          </w:p>
          <w:p w14:paraId="6C030712" w14:textId="456CA470" w:rsidR="00441083" w:rsidRPr="00F35B7E" w:rsidRDefault="00E60D9C">
            <w:pPr>
              <w:rPr>
                <w:lang w:val="en-CA"/>
              </w:rPr>
            </w:pPr>
            <w:r>
              <w:fldChar w:fldCharType="begin"/>
            </w:r>
            <w:r w:rsidRPr="00F35B7E">
              <w:rPr>
                <w:lang w:val="en-CA"/>
              </w:rPr>
              <w:instrText xml:space="preserve"> DOCPROPERTY "Document number"  \* MERGEFORMAT </w:instrText>
            </w:r>
            <w:r>
              <w:fldChar w:fldCharType="separate"/>
            </w:r>
            <w:r w:rsidR="00E13515" w:rsidRPr="00F35B7E">
              <w:rPr>
                <w:lang w:val="en-CA"/>
              </w:rPr>
              <w:t>UNEP/</w:t>
            </w:r>
            <w:proofErr w:type="spellStart"/>
            <w:r w:rsidR="00E13515" w:rsidRPr="00F35B7E">
              <w:rPr>
                <w:lang w:val="en-CA"/>
              </w:rPr>
              <w:t>OzL.Pro</w:t>
            </w:r>
            <w:proofErr w:type="spellEnd"/>
            <w:r w:rsidR="00E13515" w:rsidRPr="00F35B7E">
              <w:rPr>
                <w:lang w:val="en-CA"/>
              </w:rPr>
              <w:t>/</w:t>
            </w:r>
            <w:proofErr w:type="spellStart"/>
            <w:r w:rsidR="00E13515" w:rsidRPr="00F35B7E">
              <w:rPr>
                <w:lang w:val="en-CA"/>
              </w:rPr>
              <w:t>ExCom</w:t>
            </w:r>
            <w:proofErr w:type="spellEnd"/>
            <w:r w:rsidR="00E13515" w:rsidRPr="00F35B7E">
              <w:rPr>
                <w:lang w:val="en-CA"/>
              </w:rPr>
              <w:t>/88/18/Add.1</w:t>
            </w:r>
            <w:r>
              <w:fldChar w:fldCharType="end"/>
            </w:r>
          </w:p>
          <w:p w14:paraId="4B331FB2" w14:textId="02934002" w:rsidR="002F0B57" w:rsidRPr="002C06D4" w:rsidRDefault="002F0B57" w:rsidP="00C9547D">
            <w:pPr>
              <w:rPr>
                <w:lang w:val="en-US"/>
              </w:rPr>
            </w:pPr>
            <w:r>
              <w:fldChar w:fldCharType="begin"/>
            </w:r>
            <w:r w:rsidRPr="002C06D4">
              <w:rPr>
                <w:lang w:val="en-US"/>
              </w:rPr>
              <w:instrText xml:space="preserve"> DOCPROPERTY "Revision date" \@ "d MMMM YYYY"  \* MERGEFORMAT </w:instrText>
            </w:r>
            <w:r>
              <w:fldChar w:fldCharType="separate"/>
            </w:r>
            <w:r w:rsidR="00813F9A">
              <w:rPr>
                <w:lang w:val="en-US"/>
              </w:rPr>
              <w:t>1</w:t>
            </w:r>
            <w:r w:rsidR="006F0A55">
              <w:rPr>
                <w:lang w:val="en-US"/>
              </w:rPr>
              <w:t>1 </w:t>
            </w:r>
            <w:proofErr w:type="spellStart"/>
            <w:r w:rsidR="006F0A55">
              <w:rPr>
                <w:lang w:val="en-US"/>
              </w:rPr>
              <w:t>novembre</w:t>
            </w:r>
            <w:proofErr w:type="spellEnd"/>
            <w:r w:rsidR="006F0A55">
              <w:rPr>
                <w:lang w:val="en-US"/>
              </w:rPr>
              <w:t> </w:t>
            </w:r>
            <w:r w:rsidR="00813F9A">
              <w:rPr>
                <w:lang w:val="en-US"/>
              </w:rPr>
              <w:t>2021</w:t>
            </w:r>
            <w:r>
              <w:fldChar w:fldCharType="end"/>
            </w:r>
          </w:p>
          <w:p w14:paraId="0353C7B5" w14:textId="77777777" w:rsidR="00441083" w:rsidRDefault="00FC5578">
            <w:pPr>
              <w:rPr>
                <w:caps/>
                <w:lang w:val="fr-FR"/>
              </w:rPr>
            </w:pPr>
            <w:r w:rsidRPr="002C06D4">
              <w:rPr>
                <w:caps/>
                <w:lang w:val="en-US"/>
              </w:rPr>
              <w:br/>
            </w:r>
            <w:r w:rsidR="00E60D9C">
              <w:rPr>
                <w:caps/>
                <w:lang w:val="fr-FR"/>
              </w:rPr>
              <w:t>FRANÇAIS</w:t>
            </w:r>
          </w:p>
          <w:p w14:paraId="40212EA4" w14:textId="77777777" w:rsidR="00441083" w:rsidRDefault="00E60D9C">
            <w:r>
              <w:t xml:space="preserve">ORIGINAL: </w:t>
            </w:r>
            <w:r w:rsidR="0091161A">
              <w:t>ANGLAIS</w:t>
            </w:r>
          </w:p>
        </w:tc>
      </w:tr>
    </w:tbl>
    <w:p w14:paraId="7ACCFF74" w14:textId="77777777" w:rsidR="00441083" w:rsidRDefault="00E60D9C" w:rsidP="009F6617">
      <w:pPr>
        <w:jc w:val="left"/>
        <w:rPr>
          <w:lang w:val="fr-CA"/>
        </w:rPr>
      </w:pPr>
      <w:r>
        <w:rPr>
          <w:lang w:val="fr-CA"/>
        </w:rPr>
        <w:t>COMIT</w:t>
      </w:r>
      <w:r w:rsidR="00DD3433">
        <w:rPr>
          <w:lang w:val="fr-CA"/>
        </w:rPr>
        <w:t>É</w:t>
      </w:r>
      <w:r>
        <w:rPr>
          <w:lang w:val="fr-CA"/>
        </w:rPr>
        <w:t xml:space="preserve"> EX</w:t>
      </w:r>
      <w:r w:rsidR="00DD3433">
        <w:rPr>
          <w:lang w:val="fr-CA"/>
        </w:rPr>
        <w:t xml:space="preserve">ÉCUTIF </w:t>
      </w:r>
      <w:r w:rsidR="00DD3433">
        <w:rPr>
          <w:lang w:val="fr-CA"/>
        </w:rPr>
        <w:br/>
        <w:t xml:space="preserve">  DU FONDS MULTILATÉ</w:t>
      </w:r>
      <w:r>
        <w:rPr>
          <w:lang w:val="fr-CA"/>
        </w:rPr>
        <w:t xml:space="preserve">RAL AUX FINS </w:t>
      </w:r>
      <w:r>
        <w:rPr>
          <w:lang w:val="fr-CA"/>
        </w:rPr>
        <w:br/>
        <w:t xml:space="preserve">  D’APPLICATION DU PROTOCOLE DE MONTR</w:t>
      </w:r>
      <w:r w:rsidR="00DD3433">
        <w:rPr>
          <w:lang w:val="fr-CA"/>
        </w:rPr>
        <w:t>É</w:t>
      </w:r>
      <w:r>
        <w:rPr>
          <w:lang w:val="fr-CA"/>
        </w:rPr>
        <w:t>AL</w:t>
      </w:r>
      <w:r>
        <w:rPr>
          <w:lang w:val="fr-CA"/>
        </w:rPr>
        <w:br/>
      </w:r>
      <w:r w:rsidR="00E54871">
        <w:rPr>
          <w:lang w:val="fr-CA"/>
        </w:rPr>
        <w:t>Quatre</w:t>
      </w:r>
      <w:r>
        <w:rPr>
          <w:lang w:val="fr-CA"/>
        </w:rPr>
        <w:t>-</w:t>
      </w:r>
      <w:r w:rsidR="00E54871">
        <w:rPr>
          <w:lang w:val="fr-CA"/>
        </w:rPr>
        <w:t>vingt</w:t>
      </w:r>
      <w:r w:rsidR="00AE63D8">
        <w:rPr>
          <w:lang w:val="fr-CA"/>
        </w:rPr>
        <w:t>-</w:t>
      </w:r>
      <w:r w:rsidR="009F6617">
        <w:rPr>
          <w:lang w:val="fr-CA"/>
        </w:rPr>
        <w:t>huit</w:t>
      </w:r>
      <w:r w:rsidR="004C2C87">
        <w:rPr>
          <w:lang w:val="fr-CA"/>
        </w:rPr>
        <w:t>i</w:t>
      </w:r>
      <w:r w:rsidR="00E54871">
        <w:rPr>
          <w:lang w:val="fr-CA"/>
        </w:rPr>
        <w:t>ème</w:t>
      </w:r>
      <w:r w:rsidR="00FC5578" w:rsidRPr="00FC5578">
        <w:rPr>
          <w:lang w:val="fr-CA"/>
        </w:rPr>
        <w:t xml:space="preserve"> </w:t>
      </w:r>
      <w:r>
        <w:rPr>
          <w:lang w:val="fr-CA"/>
        </w:rPr>
        <w:t>réunion</w:t>
      </w:r>
    </w:p>
    <w:p w14:paraId="2570F41D" w14:textId="16567C66" w:rsidR="00441083" w:rsidRDefault="00E54871" w:rsidP="009F6617">
      <w:pPr>
        <w:jc w:val="left"/>
        <w:rPr>
          <w:lang w:val="fr-CA"/>
        </w:rPr>
      </w:pPr>
      <w:r>
        <w:rPr>
          <w:lang w:val="fr-CA"/>
        </w:rPr>
        <w:t>Montr</w:t>
      </w:r>
      <w:r w:rsidRPr="009F6617">
        <w:rPr>
          <w:lang w:val="fr-CA"/>
        </w:rPr>
        <w:t>é</w:t>
      </w:r>
      <w:r>
        <w:rPr>
          <w:lang w:val="fr-CA"/>
        </w:rPr>
        <w:t>al,</w:t>
      </w:r>
      <w:r w:rsidR="00FC5578">
        <w:rPr>
          <w:lang w:val="fr-CA"/>
        </w:rPr>
        <w:t xml:space="preserve"> </w:t>
      </w:r>
      <w:r w:rsidR="009F6617">
        <w:rPr>
          <w:lang w:val="fr-CA"/>
        </w:rPr>
        <w:t>15</w:t>
      </w:r>
      <w:r w:rsidR="00AC013C">
        <w:rPr>
          <w:lang w:val="fr-CA"/>
        </w:rPr>
        <w:t xml:space="preserve"> </w:t>
      </w:r>
      <w:r w:rsidR="00E60D9C">
        <w:rPr>
          <w:lang w:val="fr-CA"/>
        </w:rPr>
        <w:t xml:space="preserve">– </w:t>
      </w:r>
      <w:r w:rsidR="009F6617">
        <w:rPr>
          <w:lang w:val="fr-CA"/>
        </w:rPr>
        <w:t>19</w:t>
      </w:r>
      <w:r w:rsidR="00070DA9">
        <w:rPr>
          <w:lang w:val="fr-CA"/>
        </w:rPr>
        <w:t> </w:t>
      </w:r>
      <w:r w:rsidR="009F6617">
        <w:rPr>
          <w:lang w:val="fr-CA"/>
        </w:rPr>
        <w:t>novembre</w:t>
      </w:r>
      <w:r w:rsidR="00070DA9">
        <w:rPr>
          <w:lang w:val="fr-CA"/>
        </w:rPr>
        <w:t> </w:t>
      </w:r>
      <w:r w:rsidR="004C2C87">
        <w:rPr>
          <w:lang w:val="fr-CA"/>
        </w:rPr>
        <w:t>20</w:t>
      </w:r>
      <w:r w:rsidR="002C06D4">
        <w:rPr>
          <w:lang w:val="fr-CA"/>
        </w:rPr>
        <w:t>2</w:t>
      </w:r>
      <w:r w:rsidR="004C2C87">
        <w:rPr>
          <w:lang w:val="fr-CA"/>
        </w:rPr>
        <w:t>1</w:t>
      </w:r>
      <w:r w:rsidR="002C06D4">
        <w:rPr>
          <w:rStyle w:val="FootnoteReference"/>
          <w:lang w:val="fr-CA"/>
        </w:rPr>
        <w:footnoteReference w:id="1"/>
      </w:r>
    </w:p>
    <w:p w14:paraId="5CCD7192" w14:textId="77777777" w:rsidR="00441083" w:rsidRDefault="00441083">
      <w:pPr>
        <w:pStyle w:val="Title1"/>
        <w:rPr>
          <w:lang w:val="fr-FR"/>
        </w:rPr>
      </w:pPr>
    </w:p>
    <w:p w14:paraId="3D7B3E0F" w14:textId="77777777" w:rsidR="00C13A6D" w:rsidRPr="00972B27" w:rsidRDefault="00C13A6D" w:rsidP="00C13A6D">
      <w:pPr>
        <w:jc w:val="center"/>
        <w:outlineLvl w:val="0"/>
        <w:rPr>
          <w:b/>
          <w:caps/>
          <w:lang w:val="fr-CA"/>
        </w:rPr>
      </w:pPr>
      <w:r w:rsidRPr="00972B27">
        <w:rPr>
          <w:b/>
          <w:lang w:val="fr-CA"/>
        </w:rPr>
        <w:t>Addendum</w:t>
      </w:r>
    </w:p>
    <w:p w14:paraId="3C089925" w14:textId="77777777" w:rsidR="00C13A6D" w:rsidRPr="00972B27" w:rsidRDefault="00C13A6D" w:rsidP="00C13A6D">
      <w:pPr>
        <w:jc w:val="center"/>
        <w:outlineLvl w:val="0"/>
        <w:rPr>
          <w:b/>
          <w:caps/>
          <w:lang w:val="fr-CA"/>
        </w:rPr>
      </w:pPr>
    </w:p>
    <w:p w14:paraId="30E7F629" w14:textId="34D7326C" w:rsidR="00C13A6D" w:rsidRDefault="00E13515" w:rsidP="00C13A6D">
      <w:pPr>
        <w:jc w:val="center"/>
        <w:outlineLvl w:val="0"/>
        <w:rPr>
          <w:b/>
          <w:lang w:val="fr-CA"/>
        </w:rPr>
      </w:pPr>
      <w:r w:rsidRPr="00972B27">
        <w:rPr>
          <w:b/>
          <w:lang w:val="fr-CA"/>
        </w:rPr>
        <w:t>RAPPORTS SUR LES PROJETS COMPORTANT DES EXIGENCES PARTICULIÈRES</w:t>
      </w:r>
      <w:r w:rsidRPr="00972B27">
        <w:rPr>
          <w:b/>
          <w:lang w:val="fr-CA"/>
        </w:rPr>
        <w:br/>
        <w:t>DE REMISE DE RAPPORTS</w:t>
      </w:r>
    </w:p>
    <w:p w14:paraId="3EB61913" w14:textId="77777777" w:rsidR="00F35B7E" w:rsidRPr="00972B27" w:rsidRDefault="00F35B7E" w:rsidP="00C13A6D">
      <w:pPr>
        <w:jc w:val="center"/>
        <w:outlineLvl w:val="0"/>
        <w:rPr>
          <w:b/>
          <w:caps/>
          <w:lang w:val="fr-CA"/>
        </w:rPr>
      </w:pPr>
    </w:p>
    <w:p w14:paraId="4DDB54F1" w14:textId="77777777" w:rsidR="00C13A6D" w:rsidRPr="00972B27" w:rsidRDefault="00C13A6D" w:rsidP="00C13A6D">
      <w:pPr>
        <w:jc w:val="center"/>
        <w:outlineLvl w:val="0"/>
        <w:rPr>
          <w:b/>
          <w:caps/>
          <w:lang w:val="fr-CA"/>
        </w:rPr>
      </w:pPr>
    </w:p>
    <w:p w14:paraId="7256776A" w14:textId="08CB9A9E" w:rsidR="00C13A6D" w:rsidRPr="00972B27" w:rsidRDefault="006D3AD2" w:rsidP="00C13A6D">
      <w:pPr>
        <w:pStyle w:val="Heading1"/>
        <w:rPr>
          <w:lang w:val="fr-CA"/>
        </w:rPr>
      </w:pPr>
      <w:r w:rsidRPr="00972B27">
        <w:rPr>
          <w:lang w:val="fr-CA"/>
        </w:rPr>
        <w:t>Le présent addendum com</w:t>
      </w:r>
      <w:r w:rsidR="003C7BA7" w:rsidRPr="00972B27">
        <w:rPr>
          <w:lang w:val="fr-CA"/>
        </w:rPr>
        <w:t>prend</w:t>
      </w:r>
      <w:r w:rsidRPr="00972B27">
        <w:rPr>
          <w:lang w:val="fr-CA"/>
        </w:rPr>
        <w:t xml:space="preserve"> les rapports sur les projets comportant des exigences particulières de remise de rapports relatifs à la Chine qui sont attendu</w:t>
      </w:r>
      <w:r w:rsidR="003C7BA7" w:rsidRPr="00972B27">
        <w:rPr>
          <w:lang w:val="fr-CA"/>
        </w:rPr>
        <w:t>s</w:t>
      </w:r>
      <w:r w:rsidRPr="00972B27">
        <w:rPr>
          <w:lang w:val="fr-CA"/>
        </w:rPr>
        <w:t xml:space="preserve"> à la 88</w:t>
      </w:r>
      <w:r w:rsidRPr="00972B27">
        <w:rPr>
          <w:vertAlign w:val="superscript"/>
          <w:lang w:val="fr-CA"/>
        </w:rPr>
        <w:t>e</w:t>
      </w:r>
      <w:r w:rsidR="00D77999" w:rsidRPr="00972B27">
        <w:rPr>
          <w:lang w:val="fr-CA"/>
        </w:rPr>
        <w:t> </w:t>
      </w:r>
      <w:r w:rsidRPr="00972B27">
        <w:rPr>
          <w:lang w:val="fr-CA"/>
        </w:rPr>
        <w:t xml:space="preserve">réunion. </w:t>
      </w:r>
      <w:r w:rsidR="003C7BA7" w:rsidRPr="00972B27">
        <w:rPr>
          <w:lang w:val="fr-CA"/>
        </w:rPr>
        <w:t>Deux</w:t>
      </w:r>
      <w:r w:rsidRPr="00972B27">
        <w:rPr>
          <w:lang w:val="fr-CA"/>
        </w:rPr>
        <w:t xml:space="preserve"> ont été reporté</w:t>
      </w:r>
      <w:r w:rsidR="003C7BA7" w:rsidRPr="00972B27">
        <w:rPr>
          <w:lang w:val="fr-CA"/>
        </w:rPr>
        <w:t>s</w:t>
      </w:r>
      <w:r w:rsidRPr="00972B27">
        <w:rPr>
          <w:lang w:val="fr-CA"/>
        </w:rPr>
        <w:t xml:space="preserve"> aux fins d’examen lors de la 87</w:t>
      </w:r>
      <w:r w:rsidRPr="00972B27">
        <w:rPr>
          <w:vertAlign w:val="superscript"/>
          <w:lang w:val="fr-CA"/>
        </w:rPr>
        <w:t>e</w:t>
      </w:r>
      <w:r w:rsidR="00D77999" w:rsidRPr="00972B27">
        <w:rPr>
          <w:lang w:val="fr-CA"/>
        </w:rPr>
        <w:t> </w:t>
      </w:r>
      <w:r w:rsidRPr="00972B27">
        <w:rPr>
          <w:lang w:val="fr-CA"/>
        </w:rPr>
        <w:t>réunion.</w:t>
      </w:r>
    </w:p>
    <w:p w14:paraId="7A3023DA" w14:textId="7BF9AFA1" w:rsidR="00C13A6D" w:rsidRPr="00972B27" w:rsidRDefault="006D3AD2" w:rsidP="00C13A6D">
      <w:pPr>
        <w:pStyle w:val="Heading1"/>
        <w:rPr>
          <w:lang w:val="fr-CA"/>
        </w:rPr>
      </w:pPr>
      <w:r w:rsidRPr="00972B27">
        <w:rPr>
          <w:lang w:val="fr-CA"/>
        </w:rPr>
        <w:t>Le document se divise en cinq parties :</w:t>
      </w:r>
    </w:p>
    <w:tbl>
      <w:tblPr>
        <w:tblStyle w:val="TableGrid10"/>
        <w:tblW w:w="8635" w:type="dxa"/>
        <w:tblInd w:w="720" w:type="dxa"/>
        <w:tblLayout w:type="fixed"/>
        <w:tblLook w:val="04A0" w:firstRow="1" w:lastRow="0" w:firstColumn="1" w:lastColumn="0" w:noHBand="0" w:noVBand="1"/>
      </w:tblPr>
      <w:tblGrid>
        <w:gridCol w:w="835"/>
        <w:gridCol w:w="6237"/>
        <w:gridCol w:w="1563"/>
      </w:tblGrid>
      <w:tr w:rsidR="00C13A6D" w:rsidRPr="004C2665" w14:paraId="706880A2" w14:textId="77777777" w:rsidTr="006F0A55">
        <w:trPr>
          <w:tblHeader/>
        </w:trPr>
        <w:tc>
          <w:tcPr>
            <w:tcW w:w="835" w:type="dxa"/>
          </w:tcPr>
          <w:p w14:paraId="23DC5643" w14:textId="589C7D36" w:rsidR="00C13A6D" w:rsidRPr="004C2665" w:rsidRDefault="00C13A6D" w:rsidP="004E3252">
            <w:pPr>
              <w:widowControl w:val="0"/>
              <w:jc w:val="left"/>
              <w:rPr>
                <w:b/>
              </w:rPr>
            </w:pPr>
            <w:proofErr w:type="spellStart"/>
            <w:r w:rsidRPr="004C2665">
              <w:rPr>
                <w:b/>
              </w:rPr>
              <w:t>Part</w:t>
            </w:r>
            <w:r w:rsidR="006F0A55">
              <w:rPr>
                <w:b/>
              </w:rPr>
              <w:t>ie</w:t>
            </w:r>
            <w:proofErr w:type="spellEnd"/>
          </w:p>
        </w:tc>
        <w:tc>
          <w:tcPr>
            <w:tcW w:w="6237" w:type="dxa"/>
            <w:vAlign w:val="center"/>
          </w:tcPr>
          <w:p w14:paraId="56E609C0" w14:textId="461BD8C0" w:rsidR="00C13A6D" w:rsidRPr="004C2665" w:rsidRDefault="006F0A55" w:rsidP="004E3252">
            <w:pPr>
              <w:widowControl w:val="0"/>
              <w:jc w:val="center"/>
              <w:rPr>
                <w:b/>
              </w:rPr>
            </w:pPr>
            <w:r>
              <w:rPr>
                <w:b/>
              </w:rPr>
              <w:t>Titre du rapport</w:t>
            </w:r>
          </w:p>
        </w:tc>
        <w:tc>
          <w:tcPr>
            <w:tcW w:w="1563" w:type="dxa"/>
            <w:vAlign w:val="center"/>
          </w:tcPr>
          <w:p w14:paraId="5210FA8B" w14:textId="355710D9" w:rsidR="00C13A6D" w:rsidRPr="004C2665" w:rsidRDefault="00C13A6D" w:rsidP="004E3252">
            <w:pPr>
              <w:widowControl w:val="0"/>
              <w:jc w:val="center"/>
              <w:rPr>
                <w:b/>
              </w:rPr>
            </w:pPr>
            <w:proofErr w:type="spellStart"/>
            <w:r w:rsidRPr="004C2665">
              <w:rPr>
                <w:b/>
              </w:rPr>
              <w:t>Paragraph</w:t>
            </w:r>
            <w:r w:rsidR="006F0A55">
              <w:rPr>
                <w:b/>
              </w:rPr>
              <w:t>e</w:t>
            </w:r>
            <w:r w:rsidRPr="004C2665">
              <w:rPr>
                <w:b/>
              </w:rPr>
              <w:t>s</w:t>
            </w:r>
            <w:proofErr w:type="spellEnd"/>
          </w:p>
        </w:tc>
      </w:tr>
      <w:tr w:rsidR="00C13A6D" w:rsidRPr="004C2665" w14:paraId="2E1AC00A" w14:textId="77777777" w:rsidTr="006F0A55">
        <w:tc>
          <w:tcPr>
            <w:tcW w:w="835" w:type="dxa"/>
            <w:vAlign w:val="center"/>
          </w:tcPr>
          <w:p w14:paraId="741BB465" w14:textId="77777777" w:rsidR="00C13A6D" w:rsidRPr="004C2665" w:rsidRDefault="00C13A6D" w:rsidP="004E3252">
            <w:pPr>
              <w:widowControl w:val="0"/>
              <w:jc w:val="center"/>
            </w:pPr>
            <w:r w:rsidRPr="004C2665">
              <w:t>I</w:t>
            </w:r>
          </w:p>
        </w:tc>
        <w:tc>
          <w:tcPr>
            <w:tcW w:w="6237" w:type="dxa"/>
            <w:vAlign w:val="center"/>
          </w:tcPr>
          <w:p w14:paraId="65E4761C" w14:textId="40610D4C" w:rsidR="00C13A6D" w:rsidRPr="00972B27" w:rsidRDefault="006D3AD2" w:rsidP="00E72239">
            <w:pPr>
              <w:widowControl w:val="0"/>
              <w:jc w:val="left"/>
              <w:rPr>
                <w:lang w:val="fr-CA"/>
              </w:rPr>
            </w:pPr>
            <w:r w:rsidRPr="00972B27">
              <w:rPr>
                <w:lang w:val="fr-CA"/>
              </w:rPr>
              <w:t>Rapport</w:t>
            </w:r>
            <w:r w:rsidR="003C7BA7" w:rsidRPr="00972B27">
              <w:rPr>
                <w:lang w:val="fr-CA"/>
              </w:rPr>
              <w:t>s</w:t>
            </w:r>
            <w:r w:rsidRPr="00972B27">
              <w:rPr>
                <w:lang w:val="fr-CA"/>
              </w:rPr>
              <w:t xml:space="preserve"> de vérification financière pour les secteurs </w:t>
            </w:r>
            <w:r w:rsidR="00FD2005" w:rsidRPr="00972B27">
              <w:rPr>
                <w:lang w:val="fr-CA"/>
              </w:rPr>
              <w:t>de la production de CFC, des halons, de la mousse</w:t>
            </w:r>
            <w:r w:rsidR="003C7BA7" w:rsidRPr="00972B27">
              <w:rPr>
                <w:lang w:val="fr-CA"/>
              </w:rPr>
              <w:t> </w:t>
            </w:r>
            <w:r w:rsidR="00FD2005" w:rsidRPr="00972B27">
              <w:rPr>
                <w:lang w:val="fr-CA"/>
              </w:rPr>
              <w:t>PU, de l’agent de transformation</w:t>
            </w:r>
            <w:r w:rsidR="003C7BA7" w:rsidRPr="00972B27">
              <w:rPr>
                <w:lang w:val="fr-CA"/>
              </w:rPr>
              <w:t> </w:t>
            </w:r>
            <w:r w:rsidR="00FD2005" w:rsidRPr="00972B27">
              <w:rPr>
                <w:lang w:val="fr-CA"/>
              </w:rPr>
              <w:t>II, de l’entretien de</w:t>
            </w:r>
            <w:r w:rsidR="00E72239">
              <w:rPr>
                <w:lang w:val="fr-CA"/>
              </w:rPr>
              <w:t xml:space="preserve"> l’équipement</w:t>
            </w:r>
            <w:r w:rsidR="00FD2005" w:rsidRPr="00972B27">
              <w:rPr>
                <w:lang w:val="fr-CA"/>
              </w:rPr>
              <w:t xml:space="preserve"> de réfrigération et des solvants </w:t>
            </w:r>
          </w:p>
        </w:tc>
        <w:tc>
          <w:tcPr>
            <w:tcW w:w="1563" w:type="dxa"/>
            <w:vAlign w:val="center"/>
          </w:tcPr>
          <w:p w14:paraId="0893EDE9" w14:textId="77777777" w:rsidR="00C13A6D" w:rsidRPr="004C2665" w:rsidRDefault="00C13A6D" w:rsidP="004E3252">
            <w:pPr>
              <w:widowControl w:val="0"/>
              <w:jc w:val="center"/>
            </w:pPr>
            <w:r w:rsidRPr="004C2665">
              <w:t>3 - 6</w:t>
            </w:r>
          </w:p>
        </w:tc>
      </w:tr>
      <w:tr w:rsidR="00C13A6D" w:rsidRPr="004C2665" w14:paraId="73F564EA" w14:textId="77777777" w:rsidTr="006F0A55">
        <w:tc>
          <w:tcPr>
            <w:tcW w:w="835" w:type="dxa"/>
            <w:vAlign w:val="center"/>
          </w:tcPr>
          <w:p w14:paraId="5346028B" w14:textId="77777777" w:rsidR="00C13A6D" w:rsidRPr="004C2665" w:rsidRDefault="00C13A6D" w:rsidP="004E3252">
            <w:pPr>
              <w:widowControl w:val="0"/>
              <w:jc w:val="center"/>
            </w:pPr>
            <w:r w:rsidRPr="004C2665">
              <w:t>II</w:t>
            </w:r>
          </w:p>
        </w:tc>
        <w:tc>
          <w:tcPr>
            <w:tcW w:w="6237" w:type="dxa"/>
            <w:vAlign w:val="center"/>
          </w:tcPr>
          <w:p w14:paraId="3FDC7034" w14:textId="1FD3AA28" w:rsidR="00C13A6D" w:rsidRPr="00972B27" w:rsidRDefault="00FD2005" w:rsidP="004E3252">
            <w:pPr>
              <w:widowControl w:val="0"/>
              <w:jc w:val="left"/>
              <w:rPr>
                <w:lang w:val="fr-CA"/>
              </w:rPr>
            </w:pPr>
            <w:r w:rsidRPr="00972B27">
              <w:rPr>
                <w:lang w:val="fr-CA"/>
              </w:rPr>
              <w:t>Rapport sur l’état d’avancement des activités figurant à la décision</w:t>
            </w:r>
            <w:r w:rsidR="003C7BA7" w:rsidRPr="00972B27">
              <w:rPr>
                <w:lang w:val="fr-CA"/>
              </w:rPr>
              <w:t> </w:t>
            </w:r>
            <w:r w:rsidR="00C13A6D" w:rsidRPr="00972B27">
              <w:rPr>
                <w:lang w:val="fr-CA"/>
              </w:rPr>
              <w:t>83/41</w:t>
            </w:r>
            <w:r w:rsidR="003C7BA7" w:rsidRPr="00972B27">
              <w:rPr>
                <w:lang w:val="fr-CA"/>
              </w:rPr>
              <w:t> </w:t>
            </w:r>
            <w:r w:rsidR="00C13A6D" w:rsidRPr="00972B27">
              <w:rPr>
                <w:lang w:val="fr-CA"/>
              </w:rPr>
              <w:t>e)</w:t>
            </w:r>
          </w:p>
        </w:tc>
        <w:tc>
          <w:tcPr>
            <w:tcW w:w="1563" w:type="dxa"/>
            <w:vAlign w:val="center"/>
          </w:tcPr>
          <w:p w14:paraId="06C94F57" w14:textId="77777777" w:rsidR="00C13A6D" w:rsidRPr="004C2665" w:rsidRDefault="00C13A6D" w:rsidP="004E3252">
            <w:pPr>
              <w:widowControl w:val="0"/>
              <w:jc w:val="center"/>
            </w:pPr>
            <w:r w:rsidRPr="004C2665">
              <w:t>7 - 10</w:t>
            </w:r>
          </w:p>
        </w:tc>
      </w:tr>
      <w:tr w:rsidR="00C13A6D" w:rsidRPr="004C2665" w14:paraId="239652C1" w14:textId="77777777" w:rsidTr="006F0A55">
        <w:tc>
          <w:tcPr>
            <w:tcW w:w="835" w:type="dxa"/>
            <w:vAlign w:val="center"/>
          </w:tcPr>
          <w:p w14:paraId="282D5A92" w14:textId="77777777" w:rsidR="00C13A6D" w:rsidRPr="004C2665" w:rsidRDefault="00C13A6D" w:rsidP="004E3252">
            <w:pPr>
              <w:widowControl w:val="0"/>
              <w:jc w:val="center"/>
            </w:pPr>
            <w:r w:rsidRPr="004C2665">
              <w:t>III</w:t>
            </w:r>
          </w:p>
        </w:tc>
        <w:tc>
          <w:tcPr>
            <w:tcW w:w="6237" w:type="dxa"/>
            <w:vAlign w:val="center"/>
          </w:tcPr>
          <w:p w14:paraId="6EF86CBA" w14:textId="52D804DA" w:rsidR="00C13A6D" w:rsidRPr="00972B27" w:rsidRDefault="003C7BA7" w:rsidP="004E3252">
            <w:pPr>
              <w:widowControl w:val="0"/>
              <w:jc w:val="left"/>
              <w:rPr>
                <w:lang w:val="fr-CA"/>
              </w:rPr>
            </w:pPr>
            <w:r w:rsidRPr="00972B27">
              <w:rPr>
                <w:lang w:val="fr-CA"/>
              </w:rPr>
              <w:t>É</w:t>
            </w:r>
            <w:r w:rsidR="00FD2005" w:rsidRPr="00972B27">
              <w:rPr>
                <w:lang w:val="fr-CA"/>
              </w:rPr>
              <w:t xml:space="preserve">tude visant </w:t>
            </w:r>
            <w:r w:rsidRPr="00972B27">
              <w:rPr>
                <w:lang w:val="fr-CA"/>
              </w:rPr>
              <w:t xml:space="preserve">à </w:t>
            </w:r>
            <w:r w:rsidR="00FD2005" w:rsidRPr="00972B27">
              <w:rPr>
                <w:lang w:val="fr-CA"/>
              </w:rPr>
              <w:t xml:space="preserve">déterminer les circonstances réglementaires, d’exécution, d’orientation ou de marché pouvant avoir mené à une utilisation </w:t>
            </w:r>
            <w:r w:rsidR="00A77F68" w:rsidRPr="00972B27">
              <w:rPr>
                <w:lang w:val="fr-CA"/>
              </w:rPr>
              <w:t xml:space="preserve">et une </w:t>
            </w:r>
            <w:r w:rsidR="00FD2005" w:rsidRPr="00972B27">
              <w:rPr>
                <w:lang w:val="fr-CA"/>
              </w:rPr>
              <w:t>production illicite</w:t>
            </w:r>
            <w:r w:rsidR="00A77F68" w:rsidRPr="00972B27">
              <w:rPr>
                <w:lang w:val="fr-CA"/>
              </w:rPr>
              <w:t>s de</w:t>
            </w:r>
            <w:r w:rsidR="00FD2005" w:rsidRPr="00972B27">
              <w:rPr>
                <w:lang w:val="fr-CA"/>
              </w:rPr>
              <w:t xml:space="preserve"> CFC-11 et CFC-12 (décision</w:t>
            </w:r>
            <w:r w:rsidR="00A77F68" w:rsidRPr="00972B27">
              <w:rPr>
                <w:lang w:val="fr-CA"/>
              </w:rPr>
              <w:t> </w:t>
            </w:r>
            <w:r w:rsidR="00C13A6D" w:rsidRPr="00972B27">
              <w:rPr>
                <w:lang w:val="fr-CA"/>
              </w:rPr>
              <w:t>83/41</w:t>
            </w:r>
            <w:r w:rsidR="00A77F68" w:rsidRPr="00972B27">
              <w:rPr>
                <w:lang w:val="fr-CA"/>
              </w:rPr>
              <w:t> </w:t>
            </w:r>
            <w:r w:rsidR="00C13A6D" w:rsidRPr="00972B27">
              <w:rPr>
                <w:lang w:val="fr-CA"/>
              </w:rPr>
              <w:t>d))</w:t>
            </w:r>
          </w:p>
        </w:tc>
        <w:tc>
          <w:tcPr>
            <w:tcW w:w="1563" w:type="dxa"/>
            <w:vAlign w:val="center"/>
          </w:tcPr>
          <w:p w14:paraId="4B7005AB" w14:textId="77777777" w:rsidR="00C13A6D" w:rsidRPr="004C2665" w:rsidRDefault="00C13A6D" w:rsidP="004E3252">
            <w:pPr>
              <w:widowControl w:val="0"/>
              <w:jc w:val="center"/>
            </w:pPr>
            <w:r w:rsidRPr="004C2665">
              <w:t>11 - 12</w:t>
            </w:r>
          </w:p>
        </w:tc>
      </w:tr>
      <w:tr w:rsidR="00C13A6D" w:rsidRPr="004C2665" w14:paraId="4147F9E9" w14:textId="77777777" w:rsidTr="006F0A55">
        <w:tc>
          <w:tcPr>
            <w:tcW w:w="835" w:type="dxa"/>
            <w:vAlign w:val="center"/>
          </w:tcPr>
          <w:p w14:paraId="58F18397" w14:textId="77777777" w:rsidR="00C13A6D" w:rsidRPr="004C2665" w:rsidRDefault="00C13A6D" w:rsidP="004E3252">
            <w:pPr>
              <w:widowControl w:val="0"/>
              <w:jc w:val="center"/>
            </w:pPr>
            <w:r w:rsidRPr="004C2665">
              <w:t>IV</w:t>
            </w:r>
          </w:p>
        </w:tc>
        <w:tc>
          <w:tcPr>
            <w:tcW w:w="6237" w:type="dxa"/>
            <w:vAlign w:val="center"/>
          </w:tcPr>
          <w:p w14:paraId="44520AA7" w14:textId="445AC74E" w:rsidR="00C13A6D" w:rsidRPr="00972B27" w:rsidRDefault="00FD2005" w:rsidP="00585107">
            <w:pPr>
              <w:widowControl w:val="0"/>
              <w:jc w:val="left"/>
              <w:rPr>
                <w:lang w:val="fr-CA"/>
              </w:rPr>
            </w:pPr>
            <w:r w:rsidRPr="00972B27">
              <w:rPr>
                <w:lang w:val="fr-CA"/>
              </w:rPr>
              <w:t xml:space="preserve">Rapport </w:t>
            </w:r>
            <w:r w:rsidR="00E72239">
              <w:rPr>
                <w:lang w:val="fr-CA"/>
              </w:rPr>
              <w:t>ac</w:t>
            </w:r>
            <w:r w:rsidR="003E0ED1">
              <w:rPr>
                <w:lang w:val="fr-CA"/>
              </w:rPr>
              <w:t>tu</w:t>
            </w:r>
            <w:r w:rsidR="00E72239">
              <w:rPr>
                <w:lang w:val="fr-CA"/>
              </w:rPr>
              <w:t>alisé</w:t>
            </w:r>
            <w:r w:rsidRPr="00972B27">
              <w:rPr>
                <w:lang w:val="fr-CA"/>
              </w:rPr>
              <w:t xml:space="preserve"> sur la production de CTC et </w:t>
            </w:r>
            <w:r w:rsidR="00585107">
              <w:rPr>
                <w:lang w:val="fr-CA"/>
              </w:rPr>
              <w:t>son</w:t>
            </w:r>
            <w:r w:rsidRPr="00972B27">
              <w:rPr>
                <w:lang w:val="fr-CA"/>
              </w:rPr>
              <w:t xml:space="preserve"> utilisation comme matière première </w:t>
            </w:r>
          </w:p>
        </w:tc>
        <w:tc>
          <w:tcPr>
            <w:tcW w:w="1563" w:type="dxa"/>
            <w:vAlign w:val="center"/>
          </w:tcPr>
          <w:p w14:paraId="1A6F777F" w14:textId="77777777" w:rsidR="00C13A6D" w:rsidRPr="004C2665" w:rsidRDefault="00C13A6D" w:rsidP="004E3252">
            <w:pPr>
              <w:widowControl w:val="0"/>
              <w:jc w:val="center"/>
            </w:pPr>
            <w:r w:rsidRPr="004C2665">
              <w:t>13 - 20</w:t>
            </w:r>
          </w:p>
        </w:tc>
      </w:tr>
      <w:tr w:rsidR="00C13A6D" w:rsidRPr="004C2665" w14:paraId="5E12DF92" w14:textId="77777777" w:rsidTr="006F0A55">
        <w:tc>
          <w:tcPr>
            <w:tcW w:w="835" w:type="dxa"/>
            <w:vAlign w:val="center"/>
          </w:tcPr>
          <w:p w14:paraId="014B3105" w14:textId="77777777" w:rsidR="00C13A6D" w:rsidRPr="004C2665" w:rsidRDefault="00C13A6D" w:rsidP="004E3252">
            <w:pPr>
              <w:widowControl w:val="0"/>
              <w:jc w:val="center"/>
            </w:pPr>
            <w:r w:rsidRPr="004C2665">
              <w:t>V</w:t>
            </w:r>
          </w:p>
        </w:tc>
        <w:tc>
          <w:tcPr>
            <w:tcW w:w="6237" w:type="dxa"/>
            <w:vAlign w:val="center"/>
          </w:tcPr>
          <w:p w14:paraId="3CA44A55" w14:textId="168347E2" w:rsidR="00C13A6D" w:rsidRPr="00972B27" w:rsidRDefault="00FD2005" w:rsidP="004E3252">
            <w:pPr>
              <w:widowControl w:val="0"/>
              <w:jc w:val="left"/>
              <w:rPr>
                <w:lang w:val="fr-CA"/>
              </w:rPr>
            </w:pPr>
            <w:r w:rsidRPr="00972B27">
              <w:rPr>
                <w:lang w:val="fr-CA"/>
              </w:rPr>
              <w:t xml:space="preserve">Plan sectoriel pour l’élimination de la production de bromure de méthyle </w:t>
            </w:r>
          </w:p>
        </w:tc>
        <w:tc>
          <w:tcPr>
            <w:tcW w:w="1563" w:type="dxa"/>
            <w:vAlign w:val="center"/>
          </w:tcPr>
          <w:p w14:paraId="05C47D98" w14:textId="77777777" w:rsidR="00C13A6D" w:rsidRPr="004C2665" w:rsidRDefault="00C13A6D" w:rsidP="004E3252">
            <w:pPr>
              <w:widowControl w:val="0"/>
              <w:jc w:val="center"/>
            </w:pPr>
            <w:r w:rsidRPr="004C2665">
              <w:t>21 - 32</w:t>
            </w:r>
          </w:p>
        </w:tc>
      </w:tr>
    </w:tbl>
    <w:p w14:paraId="4F70FDA5" w14:textId="77777777" w:rsidR="00C13A6D" w:rsidRDefault="00C13A6D" w:rsidP="00C13A6D">
      <w:pPr>
        <w:jc w:val="left"/>
      </w:pPr>
      <w:r>
        <w:br w:type="page"/>
      </w:r>
    </w:p>
    <w:p w14:paraId="3CBF82ED" w14:textId="69D4AB75" w:rsidR="00C13A6D" w:rsidRPr="00972B27" w:rsidRDefault="00C13A6D" w:rsidP="00F478B7">
      <w:pPr>
        <w:spacing w:after="240"/>
        <w:ind w:left="1440" w:hanging="1440"/>
        <w:rPr>
          <w:b/>
          <w:caps/>
          <w:lang w:val="fr-CA"/>
        </w:rPr>
      </w:pPr>
      <w:r w:rsidRPr="00972B27">
        <w:rPr>
          <w:b/>
          <w:caps/>
          <w:lang w:val="fr-CA"/>
        </w:rPr>
        <w:lastRenderedPageBreak/>
        <w:t>PART</w:t>
      </w:r>
      <w:r w:rsidR="00F478B7" w:rsidRPr="00972B27">
        <w:rPr>
          <w:b/>
          <w:caps/>
          <w:lang w:val="fr-CA"/>
        </w:rPr>
        <w:t>IE </w:t>
      </w:r>
      <w:r w:rsidRPr="00972B27">
        <w:rPr>
          <w:b/>
          <w:caps/>
          <w:lang w:val="fr-CA"/>
        </w:rPr>
        <w:t>I</w:t>
      </w:r>
      <w:r w:rsidR="00F478B7" w:rsidRPr="00972B27">
        <w:rPr>
          <w:b/>
          <w:caps/>
          <w:lang w:val="fr-CA"/>
        </w:rPr>
        <w:t> </w:t>
      </w:r>
      <w:r w:rsidRPr="00972B27">
        <w:rPr>
          <w:b/>
          <w:caps/>
          <w:lang w:val="fr-CA"/>
        </w:rPr>
        <w:t>:</w:t>
      </w:r>
      <w:r w:rsidRPr="00972B27">
        <w:rPr>
          <w:b/>
          <w:caps/>
          <w:lang w:val="fr-CA"/>
        </w:rPr>
        <w:tab/>
      </w:r>
      <w:r w:rsidR="00FD2005" w:rsidRPr="00972B27">
        <w:rPr>
          <w:b/>
          <w:caps/>
          <w:lang w:val="fr-CA"/>
        </w:rPr>
        <w:t>RAPPORT</w:t>
      </w:r>
      <w:r w:rsidR="00A77F68" w:rsidRPr="00972B27">
        <w:rPr>
          <w:b/>
          <w:caps/>
          <w:lang w:val="fr-CA"/>
        </w:rPr>
        <w:t>S</w:t>
      </w:r>
      <w:r w:rsidR="00FD2005" w:rsidRPr="00972B27">
        <w:rPr>
          <w:b/>
          <w:caps/>
          <w:lang w:val="fr-CA"/>
        </w:rPr>
        <w:t xml:space="preserve"> DE VÉRIFICATION FINANCIÈRE POUR LES SECTEURS DE LA PRODUCTION DE CFC, DES HALONS, DE LA MOUSSE</w:t>
      </w:r>
      <w:r w:rsidR="00A77F68" w:rsidRPr="00972B27">
        <w:rPr>
          <w:b/>
          <w:caps/>
          <w:lang w:val="fr-CA"/>
        </w:rPr>
        <w:t> </w:t>
      </w:r>
      <w:r w:rsidR="00FD2005" w:rsidRPr="00972B27">
        <w:rPr>
          <w:b/>
          <w:caps/>
          <w:lang w:val="fr-CA"/>
        </w:rPr>
        <w:t>PU, DE L’AGENT DE TRANSFORMATION</w:t>
      </w:r>
      <w:r w:rsidR="00A77F68" w:rsidRPr="00972B27">
        <w:rPr>
          <w:b/>
          <w:caps/>
          <w:lang w:val="fr-CA"/>
        </w:rPr>
        <w:t> </w:t>
      </w:r>
      <w:r w:rsidR="00FD2005" w:rsidRPr="00972B27">
        <w:rPr>
          <w:b/>
          <w:caps/>
          <w:lang w:val="fr-CA"/>
        </w:rPr>
        <w:t>II, DE L’ENTRETIEN DE</w:t>
      </w:r>
      <w:r w:rsidR="00E72239">
        <w:rPr>
          <w:b/>
          <w:caps/>
          <w:lang w:val="fr-CA"/>
        </w:rPr>
        <w:t xml:space="preserve"> l’Équipement</w:t>
      </w:r>
      <w:r w:rsidR="00FD2005" w:rsidRPr="00972B27">
        <w:rPr>
          <w:b/>
          <w:caps/>
          <w:lang w:val="fr-CA"/>
        </w:rPr>
        <w:t xml:space="preserve"> DE RÉFRIGÉRATION ET DES SOLVANTS </w:t>
      </w:r>
    </w:p>
    <w:p w14:paraId="1A0E8BBA" w14:textId="2CA87D24" w:rsidR="00C13A6D" w:rsidRPr="004C2665" w:rsidRDefault="00F478B7" w:rsidP="00C13A6D">
      <w:pPr>
        <w:spacing w:after="240"/>
        <w:rPr>
          <w:b/>
        </w:rPr>
      </w:pPr>
      <w:proofErr w:type="spellStart"/>
      <w:r>
        <w:rPr>
          <w:b/>
        </w:rPr>
        <w:t>Contexte</w:t>
      </w:r>
      <w:proofErr w:type="spellEnd"/>
    </w:p>
    <w:p w14:paraId="3B1318F1" w14:textId="699CD4DF" w:rsidR="00C13A6D" w:rsidRPr="00972B27" w:rsidRDefault="00FD2005" w:rsidP="00C13A6D">
      <w:pPr>
        <w:pStyle w:val="Heading1"/>
        <w:rPr>
          <w:lang w:val="fr-CA"/>
        </w:rPr>
      </w:pPr>
      <w:r w:rsidRPr="00972B27">
        <w:rPr>
          <w:lang w:val="fr-CA"/>
        </w:rPr>
        <w:t>Conformément à la décision</w:t>
      </w:r>
      <w:r w:rsidR="00A77F68" w:rsidRPr="00972B27">
        <w:rPr>
          <w:lang w:val="fr-CA"/>
        </w:rPr>
        <w:t> </w:t>
      </w:r>
      <w:r w:rsidR="00C13A6D" w:rsidRPr="00972B27">
        <w:rPr>
          <w:lang w:val="fr-CA"/>
        </w:rPr>
        <w:t>84/39</w:t>
      </w:r>
      <w:r w:rsidR="00A77F68" w:rsidRPr="00972B27">
        <w:rPr>
          <w:lang w:val="fr-CA"/>
        </w:rPr>
        <w:t> </w:t>
      </w:r>
      <w:r w:rsidR="00C13A6D" w:rsidRPr="00972B27">
        <w:rPr>
          <w:lang w:val="fr-CA"/>
        </w:rPr>
        <w:t>c)</w:t>
      </w:r>
      <w:r w:rsidR="00A77F68" w:rsidRPr="00972B27">
        <w:rPr>
          <w:lang w:val="fr-CA"/>
        </w:rPr>
        <w:t> </w:t>
      </w:r>
      <w:r w:rsidR="00C13A6D" w:rsidRPr="00972B27">
        <w:rPr>
          <w:lang w:val="fr-CA"/>
        </w:rPr>
        <w:t xml:space="preserve">i), </w:t>
      </w:r>
      <w:r w:rsidRPr="00972B27">
        <w:rPr>
          <w:lang w:val="fr-CA"/>
        </w:rPr>
        <w:t>les agences d’exécution concernée</w:t>
      </w:r>
      <w:r w:rsidR="00A77F68" w:rsidRPr="00972B27">
        <w:rPr>
          <w:lang w:val="fr-CA"/>
        </w:rPr>
        <w:t>s</w:t>
      </w:r>
      <w:r w:rsidRPr="00972B27">
        <w:rPr>
          <w:lang w:val="fr-CA"/>
        </w:rPr>
        <w:t>, au nom du gouvernement de la Chine, ont soumis à la 85</w:t>
      </w:r>
      <w:r w:rsidRPr="00972B27">
        <w:rPr>
          <w:vertAlign w:val="superscript"/>
          <w:lang w:val="fr-CA"/>
        </w:rPr>
        <w:t>e</w:t>
      </w:r>
      <w:r w:rsidR="00D77999" w:rsidRPr="00972B27">
        <w:rPr>
          <w:lang w:val="fr-CA"/>
        </w:rPr>
        <w:t> </w:t>
      </w:r>
      <w:r w:rsidRPr="00972B27">
        <w:rPr>
          <w:lang w:val="fr-CA"/>
        </w:rPr>
        <w:t>réunion les rapports de vérification financière en date du 31</w:t>
      </w:r>
      <w:r w:rsidR="00D77999" w:rsidRPr="00972B27">
        <w:rPr>
          <w:lang w:val="fr-CA"/>
        </w:rPr>
        <w:t> </w:t>
      </w:r>
      <w:r w:rsidRPr="00972B27">
        <w:rPr>
          <w:lang w:val="fr-CA"/>
        </w:rPr>
        <w:t>décembre</w:t>
      </w:r>
      <w:r w:rsidR="00D77999" w:rsidRPr="00972B27">
        <w:rPr>
          <w:lang w:val="fr-CA"/>
        </w:rPr>
        <w:t> </w:t>
      </w:r>
      <w:r w:rsidRPr="00972B27">
        <w:rPr>
          <w:lang w:val="fr-CA"/>
        </w:rPr>
        <w:t xml:space="preserve">2019; les rapports d’achèvement de projet pour les secteurs de la production de CFC, de la mousse de polyuréthane </w:t>
      </w:r>
      <w:r w:rsidR="00412479" w:rsidRPr="00972B27">
        <w:rPr>
          <w:lang w:val="fr-CA"/>
        </w:rPr>
        <w:t>(PU), de l’entretien de l’équipement de réfrigération et des solvants; les rapports finaux supplémentaires pour le</w:t>
      </w:r>
      <w:r w:rsidR="00075721" w:rsidRPr="00972B27">
        <w:rPr>
          <w:lang w:val="fr-CA"/>
        </w:rPr>
        <w:t>s</w:t>
      </w:r>
      <w:r w:rsidR="00412479" w:rsidRPr="00972B27">
        <w:rPr>
          <w:lang w:val="fr-CA"/>
        </w:rPr>
        <w:t xml:space="preserve"> secteur</w:t>
      </w:r>
      <w:r w:rsidR="00075721" w:rsidRPr="00972B27">
        <w:rPr>
          <w:lang w:val="fr-CA"/>
        </w:rPr>
        <w:t>s</w:t>
      </w:r>
      <w:r w:rsidR="00412479" w:rsidRPr="00972B27">
        <w:rPr>
          <w:lang w:val="fr-CA"/>
        </w:rPr>
        <w:t xml:space="preserve"> de l’entretien de l’équipement de réfrigération et des solvants; et une mise à jour sur l’état d’avancement dans les secteurs des halons et de l’agent de transformation</w:t>
      </w:r>
      <w:r w:rsidR="00D77999" w:rsidRPr="00972B27">
        <w:rPr>
          <w:lang w:val="fr-CA"/>
        </w:rPr>
        <w:t> </w:t>
      </w:r>
      <w:r w:rsidR="00412479" w:rsidRPr="00972B27">
        <w:rPr>
          <w:lang w:val="fr-CA"/>
        </w:rPr>
        <w:t>II.</w:t>
      </w:r>
      <w:r w:rsidR="00C13A6D" w:rsidRPr="004C2665">
        <w:rPr>
          <w:vertAlign w:val="superscript"/>
        </w:rPr>
        <w:footnoteReference w:id="2"/>
      </w:r>
      <w:r w:rsidR="00C13A6D" w:rsidRPr="00972B27">
        <w:rPr>
          <w:lang w:val="fr-CA"/>
        </w:rPr>
        <w:t xml:space="preserve"> </w:t>
      </w:r>
      <w:r w:rsidR="00412479" w:rsidRPr="00972B27">
        <w:rPr>
          <w:lang w:val="fr-CA"/>
        </w:rPr>
        <w:t xml:space="preserve">Conformément aux procédures convenues pour </w:t>
      </w:r>
      <w:r w:rsidR="00E86A53">
        <w:rPr>
          <w:lang w:val="fr-CA"/>
        </w:rPr>
        <w:t>la tenue de</w:t>
      </w:r>
      <w:r w:rsidR="00412479" w:rsidRPr="00972B27">
        <w:rPr>
          <w:lang w:val="fr-CA"/>
        </w:rPr>
        <w:t xml:space="preserve"> la 85</w:t>
      </w:r>
      <w:r w:rsidR="00412479" w:rsidRPr="00972B27">
        <w:rPr>
          <w:vertAlign w:val="superscript"/>
          <w:lang w:val="fr-CA"/>
        </w:rPr>
        <w:t>e</w:t>
      </w:r>
      <w:r w:rsidR="00D77999" w:rsidRPr="00972B27">
        <w:rPr>
          <w:lang w:val="fr-CA"/>
        </w:rPr>
        <w:t> </w:t>
      </w:r>
      <w:r w:rsidR="00412479" w:rsidRPr="00972B27">
        <w:rPr>
          <w:lang w:val="fr-CA"/>
        </w:rPr>
        <w:t>réunion, cette question a été examinée lors de la 86</w:t>
      </w:r>
      <w:r w:rsidR="00412479" w:rsidRPr="00972B27">
        <w:rPr>
          <w:vertAlign w:val="superscript"/>
          <w:lang w:val="fr-CA"/>
        </w:rPr>
        <w:t>e</w:t>
      </w:r>
      <w:r w:rsidR="00D77999" w:rsidRPr="00972B27">
        <w:rPr>
          <w:lang w:val="fr-CA"/>
        </w:rPr>
        <w:t> </w:t>
      </w:r>
      <w:r w:rsidR="00412479" w:rsidRPr="00972B27">
        <w:rPr>
          <w:lang w:val="fr-CA"/>
        </w:rPr>
        <w:t xml:space="preserve">réunion, au cours de laquelle le Comité exécutif a notamment </w:t>
      </w:r>
      <w:r w:rsidR="00E72239">
        <w:rPr>
          <w:lang w:val="fr-CA"/>
        </w:rPr>
        <w:t>pris note d</w:t>
      </w:r>
      <w:r w:rsidR="00412479" w:rsidRPr="00972B27">
        <w:rPr>
          <w:lang w:val="fr-CA"/>
        </w:rPr>
        <w:t xml:space="preserve">es rapports de vérification financière et </w:t>
      </w:r>
      <w:r w:rsidR="00E72239">
        <w:rPr>
          <w:lang w:val="fr-CA"/>
        </w:rPr>
        <w:t xml:space="preserve">de </w:t>
      </w:r>
      <w:r w:rsidR="00412479" w:rsidRPr="00972B27">
        <w:rPr>
          <w:lang w:val="fr-CA"/>
        </w:rPr>
        <w:t>la restitution de soldes par la Banque mondiale (secteur</w:t>
      </w:r>
      <w:r w:rsidR="00075721" w:rsidRPr="00972B27">
        <w:rPr>
          <w:lang w:val="fr-CA"/>
        </w:rPr>
        <w:t>s</w:t>
      </w:r>
      <w:r w:rsidR="00412479" w:rsidRPr="00972B27">
        <w:rPr>
          <w:lang w:val="fr-CA"/>
        </w:rPr>
        <w:t xml:space="preserve"> de la production de </w:t>
      </w:r>
      <w:r w:rsidR="00E72239">
        <w:rPr>
          <w:lang w:val="fr-CA"/>
        </w:rPr>
        <w:t>CFC</w:t>
      </w:r>
      <w:r w:rsidR="00075721" w:rsidRPr="00972B27">
        <w:rPr>
          <w:lang w:val="fr-CA"/>
        </w:rPr>
        <w:t xml:space="preserve"> et de la mousse PU</w:t>
      </w:r>
      <w:r w:rsidR="00412479" w:rsidRPr="00972B27">
        <w:rPr>
          <w:lang w:val="fr-CA"/>
        </w:rPr>
        <w:t>), l’ONUDI (secteur de l’entretien de l’équipement de réfrigération) et le PNUD (secteur des solvants à base de CFC); et a demandé à l’</w:t>
      </w:r>
      <w:r w:rsidR="00075721" w:rsidRPr="00972B27">
        <w:rPr>
          <w:lang w:val="fr-CA"/>
        </w:rPr>
        <w:t>A</w:t>
      </w:r>
      <w:r w:rsidR="00412479" w:rsidRPr="00972B27">
        <w:rPr>
          <w:lang w:val="fr-CA"/>
        </w:rPr>
        <w:t xml:space="preserve">dministrateur principal, suivi et évaluation de </w:t>
      </w:r>
      <w:r w:rsidR="002923DD">
        <w:rPr>
          <w:lang w:val="fr-CA"/>
        </w:rPr>
        <w:t xml:space="preserve">collaborer </w:t>
      </w:r>
      <w:r w:rsidR="00412479" w:rsidRPr="00972B27">
        <w:rPr>
          <w:lang w:val="fr-CA"/>
        </w:rPr>
        <w:t xml:space="preserve">avec l’agence d’exécution responsable pour assurer que les </w:t>
      </w:r>
      <w:r w:rsidR="002923DD">
        <w:rPr>
          <w:lang w:val="fr-CA"/>
        </w:rPr>
        <w:t>rapports d’achèvement de projet (</w:t>
      </w:r>
      <w:r w:rsidR="00075721" w:rsidRPr="00972B27">
        <w:rPr>
          <w:lang w:val="fr-CA"/>
        </w:rPr>
        <w:t>RAP</w:t>
      </w:r>
      <w:r w:rsidR="002923DD">
        <w:rPr>
          <w:lang w:val="fr-CA"/>
        </w:rPr>
        <w:t>)</w:t>
      </w:r>
      <w:r w:rsidR="00075721" w:rsidRPr="00972B27">
        <w:rPr>
          <w:lang w:val="fr-CA"/>
        </w:rPr>
        <w:t xml:space="preserve"> </w:t>
      </w:r>
      <w:r w:rsidR="00412479" w:rsidRPr="00972B27">
        <w:rPr>
          <w:lang w:val="fr-CA"/>
        </w:rPr>
        <w:t>sur les plans sectoriels pour la production de CFC, la mousse</w:t>
      </w:r>
      <w:r w:rsidR="00075721" w:rsidRPr="00972B27">
        <w:rPr>
          <w:lang w:val="fr-CA"/>
        </w:rPr>
        <w:t> </w:t>
      </w:r>
      <w:r w:rsidR="00412479" w:rsidRPr="00972B27">
        <w:rPr>
          <w:lang w:val="fr-CA"/>
        </w:rPr>
        <w:t xml:space="preserve">PU, l’entretien de l’équipement de réfrigération et les solvants tiennent compte des décaissements aux bénéficiaires </w:t>
      </w:r>
      <w:r w:rsidR="002923DD">
        <w:rPr>
          <w:lang w:val="fr-CA"/>
        </w:rPr>
        <w:t>ultimes</w:t>
      </w:r>
      <w:r w:rsidR="00412479" w:rsidRPr="00972B27">
        <w:rPr>
          <w:lang w:val="fr-CA"/>
        </w:rPr>
        <w:t>, conformément aux informations figurant dans les rapports de vérification financière soumis à la 86</w:t>
      </w:r>
      <w:r w:rsidR="00412479" w:rsidRPr="00972B27">
        <w:rPr>
          <w:vertAlign w:val="superscript"/>
          <w:lang w:val="fr-CA"/>
        </w:rPr>
        <w:t>e</w:t>
      </w:r>
      <w:r w:rsidR="00D77999" w:rsidRPr="00972B27">
        <w:rPr>
          <w:lang w:val="fr-CA"/>
        </w:rPr>
        <w:t> </w:t>
      </w:r>
      <w:r w:rsidR="00412479" w:rsidRPr="00972B27">
        <w:rPr>
          <w:lang w:val="fr-CA"/>
        </w:rPr>
        <w:t>réunion (décision</w:t>
      </w:r>
      <w:r w:rsidR="00D77999" w:rsidRPr="00972B27">
        <w:rPr>
          <w:lang w:val="fr-CA"/>
        </w:rPr>
        <w:t> </w:t>
      </w:r>
      <w:r w:rsidR="00412479" w:rsidRPr="00972B27">
        <w:rPr>
          <w:lang w:val="fr-CA"/>
        </w:rPr>
        <w:t>86/41).</w:t>
      </w:r>
    </w:p>
    <w:p w14:paraId="66B09C22" w14:textId="108E0CFF" w:rsidR="00C13A6D" w:rsidRPr="00972B27" w:rsidRDefault="003B56DF" w:rsidP="003E4C19">
      <w:pPr>
        <w:pStyle w:val="Heading1"/>
        <w:rPr>
          <w:lang w:val="fr-CA"/>
        </w:rPr>
      </w:pPr>
      <w:r w:rsidRPr="00972B27">
        <w:rPr>
          <w:lang w:val="fr-CA"/>
        </w:rPr>
        <w:t>Au nom du gouvernement de la Chine, la Banque mondiale</w:t>
      </w:r>
      <w:r w:rsidR="00D77999" w:rsidRPr="00972B27">
        <w:rPr>
          <w:lang w:val="fr-CA"/>
        </w:rPr>
        <w:t xml:space="preserve"> a</w:t>
      </w:r>
      <w:r w:rsidRPr="00972B27">
        <w:rPr>
          <w:lang w:val="fr-CA"/>
        </w:rPr>
        <w:t xml:space="preserve"> présenté à la 87</w:t>
      </w:r>
      <w:r w:rsidRPr="00972B27">
        <w:rPr>
          <w:vertAlign w:val="superscript"/>
          <w:lang w:val="fr-CA"/>
        </w:rPr>
        <w:t>e</w:t>
      </w:r>
      <w:r w:rsidR="00D77999" w:rsidRPr="00972B27">
        <w:rPr>
          <w:lang w:val="fr-CA"/>
        </w:rPr>
        <w:t> </w:t>
      </w:r>
      <w:r w:rsidRPr="00972B27">
        <w:rPr>
          <w:lang w:val="fr-CA"/>
        </w:rPr>
        <w:t>réunion le</w:t>
      </w:r>
      <w:r w:rsidR="006370DD" w:rsidRPr="00972B27">
        <w:rPr>
          <w:lang w:val="fr-CA"/>
        </w:rPr>
        <w:t>s</w:t>
      </w:r>
      <w:r w:rsidRPr="00972B27">
        <w:rPr>
          <w:lang w:val="fr-CA"/>
        </w:rPr>
        <w:t xml:space="preserve"> rapport</w:t>
      </w:r>
      <w:r w:rsidR="006370DD" w:rsidRPr="00972B27">
        <w:rPr>
          <w:lang w:val="fr-CA"/>
        </w:rPr>
        <w:t>s</w:t>
      </w:r>
      <w:r w:rsidRPr="00972B27">
        <w:rPr>
          <w:lang w:val="fr-CA"/>
        </w:rPr>
        <w:t xml:space="preserve"> de vérification financière en date du 31</w:t>
      </w:r>
      <w:r w:rsidR="00D77999" w:rsidRPr="00972B27">
        <w:rPr>
          <w:lang w:val="fr-CA"/>
        </w:rPr>
        <w:t> </w:t>
      </w:r>
      <w:r w:rsidRPr="00972B27">
        <w:rPr>
          <w:lang w:val="fr-CA"/>
        </w:rPr>
        <w:t>décembre</w:t>
      </w:r>
      <w:r w:rsidR="00D77999" w:rsidRPr="00972B27">
        <w:rPr>
          <w:lang w:val="fr-CA"/>
        </w:rPr>
        <w:t> </w:t>
      </w:r>
      <w:r w:rsidRPr="00972B27">
        <w:rPr>
          <w:lang w:val="fr-CA"/>
        </w:rPr>
        <w:t>2020 pour les secteurs des halons et de l’agent de transformation</w:t>
      </w:r>
      <w:r w:rsidR="00D77999" w:rsidRPr="00972B27">
        <w:rPr>
          <w:lang w:val="fr-CA"/>
        </w:rPr>
        <w:t> </w:t>
      </w:r>
      <w:r w:rsidRPr="00972B27">
        <w:rPr>
          <w:lang w:val="fr-CA"/>
        </w:rPr>
        <w:t>II, et les rapports d’achèvement de projet correspondant</w:t>
      </w:r>
      <w:r w:rsidR="006370DD" w:rsidRPr="00972B27">
        <w:rPr>
          <w:lang w:val="fr-CA"/>
        </w:rPr>
        <w:t>s</w:t>
      </w:r>
      <w:r w:rsidRPr="00972B27">
        <w:rPr>
          <w:lang w:val="fr-CA"/>
        </w:rPr>
        <w:t>, conformément à la décision</w:t>
      </w:r>
      <w:r w:rsidR="00D77999" w:rsidRPr="00972B27">
        <w:rPr>
          <w:lang w:val="fr-CA"/>
        </w:rPr>
        <w:t> </w:t>
      </w:r>
      <w:r w:rsidRPr="00972B27">
        <w:rPr>
          <w:lang w:val="fr-CA"/>
        </w:rPr>
        <w:t>86/41. Le Secrétariat a indiqué que les rapports d’achèvement de projet pour les plans des secteurs de la production de CFC, de la mousse</w:t>
      </w:r>
      <w:r w:rsidR="006370DD" w:rsidRPr="00972B27">
        <w:rPr>
          <w:lang w:val="fr-CA"/>
        </w:rPr>
        <w:t> </w:t>
      </w:r>
      <w:r w:rsidRPr="00972B27">
        <w:rPr>
          <w:lang w:val="fr-CA"/>
        </w:rPr>
        <w:t>PU, des halons et de l’agent de transformation</w:t>
      </w:r>
      <w:r w:rsidR="00D77999" w:rsidRPr="00972B27">
        <w:rPr>
          <w:lang w:val="fr-CA"/>
        </w:rPr>
        <w:t> </w:t>
      </w:r>
      <w:r w:rsidRPr="00972B27">
        <w:rPr>
          <w:lang w:val="fr-CA"/>
        </w:rPr>
        <w:t>II renferma</w:t>
      </w:r>
      <w:r w:rsidR="006370DD" w:rsidRPr="00972B27">
        <w:rPr>
          <w:lang w:val="fr-CA"/>
        </w:rPr>
        <w:t>ien</w:t>
      </w:r>
      <w:r w:rsidRPr="00972B27">
        <w:rPr>
          <w:lang w:val="fr-CA"/>
        </w:rPr>
        <w:t>t des données financières conformes au</w:t>
      </w:r>
      <w:r w:rsidR="006370DD" w:rsidRPr="00972B27">
        <w:rPr>
          <w:lang w:val="fr-CA"/>
        </w:rPr>
        <w:t>x</w:t>
      </w:r>
      <w:r w:rsidRPr="00972B27">
        <w:rPr>
          <w:lang w:val="fr-CA"/>
        </w:rPr>
        <w:t xml:space="preserve"> rapport</w:t>
      </w:r>
      <w:r w:rsidR="006370DD" w:rsidRPr="00972B27">
        <w:rPr>
          <w:lang w:val="fr-CA"/>
        </w:rPr>
        <w:t>s</w:t>
      </w:r>
      <w:r w:rsidRPr="00972B27">
        <w:rPr>
          <w:lang w:val="fr-CA"/>
        </w:rPr>
        <w:t xml:space="preserve"> de vérification financière respectifs, et </w:t>
      </w:r>
      <w:r w:rsidR="00703136">
        <w:rPr>
          <w:lang w:val="fr-CA"/>
        </w:rPr>
        <w:t xml:space="preserve">à </w:t>
      </w:r>
      <w:r w:rsidRPr="00972B27">
        <w:rPr>
          <w:lang w:val="fr-CA"/>
        </w:rPr>
        <w:t>la restitution des soldes restants au Fonds multilatéral; toutefois, des rapports semblables n’ont pas été inclus dans les rapports d’achèvement de projet pour les plans des secteurs de l’entretien de l’équipement de réfrigération et des solvants qui ont été achevés en décembre</w:t>
      </w:r>
      <w:r w:rsidR="00D77999" w:rsidRPr="00972B27">
        <w:rPr>
          <w:lang w:val="fr-CA"/>
        </w:rPr>
        <w:t> </w:t>
      </w:r>
      <w:r w:rsidRPr="00972B27">
        <w:rPr>
          <w:lang w:val="fr-CA"/>
        </w:rPr>
        <w:t>2019. Le Comité a par conséquent noté que l’</w:t>
      </w:r>
      <w:r w:rsidR="006370DD" w:rsidRPr="00972B27">
        <w:rPr>
          <w:lang w:val="fr-CA"/>
        </w:rPr>
        <w:t>A</w:t>
      </w:r>
      <w:r w:rsidRPr="00972B27">
        <w:rPr>
          <w:lang w:val="fr-CA"/>
        </w:rPr>
        <w:t>dministrateur principal, suivi et évaluation, continuera de collaborer avec les agences d’exécution concernée</w:t>
      </w:r>
      <w:r w:rsidR="006370DD" w:rsidRPr="00972B27">
        <w:rPr>
          <w:lang w:val="fr-CA"/>
        </w:rPr>
        <w:t>s</w:t>
      </w:r>
      <w:r w:rsidRPr="00972B27">
        <w:rPr>
          <w:lang w:val="fr-CA"/>
        </w:rPr>
        <w:t xml:space="preserve">, afin de s’assurer que les </w:t>
      </w:r>
      <w:r w:rsidR="006370DD" w:rsidRPr="00972B27">
        <w:rPr>
          <w:lang w:val="fr-CA"/>
        </w:rPr>
        <w:t>RAP</w:t>
      </w:r>
      <w:r w:rsidRPr="00972B27">
        <w:rPr>
          <w:lang w:val="fr-CA"/>
        </w:rPr>
        <w:t xml:space="preserve"> soumis pour les plans des secteurs de l’entretien d</w:t>
      </w:r>
      <w:r w:rsidR="006370DD" w:rsidRPr="00972B27">
        <w:rPr>
          <w:lang w:val="fr-CA"/>
        </w:rPr>
        <w:t>e l</w:t>
      </w:r>
      <w:r w:rsidRPr="00972B27">
        <w:rPr>
          <w:lang w:val="fr-CA"/>
        </w:rPr>
        <w:t xml:space="preserve">’équipement de réfrigération et des solvants tiennent compte des décaissements aux bénéficiaires finaux, en accord avec les renseignements figurant dans les rapports de vérification financière </w:t>
      </w:r>
      <w:r w:rsidR="00A572FA" w:rsidRPr="00972B27">
        <w:rPr>
          <w:lang w:val="fr-CA"/>
        </w:rPr>
        <w:t>présenté</w:t>
      </w:r>
      <w:r w:rsidR="007B651C" w:rsidRPr="00972B27">
        <w:rPr>
          <w:lang w:val="fr-CA"/>
        </w:rPr>
        <w:t>s</w:t>
      </w:r>
      <w:r w:rsidR="00A572FA" w:rsidRPr="00972B27">
        <w:rPr>
          <w:lang w:val="fr-CA"/>
        </w:rPr>
        <w:t xml:space="preserve"> à la 86</w:t>
      </w:r>
      <w:r w:rsidR="00A572FA" w:rsidRPr="00972B27">
        <w:rPr>
          <w:vertAlign w:val="superscript"/>
          <w:lang w:val="fr-CA"/>
        </w:rPr>
        <w:t>e</w:t>
      </w:r>
      <w:r w:rsidR="00D77999" w:rsidRPr="00972B27">
        <w:rPr>
          <w:lang w:val="fr-CA"/>
        </w:rPr>
        <w:t> </w:t>
      </w:r>
      <w:r w:rsidR="00A572FA" w:rsidRPr="00972B27">
        <w:rPr>
          <w:lang w:val="fr-CA"/>
        </w:rPr>
        <w:t>réunion (décision</w:t>
      </w:r>
      <w:r w:rsidR="00D77999" w:rsidRPr="00972B27">
        <w:rPr>
          <w:lang w:val="fr-CA"/>
        </w:rPr>
        <w:t> </w:t>
      </w:r>
      <w:r w:rsidR="00A572FA" w:rsidRPr="00972B27">
        <w:rPr>
          <w:lang w:val="fr-CA"/>
        </w:rPr>
        <w:t xml:space="preserve">87/24). </w:t>
      </w:r>
    </w:p>
    <w:p w14:paraId="2062A23D" w14:textId="335D4740" w:rsidR="00C13A6D" w:rsidRPr="004C2665" w:rsidRDefault="00F478B7" w:rsidP="00C13A6D">
      <w:pPr>
        <w:rPr>
          <w:b/>
        </w:rPr>
      </w:pPr>
      <w:r>
        <w:rPr>
          <w:b/>
        </w:rPr>
        <w:t xml:space="preserve">Rapport </w:t>
      </w:r>
      <w:proofErr w:type="spellStart"/>
      <w:r>
        <w:rPr>
          <w:b/>
        </w:rPr>
        <w:t>périodique</w:t>
      </w:r>
      <w:proofErr w:type="spellEnd"/>
    </w:p>
    <w:p w14:paraId="02F6C87E" w14:textId="77777777" w:rsidR="00C13A6D" w:rsidRPr="004C2665" w:rsidRDefault="00C13A6D" w:rsidP="00C13A6D"/>
    <w:p w14:paraId="50764471" w14:textId="6BC7ACDA" w:rsidR="00C13A6D" w:rsidRPr="00972B27" w:rsidRDefault="00A572FA" w:rsidP="00C13A6D">
      <w:pPr>
        <w:pStyle w:val="Heading1"/>
        <w:rPr>
          <w:lang w:val="fr-CA"/>
        </w:rPr>
      </w:pPr>
      <w:r w:rsidRPr="00972B27">
        <w:rPr>
          <w:lang w:val="fr-CA"/>
        </w:rPr>
        <w:t>En réponse à la décision</w:t>
      </w:r>
      <w:r w:rsidR="00D77999" w:rsidRPr="00972B27">
        <w:rPr>
          <w:lang w:val="fr-CA"/>
        </w:rPr>
        <w:t> </w:t>
      </w:r>
      <w:r w:rsidRPr="00972B27">
        <w:rPr>
          <w:lang w:val="fr-CA"/>
        </w:rPr>
        <w:t>87/</w:t>
      </w:r>
      <w:r w:rsidR="007B651C" w:rsidRPr="00972B27">
        <w:rPr>
          <w:lang w:val="fr-CA"/>
        </w:rPr>
        <w:t>24</w:t>
      </w:r>
      <w:r w:rsidRPr="00972B27">
        <w:rPr>
          <w:lang w:val="fr-CA"/>
        </w:rPr>
        <w:t>, l’</w:t>
      </w:r>
      <w:r w:rsidR="007B651C" w:rsidRPr="00972B27">
        <w:rPr>
          <w:lang w:val="fr-CA"/>
        </w:rPr>
        <w:t>A</w:t>
      </w:r>
      <w:r w:rsidRPr="00972B27">
        <w:rPr>
          <w:lang w:val="fr-CA"/>
        </w:rPr>
        <w:t>dministrateur principal, suivi et évaluation a communiqué avec le</w:t>
      </w:r>
      <w:r w:rsidR="007B651C" w:rsidRPr="00972B27">
        <w:rPr>
          <w:lang w:val="fr-CA"/>
        </w:rPr>
        <w:t>s</w:t>
      </w:r>
      <w:r w:rsidRPr="00972B27">
        <w:rPr>
          <w:lang w:val="fr-CA"/>
        </w:rPr>
        <w:t xml:space="preserve"> représentant</w:t>
      </w:r>
      <w:r w:rsidR="007B651C" w:rsidRPr="00972B27">
        <w:rPr>
          <w:lang w:val="fr-CA"/>
        </w:rPr>
        <w:t>s</w:t>
      </w:r>
      <w:r w:rsidRPr="00972B27">
        <w:rPr>
          <w:lang w:val="fr-CA"/>
        </w:rPr>
        <w:t xml:space="preserve"> du PNUD, de l’ONUDI et de la Banque mondiale afin de donner des indications sur la mise à jour des décaissements aux bénéficiaires finaux dans leur</w:t>
      </w:r>
      <w:r w:rsidR="007B651C" w:rsidRPr="00972B27">
        <w:rPr>
          <w:lang w:val="fr-CA"/>
        </w:rPr>
        <w:t>s</w:t>
      </w:r>
      <w:r w:rsidRPr="00972B27">
        <w:rPr>
          <w:lang w:val="fr-CA"/>
        </w:rPr>
        <w:t xml:space="preserve"> RAP soumis précédemment, en accord avec les renseignements figurant dans le</w:t>
      </w:r>
      <w:r w:rsidR="007B651C" w:rsidRPr="00972B27">
        <w:rPr>
          <w:lang w:val="fr-CA"/>
        </w:rPr>
        <w:t>s</w:t>
      </w:r>
      <w:r w:rsidRPr="00972B27">
        <w:rPr>
          <w:lang w:val="fr-CA"/>
        </w:rPr>
        <w:t xml:space="preserve"> rapport</w:t>
      </w:r>
      <w:r w:rsidR="007B651C" w:rsidRPr="00972B27">
        <w:rPr>
          <w:lang w:val="fr-CA"/>
        </w:rPr>
        <w:t>s</w:t>
      </w:r>
      <w:r w:rsidRPr="00972B27">
        <w:rPr>
          <w:lang w:val="fr-CA"/>
        </w:rPr>
        <w:t xml:space="preserve"> de vérification financière. Au moment de la publication du présent document, les agences d’exécution étaient en train d’actualiser l’information dans leur</w:t>
      </w:r>
      <w:r w:rsidR="007B651C" w:rsidRPr="00972B27">
        <w:rPr>
          <w:lang w:val="fr-CA"/>
        </w:rPr>
        <w:t xml:space="preserve"> RAP</w:t>
      </w:r>
      <w:r w:rsidRPr="00972B27">
        <w:rPr>
          <w:lang w:val="fr-CA"/>
        </w:rPr>
        <w:t xml:space="preserve"> respectif; lorsque la tâche sera terminée, les agences présenteront les </w:t>
      </w:r>
      <w:r w:rsidR="005978FE" w:rsidRPr="00972B27">
        <w:rPr>
          <w:lang w:val="fr-CA"/>
        </w:rPr>
        <w:t>R</w:t>
      </w:r>
      <w:r w:rsidRPr="00972B27">
        <w:rPr>
          <w:lang w:val="fr-CA"/>
        </w:rPr>
        <w:t>AP révisés au Secrétariat.</w:t>
      </w:r>
      <w:r w:rsidR="00C13A6D" w:rsidRPr="00972B27">
        <w:rPr>
          <w:lang w:val="fr-CA"/>
        </w:rPr>
        <w:t xml:space="preserve"> </w:t>
      </w:r>
    </w:p>
    <w:p w14:paraId="642C8582" w14:textId="1EE4DD9A" w:rsidR="00C13A6D" w:rsidRPr="004C2665" w:rsidRDefault="00C13A6D" w:rsidP="00E13515">
      <w:pPr>
        <w:keepNext/>
        <w:keepLines/>
        <w:widowControl w:val="0"/>
        <w:spacing w:after="240"/>
        <w:rPr>
          <w:b/>
          <w:bCs/>
        </w:rPr>
      </w:pPr>
      <w:proofErr w:type="spellStart"/>
      <w:r w:rsidRPr="004C2665">
        <w:rPr>
          <w:b/>
          <w:bCs/>
        </w:rPr>
        <w:lastRenderedPageBreak/>
        <w:t>Recomm</w:t>
      </w:r>
      <w:r w:rsidR="00F478B7">
        <w:rPr>
          <w:b/>
          <w:bCs/>
        </w:rPr>
        <w:t>a</w:t>
      </w:r>
      <w:r w:rsidRPr="004C2665">
        <w:rPr>
          <w:b/>
          <w:bCs/>
        </w:rPr>
        <w:t>ndation</w:t>
      </w:r>
      <w:proofErr w:type="spellEnd"/>
    </w:p>
    <w:p w14:paraId="1B0AB0A2" w14:textId="1AE39EE9" w:rsidR="00C13A6D" w:rsidRPr="00972B27" w:rsidRDefault="00A572FA" w:rsidP="00E13515">
      <w:pPr>
        <w:pStyle w:val="Heading1"/>
        <w:keepNext/>
        <w:keepLines/>
        <w:widowControl w:val="0"/>
        <w:rPr>
          <w:lang w:val="fr-CA"/>
        </w:rPr>
      </w:pPr>
      <w:r w:rsidRPr="00972B27">
        <w:rPr>
          <w:lang w:val="fr-CA"/>
        </w:rPr>
        <w:t>Le Comité exécutif pourrait souhaiter prendre note :</w:t>
      </w:r>
    </w:p>
    <w:p w14:paraId="0426F99E" w14:textId="612A1DCA" w:rsidR="00C13A6D" w:rsidRPr="00972B27" w:rsidRDefault="00A572FA" w:rsidP="003E4C19">
      <w:pPr>
        <w:pStyle w:val="Heading2"/>
        <w:rPr>
          <w:lang w:val="fr-CA"/>
        </w:rPr>
      </w:pPr>
      <w:r w:rsidRPr="00972B27">
        <w:rPr>
          <w:lang w:val="fr-CA"/>
        </w:rPr>
        <w:t>Du rapport sur l’état d’avancement des décisions</w:t>
      </w:r>
      <w:r w:rsidR="00D77999" w:rsidRPr="00972B27">
        <w:rPr>
          <w:lang w:val="fr-CA"/>
        </w:rPr>
        <w:t> </w:t>
      </w:r>
      <w:r w:rsidRPr="00972B27">
        <w:rPr>
          <w:lang w:val="fr-CA"/>
        </w:rPr>
        <w:t>86/41</w:t>
      </w:r>
      <w:r w:rsidR="005978FE" w:rsidRPr="00972B27">
        <w:rPr>
          <w:lang w:val="fr-CA"/>
        </w:rPr>
        <w:t> c</w:t>
      </w:r>
      <w:r w:rsidRPr="00972B27">
        <w:rPr>
          <w:lang w:val="fr-CA"/>
        </w:rPr>
        <w:t>) et 87/24</w:t>
      </w:r>
      <w:r w:rsidR="005978FE" w:rsidRPr="00972B27">
        <w:rPr>
          <w:lang w:val="fr-CA"/>
        </w:rPr>
        <w:t> c</w:t>
      </w:r>
      <w:r w:rsidRPr="00972B27">
        <w:rPr>
          <w:lang w:val="fr-CA"/>
        </w:rPr>
        <w:t xml:space="preserve">) </w:t>
      </w:r>
      <w:r w:rsidR="002C7318" w:rsidRPr="00972B27">
        <w:rPr>
          <w:lang w:val="fr-CA"/>
        </w:rPr>
        <w:t>relatives au</w:t>
      </w:r>
      <w:r w:rsidR="005978FE" w:rsidRPr="00972B27">
        <w:rPr>
          <w:lang w:val="fr-CA"/>
        </w:rPr>
        <w:t>x</w:t>
      </w:r>
      <w:r w:rsidR="002C7318" w:rsidRPr="00972B27">
        <w:rPr>
          <w:lang w:val="fr-CA"/>
        </w:rPr>
        <w:t xml:space="preserve"> rapport</w:t>
      </w:r>
      <w:r w:rsidR="005978FE" w:rsidRPr="00972B27">
        <w:rPr>
          <w:lang w:val="fr-CA"/>
        </w:rPr>
        <w:t>s</w:t>
      </w:r>
      <w:r w:rsidR="002C7318" w:rsidRPr="00972B27">
        <w:rPr>
          <w:lang w:val="fr-CA"/>
        </w:rPr>
        <w:t xml:space="preserve"> d’achèvement de projet (</w:t>
      </w:r>
      <w:r w:rsidR="005978FE" w:rsidRPr="00972B27">
        <w:rPr>
          <w:lang w:val="fr-CA"/>
        </w:rPr>
        <w:t>RAP</w:t>
      </w:r>
      <w:r w:rsidR="002C7318" w:rsidRPr="00972B27">
        <w:rPr>
          <w:lang w:val="fr-CA"/>
        </w:rPr>
        <w:t>) pour les plans des secteurs de la production de CFC, de la mousse de polyuréthane, de l’agent de transformation</w:t>
      </w:r>
      <w:r w:rsidR="00D77999" w:rsidRPr="00972B27">
        <w:rPr>
          <w:lang w:val="fr-CA"/>
        </w:rPr>
        <w:t> </w:t>
      </w:r>
      <w:r w:rsidR="002C7318" w:rsidRPr="00972B27">
        <w:rPr>
          <w:lang w:val="fr-CA"/>
        </w:rPr>
        <w:t>II, des halons, de l’entretien de l’équipement de réfrigération et des solvants pour la Chine, figurant dans le document</w:t>
      </w:r>
      <w:r w:rsidR="005978FE" w:rsidRPr="00972B27">
        <w:rPr>
          <w:lang w:val="fr-CA"/>
        </w:rPr>
        <w:t> </w:t>
      </w:r>
      <w:r w:rsidR="00C13A6D" w:rsidRPr="00972B27">
        <w:rPr>
          <w:lang w:val="fr-CA"/>
        </w:rPr>
        <w:t>UNEP/</w:t>
      </w:r>
      <w:proofErr w:type="spellStart"/>
      <w:r w:rsidR="00C13A6D" w:rsidRPr="00972B27">
        <w:rPr>
          <w:lang w:val="fr-CA"/>
        </w:rPr>
        <w:t>OzL.Pro</w:t>
      </w:r>
      <w:proofErr w:type="spellEnd"/>
      <w:r w:rsidR="00C13A6D" w:rsidRPr="00972B27">
        <w:rPr>
          <w:lang w:val="fr-CA"/>
        </w:rPr>
        <w:t>/</w:t>
      </w:r>
      <w:proofErr w:type="spellStart"/>
      <w:r w:rsidR="00C13A6D" w:rsidRPr="00972B27">
        <w:rPr>
          <w:lang w:val="fr-CA"/>
        </w:rPr>
        <w:t>ExCom</w:t>
      </w:r>
      <w:proofErr w:type="spellEnd"/>
      <w:r w:rsidR="00C13A6D" w:rsidRPr="00972B27">
        <w:rPr>
          <w:lang w:val="fr-CA"/>
        </w:rPr>
        <w:t xml:space="preserve">/88/18/Add.1; </w:t>
      </w:r>
    </w:p>
    <w:p w14:paraId="6642CFCE" w14:textId="5638AEDC" w:rsidR="00C13A6D" w:rsidRPr="00972B27" w:rsidRDefault="002C7318" w:rsidP="003E4C19">
      <w:pPr>
        <w:pStyle w:val="Heading2"/>
        <w:rPr>
          <w:lang w:val="fr-CA"/>
        </w:rPr>
      </w:pPr>
      <w:r w:rsidRPr="00972B27">
        <w:rPr>
          <w:lang w:val="fr-CA"/>
        </w:rPr>
        <w:t>Du fait que le PNUD, l’ONUDI et la Banque mondiale sont en train de mettre à jour les R</w:t>
      </w:r>
      <w:r w:rsidR="005978FE" w:rsidRPr="00972B27">
        <w:rPr>
          <w:lang w:val="fr-CA"/>
        </w:rPr>
        <w:t>AP</w:t>
      </w:r>
      <w:r w:rsidRPr="00972B27">
        <w:rPr>
          <w:lang w:val="fr-CA"/>
        </w:rPr>
        <w:t xml:space="preserve"> </w:t>
      </w:r>
      <w:r w:rsidR="00703136">
        <w:rPr>
          <w:lang w:val="fr-CA"/>
        </w:rPr>
        <w:t>mentionnés</w:t>
      </w:r>
      <w:r w:rsidR="005978FE" w:rsidRPr="00972B27">
        <w:rPr>
          <w:lang w:val="fr-CA"/>
        </w:rPr>
        <w:t xml:space="preserve"> à</w:t>
      </w:r>
      <w:r w:rsidRPr="00972B27">
        <w:rPr>
          <w:lang w:val="fr-CA"/>
        </w:rPr>
        <w:t xml:space="preserve"> l’alinéa</w:t>
      </w:r>
      <w:r w:rsidR="005978FE" w:rsidRPr="00972B27">
        <w:rPr>
          <w:lang w:val="fr-CA"/>
        </w:rPr>
        <w:t> </w:t>
      </w:r>
      <w:r w:rsidRPr="00972B27">
        <w:rPr>
          <w:lang w:val="fr-CA"/>
        </w:rPr>
        <w:t xml:space="preserve">a) ci-dessus, et que le </w:t>
      </w:r>
      <w:r w:rsidR="005978FE" w:rsidRPr="00972B27">
        <w:rPr>
          <w:lang w:val="fr-CA"/>
        </w:rPr>
        <w:t>S</w:t>
      </w:r>
      <w:r w:rsidRPr="00972B27">
        <w:rPr>
          <w:lang w:val="fr-CA"/>
        </w:rPr>
        <w:t xml:space="preserve">ecrétariat fera rapport </w:t>
      </w:r>
      <w:r w:rsidR="00703136">
        <w:rPr>
          <w:lang w:val="fr-CA"/>
        </w:rPr>
        <w:t xml:space="preserve">à ce sujet </w:t>
      </w:r>
      <w:r w:rsidRPr="00972B27">
        <w:rPr>
          <w:lang w:val="fr-CA"/>
        </w:rPr>
        <w:t>à la 90</w:t>
      </w:r>
      <w:r w:rsidRPr="00972B27">
        <w:rPr>
          <w:vertAlign w:val="superscript"/>
          <w:lang w:val="fr-CA"/>
        </w:rPr>
        <w:t>e</w:t>
      </w:r>
      <w:r w:rsidR="00D77999" w:rsidRPr="00972B27">
        <w:rPr>
          <w:lang w:val="fr-CA"/>
        </w:rPr>
        <w:t> </w:t>
      </w:r>
      <w:r w:rsidRPr="00972B27">
        <w:rPr>
          <w:lang w:val="fr-CA"/>
        </w:rPr>
        <w:t>réunion.</w:t>
      </w:r>
    </w:p>
    <w:p w14:paraId="2C2AEE86" w14:textId="7AD0C327" w:rsidR="00C13A6D" w:rsidRPr="00972B27" w:rsidRDefault="00C13A6D" w:rsidP="00C13A6D">
      <w:pPr>
        <w:spacing w:after="240"/>
        <w:ind w:left="1440" w:hanging="1440"/>
        <w:rPr>
          <w:lang w:val="fr-CA"/>
        </w:rPr>
      </w:pPr>
      <w:r w:rsidRPr="00972B27">
        <w:rPr>
          <w:b/>
          <w:lang w:val="fr-CA"/>
        </w:rPr>
        <w:t>PART</w:t>
      </w:r>
      <w:r w:rsidR="00F478B7" w:rsidRPr="00972B27">
        <w:rPr>
          <w:b/>
          <w:lang w:val="fr-CA"/>
        </w:rPr>
        <w:t>IE </w:t>
      </w:r>
      <w:r w:rsidRPr="00972B27">
        <w:rPr>
          <w:b/>
          <w:lang w:val="fr-CA"/>
        </w:rPr>
        <w:t>II</w:t>
      </w:r>
      <w:r w:rsidR="00F478B7" w:rsidRPr="00972B27">
        <w:rPr>
          <w:b/>
          <w:lang w:val="fr-CA"/>
        </w:rPr>
        <w:t> </w:t>
      </w:r>
      <w:r w:rsidRPr="00972B27">
        <w:rPr>
          <w:b/>
          <w:lang w:val="fr-CA"/>
        </w:rPr>
        <w:t xml:space="preserve">: </w:t>
      </w:r>
      <w:r w:rsidRPr="00972B27">
        <w:rPr>
          <w:b/>
          <w:lang w:val="fr-CA"/>
        </w:rPr>
        <w:tab/>
      </w:r>
      <w:r w:rsidR="002C7318" w:rsidRPr="00972B27">
        <w:rPr>
          <w:b/>
          <w:lang w:val="fr-CA"/>
        </w:rPr>
        <w:t xml:space="preserve">RAPPORT SUR L’ÉTAT D’AVANCEMENT DES ACTIVITÉS </w:t>
      </w:r>
      <w:r w:rsidR="00703136">
        <w:rPr>
          <w:b/>
          <w:lang w:val="fr-CA"/>
        </w:rPr>
        <w:t>FIGURANT À</w:t>
      </w:r>
      <w:r w:rsidR="002C7318" w:rsidRPr="00972B27">
        <w:rPr>
          <w:b/>
          <w:lang w:val="fr-CA"/>
        </w:rPr>
        <w:t xml:space="preserve"> LA DÉCISION </w:t>
      </w:r>
      <w:r w:rsidR="005978FE" w:rsidRPr="00972B27">
        <w:rPr>
          <w:b/>
          <w:lang w:val="fr-CA"/>
        </w:rPr>
        <w:t> </w:t>
      </w:r>
      <w:r w:rsidRPr="00972B27">
        <w:rPr>
          <w:b/>
          <w:lang w:val="fr-CA"/>
        </w:rPr>
        <w:t>83/41</w:t>
      </w:r>
      <w:r w:rsidR="005978FE" w:rsidRPr="00972B27">
        <w:rPr>
          <w:b/>
          <w:lang w:val="fr-CA"/>
        </w:rPr>
        <w:t> </w:t>
      </w:r>
      <w:r w:rsidRPr="00972B27">
        <w:rPr>
          <w:b/>
          <w:lang w:val="fr-CA"/>
        </w:rPr>
        <w:t>e)</w:t>
      </w:r>
    </w:p>
    <w:p w14:paraId="060D589C" w14:textId="5A2AFB7C" w:rsidR="00C13A6D" w:rsidRPr="004C2665" w:rsidRDefault="00F478B7" w:rsidP="00C13A6D">
      <w:pPr>
        <w:rPr>
          <w:b/>
        </w:rPr>
      </w:pPr>
      <w:proofErr w:type="spellStart"/>
      <w:r>
        <w:rPr>
          <w:b/>
        </w:rPr>
        <w:t>Contexte</w:t>
      </w:r>
      <w:proofErr w:type="spellEnd"/>
      <w:r w:rsidR="00C13A6D" w:rsidRPr="004C2665">
        <w:rPr>
          <w:b/>
        </w:rPr>
        <w:t xml:space="preserve"> </w:t>
      </w:r>
    </w:p>
    <w:p w14:paraId="490D088D" w14:textId="77777777" w:rsidR="00C13A6D" w:rsidRPr="004C2665" w:rsidRDefault="00C13A6D" w:rsidP="00C13A6D"/>
    <w:p w14:paraId="140DE5B0" w14:textId="482B9507" w:rsidR="00C13A6D" w:rsidRPr="00972B27" w:rsidRDefault="0044431E" w:rsidP="00C13A6D">
      <w:pPr>
        <w:pStyle w:val="Heading1"/>
        <w:rPr>
          <w:lang w:val="fr-CA"/>
        </w:rPr>
      </w:pPr>
      <w:r w:rsidRPr="00972B27">
        <w:rPr>
          <w:lang w:val="fr-CA"/>
        </w:rPr>
        <w:t>Le Comité exécutif à sa 83</w:t>
      </w:r>
      <w:r w:rsidRPr="00972B27">
        <w:rPr>
          <w:vertAlign w:val="superscript"/>
          <w:lang w:val="fr-CA"/>
        </w:rPr>
        <w:t>e</w:t>
      </w:r>
      <w:r w:rsidR="00D77999" w:rsidRPr="00972B27">
        <w:rPr>
          <w:lang w:val="fr-CA"/>
        </w:rPr>
        <w:t> </w:t>
      </w:r>
      <w:r w:rsidRPr="00972B27">
        <w:rPr>
          <w:lang w:val="fr-CA"/>
        </w:rPr>
        <w:t xml:space="preserve">réunion </w:t>
      </w:r>
      <w:r w:rsidR="005978FE" w:rsidRPr="00972B27">
        <w:rPr>
          <w:lang w:val="fr-CA"/>
        </w:rPr>
        <w:t xml:space="preserve">a </w:t>
      </w:r>
      <w:r w:rsidRPr="00972B27">
        <w:rPr>
          <w:lang w:val="fr-CA"/>
        </w:rPr>
        <w:t>étudi</w:t>
      </w:r>
      <w:r w:rsidR="005978FE" w:rsidRPr="00972B27">
        <w:rPr>
          <w:lang w:val="fr-CA"/>
        </w:rPr>
        <w:t>é</w:t>
      </w:r>
      <w:r w:rsidRPr="00972B27">
        <w:rPr>
          <w:lang w:val="fr-CA"/>
        </w:rPr>
        <w:t xml:space="preserve"> les deux documents suivants</w:t>
      </w:r>
      <w:r w:rsidR="00703136">
        <w:rPr>
          <w:lang w:val="fr-CA"/>
        </w:rPr>
        <w:t> </w:t>
      </w:r>
      <w:r w:rsidRPr="00972B27">
        <w:rPr>
          <w:lang w:val="fr-CA"/>
        </w:rPr>
        <w:t xml:space="preserve">: </w:t>
      </w:r>
    </w:p>
    <w:p w14:paraId="743149F4" w14:textId="2A2FA8D3" w:rsidR="00C13A6D" w:rsidRPr="00972B27" w:rsidRDefault="0044431E" w:rsidP="00C13A6D">
      <w:pPr>
        <w:pStyle w:val="Heading2"/>
        <w:rPr>
          <w:lang w:val="fr-CA"/>
        </w:rPr>
      </w:pPr>
      <w:r w:rsidRPr="00972B27">
        <w:rPr>
          <w:lang w:val="fr-CA"/>
        </w:rPr>
        <w:t xml:space="preserve">Examen des systèmes actuels de surveillance, de production de rapports, de vérification et </w:t>
      </w:r>
      <w:r w:rsidR="005978FE" w:rsidRPr="00972B27">
        <w:rPr>
          <w:lang w:val="fr-CA"/>
        </w:rPr>
        <w:t>d’</w:t>
      </w:r>
      <w:r w:rsidRPr="00972B27">
        <w:rPr>
          <w:lang w:val="fr-CA"/>
        </w:rPr>
        <w:t>application (MRVE), conformément aux accords sur le plan de gestion de l’élimination de la consommation et de production de HCFC entre le gouvernement de la Chine et le Comité exécutif, présenté par le PNUD au nom du gouvernement de la Chine, conformément aux décisions</w:t>
      </w:r>
      <w:r w:rsidR="00D77999" w:rsidRPr="00972B27">
        <w:rPr>
          <w:lang w:val="fr-CA"/>
        </w:rPr>
        <w:t> </w:t>
      </w:r>
      <w:r w:rsidRPr="00972B27">
        <w:rPr>
          <w:lang w:val="fr-CA"/>
        </w:rPr>
        <w:t>82/65 et 82/71</w:t>
      </w:r>
      <w:r w:rsidR="00331E44" w:rsidRPr="00972B27">
        <w:rPr>
          <w:lang w:val="fr-CA"/>
        </w:rPr>
        <w:t> a</w:t>
      </w:r>
      <w:r w:rsidRPr="00972B27">
        <w:rPr>
          <w:lang w:val="fr-CA"/>
        </w:rPr>
        <w:t xml:space="preserve">); </w:t>
      </w:r>
    </w:p>
    <w:p w14:paraId="21EF1E9D" w14:textId="70117684" w:rsidR="00C13A6D" w:rsidRPr="00327851" w:rsidRDefault="00327851" w:rsidP="00327851">
      <w:pPr>
        <w:pStyle w:val="Heading2"/>
        <w:rPr>
          <w:lang w:val="fr-CA"/>
        </w:rPr>
      </w:pPr>
      <w:r w:rsidRPr="00327851">
        <w:rPr>
          <w:lang w:val="fr-CA"/>
        </w:rPr>
        <w:t>Étude théorique sur le programme actuel de suivi de la consommation d’agents de gonflage de la mousse dans les entreprises recevant du soutien dans le cadre de la phase</w:t>
      </w:r>
      <w:r>
        <w:rPr>
          <w:lang w:val="fr-CA"/>
        </w:rPr>
        <w:t> </w:t>
      </w:r>
      <w:r w:rsidRPr="00327851">
        <w:rPr>
          <w:lang w:val="fr-CA"/>
        </w:rPr>
        <w:t>I du PGEH</w:t>
      </w:r>
      <w:r>
        <w:rPr>
          <w:lang w:val="fr-CA"/>
        </w:rPr>
        <w:t>, avec</w:t>
      </w:r>
      <w:r w:rsidRPr="00327851">
        <w:rPr>
          <w:lang w:val="fr-CA"/>
        </w:rPr>
        <w:t xml:space="preserve"> méthode de vérification</w:t>
      </w:r>
      <w:r w:rsidR="0026686B" w:rsidRPr="00327851">
        <w:rPr>
          <w:lang w:val="fr-CA"/>
        </w:rPr>
        <w:t>, présenté</w:t>
      </w:r>
      <w:r w:rsidR="005616FC" w:rsidRPr="00327851">
        <w:rPr>
          <w:lang w:val="fr-CA"/>
        </w:rPr>
        <w:t>e</w:t>
      </w:r>
      <w:r>
        <w:rPr>
          <w:lang w:val="fr-CA"/>
        </w:rPr>
        <w:t>s</w:t>
      </w:r>
      <w:r w:rsidR="0026686B" w:rsidRPr="00327851">
        <w:rPr>
          <w:lang w:val="fr-CA"/>
        </w:rPr>
        <w:t xml:space="preserve"> par la Banque mondiale au nom du gouvernement de la Chine, conformément à la décision</w:t>
      </w:r>
      <w:r w:rsidR="00D77999" w:rsidRPr="00327851">
        <w:rPr>
          <w:lang w:val="fr-CA"/>
        </w:rPr>
        <w:t> </w:t>
      </w:r>
      <w:r w:rsidR="0026686B" w:rsidRPr="00327851">
        <w:rPr>
          <w:lang w:val="fr-CA"/>
        </w:rPr>
        <w:t>82/67</w:t>
      </w:r>
      <w:r w:rsidR="005616FC" w:rsidRPr="00327851">
        <w:rPr>
          <w:lang w:val="fr-CA"/>
        </w:rPr>
        <w:t> c</w:t>
      </w:r>
      <w:r w:rsidR="0026686B" w:rsidRPr="00327851">
        <w:rPr>
          <w:lang w:val="fr-CA"/>
        </w:rPr>
        <w:t xml:space="preserve">). </w:t>
      </w:r>
    </w:p>
    <w:p w14:paraId="6D762202" w14:textId="113915A6" w:rsidR="00C13A6D" w:rsidRPr="00972B27" w:rsidRDefault="0026686B" w:rsidP="00C13A6D">
      <w:pPr>
        <w:pStyle w:val="Heading1"/>
        <w:rPr>
          <w:lang w:val="fr-CA"/>
        </w:rPr>
      </w:pPr>
      <w:r w:rsidRPr="00972B27">
        <w:rPr>
          <w:lang w:val="fr-CA"/>
        </w:rPr>
        <w:t>Lors des débats, le Comité a notamment accueilli favorablement un certain nombre de mesures réglementaires et d’application qui seront appliquées par le gouvernement; s’est félicité du fait que le gouvernement déploiera des efforts supplémentaires à l’appui des mesures d’application; et a en outre constaté que le gouvernement se penchera sur une série de proposition</w:t>
      </w:r>
      <w:r w:rsidR="00D77999" w:rsidRPr="00972B27">
        <w:rPr>
          <w:lang w:val="fr-CA"/>
        </w:rPr>
        <w:t>s</w:t>
      </w:r>
      <w:r w:rsidRPr="00972B27">
        <w:rPr>
          <w:lang w:val="fr-CA"/>
        </w:rPr>
        <w:t xml:space="preserve"> visant à compléter et </w:t>
      </w:r>
      <w:r w:rsidR="002A2893">
        <w:rPr>
          <w:lang w:val="fr-CA"/>
        </w:rPr>
        <w:t>intensifier</w:t>
      </w:r>
      <w:r w:rsidRPr="00972B27">
        <w:rPr>
          <w:lang w:val="fr-CA"/>
        </w:rPr>
        <w:t xml:space="preserve"> ses actions en matière de réglementation et d’application. Le Comité exécutif a par ailleurs noté que le gouvernement de la Chine présentera un rapport à la 84</w:t>
      </w:r>
      <w:r w:rsidRPr="00972B27">
        <w:rPr>
          <w:vertAlign w:val="superscript"/>
          <w:lang w:val="fr-CA"/>
        </w:rPr>
        <w:t>e</w:t>
      </w:r>
      <w:r w:rsidR="00D77999" w:rsidRPr="00972B27">
        <w:rPr>
          <w:lang w:val="fr-CA"/>
        </w:rPr>
        <w:t> </w:t>
      </w:r>
      <w:r w:rsidRPr="00972B27">
        <w:rPr>
          <w:lang w:val="fr-CA"/>
        </w:rPr>
        <w:t xml:space="preserve">réunion, </w:t>
      </w:r>
      <w:r w:rsidR="00E86A53">
        <w:rPr>
          <w:lang w:val="fr-CA"/>
        </w:rPr>
        <w:t>puis</w:t>
      </w:r>
      <w:r w:rsidRPr="00972B27">
        <w:rPr>
          <w:lang w:val="fr-CA"/>
        </w:rPr>
        <w:t xml:space="preserve"> </w:t>
      </w:r>
      <w:r w:rsidR="005616FC" w:rsidRPr="00972B27">
        <w:rPr>
          <w:lang w:val="fr-CA"/>
        </w:rPr>
        <w:t xml:space="preserve">à </w:t>
      </w:r>
      <w:r w:rsidRPr="00972B27">
        <w:rPr>
          <w:lang w:val="fr-CA"/>
        </w:rPr>
        <w:t>la 86</w:t>
      </w:r>
      <w:r w:rsidRPr="00972B27">
        <w:rPr>
          <w:vertAlign w:val="superscript"/>
          <w:lang w:val="fr-CA"/>
        </w:rPr>
        <w:t>e</w:t>
      </w:r>
      <w:r w:rsidR="00D77999" w:rsidRPr="00972B27">
        <w:rPr>
          <w:lang w:val="fr-CA"/>
        </w:rPr>
        <w:t> </w:t>
      </w:r>
      <w:r w:rsidRPr="00972B27">
        <w:rPr>
          <w:lang w:val="fr-CA"/>
        </w:rPr>
        <w:t xml:space="preserve">réunion, sur l’état d’avancement des activités </w:t>
      </w:r>
      <w:r w:rsidR="00E86A53">
        <w:rPr>
          <w:lang w:val="fr-CA"/>
        </w:rPr>
        <w:t>figurant</w:t>
      </w:r>
      <w:r w:rsidRPr="00972B27">
        <w:rPr>
          <w:lang w:val="fr-CA"/>
        </w:rPr>
        <w:t xml:space="preserve"> aux alinéas </w:t>
      </w:r>
      <w:r w:rsidR="005616FC" w:rsidRPr="00972B27">
        <w:rPr>
          <w:lang w:val="fr-CA"/>
        </w:rPr>
        <w:t xml:space="preserve">a) à d) </w:t>
      </w:r>
      <w:r w:rsidRPr="00972B27">
        <w:rPr>
          <w:lang w:val="fr-CA"/>
        </w:rPr>
        <w:t>de la décision</w:t>
      </w:r>
      <w:r w:rsidR="00D77999" w:rsidRPr="00972B27">
        <w:rPr>
          <w:lang w:val="fr-CA"/>
        </w:rPr>
        <w:t> </w:t>
      </w:r>
      <w:r w:rsidRPr="00972B27">
        <w:rPr>
          <w:lang w:val="fr-CA"/>
        </w:rPr>
        <w:t>83/41.</w:t>
      </w:r>
    </w:p>
    <w:p w14:paraId="680390AC" w14:textId="43DD1103" w:rsidR="00C13A6D" w:rsidRPr="00972B27" w:rsidRDefault="0026686B" w:rsidP="00C13A6D">
      <w:pPr>
        <w:pStyle w:val="Heading1"/>
        <w:rPr>
          <w:lang w:val="fr-CA"/>
        </w:rPr>
      </w:pPr>
      <w:r w:rsidRPr="00972B27">
        <w:rPr>
          <w:lang w:val="fr-CA"/>
        </w:rPr>
        <w:t>Le Comité exécutif à sa 84</w:t>
      </w:r>
      <w:r w:rsidRPr="00972B27">
        <w:rPr>
          <w:vertAlign w:val="superscript"/>
          <w:lang w:val="fr-CA"/>
        </w:rPr>
        <w:t>e</w:t>
      </w:r>
      <w:r w:rsidR="00D77999" w:rsidRPr="00972B27">
        <w:rPr>
          <w:lang w:val="fr-CA"/>
        </w:rPr>
        <w:t> </w:t>
      </w:r>
      <w:r w:rsidRPr="00972B27">
        <w:rPr>
          <w:lang w:val="fr-CA"/>
        </w:rPr>
        <w:t>réunion a examiné le rapport périodique soumis par le gouvernement de la Chine, conformément à la décision</w:t>
      </w:r>
      <w:r w:rsidR="00070DA9" w:rsidRPr="00972B27">
        <w:rPr>
          <w:lang w:val="fr-CA"/>
        </w:rPr>
        <w:t> </w:t>
      </w:r>
      <w:r w:rsidR="00C13A6D" w:rsidRPr="00972B27">
        <w:rPr>
          <w:lang w:val="fr-CA"/>
        </w:rPr>
        <w:t>83/41</w:t>
      </w:r>
      <w:r w:rsidR="005616FC" w:rsidRPr="00972B27">
        <w:rPr>
          <w:lang w:val="fr-CA"/>
        </w:rPr>
        <w:t> </w:t>
      </w:r>
      <w:r w:rsidR="00C13A6D" w:rsidRPr="00972B27">
        <w:rPr>
          <w:lang w:val="fr-CA"/>
        </w:rPr>
        <w:t>e).</w:t>
      </w:r>
      <w:r w:rsidR="00C13A6D" w:rsidRPr="004C2665">
        <w:rPr>
          <w:rStyle w:val="FootnoteReference"/>
        </w:rPr>
        <w:footnoteReference w:id="3"/>
      </w:r>
      <w:r w:rsidR="00B46F3C" w:rsidRPr="00972B27">
        <w:rPr>
          <w:lang w:val="fr-CA"/>
        </w:rPr>
        <w:t xml:space="preserve"> À l</w:t>
      </w:r>
      <w:r w:rsidR="00297C0C" w:rsidRPr="00972B27">
        <w:rPr>
          <w:lang w:val="fr-CA"/>
        </w:rPr>
        <w:t>’issue d’une discussion, le Comité exécutif a pris note des renseignements procurés par un représentant du gouvernement de la Chine en ce qui a trait à l’exécut</w:t>
      </w:r>
      <w:r w:rsidR="00E86A53">
        <w:rPr>
          <w:lang w:val="fr-CA"/>
        </w:rPr>
        <w:t>ion des activités figurant à</w:t>
      </w:r>
      <w:r w:rsidR="00297C0C" w:rsidRPr="00972B27">
        <w:rPr>
          <w:lang w:val="fr-CA"/>
        </w:rPr>
        <w:t xml:space="preserve"> la décision</w:t>
      </w:r>
      <w:r w:rsidR="00D77999" w:rsidRPr="00972B27">
        <w:rPr>
          <w:lang w:val="fr-CA"/>
        </w:rPr>
        <w:t> </w:t>
      </w:r>
      <w:r w:rsidR="00297C0C" w:rsidRPr="00972B27">
        <w:rPr>
          <w:lang w:val="fr-CA"/>
        </w:rPr>
        <w:t>83/41.</w:t>
      </w:r>
    </w:p>
    <w:p w14:paraId="6BD210B1" w14:textId="08116760" w:rsidR="00C13A6D" w:rsidRPr="00972B27" w:rsidRDefault="00297C0C" w:rsidP="00C13A6D">
      <w:pPr>
        <w:pStyle w:val="Heading1"/>
        <w:rPr>
          <w:lang w:val="fr-CA"/>
        </w:rPr>
      </w:pPr>
      <w:r w:rsidRPr="00972B27">
        <w:rPr>
          <w:lang w:val="fr-CA"/>
        </w:rPr>
        <w:t xml:space="preserve">Le gouvernement de la Chine a présenté à la </w:t>
      </w:r>
      <w:r w:rsidR="00B46F3C" w:rsidRPr="00972B27">
        <w:rPr>
          <w:lang w:val="fr-CA"/>
        </w:rPr>
        <w:t>86</w:t>
      </w:r>
      <w:r w:rsidRPr="00972B27">
        <w:rPr>
          <w:vertAlign w:val="superscript"/>
          <w:lang w:val="fr-CA"/>
        </w:rPr>
        <w:t>e</w:t>
      </w:r>
      <w:r w:rsidR="00D77999" w:rsidRPr="00972B27">
        <w:rPr>
          <w:lang w:val="fr-CA"/>
        </w:rPr>
        <w:t> </w:t>
      </w:r>
      <w:r w:rsidRPr="00972B27">
        <w:rPr>
          <w:lang w:val="fr-CA"/>
        </w:rPr>
        <w:t>réunion un rapport périodique pour donner suite à la décision</w:t>
      </w:r>
      <w:r w:rsidR="00D77999" w:rsidRPr="00972B27">
        <w:rPr>
          <w:lang w:val="fr-CA"/>
        </w:rPr>
        <w:t> </w:t>
      </w:r>
      <w:r w:rsidRPr="00972B27">
        <w:rPr>
          <w:lang w:val="fr-CA"/>
        </w:rPr>
        <w:t>83</w:t>
      </w:r>
      <w:r w:rsidR="00B46F3C" w:rsidRPr="00972B27">
        <w:rPr>
          <w:lang w:val="fr-CA"/>
        </w:rPr>
        <w:t>/</w:t>
      </w:r>
      <w:r w:rsidRPr="00972B27">
        <w:rPr>
          <w:lang w:val="fr-CA"/>
        </w:rPr>
        <w:t>41 («</w:t>
      </w:r>
      <w:r w:rsidR="00E86A53">
        <w:rPr>
          <w:lang w:val="fr-CA"/>
        </w:rPr>
        <w:t> </w:t>
      </w:r>
      <w:r w:rsidRPr="00972B27">
        <w:rPr>
          <w:lang w:val="fr-CA"/>
        </w:rPr>
        <w:t>Rapport périodique</w:t>
      </w:r>
      <w:r w:rsidR="00E86A53">
        <w:rPr>
          <w:lang w:val="fr-CA"/>
        </w:rPr>
        <w:t> </w:t>
      </w:r>
      <w:r w:rsidRPr="00972B27">
        <w:rPr>
          <w:lang w:val="fr-CA"/>
        </w:rPr>
        <w:t>»). Le Comité exécutif a reporté l’examen du rapport périodique à la 87</w:t>
      </w:r>
      <w:r w:rsidRPr="00972B27">
        <w:rPr>
          <w:vertAlign w:val="superscript"/>
          <w:lang w:val="fr-CA"/>
        </w:rPr>
        <w:t>e</w:t>
      </w:r>
      <w:r w:rsidR="00D77999" w:rsidRPr="00972B27">
        <w:rPr>
          <w:lang w:val="fr-CA"/>
        </w:rPr>
        <w:t> </w:t>
      </w:r>
      <w:r w:rsidRPr="00972B27">
        <w:rPr>
          <w:lang w:val="fr-CA"/>
        </w:rPr>
        <w:t xml:space="preserve">réunion et ensuite </w:t>
      </w:r>
      <w:r w:rsidR="00B46F3C" w:rsidRPr="00972B27">
        <w:rPr>
          <w:lang w:val="fr-CA"/>
        </w:rPr>
        <w:t xml:space="preserve">à </w:t>
      </w:r>
      <w:r w:rsidRPr="00972B27">
        <w:rPr>
          <w:lang w:val="fr-CA"/>
        </w:rPr>
        <w:t>la 88</w:t>
      </w:r>
      <w:r w:rsidRPr="00972B27">
        <w:rPr>
          <w:vertAlign w:val="superscript"/>
          <w:lang w:val="fr-CA"/>
        </w:rPr>
        <w:t>e</w:t>
      </w:r>
      <w:r w:rsidR="00D77999" w:rsidRPr="00972B27">
        <w:rPr>
          <w:lang w:val="fr-CA"/>
        </w:rPr>
        <w:t> </w:t>
      </w:r>
      <w:r w:rsidRPr="00972B27">
        <w:rPr>
          <w:lang w:val="fr-CA"/>
        </w:rPr>
        <w:t xml:space="preserve">réunion, conformément aux procédures convenues pour </w:t>
      </w:r>
      <w:r w:rsidR="00E86A53">
        <w:rPr>
          <w:lang w:val="fr-CA"/>
        </w:rPr>
        <w:t xml:space="preserve">la tenue de </w:t>
      </w:r>
      <w:r w:rsidRPr="00972B27">
        <w:rPr>
          <w:lang w:val="fr-CA"/>
        </w:rPr>
        <w:t>ces réunions</w:t>
      </w:r>
      <w:r w:rsidR="00C13A6D" w:rsidRPr="00972B27">
        <w:rPr>
          <w:lang w:val="fr-CA"/>
        </w:rPr>
        <w:t>.</w:t>
      </w:r>
      <w:r w:rsidR="00C13A6D" w:rsidRPr="004C2665">
        <w:rPr>
          <w:rStyle w:val="FootnoteReference"/>
        </w:rPr>
        <w:footnoteReference w:id="4"/>
      </w:r>
      <w:r w:rsidR="00C13A6D" w:rsidRPr="00972B27">
        <w:rPr>
          <w:lang w:val="fr-CA"/>
        </w:rPr>
        <w:t xml:space="preserve"> </w:t>
      </w:r>
      <w:r w:rsidR="00B46F3C" w:rsidRPr="00972B27">
        <w:rPr>
          <w:lang w:val="fr-CA"/>
        </w:rPr>
        <w:t>L</w:t>
      </w:r>
      <w:r w:rsidRPr="00972B27">
        <w:rPr>
          <w:lang w:val="fr-CA"/>
        </w:rPr>
        <w:t xml:space="preserve">e rapport complet </w:t>
      </w:r>
      <w:r w:rsidR="00B46F3C" w:rsidRPr="00972B27">
        <w:rPr>
          <w:lang w:val="fr-CA"/>
        </w:rPr>
        <w:t xml:space="preserve">est </w:t>
      </w:r>
      <w:r w:rsidRPr="00972B27">
        <w:rPr>
          <w:lang w:val="fr-CA"/>
        </w:rPr>
        <w:t xml:space="preserve">joint au présent document sans modification ou autre examen. </w:t>
      </w:r>
    </w:p>
    <w:p w14:paraId="74D739F4" w14:textId="6F9E8B28" w:rsidR="00C13A6D" w:rsidRPr="00972B27" w:rsidRDefault="00C13A6D" w:rsidP="00C13A6D">
      <w:pPr>
        <w:spacing w:after="240"/>
        <w:ind w:left="1440" w:hanging="1440"/>
        <w:rPr>
          <w:b/>
          <w:lang w:val="fr-CA"/>
        </w:rPr>
      </w:pPr>
      <w:r w:rsidRPr="00972B27">
        <w:rPr>
          <w:b/>
          <w:lang w:val="fr-CA"/>
        </w:rPr>
        <w:lastRenderedPageBreak/>
        <w:t>PART</w:t>
      </w:r>
      <w:r w:rsidR="00F478B7" w:rsidRPr="00972B27">
        <w:rPr>
          <w:b/>
          <w:lang w:val="fr-CA"/>
        </w:rPr>
        <w:t>IE </w:t>
      </w:r>
      <w:r w:rsidRPr="00972B27">
        <w:rPr>
          <w:b/>
          <w:lang w:val="fr-CA"/>
        </w:rPr>
        <w:t>III</w:t>
      </w:r>
      <w:r w:rsidR="00F478B7" w:rsidRPr="00972B27">
        <w:rPr>
          <w:b/>
          <w:lang w:val="fr-CA"/>
        </w:rPr>
        <w:t> </w:t>
      </w:r>
      <w:r w:rsidRPr="00972B27">
        <w:rPr>
          <w:b/>
          <w:lang w:val="fr-CA"/>
        </w:rPr>
        <w:t xml:space="preserve">: </w:t>
      </w:r>
      <w:r w:rsidRPr="00972B27">
        <w:rPr>
          <w:b/>
          <w:lang w:val="fr-CA"/>
        </w:rPr>
        <w:tab/>
      </w:r>
      <w:r w:rsidR="00297C0C" w:rsidRPr="00972B27">
        <w:rPr>
          <w:b/>
          <w:lang w:val="fr-CA"/>
        </w:rPr>
        <w:t xml:space="preserve">ÉTUDE VISANT À DÉTERMINER LES CIRCONSTANCES RÉGLEMENTAIRES, D’EXÉCUTION, D’ORIENTATION OU DE MARCHÉ </w:t>
      </w:r>
      <w:r w:rsidR="00E86A53">
        <w:rPr>
          <w:b/>
          <w:lang w:val="fr-CA"/>
        </w:rPr>
        <w:t xml:space="preserve">POUVANT AVOIR MENÉ </w:t>
      </w:r>
      <w:r w:rsidR="00297C0C" w:rsidRPr="00972B27">
        <w:rPr>
          <w:b/>
          <w:lang w:val="fr-CA"/>
        </w:rPr>
        <w:t xml:space="preserve">À UNE UTILISATION </w:t>
      </w:r>
      <w:r w:rsidR="00E86A53">
        <w:rPr>
          <w:b/>
          <w:lang w:val="fr-CA"/>
        </w:rPr>
        <w:t xml:space="preserve">ET UNE PRODUCTION </w:t>
      </w:r>
      <w:r w:rsidR="00297C0C" w:rsidRPr="00972B27">
        <w:rPr>
          <w:b/>
          <w:lang w:val="fr-CA"/>
        </w:rPr>
        <w:t>ILLICITE</w:t>
      </w:r>
      <w:r w:rsidR="00B46F3C" w:rsidRPr="00972B27">
        <w:rPr>
          <w:b/>
          <w:lang w:val="fr-CA"/>
        </w:rPr>
        <w:t>S</w:t>
      </w:r>
      <w:r w:rsidR="00297C0C" w:rsidRPr="00972B27">
        <w:rPr>
          <w:b/>
          <w:lang w:val="fr-CA"/>
        </w:rPr>
        <w:t xml:space="preserve"> DE CFC-11 ET CFC-12 </w:t>
      </w:r>
      <w:r w:rsidRPr="00972B27">
        <w:rPr>
          <w:b/>
          <w:lang w:val="fr-CA"/>
        </w:rPr>
        <w:t>(D</w:t>
      </w:r>
      <w:r w:rsidR="00B46F3C" w:rsidRPr="00972B27">
        <w:rPr>
          <w:b/>
          <w:lang w:val="fr-CA"/>
        </w:rPr>
        <w:t>É</w:t>
      </w:r>
      <w:r w:rsidRPr="00972B27">
        <w:rPr>
          <w:b/>
          <w:lang w:val="fr-CA"/>
        </w:rPr>
        <w:t>CISION 83/41</w:t>
      </w:r>
      <w:r w:rsidR="00B46F3C" w:rsidRPr="00972B27">
        <w:rPr>
          <w:b/>
          <w:lang w:val="fr-CA"/>
        </w:rPr>
        <w:t> </w:t>
      </w:r>
      <w:r w:rsidRPr="00972B27">
        <w:rPr>
          <w:b/>
          <w:lang w:val="fr-CA"/>
        </w:rPr>
        <w:t>d))</w:t>
      </w:r>
    </w:p>
    <w:p w14:paraId="7FD735F4" w14:textId="704E8D58" w:rsidR="00C13A6D" w:rsidRPr="004C2665" w:rsidRDefault="00F478B7" w:rsidP="00C13A6D">
      <w:pPr>
        <w:rPr>
          <w:b/>
        </w:rPr>
      </w:pPr>
      <w:proofErr w:type="spellStart"/>
      <w:r>
        <w:rPr>
          <w:b/>
        </w:rPr>
        <w:t>Contexte</w:t>
      </w:r>
      <w:proofErr w:type="spellEnd"/>
      <w:r w:rsidR="00C13A6D" w:rsidRPr="004C2665">
        <w:rPr>
          <w:b/>
        </w:rPr>
        <w:t xml:space="preserve"> </w:t>
      </w:r>
    </w:p>
    <w:p w14:paraId="7E3DDCA1" w14:textId="77777777" w:rsidR="00C13A6D" w:rsidRPr="004C2665" w:rsidRDefault="00C13A6D" w:rsidP="00C13A6D"/>
    <w:p w14:paraId="26460A98" w14:textId="4104A2E0" w:rsidR="00C13A6D" w:rsidRPr="00972B27" w:rsidRDefault="0002193C" w:rsidP="00C13A6D">
      <w:pPr>
        <w:pStyle w:val="Heading1"/>
        <w:rPr>
          <w:lang w:val="fr-CA"/>
        </w:rPr>
      </w:pPr>
      <w:r w:rsidRPr="00972B27">
        <w:rPr>
          <w:lang w:val="fr-CA"/>
        </w:rPr>
        <w:t>Dans le contexte des discussions menées lors de la 83</w:t>
      </w:r>
      <w:r w:rsidRPr="00972B27">
        <w:rPr>
          <w:vertAlign w:val="superscript"/>
          <w:lang w:val="fr-CA"/>
        </w:rPr>
        <w:t>e</w:t>
      </w:r>
      <w:r w:rsidR="00D77999" w:rsidRPr="00972B27">
        <w:rPr>
          <w:lang w:val="fr-CA"/>
        </w:rPr>
        <w:t> </w:t>
      </w:r>
      <w:r w:rsidRPr="00972B27">
        <w:rPr>
          <w:lang w:val="fr-CA"/>
        </w:rPr>
        <w:t>réunion sur les systèmes</w:t>
      </w:r>
      <w:r w:rsidR="00E372B2" w:rsidRPr="00972B27">
        <w:rPr>
          <w:lang w:val="fr-CA"/>
        </w:rPr>
        <w:t> </w:t>
      </w:r>
      <w:r w:rsidRPr="00972B27">
        <w:rPr>
          <w:lang w:val="fr-CA"/>
        </w:rPr>
        <w:t xml:space="preserve">MRVE de la Chine, le Comité exécutif a notamment décidé de </w:t>
      </w:r>
      <w:r w:rsidR="00E86A53">
        <w:rPr>
          <w:lang w:val="fr-CA"/>
        </w:rPr>
        <w:t>prendre note du fait</w:t>
      </w:r>
      <w:r w:rsidRPr="00972B27">
        <w:rPr>
          <w:lang w:val="fr-CA"/>
        </w:rPr>
        <w:t xml:space="preserve"> que le gouvernement de la Chine envisagera d’embaucher </w:t>
      </w:r>
      <w:r w:rsidR="0081498E" w:rsidRPr="00972B27">
        <w:rPr>
          <w:lang w:val="fr-CA"/>
        </w:rPr>
        <w:t>un consultant non</w:t>
      </w:r>
      <w:r w:rsidR="00D77999" w:rsidRPr="00972B27">
        <w:rPr>
          <w:lang w:val="fr-CA"/>
        </w:rPr>
        <w:t xml:space="preserve"> </w:t>
      </w:r>
      <w:r w:rsidR="0081498E" w:rsidRPr="00972B27">
        <w:rPr>
          <w:lang w:val="fr-CA"/>
        </w:rPr>
        <w:t>gouvernemental pour mener une étude (comprenant des données quantitatives, s’il y a lieu, et des renseignements qualitatifs sur le marché) visant à déterminer les circonstances réglementaires, d’</w:t>
      </w:r>
      <w:r w:rsidR="00E86A53">
        <w:rPr>
          <w:lang w:val="fr-CA"/>
        </w:rPr>
        <w:t>exécution</w:t>
      </w:r>
      <w:r w:rsidR="0081498E" w:rsidRPr="00972B27">
        <w:rPr>
          <w:lang w:val="fr-CA"/>
        </w:rPr>
        <w:t xml:space="preserve">, d’orientation </w:t>
      </w:r>
      <w:r w:rsidR="00E372B2" w:rsidRPr="00972B27">
        <w:rPr>
          <w:lang w:val="fr-CA"/>
        </w:rPr>
        <w:t>ou</w:t>
      </w:r>
      <w:r w:rsidR="0081498E" w:rsidRPr="00972B27">
        <w:rPr>
          <w:lang w:val="fr-CA"/>
        </w:rPr>
        <w:t xml:space="preserve"> de marché qui ont pu mener à une utilisation</w:t>
      </w:r>
      <w:r w:rsidR="00C41E10">
        <w:rPr>
          <w:lang w:val="fr-CA"/>
        </w:rPr>
        <w:t xml:space="preserve"> et une production</w:t>
      </w:r>
      <w:r w:rsidR="0081498E" w:rsidRPr="00972B27">
        <w:rPr>
          <w:lang w:val="fr-CA"/>
        </w:rPr>
        <w:t xml:space="preserve"> illicite</w:t>
      </w:r>
      <w:r w:rsidR="00E065C7" w:rsidRPr="00972B27">
        <w:rPr>
          <w:lang w:val="fr-CA"/>
        </w:rPr>
        <w:t>s</w:t>
      </w:r>
      <w:r w:rsidR="0081498E" w:rsidRPr="00972B27">
        <w:rPr>
          <w:lang w:val="fr-CA"/>
        </w:rPr>
        <w:t xml:space="preserve"> </w:t>
      </w:r>
      <w:r w:rsidR="00C41E10">
        <w:rPr>
          <w:lang w:val="fr-CA"/>
        </w:rPr>
        <w:t>de</w:t>
      </w:r>
      <w:r w:rsidR="00E065C7" w:rsidRPr="00972B27">
        <w:rPr>
          <w:lang w:val="fr-CA"/>
        </w:rPr>
        <w:t xml:space="preserve"> </w:t>
      </w:r>
      <w:r w:rsidR="0081498E" w:rsidRPr="00972B27">
        <w:rPr>
          <w:lang w:val="fr-CA"/>
        </w:rPr>
        <w:t xml:space="preserve">CFC-11 et </w:t>
      </w:r>
      <w:r w:rsidR="00C41E10">
        <w:rPr>
          <w:lang w:val="fr-CA"/>
        </w:rPr>
        <w:t>de</w:t>
      </w:r>
      <w:r w:rsidR="0081498E" w:rsidRPr="00972B27">
        <w:rPr>
          <w:lang w:val="fr-CA"/>
        </w:rPr>
        <w:t xml:space="preserve"> CFC-12 </w:t>
      </w:r>
      <w:r w:rsidR="00C13A6D" w:rsidRPr="00972B27">
        <w:rPr>
          <w:lang w:val="fr-CA"/>
        </w:rPr>
        <w:t>(d</w:t>
      </w:r>
      <w:r w:rsidR="00E065C7" w:rsidRPr="00972B27">
        <w:rPr>
          <w:lang w:val="fr-CA"/>
        </w:rPr>
        <w:t>é</w:t>
      </w:r>
      <w:r w:rsidR="00C13A6D" w:rsidRPr="00972B27">
        <w:rPr>
          <w:lang w:val="fr-CA"/>
        </w:rPr>
        <w:t>cision 83/41</w:t>
      </w:r>
      <w:r w:rsidR="00E065C7" w:rsidRPr="00972B27">
        <w:rPr>
          <w:lang w:val="fr-CA"/>
        </w:rPr>
        <w:t> </w:t>
      </w:r>
      <w:r w:rsidR="00C13A6D" w:rsidRPr="00972B27">
        <w:rPr>
          <w:lang w:val="fr-CA"/>
        </w:rPr>
        <w:t xml:space="preserve">d)). </w:t>
      </w:r>
    </w:p>
    <w:p w14:paraId="681137AB" w14:textId="35FCC9D9" w:rsidR="00C13A6D" w:rsidRPr="00972B27" w:rsidRDefault="0081498E" w:rsidP="00C13A6D">
      <w:pPr>
        <w:pStyle w:val="Heading1"/>
        <w:keepNext/>
        <w:keepLines/>
        <w:widowControl w:val="0"/>
        <w:rPr>
          <w:lang w:val="fr-CA"/>
        </w:rPr>
      </w:pPr>
      <w:r w:rsidRPr="00972B27">
        <w:rPr>
          <w:lang w:val="fr-CA"/>
        </w:rPr>
        <w:t>Conformément à la décision</w:t>
      </w:r>
      <w:r w:rsidR="00E065C7" w:rsidRPr="00972B27">
        <w:rPr>
          <w:lang w:val="fr-CA"/>
        </w:rPr>
        <w:t> </w:t>
      </w:r>
      <w:r w:rsidR="00C13A6D" w:rsidRPr="00972B27">
        <w:rPr>
          <w:lang w:val="fr-CA"/>
        </w:rPr>
        <w:t>83/41</w:t>
      </w:r>
      <w:r w:rsidR="00E065C7" w:rsidRPr="00972B27">
        <w:rPr>
          <w:lang w:val="fr-CA"/>
        </w:rPr>
        <w:t> </w:t>
      </w:r>
      <w:r w:rsidR="00C13A6D" w:rsidRPr="00972B27">
        <w:rPr>
          <w:lang w:val="fr-CA"/>
        </w:rPr>
        <w:t xml:space="preserve">d), </w:t>
      </w:r>
      <w:r w:rsidRPr="00972B27">
        <w:rPr>
          <w:lang w:val="fr-CA"/>
        </w:rPr>
        <w:t>le gouvernement de la Chine a présenté à la 86</w:t>
      </w:r>
      <w:r w:rsidRPr="00972B27">
        <w:rPr>
          <w:vertAlign w:val="superscript"/>
          <w:lang w:val="fr-CA"/>
        </w:rPr>
        <w:t>e</w:t>
      </w:r>
      <w:r w:rsidR="00D77999" w:rsidRPr="00972B27">
        <w:rPr>
          <w:lang w:val="fr-CA"/>
        </w:rPr>
        <w:t> </w:t>
      </w:r>
      <w:r w:rsidRPr="00972B27">
        <w:rPr>
          <w:lang w:val="fr-CA"/>
        </w:rPr>
        <w:t xml:space="preserve">réunion </w:t>
      </w:r>
      <w:r w:rsidR="00585107">
        <w:rPr>
          <w:lang w:val="fr-CA"/>
        </w:rPr>
        <w:t xml:space="preserve">une </w:t>
      </w:r>
      <w:r w:rsidRPr="00972B27">
        <w:rPr>
          <w:lang w:val="fr-CA"/>
        </w:rPr>
        <w:t>étude sur la supervision, l’application de la loi, la politique et la situation de marché en rapport avec les substances appauvrissant la couche d’ozone en Chine, qui a été préparé</w:t>
      </w:r>
      <w:r w:rsidR="00E065C7" w:rsidRPr="00972B27">
        <w:rPr>
          <w:lang w:val="fr-CA"/>
        </w:rPr>
        <w:t>e</w:t>
      </w:r>
      <w:r w:rsidRPr="00972B27">
        <w:rPr>
          <w:lang w:val="fr-CA"/>
        </w:rPr>
        <w:t xml:space="preserve"> par un consultant non</w:t>
      </w:r>
      <w:r w:rsidR="00D77999" w:rsidRPr="00972B27">
        <w:rPr>
          <w:lang w:val="fr-CA"/>
        </w:rPr>
        <w:t xml:space="preserve"> </w:t>
      </w:r>
      <w:r w:rsidRPr="00972B27">
        <w:rPr>
          <w:lang w:val="fr-CA"/>
        </w:rPr>
        <w:t>gouvernemental. Le Comité exécutif a reporté l’examen de l’étude à la 87</w:t>
      </w:r>
      <w:r w:rsidRPr="00972B27">
        <w:rPr>
          <w:vertAlign w:val="superscript"/>
          <w:lang w:val="fr-CA"/>
        </w:rPr>
        <w:t>e</w:t>
      </w:r>
      <w:r w:rsidR="00D77999" w:rsidRPr="00972B27">
        <w:rPr>
          <w:lang w:val="fr-CA"/>
        </w:rPr>
        <w:t> </w:t>
      </w:r>
      <w:r w:rsidRPr="00972B27">
        <w:rPr>
          <w:lang w:val="fr-CA"/>
        </w:rPr>
        <w:t xml:space="preserve">réunion puis </w:t>
      </w:r>
      <w:r w:rsidR="00E065C7" w:rsidRPr="00972B27">
        <w:rPr>
          <w:lang w:val="fr-CA"/>
        </w:rPr>
        <w:t xml:space="preserve">à la </w:t>
      </w:r>
      <w:r w:rsidRPr="00972B27">
        <w:rPr>
          <w:lang w:val="fr-CA"/>
        </w:rPr>
        <w:t>88</w:t>
      </w:r>
      <w:r w:rsidRPr="00972B27">
        <w:rPr>
          <w:vertAlign w:val="superscript"/>
          <w:lang w:val="fr-CA"/>
        </w:rPr>
        <w:t>e</w:t>
      </w:r>
      <w:r w:rsidR="00070DA9" w:rsidRPr="00972B27">
        <w:rPr>
          <w:lang w:val="fr-CA"/>
        </w:rPr>
        <w:t> </w:t>
      </w:r>
      <w:r w:rsidRPr="00972B27">
        <w:rPr>
          <w:lang w:val="fr-CA"/>
        </w:rPr>
        <w:t xml:space="preserve">réunion, en conformité avec les procédures convenues pour </w:t>
      </w:r>
      <w:r w:rsidR="00585107">
        <w:rPr>
          <w:lang w:val="fr-CA"/>
        </w:rPr>
        <w:t>la tenue</w:t>
      </w:r>
      <w:r w:rsidRPr="00972B27">
        <w:rPr>
          <w:lang w:val="fr-CA"/>
        </w:rPr>
        <w:t xml:space="preserve"> de ces réunions</w:t>
      </w:r>
      <w:r w:rsidR="00C13A6D" w:rsidRPr="00972B27">
        <w:rPr>
          <w:lang w:val="fr-CA"/>
        </w:rPr>
        <w:t>.</w:t>
      </w:r>
      <w:r w:rsidR="00C13A6D" w:rsidRPr="004C2665">
        <w:rPr>
          <w:rStyle w:val="FootnoteReference"/>
        </w:rPr>
        <w:footnoteReference w:id="5"/>
      </w:r>
      <w:r w:rsidR="00C13A6D" w:rsidRPr="00972B27">
        <w:rPr>
          <w:lang w:val="fr-CA"/>
        </w:rPr>
        <w:t xml:space="preserve"> </w:t>
      </w:r>
      <w:r w:rsidRPr="00972B27">
        <w:rPr>
          <w:lang w:val="fr-CA"/>
        </w:rPr>
        <w:t xml:space="preserve">L’étude complète </w:t>
      </w:r>
      <w:r w:rsidR="00593EAF" w:rsidRPr="00972B27">
        <w:rPr>
          <w:lang w:val="fr-CA"/>
        </w:rPr>
        <w:t>est</w:t>
      </w:r>
      <w:r w:rsidRPr="00972B27">
        <w:rPr>
          <w:lang w:val="fr-CA"/>
        </w:rPr>
        <w:t xml:space="preserve"> jointe au présent document sans modification ou autre examen. </w:t>
      </w:r>
    </w:p>
    <w:p w14:paraId="77917BC7" w14:textId="30819FE9" w:rsidR="00C13A6D" w:rsidRPr="00972B27" w:rsidRDefault="00C13A6D" w:rsidP="00593EAF">
      <w:pPr>
        <w:spacing w:after="240"/>
        <w:ind w:left="1440" w:hanging="1440"/>
        <w:rPr>
          <w:rFonts w:eastAsiaTheme="minorEastAsia"/>
          <w:b/>
          <w:lang w:val="fr-CA"/>
        </w:rPr>
      </w:pPr>
      <w:r w:rsidRPr="00972B27">
        <w:rPr>
          <w:b/>
          <w:lang w:val="fr-CA"/>
        </w:rPr>
        <w:t>PART</w:t>
      </w:r>
      <w:r w:rsidR="00F478B7" w:rsidRPr="00972B27">
        <w:rPr>
          <w:b/>
          <w:lang w:val="fr-CA"/>
        </w:rPr>
        <w:t>IE </w:t>
      </w:r>
      <w:r w:rsidRPr="00972B27">
        <w:rPr>
          <w:b/>
          <w:lang w:val="fr-CA"/>
        </w:rPr>
        <w:t>IV</w:t>
      </w:r>
      <w:r w:rsidR="00F478B7" w:rsidRPr="00972B27">
        <w:rPr>
          <w:b/>
          <w:lang w:val="fr-CA"/>
        </w:rPr>
        <w:t> </w:t>
      </w:r>
      <w:r w:rsidRPr="00972B27">
        <w:rPr>
          <w:b/>
          <w:lang w:val="fr-CA"/>
        </w:rPr>
        <w:t xml:space="preserve">:  </w:t>
      </w:r>
      <w:r w:rsidRPr="00972B27">
        <w:rPr>
          <w:b/>
          <w:lang w:val="fr-CA"/>
        </w:rPr>
        <w:tab/>
      </w:r>
      <w:r w:rsidR="0081498E" w:rsidRPr="00972B27">
        <w:rPr>
          <w:b/>
          <w:lang w:val="fr-CA"/>
        </w:rPr>
        <w:t xml:space="preserve">RAPPORT ACTUALISÉ SUR LA PRODUCTION DE CTC ET </w:t>
      </w:r>
      <w:r w:rsidR="00585107">
        <w:rPr>
          <w:b/>
          <w:lang w:val="fr-CA"/>
        </w:rPr>
        <w:t>SON</w:t>
      </w:r>
      <w:r w:rsidR="0081498E" w:rsidRPr="00972B27">
        <w:rPr>
          <w:b/>
          <w:lang w:val="fr-CA"/>
        </w:rPr>
        <w:t xml:space="preserve"> UTILISATION COMME MATIÈRE PREMIÈRE </w:t>
      </w:r>
    </w:p>
    <w:p w14:paraId="5EF4A425" w14:textId="443594B1" w:rsidR="00C13A6D" w:rsidRPr="00972B27" w:rsidRDefault="0081498E" w:rsidP="00C13A6D">
      <w:pPr>
        <w:pStyle w:val="Heading1"/>
        <w:rPr>
          <w:rFonts w:eastAsiaTheme="minorEastAsia"/>
          <w:lang w:val="fr-CA"/>
        </w:rPr>
      </w:pPr>
      <w:r w:rsidRPr="00972B27">
        <w:rPr>
          <w:lang w:val="fr-CA"/>
        </w:rPr>
        <w:t>Le gouvernement de la Chine</w:t>
      </w:r>
      <w:r w:rsidR="00593EAF" w:rsidRPr="00972B27">
        <w:rPr>
          <w:lang w:val="fr-CA"/>
        </w:rPr>
        <w:t xml:space="preserve"> a</w:t>
      </w:r>
      <w:r w:rsidRPr="00972B27">
        <w:rPr>
          <w:lang w:val="fr-CA"/>
        </w:rPr>
        <w:t xml:space="preserve"> présenté, par l’intermédiaire de la Banque mondiale, </w:t>
      </w:r>
      <w:r w:rsidR="00593EAF" w:rsidRPr="00972B27">
        <w:rPr>
          <w:lang w:val="fr-CA"/>
        </w:rPr>
        <w:t>u</w:t>
      </w:r>
      <w:r w:rsidRPr="00972B27">
        <w:rPr>
          <w:lang w:val="fr-CA"/>
        </w:rPr>
        <w:t xml:space="preserve">n rapport actualisé sur la production de CTC et </w:t>
      </w:r>
      <w:r w:rsidR="00C21E41">
        <w:rPr>
          <w:lang w:val="fr-CA"/>
        </w:rPr>
        <w:t>son</w:t>
      </w:r>
      <w:r w:rsidRPr="00972B27">
        <w:rPr>
          <w:lang w:val="fr-CA"/>
        </w:rPr>
        <w:t xml:space="preserve"> utilisation comme matière première en Chine,</w:t>
      </w:r>
      <w:r w:rsidR="00C13A6D" w:rsidRPr="004C2665">
        <w:rPr>
          <w:rStyle w:val="FootnoteReference"/>
        </w:rPr>
        <w:footnoteReference w:id="6"/>
      </w:r>
      <w:r w:rsidR="00C13A6D" w:rsidRPr="00972B27">
        <w:rPr>
          <w:lang w:val="fr-CA"/>
        </w:rPr>
        <w:t xml:space="preserve"> </w:t>
      </w:r>
      <w:r w:rsidR="00D87522" w:rsidRPr="00972B27">
        <w:rPr>
          <w:lang w:val="fr-CA"/>
        </w:rPr>
        <w:t>conformément à la décision</w:t>
      </w:r>
      <w:r w:rsidR="00593EAF" w:rsidRPr="00972B27">
        <w:rPr>
          <w:lang w:val="fr-CA"/>
        </w:rPr>
        <w:t> </w:t>
      </w:r>
      <w:r w:rsidR="00C13A6D" w:rsidRPr="00972B27">
        <w:rPr>
          <w:lang w:val="fr-CA"/>
        </w:rPr>
        <w:t>84/41</w:t>
      </w:r>
      <w:r w:rsidR="00593EAF" w:rsidRPr="00972B27">
        <w:rPr>
          <w:lang w:val="fr-CA"/>
        </w:rPr>
        <w:t> </w:t>
      </w:r>
      <w:r w:rsidR="00C13A6D" w:rsidRPr="00972B27">
        <w:rPr>
          <w:lang w:val="fr-CA"/>
        </w:rPr>
        <w:t>b).</w:t>
      </w:r>
      <w:r w:rsidR="00C13A6D" w:rsidRPr="004C2665">
        <w:rPr>
          <w:rStyle w:val="FootnoteReference"/>
        </w:rPr>
        <w:footnoteReference w:id="7"/>
      </w:r>
      <w:r w:rsidR="00C13A6D" w:rsidRPr="00972B27">
        <w:rPr>
          <w:rFonts w:eastAsiaTheme="minorEastAsia"/>
          <w:lang w:val="fr-CA"/>
        </w:rPr>
        <w:t xml:space="preserve"> </w:t>
      </w:r>
    </w:p>
    <w:p w14:paraId="7EFFD2D7" w14:textId="77777777" w:rsidR="003E4C19" w:rsidRPr="004C2665" w:rsidRDefault="003E4C19" w:rsidP="003E4C19">
      <w:pPr>
        <w:widowControl w:val="0"/>
        <w:spacing w:after="240"/>
        <w:outlineLvl w:val="0"/>
        <w:rPr>
          <w:rFonts w:eastAsiaTheme="minorEastAsia"/>
          <w:b/>
          <w:noProof/>
        </w:rPr>
      </w:pPr>
      <w:r>
        <w:rPr>
          <w:rFonts w:eastAsiaTheme="minorEastAsia"/>
          <w:b/>
          <w:noProof/>
        </w:rPr>
        <w:t>Observations du Secrétariat</w:t>
      </w:r>
    </w:p>
    <w:p w14:paraId="3756BE01" w14:textId="20C78343" w:rsidR="00C13A6D" w:rsidRPr="00972B27" w:rsidRDefault="00542186" w:rsidP="00C13A6D">
      <w:pPr>
        <w:pStyle w:val="Heading1"/>
        <w:rPr>
          <w:rFonts w:eastAsiaTheme="minorEastAsia"/>
          <w:lang w:val="fr-CA"/>
        </w:rPr>
      </w:pPr>
      <w:r w:rsidRPr="00972B27">
        <w:rPr>
          <w:lang w:val="fr-CA"/>
        </w:rPr>
        <w:t xml:space="preserve">Le rapport </w:t>
      </w:r>
      <w:r w:rsidR="007B3FDB" w:rsidRPr="00972B27">
        <w:rPr>
          <w:lang w:val="fr-CA"/>
        </w:rPr>
        <w:t xml:space="preserve">a </w:t>
      </w:r>
      <w:r w:rsidRPr="00972B27">
        <w:rPr>
          <w:lang w:val="fr-CA"/>
        </w:rPr>
        <w:t>été présenté le 2</w:t>
      </w:r>
      <w:r w:rsidR="007B3FDB" w:rsidRPr="00972B27">
        <w:rPr>
          <w:lang w:val="fr-CA"/>
        </w:rPr>
        <w:t>0</w:t>
      </w:r>
      <w:r w:rsidR="00D77999" w:rsidRPr="00972B27">
        <w:rPr>
          <w:lang w:val="fr-CA"/>
        </w:rPr>
        <w:t> </w:t>
      </w:r>
      <w:r w:rsidRPr="00972B27">
        <w:rPr>
          <w:lang w:val="fr-CA"/>
        </w:rPr>
        <w:t>septembre</w:t>
      </w:r>
      <w:r w:rsidR="00D77999" w:rsidRPr="00972B27">
        <w:rPr>
          <w:lang w:val="fr-CA"/>
        </w:rPr>
        <w:t> </w:t>
      </w:r>
      <w:r w:rsidRPr="00972B27">
        <w:rPr>
          <w:lang w:val="fr-CA"/>
        </w:rPr>
        <w:t xml:space="preserve">2021. Compte tenu du peu de temps disponible, le Secrétariat n’a pas été en mesure de mener un examen approfondi du rapport, ni de mener des discussions avec la Banque mondiale. </w:t>
      </w:r>
      <w:r w:rsidR="007B3FDB" w:rsidRPr="00972B27">
        <w:rPr>
          <w:lang w:val="fr-CA"/>
        </w:rPr>
        <w:t>P</w:t>
      </w:r>
      <w:r w:rsidRPr="00972B27">
        <w:rPr>
          <w:lang w:val="fr-CA"/>
        </w:rPr>
        <w:t>ar conséquent, le Secrétariat présentera le document et les résultats de son examen à la 90</w:t>
      </w:r>
      <w:r w:rsidRPr="00972B27">
        <w:rPr>
          <w:vertAlign w:val="superscript"/>
          <w:lang w:val="fr-CA"/>
        </w:rPr>
        <w:t>e</w:t>
      </w:r>
      <w:r w:rsidR="00D77999" w:rsidRPr="00972B27">
        <w:rPr>
          <w:lang w:val="fr-CA"/>
        </w:rPr>
        <w:t> </w:t>
      </w:r>
      <w:r w:rsidRPr="00972B27">
        <w:rPr>
          <w:lang w:val="fr-CA"/>
        </w:rPr>
        <w:t>réunion.</w:t>
      </w:r>
      <w:r w:rsidR="00C13A6D" w:rsidRPr="00972B27">
        <w:rPr>
          <w:lang w:val="fr-CA"/>
        </w:rPr>
        <w:t xml:space="preserve"> </w:t>
      </w:r>
    </w:p>
    <w:p w14:paraId="15C3FD70" w14:textId="61E38B53" w:rsidR="00C13A6D" w:rsidRPr="00972B27" w:rsidRDefault="00542186" w:rsidP="00C13A6D">
      <w:pPr>
        <w:pStyle w:val="Heading1"/>
        <w:rPr>
          <w:rFonts w:eastAsiaTheme="minorEastAsia"/>
          <w:lang w:val="fr-CA"/>
        </w:rPr>
      </w:pPr>
      <w:r w:rsidRPr="00972B27">
        <w:rPr>
          <w:lang w:val="fr-CA"/>
        </w:rPr>
        <w:t>Suite à un examen préliminaire, le Secrétariat a noté que le rapport confirm</w:t>
      </w:r>
      <w:r w:rsidR="007B3FDB" w:rsidRPr="00972B27">
        <w:rPr>
          <w:lang w:val="fr-CA"/>
        </w:rPr>
        <w:t>ait</w:t>
      </w:r>
      <w:r w:rsidRPr="00972B27">
        <w:rPr>
          <w:lang w:val="fr-CA"/>
        </w:rPr>
        <w:t xml:space="preserve"> qu’il n’y avait </w:t>
      </w:r>
      <w:r w:rsidR="007B3FDB" w:rsidRPr="00972B27">
        <w:rPr>
          <w:lang w:val="fr-CA"/>
        </w:rPr>
        <w:t>qu’</w:t>
      </w:r>
      <w:r w:rsidRPr="00972B27">
        <w:rPr>
          <w:lang w:val="fr-CA"/>
        </w:rPr>
        <w:t xml:space="preserve">une usine de perchloroéthylène (PCE) qui avait recours au processus de </w:t>
      </w:r>
      <w:proofErr w:type="spellStart"/>
      <w:r w:rsidRPr="00972B27">
        <w:rPr>
          <w:lang w:val="fr-CA"/>
        </w:rPr>
        <w:t>c</w:t>
      </w:r>
      <w:r w:rsidR="007B3FDB" w:rsidRPr="00972B27">
        <w:rPr>
          <w:lang w:val="fr-CA"/>
        </w:rPr>
        <w:t>hlorination</w:t>
      </w:r>
      <w:proofErr w:type="spellEnd"/>
      <w:r w:rsidR="007B3FDB" w:rsidRPr="00972B27">
        <w:rPr>
          <w:lang w:val="fr-CA"/>
        </w:rPr>
        <w:t xml:space="preserve"> al</w:t>
      </w:r>
      <w:r w:rsidR="008D323E">
        <w:rPr>
          <w:lang w:val="fr-CA"/>
        </w:rPr>
        <w:t>c</w:t>
      </w:r>
      <w:r w:rsidR="007B3FDB" w:rsidRPr="00972B27">
        <w:rPr>
          <w:lang w:val="fr-CA"/>
        </w:rPr>
        <w:t>ane</w:t>
      </w:r>
      <w:r w:rsidRPr="00972B27">
        <w:rPr>
          <w:lang w:val="fr-CA"/>
        </w:rPr>
        <w:t>. Tous les sous</w:t>
      </w:r>
      <w:r w:rsidR="007B3FDB" w:rsidRPr="00972B27">
        <w:rPr>
          <w:lang w:val="fr-CA"/>
        </w:rPr>
        <w:noBreakHyphen/>
      </w:r>
      <w:r w:rsidRPr="00972B27">
        <w:rPr>
          <w:lang w:val="fr-CA"/>
        </w:rPr>
        <w:t>produits du CTC obtenu</w:t>
      </w:r>
      <w:r w:rsidR="007B3FDB" w:rsidRPr="00972B27">
        <w:rPr>
          <w:lang w:val="fr-CA"/>
        </w:rPr>
        <w:t>s</w:t>
      </w:r>
      <w:r w:rsidRPr="00972B27">
        <w:rPr>
          <w:lang w:val="fr-CA"/>
        </w:rPr>
        <w:t xml:space="preserve"> </w:t>
      </w:r>
      <w:r w:rsidR="008D323E">
        <w:rPr>
          <w:lang w:val="fr-CA"/>
        </w:rPr>
        <w:t>par</w:t>
      </w:r>
      <w:r w:rsidRPr="00972B27">
        <w:rPr>
          <w:lang w:val="fr-CA"/>
        </w:rPr>
        <w:t xml:space="preserve"> cette entreprise sont recyclés directement dans le réacteur, </w:t>
      </w:r>
      <w:r w:rsidR="00372C6D" w:rsidRPr="00972B27">
        <w:rPr>
          <w:lang w:val="fr-CA"/>
        </w:rPr>
        <w:t xml:space="preserve">avec d’autres réactifs, après </w:t>
      </w:r>
      <w:r w:rsidR="007B3FDB" w:rsidRPr="00972B27">
        <w:rPr>
          <w:lang w:val="fr-CA"/>
        </w:rPr>
        <w:t>la</w:t>
      </w:r>
      <w:r w:rsidR="00372C6D" w:rsidRPr="00972B27">
        <w:rPr>
          <w:lang w:val="fr-CA"/>
        </w:rPr>
        <w:t xml:space="preserve"> distillation des produits</w:t>
      </w:r>
      <w:r w:rsidR="007B3FDB" w:rsidRPr="00972B27">
        <w:rPr>
          <w:lang w:val="fr-CA"/>
        </w:rPr>
        <w:t>. Le CTC</w:t>
      </w:r>
      <w:r w:rsidR="00372C6D" w:rsidRPr="00972B27">
        <w:rPr>
          <w:lang w:val="fr-CA"/>
        </w:rPr>
        <w:t xml:space="preserve"> e</w:t>
      </w:r>
      <w:r w:rsidR="007B3FDB" w:rsidRPr="00972B27">
        <w:rPr>
          <w:lang w:val="fr-CA"/>
        </w:rPr>
        <w:t>s</w:t>
      </w:r>
      <w:r w:rsidR="00372C6D" w:rsidRPr="00972B27">
        <w:rPr>
          <w:lang w:val="fr-CA"/>
        </w:rPr>
        <w:t>t partiellement séparé dans la tour de trempage, et dans les unités de purification; les flux émanant de ces processus qui renferment</w:t>
      </w:r>
      <w:r w:rsidR="008B1485" w:rsidRPr="00972B27">
        <w:rPr>
          <w:lang w:val="fr-CA"/>
        </w:rPr>
        <w:t xml:space="preserve"> un</w:t>
      </w:r>
      <w:r w:rsidR="00372C6D" w:rsidRPr="00972B27">
        <w:rPr>
          <w:lang w:val="fr-CA"/>
        </w:rPr>
        <w:t xml:space="preserve"> mélange de CTC, </w:t>
      </w:r>
      <w:r w:rsidR="008B1485" w:rsidRPr="00972B27">
        <w:rPr>
          <w:lang w:val="fr-CA"/>
        </w:rPr>
        <w:t>P</w:t>
      </w:r>
      <w:r w:rsidR="00372C6D" w:rsidRPr="00972B27">
        <w:rPr>
          <w:lang w:val="fr-CA"/>
        </w:rPr>
        <w:t>CE et autres constituant</w:t>
      </w:r>
      <w:r w:rsidR="00890CD3" w:rsidRPr="00972B27">
        <w:rPr>
          <w:lang w:val="fr-CA"/>
        </w:rPr>
        <w:t>s</w:t>
      </w:r>
      <w:r w:rsidR="00372C6D" w:rsidRPr="00972B27">
        <w:rPr>
          <w:lang w:val="fr-CA"/>
        </w:rPr>
        <w:t xml:space="preserve"> sont conservés dans </w:t>
      </w:r>
      <w:r w:rsidR="008B1485" w:rsidRPr="00972B27">
        <w:rPr>
          <w:lang w:val="fr-CA"/>
        </w:rPr>
        <w:t>un</w:t>
      </w:r>
      <w:r w:rsidR="00372C6D" w:rsidRPr="00972B27">
        <w:rPr>
          <w:lang w:val="fr-CA"/>
        </w:rPr>
        <w:t xml:space="preserve"> réservoir de stockage, et la substance ne peut être vendue </w:t>
      </w:r>
      <w:r w:rsidR="008B1485" w:rsidRPr="00972B27">
        <w:rPr>
          <w:lang w:val="fr-CA"/>
        </w:rPr>
        <w:t>sans d’abord</w:t>
      </w:r>
      <w:r w:rsidR="00372C6D" w:rsidRPr="00972B27">
        <w:rPr>
          <w:lang w:val="fr-CA"/>
        </w:rPr>
        <w:t xml:space="preserve"> avoir été purifiée. Comme il n’y a pas d’unités de purification de CTC dans l’entreprise, celui-ci </w:t>
      </w:r>
      <w:r w:rsidR="00372C6D" w:rsidRPr="00972B27">
        <w:rPr>
          <w:lang w:val="fr-CA"/>
        </w:rPr>
        <w:lastRenderedPageBreak/>
        <w:t>ne peut être vendu; le contenu du réservoir de stockage, y compris les sous</w:t>
      </w:r>
      <w:r w:rsidR="00D77999" w:rsidRPr="00972B27">
        <w:rPr>
          <w:lang w:val="fr-CA"/>
        </w:rPr>
        <w:t>-</w:t>
      </w:r>
      <w:r w:rsidR="00372C6D" w:rsidRPr="00972B27">
        <w:rPr>
          <w:lang w:val="fr-CA"/>
        </w:rPr>
        <w:t>produits de CTC, e</w:t>
      </w:r>
      <w:r w:rsidR="008B1485" w:rsidRPr="00972B27">
        <w:rPr>
          <w:lang w:val="fr-CA"/>
        </w:rPr>
        <w:t>s</w:t>
      </w:r>
      <w:r w:rsidR="00372C6D" w:rsidRPr="00972B27">
        <w:rPr>
          <w:lang w:val="fr-CA"/>
        </w:rPr>
        <w:t>t recyclé</w:t>
      </w:r>
      <w:r w:rsidR="008B1485" w:rsidRPr="00972B27">
        <w:rPr>
          <w:lang w:val="fr-CA"/>
        </w:rPr>
        <w:t xml:space="preserve"> </w:t>
      </w:r>
      <w:r w:rsidR="00372C6D" w:rsidRPr="00972B27">
        <w:rPr>
          <w:lang w:val="fr-CA"/>
        </w:rPr>
        <w:t>dans le réacteur. La production de l’entreprise est supervisée par le bureau local de l’écologie et de l’</w:t>
      </w:r>
      <w:r w:rsidR="008B1485" w:rsidRPr="00972B27">
        <w:rPr>
          <w:lang w:val="fr-CA"/>
        </w:rPr>
        <w:t>e</w:t>
      </w:r>
      <w:r w:rsidR="00372C6D" w:rsidRPr="00972B27">
        <w:rPr>
          <w:lang w:val="fr-CA"/>
        </w:rPr>
        <w:t>nvironnement (</w:t>
      </w:r>
      <w:r w:rsidR="008B1485" w:rsidRPr="00972B27">
        <w:rPr>
          <w:lang w:val="fr-CA"/>
        </w:rPr>
        <w:t>EEB</w:t>
      </w:r>
      <w:r w:rsidR="00372C6D" w:rsidRPr="00972B27">
        <w:rPr>
          <w:lang w:val="fr-CA"/>
        </w:rPr>
        <w:t>), dont la tâche consiste à mener des activités régulière</w:t>
      </w:r>
      <w:r w:rsidR="00890CD3" w:rsidRPr="00972B27">
        <w:rPr>
          <w:lang w:val="fr-CA"/>
        </w:rPr>
        <w:t>s</w:t>
      </w:r>
      <w:r w:rsidR="00372C6D" w:rsidRPr="00972B27">
        <w:rPr>
          <w:lang w:val="fr-CA"/>
        </w:rPr>
        <w:t xml:space="preserve"> de supervision et de surveillance de l’environnement</w:t>
      </w:r>
      <w:r w:rsidR="008D323E">
        <w:rPr>
          <w:lang w:val="fr-CA"/>
        </w:rPr>
        <w:t>,</w:t>
      </w:r>
      <w:r w:rsidR="00372C6D" w:rsidRPr="00972B27">
        <w:rPr>
          <w:lang w:val="fr-CA"/>
        </w:rPr>
        <w:t xml:space="preserve"> et des inspections de temps à autre, afin de veiller à ce qu’il ne reste plus de CTC dans la chaîne de production.</w:t>
      </w:r>
    </w:p>
    <w:p w14:paraId="1ADE79B2" w14:textId="067D9B44" w:rsidR="00C13A6D" w:rsidRPr="00036DAC" w:rsidRDefault="00A851BE" w:rsidP="00C13A6D">
      <w:pPr>
        <w:pStyle w:val="Heading1"/>
        <w:rPr>
          <w:lang w:val="fr-CA"/>
        </w:rPr>
      </w:pPr>
      <w:r w:rsidRPr="00972B27">
        <w:rPr>
          <w:rFonts w:eastAsiaTheme="minorEastAsia"/>
          <w:lang w:val="fr-CA"/>
        </w:rPr>
        <w:t>L</w:t>
      </w:r>
      <w:r w:rsidR="00372C6D" w:rsidRPr="00972B27">
        <w:rPr>
          <w:rFonts w:eastAsiaTheme="minorEastAsia"/>
          <w:lang w:val="fr-CA"/>
        </w:rPr>
        <w:t xml:space="preserve">e rapport ne contient pas de renseignements ni d’analyse au sujet des différences dans les émissions </w:t>
      </w:r>
      <w:r w:rsidRPr="00972B27">
        <w:rPr>
          <w:rFonts w:eastAsiaTheme="minorEastAsia"/>
          <w:lang w:val="fr-CA"/>
        </w:rPr>
        <w:t>constat</w:t>
      </w:r>
      <w:r w:rsidR="008B1485" w:rsidRPr="00972B27">
        <w:rPr>
          <w:rFonts w:eastAsiaTheme="minorEastAsia"/>
          <w:lang w:val="fr-CA"/>
        </w:rPr>
        <w:t>ées</w:t>
      </w:r>
      <w:r w:rsidRPr="00972B27">
        <w:rPr>
          <w:rFonts w:eastAsiaTheme="minorEastAsia"/>
          <w:lang w:val="fr-CA"/>
        </w:rPr>
        <w:t xml:space="preserve"> dans l’évaluation scientifique </w:t>
      </w:r>
      <w:r w:rsidR="008D323E">
        <w:rPr>
          <w:rFonts w:eastAsiaTheme="minorEastAsia"/>
          <w:lang w:val="fr-CA"/>
        </w:rPr>
        <w:t>de l’appauvrissement de</w:t>
      </w:r>
      <w:r w:rsidRPr="00972B27">
        <w:rPr>
          <w:rFonts w:eastAsiaTheme="minorEastAsia"/>
          <w:lang w:val="fr-CA"/>
        </w:rPr>
        <w:t xml:space="preserve"> la couche d’ozone</w:t>
      </w:r>
      <w:r w:rsidR="008B1485" w:rsidRPr="00972B27">
        <w:rPr>
          <w:rFonts w:eastAsiaTheme="minorEastAsia"/>
          <w:lang w:val="fr-CA"/>
        </w:rPr>
        <w:t> </w:t>
      </w:r>
      <w:r w:rsidRPr="00972B27">
        <w:rPr>
          <w:rFonts w:eastAsiaTheme="minorEastAsia"/>
          <w:lang w:val="fr-CA"/>
        </w:rPr>
        <w:t>2018 et dans les documents</w:t>
      </w:r>
      <w:r w:rsidR="008B1485" w:rsidRPr="00972B27">
        <w:rPr>
          <w:rFonts w:eastAsiaTheme="minorEastAsia"/>
          <w:lang w:val="fr-CA"/>
        </w:rPr>
        <w:t> </w:t>
      </w:r>
      <w:r w:rsidR="00C13A6D" w:rsidRPr="00972B27">
        <w:rPr>
          <w:lang w:val="fr-CA"/>
        </w:rPr>
        <w:t>UNEP/</w:t>
      </w:r>
      <w:proofErr w:type="spellStart"/>
      <w:r w:rsidR="00C13A6D" w:rsidRPr="00972B27">
        <w:rPr>
          <w:lang w:val="fr-CA"/>
        </w:rPr>
        <w:t>OzL.Pro</w:t>
      </w:r>
      <w:proofErr w:type="spellEnd"/>
      <w:r w:rsidR="00C13A6D" w:rsidRPr="00972B27">
        <w:rPr>
          <w:lang w:val="fr-CA"/>
        </w:rPr>
        <w:t>/</w:t>
      </w:r>
      <w:proofErr w:type="spellStart"/>
      <w:r w:rsidR="00C13A6D" w:rsidRPr="00972B27">
        <w:rPr>
          <w:lang w:val="fr-CA"/>
        </w:rPr>
        <w:t>ExCom</w:t>
      </w:r>
      <w:proofErr w:type="spellEnd"/>
      <w:r w:rsidR="00C13A6D" w:rsidRPr="00972B27">
        <w:rPr>
          <w:lang w:val="fr-CA"/>
        </w:rPr>
        <w:t xml:space="preserve">/84/22/Add.2 </w:t>
      </w:r>
      <w:r w:rsidR="008B1485" w:rsidRPr="00972B27">
        <w:rPr>
          <w:lang w:val="fr-CA"/>
        </w:rPr>
        <w:t>et</w:t>
      </w:r>
      <w:r w:rsidR="00C13A6D" w:rsidRPr="00972B27">
        <w:rPr>
          <w:lang w:val="fr-CA"/>
        </w:rPr>
        <w:t xml:space="preserve"> Add.3. </w:t>
      </w:r>
      <w:r w:rsidRPr="00972B27">
        <w:rPr>
          <w:lang w:val="fr-CA"/>
        </w:rPr>
        <w:t xml:space="preserve">En particulier, </w:t>
      </w:r>
      <w:r w:rsidR="004C5880" w:rsidRPr="00972B27">
        <w:rPr>
          <w:lang w:val="fr-CA"/>
        </w:rPr>
        <w:t xml:space="preserve">le </w:t>
      </w:r>
      <w:r w:rsidRPr="00972B27">
        <w:rPr>
          <w:lang w:val="fr-CA"/>
        </w:rPr>
        <w:t xml:space="preserve">rapport actualisé comprend des évaluations des émissions de CTC qui sont </w:t>
      </w:r>
      <w:r w:rsidR="00036DAC">
        <w:rPr>
          <w:lang w:val="fr-CA"/>
        </w:rPr>
        <w:t xml:space="preserve">de </w:t>
      </w:r>
      <w:r w:rsidRPr="00972B27">
        <w:rPr>
          <w:lang w:val="fr-CA"/>
        </w:rPr>
        <w:t>plusieurs ordres de grandeur inférieur</w:t>
      </w:r>
      <w:r w:rsidR="00833C28" w:rsidRPr="00972B27">
        <w:rPr>
          <w:lang w:val="fr-CA"/>
        </w:rPr>
        <w:t>s</w:t>
      </w:r>
      <w:r w:rsidRPr="00972B27">
        <w:rPr>
          <w:lang w:val="fr-CA"/>
        </w:rPr>
        <w:t xml:space="preserve"> à celle</w:t>
      </w:r>
      <w:r w:rsidR="00833C28" w:rsidRPr="00972B27">
        <w:rPr>
          <w:lang w:val="fr-CA"/>
        </w:rPr>
        <w:t>s</w:t>
      </w:r>
      <w:r w:rsidRPr="00972B27">
        <w:rPr>
          <w:lang w:val="fr-CA"/>
        </w:rPr>
        <w:t xml:space="preserve"> contenu</w:t>
      </w:r>
      <w:r w:rsidR="00833C28" w:rsidRPr="00972B27">
        <w:rPr>
          <w:lang w:val="fr-CA"/>
        </w:rPr>
        <w:t>es</w:t>
      </w:r>
      <w:r w:rsidRPr="00972B27">
        <w:rPr>
          <w:lang w:val="fr-CA"/>
        </w:rPr>
        <w:t xml:space="preserve"> dans le rapport d’évaluation scientifique de</w:t>
      </w:r>
      <w:r w:rsidR="00833C28" w:rsidRPr="00972B27">
        <w:rPr>
          <w:lang w:val="fr-CA"/>
        </w:rPr>
        <w:t> </w:t>
      </w:r>
      <w:r w:rsidRPr="00972B27">
        <w:rPr>
          <w:lang w:val="fr-CA"/>
        </w:rPr>
        <w:t xml:space="preserve">2018, ainsi que dans </w:t>
      </w:r>
      <w:r w:rsidR="00833C28" w:rsidRPr="00972B27">
        <w:rPr>
          <w:lang w:val="fr-CA"/>
        </w:rPr>
        <w:t>un</w:t>
      </w:r>
      <w:r w:rsidRPr="00972B27">
        <w:rPr>
          <w:lang w:val="fr-CA"/>
        </w:rPr>
        <w:t xml:space="preserve"> article de revue scientifique</w:t>
      </w:r>
      <w:r w:rsidR="00833C28" w:rsidRPr="00972B27">
        <w:rPr>
          <w:lang w:val="fr-CA"/>
        </w:rPr>
        <w:t xml:space="preserve"> </w:t>
      </w:r>
      <w:r w:rsidR="00036DAC">
        <w:rPr>
          <w:lang w:val="fr-CA"/>
        </w:rPr>
        <w:t>de</w:t>
      </w:r>
      <w:r w:rsidRPr="00972B27">
        <w:rPr>
          <w:lang w:val="fr-CA"/>
        </w:rPr>
        <w:t xml:space="preserve"> </w:t>
      </w:r>
      <w:proofErr w:type="spellStart"/>
      <w:r w:rsidR="00C13A6D" w:rsidRPr="00972B27">
        <w:rPr>
          <w:lang w:val="fr-CA"/>
        </w:rPr>
        <w:t>Lunt</w:t>
      </w:r>
      <w:proofErr w:type="spellEnd"/>
      <w:r w:rsidR="00C13A6D" w:rsidRPr="00972B27">
        <w:rPr>
          <w:lang w:val="fr-CA"/>
        </w:rPr>
        <w:t xml:space="preserve"> et </w:t>
      </w:r>
      <w:r w:rsidR="00833C28" w:rsidRPr="00972B27">
        <w:rPr>
          <w:lang w:val="fr-CA"/>
        </w:rPr>
        <w:t>coll</w:t>
      </w:r>
      <w:r w:rsidR="00C13A6D" w:rsidRPr="00972B27">
        <w:rPr>
          <w:lang w:val="fr-CA"/>
        </w:rPr>
        <w:t xml:space="preserve">. </w:t>
      </w:r>
      <w:r w:rsidR="00C13A6D" w:rsidRPr="00E72239">
        <w:rPr>
          <w:lang w:val="fr-CA"/>
        </w:rPr>
        <w:t>(2018),</w:t>
      </w:r>
      <w:r w:rsidR="00C13A6D" w:rsidRPr="004C2665">
        <w:rPr>
          <w:rStyle w:val="FootnoteReference"/>
          <w:kern w:val="36"/>
        </w:rPr>
        <w:footnoteReference w:id="8"/>
      </w:r>
      <w:r w:rsidR="00C13A6D" w:rsidRPr="00E72239">
        <w:rPr>
          <w:lang w:val="fr-CA"/>
        </w:rPr>
        <w:t xml:space="preserve"> </w:t>
      </w:r>
      <w:r w:rsidRPr="00E72239">
        <w:rPr>
          <w:lang w:val="fr-CA"/>
        </w:rPr>
        <w:t>qui a été publié trop tard pour être pris en compte dans le rapport de</w:t>
      </w:r>
      <w:r w:rsidR="00833C28" w:rsidRPr="00E72239">
        <w:rPr>
          <w:lang w:val="fr-CA"/>
        </w:rPr>
        <w:t> </w:t>
      </w:r>
      <w:r w:rsidRPr="00E72239">
        <w:rPr>
          <w:lang w:val="fr-CA"/>
        </w:rPr>
        <w:t xml:space="preserve">2018. </w:t>
      </w:r>
      <w:r w:rsidRPr="00972B27">
        <w:rPr>
          <w:lang w:val="fr-CA"/>
        </w:rPr>
        <w:t>Le Secrétariat note qu’au moins un site de surveillance atmosphérique en Chine</w:t>
      </w:r>
      <w:r w:rsidR="00C13A6D" w:rsidRPr="004C2665">
        <w:rPr>
          <w:rStyle w:val="FootnoteReference"/>
        </w:rPr>
        <w:footnoteReference w:id="9"/>
      </w:r>
      <w:r w:rsidR="00C13A6D" w:rsidRPr="00972B27">
        <w:rPr>
          <w:lang w:val="fr-CA"/>
        </w:rPr>
        <w:t xml:space="preserve"> </w:t>
      </w:r>
      <w:r w:rsidRPr="00972B27">
        <w:rPr>
          <w:lang w:val="fr-CA"/>
        </w:rPr>
        <w:t xml:space="preserve">comprend </w:t>
      </w:r>
      <w:r w:rsidR="00833C28" w:rsidRPr="00972B27">
        <w:rPr>
          <w:lang w:val="fr-CA"/>
        </w:rPr>
        <w:t>d</w:t>
      </w:r>
      <w:r w:rsidRPr="00972B27">
        <w:rPr>
          <w:lang w:val="fr-CA"/>
        </w:rPr>
        <w:t xml:space="preserve">es observations </w:t>
      </w:r>
      <w:r w:rsidR="002216CE" w:rsidRPr="00972B27">
        <w:rPr>
          <w:lang w:val="fr-CA"/>
        </w:rPr>
        <w:t>de</w:t>
      </w:r>
      <w:r w:rsidR="00036DAC">
        <w:rPr>
          <w:lang w:val="fr-CA"/>
        </w:rPr>
        <w:t xml:space="preserve">s concentrations atmosphériques </w:t>
      </w:r>
      <w:r w:rsidR="002216CE" w:rsidRPr="00972B27">
        <w:rPr>
          <w:lang w:val="fr-CA"/>
        </w:rPr>
        <w:t xml:space="preserve">de CTC, mais on ne sait pas avec certitude </w:t>
      </w:r>
      <w:r w:rsidR="00833C28" w:rsidRPr="00972B27">
        <w:rPr>
          <w:lang w:val="fr-CA"/>
        </w:rPr>
        <w:t>si</w:t>
      </w:r>
      <w:r w:rsidR="002216CE" w:rsidRPr="00972B27">
        <w:rPr>
          <w:lang w:val="fr-CA"/>
        </w:rPr>
        <w:t xml:space="preserve"> ces observations ont été analysé</w:t>
      </w:r>
      <w:r w:rsidR="00833C28" w:rsidRPr="00972B27">
        <w:rPr>
          <w:lang w:val="fr-CA"/>
        </w:rPr>
        <w:t>es</w:t>
      </w:r>
      <w:r w:rsidR="002216CE" w:rsidRPr="00972B27">
        <w:rPr>
          <w:lang w:val="fr-CA"/>
        </w:rPr>
        <w:t xml:space="preserve"> ou comparé</w:t>
      </w:r>
      <w:r w:rsidR="00833C28" w:rsidRPr="00972B27">
        <w:rPr>
          <w:lang w:val="fr-CA"/>
        </w:rPr>
        <w:t>es</w:t>
      </w:r>
      <w:r w:rsidR="002216CE" w:rsidRPr="00972B27">
        <w:rPr>
          <w:lang w:val="fr-CA"/>
        </w:rPr>
        <w:t xml:space="preserve"> avec celle</w:t>
      </w:r>
      <w:r w:rsidR="00833C28" w:rsidRPr="00972B27">
        <w:rPr>
          <w:lang w:val="fr-CA"/>
        </w:rPr>
        <w:t>s</w:t>
      </w:r>
      <w:r w:rsidR="002216CE" w:rsidRPr="00972B27">
        <w:rPr>
          <w:lang w:val="fr-CA"/>
        </w:rPr>
        <w:t xml:space="preserve"> de </w:t>
      </w:r>
      <w:proofErr w:type="spellStart"/>
      <w:r w:rsidR="00C13A6D" w:rsidRPr="00972B27">
        <w:rPr>
          <w:lang w:val="fr-CA"/>
        </w:rPr>
        <w:t>Lunt</w:t>
      </w:r>
      <w:proofErr w:type="spellEnd"/>
      <w:r w:rsidR="00C13A6D" w:rsidRPr="00972B27">
        <w:rPr>
          <w:lang w:val="fr-CA"/>
        </w:rPr>
        <w:t xml:space="preserve"> et </w:t>
      </w:r>
      <w:r w:rsidR="00833C28" w:rsidRPr="00972B27">
        <w:rPr>
          <w:lang w:val="fr-CA"/>
        </w:rPr>
        <w:t>col</w:t>
      </w:r>
      <w:r w:rsidR="00C13A6D" w:rsidRPr="00972B27">
        <w:rPr>
          <w:lang w:val="fr-CA"/>
        </w:rPr>
        <w:t xml:space="preserve">l. </w:t>
      </w:r>
      <w:r w:rsidR="00C13A6D" w:rsidRPr="00036DAC">
        <w:rPr>
          <w:lang w:val="fr-CA"/>
        </w:rPr>
        <w:t>(2018).</w:t>
      </w:r>
    </w:p>
    <w:p w14:paraId="63EF6A7E" w14:textId="29393670" w:rsidR="00C13A6D" w:rsidRPr="00E72239" w:rsidRDefault="008D143B" w:rsidP="00C13A6D">
      <w:pPr>
        <w:pStyle w:val="Heading1"/>
        <w:rPr>
          <w:lang w:val="fr-CA"/>
        </w:rPr>
      </w:pPr>
      <w:r w:rsidRPr="00972B27">
        <w:rPr>
          <w:lang w:val="fr-CA"/>
        </w:rPr>
        <w:t>Le rapport actualisé indique qu’il pourrait y avoir des émissions supplémentaires potentielles de CTC émanant du processus de production de chlorométhane (CM) (environ 73</w:t>
      </w:r>
      <w:r w:rsidR="00036DAC">
        <w:rPr>
          <w:lang w:val="fr-CA"/>
        </w:rPr>
        <w:t>-</w:t>
      </w:r>
      <w:r w:rsidRPr="00972B27">
        <w:rPr>
          <w:lang w:val="fr-CA"/>
        </w:rPr>
        <w:t>76</w:t>
      </w:r>
      <w:r w:rsidR="00CD61BF" w:rsidRPr="00972B27">
        <w:rPr>
          <w:lang w:val="fr-CA"/>
        </w:rPr>
        <w:t> </w:t>
      </w:r>
      <w:r w:rsidRPr="00972B27">
        <w:rPr>
          <w:lang w:val="fr-CA"/>
        </w:rPr>
        <w:t>pour</w:t>
      </w:r>
      <w:r w:rsidR="00CD61BF" w:rsidRPr="00972B27">
        <w:rPr>
          <w:lang w:val="fr-CA"/>
        </w:rPr>
        <w:t> </w:t>
      </w:r>
      <w:r w:rsidRPr="00972B27">
        <w:rPr>
          <w:lang w:val="fr-CA"/>
        </w:rPr>
        <w:t>cent de</w:t>
      </w:r>
      <w:r w:rsidR="00CD61BF" w:rsidRPr="00972B27">
        <w:rPr>
          <w:lang w:val="fr-CA"/>
        </w:rPr>
        <w:t xml:space="preserve"> c</w:t>
      </w:r>
      <w:r w:rsidRPr="00972B27">
        <w:rPr>
          <w:lang w:val="fr-CA"/>
        </w:rPr>
        <w:t xml:space="preserve">es émissions), ainsi que des processus de rejet ou de reconversion du CTC et des </w:t>
      </w:r>
      <w:r w:rsidR="00036DAC">
        <w:rPr>
          <w:lang w:val="fr-CA"/>
        </w:rPr>
        <w:t>utilisations comme</w:t>
      </w:r>
      <w:r w:rsidRPr="00972B27">
        <w:rPr>
          <w:lang w:val="fr-CA"/>
        </w:rPr>
        <w:t xml:space="preserve"> matière première (chaque source correspondant à plus ou </w:t>
      </w:r>
      <w:r w:rsidR="00CD61BF" w:rsidRPr="00972B27">
        <w:rPr>
          <w:lang w:val="fr-CA"/>
        </w:rPr>
        <w:t>moins 1</w:t>
      </w:r>
      <w:r w:rsidRPr="00972B27">
        <w:rPr>
          <w:lang w:val="fr-CA"/>
        </w:rPr>
        <w:t>0-15</w:t>
      </w:r>
      <w:r w:rsidR="00D77999" w:rsidRPr="00972B27">
        <w:rPr>
          <w:lang w:val="fr-CA"/>
        </w:rPr>
        <w:t> </w:t>
      </w:r>
      <w:r w:rsidRPr="00972B27">
        <w:rPr>
          <w:lang w:val="fr-CA"/>
        </w:rPr>
        <w:t>pour</w:t>
      </w:r>
      <w:r w:rsidR="00CD61BF" w:rsidRPr="00972B27">
        <w:rPr>
          <w:lang w:val="fr-CA"/>
        </w:rPr>
        <w:t> </w:t>
      </w:r>
      <w:r w:rsidRPr="00972B27">
        <w:rPr>
          <w:lang w:val="fr-CA"/>
        </w:rPr>
        <w:t>cent). En ce qui a trait aux émissions provenant de la production de CM, le rapport note que celle</w:t>
      </w:r>
      <w:r w:rsidR="00890CD3" w:rsidRPr="00972B27">
        <w:rPr>
          <w:lang w:val="fr-CA"/>
        </w:rPr>
        <w:t>s</w:t>
      </w:r>
      <w:r w:rsidRPr="00972B27">
        <w:rPr>
          <w:lang w:val="fr-CA"/>
        </w:rPr>
        <w:t xml:space="preserve">-ci n’ont sans doute pas été prises en compte au niveau avancé de la technologie et de la gestion du traitement, ainsi que de la supervision rigoureuse effectuée par divers organismes d’écologie et de protection de l’environnement en Chine aux fins de contrôle des émissions. Le Secrétariat ajoute que même avec </w:t>
      </w:r>
      <w:r w:rsidR="00CD61BF" w:rsidRPr="00972B27">
        <w:rPr>
          <w:lang w:val="fr-CA"/>
        </w:rPr>
        <w:t>c</w:t>
      </w:r>
      <w:r w:rsidR="00AF3F1E" w:rsidRPr="00972B27">
        <w:rPr>
          <w:lang w:val="fr-CA"/>
        </w:rPr>
        <w:t>es émissions supplémentaires potentielles, les résultats figurant dans le rapport actualisé continueraient d’être d’un ordre de grandeur inférieur</w:t>
      </w:r>
      <w:r w:rsidR="00036DAC">
        <w:rPr>
          <w:lang w:val="fr-CA"/>
        </w:rPr>
        <w:t>s</w:t>
      </w:r>
      <w:r w:rsidR="00AF3F1E" w:rsidRPr="00972B27">
        <w:rPr>
          <w:lang w:val="fr-CA"/>
        </w:rPr>
        <w:t xml:space="preserve"> à ce</w:t>
      </w:r>
      <w:r w:rsidR="00CD61BF" w:rsidRPr="00972B27">
        <w:rPr>
          <w:lang w:val="fr-CA"/>
        </w:rPr>
        <w:t>ux</w:t>
      </w:r>
      <w:r w:rsidR="00AF3F1E" w:rsidRPr="00972B27">
        <w:rPr>
          <w:lang w:val="fr-CA"/>
        </w:rPr>
        <w:t xml:space="preserve"> figurant dans le rapport d’évaluation scientifique de 2018 et dans </w:t>
      </w:r>
      <w:proofErr w:type="spellStart"/>
      <w:r w:rsidR="00CD61BF" w:rsidRPr="00972B27">
        <w:rPr>
          <w:lang w:val="fr-CA"/>
        </w:rPr>
        <w:t>Lunt</w:t>
      </w:r>
      <w:proofErr w:type="spellEnd"/>
      <w:r w:rsidR="00CD61BF" w:rsidRPr="00972B27">
        <w:rPr>
          <w:lang w:val="fr-CA"/>
        </w:rPr>
        <w:t xml:space="preserve"> et coll. </w:t>
      </w:r>
      <w:r w:rsidR="00AF3F1E" w:rsidRPr="00E72239">
        <w:rPr>
          <w:lang w:val="fr-CA"/>
        </w:rPr>
        <w:t>2018, et de deux ordres de grandeur inférieur</w:t>
      </w:r>
      <w:r w:rsidR="00CD61BF" w:rsidRPr="00E72239">
        <w:rPr>
          <w:lang w:val="fr-CA"/>
        </w:rPr>
        <w:t>s</w:t>
      </w:r>
      <w:r w:rsidR="00AF3F1E" w:rsidRPr="00E72239">
        <w:rPr>
          <w:lang w:val="fr-CA"/>
        </w:rPr>
        <w:t xml:space="preserve"> </w:t>
      </w:r>
      <w:r w:rsidR="006F6669">
        <w:rPr>
          <w:lang w:val="fr-CA"/>
        </w:rPr>
        <w:t xml:space="preserve">en excluant les </w:t>
      </w:r>
      <w:r w:rsidR="00AF3F1E" w:rsidRPr="00E72239">
        <w:rPr>
          <w:lang w:val="fr-CA"/>
        </w:rPr>
        <w:t>émissions supplémentaires potentielles émanant du processus de production de CM.</w:t>
      </w:r>
      <w:r w:rsidR="00C13A6D" w:rsidRPr="00E72239">
        <w:rPr>
          <w:lang w:val="fr-CA"/>
        </w:rPr>
        <w:t xml:space="preserve"> </w:t>
      </w:r>
    </w:p>
    <w:p w14:paraId="72D552E4" w14:textId="532AFCDE" w:rsidR="00C13A6D" w:rsidRPr="00972B27" w:rsidRDefault="003752EB" w:rsidP="00C13A6D">
      <w:pPr>
        <w:pStyle w:val="Heading1"/>
        <w:rPr>
          <w:lang w:val="fr-CA"/>
        </w:rPr>
      </w:pPr>
      <w:r w:rsidRPr="00972B27">
        <w:rPr>
          <w:lang w:val="fr-CA"/>
        </w:rPr>
        <w:t xml:space="preserve">Suite à une demande d’éclaircissement concernant ces écarts dans les observations, le gouvernement de la Chine, par l’intermédiaire de la Banque mondiale, a répondu que </w:t>
      </w:r>
      <w:r w:rsidR="00984A04">
        <w:rPr>
          <w:lang w:val="fr-CA"/>
        </w:rPr>
        <w:t>cela</w:t>
      </w:r>
      <w:r w:rsidRPr="00972B27">
        <w:rPr>
          <w:lang w:val="fr-CA"/>
        </w:rPr>
        <w:t xml:space="preserve"> constitue une question pertinente</w:t>
      </w:r>
      <w:r w:rsidR="00984A04">
        <w:rPr>
          <w:lang w:val="fr-CA"/>
        </w:rPr>
        <w:t>,</w:t>
      </w:r>
      <w:r w:rsidRPr="00972B27">
        <w:rPr>
          <w:lang w:val="fr-CA"/>
        </w:rPr>
        <w:t xml:space="preserve"> et que l’on a observé des différences importantes dans les estimations descendantes et ascendantes des émissions de CTC depuis des années. Il estime qu’il s’agit d’un problème mondial </w:t>
      </w:r>
      <w:r w:rsidR="005E6CF6" w:rsidRPr="00972B27">
        <w:rPr>
          <w:lang w:val="fr-CA"/>
        </w:rPr>
        <w:t xml:space="preserve">qui touche non seulement la Chine mais également d’autres pays appartenant à d’autres régions. Il a par ailleurs précisé que le </w:t>
      </w:r>
      <w:r w:rsidR="00A22AF7" w:rsidRPr="00972B27">
        <w:rPr>
          <w:lang w:val="fr-CA"/>
        </w:rPr>
        <w:t>G</w:t>
      </w:r>
      <w:r w:rsidR="005E6CF6" w:rsidRPr="00972B27">
        <w:rPr>
          <w:lang w:val="fr-CA"/>
        </w:rPr>
        <w:t>roupe d’évaluation scientifique étudiait cette question depuis plus de 10</w:t>
      </w:r>
      <w:r w:rsidR="00D77999" w:rsidRPr="00972B27">
        <w:rPr>
          <w:lang w:val="fr-CA"/>
        </w:rPr>
        <w:t> </w:t>
      </w:r>
      <w:r w:rsidR="005E6CF6" w:rsidRPr="00972B27">
        <w:rPr>
          <w:lang w:val="fr-CA"/>
        </w:rPr>
        <w:t>ans, et qu’alors que les évaluations descendantes et ascendantes étaient sensiblement réduites dans le rapport d’évaluation scientifique de</w:t>
      </w:r>
      <w:r w:rsidR="00A22AF7" w:rsidRPr="00972B27">
        <w:rPr>
          <w:lang w:val="fr-CA"/>
        </w:rPr>
        <w:t> </w:t>
      </w:r>
      <w:r w:rsidR="005E6CF6" w:rsidRPr="00972B27">
        <w:rPr>
          <w:lang w:val="fr-CA"/>
        </w:rPr>
        <w:t xml:space="preserve">2018, il continuait </w:t>
      </w:r>
      <w:r w:rsidR="00984A04">
        <w:rPr>
          <w:lang w:val="fr-CA"/>
        </w:rPr>
        <w:t>de présenter</w:t>
      </w:r>
      <w:r w:rsidR="005E6CF6" w:rsidRPr="00972B27">
        <w:rPr>
          <w:lang w:val="fr-CA"/>
        </w:rPr>
        <w:t xml:space="preserve"> des écarts </w:t>
      </w:r>
      <w:r w:rsidR="00984A04">
        <w:rPr>
          <w:lang w:val="fr-CA"/>
        </w:rPr>
        <w:t>nécessitant</w:t>
      </w:r>
      <w:r w:rsidR="005E6CF6" w:rsidRPr="00972B27">
        <w:rPr>
          <w:lang w:val="fr-CA"/>
        </w:rPr>
        <w:t xml:space="preserve"> encore des explications. </w:t>
      </w:r>
      <w:r w:rsidR="00890CD3" w:rsidRPr="00972B27">
        <w:rPr>
          <w:lang w:val="fr-CA"/>
        </w:rPr>
        <w:t>L</w:t>
      </w:r>
      <w:r w:rsidR="005E6CF6" w:rsidRPr="00972B27">
        <w:rPr>
          <w:lang w:val="fr-CA"/>
        </w:rPr>
        <w:t>e rapport d’évaluation scientifique de</w:t>
      </w:r>
      <w:r w:rsidR="00A22AF7" w:rsidRPr="00972B27">
        <w:rPr>
          <w:lang w:val="fr-CA"/>
        </w:rPr>
        <w:t> </w:t>
      </w:r>
      <w:r w:rsidR="005E6CF6" w:rsidRPr="00972B27">
        <w:rPr>
          <w:lang w:val="fr-CA"/>
        </w:rPr>
        <w:t>2018 m</w:t>
      </w:r>
      <w:r w:rsidR="00A22AF7" w:rsidRPr="00972B27">
        <w:rPr>
          <w:lang w:val="fr-CA"/>
        </w:rPr>
        <w:t>et</w:t>
      </w:r>
      <w:r w:rsidR="005E6CF6" w:rsidRPr="00972B27">
        <w:rPr>
          <w:lang w:val="fr-CA"/>
        </w:rPr>
        <w:t xml:space="preserve"> notamment l’accent sur la nécessité de mieux comprendre des facteurs comme la concentration des échantillons d’air et les conditions météorologiques qui influent sur l’évaluation. </w:t>
      </w:r>
      <w:r w:rsidR="00A22AF7" w:rsidRPr="00972B27">
        <w:rPr>
          <w:lang w:val="fr-CA"/>
        </w:rPr>
        <w:t>L</w:t>
      </w:r>
      <w:r w:rsidR="005E6CF6" w:rsidRPr="00972B27">
        <w:rPr>
          <w:lang w:val="fr-CA"/>
        </w:rPr>
        <w:t xml:space="preserve">e gouvernement de la Chine a exprimé sa volonté de poursuivre les recherches à cet égard. </w:t>
      </w:r>
    </w:p>
    <w:p w14:paraId="7CD9DCFA" w14:textId="70C6F058" w:rsidR="00C13A6D" w:rsidRPr="00972B27" w:rsidRDefault="005E6CF6" w:rsidP="00C13A6D">
      <w:pPr>
        <w:pStyle w:val="Heading1"/>
        <w:rPr>
          <w:rFonts w:eastAsiaTheme="minorEastAsia"/>
          <w:lang w:val="fr-CA"/>
        </w:rPr>
      </w:pPr>
      <w:r w:rsidRPr="00972B27">
        <w:rPr>
          <w:rFonts w:eastAsiaTheme="minorEastAsia"/>
          <w:lang w:val="fr-CA"/>
        </w:rPr>
        <w:t>Le gouvernement de la Chine a indiqué qu’il était impossible d</w:t>
      </w:r>
      <w:r w:rsidR="00984A04">
        <w:rPr>
          <w:rFonts w:eastAsiaTheme="minorEastAsia"/>
          <w:lang w:val="fr-CA"/>
        </w:rPr>
        <w:t>’</w:t>
      </w:r>
      <w:r w:rsidRPr="00972B27">
        <w:rPr>
          <w:rFonts w:eastAsiaTheme="minorEastAsia"/>
          <w:lang w:val="fr-CA"/>
        </w:rPr>
        <w:t xml:space="preserve">expliquer </w:t>
      </w:r>
      <w:r w:rsidR="00984A04">
        <w:rPr>
          <w:rFonts w:eastAsiaTheme="minorEastAsia"/>
          <w:lang w:val="fr-CA"/>
        </w:rPr>
        <w:t xml:space="preserve">entièrement </w:t>
      </w:r>
      <w:r w:rsidRPr="00972B27">
        <w:rPr>
          <w:rFonts w:eastAsiaTheme="minorEastAsia"/>
          <w:lang w:val="fr-CA"/>
        </w:rPr>
        <w:t>les estimation</w:t>
      </w:r>
      <w:r w:rsidR="00A22AF7" w:rsidRPr="00972B27">
        <w:rPr>
          <w:rFonts w:eastAsiaTheme="minorEastAsia"/>
          <w:lang w:val="fr-CA"/>
        </w:rPr>
        <w:t>s</w:t>
      </w:r>
      <w:r w:rsidRPr="00972B27">
        <w:rPr>
          <w:rFonts w:eastAsiaTheme="minorEastAsia"/>
          <w:lang w:val="fr-CA"/>
        </w:rPr>
        <w:t xml:space="preserve"> des émissions de CTC figurant dans le rapport d’évaluation scientifique de</w:t>
      </w:r>
      <w:r w:rsidR="00A22AF7" w:rsidRPr="00972B27">
        <w:rPr>
          <w:rFonts w:eastAsiaTheme="minorEastAsia"/>
          <w:lang w:val="fr-CA"/>
        </w:rPr>
        <w:t> </w:t>
      </w:r>
      <w:r w:rsidRPr="00972B27">
        <w:rPr>
          <w:rFonts w:eastAsiaTheme="minorEastAsia"/>
          <w:lang w:val="fr-CA"/>
        </w:rPr>
        <w:t xml:space="preserve">2018, à partir du rapport actualisé et de la réglementation relative à la gestion et </w:t>
      </w:r>
      <w:r w:rsidR="00A22AF7" w:rsidRPr="00972B27">
        <w:rPr>
          <w:rFonts w:eastAsiaTheme="minorEastAsia"/>
          <w:lang w:val="fr-CA"/>
        </w:rPr>
        <w:t xml:space="preserve">à </w:t>
      </w:r>
      <w:r w:rsidRPr="00972B27">
        <w:rPr>
          <w:rFonts w:eastAsiaTheme="minorEastAsia"/>
          <w:lang w:val="fr-CA"/>
        </w:rPr>
        <w:t xml:space="preserve">la surveillance du CTC, </w:t>
      </w:r>
      <w:r w:rsidR="00984A04">
        <w:rPr>
          <w:rFonts w:eastAsiaTheme="minorEastAsia"/>
          <w:lang w:val="fr-CA"/>
        </w:rPr>
        <w:t xml:space="preserve">et </w:t>
      </w:r>
      <w:r w:rsidRPr="00972B27">
        <w:rPr>
          <w:rFonts w:eastAsiaTheme="minorEastAsia"/>
          <w:lang w:val="fr-CA"/>
        </w:rPr>
        <w:t xml:space="preserve">que l’on ne dispose d’aucune information sur les sources supplémentaires de CTC, </w:t>
      </w:r>
      <w:r w:rsidR="00984A04">
        <w:rPr>
          <w:rFonts w:eastAsiaTheme="minorEastAsia"/>
          <w:lang w:val="fr-CA"/>
        </w:rPr>
        <w:t>et a ajouté</w:t>
      </w:r>
      <w:r w:rsidRPr="00972B27">
        <w:rPr>
          <w:rFonts w:eastAsiaTheme="minorEastAsia"/>
          <w:lang w:val="fr-CA"/>
        </w:rPr>
        <w:t xml:space="preserve"> les commentaires suivants</w:t>
      </w:r>
      <w:r w:rsidR="00984A04">
        <w:rPr>
          <w:rFonts w:eastAsiaTheme="minorEastAsia"/>
          <w:lang w:val="fr-CA"/>
        </w:rPr>
        <w:t> </w:t>
      </w:r>
      <w:r w:rsidRPr="00972B27">
        <w:rPr>
          <w:rFonts w:eastAsiaTheme="minorEastAsia"/>
          <w:lang w:val="fr-CA"/>
        </w:rPr>
        <w:t xml:space="preserve">: </w:t>
      </w:r>
    </w:p>
    <w:p w14:paraId="4CFF4F3E" w14:textId="78432FEE" w:rsidR="00C13A6D" w:rsidRPr="00972B27" w:rsidRDefault="005E6CF6" w:rsidP="00C13A6D">
      <w:pPr>
        <w:pStyle w:val="Heading2"/>
        <w:rPr>
          <w:rFonts w:eastAsiaTheme="minorEastAsia"/>
          <w:lang w:val="fr-CA"/>
        </w:rPr>
      </w:pPr>
      <w:r w:rsidRPr="00972B27">
        <w:rPr>
          <w:rFonts w:eastAsiaTheme="minorEastAsia"/>
          <w:lang w:val="fr-CA"/>
        </w:rPr>
        <w:t xml:space="preserve">Les chaînes de production de CM sont grandement automatisées </w:t>
      </w:r>
      <w:r w:rsidR="00B0295A" w:rsidRPr="00972B27">
        <w:rPr>
          <w:rFonts w:eastAsiaTheme="minorEastAsia"/>
          <w:lang w:val="fr-CA"/>
        </w:rPr>
        <w:t xml:space="preserve">et constituent un système </w:t>
      </w:r>
      <w:r w:rsidR="00B0295A" w:rsidRPr="00972B27">
        <w:rPr>
          <w:rFonts w:eastAsiaTheme="minorEastAsia"/>
          <w:lang w:val="fr-CA"/>
        </w:rPr>
        <w:lastRenderedPageBreak/>
        <w:t xml:space="preserve">fermé, avec des raccordements étanches entre l’équipement et </w:t>
      </w:r>
      <w:r w:rsidR="00A22AF7" w:rsidRPr="00972B27">
        <w:rPr>
          <w:rFonts w:eastAsiaTheme="minorEastAsia"/>
          <w:lang w:val="fr-CA"/>
        </w:rPr>
        <w:t>l</w:t>
      </w:r>
      <w:r w:rsidR="00B0295A" w:rsidRPr="00972B27">
        <w:rPr>
          <w:rFonts w:eastAsiaTheme="minorEastAsia"/>
          <w:lang w:val="fr-CA"/>
        </w:rPr>
        <w:t>es unités d’incinération, ce qui fait que les émissions de CTC sont négligeables;</w:t>
      </w:r>
    </w:p>
    <w:p w14:paraId="798FD111" w14:textId="2B60A32A" w:rsidR="00C13A6D" w:rsidRPr="00972B27" w:rsidRDefault="00B0295A" w:rsidP="00C13A6D">
      <w:pPr>
        <w:pStyle w:val="Heading2"/>
        <w:rPr>
          <w:rFonts w:eastAsiaTheme="minorEastAsia"/>
          <w:lang w:val="fr-CA"/>
        </w:rPr>
      </w:pPr>
      <w:r w:rsidRPr="00972B27">
        <w:rPr>
          <w:rFonts w:eastAsiaTheme="minorEastAsia"/>
          <w:lang w:val="fr-CA"/>
        </w:rPr>
        <w:t xml:space="preserve">Les entreprises qui utilisent </w:t>
      </w:r>
      <w:r w:rsidR="00984A04">
        <w:rPr>
          <w:rFonts w:eastAsiaTheme="minorEastAsia"/>
          <w:lang w:val="fr-CA"/>
        </w:rPr>
        <w:t>du</w:t>
      </w:r>
      <w:r w:rsidRPr="00972B27">
        <w:rPr>
          <w:rFonts w:eastAsiaTheme="minorEastAsia"/>
          <w:lang w:val="fr-CA"/>
        </w:rPr>
        <w:t xml:space="preserve"> CTC en tant que matière première déploient de grands efforts en vue d’accroître le rapport coût-efficacité et de réduire les coûts de production, ce qui fait que les probabilités de rejet volontaire de CTC dans l’atmosphère sont minimes; </w:t>
      </w:r>
    </w:p>
    <w:p w14:paraId="1D546753" w14:textId="4C134441" w:rsidR="00C13A6D" w:rsidRPr="00984A04" w:rsidRDefault="00B0295A" w:rsidP="00C13A6D">
      <w:pPr>
        <w:pStyle w:val="Heading2"/>
        <w:rPr>
          <w:rFonts w:eastAsiaTheme="minorEastAsia"/>
          <w:lang w:val="fr-CA"/>
        </w:rPr>
      </w:pPr>
      <w:r w:rsidRPr="00972B27">
        <w:rPr>
          <w:rFonts w:eastAsiaTheme="minorEastAsia"/>
          <w:lang w:val="fr-CA"/>
        </w:rPr>
        <w:t>Le gouvernement a mis en place récemment un système rigoureux d’inspection et de mesure</w:t>
      </w:r>
      <w:r w:rsidR="00984A04">
        <w:rPr>
          <w:rFonts w:eastAsiaTheme="minorEastAsia"/>
          <w:lang w:val="fr-CA"/>
        </w:rPr>
        <w:t>s</w:t>
      </w:r>
      <w:r w:rsidRPr="00972B27">
        <w:rPr>
          <w:rFonts w:eastAsiaTheme="minorEastAsia"/>
          <w:lang w:val="fr-CA"/>
        </w:rPr>
        <w:t xml:space="preserve"> d’exécution de la loi, touchant en particulier ces usines chimiques. </w:t>
      </w:r>
      <w:r w:rsidR="008323C8" w:rsidRPr="00972B27">
        <w:rPr>
          <w:rFonts w:eastAsiaTheme="minorEastAsia"/>
          <w:lang w:val="fr-CA"/>
        </w:rPr>
        <w:t xml:space="preserve">La surveillance des composés organiques volatils et de la demande chimique en oxygène a été grandement renforcée par les divers organismes d’écologie et de protection de l’environnement. À cet égard, les estimations des émissions de CTC </w:t>
      </w:r>
      <w:r w:rsidR="00984A04">
        <w:rPr>
          <w:rFonts w:eastAsiaTheme="minorEastAsia"/>
          <w:lang w:val="fr-CA"/>
        </w:rPr>
        <w:t xml:space="preserve">produites </w:t>
      </w:r>
      <w:r w:rsidR="008323C8" w:rsidRPr="00972B27">
        <w:rPr>
          <w:rFonts w:eastAsiaTheme="minorEastAsia"/>
          <w:lang w:val="fr-CA"/>
        </w:rPr>
        <w:t>par ces entreprises ont peu de chances de correspondre à celle</w:t>
      </w:r>
      <w:r w:rsidR="00C54CEC" w:rsidRPr="00972B27">
        <w:rPr>
          <w:rFonts w:eastAsiaTheme="minorEastAsia"/>
          <w:lang w:val="fr-CA"/>
        </w:rPr>
        <w:t>s</w:t>
      </w:r>
      <w:r w:rsidR="008323C8" w:rsidRPr="00972B27">
        <w:rPr>
          <w:rFonts w:eastAsiaTheme="minorEastAsia"/>
          <w:lang w:val="fr-CA"/>
        </w:rPr>
        <w:t xml:space="preserve"> contenue</w:t>
      </w:r>
      <w:r w:rsidR="00C54CEC" w:rsidRPr="00972B27">
        <w:rPr>
          <w:rFonts w:eastAsiaTheme="minorEastAsia"/>
          <w:lang w:val="fr-CA"/>
        </w:rPr>
        <w:t>s</w:t>
      </w:r>
      <w:r w:rsidR="008323C8" w:rsidRPr="00972B27">
        <w:rPr>
          <w:rFonts w:eastAsiaTheme="minorEastAsia"/>
          <w:lang w:val="fr-CA"/>
        </w:rPr>
        <w:t xml:space="preserve"> dans le rapport d’évaluation scientifique de 2018 et dans </w:t>
      </w:r>
      <w:proofErr w:type="spellStart"/>
      <w:r w:rsidR="00C13A6D" w:rsidRPr="00972B27">
        <w:rPr>
          <w:rFonts w:eastAsiaTheme="minorEastAsia"/>
          <w:lang w:val="fr-CA"/>
        </w:rPr>
        <w:t>Lunt</w:t>
      </w:r>
      <w:proofErr w:type="spellEnd"/>
      <w:r w:rsidR="00C13A6D" w:rsidRPr="00972B27">
        <w:rPr>
          <w:rFonts w:eastAsiaTheme="minorEastAsia"/>
          <w:lang w:val="fr-CA"/>
        </w:rPr>
        <w:t xml:space="preserve"> et </w:t>
      </w:r>
      <w:r w:rsidR="00C54CEC" w:rsidRPr="00972B27">
        <w:rPr>
          <w:rFonts w:eastAsiaTheme="minorEastAsia"/>
          <w:lang w:val="fr-CA"/>
        </w:rPr>
        <w:t>col</w:t>
      </w:r>
      <w:r w:rsidR="00C13A6D" w:rsidRPr="00972B27">
        <w:rPr>
          <w:rFonts w:eastAsiaTheme="minorEastAsia"/>
          <w:lang w:val="fr-CA"/>
        </w:rPr>
        <w:t xml:space="preserve">l. </w:t>
      </w:r>
      <w:r w:rsidR="00C13A6D" w:rsidRPr="00984A04">
        <w:rPr>
          <w:rFonts w:eastAsiaTheme="minorEastAsia"/>
          <w:lang w:val="fr-CA"/>
        </w:rPr>
        <w:t>(2018).</w:t>
      </w:r>
    </w:p>
    <w:p w14:paraId="4A0C8F3A" w14:textId="769BF6CB" w:rsidR="00C13A6D" w:rsidRPr="004C2665" w:rsidRDefault="00C13A6D" w:rsidP="00C13A6D">
      <w:pPr>
        <w:rPr>
          <w:rFonts w:eastAsiaTheme="minorEastAsia"/>
          <w:b/>
        </w:rPr>
      </w:pPr>
      <w:proofErr w:type="spellStart"/>
      <w:r w:rsidRPr="004C2665">
        <w:rPr>
          <w:rFonts w:eastAsiaTheme="minorEastAsia"/>
          <w:b/>
        </w:rPr>
        <w:t>Recomm</w:t>
      </w:r>
      <w:r w:rsidR="00F478B7">
        <w:rPr>
          <w:rFonts w:eastAsiaTheme="minorEastAsia"/>
          <w:b/>
        </w:rPr>
        <w:t>a</w:t>
      </w:r>
      <w:r w:rsidRPr="004C2665">
        <w:rPr>
          <w:rFonts w:eastAsiaTheme="minorEastAsia"/>
          <w:b/>
        </w:rPr>
        <w:t>ndation</w:t>
      </w:r>
      <w:proofErr w:type="spellEnd"/>
    </w:p>
    <w:p w14:paraId="5EDF8720" w14:textId="77777777" w:rsidR="00C13A6D" w:rsidRPr="004C2665" w:rsidRDefault="00C13A6D" w:rsidP="00C13A6D">
      <w:pPr>
        <w:rPr>
          <w:rFonts w:eastAsiaTheme="minorEastAsia"/>
        </w:rPr>
      </w:pPr>
    </w:p>
    <w:p w14:paraId="404FB569" w14:textId="58CDC894" w:rsidR="00C13A6D" w:rsidRPr="00972B27" w:rsidRDefault="008323C8" w:rsidP="00C13A6D">
      <w:pPr>
        <w:pStyle w:val="Heading1"/>
        <w:rPr>
          <w:lang w:val="fr-CA"/>
        </w:rPr>
      </w:pPr>
      <w:r w:rsidRPr="00972B27">
        <w:rPr>
          <w:rFonts w:eastAsiaTheme="minorEastAsia"/>
          <w:lang w:val="fr-CA"/>
        </w:rPr>
        <w:t xml:space="preserve">Le Comité exécutif pourrait souhaiter prendre note de la présentation par le gouvernement de la Chine, par l’intermédiaire de la Banque mondiale, du rapport actualisé sur la production de CTC et </w:t>
      </w:r>
      <w:r w:rsidR="00984A04">
        <w:rPr>
          <w:rFonts w:eastAsiaTheme="minorEastAsia"/>
          <w:lang w:val="fr-CA"/>
        </w:rPr>
        <w:t>son utilisation</w:t>
      </w:r>
      <w:r w:rsidRPr="00972B27">
        <w:rPr>
          <w:rFonts w:eastAsiaTheme="minorEastAsia"/>
          <w:lang w:val="fr-CA"/>
        </w:rPr>
        <w:t xml:space="preserve"> comme matière première en Chine, qui sera examiné par le Secrétariat et soumis à la 90</w:t>
      </w:r>
      <w:r w:rsidRPr="00972B27">
        <w:rPr>
          <w:rFonts w:eastAsiaTheme="minorEastAsia"/>
          <w:vertAlign w:val="superscript"/>
          <w:lang w:val="fr-CA"/>
        </w:rPr>
        <w:t>e</w:t>
      </w:r>
      <w:r w:rsidR="00D77999" w:rsidRPr="00972B27">
        <w:rPr>
          <w:rFonts w:eastAsiaTheme="minorEastAsia"/>
          <w:lang w:val="fr-CA"/>
        </w:rPr>
        <w:t> </w:t>
      </w:r>
      <w:r w:rsidRPr="00972B27">
        <w:rPr>
          <w:rFonts w:eastAsiaTheme="minorEastAsia"/>
          <w:lang w:val="fr-CA"/>
        </w:rPr>
        <w:t>réunion.</w:t>
      </w:r>
      <w:r w:rsidR="00C13A6D" w:rsidRPr="00972B27">
        <w:rPr>
          <w:rFonts w:eastAsiaTheme="minorEastAsia"/>
          <w:lang w:val="fr-CA"/>
        </w:rPr>
        <w:t xml:space="preserve"> </w:t>
      </w:r>
    </w:p>
    <w:p w14:paraId="4CEF4E5E" w14:textId="0F5361A6" w:rsidR="00C13A6D" w:rsidRPr="00972B27" w:rsidRDefault="00C13A6D" w:rsidP="00C13A6D">
      <w:pPr>
        <w:keepNext/>
        <w:keepLines/>
        <w:spacing w:after="240"/>
        <w:ind w:left="1440" w:hanging="1440"/>
        <w:rPr>
          <w:rFonts w:eastAsiaTheme="minorEastAsia"/>
          <w:b/>
          <w:lang w:val="fr-CA"/>
        </w:rPr>
      </w:pPr>
      <w:r w:rsidRPr="00972B27">
        <w:rPr>
          <w:rFonts w:eastAsiaTheme="minorEastAsia"/>
          <w:b/>
          <w:lang w:val="fr-CA"/>
        </w:rPr>
        <w:t>PART</w:t>
      </w:r>
      <w:r w:rsidR="00F478B7" w:rsidRPr="00972B27">
        <w:rPr>
          <w:rFonts w:eastAsiaTheme="minorEastAsia"/>
          <w:b/>
          <w:lang w:val="fr-CA"/>
        </w:rPr>
        <w:t>IE</w:t>
      </w:r>
      <w:r w:rsidRPr="00972B27">
        <w:rPr>
          <w:rFonts w:eastAsiaTheme="minorEastAsia"/>
          <w:b/>
          <w:lang w:val="fr-CA"/>
        </w:rPr>
        <w:t xml:space="preserve"> V</w:t>
      </w:r>
      <w:r w:rsidR="00F478B7" w:rsidRPr="00972B27">
        <w:rPr>
          <w:rFonts w:eastAsiaTheme="minorEastAsia"/>
          <w:b/>
          <w:lang w:val="fr-CA"/>
        </w:rPr>
        <w:t> </w:t>
      </w:r>
      <w:r w:rsidRPr="00972B27">
        <w:rPr>
          <w:rFonts w:eastAsiaTheme="minorEastAsia"/>
          <w:b/>
          <w:lang w:val="fr-CA"/>
        </w:rPr>
        <w:t>:</w:t>
      </w:r>
      <w:r w:rsidRPr="00972B27">
        <w:rPr>
          <w:rFonts w:eastAsiaTheme="minorEastAsia"/>
          <w:b/>
          <w:lang w:val="fr-CA"/>
        </w:rPr>
        <w:tab/>
      </w:r>
      <w:r w:rsidR="008323C8" w:rsidRPr="00972B27">
        <w:rPr>
          <w:rFonts w:eastAsiaTheme="minorEastAsia"/>
          <w:b/>
          <w:lang w:val="fr-CA"/>
        </w:rPr>
        <w:t xml:space="preserve">PLAN SECTORIEL POUR L’ÉLIMINATION DE LA PRODUCTION DE BROMURE DE MÉTHYLE (ONUDI) </w:t>
      </w:r>
    </w:p>
    <w:p w14:paraId="139E4218" w14:textId="12EEE017" w:rsidR="00C13A6D" w:rsidRPr="00972B27" w:rsidRDefault="008323C8" w:rsidP="003E4C19">
      <w:pPr>
        <w:pStyle w:val="Heading1"/>
        <w:rPr>
          <w:rFonts w:eastAsiaTheme="minorEastAsia"/>
          <w:lang w:val="fr-CA"/>
        </w:rPr>
      </w:pPr>
      <w:r w:rsidRPr="00972B27">
        <w:rPr>
          <w:rFonts w:eastAsiaTheme="minorEastAsia"/>
          <w:lang w:val="fr-CA"/>
        </w:rPr>
        <w:t>Le Comité exécutif à sa 82</w:t>
      </w:r>
      <w:r w:rsidRPr="00972B27">
        <w:rPr>
          <w:rFonts w:eastAsiaTheme="minorEastAsia"/>
          <w:vertAlign w:val="superscript"/>
          <w:lang w:val="fr-CA"/>
        </w:rPr>
        <w:t>e</w:t>
      </w:r>
      <w:r w:rsidR="00D77999" w:rsidRPr="00972B27">
        <w:rPr>
          <w:rFonts w:eastAsiaTheme="minorEastAsia"/>
          <w:lang w:val="fr-CA"/>
        </w:rPr>
        <w:t> </w:t>
      </w:r>
      <w:r w:rsidRPr="00972B27">
        <w:rPr>
          <w:rFonts w:eastAsiaTheme="minorEastAsia"/>
          <w:lang w:val="fr-CA"/>
        </w:rPr>
        <w:t xml:space="preserve">réunion a aussi demandé au gouvernement de la Chine et </w:t>
      </w:r>
      <w:r w:rsidR="00C54CEC" w:rsidRPr="00972B27">
        <w:rPr>
          <w:rFonts w:eastAsiaTheme="minorEastAsia"/>
          <w:lang w:val="fr-CA"/>
        </w:rPr>
        <w:t xml:space="preserve">à </w:t>
      </w:r>
      <w:r w:rsidRPr="00972B27">
        <w:rPr>
          <w:rFonts w:eastAsiaTheme="minorEastAsia"/>
          <w:lang w:val="fr-CA"/>
        </w:rPr>
        <w:t xml:space="preserve">l’ONUDI de présenter au Comité exécutif des rapports annuels sur l’état de mise en œuvre du plan sectoriel pour l’élimination de la production </w:t>
      </w:r>
      <w:r w:rsidR="00A01D0D" w:rsidRPr="00972B27">
        <w:rPr>
          <w:rFonts w:eastAsiaTheme="minorEastAsia"/>
          <w:lang w:val="fr-CA"/>
        </w:rPr>
        <w:t>de bromure de méthyle (M</w:t>
      </w:r>
      <w:r w:rsidR="00C54CEC" w:rsidRPr="00972B27">
        <w:rPr>
          <w:rFonts w:eastAsiaTheme="minorEastAsia"/>
          <w:lang w:val="fr-CA"/>
        </w:rPr>
        <w:t>B</w:t>
      </w:r>
      <w:r w:rsidR="00A01D0D" w:rsidRPr="00972B27">
        <w:rPr>
          <w:rFonts w:eastAsiaTheme="minorEastAsia"/>
          <w:lang w:val="fr-CA"/>
        </w:rPr>
        <w:t>) (décision</w:t>
      </w:r>
      <w:r w:rsidR="00C54CEC" w:rsidRPr="00972B27">
        <w:rPr>
          <w:rFonts w:eastAsiaTheme="minorEastAsia"/>
          <w:lang w:val="fr-CA"/>
        </w:rPr>
        <w:t> </w:t>
      </w:r>
      <w:r w:rsidR="00C13A6D" w:rsidRPr="00972B27">
        <w:rPr>
          <w:lang w:val="fr-CA"/>
        </w:rPr>
        <w:t>82/19</w:t>
      </w:r>
      <w:r w:rsidR="00C54CEC" w:rsidRPr="00972B27">
        <w:rPr>
          <w:lang w:val="fr-CA"/>
        </w:rPr>
        <w:t> </w:t>
      </w:r>
      <w:r w:rsidR="00C13A6D" w:rsidRPr="00972B27">
        <w:rPr>
          <w:lang w:val="fr-CA"/>
        </w:rPr>
        <w:t xml:space="preserve">g)). </w:t>
      </w:r>
    </w:p>
    <w:p w14:paraId="395A534F" w14:textId="743910B7" w:rsidR="00C13A6D" w:rsidRPr="00972B27" w:rsidRDefault="00A01D0D" w:rsidP="00C13A6D">
      <w:pPr>
        <w:pStyle w:val="Heading1"/>
        <w:keepNext/>
        <w:keepLines/>
        <w:rPr>
          <w:rFonts w:eastAsiaTheme="minorEastAsia"/>
          <w:lang w:val="fr-CA"/>
        </w:rPr>
      </w:pPr>
      <w:r w:rsidRPr="00972B27">
        <w:rPr>
          <w:rFonts w:eastAsiaTheme="minorEastAsia"/>
          <w:lang w:val="fr-CA"/>
        </w:rPr>
        <w:t>Le Comité exécutif à sa 84</w:t>
      </w:r>
      <w:r w:rsidRPr="00972B27">
        <w:rPr>
          <w:rFonts w:eastAsiaTheme="minorEastAsia"/>
          <w:vertAlign w:val="superscript"/>
          <w:lang w:val="fr-CA"/>
        </w:rPr>
        <w:t>e</w:t>
      </w:r>
      <w:r w:rsidR="00D77999" w:rsidRPr="00972B27">
        <w:rPr>
          <w:rFonts w:eastAsiaTheme="minorEastAsia"/>
          <w:lang w:val="fr-CA"/>
        </w:rPr>
        <w:t> </w:t>
      </w:r>
      <w:r w:rsidRPr="00972B27">
        <w:rPr>
          <w:rFonts w:eastAsiaTheme="minorEastAsia"/>
          <w:lang w:val="fr-CA"/>
        </w:rPr>
        <w:t xml:space="preserve">réunion a notamment </w:t>
      </w:r>
      <w:r w:rsidR="0090490C">
        <w:rPr>
          <w:rFonts w:eastAsiaTheme="minorEastAsia"/>
          <w:lang w:val="fr-CA"/>
        </w:rPr>
        <w:t>pris note du</w:t>
      </w:r>
      <w:r w:rsidRPr="00972B27">
        <w:rPr>
          <w:rFonts w:eastAsiaTheme="minorEastAsia"/>
          <w:lang w:val="fr-CA"/>
        </w:rPr>
        <w:t xml:space="preserve"> rapport sur l’état de mise en œuvre du plan sectoriel pour l’élimination de la production de bromure de méthyle en Chine; a demandé au gouvernement de la Chine, par l’intermédiaire de l’ONUDI, d’inclure une mise à jour </w:t>
      </w:r>
      <w:r w:rsidR="0090490C">
        <w:rPr>
          <w:rFonts w:eastAsiaTheme="minorEastAsia"/>
          <w:lang w:val="fr-CA"/>
        </w:rPr>
        <w:t>sur le</w:t>
      </w:r>
      <w:r w:rsidRPr="00972B27">
        <w:rPr>
          <w:rFonts w:eastAsiaTheme="minorEastAsia"/>
          <w:lang w:val="fr-CA"/>
        </w:rPr>
        <w:t xml:space="preserve"> système d’étiquetage et de traçabilité du bromure de méthyle dans le rapport annuel sur l’état d’avancement du plan sectoriel pour l’élimination de la production de bromure de méthyle en Chine qui doit être soumis à la 86</w:t>
      </w:r>
      <w:r w:rsidRPr="00972B27">
        <w:rPr>
          <w:rFonts w:eastAsiaTheme="minorEastAsia"/>
          <w:vertAlign w:val="superscript"/>
          <w:lang w:val="fr-CA"/>
        </w:rPr>
        <w:t>e</w:t>
      </w:r>
      <w:r w:rsidR="00D77999" w:rsidRPr="00972B27">
        <w:rPr>
          <w:rFonts w:eastAsiaTheme="minorEastAsia"/>
          <w:lang w:val="fr-CA"/>
        </w:rPr>
        <w:t> </w:t>
      </w:r>
      <w:r w:rsidRPr="00972B27">
        <w:rPr>
          <w:rFonts w:eastAsiaTheme="minorEastAsia"/>
          <w:lang w:val="fr-CA"/>
        </w:rPr>
        <w:t xml:space="preserve">réunion; et </w:t>
      </w:r>
      <w:r w:rsidR="00CF76A1" w:rsidRPr="00972B27">
        <w:rPr>
          <w:rFonts w:eastAsiaTheme="minorEastAsia"/>
          <w:lang w:val="fr-CA"/>
        </w:rPr>
        <w:t>a</w:t>
      </w:r>
      <w:r w:rsidRPr="00972B27">
        <w:rPr>
          <w:rFonts w:eastAsiaTheme="minorEastAsia"/>
          <w:lang w:val="fr-CA"/>
        </w:rPr>
        <w:t xml:space="preserve"> invit</w:t>
      </w:r>
      <w:r w:rsidR="00CF76A1" w:rsidRPr="00972B27">
        <w:rPr>
          <w:rFonts w:eastAsiaTheme="minorEastAsia"/>
          <w:lang w:val="fr-CA"/>
        </w:rPr>
        <w:t>é</w:t>
      </w:r>
      <w:r w:rsidRPr="00972B27">
        <w:rPr>
          <w:rFonts w:eastAsiaTheme="minorEastAsia"/>
          <w:lang w:val="fr-CA"/>
        </w:rPr>
        <w:t xml:space="preserve"> le gouvernement de la Chine, par l’intermédiaire de l’ONUDI, </w:t>
      </w:r>
      <w:r w:rsidR="0090490C">
        <w:rPr>
          <w:rFonts w:eastAsiaTheme="minorEastAsia"/>
          <w:lang w:val="fr-CA"/>
        </w:rPr>
        <w:t>à</w:t>
      </w:r>
      <w:r w:rsidRPr="00972B27">
        <w:rPr>
          <w:rFonts w:eastAsiaTheme="minorEastAsia"/>
          <w:lang w:val="fr-CA"/>
        </w:rPr>
        <w:t xml:space="preserve"> fournir de l’information sur l’affaire de la production illicite de M</w:t>
      </w:r>
      <w:r w:rsidR="00CF76A1" w:rsidRPr="00972B27">
        <w:rPr>
          <w:rFonts w:eastAsiaTheme="minorEastAsia"/>
          <w:lang w:val="fr-CA"/>
        </w:rPr>
        <w:t>B</w:t>
      </w:r>
      <w:r w:rsidRPr="00972B27">
        <w:rPr>
          <w:rFonts w:eastAsiaTheme="minorEastAsia"/>
          <w:lang w:val="fr-CA"/>
        </w:rPr>
        <w:t xml:space="preserve"> en</w:t>
      </w:r>
      <w:r w:rsidR="00CF76A1" w:rsidRPr="00972B27">
        <w:rPr>
          <w:rFonts w:eastAsiaTheme="minorEastAsia"/>
          <w:lang w:val="fr-CA"/>
        </w:rPr>
        <w:t> </w:t>
      </w:r>
      <w:r w:rsidRPr="00972B27">
        <w:rPr>
          <w:rFonts w:eastAsiaTheme="minorEastAsia"/>
          <w:lang w:val="fr-CA"/>
        </w:rPr>
        <w:t>2014 mentionné</w:t>
      </w:r>
      <w:r w:rsidR="00CF76A1" w:rsidRPr="00972B27">
        <w:rPr>
          <w:rFonts w:eastAsiaTheme="minorEastAsia"/>
          <w:lang w:val="fr-CA"/>
        </w:rPr>
        <w:t>e</w:t>
      </w:r>
      <w:r w:rsidRPr="00972B27">
        <w:rPr>
          <w:rFonts w:eastAsiaTheme="minorEastAsia"/>
          <w:lang w:val="fr-CA"/>
        </w:rPr>
        <w:t xml:space="preserve"> dans le document</w:t>
      </w:r>
      <w:r w:rsidR="00CF76A1" w:rsidRPr="00972B27">
        <w:rPr>
          <w:rFonts w:eastAsiaTheme="minorEastAsia"/>
          <w:lang w:val="fr-CA"/>
        </w:rPr>
        <w:t> </w:t>
      </w:r>
      <w:r w:rsidR="00C13A6D" w:rsidRPr="00972B27">
        <w:rPr>
          <w:lang w:val="fr-CA"/>
        </w:rPr>
        <w:t>UNEP/</w:t>
      </w:r>
      <w:proofErr w:type="spellStart"/>
      <w:r w:rsidR="00C13A6D" w:rsidRPr="00972B27">
        <w:rPr>
          <w:lang w:val="fr-CA"/>
        </w:rPr>
        <w:t>OzL.Pro</w:t>
      </w:r>
      <w:proofErr w:type="spellEnd"/>
      <w:r w:rsidR="00C13A6D" w:rsidRPr="00972B27">
        <w:rPr>
          <w:lang w:val="fr-CA"/>
        </w:rPr>
        <w:t>/</w:t>
      </w:r>
      <w:proofErr w:type="spellStart"/>
      <w:r w:rsidR="00C13A6D" w:rsidRPr="00972B27">
        <w:rPr>
          <w:lang w:val="fr-CA"/>
        </w:rPr>
        <w:t>ExCom</w:t>
      </w:r>
      <w:proofErr w:type="spellEnd"/>
      <w:r w:rsidR="00C13A6D" w:rsidRPr="00972B27">
        <w:rPr>
          <w:lang w:val="fr-CA"/>
        </w:rPr>
        <w:t>/84/22/Add.1</w:t>
      </w:r>
      <w:r w:rsidRPr="00972B27">
        <w:rPr>
          <w:lang w:val="fr-CA"/>
        </w:rPr>
        <w:t>, dès que celle-ci sera disponible.</w:t>
      </w:r>
    </w:p>
    <w:p w14:paraId="593AC734" w14:textId="3AEF857A" w:rsidR="00C13A6D" w:rsidRPr="00972B27" w:rsidRDefault="00A01D0D" w:rsidP="003E4C19">
      <w:pPr>
        <w:pStyle w:val="Heading1"/>
        <w:rPr>
          <w:rFonts w:eastAsiaTheme="minorEastAsia"/>
          <w:lang w:val="fr-CA"/>
        </w:rPr>
      </w:pPr>
      <w:r w:rsidRPr="00972B27">
        <w:rPr>
          <w:rFonts w:eastAsiaTheme="minorEastAsia"/>
          <w:lang w:val="fr-CA"/>
        </w:rPr>
        <w:t>Le Comité exécutif à sa 86</w:t>
      </w:r>
      <w:r w:rsidRPr="00972B27">
        <w:rPr>
          <w:rFonts w:eastAsiaTheme="minorEastAsia"/>
          <w:vertAlign w:val="superscript"/>
          <w:lang w:val="fr-CA"/>
        </w:rPr>
        <w:t>e</w:t>
      </w:r>
      <w:r w:rsidR="00D77999" w:rsidRPr="00972B27">
        <w:rPr>
          <w:rFonts w:eastAsiaTheme="minorEastAsia"/>
          <w:lang w:val="fr-CA"/>
        </w:rPr>
        <w:t> </w:t>
      </w:r>
      <w:r w:rsidRPr="00972B27">
        <w:rPr>
          <w:rFonts w:eastAsiaTheme="minorEastAsia"/>
          <w:lang w:val="fr-CA"/>
        </w:rPr>
        <w:t>réunion a pris note</w:t>
      </w:r>
      <w:r w:rsidR="00890CD3" w:rsidRPr="00972B27">
        <w:rPr>
          <w:rFonts w:eastAsiaTheme="minorEastAsia"/>
          <w:lang w:val="fr-CA"/>
        </w:rPr>
        <w:t xml:space="preserve"> du</w:t>
      </w:r>
      <w:r w:rsidRPr="00972B27">
        <w:rPr>
          <w:rFonts w:eastAsiaTheme="minorEastAsia"/>
          <w:lang w:val="fr-CA"/>
        </w:rPr>
        <w:t xml:space="preserve"> rapport sur l’état d’avancement du plan sectoriel pour l’élimination de la production de bromure de méthyle en Chine, ainsi que </w:t>
      </w:r>
      <w:r w:rsidR="0090490C">
        <w:rPr>
          <w:rFonts w:eastAsiaTheme="minorEastAsia"/>
          <w:lang w:val="fr-CA"/>
        </w:rPr>
        <w:t xml:space="preserve">de </w:t>
      </w:r>
      <w:r w:rsidRPr="00972B27">
        <w:rPr>
          <w:rFonts w:eastAsiaTheme="minorEastAsia"/>
          <w:lang w:val="fr-CA"/>
        </w:rPr>
        <w:t xml:space="preserve">la mise à jour </w:t>
      </w:r>
      <w:r w:rsidR="0090490C">
        <w:rPr>
          <w:rFonts w:eastAsiaTheme="minorEastAsia"/>
          <w:lang w:val="fr-CA"/>
        </w:rPr>
        <w:t>sur</w:t>
      </w:r>
      <w:r w:rsidRPr="00972B27">
        <w:rPr>
          <w:rFonts w:eastAsiaTheme="minorEastAsia"/>
          <w:lang w:val="fr-CA"/>
        </w:rPr>
        <w:t xml:space="preserve"> le système d’étiquetage et de traçabilité du bromure de méthyle, soumis par l’ONUDI.</w:t>
      </w:r>
      <w:r w:rsidR="00C13A6D" w:rsidRPr="00972B27">
        <w:rPr>
          <w:rFonts w:eastAsiaTheme="minorEastAsia"/>
          <w:lang w:val="fr-CA"/>
        </w:rPr>
        <w:t xml:space="preserve"> </w:t>
      </w:r>
    </w:p>
    <w:p w14:paraId="3EF8F700" w14:textId="3F7C12EB" w:rsidR="00C13A6D" w:rsidRPr="00972B27" w:rsidRDefault="00A01D0D" w:rsidP="003E4C19">
      <w:pPr>
        <w:pStyle w:val="Heading1"/>
        <w:rPr>
          <w:rFonts w:eastAsiaTheme="minorEastAsia"/>
          <w:lang w:val="fr-CA"/>
        </w:rPr>
      </w:pPr>
      <w:r w:rsidRPr="00972B27">
        <w:rPr>
          <w:rFonts w:eastAsiaTheme="minorEastAsia"/>
          <w:lang w:val="fr-CA"/>
        </w:rPr>
        <w:t>Au nom du gouvernement de la Chine, l’ONUDI a communiqu</w:t>
      </w:r>
      <w:r w:rsidR="005C1438" w:rsidRPr="00972B27">
        <w:rPr>
          <w:rFonts w:eastAsiaTheme="minorEastAsia"/>
          <w:lang w:val="fr-CA"/>
        </w:rPr>
        <w:t>é</w:t>
      </w:r>
      <w:r w:rsidRPr="00972B27">
        <w:rPr>
          <w:rFonts w:eastAsiaTheme="minorEastAsia"/>
          <w:lang w:val="fr-CA"/>
        </w:rPr>
        <w:t xml:space="preserve"> à la présente réunion le rapport annuel sur l’état d’avancement du plan sectoriel pour l’élimination de la production de bromure de méthyle, conformément à la décision</w:t>
      </w:r>
      <w:r w:rsidR="00D77999" w:rsidRPr="00972B27">
        <w:rPr>
          <w:rFonts w:eastAsiaTheme="minorEastAsia"/>
          <w:lang w:val="fr-CA"/>
        </w:rPr>
        <w:t> </w:t>
      </w:r>
      <w:r w:rsidRPr="00972B27">
        <w:rPr>
          <w:rFonts w:eastAsiaTheme="minorEastAsia"/>
          <w:lang w:val="fr-CA"/>
        </w:rPr>
        <w:t>82/19</w:t>
      </w:r>
      <w:r w:rsidR="005C1438" w:rsidRPr="00972B27">
        <w:rPr>
          <w:rFonts w:eastAsiaTheme="minorEastAsia"/>
          <w:lang w:val="fr-CA"/>
        </w:rPr>
        <w:t> g</w:t>
      </w:r>
      <w:r w:rsidRPr="00972B27">
        <w:rPr>
          <w:rFonts w:eastAsiaTheme="minorEastAsia"/>
          <w:lang w:val="fr-CA"/>
        </w:rPr>
        <w:t>)</w:t>
      </w:r>
      <w:r w:rsidR="005C1438" w:rsidRPr="00972B27">
        <w:rPr>
          <w:rFonts w:eastAsiaTheme="minorEastAsia"/>
          <w:lang w:val="fr-CA"/>
        </w:rPr>
        <w:t>.</w:t>
      </w:r>
    </w:p>
    <w:p w14:paraId="70287E0F" w14:textId="27C233A1" w:rsidR="00C13A6D" w:rsidRPr="00972B27" w:rsidRDefault="00A01D0D" w:rsidP="00C13A6D">
      <w:pPr>
        <w:pStyle w:val="Heading1"/>
        <w:rPr>
          <w:rFonts w:eastAsiaTheme="minorEastAsia"/>
          <w:lang w:val="fr-CA"/>
        </w:rPr>
      </w:pPr>
      <w:r w:rsidRPr="00972B27">
        <w:rPr>
          <w:rFonts w:eastAsiaTheme="minorEastAsia"/>
          <w:lang w:val="fr-CA"/>
        </w:rPr>
        <w:t>L’Accord entre le gouvernement de la Chine et le Comité exécutif fixe à zéro la production maximale annuelle autorisée de bromure de méthyle pour les usages réglementés en</w:t>
      </w:r>
      <w:r w:rsidR="005C1438" w:rsidRPr="00972B27">
        <w:rPr>
          <w:rFonts w:eastAsiaTheme="minorEastAsia"/>
          <w:lang w:val="fr-CA"/>
        </w:rPr>
        <w:t> </w:t>
      </w:r>
      <w:r w:rsidRPr="00972B27">
        <w:rPr>
          <w:rFonts w:eastAsiaTheme="minorEastAsia"/>
          <w:lang w:val="fr-CA"/>
        </w:rPr>
        <w:t xml:space="preserve">2015 et au-delà, </w:t>
      </w:r>
      <w:r w:rsidR="000456C4" w:rsidRPr="00972B27">
        <w:rPr>
          <w:rFonts w:eastAsiaTheme="minorEastAsia"/>
          <w:lang w:val="fr-CA"/>
        </w:rPr>
        <w:t>sauf pour les applications de quarantaine et de traitement</w:t>
      </w:r>
      <w:r w:rsidR="005C1438" w:rsidRPr="00972B27">
        <w:rPr>
          <w:rFonts w:eastAsiaTheme="minorEastAsia"/>
          <w:lang w:val="fr-CA"/>
        </w:rPr>
        <w:t>s</w:t>
      </w:r>
      <w:r w:rsidR="000456C4" w:rsidRPr="00972B27">
        <w:rPr>
          <w:rFonts w:eastAsiaTheme="minorEastAsia"/>
          <w:lang w:val="fr-CA"/>
        </w:rPr>
        <w:t xml:space="preserve"> préalable</w:t>
      </w:r>
      <w:r w:rsidR="005C1438" w:rsidRPr="00972B27">
        <w:rPr>
          <w:rFonts w:eastAsiaTheme="minorEastAsia"/>
          <w:lang w:val="fr-CA"/>
        </w:rPr>
        <w:t>s</w:t>
      </w:r>
      <w:r w:rsidR="000456C4" w:rsidRPr="00972B27">
        <w:rPr>
          <w:rFonts w:eastAsiaTheme="minorEastAsia"/>
          <w:lang w:val="fr-CA"/>
        </w:rPr>
        <w:t xml:space="preserve"> à l’expédition (</w:t>
      </w:r>
      <w:r w:rsidR="005C1438" w:rsidRPr="00972B27">
        <w:rPr>
          <w:rFonts w:eastAsiaTheme="minorEastAsia"/>
          <w:lang w:val="fr-CA"/>
        </w:rPr>
        <w:t>Q</w:t>
      </w:r>
      <w:r w:rsidR="000456C4" w:rsidRPr="00972B27">
        <w:rPr>
          <w:rFonts w:eastAsiaTheme="minorEastAsia"/>
          <w:lang w:val="fr-CA"/>
        </w:rPr>
        <w:t>PS), les utilisations critiques et comme matière première devant être approuvé</w:t>
      </w:r>
      <w:r w:rsidR="00890CD3" w:rsidRPr="00972B27">
        <w:rPr>
          <w:rFonts w:eastAsiaTheme="minorEastAsia"/>
          <w:lang w:val="fr-CA"/>
        </w:rPr>
        <w:t>es</w:t>
      </w:r>
      <w:r w:rsidR="000456C4" w:rsidRPr="00972B27">
        <w:rPr>
          <w:rFonts w:eastAsiaTheme="minorEastAsia"/>
          <w:lang w:val="fr-CA"/>
        </w:rPr>
        <w:t xml:space="preserve"> par les Parties. Le gouvernement de la Chine n’a pas présenté de </w:t>
      </w:r>
      <w:r w:rsidR="000C1BD9">
        <w:rPr>
          <w:rFonts w:eastAsiaTheme="minorEastAsia"/>
          <w:lang w:val="fr-CA"/>
        </w:rPr>
        <w:t>demande de dérogation</w:t>
      </w:r>
      <w:r w:rsidR="000456C4" w:rsidRPr="00972B27">
        <w:rPr>
          <w:rFonts w:eastAsiaTheme="minorEastAsia"/>
          <w:lang w:val="fr-CA"/>
        </w:rPr>
        <w:t xml:space="preserve"> pour utilisation</w:t>
      </w:r>
      <w:r w:rsidR="000C1BD9">
        <w:rPr>
          <w:rFonts w:eastAsiaTheme="minorEastAsia"/>
          <w:lang w:val="fr-CA"/>
        </w:rPr>
        <w:t>s</w:t>
      </w:r>
      <w:r w:rsidR="000456C4" w:rsidRPr="00972B27">
        <w:rPr>
          <w:rFonts w:eastAsiaTheme="minorEastAsia"/>
          <w:lang w:val="fr-CA"/>
        </w:rPr>
        <w:t xml:space="preserve"> critique</w:t>
      </w:r>
      <w:r w:rsidR="000C1BD9">
        <w:rPr>
          <w:rFonts w:eastAsiaTheme="minorEastAsia"/>
          <w:lang w:val="fr-CA"/>
        </w:rPr>
        <w:t>s</w:t>
      </w:r>
      <w:r w:rsidR="000456C4" w:rsidRPr="00972B27">
        <w:rPr>
          <w:rFonts w:eastAsiaTheme="minorEastAsia"/>
          <w:lang w:val="fr-CA"/>
        </w:rPr>
        <w:t xml:space="preserve"> </w:t>
      </w:r>
      <w:r w:rsidR="005C1438" w:rsidRPr="00972B27">
        <w:rPr>
          <w:rFonts w:eastAsiaTheme="minorEastAsia"/>
          <w:lang w:val="fr-CA"/>
        </w:rPr>
        <w:t xml:space="preserve">pour la production </w:t>
      </w:r>
      <w:r w:rsidR="000456C4" w:rsidRPr="00972B27">
        <w:rPr>
          <w:rFonts w:eastAsiaTheme="minorEastAsia"/>
          <w:lang w:val="fr-CA"/>
        </w:rPr>
        <w:t>en</w:t>
      </w:r>
      <w:r w:rsidR="005C1438" w:rsidRPr="00972B27">
        <w:rPr>
          <w:rFonts w:eastAsiaTheme="minorEastAsia"/>
          <w:lang w:val="fr-CA"/>
        </w:rPr>
        <w:t> </w:t>
      </w:r>
      <w:r w:rsidR="000456C4" w:rsidRPr="00972B27">
        <w:rPr>
          <w:rFonts w:eastAsiaTheme="minorEastAsia"/>
          <w:lang w:val="fr-CA"/>
        </w:rPr>
        <w:t>2020. Le rapport de vérification de</w:t>
      </w:r>
      <w:r w:rsidR="00116EFD" w:rsidRPr="00972B27">
        <w:rPr>
          <w:rFonts w:eastAsiaTheme="minorEastAsia"/>
          <w:lang w:val="fr-CA"/>
        </w:rPr>
        <w:t> </w:t>
      </w:r>
      <w:r w:rsidR="000456C4" w:rsidRPr="00972B27">
        <w:rPr>
          <w:rFonts w:eastAsiaTheme="minorEastAsia"/>
          <w:lang w:val="fr-CA"/>
        </w:rPr>
        <w:t>2020 a confirmé que la production nationale pour usage</w:t>
      </w:r>
      <w:r w:rsidR="00116EFD" w:rsidRPr="00972B27">
        <w:rPr>
          <w:rFonts w:eastAsiaTheme="minorEastAsia"/>
          <w:lang w:val="fr-CA"/>
        </w:rPr>
        <w:t>s</w:t>
      </w:r>
      <w:r w:rsidR="000456C4" w:rsidRPr="00972B27">
        <w:rPr>
          <w:rFonts w:eastAsiaTheme="minorEastAsia"/>
          <w:lang w:val="fr-CA"/>
        </w:rPr>
        <w:t xml:space="preserve"> réglementé</w:t>
      </w:r>
      <w:r w:rsidR="00116EFD" w:rsidRPr="00972B27">
        <w:rPr>
          <w:rFonts w:eastAsiaTheme="minorEastAsia"/>
          <w:lang w:val="fr-CA"/>
        </w:rPr>
        <w:t>s</w:t>
      </w:r>
      <w:r w:rsidR="000456C4" w:rsidRPr="00972B27">
        <w:rPr>
          <w:rFonts w:eastAsiaTheme="minorEastAsia"/>
          <w:lang w:val="fr-CA"/>
        </w:rPr>
        <w:t xml:space="preserve"> était nulle; le gouvernement n’a déclaré aucune consommation de bromure de méthyle en vertu de l’article</w:t>
      </w:r>
      <w:r w:rsidR="00D77999" w:rsidRPr="00972B27">
        <w:rPr>
          <w:rFonts w:eastAsiaTheme="minorEastAsia"/>
          <w:lang w:val="fr-CA"/>
        </w:rPr>
        <w:t> </w:t>
      </w:r>
      <w:r w:rsidR="000456C4" w:rsidRPr="00972B27">
        <w:rPr>
          <w:rFonts w:eastAsiaTheme="minorEastAsia"/>
          <w:lang w:val="fr-CA"/>
        </w:rPr>
        <w:t xml:space="preserve">7 du Protocole de Montréal et dans le rapport sur le programme de pays. </w:t>
      </w:r>
    </w:p>
    <w:p w14:paraId="5C78F517" w14:textId="331E9DD8" w:rsidR="00C13A6D" w:rsidRPr="00972B27" w:rsidRDefault="000456C4" w:rsidP="00C13A6D">
      <w:pPr>
        <w:spacing w:after="240"/>
        <w:outlineLvl w:val="0"/>
        <w:rPr>
          <w:rFonts w:eastAsiaTheme="minorEastAsia"/>
          <w:u w:val="single"/>
          <w:lang w:val="fr-CA"/>
        </w:rPr>
      </w:pPr>
      <w:r w:rsidRPr="00972B27">
        <w:rPr>
          <w:rFonts w:eastAsiaTheme="minorEastAsia"/>
          <w:u w:val="single"/>
          <w:lang w:val="fr-CA"/>
        </w:rPr>
        <w:lastRenderedPageBreak/>
        <w:t xml:space="preserve">Vérification de la production de bromure de méthyle en 2020 </w:t>
      </w:r>
    </w:p>
    <w:p w14:paraId="275F6613" w14:textId="16EA7998" w:rsidR="00C13A6D" w:rsidRPr="00972B27" w:rsidRDefault="000456C4" w:rsidP="00C13A6D">
      <w:pPr>
        <w:pStyle w:val="Heading1"/>
        <w:rPr>
          <w:rFonts w:eastAsiaTheme="minorEastAsia"/>
          <w:lang w:val="fr-CA"/>
        </w:rPr>
      </w:pPr>
      <w:r w:rsidRPr="00972B27">
        <w:rPr>
          <w:rFonts w:eastAsiaTheme="minorEastAsia"/>
          <w:lang w:val="fr-CA"/>
        </w:rPr>
        <w:t xml:space="preserve">On a mené une vérification des données de production </w:t>
      </w:r>
      <w:r w:rsidR="000C1BD9">
        <w:rPr>
          <w:rFonts w:eastAsiaTheme="minorEastAsia"/>
          <w:lang w:val="fr-CA"/>
        </w:rPr>
        <w:t>liées à</w:t>
      </w:r>
      <w:r w:rsidRPr="00972B27">
        <w:rPr>
          <w:rFonts w:eastAsiaTheme="minorEastAsia"/>
          <w:lang w:val="fr-CA"/>
        </w:rPr>
        <w:t xml:space="preserve"> trois producteurs de bromure de méthyle en août</w:t>
      </w:r>
      <w:r w:rsidR="00D77999" w:rsidRPr="00972B27">
        <w:rPr>
          <w:rFonts w:eastAsiaTheme="minorEastAsia"/>
          <w:lang w:val="fr-CA"/>
        </w:rPr>
        <w:t> </w:t>
      </w:r>
      <w:r w:rsidRPr="00972B27">
        <w:rPr>
          <w:rFonts w:eastAsiaTheme="minorEastAsia"/>
          <w:lang w:val="fr-CA"/>
        </w:rPr>
        <w:t>2021. Les données de production en</w:t>
      </w:r>
      <w:r w:rsidR="00116EFD" w:rsidRPr="00972B27">
        <w:rPr>
          <w:rFonts w:eastAsiaTheme="minorEastAsia"/>
          <w:lang w:val="fr-CA"/>
        </w:rPr>
        <w:t> </w:t>
      </w:r>
      <w:r w:rsidRPr="00972B27">
        <w:rPr>
          <w:rFonts w:eastAsiaTheme="minorEastAsia"/>
          <w:lang w:val="fr-CA"/>
        </w:rPr>
        <w:t>2020 ont été recueillies et vérifiées, avec identification de l’usine et donnée</w:t>
      </w:r>
      <w:r w:rsidR="00116EFD" w:rsidRPr="00972B27">
        <w:rPr>
          <w:rFonts w:eastAsiaTheme="minorEastAsia"/>
          <w:lang w:val="fr-CA"/>
        </w:rPr>
        <w:t>s</w:t>
      </w:r>
      <w:r w:rsidRPr="00972B27">
        <w:rPr>
          <w:rFonts w:eastAsiaTheme="minorEastAsia"/>
          <w:lang w:val="fr-CA"/>
        </w:rPr>
        <w:t xml:space="preserve"> sur l’historique et le fonctionnement; chiffres de vente; et inventaire des stocks au début et à la fin de l’année. L’</w:t>
      </w:r>
      <w:r w:rsidR="00116EFD" w:rsidRPr="00972B27">
        <w:rPr>
          <w:rFonts w:eastAsiaTheme="minorEastAsia"/>
          <w:lang w:val="fr-CA"/>
        </w:rPr>
        <w:t>é</w:t>
      </w:r>
      <w:r w:rsidRPr="00972B27">
        <w:rPr>
          <w:rFonts w:eastAsiaTheme="minorEastAsia"/>
          <w:lang w:val="fr-CA"/>
        </w:rPr>
        <w:t xml:space="preserve">quipe de la vérification a conclu qu’aucune de ces entreprises n’avait produit de bromure de méthyle pour usages réglementés. </w:t>
      </w:r>
    </w:p>
    <w:p w14:paraId="11DB9DE7" w14:textId="6FA846EA" w:rsidR="00C13A6D" w:rsidRPr="00265A48" w:rsidRDefault="00F478B7" w:rsidP="00C13A6D">
      <w:pPr>
        <w:rPr>
          <w:rFonts w:eastAsiaTheme="minorEastAsia"/>
          <w:u w:val="single"/>
        </w:rPr>
      </w:pPr>
      <w:r w:rsidRPr="00265A48">
        <w:rPr>
          <w:rFonts w:eastAsiaTheme="minorEastAsia"/>
          <w:u w:val="single"/>
        </w:rPr>
        <w:t xml:space="preserve">Rapport </w:t>
      </w:r>
      <w:proofErr w:type="spellStart"/>
      <w:r w:rsidRPr="00265A48">
        <w:rPr>
          <w:rFonts w:eastAsiaTheme="minorEastAsia"/>
          <w:u w:val="single"/>
        </w:rPr>
        <w:t>périodique</w:t>
      </w:r>
      <w:proofErr w:type="spellEnd"/>
    </w:p>
    <w:p w14:paraId="314566D5" w14:textId="77777777" w:rsidR="00C13A6D" w:rsidRPr="004C2665" w:rsidRDefault="00C13A6D" w:rsidP="00C13A6D">
      <w:pPr>
        <w:rPr>
          <w:rFonts w:eastAsiaTheme="minorEastAsia"/>
        </w:rPr>
      </w:pPr>
    </w:p>
    <w:p w14:paraId="4E86D0E5" w14:textId="432C2ECC" w:rsidR="00C13A6D" w:rsidRPr="00972B27" w:rsidRDefault="004C65EB" w:rsidP="003E4C19">
      <w:pPr>
        <w:pStyle w:val="Heading1"/>
        <w:rPr>
          <w:rFonts w:eastAsiaTheme="minorEastAsia"/>
          <w:lang w:val="fr-CA"/>
        </w:rPr>
      </w:pPr>
      <w:r w:rsidRPr="00972B27">
        <w:rPr>
          <w:rFonts w:eastAsiaTheme="minorEastAsia"/>
          <w:lang w:val="fr-CA"/>
        </w:rPr>
        <w:t>Le Comité exécutif à sa 82</w:t>
      </w:r>
      <w:r w:rsidRPr="00972B27">
        <w:rPr>
          <w:rFonts w:eastAsiaTheme="minorEastAsia"/>
          <w:vertAlign w:val="superscript"/>
          <w:lang w:val="fr-CA"/>
        </w:rPr>
        <w:t>e</w:t>
      </w:r>
      <w:r w:rsidR="00D77999" w:rsidRPr="00972B27">
        <w:rPr>
          <w:rFonts w:eastAsiaTheme="minorEastAsia"/>
          <w:lang w:val="fr-CA"/>
        </w:rPr>
        <w:t> </w:t>
      </w:r>
      <w:r w:rsidRPr="00972B27">
        <w:rPr>
          <w:rFonts w:eastAsiaTheme="minorEastAsia"/>
          <w:lang w:val="fr-CA"/>
        </w:rPr>
        <w:t>réunion a pris note du plan de travail</w:t>
      </w:r>
      <w:r w:rsidR="00116EFD" w:rsidRPr="00972B27">
        <w:rPr>
          <w:rFonts w:eastAsiaTheme="minorEastAsia"/>
          <w:lang w:val="fr-CA"/>
        </w:rPr>
        <w:t> </w:t>
      </w:r>
      <w:r w:rsidRPr="00972B27">
        <w:rPr>
          <w:rFonts w:eastAsiaTheme="minorEastAsia"/>
          <w:lang w:val="fr-CA"/>
        </w:rPr>
        <w:t>2019-2021, qui comprend des activités axée</w:t>
      </w:r>
      <w:r w:rsidR="00890CD3" w:rsidRPr="00972B27">
        <w:rPr>
          <w:rFonts w:eastAsiaTheme="minorEastAsia"/>
          <w:lang w:val="fr-CA"/>
        </w:rPr>
        <w:t>s</w:t>
      </w:r>
      <w:r w:rsidRPr="00972B27">
        <w:rPr>
          <w:rFonts w:eastAsiaTheme="minorEastAsia"/>
          <w:lang w:val="fr-CA"/>
        </w:rPr>
        <w:t xml:space="preserve"> sur la surveillance et la supervision de la production de bromure de méthyle pour la période</w:t>
      </w:r>
      <w:r w:rsidR="00116EFD" w:rsidRPr="00972B27">
        <w:rPr>
          <w:rFonts w:eastAsiaTheme="minorEastAsia"/>
          <w:lang w:val="fr-CA"/>
        </w:rPr>
        <w:t> </w:t>
      </w:r>
      <w:r w:rsidRPr="00972B27">
        <w:rPr>
          <w:rFonts w:eastAsiaTheme="minorEastAsia"/>
          <w:lang w:val="fr-CA"/>
        </w:rPr>
        <w:t xml:space="preserve">2019-2021, et </w:t>
      </w:r>
      <w:r w:rsidR="006121CF">
        <w:rPr>
          <w:rFonts w:eastAsiaTheme="minorEastAsia"/>
          <w:lang w:val="fr-CA"/>
        </w:rPr>
        <w:t xml:space="preserve">des activités </w:t>
      </w:r>
      <w:r w:rsidRPr="00972B27">
        <w:rPr>
          <w:rFonts w:eastAsiaTheme="minorEastAsia"/>
          <w:lang w:val="fr-CA"/>
        </w:rPr>
        <w:t xml:space="preserve">visant à assurer la conformité à long terme par l’établissement et la mise en </w:t>
      </w:r>
      <w:r w:rsidR="00116EFD" w:rsidRPr="00972B27">
        <w:rPr>
          <w:rFonts w:eastAsiaTheme="minorEastAsia"/>
          <w:lang w:val="fr-CA"/>
        </w:rPr>
        <w:t>place</w:t>
      </w:r>
      <w:r w:rsidRPr="00972B27">
        <w:rPr>
          <w:rFonts w:eastAsiaTheme="minorEastAsia"/>
          <w:lang w:val="fr-CA"/>
        </w:rPr>
        <w:t xml:space="preserve"> de programmes et d’outils de surveillance et de supervision du bromure de méthyle. </w:t>
      </w:r>
    </w:p>
    <w:p w14:paraId="2508C107" w14:textId="6C215018" w:rsidR="00C13A6D" w:rsidRPr="00972B27" w:rsidRDefault="00164E32" w:rsidP="003E4C19">
      <w:pPr>
        <w:pStyle w:val="Heading1"/>
        <w:rPr>
          <w:rFonts w:eastAsiaTheme="minorEastAsia"/>
          <w:lang w:val="fr-CA"/>
        </w:rPr>
      </w:pPr>
      <w:r w:rsidRPr="00972B27">
        <w:rPr>
          <w:rFonts w:eastAsiaTheme="minorEastAsia"/>
          <w:lang w:val="fr-CA"/>
        </w:rPr>
        <w:t xml:space="preserve">Le FECO </w:t>
      </w:r>
      <w:r w:rsidR="00033D5C" w:rsidRPr="00972B27">
        <w:rPr>
          <w:rFonts w:eastAsiaTheme="minorEastAsia"/>
          <w:lang w:val="fr-CA"/>
        </w:rPr>
        <w:t>a finalisé</w:t>
      </w:r>
      <w:r w:rsidRPr="00972B27">
        <w:rPr>
          <w:rFonts w:eastAsiaTheme="minorEastAsia"/>
          <w:lang w:val="fr-CA"/>
        </w:rPr>
        <w:t xml:space="preserve"> les mandats pour </w:t>
      </w:r>
      <w:r w:rsidR="006121CF">
        <w:rPr>
          <w:rFonts w:eastAsiaTheme="minorEastAsia"/>
          <w:lang w:val="fr-CA"/>
        </w:rPr>
        <w:t>la création</w:t>
      </w:r>
      <w:r w:rsidRPr="00972B27">
        <w:rPr>
          <w:rFonts w:eastAsiaTheme="minorEastAsia"/>
          <w:lang w:val="fr-CA"/>
        </w:rPr>
        <w:t xml:space="preserve"> du système d’étiquetage et de traçabilité du bromure de méthyle et </w:t>
      </w:r>
      <w:r w:rsidR="00033D5C" w:rsidRPr="00972B27">
        <w:rPr>
          <w:rFonts w:eastAsiaTheme="minorEastAsia"/>
          <w:lang w:val="fr-CA"/>
        </w:rPr>
        <w:t xml:space="preserve">a </w:t>
      </w:r>
      <w:r w:rsidRPr="00972B27">
        <w:rPr>
          <w:rFonts w:eastAsiaTheme="minorEastAsia"/>
          <w:lang w:val="fr-CA"/>
        </w:rPr>
        <w:t>choisi</w:t>
      </w:r>
      <w:r w:rsidR="00033D5C" w:rsidRPr="00972B27">
        <w:rPr>
          <w:rFonts w:eastAsiaTheme="minorEastAsia"/>
          <w:lang w:val="fr-CA"/>
        </w:rPr>
        <w:t xml:space="preserve"> </w:t>
      </w:r>
      <w:r w:rsidRPr="00972B27">
        <w:rPr>
          <w:rFonts w:eastAsiaTheme="minorEastAsia"/>
          <w:lang w:val="fr-CA"/>
        </w:rPr>
        <w:t xml:space="preserve">le Centre d’inspection des animaux, des végétaux et des </w:t>
      </w:r>
      <w:r w:rsidR="00033D5C" w:rsidRPr="00972B27">
        <w:rPr>
          <w:rFonts w:eastAsiaTheme="minorEastAsia"/>
          <w:lang w:val="fr-CA"/>
        </w:rPr>
        <w:t>ali</w:t>
      </w:r>
      <w:r w:rsidRPr="00972B27">
        <w:rPr>
          <w:rFonts w:eastAsiaTheme="minorEastAsia"/>
          <w:lang w:val="fr-CA"/>
        </w:rPr>
        <w:t>ments au service des douanes de</w:t>
      </w:r>
      <w:r w:rsidR="00033D5C" w:rsidRPr="00972B27">
        <w:rPr>
          <w:rFonts w:eastAsiaTheme="minorEastAsia"/>
          <w:lang w:val="fr-CA"/>
        </w:rPr>
        <w:t xml:space="preserve"> Tianjin pour</w:t>
      </w:r>
      <w:r w:rsidRPr="00972B27">
        <w:rPr>
          <w:rFonts w:eastAsiaTheme="minorEastAsia"/>
          <w:lang w:val="fr-CA"/>
        </w:rPr>
        <w:t xml:space="preserve"> élaborer le </w:t>
      </w:r>
      <w:r w:rsidR="006121CF">
        <w:rPr>
          <w:rFonts w:eastAsiaTheme="minorEastAsia"/>
          <w:lang w:val="fr-CA"/>
        </w:rPr>
        <w:t xml:space="preserve">nouveau </w:t>
      </w:r>
      <w:r w:rsidRPr="00972B27">
        <w:rPr>
          <w:rFonts w:eastAsiaTheme="minorEastAsia"/>
          <w:lang w:val="fr-CA"/>
        </w:rPr>
        <w:t xml:space="preserve">système </w:t>
      </w:r>
      <w:r w:rsidR="00033D5C" w:rsidRPr="00972B27">
        <w:rPr>
          <w:rFonts w:eastAsiaTheme="minorEastAsia"/>
          <w:lang w:val="fr-CA"/>
        </w:rPr>
        <w:t xml:space="preserve">à </w:t>
      </w:r>
      <w:r w:rsidRPr="00972B27">
        <w:rPr>
          <w:rFonts w:eastAsiaTheme="minorEastAsia"/>
          <w:lang w:val="fr-CA"/>
        </w:rPr>
        <w:t>partir du système actuel de production de rapport</w:t>
      </w:r>
      <w:r w:rsidR="00503BB1" w:rsidRPr="00972B27">
        <w:rPr>
          <w:rFonts w:eastAsiaTheme="minorEastAsia"/>
          <w:lang w:val="fr-CA"/>
        </w:rPr>
        <w:t>s</w:t>
      </w:r>
      <w:r w:rsidRPr="00972B27">
        <w:rPr>
          <w:rFonts w:eastAsiaTheme="minorEastAsia"/>
          <w:lang w:val="fr-CA"/>
        </w:rPr>
        <w:t xml:space="preserve"> sur les données de production. Chaque contenant de bromure de méthyle produit par les trois producteurs ser</w:t>
      </w:r>
      <w:r w:rsidR="00890CD3" w:rsidRPr="00972B27">
        <w:rPr>
          <w:rFonts w:eastAsiaTheme="minorEastAsia"/>
          <w:lang w:val="fr-CA"/>
        </w:rPr>
        <w:t>a</w:t>
      </w:r>
      <w:r w:rsidRPr="00972B27">
        <w:rPr>
          <w:rFonts w:eastAsiaTheme="minorEastAsia"/>
          <w:lang w:val="fr-CA"/>
        </w:rPr>
        <w:t xml:space="preserve"> étiqueté et suivi pour les applications de quarantaine et de traitement</w:t>
      </w:r>
      <w:r w:rsidR="00503BB1" w:rsidRPr="00972B27">
        <w:rPr>
          <w:rFonts w:eastAsiaTheme="minorEastAsia"/>
          <w:lang w:val="fr-CA"/>
        </w:rPr>
        <w:t>s</w:t>
      </w:r>
      <w:r w:rsidRPr="00972B27">
        <w:rPr>
          <w:rFonts w:eastAsiaTheme="minorEastAsia"/>
          <w:lang w:val="fr-CA"/>
        </w:rPr>
        <w:t xml:space="preserve"> préalable</w:t>
      </w:r>
      <w:r w:rsidR="00503BB1" w:rsidRPr="00972B27">
        <w:rPr>
          <w:rFonts w:eastAsiaTheme="minorEastAsia"/>
          <w:lang w:val="fr-CA"/>
        </w:rPr>
        <w:t>s</w:t>
      </w:r>
      <w:r w:rsidRPr="00972B27">
        <w:rPr>
          <w:rFonts w:eastAsiaTheme="minorEastAsia"/>
          <w:lang w:val="fr-CA"/>
        </w:rPr>
        <w:t xml:space="preserve"> à l’expédition (</w:t>
      </w:r>
      <w:r w:rsidR="00503BB1" w:rsidRPr="00972B27">
        <w:rPr>
          <w:rFonts w:eastAsiaTheme="minorEastAsia"/>
          <w:lang w:val="fr-CA"/>
        </w:rPr>
        <w:t>Q</w:t>
      </w:r>
      <w:r w:rsidRPr="00972B27">
        <w:rPr>
          <w:rFonts w:eastAsiaTheme="minorEastAsia"/>
          <w:lang w:val="fr-CA"/>
        </w:rPr>
        <w:t>PS) et les utilisations comme matière première, permettant ainsi de mettre en place un système dynamique d’information sur la gestion des données de production</w:t>
      </w:r>
      <w:r w:rsidR="006121CF">
        <w:rPr>
          <w:rFonts w:eastAsiaTheme="minorEastAsia"/>
          <w:lang w:val="fr-CA"/>
        </w:rPr>
        <w:t xml:space="preserve">, </w:t>
      </w:r>
      <w:r w:rsidRPr="00972B27">
        <w:rPr>
          <w:rFonts w:eastAsiaTheme="minorEastAsia"/>
          <w:lang w:val="fr-CA"/>
        </w:rPr>
        <w:t xml:space="preserve">de consommation et </w:t>
      </w:r>
      <w:r w:rsidR="006121CF">
        <w:rPr>
          <w:rFonts w:eastAsiaTheme="minorEastAsia"/>
          <w:lang w:val="fr-CA"/>
        </w:rPr>
        <w:t>de</w:t>
      </w:r>
      <w:r w:rsidRPr="00972B27">
        <w:rPr>
          <w:rFonts w:eastAsiaTheme="minorEastAsia"/>
          <w:lang w:val="fr-CA"/>
        </w:rPr>
        <w:t xml:space="preserve"> traçabilité, qui sera finalisé d’ici le 31</w:t>
      </w:r>
      <w:r w:rsidR="00D77999" w:rsidRPr="00972B27">
        <w:rPr>
          <w:rFonts w:eastAsiaTheme="minorEastAsia"/>
          <w:lang w:val="fr-CA"/>
        </w:rPr>
        <w:t> </w:t>
      </w:r>
      <w:r w:rsidRPr="00972B27">
        <w:rPr>
          <w:rFonts w:eastAsiaTheme="minorEastAsia"/>
          <w:lang w:val="fr-CA"/>
        </w:rPr>
        <w:t>décembre</w:t>
      </w:r>
      <w:r w:rsidR="00D77999" w:rsidRPr="00972B27">
        <w:rPr>
          <w:rFonts w:eastAsiaTheme="minorEastAsia"/>
          <w:lang w:val="fr-CA"/>
        </w:rPr>
        <w:t> </w:t>
      </w:r>
      <w:r w:rsidRPr="00972B27">
        <w:rPr>
          <w:rFonts w:eastAsiaTheme="minorEastAsia"/>
          <w:lang w:val="fr-CA"/>
        </w:rPr>
        <w:t xml:space="preserve">2021. En outre, le </w:t>
      </w:r>
      <w:r w:rsidR="00503BB1" w:rsidRPr="00972B27">
        <w:rPr>
          <w:rFonts w:eastAsiaTheme="minorEastAsia"/>
          <w:lang w:val="fr-CA"/>
        </w:rPr>
        <w:t>c</w:t>
      </w:r>
      <w:r w:rsidRPr="00972B27">
        <w:rPr>
          <w:rFonts w:eastAsiaTheme="minorEastAsia"/>
          <w:lang w:val="fr-CA"/>
        </w:rPr>
        <w:t xml:space="preserve">entre </w:t>
      </w:r>
      <w:r w:rsidR="00503BB1" w:rsidRPr="00972B27">
        <w:rPr>
          <w:rFonts w:eastAsiaTheme="minorEastAsia"/>
          <w:lang w:val="fr-CA"/>
        </w:rPr>
        <w:t xml:space="preserve">a </w:t>
      </w:r>
      <w:r w:rsidRPr="00972B27">
        <w:rPr>
          <w:rFonts w:eastAsiaTheme="minorEastAsia"/>
          <w:lang w:val="fr-CA"/>
        </w:rPr>
        <w:t>prépar</w:t>
      </w:r>
      <w:r w:rsidR="00503BB1" w:rsidRPr="00972B27">
        <w:rPr>
          <w:rFonts w:eastAsiaTheme="minorEastAsia"/>
          <w:lang w:val="fr-CA"/>
        </w:rPr>
        <w:t>é</w:t>
      </w:r>
      <w:r w:rsidRPr="00972B27">
        <w:rPr>
          <w:rFonts w:eastAsiaTheme="minorEastAsia"/>
          <w:lang w:val="fr-CA"/>
        </w:rPr>
        <w:t xml:space="preserve"> une mise à jour de la publication sur les principes et les techniques appliquées pour les applications de quarantaine des animaux et des végétaux à partir d</w:t>
      </w:r>
      <w:r w:rsidR="00503BB1" w:rsidRPr="00972B27">
        <w:rPr>
          <w:rFonts w:eastAsiaTheme="minorEastAsia"/>
          <w:lang w:val="fr-CA"/>
        </w:rPr>
        <w:t xml:space="preserve">’une </w:t>
      </w:r>
      <w:r w:rsidRPr="00972B27">
        <w:rPr>
          <w:rFonts w:eastAsiaTheme="minorEastAsia"/>
          <w:lang w:val="fr-CA"/>
        </w:rPr>
        <w:t>nouvelle recherche sur les solutions de remplacement et les méthodes d’application; cette mise à jour a été soumise pour publication</w:t>
      </w:r>
      <w:r w:rsidR="00503BB1" w:rsidRPr="00972B27">
        <w:rPr>
          <w:rFonts w:eastAsiaTheme="minorEastAsia"/>
          <w:lang w:val="fr-CA"/>
        </w:rPr>
        <w:t> en octobre </w:t>
      </w:r>
      <w:r w:rsidRPr="00972B27">
        <w:rPr>
          <w:rFonts w:eastAsiaTheme="minorEastAsia"/>
          <w:lang w:val="fr-CA"/>
        </w:rPr>
        <w:t xml:space="preserve">2021. </w:t>
      </w:r>
    </w:p>
    <w:p w14:paraId="5BE1E93B" w14:textId="382D48F9" w:rsidR="00C13A6D" w:rsidRPr="00972B27" w:rsidRDefault="00164E32" w:rsidP="003E4C19">
      <w:pPr>
        <w:pStyle w:val="Heading1"/>
        <w:rPr>
          <w:rFonts w:eastAsiaTheme="minorEastAsia"/>
          <w:lang w:val="fr-CA"/>
        </w:rPr>
      </w:pPr>
      <w:r w:rsidRPr="00972B27">
        <w:rPr>
          <w:rFonts w:eastAsiaTheme="minorEastAsia"/>
          <w:lang w:val="fr-CA"/>
        </w:rPr>
        <w:t>On a entrepris une enquête en</w:t>
      </w:r>
      <w:r w:rsidR="00503BB1" w:rsidRPr="00972B27">
        <w:rPr>
          <w:rFonts w:eastAsiaTheme="minorEastAsia"/>
          <w:lang w:val="fr-CA"/>
        </w:rPr>
        <w:t> </w:t>
      </w:r>
      <w:r w:rsidRPr="00972B27">
        <w:rPr>
          <w:rFonts w:eastAsiaTheme="minorEastAsia"/>
          <w:lang w:val="fr-CA"/>
        </w:rPr>
        <w:t>2020 en vue de recueillir des données sur les utilisations comme matière première de</w:t>
      </w:r>
      <w:r w:rsidR="00503BB1" w:rsidRPr="00972B27">
        <w:rPr>
          <w:rFonts w:eastAsiaTheme="minorEastAsia"/>
          <w:lang w:val="fr-CA"/>
        </w:rPr>
        <w:t> </w:t>
      </w:r>
      <w:r w:rsidRPr="00972B27">
        <w:rPr>
          <w:rFonts w:eastAsiaTheme="minorEastAsia"/>
          <w:lang w:val="fr-CA"/>
        </w:rPr>
        <w:t>2017 à</w:t>
      </w:r>
      <w:r w:rsidR="00503BB1" w:rsidRPr="00972B27">
        <w:rPr>
          <w:rFonts w:eastAsiaTheme="minorEastAsia"/>
          <w:lang w:val="fr-CA"/>
        </w:rPr>
        <w:t> </w:t>
      </w:r>
      <w:r w:rsidRPr="00972B27">
        <w:rPr>
          <w:rFonts w:eastAsiaTheme="minorEastAsia"/>
          <w:lang w:val="fr-CA"/>
        </w:rPr>
        <w:t>2020, lesquel</w:t>
      </w:r>
      <w:r w:rsidR="00503BB1" w:rsidRPr="00972B27">
        <w:rPr>
          <w:rFonts w:eastAsiaTheme="minorEastAsia"/>
          <w:lang w:val="fr-CA"/>
        </w:rPr>
        <w:t>le</w:t>
      </w:r>
      <w:r w:rsidRPr="00972B27">
        <w:rPr>
          <w:rFonts w:eastAsiaTheme="minorEastAsia"/>
          <w:lang w:val="fr-CA"/>
        </w:rPr>
        <w:t>s seront intégré</w:t>
      </w:r>
      <w:r w:rsidR="00503BB1" w:rsidRPr="00972B27">
        <w:rPr>
          <w:rFonts w:eastAsiaTheme="minorEastAsia"/>
          <w:lang w:val="fr-CA"/>
        </w:rPr>
        <w:t>e</w:t>
      </w:r>
      <w:r w:rsidRPr="00972B27">
        <w:rPr>
          <w:rFonts w:eastAsiaTheme="minorEastAsia"/>
          <w:lang w:val="fr-CA"/>
        </w:rPr>
        <w:t xml:space="preserve">s au système d’information sur la gestion des données. </w:t>
      </w:r>
      <w:r w:rsidR="002651BF" w:rsidRPr="00972B27">
        <w:rPr>
          <w:rFonts w:eastAsiaTheme="minorEastAsia"/>
          <w:lang w:val="fr-CA"/>
        </w:rPr>
        <w:t>Les projets de coopération en matière d’assistance technique avec l’Administration générale de la supervision de la qualité, de l’inspection et des quarantaines (</w:t>
      </w:r>
      <w:r w:rsidR="00503BB1" w:rsidRPr="00972B27">
        <w:rPr>
          <w:rFonts w:eastAsiaTheme="minorEastAsia"/>
          <w:lang w:val="fr-CA"/>
        </w:rPr>
        <w:t>AQSIAQ</w:t>
      </w:r>
      <w:r w:rsidR="002651BF" w:rsidRPr="00972B27">
        <w:rPr>
          <w:rFonts w:eastAsiaTheme="minorEastAsia"/>
          <w:lang w:val="fr-CA"/>
        </w:rPr>
        <w:t>) ont été achevé</w:t>
      </w:r>
      <w:r w:rsidR="00890CD3" w:rsidRPr="00972B27">
        <w:rPr>
          <w:rFonts w:eastAsiaTheme="minorEastAsia"/>
          <w:lang w:val="fr-CA"/>
        </w:rPr>
        <w:t>s</w:t>
      </w:r>
      <w:r w:rsidR="002651BF" w:rsidRPr="00972B27">
        <w:rPr>
          <w:rFonts w:eastAsiaTheme="minorEastAsia"/>
          <w:lang w:val="fr-CA"/>
        </w:rPr>
        <w:t>, à l’exception d</w:t>
      </w:r>
      <w:r w:rsidR="007E22A8" w:rsidRPr="00972B27">
        <w:rPr>
          <w:rFonts w:eastAsiaTheme="minorEastAsia"/>
          <w:lang w:val="fr-CA"/>
        </w:rPr>
        <w:t xml:space="preserve">’un </w:t>
      </w:r>
      <w:r w:rsidR="002651BF" w:rsidRPr="00972B27">
        <w:rPr>
          <w:rFonts w:eastAsiaTheme="minorEastAsia"/>
          <w:lang w:val="fr-CA"/>
        </w:rPr>
        <w:t>projet de recherche sur la politique et la réglementation en matière d’application QPS, qui sera terminé d’ici le 31</w:t>
      </w:r>
      <w:r w:rsidR="00D77999" w:rsidRPr="00972B27">
        <w:rPr>
          <w:rFonts w:eastAsiaTheme="minorEastAsia"/>
          <w:lang w:val="fr-CA"/>
        </w:rPr>
        <w:t> </w:t>
      </w:r>
      <w:r w:rsidR="002651BF" w:rsidRPr="00972B27">
        <w:rPr>
          <w:rFonts w:eastAsiaTheme="minorEastAsia"/>
          <w:lang w:val="fr-CA"/>
        </w:rPr>
        <w:t>décembre</w:t>
      </w:r>
      <w:r w:rsidR="00D77999" w:rsidRPr="00972B27">
        <w:rPr>
          <w:rFonts w:eastAsiaTheme="minorEastAsia"/>
          <w:lang w:val="fr-CA"/>
        </w:rPr>
        <w:t> </w:t>
      </w:r>
      <w:r w:rsidR="002651BF" w:rsidRPr="00972B27">
        <w:rPr>
          <w:rFonts w:eastAsiaTheme="minorEastAsia"/>
          <w:lang w:val="fr-CA"/>
        </w:rPr>
        <w:t>2021.</w:t>
      </w:r>
      <w:r w:rsidR="00C13A6D" w:rsidRPr="00972B27">
        <w:rPr>
          <w:rFonts w:eastAsiaTheme="minorEastAsia"/>
          <w:lang w:val="fr-CA"/>
        </w:rPr>
        <w:t xml:space="preserve"> </w:t>
      </w:r>
    </w:p>
    <w:p w14:paraId="04BD6569" w14:textId="5742810D" w:rsidR="00C13A6D" w:rsidRPr="004C2665" w:rsidRDefault="00F478B7" w:rsidP="00C13A6D">
      <w:pPr>
        <w:widowControl w:val="0"/>
        <w:spacing w:after="240"/>
        <w:outlineLvl w:val="0"/>
        <w:rPr>
          <w:rFonts w:eastAsiaTheme="minorEastAsia"/>
          <w:b/>
          <w:noProof/>
        </w:rPr>
      </w:pPr>
      <w:r>
        <w:rPr>
          <w:rFonts w:eastAsiaTheme="minorEastAsia"/>
          <w:b/>
          <w:noProof/>
        </w:rPr>
        <w:t>Observations du Secrétariat</w:t>
      </w:r>
    </w:p>
    <w:p w14:paraId="70E832FA" w14:textId="492E3AE3" w:rsidR="00C13A6D" w:rsidRPr="00972B27" w:rsidRDefault="003326FD" w:rsidP="00C13A6D">
      <w:pPr>
        <w:pStyle w:val="Heading1"/>
        <w:rPr>
          <w:lang w:val="fr-CA"/>
        </w:rPr>
      </w:pPr>
      <w:r w:rsidRPr="00972B27">
        <w:rPr>
          <w:lang w:val="fr-CA"/>
        </w:rPr>
        <w:t xml:space="preserve">L’ONUDI a confirmé que le gouvernement terminera la mise en œuvre du plan sectoriel pour l’élimination de la production de bromure de méthyle en Chine </w:t>
      </w:r>
      <w:r w:rsidR="007E22A8" w:rsidRPr="00972B27">
        <w:rPr>
          <w:lang w:val="fr-CA"/>
        </w:rPr>
        <w:t>d’</w:t>
      </w:r>
      <w:r w:rsidRPr="00972B27">
        <w:rPr>
          <w:lang w:val="fr-CA"/>
        </w:rPr>
        <w:t>ici le 31</w:t>
      </w:r>
      <w:r w:rsidR="00D77999" w:rsidRPr="00972B27">
        <w:rPr>
          <w:lang w:val="fr-CA"/>
        </w:rPr>
        <w:t> </w:t>
      </w:r>
      <w:r w:rsidRPr="00972B27">
        <w:rPr>
          <w:lang w:val="fr-CA"/>
        </w:rPr>
        <w:t>décembre</w:t>
      </w:r>
      <w:r w:rsidR="00D77999" w:rsidRPr="00972B27">
        <w:rPr>
          <w:lang w:val="fr-CA"/>
        </w:rPr>
        <w:t> </w:t>
      </w:r>
      <w:r w:rsidRPr="00972B27">
        <w:rPr>
          <w:lang w:val="fr-CA"/>
        </w:rPr>
        <w:t>2021, et qu’aucune autre prolongation ne sera demandée. Comme certains projets sont toujours en cours et que les décaissements finaux seront effectués d’ici le 30</w:t>
      </w:r>
      <w:r w:rsidR="00D77999" w:rsidRPr="00972B27">
        <w:rPr>
          <w:lang w:val="fr-CA"/>
        </w:rPr>
        <w:t> </w:t>
      </w:r>
      <w:r w:rsidRPr="00972B27">
        <w:rPr>
          <w:lang w:val="fr-CA"/>
        </w:rPr>
        <w:t>juin</w:t>
      </w:r>
      <w:r w:rsidR="00D77999" w:rsidRPr="00972B27">
        <w:rPr>
          <w:lang w:val="fr-CA"/>
        </w:rPr>
        <w:t> </w:t>
      </w:r>
      <w:r w:rsidRPr="00972B27">
        <w:rPr>
          <w:lang w:val="fr-CA"/>
        </w:rPr>
        <w:t>2022, le niveau de décaissement définitif pour le projet et le rapport d’achèvement de projet sera fourni d’ici le 1</w:t>
      </w:r>
      <w:r w:rsidRPr="00972B27">
        <w:rPr>
          <w:vertAlign w:val="superscript"/>
          <w:lang w:val="fr-CA"/>
        </w:rPr>
        <w:t>er</w:t>
      </w:r>
      <w:r w:rsidR="00D77999" w:rsidRPr="00972B27">
        <w:rPr>
          <w:lang w:val="fr-CA"/>
        </w:rPr>
        <w:t> </w:t>
      </w:r>
      <w:r w:rsidRPr="00972B27">
        <w:rPr>
          <w:lang w:val="fr-CA"/>
        </w:rPr>
        <w:t>juillet</w:t>
      </w:r>
      <w:r w:rsidR="00D77999" w:rsidRPr="00972B27">
        <w:rPr>
          <w:lang w:val="fr-CA"/>
        </w:rPr>
        <w:t> </w:t>
      </w:r>
      <w:r w:rsidRPr="00972B27">
        <w:rPr>
          <w:lang w:val="fr-CA"/>
        </w:rPr>
        <w:t>2022 et le 31</w:t>
      </w:r>
      <w:r w:rsidR="00D77999" w:rsidRPr="00972B27">
        <w:rPr>
          <w:lang w:val="fr-CA"/>
        </w:rPr>
        <w:t> </w:t>
      </w:r>
      <w:r w:rsidRPr="00972B27">
        <w:rPr>
          <w:lang w:val="fr-CA"/>
        </w:rPr>
        <w:t>décembre</w:t>
      </w:r>
      <w:r w:rsidR="00D77999" w:rsidRPr="00972B27">
        <w:rPr>
          <w:lang w:val="fr-CA"/>
        </w:rPr>
        <w:t> </w:t>
      </w:r>
      <w:r w:rsidRPr="00972B27">
        <w:rPr>
          <w:lang w:val="fr-CA"/>
        </w:rPr>
        <w:t>2022, respectivement.</w:t>
      </w:r>
    </w:p>
    <w:p w14:paraId="16F885C0" w14:textId="59902896" w:rsidR="00C13A6D" w:rsidRPr="00972B27" w:rsidRDefault="003326FD" w:rsidP="00C13A6D">
      <w:pPr>
        <w:pStyle w:val="Heading1"/>
        <w:rPr>
          <w:rFonts w:eastAsiaTheme="minorEastAsia"/>
          <w:lang w:val="fr-CA"/>
        </w:rPr>
      </w:pPr>
      <w:r w:rsidRPr="00972B27">
        <w:rPr>
          <w:lang w:val="fr-CA"/>
        </w:rPr>
        <w:t>On ne dispose d’aucun renseignement sur l’affaire de production illicite de</w:t>
      </w:r>
      <w:r w:rsidR="007E22A8" w:rsidRPr="00972B27">
        <w:rPr>
          <w:lang w:val="fr-CA"/>
        </w:rPr>
        <w:t> </w:t>
      </w:r>
      <w:r w:rsidRPr="00972B27">
        <w:rPr>
          <w:lang w:val="fr-CA"/>
        </w:rPr>
        <w:t>2014 mentionné</w:t>
      </w:r>
      <w:r w:rsidR="007E22A8" w:rsidRPr="00972B27">
        <w:rPr>
          <w:lang w:val="fr-CA"/>
        </w:rPr>
        <w:t>e</w:t>
      </w:r>
      <w:r w:rsidRPr="00972B27">
        <w:rPr>
          <w:lang w:val="fr-CA"/>
        </w:rPr>
        <w:t xml:space="preserve"> dans le document </w:t>
      </w:r>
      <w:r w:rsidR="00C13A6D" w:rsidRPr="00972B27">
        <w:rPr>
          <w:lang w:val="fr-CA"/>
        </w:rPr>
        <w:t>UNEP/</w:t>
      </w:r>
      <w:proofErr w:type="spellStart"/>
      <w:r w:rsidR="00C13A6D" w:rsidRPr="00972B27">
        <w:rPr>
          <w:lang w:val="fr-CA"/>
        </w:rPr>
        <w:t>OzL.Pro</w:t>
      </w:r>
      <w:proofErr w:type="spellEnd"/>
      <w:r w:rsidR="00C13A6D" w:rsidRPr="00972B27">
        <w:rPr>
          <w:lang w:val="fr-CA"/>
        </w:rPr>
        <w:t>/</w:t>
      </w:r>
      <w:proofErr w:type="spellStart"/>
      <w:r w:rsidR="00C13A6D" w:rsidRPr="00972B27">
        <w:rPr>
          <w:lang w:val="fr-CA"/>
        </w:rPr>
        <w:t>ExCom</w:t>
      </w:r>
      <w:proofErr w:type="spellEnd"/>
      <w:r w:rsidR="00C13A6D" w:rsidRPr="00972B27">
        <w:rPr>
          <w:lang w:val="fr-CA"/>
        </w:rPr>
        <w:t>/84/22/Add.1 (d</w:t>
      </w:r>
      <w:r w:rsidR="007E22A8" w:rsidRPr="00972B27">
        <w:rPr>
          <w:lang w:val="fr-CA"/>
        </w:rPr>
        <w:t>é</w:t>
      </w:r>
      <w:r w:rsidR="00C13A6D" w:rsidRPr="00972B27">
        <w:rPr>
          <w:lang w:val="fr-CA"/>
        </w:rPr>
        <w:t>cision 84/40</w:t>
      </w:r>
      <w:r w:rsidR="007E22A8" w:rsidRPr="00972B27">
        <w:rPr>
          <w:lang w:val="fr-CA"/>
        </w:rPr>
        <w:t> </w:t>
      </w:r>
      <w:r w:rsidR="00C13A6D" w:rsidRPr="00972B27">
        <w:rPr>
          <w:lang w:val="fr-CA"/>
        </w:rPr>
        <w:t xml:space="preserve">c)). </w:t>
      </w:r>
      <w:r w:rsidRPr="00972B27">
        <w:rPr>
          <w:lang w:val="fr-CA"/>
        </w:rPr>
        <w:t>En outre, on ignore encore si les stations de surveillance atmosphérique qui pourrai</w:t>
      </w:r>
      <w:r w:rsidR="007E22A8" w:rsidRPr="00972B27">
        <w:rPr>
          <w:lang w:val="fr-CA"/>
        </w:rPr>
        <w:t>en</w:t>
      </w:r>
      <w:r w:rsidRPr="00972B27">
        <w:rPr>
          <w:lang w:val="fr-CA"/>
        </w:rPr>
        <w:t>t être créée</w:t>
      </w:r>
      <w:r w:rsidR="007E22A8" w:rsidRPr="00972B27">
        <w:rPr>
          <w:lang w:val="fr-CA"/>
        </w:rPr>
        <w:t>s</w:t>
      </w:r>
      <w:r w:rsidRPr="00972B27">
        <w:rPr>
          <w:lang w:val="fr-CA"/>
        </w:rPr>
        <w:t xml:space="preserve"> dans les provinces de </w:t>
      </w:r>
      <w:r w:rsidR="00C13A6D" w:rsidRPr="00972B27">
        <w:rPr>
          <w:rFonts w:eastAsiaTheme="minorEastAsia"/>
          <w:lang w:val="fr-CA"/>
        </w:rPr>
        <w:t>Jiangsu, Shandong, Shanghai</w:t>
      </w:r>
      <w:r w:rsidR="007E22A8" w:rsidRPr="00972B27">
        <w:rPr>
          <w:rFonts w:eastAsiaTheme="minorEastAsia"/>
          <w:lang w:val="fr-CA"/>
        </w:rPr>
        <w:t xml:space="preserve"> et</w:t>
      </w:r>
      <w:r w:rsidR="00C13A6D" w:rsidRPr="00972B27">
        <w:rPr>
          <w:rFonts w:eastAsiaTheme="minorEastAsia"/>
          <w:lang w:val="fr-CA"/>
        </w:rPr>
        <w:t xml:space="preserve"> Zhejiang</w:t>
      </w:r>
      <w:r w:rsidR="007E22A8" w:rsidRPr="00972B27">
        <w:rPr>
          <w:rFonts w:eastAsiaTheme="minorEastAsia"/>
          <w:lang w:val="fr-CA"/>
        </w:rPr>
        <w:t>, où</w:t>
      </w:r>
      <w:r w:rsidRPr="00972B27">
        <w:rPr>
          <w:rFonts w:eastAsiaTheme="minorEastAsia"/>
          <w:lang w:val="fr-CA"/>
        </w:rPr>
        <w:t xml:space="preserve"> les utilisations comme matière première sont concentrées, comporteront des instruments pouvant mesurer </w:t>
      </w:r>
      <w:r w:rsidR="006121CF">
        <w:rPr>
          <w:rFonts w:eastAsiaTheme="minorEastAsia"/>
          <w:lang w:val="fr-CA"/>
        </w:rPr>
        <w:t>les concentrations atmosphériques</w:t>
      </w:r>
      <w:r w:rsidRPr="00972B27">
        <w:rPr>
          <w:rFonts w:eastAsiaTheme="minorEastAsia"/>
          <w:lang w:val="fr-CA"/>
        </w:rPr>
        <w:t xml:space="preserve"> de bromure de méthyle, le réseau de surveillance atmosphérique des SAO </w:t>
      </w:r>
      <w:r w:rsidR="002651BF" w:rsidRPr="00972B27">
        <w:rPr>
          <w:rFonts w:eastAsiaTheme="minorEastAsia"/>
          <w:lang w:val="fr-CA"/>
        </w:rPr>
        <w:t>prévu par la Chine étant encore en construction.</w:t>
      </w:r>
      <w:r w:rsidR="00C13A6D" w:rsidRPr="00972B27">
        <w:rPr>
          <w:rFonts w:eastAsiaTheme="minorEastAsia"/>
          <w:lang w:val="fr-CA"/>
        </w:rPr>
        <w:t xml:space="preserve"> </w:t>
      </w:r>
    </w:p>
    <w:p w14:paraId="3BE26E4E" w14:textId="77777777" w:rsidR="00F35B7E" w:rsidRDefault="00F35B7E">
      <w:pPr>
        <w:jc w:val="left"/>
        <w:rPr>
          <w:rFonts w:eastAsiaTheme="minorEastAsia"/>
          <w:b/>
        </w:rPr>
      </w:pPr>
      <w:r>
        <w:rPr>
          <w:rFonts w:eastAsiaTheme="minorEastAsia"/>
          <w:b/>
        </w:rPr>
        <w:br w:type="page"/>
      </w:r>
    </w:p>
    <w:p w14:paraId="572FE400" w14:textId="0AA37594" w:rsidR="00C13A6D" w:rsidRPr="004C2665" w:rsidRDefault="00C13A6D" w:rsidP="00C13A6D">
      <w:pPr>
        <w:rPr>
          <w:rFonts w:eastAsiaTheme="minorEastAsia"/>
          <w:b/>
        </w:rPr>
      </w:pPr>
      <w:proofErr w:type="spellStart"/>
      <w:r w:rsidRPr="004C2665">
        <w:rPr>
          <w:rFonts w:eastAsiaTheme="minorEastAsia"/>
          <w:b/>
        </w:rPr>
        <w:lastRenderedPageBreak/>
        <w:t>Recomm</w:t>
      </w:r>
      <w:r w:rsidR="00F478B7">
        <w:rPr>
          <w:rFonts w:eastAsiaTheme="minorEastAsia"/>
          <w:b/>
        </w:rPr>
        <w:t>a</w:t>
      </w:r>
      <w:r w:rsidRPr="004C2665">
        <w:rPr>
          <w:rFonts w:eastAsiaTheme="minorEastAsia"/>
          <w:b/>
        </w:rPr>
        <w:t>ndation</w:t>
      </w:r>
      <w:proofErr w:type="spellEnd"/>
    </w:p>
    <w:p w14:paraId="634AB841" w14:textId="77777777" w:rsidR="00C13A6D" w:rsidRPr="004C2665" w:rsidRDefault="00C13A6D" w:rsidP="00C13A6D">
      <w:pPr>
        <w:rPr>
          <w:rFonts w:eastAsiaTheme="minorEastAsia"/>
        </w:rPr>
      </w:pPr>
    </w:p>
    <w:p w14:paraId="448B70CD" w14:textId="51E16EB5" w:rsidR="00C13A6D" w:rsidRPr="00972B27" w:rsidRDefault="002651BF" w:rsidP="00C13A6D">
      <w:pPr>
        <w:pStyle w:val="Heading1"/>
        <w:rPr>
          <w:lang w:val="fr-CA"/>
        </w:rPr>
      </w:pPr>
      <w:r w:rsidRPr="00972B27">
        <w:rPr>
          <w:rFonts w:eastAsiaTheme="minorEastAsia"/>
          <w:lang w:val="fr-CA"/>
        </w:rPr>
        <w:t>Le Comité exécutif pourrait souhaiter envisager de prendre note du rapport sur l’état d’avancement du plan sectoriel pour l’élimination de la production de bromure de méthyle en Chine, figurant dans le document</w:t>
      </w:r>
      <w:r w:rsidR="006821C1" w:rsidRPr="00972B27">
        <w:rPr>
          <w:rFonts w:eastAsiaTheme="minorEastAsia"/>
          <w:lang w:val="fr-CA"/>
        </w:rPr>
        <w:t> </w:t>
      </w:r>
      <w:r w:rsidR="00C13A6D" w:rsidRPr="00972B27">
        <w:rPr>
          <w:rFonts w:eastAsiaTheme="minorEastAsia"/>
          <w:lang w:val="fr-CA"/>
        </w:rPr>
        <w:t>UNEP/</w:t>
      </w:r>
      <w:proofErr w:type="spellStart"/>
      <w:r w:rsidR="00C13A6D" w:rsidRPr="00972B27">
        <w:rPr>
          <w:rFonts w:eastAsiaTheme="minorEastAsia"/>
          <w:lang w:val="fr-CA"/>
        </w:rPr>
        <w:t>OzL.Pro</w:t>
      </w:r>
      <w:proofErr w:type="spellEnd"/>
      <w:r w:rsidR="00C13A6D" w:rsidRPr="00972B27">
        <w:rPr>
          <w:rFonts w:eastAsiaTheme="minorEastAsia"/>
          <w:lang w:val="fr-CA"/>
        </w:rPr>
        <w:t>/</w:t>
      </w:r>
      <w:proofErr w:type="spellStart"/>
      <w:r w:rsidR="00C13A6D" w:rsidRPr="00972B27">
        <w:rPr>
          <w:rFonts w:eastAsiaTheme="minorEastAsia"/>
          <w:lang w:val="fr-CA"/>
        </w:rPr>
        <w:t>ExCom</w:t>
      </w:r>
      <w:proofErr w:type="spellEnd"/>
      <w:r w:rsidR="00C13A6D" w:rsidRPr="00972B27">
        <w:rPr>
          <w:rFonts w:eastAsiaTheme="minorEastAsia"/>
          <w:lang w:val="fr-CA"/>
        </w:rPr>
        <w:t xml:space="preserve">/88/18/Add.1. </w:t>
      </w:r>
    </w:p>
    <w:p w14:paraId="3473447C" w14:textId="77777777" w:rsidR="00C13A6D" w:rsidRPr="00972B27" w:rsidRDefault="00C13A6D" w:rsidP="00C13A6D">
      <w:pPr>
        <w:rPr>
          <w:lang w:val="fr-CA"/>
        </w:rPr>
      </w:pPr>
    </w:p>
    <w:p w14:paraId="451724FC" w14:textId="77777777" w:rsidR="00C13A6D" w:rsidRPr="00972B27" w:rsidRDefault="00C13A6D" w:rsidP="00C13A6D">
      <w:pPr>
        <w:rPr>
          <w:lang w:val="fr-CA"/>
        </w:rPr>
      </w:pPr>
      <w:bookmarkStart w:id="0" w:name="_GoBack"/>
      <w:bookmarkEnd w:id="0"/>
    </w:p>
    <w:sectPr w:rsidR="00C13A6D" w:rsidRPr="00972B27">
      <w:headerReference w:type="even" r:id="rId10"/>
      <w:headerReference w:type="default" r:id="rId11"/>
      <w:headerReference w:type="first" r:id="rId12"/>
      <w:footerReference w:type="first" r:id="rId13"/>
      <w:pgSz w:w="12240" w:h="15840" w:code="1"/>
      <w:pgMar w:top="720" w:right="1440" w:bottom="864" w:left="1440"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8F0A44" w14:textId="77777777" w:rsidR="0016559B" w:rsidRDefault="0016559B">
      <w:r>
        <w:separator/>
      </w:r>
    </w:p>
  </w:endnote>
  <w:endnote w:type="continuationSeparator" w:id="0">
    <w:p w14:paraId="54D8973F" w14:textId="77777777" w:rsidR="0016559B" w:rsidRDefault="00165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Univers Bold">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Serif">
    <w:panose1 w:val="00000000000000000000"/>
    <w:charset w:val="4D"/>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5708631"/>
      <w:docPartObj>
        <w:docPartGallery w:val="Page Numbers (Bottom of Page)"/>
        <w:docPartUnique/>
      </w:docPartObj>
    </w:sdtPr>
    <w:sdtEndPr>
      <w:rPr>
        <w:noProof/>
      </w:rPr>
    </w:sdtEndPr>
    <w:sdtContent>
      <w:p w14:paraId="5919542C" w14:textId="77777777" w:rsidR="00E13515" w:rsidRDefault="00E13515" w:rsidP="00E13515">
        <w:pPr>
          <w:pBdr>
            <w:top w:val="single" w:sz="4" w:space="1" w:color="auto"/>
            <w:left w:val="single" w:sz="4" w:space="4" w:color="auto"/>
            <w:bottom w:val="single" w:sz="4" w:space="1" w:color="auto"/>
            <w:right w:val="single" w:sz="4" w:space="4" w:color="auto"/>
          </w:pBdr>
          <w:jc w:val="center"/>
          <w:rPr>
            <w:rFonts w:cs="MS Serif"/>
            <w:sz w:val="20"/>
            <w:lang w:val="fr-FR"/>
          </w:rPr>
        </w:pPr>
        <w:r>
          <w:rPr>
            <w:rFonts w:cs="MS Serif"/>
            <w:sz w:val="20"/>
            <w:lang w:val="fr-FR"/>
          </w:rPr>
          <w:t xml:space="preserve">Les documents de présession du Comité exécutif du Fonds multilatéral aux fins d’application du Protocole de </w:t>
        </w:r>
      </w:p>
      <w:p w14:paraId="30B181FD" w14:textId="004DEE4B" w:rsidR="00441083" w:rsidRPr="00E13515" w:rsidRDefault="00E13515" w:rsidP="00E13515">
        <w:pPr>
          <w:pBdr>
            <w:top w:val="single" w:sz="4" w:space="1" w:color="auto"/>
            <w:left w:val="single" w:sz="4" w:space="4" w:color="auto"/>
            <w:bottom w:val="single" w:sz="4" w:space="1" w:color="auto"/>
            <w:right w:val="single" w:sz="4" w:space="4" w:color="auto"/>
          </w:pBdr>
          <w:jc w:val="center"/>
          <w:rPr>
            <w:rFonts w:cs="MS Serif"/>
            <w:sz w:val="20"/>
            <w:lang w:val="fr-FR"/>
          </w:rPr>
        </w:pPr>
        <w:r>
          <w:rPr>
            <w:rFonts w:cs="MS Serif"/>
            <w:sz w:val="20"/>
            <w:lang w:val="fr-FR"/>
          </w:rPr>
          <w:t>Montréal sont présentés sous réserve des décisions pouvant être prises par le Comité exécutif après leur publication.</w:t>
        </w:r>
      </w:p>
    </w:sdtContent>
  </w:sdt>
  <w:p w14:paraId="24D48F5E" w14:textId="77777777" w:rsidR="00441083" w:rsidRPr="00F35B7E" w:rsidRDefault="00441083">
    <w:pPr>
      <w:jc w:val="center"/>
      <w:rPr>
        <w:sz w:val="18"/>
        <w:szCs w:val="18"/>
        <w:lang w:val="fr-C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F3ADCB" w14:textId="77777777" w:rsidR="0016559B" w:rsidRDefault="0016559B">
      <w:r>
        <w:separator/>
      </w:r>
    </w:p>
  </w:footnote>
  <w:footnote w:type="continuationSeparator" w:id="0">
    <w:p w14:paraId="001EEFE6" w14:textId="77777777" w:rsidR="0016559B" w:rsidRDefault="0016559B">
      <w:r>
        <w:continuationSeparator/>
      </w:r>
    </w:p>
  </w:footnote>
  <w:footnote w:id="1">
    <w:p w14:paraId="2D01B04F" w14:textId="0690F3C4" w:rsidR="002C06D4" w:rsidRDefault="002C06D4" w:rsidP="009F6617">
      <w:pPr>
        <w:pStyle w:val="FootnoteText"/>
        <w:rPr>
          <w:lang w:val="fr-CA"/>
        </w:rPr>
      </w:pPr>
      <w:r>
        <w:rPr>
          <w:rStyle w:val="FootnoteReference"/>
        </w:rPr>
        <w:footnoteRef/>
      </w:r>
      <w:r w:rsidRPr="003029F8">
        <w:rPr>
          <w:lang w:val="fr-CA"/>
        </w:rPr>
        <w:t xml:space="preserve"> </w:t>
      </w:r>
      <w:r w:rsidR="003029F8" w:rsidRPr="0004647F">
        <w:rPr>
          <w:lang w:val="fr-CA"/>
        </w:rPr>
        <w:t>Des réunions en ligne et un processus d’approbation intersessio</w:t>
      </w:r>
      <w:r w:rsidR="003029F8">
        <w:rPr>
          <w:lang w:val="fr-CA"/>
        </w:rPr>
        <w:t xml:space="preserve">ns se tiendront </w:t>
      </w:r>
      <w:r w:rsidR="003029F8" w:rsidRPr="0004647F">
        <w:rPr>
          <w:lang w:val="fr-CA"/>
        </w:rPr>
        <w:t>e</w:t>
      </w:r>
      <w:r w:rsidR="003029F8">
        <w:rPr>
          <w:lang w:val="fr-CA"/>
        </w:rPr>
        <w:t xml:space="preserve">n </w:t>
      </w:r>
      <w:r w:rsidR="009F6617">
        <w:rPr>
          <w:lang w:val="fr-CA"/>
        </w:rPr>
        <w:t>novembre et décembre</w:t>
      </w:r>
      <w:r w:rsidR="00070DA9">
        <w:rPr>
          <w:lang w:val="fr-CA"/>
        </w:rPr>
        <w:t> </w:t>
      </w:r>
      <w:r w:rsidR="003029F8">
        <w:rPr>
          <w:lang w:val="fr-CA"/>
        </w:rPr>
        <w:t>2021 à cause du coronaviru</w:t>
      </w:r>
      <w:r w:rsidR="003029F8" w:rsidRPr="0004647F">
        <w:rPr>
          <w:lang w:val="fr-CA"/>
        </w:rPr>
        <w:t>s</w:t>
      </w:r>
      <w:r w:rsidR="003029F8">
        <w:rPr>
          <w:lang w:val="fr-CA"/>
        </w:rPr>
        <w:t xml:space="preserve"> (COVID-19)</w:t>
      </w:r>
    </w:p>
    <w:p w14:paraId="34D59DD8" w14:textId="77777777" w:rsidR="003029F8" w:rsidRPr="003029F8" w:rsidRDefault="003029F8" w:rsidP="003029F8">
      <w:pPr>
        <w:pStyle w:val="FootnoteText"/>
        <w:rPr>
          <w:lang w:val="fr-CA"/>
        </w:rPr>
      </w:pPr>
    </w:p>
  </w:footnote>
  <w:footnote w:id="2">
    <w:p w14:paraId="2F1B5F87" w14:textId="77777777" w:rsidR="00C13A6D" w:rsidRPr="00F35B7E" w:rsidRDefault="00C13A6D" w:rsidP="00C13A6D">
      <w:pPr>
        <w:pStyle w:val="FootnoteText"/>
        <w:rPr>
          <w:lang w:val="fr-CA"/>
        </w:rPr>
      </w:pPr>
      <w:r>
        <w:rPr>
          <w:rStyle w:val="FootnoteReference"/>
        </w:rPr>
        <w:footnoteRef/>
      </w:r>
      <w:r w:rsidRPr="00F35B7E">
        <w:rPr>
          <w:lang w:val="fr-CA"/>
        </w:rPr>
        <w:t xml:space="preserve"> UNEP/OzL.Pro/ExCom/85/9</w:t>
      </w:r>
    </w:p>
  </w:footnote>
  <w:footnote w:id="3">
    <w:p w14:paraId="482C82D4" w14:textId="77777777" w:rsidR="00C13A6D" w:rsidRPr="00F35B7E" w:rsidRDefault="00C13A6D" w:rsidP="00C13A6D">
      <w:pPr>
        <w:pStyle w:val="FootnoteText"/>
        <w:rPr>
          <w:lang w:val="fr-CA"/>
        </w:rPr>
      </w:pPr>
      <w:r>
        <w:rPr>
          <w:rStyle w:val="FootnoteReference"/>
        </w:rPr>
        <w:footnoteRef/>
      </w:r>
      <w:r w:rsidRPr="00F35B7E">
        <w:rPr>
          <w:lang w:val="fr-CA"/>
        </w:rPr>
        <w:t xml:space="preserve"> UNEP/OzL.Pro/ExCom/84/22/Add.1.</w:t>
      </w:r>
    </w:p>
  </w:footnote>
  <w:footnote w:id="4">
    <w:p w14:paraId="6EA3CF1D" w14:textId="7E782FB7" w:rsidR="00C13A6D" w:rsidRPr="00F35B7E" w:rsidRDefault="00C13A6D" w:rsidP="00C13A6D">
      <w:pPr>
        <w:pStyle w:val="FootnoteText"/>
        <w:rPr>
          <w:lang w:val="fr-CA"/>
        </w:rPr>
      </w:pPr>
      <w:r>
        <w:rPr>
          <w:rStyle w:val="FootnoteReference"/>
        </w:rPr>
        <w:footnoteRef/>
      </w:r>
      <w:r w:rsidRPr="00F35B7E">
        <w:rPr>
          <w:lang w:val="fr-CA"/>
        </w:rPr>
        <w:t xml:space="preserve"> UNEP/OzL.Pro/ExCom/86/IAPext/1/Rev.1 </w:t>
      </w:r>
      <w:r w:rsidR="005616FC" w:rsidRPr="00F35B7E">
        <w:rPr>
          <w:lang w:val="fr-CA"/>
        </w:rPr>
        <w:t>et</w:t>
      </w:r>
      <w:r w:rsidRPr="00F35B7E">
        <w:rPr>
          <w:lang w:val="fr-CA"/>
        </w:rPr>
        <w:t xml:space="preserve"> UNEP/OzL.Pro/ExCom/87/IAP/1/Rev.1</w:t>
      </w:r>
    </w:p>
  </w:footnote>
  <w:footnote w:id="5">
    <w:p w14:paraId="1D4D6C0C" w14:textId="4B00B15E" w:rsidR="00C13A6D" w:rsidRPr="00F35B7E" w:rsidRDefault="00C13A6D" w:rsidP="00C13A6D">
      <w:pPr>
        <w:pStyle w:val="FootnoteText"/>
        <w:rPr>
          <w:lang w:val="fr-CA"/>
        </w:rPr>
      </w:pPr>
      <w:r>
        <w:rPr>
          <w:rStyle w:val="FootnoteReference"/>
        </w:rPr>
        <w:footnoteRef/>
      </w:r>
      <w:r w:rsidRPr="00F35B7E">
        <w:rPr>
          <w:lang w:val="fr-CA"/>
        </w:rPr>
        <w:t xml:space="preserve"> UNEP/OzL.Pro/ExCom/86/IAPext/1/Rev.1</w:t>
      </w:r>
      <w:r w:rsidR="0081498E" w:rsidRPr="00F35B7E">
        <w:rPr>
          <w:lang w:val="fr-CA"/>
        </w:rPr>
        <w:t xml:space="preserve"> et</w:t>
      </w:r>
      <w:r w:rsidRPr="00F35B7E">
        <w:rPr>
          <w:lang w:val="fr-CA"/>
        </w:rPr>
        <w:t xml:space="preserve"> UNEP/OzL.Pro/ExCom/87/IAP/1/Rev.1</w:t>
      </w:r>
    </w:p>
  </w:footnote>
  <w:footnote w:id="6">
    <w:p w14:paraId="3E36BA0A" w14:textId="33F4AF3A" w:rsidR="00C13A6D" w:rsidRPr="00972B27" w:rsidRDefault="00C13A6D" w:rsidP="00C13A6D">
      <w:pPr>
        <w:pStyle w:val="FootnoteText"/>
        <w:rPr>
          <w:lang w:val="fr-CA"/>
        </w:rPr>
      </w:pPr>
      <w:r>
        <w:rPr>
          <w:rStyle w:val="FootnoteReference"/>
        </w:rPr>
        <w:footnoteRef/>
      </w:r>
      <w:r w:rsidRPr="00972B27">
        <w:rPr>
          <w:lang w:val="fr-CA"/>
        </w:rPr>
        <w:t xml:space="preserve"> </w:t>
      </w:r>
      <w:r w:rsidR="00D87522" w:rsidRPr="00972B27">
        <w:rPr>
          <w:lang w:val="fr-CA"/>
        </w:rPr>
        <w:t>Ce rapport renferme des renseignements considérés confidentiels par le gouvernement de la Chine et peut être consulté sur demande par les membres du Comité exécutif, étant entendu que les renseignements qu</w:t>
      </w:r>
      <w:r w:rsidR="00D77999" w:rsidRPr="00972B27">
        <w:rPr>
          <w:lang w:val="fr-CA"/>
        </w:rPr>
        <w:t>’</w:t>
      </w:r>
      <w:r w:rsidR="00D87522" w:rsidRPr="00972B27">
        <w:rPr>
          <w:lang w:val="fr-CA"/>
        </w:rPr>
        <w:t>il contient ne doive</w:t>
      </w:r>
      <w:r w:rsidR="00593EAF" w:rsidRPr="00972B27">
        <w:rPr>
          <w:lang w:val="fr-CA"/>
        </w:rPr>
        <w:t>nt</w:t>
      </w:r>
      <w:r w:rsidR="00D87522" w:rsidRPr="00972B27">
        <w:rPr>
          <w:lang w:val="fr-CA"/>
        </w:rPr>
        <w:t xml:space="preserve"> pas être divulgué</w:t>
      </w:r>
      <w:r w:rsidR="00593EAF" w:rsidRPr="00972B27">
        <w:rPr>
          <w:lang w:val="fr-CA"/>
        </w:rPr>
        <w:t>s</w:t>
      </w:r>
      <w:r w:rsidR="00D87522" w:rsidRPr="00972B27">
        <w:rPr>
          <w:lang w:val="fr-CA"/>
        </w:rPr>
        <w:t xml:space="preserve"> à une tierce partie. </w:t>
      </w:r>
    </w:p>
  </w:footnote>
  <w:footnote w:id="7">
    <w:p w14:paraId="548BD584" w14:textId="3FD37EA5" w:rsidR="00C13A6D" w:rsidRPr="00972B27" w:rsidRDefault="00C13A6D" w:rsidP="00C13A6D">
      <w:pPr>
        <w:pStyle w:val="FootnoteText"/>
        <w:rPr>
          <w:lang w:val="fr-CA"/>
        </w:rPr>
      </w:pPr>
      <w:r>
        <w:rPr>
          <w:rStyle w:val="FootnoteReference"/>
        </w:rPr>
        <w:footnoteRef/>
      </w:r>
      <w:r w:rsidRPr="00972B27">
        <w:rPr>
          <w:lang w:val="fr-CA"/>
        </w:rPr>
        <w:t xml:space="preserve"> </w:t>
      </w:r>
      <w:r w:rsidR="00593EAF" w:rsidRPr="00972B27">
        <w:rPr>
          <w:lang w:val="fr-CA"/>
        </w:rPr>
        <w:t>D’i</w:t>
      </w:r>
      <w:r w:rsidR="008F209E" w:rsidRPr="00972B27">
        <w:rPr>
          <w:lang w:val="fr-CA"/>
        </w:rPr>
        <w:t>nviter le gouvernement de la Chine, par l</w:t>
      </w:r>
      <w:r w:rsidR="00D77999" w:rsidRPr="00972B27">
        <w:rPr>
          <w:lang w:val="fr-CA"/>
        </w:rPr>
        <w:t>’</w:t>
      </w:r>
      <w:r w:rsidR="008F209E" w:rsidRPr="00972B27">
        <w:rPr>
          <w:lang w:val="fr-CA"/>
        </w:rPr>
        <w:t>entremise de la Banque mondiale, à remettre un rapport actualisé sur la production de tétrachlorure de carbone et son utilisation comme matière première au pays à la 88</w:t>
      </w:r>
      <w:r w:rsidR="008F209E" w:rsidRPr="00972B27">
        <w:rPr>
          <w:vertAlign w:val="superscript"/>
          <w:lang w:val="fr-CA"/>
        </w:rPr>
        <w:t>e</w:t>
      </w:r>
      <w:r w:rsidR="00D77999" w:rsidRPr="00972B27">
        <w:rPr>
          <w:lang w:val="fr-CA"/>
        </w:rPr>
        <w:t> </w:t>
      </w:r>
      <w:r w:rsidR="008F209E" w:rsidRPr="00972B27">
        <w:rPr>
          <w:lang w:val="fr-CA"/>
        </w:rPr>
        <w:t>réunion, en tenant compte des renseignements fournis dans les documents</w:t>
      </w:r>
      <w:r w:rsidR="00593EAF" w:rsidRPr="00972B27">
        <w:rPr>
          <w:lang w:val="fr-CA"/>
        </w:rPr>
        <w:t> </w:t>
      </w:r>
      <w:r w:rsidRPr="00972B27">
        <w:rPr>
          <w:lang w:val="fr-CA"/>
        </w:rPr>
        <w:t>UNEP/</w:t>
      </w:r>
      <w:proofErr w:type="spellStart"/>
      <w:r w:rsidRPr="00972B27">
        <w:rPr>
          <w:lang w:val="fr-CA"/>
        </w:rPr>
        <w:t>OzL.Pro</w:t>
      </w:r>
      <w:proofErr w:type="spellEnd"/>
      <w:r w:rsidRPr="00972B27">
        <w:rPr>
          <w:lang w:val="fr-CA"/>
        </w:rPr>
        <w:t>/</w:t>
      </w:r>
      <w:proofErr w:type="spellStart"/>
      <w:r w:rsidRPr="00972B27">
        <w:rPr>
          <w:lang w:val="fr-CA"/>
        </w:rPr>
        <w:t>ExCom</w:t>
      </w:r>
      <w:proofErr w:type="spellEnd"/>
      <w:r w:rsidRPr="00972B27">
        <w:rPr>
          <w:lang w:val="fr-CA"/>
        </w:rPr>
        <w:t xml:space="preserve">/84/22/Add.2 </w:t>
      </w:r>
      <w:r w:rsidR="00593EAF" w:rsidRPr="00972B27">
        <w:rPr>
          <w:lang w:val="fr-CA"/>
        </w:rPr>
        <w:t>et</w:t>
      </w:r>
      <w:r w:rsidRPr="00972B27">
        <w:rPr>
          <w:lang w:val="fr-CA"/>
        </w:rPr>
        <w:t xml:space="preserve"> Add.3, </w:t>
      </w:r>
      <w:r w:rsidR="008F209E" w:rsidRPr="00972B27">
        <w:rPr>
          <w:lang w:val="fr-CA"/>
        </w:rPr>
        <w:t>qui comprend</w:t>
      </w:r>
      <w:r w:rsidR="00593EAF" w:rsidRPr="00972B27">
        <w:rPr>
          <w:lang w:val="fr-CA"/>
        </w:rPr>
        <w:t>rait</w:t>
      </w:r>
      <w:r w:rsidR="008F209E" w:rsidRPr="00972B27">
        <w:rPr>
          <w:lang w:val="fr-CA"/>
        </w:rPr>
        <w:t xml:space="preserve"> également</w:t>
      </w:r>
      <w:r w:rsidR="00593EAF" w:rsidRPr="00972B27">
        <w:rPr>
          <w:lang w:val="fr-CA"/>
        </w:rPr>
        <w:t> </w:t>
      </w:r>
      <w:r w:rsidRPr="00972B27">
        <w:rPr>
          <w:lang w:val="fr-CA"/>
        </w:rPr>
        <w:t xml:space="preserve">: i) </w:t>
      </w:r>
      <w:r w:rsidR="008F209E" w:rsidRPr="00972B27">
        <w:rPr>
          <w:lang w:val="fr-CA"/>
        </w:rPr>
        <w:t xml:space="preserve">un compte rendu des progrès dans le suivi des usines de perchloroéthylène utilisant le processus de </w:t>
      </w:r>
      <w:proofErr w:type="spellStart"/>
      <w:r w:rsidR="008F209E" w:rsidRPr="00972B27">
        <w:rPr>
          <w:lang w:val="fr-CA"/>
        </w:rPr>
        <w:t>c</w:t>
      </w:r>
      <w:r w:rsidR="00593EAF" w:rsidRPr="00972B27">
        <w:rPr>
          <w:lang w:val="fr-CA"/>
        </w:rPr>
        <w:t>hlorination</w:t>
      </w:r>
      <w:proofErr w:type="spellEnd"/>
      <w:r w:rsidR="00593EAF" w:rsidRPr="00972B27">
        <w:rPr>
          <w:lang w:val="fr-CA"/>
        </w:rPr>
        <w:t xml:space="preserve"> al</w:t>
      </w:r>
      <w:r w:rsidR="003E0ED1">
        <w:rPr>
          <w:lang w:val="fr-CA"/>
        </w:rPr>
        <w:t>c</w:t>
      </w:r>
      <w:r w:rsidR="00593EAF" w:rsidRPr="00972B27">
        <w:rPr>
          <w:lang w:val="fr-CA"/>
        </w:rPr>
        <w:t>ane</w:t>
      </w:r>
      <w:r w:rsidRPr="00972B27">
        <w:rPr>
          <w:lang w:val="fr-CA"/>
        </w:rPr>
        <w:t xml:space="preserve">; ii) </w:t>
      </w:r>
      <w:r w:rsidR="008F209E" w:rsidRPr="00972B27">
        <w:rPr>
          <w:lang w:val="fr-CA"/>
        </w:rPr>
        <w:t>toute information supplémentaire concernant les différences dans les émissions décrites dans le rapport nommé à l</w:t>
      </w:r>
      <w:r w:rsidR="00D77999" w:rsidRPr="00972B27">
        <w:rPr>
          <w:lang w:val="fr-CA"/>
        </w:rPr>
        <w:t>’</w:t>
      </w:r>
      <w:r w:rsidR="008F209E" w:rsidRPr="00972B27">
        <w:rPr>
          <w:lang w:val="fr-CA"/>
        </w:rPr>
        <w:t>alinéa</w:t>
      </w:r>
      <w:r w:rsidR="007B3FDB" w:rsidRPr="00972B27">
        <w:rPr>
          <w:lang w:val="fr-CA"/>
        </w:rPr>
        <w:t> </w:t>
      </w:r>
      <w:r w:rsidR="008F209E" w:rsidRPr="00972B27">
        <w:rPr>
          <w:lang w:val="fr-CA"/>
        </w:rPr>
        <w:t>a) ci-dessus et l</w:t>
      </w:r>
      <w:r w:rsidR="00D77999" w:rsidRPr="00972B27">
        <w:rPr>
          <w:lang w:val="fr-CA"/>
        </w:rPr>
        <w:t>’</w:t>
      </w:r>
      <w:r w:rsidR="008F209E" w:rsidRPr="00972B27">
        <w:rPr>
          <w:lang w:val="fr-CA"/>
        </w:rPr>
        <w:t>estimation des émissions de tétrachlorure de carbone en Chine indiquée</w:t>
      </w:r>
      <w:r w:rsidR="007B3FDB" w:rsidRPr="00972B27">
        <w:rPr>
          <w:lang w:val="fr-CA"/>
        </w:rPr>
        <w:t>s</w:t>
      </w:r>
      <w:r w:rsidR="008F209E" w:rsidRPr="00972B27">
        <w:rPr>
          <w:lang w:val="fr-CA"/>
        </w:rPr>
        <w:t xml:space="preserve"> dans la partie</w:t>
      </w:r>
      <w:r w:rsidR="007B3FDB" w:rsidRPr="00972B27">
        <w:rPr>
          <w:lang w:val="fr-CA"/>
        </w:rPr>
        <w:t xml:space="preserve"> 1.2.3 </w:t>
      </w:r>
      <w:r w:rsidR="008F209E" w:rsidRPr="00972B27">
        <w:rPr>
          <w:lang w:val="fr-CA"/>
        </w:rPr>
        <w:t>de l</w:t>
      </w:r>
      <w:r w:rsidR="00D77999" w:rsidRPr="00972B27">
        <w:rPr>
          <w:lang w:val="fr-CA"/>
        </w:rPr>
        <w:t>’</w:t>
      </w:r>
      <w:r w:rsidR="008F209E" w:rsidRPr="00972B27">
        <w:rPr>
          <w:lang w:val="fr-CA"/>
        </w:rPr>
        <w:t>évaluation scientifique de l</w:t>
      </w:r>
      <w:r w:rsidR="00D77999" w:rsidRPr="00972B27">
        <w:rPr>
          <w:lang w:val="fr-CA"/>
        </w:rPr>
        <w:t>’</w:t>
      </w:r>
      <w:r w:rsidR="008F209E" w:rsidRPr="00972B27">
        <w:rPr>
          <w:lang w:val="fr-CA"/>
        </w:rPr>
        <w:t>appauvrissement de la couche d</w:t>
      </w:r>
      <w:r w:rsidR="00D77999" w:rsidRPr="00972B27">
        <w:rPr>
          <w:lang w:val="fr-CA"/>
        </w:rPr>
        <w:t>’</w:t>
      </w:r>
      <w:r w:rsidR="008F209E" w:rsidRPr="00972B27">
        <w:rPr>
          <w:lang w:val="fr-CA"/>
        </w:rPr>
        <w:t>ozone</w:t>
      </w:r>
      <w:r w:rsidR="00D77999" w:rsidRPr="00972B27">
        <w:rPr>
          <w:lang w:val="fr-CA"/>
        </w:rPr>
        <w:t> </w:t>
      </w:r>
      <w:r w:rsidR="008F209E" w:rsidRPr="00972B27">
        <w:rPr>
          <w:lang w:val="fr-CA"/>
        </w:rPr>
        <w:t>2018.</w:t>
      </w:r>
    </w:p>
  </w:footnote>
  <w:footnote w:id="8">
    <w:p w14:paraId="138B1886" w14:textId="5AAECCCF" w:rsidR="00C13A6D" w:rsidRPr="00972B27" w:rsidRDefault="00C13A6D" w:rsidP="00C13A6D">
      <w:pPr>
        <w:pStyle w:val="FootnoteText"/>
        <w:rPr>
          <w:lang w:val="fr-CA"/>
        </w:rPr>
      </w:pPr>
      <w:r>
        <w:rPr>
          <w:rStyle w:val="FootnoteReference"/>
        </w:rPr>
        <w:footnoteRef/>
      </w:r>
      <w:r>
        <w:t xml:space="preserve"> Lunt, M. F., Park, S., Li, S., </w:t>
      </w:r>
      <w:proofErr w:type="spellStart"/>
      <w:r>
        <w:t>Henne</w:t>
      </w:r>
      <w:proofErr w:type="spellEnd"/>
      <w:r>
        <w:t xml:space="preserve">, S., Manning, A. J., Ganesan, A. L., et </w:t>
      </w:r>
      <w:r w:rsidR="00833C28">
        <w:t>coll</w:t>
      </w:r>
      <w:r>
        <w:t xml:space="preserve">. (2018). Continued emissions of the ozone-depleting substance carbon tetrachloride from eastern Asia. </w:t>
      </w:r>
      <w:proofErr w:type="spellStart"/>
      <w:r w:rsidRPr="00972B27">
        <w:rPr>
          <w:i/>
          <w:iCs/>
          <w:lang w:val="fr-CA"/>
        </w:rPr>
        <w:t>Geophysical</w:t>
      </w:r>
      <w:proofErr w:type="spellEnd"/>
      <w:r w:rsidRPr="00972B27">
        <w:rPr>
          <w:i/>
          <w:iCs/>
          <w:lang w:val="fr-CA"/>
        </w:rPr>
        <w:t xml:space="preserve"> </w:t>
      </w:r>
      <w:proofErr w:type="spellStart"/>
      <w:r w:rsidRPr="00972B27">
        <w:rPr>
          <w:i/>
          <w:iCs/>
          <w:lang w:val="fr-CA"/>
        </w:rPr>
        <w:t>Research</w:t>
      </w:r>
      <w:proofErr w:type="spellEnd"/>
      <w:r w:rsidRPr="00972B27">
        <w:rPr>
          <w:i/>
          <w:iCs/>
          <w:lang w:val="fr-CA"/>
        </w:rPr>
        <w:t xml:space="preserve"> </w:t>
      </w:r>
      <w:proofErr w:type="spellStart"/>
      <w:r w:rsidRPr="00972B27">
        <w:rPr>
          <w:i/>
          <w:iCs/>
          <w:lang w:val="fr-CA"/>
        </w:rPr>
        <w:t>Letters</w:t>
      </w:r>
      <w:proofErr w:type="spellEnd"/>
      <w:r w:rsidRPr="00972B27">
        <w:rPr>
          <w:i/>
          <w:iCs/>
          <w:lang w:val="fr-CA"/>
        </w:rPr>
        <w:t>,</w:t>
      </w:r>
      <w:r w:rsidRPr="00972B27">
        <w:rPr>
          <w:lang w:val="fr-CA"/>
        </w:rPr>
        <w:t xml:space="preserve"> 45. https://doi.org/10.1029/2018GL079500.</w:t>
      </w:r>
    </w:p>
  </w:footnote>
  <w:footnote w:id="9">
    <w:p w14:paraId="5A3891EA" w14:textId="220C3DD7" w:rsidR="00C13A6D" w:rsidRPr="00972B27" w:rsidRDefault="00C13A6D" w:rsidP="00C13A6D">
      <w:pPr>
        <w:pStyle w:val="FootnoteText"/>
        <w:rPr>
          <w:lang w:val="fr-CA"/>
        </w:rPr>
      </w:pPr>
      <w:r>
        <w:rPr>
          <w:rStyle w:val="FootnoteReference"/>
        </w:rPr>
        <w:footnoteRef/>
      </w:r>
      <w:r w:rsidRPr="00972B27">
        <w:rPr>
          <w:lang w:val="fr-CA"/>
        </w:rPr>
        <w:t xml:space="preserve"> </w:t>
      </w:r>
      <w:r w:rsidR="00A851BE" w:rsidRPr="00972B27">
        <w:rPr>
          <w:lang w:val="fr-CA"/>
        </w:rPr>
        <w:t>Veille atmosphérique mondial</w:t>
      </w:r>
      <w:r w:rsidR="00833C28" w:rsidRPr="00972B27">
        <w:rPr>
          <w:lang w:val="fr-CA"/>
        </w:rPr>
        <w:t>e</w:t>
      </w:r>
      <w:r w:rsidR="00A851BE" w:rsidRPr="00972B27">
        <w:rPr>
          <w:lang w:val="fr-CA"/>
        </w:rPr>
        <w:t xml:space="preserve"> (VAM</w:t>
      </w:r>
      <w:r w:rsidR="00833C28" w:rsidRPr="00972B27">
        <w:rPr>
          <w:lang w:val="fr-CA"/>
        </w:rPr>
        <w:t>) à</w:t>
      </w:r>
      <w:r w:rsidRPr="00972B27">
        <w:rPr>
          <w:color w:val="000000"/>
          <w:lang w:val="fr-CA"/>
        </w:rPr>
        <w:t xml:space="preserve"> </w:t>
      </w:r>
      <w:proofErr w:type="spellStart"/>
      <w:r w:rsidRPr="00972B27">
        <w:rPr>
          <w:color w:val="000000"/>
          <w:lang w:val="fr-CA"/>
        </w:rPr>
        <w:t>Shangdianzi</w:t>
      </w:r>
      <w:proofErr w:type="spellEnd"/>
      <w:r w:rsidRPr="00972B27">
        <w:rPr>
          <w:color w:val="000000"/>
          <w:lang w:val="fr-CA"/>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7FCC51" w14:textId="023F3C78" w:rsidR="00E13515" w:rsidRDefault="00E13515" w:rsidP="00E13515">
    <w:pPr>
      <w:jc w:val="left"/>
    </w:pPr>
    <w:r>
      <w:fldChar w:fldCharType="begin"/>
    </w:r>
    <w:r>
      <w:instrText xml:space="preserve"> DOCPROPERTY "Document number"  \* MERGEFORMAT </w:instrText>
    </w:r>
    <w:r>
      <w:fldChar w:fldCharType="separate"/>
    </w:r>
    <w:r>
      <w:t>UNEP/</w:t>
    </w:r>
    <w:proofErr w:type="spellStart"/>
    <w:r>
      <w:t>OzL.Pro</w:t>
    </w:r>
    <w:proofErr w:type="spellEnd"/>
    <w:r>
      <w:t>/</w:t>
    </w:r>
    <w:proofErr w:type="spellStart"/>
    <w:r>
      <w:t>ExCom</w:t>
    </w:r>
    <w:proofErr w:type="spellEnd"/>
    <w:r>
      <w:t>/88/18/Add.1</w:t>
    </w:r>
    <w:r>
      <w:fldChar w:fldCharType="end"/>
    </w:r>
  </w:p>
  <w:p w14:paraId="6ECE02DC" w14:textId="77777777" w:rsidR="00E13515" w:rsidRDefault="00E13515" w:rsidP="00E13515">
    <w:pPr>
      <w:jc w:val="right"/>
    </w:pPr>
  </w:p>
  <w:p w14:paraId="653D825A" w14:textId="77777777" w:rsidR="00E13515" w:rsidRDefault="00E1351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F83C3" w14:textId="4CBC1AF3" w:rsidR="00E13515" w:rsidRDefault="00E13515" w:rsidP="00E13515">
    <w:pPr>
      <w:jc w:val="right"/>
    </w:pPr>
    <w:r>
      <w:fldChar w:fldCharType="begin"/>
    </w:r>
    <w:r>
      <w:instrText xml:space="preserve"> DOCPROPERTY "Document number"  \* MERGEFORMAT </w:instrText>
    </w:r>
    <w:r>
      <w:fldChar w:fldCharType="separate"/>
    </w:r>
    <w:r>
      <w:t>UNEP/</w:t>
    </w:r>
    <w:proofErr w:type="spellStart"/>
    <w:r>
      <w:t>OzL.Pro</w:t>
    </w:r>
    <w:proofErr w:type="spellEnd"/>
    <w:r>
      <w:t>/</w:t>
    </w:r>
    <w:proofErr w:type="spellStart"/>
    <w:r>
      <w:t>ExCom</w:t>
    </w:r>
    <w:proofErr w:type="spellEnd"/>
    <w:r>
      <w:t>/88/18/Add.1</w:t>
    </w:r>
    <w:r>
      <w:fldChar w:fldCharType="end"/>
    </w:r>
  </w:p>
  <w:p w14:paraId="3B6EA436" w14:textId="77777777" w:rsidR="00E13515" w:rsidRDefault="00E13515" w:rsidP="00E13515">
    <w:pPr>
      <w:jc w:val="right"/>
    </w:pPr>
  </w:p>
  <w:p w14:paraId="43118E8B" w14:textId="77777777" w:rsidR="00E13515" w:rsidRDefault="00E1351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037CAF" w14:textId="77777777" w:rsidR="00441083" w:rsidRDefault="00441083">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C98E792"/>
    <w:lvl w:ilvl="0">
      <w:start w:val="1"/>
      <w:numFmt w:val="decimal"/>
      <w:pStyle w:val="Heading1"/>
      <w:lvlText w:val="%1."/>
      <w:lvlJc w:val="left"/>
      <w:pPr>
        <w:tabs>
          <w:tab w:val="num" w:pos="0"/>
        </w:tabs>
        <w:ind w:left="0" w:firstLine="0"/>
      </w:p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05E00F85"/>
    <w:multiLevelType w:val="hybridMultilevel"/>
    <w:tmpl w:val="0262CC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7A837CD"/>
    <w:multiLevelType w:val="hybridMultilevel"/>
    <w:tmpl w:val="EA74127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5"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5"/>
  </w:num>
  <w:num w:numId="18">
    <w:abstractNumId w:val="16"/>
  </w:num>
  <w:num w:numId="19">
    <w:abstractNumId w:val="17"/>
  </w:num>
  <w:num w:numId="20">
    <w:abstractNumId w:val="14"/>
  </w:num>
  <w:num w:numId="21">
    <w:abstractNumId w:val="11"/>
  </w:num>
  <w:num w:numId="22">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1"/>
  <w:embedSystemFonts/>
  <w:proofState w:spelling="clean" w:grammar="clean"/>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F9A"/>
    <w:rsid w:val="0002193C"/>
    <w:rsid w:val="00033D5C"/>
    <w:rsid w:val="00036DAC"/>
    <w:rsid w:val="000456C4"/>
    <w:rsid w:val="0005110A"/>
    <w:rsid w:val="00070DA9"/>
    <w:rsid w:val="00075721"/>
    <w:rsid w:val="000A35BC"/>
    <w:rsid w:val="000C1BD9"/>
    <w:rsid w:val="000F6C8E"/>
    <w:rsid w:val="00116EFD"/>
    <w:rsid w:val="00136FE3"/>
    <w:rsid w:val="00147980"/>
    <w:rsid w:val="00164E32"/>
    <w:rsid w:val="0016559B"/>
    <w:rsid w:val="001C3D0C"/>
    <w:rsid w:val="001D4CE7"/>
    <w:rsid w:val="002216CE"/>
    <w:rsid w:val="002651BF"/>
    <w:rsid w:val="00265A48"/>
    <w:rsid w:val="00265AF0"/>
    <w:rsid w:val="0026686B"/>
    <w:rsid w:val="002923DD"/>
    <w:rsid w:val="00297C0C"/>
    <w:rsid w:val="002A2893"/>
    <w:rsid w:val="002C06D4"/>
    <w:rsid w:val="002C7318"/>
    <w:rsid w:val="002F0B57"/>
    <w:rsid w:val="003029F8"/>
    <w:rsid w:val="00327851"/>
    <w:rsid w:val="00331E44"/>
    <w:rsid w:val="003326FD"/>
    <w:rsid w:val="00372C6D"/>
    <w:rsid w:val="003752EB"/>
    <w:rsid w:val="003A0CA4"/>
    <w:rsid w:val="003B56DF"/>
    <w:rsid w:val="003C7BA7"/>
    <w:rsid w:val="003E0ED1"/>
    <w:rsid w:val="003E4C19"/>
    <w:rsid w:val="00412479"/>
    <w:rsid w:val="00441083"/>
    <w:rsid w:val="0044431E"/>
    <w:rsid w:val="00444619"/>
    <w:rsid w:val="004B1B59"/>
    <w:rsid w:val="004C2C87"/>
    <w:rsid w:val="004C5880"/>
    <w:rsid w:val="004C65EB"/>
    <w:rsid w:val="004E3A36"/>
    <w:rsid w:val="00503BB1"/>
    <w:rsid w:val="00542186"/>
    <w:rsid w:val="005616FC"/>
    <w:rsid w:val="00585107"/>
    <w:rsid w:val="00593EAF"/>
    <w:rsid w:val="005978FE"/>
    <w:rsid w:val="005B3CAD"/>
    <w:rsid w:val="005C1438"/>
    <w:rsid w:val="005C278F"/>
    <w:rsid w:val="005E6CF6"/>
    <w:rsid w:val="00605093"/>
    <w:rsid w:val="006121CF"/>
    <w:rsid w:val="0062388D"/>
    <w:rsid w:val="006370DD"/>
    <w:rsid w:val="006821C1"/>
    <w:rsid w:val="006D3AD2"/>
    <w:rsid w:val="006D6973"/>
    <w:rsid w:val="006F0A55"/>
    <w:rsid w:val="006F6669"/>
    <w:rsid w:val="00703136"/>
    <w:rsid w:val="007034FA"/>
    <w:rsid w:val="0075750B"/>
    <w:rsid w:val="00772897"/>
    <w:rsid w:val="007B3FDB"/>
    <w:rsid w:val="007B651C"/>
    <w:rsid w:val="007C516A"/>
    <w:rsid w:val="007E22A8"/>
    <w:rsid w:val="00813F9A"/>
    <w:rsid w:val="0081498E"/>
    <w:rsid w:val="008323C8"/>
    <w:rsid w:val="00833C28"/>
    <w:rsid w:val="00890CD3"/>
    <w:rsid w:val="008B1485"/>
    <w:rsid w:val="008D143B"/>
    <w:rsid w:val="008D323E"/>
    <w:rsid w:val="008F209E"/>
    <w:rsid w:val="0090490C"/>
    <w:rsid w:val="0091161A"/>
    <w:rsid w:val="0092607C"/>
    <w:rsid w:val="00972B27"/>
    <w:rsid w:val="00972E99"/>
    <w:rsid w:val="00984A04"/>
    <w:rsid w:val="009A5180"/>
    <w:rsid w:val="009F6617"/>
    <w:rsid w:val="00A01D0D"/>
    <w:rsid w:val="00A22AF7"/>
    <w:rsid w:val="00A572FA"/>
    <w:rsid w:val="00A77F68"/>
    <w:rsid w:val="00A851BE"/>
    <w:rsid w:val="00AC013C"/>
    <w:rsid w:val="00AE63D8"/>
    <w:rsid w:val="00AF3F1E"/>
    <w:rsid w:val="00B0295A"/>
    <w:rsid w:val="00B46F3C"/>
    <w:rsid w:val="00B811F2"/>
    <w:rsid w:val="00BC3C7D"/>
    <w:rsid w:val="00BE5F8D"/>
    <w:rsid w:val="00C13A6D"/>
    <w:rsid w:val="00C16E3F"/>
    <w:rsid w:val="00C21E41"/>
    <w:rsid w:val="00C34C3E"/>
    <w:rsid w:val="00C41E10"/>
    <w:rsid w:val="00C54CEC"/>
    <w:rsid w:val="00C6443E"/>
    <w:rsid w:val="00C65866"/>
    <w:rsid w:val="00C9547D"/>
    <w:rsid w:val="00CC2B33"/>
    <w:rsid w:val="00CD61BF"/>
    <w:rsid w:val="00CF76A1"/>
    <w:rsid w:val="00D75BBB"/>
    <w:rsid w:val="00D7654A"/>
    <w:rsid w:val="00D77999"/>
    <w:rsid w:val="00D87522"/>
    <w:rsid w:val="00DB4E64"/>
    <w:rsid w:val="00DD3433"/>
    <w:rsid w:val="00E065C7"/>
    <w:rsid w:val="00E07348"/>
    <w:rsid w:val="00E13515"/>
    <w:rsid w:val="00E348C6"/>
    <w:rsid w:val="00E372B2"/>
    <w:rsid w:val="00E54871"/>
    <w:rsid w:val="00E60D9C"/>
    <w:rsid w:val="00E72239"/>
    <w:rsid w:val="00E86A53"/>
    <w:rsid w:val="00EB2067"/>
    <w:rsid w:val="00F218B0"/>
    <w:rsid w:val="00F35B7E"/>
    <w:rsid w:val="00F37A42"/>
    <w:rsid w:val="00F478B7"/>
    <w:rsid w:val="00F557F5"/>
    <w:rsid w:val="00FC0D87"/>
    <w:rsid w:val="00FC5578"/>
    <w:rsid w:val="00FD2005"/>
    <w:rsid w:val="00FD22FE"/>
    <w:rsid w:val="00FE431D"/>
    <w:rsid w:val="00FF3CF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C7E700"/>
  <w15:docId w15:val="{5DF17853-8D73-4CD4-A6BF-F9CBF903D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C19"/>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uiPriority w:val="9"/>
    <w:qFormat/>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link w:val="Heading2Char"/>
    <w:uiPriority w:val="9"/>
    <w:qFormat/>
    <w:pPr>
      <w:widowControl w:val="0"/>
      <w:numPr>
        <w:ilvl w:val="1"/>
        <w:numId w:val="1"/>
      </w:numPr>
      <w:spacing w:after="240"/>
      <w:outlineLvl w:val="1"/>
    </w:pPr>
  </w:style>
  <w:style w:type="paragraph" w:styleId="Heading3">
    <w:name w:val="heading 3"/>
    <w:aliases w:val="Char,Heading 3 Char,Char Char,Heading 3 Char1,Heading 3 Char Char,Char Char Char,Char Char1,Heading 3 Char1 Char,Heading 3 Char Char Char,Char Char Char Char,Char Char1 Char,Heading 3 Char2,Char Char2,Char Char Char1,Heading 3 Char Char1 Char"/>
    <w:basedOn w:val="Normal"/>
    <w:next w:val="Normal"/>
    <w:uiPriority w:val="9"/>
    <w:qFormat/>
    <w:pPr>
      <w:widowControl w:val="0"/>
      <w:numPr>
        <w:ilvl w:val="2"/>
        <w:numId w:val="3"/>
      </w:numPr>
      <w:spacing w:after="240"/>
      <w:outlineLvl w:val="2"/>
    </w:pPr>
  </w:style>
  <w:style w:type="paragraph" w:styleId="Heading4">
    <w:name w:val="heading 4"/>
    <w:aliases w:val="Heading 11,para 4,Título 41,Heading 41,heading 4,标题 41"/>
    <w:basedOn w:val="Normal"/>
    <w:next w:val="Heading9"/>
    <w:uiPriority w:val="9"/>
    <w:qFormat/>
    <w:pPr>
      <w:keepNext/>
      <w:numPr>
        <w:ilvl w:val="3"/>
        <w:numId w:val="4"/>
      </w:numPr>
      <w:spacing w:before="240" w:after="60"/>
      <w:outlineLvl w:val="3"/>
    </w:pPr>
  </w:style>
  <w:style w:type="paragraph" w:styleId="Heading5">
    <w:name w:val="heading 5"/>
    <w:basedOn w:val="Normal"/>
    <w:next w:val="Normal"/>
    <w:qFormat/>
    <w:pPr>
      <w:keepNext/>
      <w:numPr>
        <w:numId w:val="20"/>
      </w:numPr>
      <w:spacing w:after="240"/>
      <w:ind w:left="3600" w:hanging="720"/>
      <w:outlineLvl w:val="4"/>
    </w:pPr>
  </w:style>
  <w:style w:type="paragraph" w:styleId="Heading6">
    <w:name w:val="heading 6"/>
    <w:basedOn w:val="Normal"/>
    <w:next w:val="Normal"/>
    <w:uiPriority w:val="9"/>
    <w:qFormat/>
    <w:pPr>
      <w:numPr>
        <w:ilvl w:val="5"/>
        <w:numId w:val="1"/>
      </w:numPr>
      <w:spacing w:before="240" w:after="60"/>
      <w:outlineLvl w:val="5"/>
    </w:pPr>
    <w:rPr>
      <w:rFonts w:ascii="Arial" w:hAnsi="Arial"/>
      <w:i/>
    </w:rPr>
  </w:style>
  <w:style w:type="paragraph" w:styleId="Heading7">
    <w:name w:val="heading 7"/>
    <w:basedOn w:val="Normal"/>
    <w:next w:val="Normal"/>
    <w:uiPriority w:val="9"/>
    <w:qFormat/>
    <w:pPr>
      <w:numPr>
        <w:ilvl w:val="6"/>
        <w:numId w:val="1"/>
      </w:numPr>
      <w:spacing w:before="240" w:after="60"/>
      <w:outlineLvl w:val="6"/>
    </w:pPr>
    <w:rPr>
      <w:rFonts w:ascii="Arial" w:hAnsi="Arial"/>
    </w:rPr>
  </w:style>
  <w:style w:type="paragraph" w:styleId="Heading8">
    <w:name w:val="heading 8"/>
    <w:basedOn w:val="Normal"/>
    <w:next w:val="Normal"/>
    <w:qFormat/>
    <w:pPr>
      <w:outlineLvl w:val="7"/>
    </w:pPr>
    <w:rPr>
      <w:b/>
    </w:rPr>
  </w:style>
  <w:style w:type="paragraph" w:styleId="Heading9">
    <w:name w:val="heading 9"/>
    <w:basedOn w:val="Normal"/>
    <w:next w:val="Normal"/>
    <w:uiPriority w:val="9"/>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pPr>
      <w:numPr>
        <w:numId w:val="16"/>
      </w:numPr>
    </w:pPr>
  </w:style>
  <w:style w:type="paragraph" w:styleId="Header">
    <w:name w:val="header"/>
    <w:basedOn w:val="Normal"/>
    <w:pPr>
      <w:tabs>
        <w:tab w:val="center" w:pos="4320"/>
        <w:tab w:val="right" w:pos="8640"/>
      </w:tabs>
    </w:pPr>
  </w:style>
  <w:style w:type="paragraph" w:customStyle="1" w:styleId="sub-title">
    <w:name w:val="sub-title"/>
    <w:pPr>
      <w:jc w:val="both"/>
      <w:outlineLvl w:val="0"/>
    </w:pPr>
    <w:rPr>
      <w:b/>
      <w:noProof/>
      <w:sz w:val="22"/>
      <w:szCs w:val="22"/>
    </w:rPr>
  </w:style>
  <w:style w:type="paragraph" w:customStyle="1" w:styleId="Title1">
    <w:name w:val="Title1"/>
    <w:pPr>
      <w:jc w:val="center"/>
      <w:outlineLvl w:val="0"/>
    </w:pPr>
    <w:rPr>
      <w:b/>
      <w:caps/>
      <w:sz w:val="22"/>
      <w:szCs w:val="22"/>
      <w:lang w:val="en-GB"/>
    </w:rPr>
  </w:style>
  <w:style w:type="paragraph" w:customStyle="1" w:styleId="Decision">
    <w:name w:val="Decision"/>
    <w:basedOn w:val="Normal"/>
    <w:pPr>
      <w:keepLines/>
      <w:jc w:val="right"/>
    </w:pPr>
    <w:rPr>
      <w:b/>
    </w:rPr>
  </w:style>
  <w:style w:type="paragraph" w:customStyle="1" w:styleId="0Heading0">
    <w:name w:val="0 Heading 0"/>
    <w:rPr>
      <w:sz w:val="22"/>
      <w:szCs w:val="22"/>
      <w:lang w:val="en-GB"/>
    </w:rPr>
  </w:style>
  <w:style w:type="paragraph" w:styleId="Footer">
    <w:name w:val="footer"/>
    <w:basedOn w:val="Normal"/>
    <w:link w:val="FooterChar"/>
    <w:uiPriority w:val="99"/>
    <w:pPr>
      <w:tabs>
        <w:tab w:val="center" w:pos="4320"/>
        <w:tab w:val="right" w:pos="8640"/>
      </w:tabs>
    </w:pPr>
  </w:style>
  <w:style w:type="numbering" w:styleId="1ai">
    <w:name w:val="Outline List 1"/>
    <w:basedOn w:val="NoList"/>
    <w:semiHidden/>
    <w:pPr>
      <w:numPr>
        <w:numId w:val="17"/>
      </w:numPr>
    </w:pPr>
  </w:style>
  <w:style w:type="numbering" w:styleId="ArticleSection">
    <w:name w:val="Outline List 3"/>
    <w:basedOn w:val="NoList"/>
    <w:semiHidden/>
    <w:pPr>
      <w:numPr>
        <w:numId w:val="18"/>
      </w:numPr>
    </w:pPr>
  </w:style>
  <w:style w:type="paragraph" w:styleId="BlockText">
    <w:name w:val="Block Text"/>
    <w:basedOn w:val="Normal"/>
    <w:semiHidden/>
    <w:pPr>
      <w:spacing w:after="120"/>
      <w:ind w:left="1440" w:right="1440"/>
    </w:pPr>
  </w:style>
  <w:style w:type="paragraph" w:styleId="BodyText3">
    <w:name w:val="Body Text 3"/>
    <w:basedOn w:val="Normal"/>
    <w:semiHidden/>
    <w:pPr>
      <w:spacing w:after="120"/>
    </w:pPr>
    <w:rPr>
      <w:sz w:val="16"/>
      <w:szCs w:val="16"/>
    </w:rPr>
  </w:style>
  <w:style w:type="paragraph" w:styleId="BodyTextIndent3">
    <w:name w:val="Body Text Indent 3"/>
    <w:basedOn w:val="Normal"/>
    <w:semiHidden/>
    <w:pPr>
      <w:spacing w:after="120"/>
      <w:ind w:left="360"/>
    </w:pPr>
    <w:rPr>
      <w:sz w:val="16"/>
      <w:szCs w:val="16"/>
    </w:rPr>
  </w:style>
  <w:style w:type="paragraph" w:styleId="PlainText">
    <w:name w:val="Plain Text"/>
    <w:basedOn w:val="Normal"/>
    <w:semiHidden/>
    <w:rPr>
      <w:rFonts w:ascii="Courier New" w:hAnsi="Courier New" w:cs="Courier New"/>
      <w:sz w:val="20"/>
    </w:rPr>
  </w:style>
  <w:style w:type="table" w:styleId="Table3Deffects1">
    <w:name w:val="Table 3D effects 1"/>
    <w:basedOn w:val="TableNormal"/>
    <w:semiHidden/>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uiPriority w:val="9"/>
    <w:rPr>
      <w:sz w:val="22"/>
      <w:szCs w:val="22"/>
      <w:lang w:val="en-GB"/>
    </w:rPr>
  </w:style>
  <w:style w:type="paragraph" w:customStyle="1" w:styleId="Header4">
    <w:name w:val="Header4"/>
    <w:aliases w:val="Para 4"/>
    <w:basedOn w:val="Normal"/>
    <w:next w:val="Normal"/>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Pr>
      <w:sz w:val="16"/>
      <w:szCs w:val="16"/>
    </w:rPr>
  </w:style>
  <w:style w:type="paragraph" w:styleId="Subtitle">
    <w:name w:val="Subtitle"/>
    <w:basedOn w:val="Normal"/>
    <w:qFormat/>
    <w:pPr>
      <w:spacing w:after="60"/>
      <w:jc w:val="center"/>
      <w:outlineLvl w:val="1"/>
    </w:pPr>
    <w:rPr>
      <w:rFonts w:ascii="Arial" w:hAnsi="Arial" w:cs="Arial"/>
    </w:rPr>
  </w:style>
  <w:style w:type="paragraph" w:styleId="Title">
    <w:name w:val="Title"/>
    <w:basedOn w:val="Normal"/>
    <w:qFormat/>
    <w:pPr>
      <w:spacing w:before="240" w:after="60"/>
      <w:jc w:val="center"/>
      <w:outlineLvl w:val="0"/>
    </w:pPr>
    <w:rPr>
      <w:rFonts w:ascii="Arial" w:hAnsi="Arial" w:cs="Arial"/>
      <w:b/>
      <w:bCs/>
      <w:kern w:val="28"/>
    </w:rPr>
  </w:style>
  <w:style w:type="paragraph" w:styleId="Date">
    <w:name w:val="Date"/>
    <w:basedOn w:val="Normal"/>
    <w:next w:val="Normal"/>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val="en-GB"/>
    </w:rPr>
  </w:style>
  <w:style w:type="paragraph" w:customStyle="1" w:styleId="StyleHeader4Para4Left0Firstline0">
    <w:name w:val="Style Header4Para 4 + Left:  0&quot; First line:  0&quot;"/>
    <w:basedOn w:val="Header4"/>
    <w:pPr>
      <w:ind w:left="0" w:firstLine="0"/>
    </w:pPr>
    <w:rPr>
      <w:sz w:val="20"/>
    </w:rPr>
  </w:style>
  <w:style w:type="paragraph" w:customStyle="1" w:styleId="StyleHeading1Para1Heading1CharHeading1Char3CharHeadin">
    <w:name w:val="Style Heading 1Para (1)Heading 1 CharHeading 1 Char3 CharHeadin..."/>
    <w:basedOn w:val="Heading1"/>
    <w:pPr>
      <w:numPr>
        <w:numId w:val="0"/>
      </w:numPr>
      <w:tabs>
        <w:tab w:val="left" w:pos="720"/>
      </w:tabs>
    </w:pPr>
    <w:rPr>
      <w:szCs w:val="20"/>
    </w:rPr>
  </w:style>
  <w:style w:type="character" w:customStyle="1" w:styleId="FooterChar">
    <w:name w:val="Footer Char"/>
    <w:basedOn w:val="DefaultParagraphFont"/>
    <w:link w:val="Footer"/>
    <w:uiPriority w:val="99"/>
    <w:rPr>
      <w:sz w:val="22"/>
      <w:szCs w:val="22"/>
      <w:lang w:val="en-GB"/>
    </w:rPr>
  </w:style>
  <w:style w:type="paragraph" w:styleId="FootnoteText">
    <w:name w:val="footnote text"/>
    <w:aliases w:val="Char1,Char1 Char Char,Fußnotentextf,FOOTNOTES,fn,single space,Footnote,Footnote Text Char1 Char,Footnote Text Char Char Char,Footnote Text Char1 Char Char Char,Footnote Text Char Char Char Char Char, Char1, Char1 Char Char"/>
    <w:basedOn w:val="Normal"/>
    <w:link w:val="FootnoteTextChar"/>
    <w:uiPriority w:val="99"/>
    <w:unhideWhenUsed/>
    <w:qFormat/>
    <w:rsid w:val="002C06D4"/>
    <w:rPr>
      <w:sz w:val="20"/>
      <w:szCs w:val="20"/>
    </w:rPr>
  </w:style>
  <w:style w:type="character" w:customStyle="1" w:styleId="FootnoteTextChar">
    <w:name w:val="Footnote Text Char"/>
    <w:aliases w:val="Char1 Char,Char1 Char Char Char,Fußnotentextf Char,FOOTNOTES Char,fn Char,single space Char,Footnote Char,Footnote Text Char1 Char Char,Footnote Text Char Char Char Char,Footnote Text Char1 Char Char Char Char, Char1 Char"/>
    <w:basedOn w:val="DefaultParagraphFont"/>
    <w:link w:val="FootnoteText"/>
    <w:uiPriority w:val="99"/>
    <w:rsid w:val="002C06D4"/>
    <w:rPr>
      <w:lang w:val="en-GB"/>
    </w:rPr>
  </w:style>
  <w:style w:type="character" w:styleId="FootnoteReference">
    <w:name w:val="footnote reference"/>
    <w:aliases w:val="Footnote text,Footnote Text1,Footnote Text2,ftref,16 Point,Superscript 6 Point,Superscript 6 Point + 11 pt,BVI fnr,BVI fnr Car Car,BVI fnr Car,BVI fnr Car Car Car Car"/>
    <w:basedOn w:val="DefaultParagraphFont"/>
    <w:uiPriority w:val="99"/>
    <w:unhideWhenUsed/>
    <w:rsid w:val="002C06D4"/>
    <w:rPr>
      <w:vertAlign w:val="superscript"/>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2 Char"/>
    <w:basedOn w:val="DefaultParagraphFont"/>
    <w:link w:val="Heading2"/>
    <w:uiPriority w:val="9"/>
    <w:rsid w:val="00C13A6D"/>
    <w:rPr>
      <w:sz w:val="22"/>
      <w:szCs w:val="22"/>
      <w:lang w:val="en-GB"/>
    </w:rPr>
  </w:style>
  <w:style w:type="table" w:customStyle="1" w:styleId="TableGrid10">
    <w:name w:val="Table Grid1"/>
    <w:basedOn w:val="TableNormal"/>
    <w:next w:val="TableGrid"/>
    <w:qFormat/>
    <w:rsid w:val="00C13A6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Traduction\Fonds\Session_88\F88-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F56DB39A5B9F46AA87ED0A960035E8" ma:contentTypeVersion="2" ma:contentTypeDescription="Create a new document." ma:contentTypeScope="" ma:versionID="9a9384c066cc674c8397f85f8985ec5f">
  <xsd:schema xmlns:xsd="http://www.w3.org/2001/XMLSchema" xmlns:p="http://schemas.microsoft.com/office/2006/metadata/properties" xmlns:ns2="8662b4aa-cf42-4f00-a3f0-9d3b4acad230" xmlns:ns3="310e179b-1379-4e79-9b74-d5a32b1812d3" targetNamespace="http://schemas.microsoft.com/office/2006/metadata/properties" ma:root="true" ma:fieldsID="e0755585b90475625861c97e4ef1469a" ns2:_="" ns3:_="">
    <xsd:import namespace="8662b4aa-cf42-4f00-a3f0-9d3b4acad230"/>
    <xsd:import namespace="310e179b-1379-4e79-9b74-d5a32b1812d3"/>
    <xsd:element name="properties">
      <xsd:complexType>
        <xsd:sequence>
          <xsd:element name="documentManagement">
            <xsd:complexType>
              <xsd:all>
                <xsd:element ref="ns2:Document_x0020_Number" minOccurs="0"/>
                <xsd:element ref="ns3:DocumentType" minOccurs="0"/>
              </xsd:all>
            </xsd:complexType>
          </xsd:element>
        </xsd:sequence>
      </xsd:complexType>
    </xsd:element>
  </xsd:schema>
  <xsd:schema xmlns:xsd="http://www.w3.org/2001/XMLSchema" xmlns:dms="http://schemas.microsoft.com/office/2006/documentManagement/types" targetNamespace="8662b4aa-cf42-4f00-a3f0-9d3b4acad230" elementFormDefault="qualified">
    <xsd:import namespace="http://schemas.microsoft.com/office/2006/documentManagement/types"/>
    <xsd:element name="Document_x0020_Number" ma:index="8" nillable="true" ma:displayName="Document Number" ma:default="UNEP/OzL.Pro/ExCom/88/" ma:internalName="Document_x0020_Number">
      <xsd:simpleType>
        <xsd:restriction base="dms:Text">
          <xsd:maxLength value="255"/>
        </xsd:restriction>
      </xsd:simpleType>
    </xsd:element>
  </xsd:schema>
  <xsd:schema xmlns:xsd="http://www.w3.org/2001/XMLSchema" xmlns:dms="http://schemas.microsoft.com/office/2006/documentManagement/types" targetNamespace="310e179b-1379-4e79-9b74-d5a32b1812d3"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Type xmlns="310e179b-1379-4e79-9b74-d5a32b1812d3">Pre-session</DocumentType>
    <Document_x0020_Number xmlns="8662b4aa-cf42-4f00-a3f0-9d3b4acad230">UNEP/OzL.Pro/ExCom/88/18/Add.1</Document_x0020_Number>
  </documentManagement>
</p:properties>
</file>

<file path=customXml/itemProps1.xml><?xml version="1.0" encoding="utf-8"?>
<ds:datastoreItem xmlns:ds="http://schemas.openxmlformats.org/officeDocument/2006/customXml" ds:itemID="{3D922F05-0846-4DB1-BB50-EDB405F7EC1A}"/>
</file>

<file path=customXml/itemProps2.xml><?xml version="1.0" encoding="utf-8"?>
<ds:datastoreItem xmlns:ds="http://schemas.openxmlformats.org/officeDocument/2006/customXml" ds:itemID="{F6B48F9B-CDA1-43BA-97BB-B465CDE52E18}"/>
</file>

<file path=customXml/itemProps3.xml><?xml version="1.0" encoding="utf-8"?>
<ds:datastoreItem xmlns:ds="http://schemas.openxmlformats.org/officeDocument/2006/customXml" ds:itemID="{10D2E2B3-DE2D-4BDD-BBC9-51947D5CC47D}"/>
</file>

<file path=customXml/itemProps4.xml><?xml version="1.0" encoding="utf-8"?>
<ds:datastoreItem xmlns:ds="http://schemas.openxmlformats.org/officeDocument/2006/customXml" ds:itemID="{334CC858-6253-4867-B95B-63C7BCA4649D}"/>
</file>

<file path=docProps/app.xml><?xml version="1.0" encoding="utf-8"?>
<Properties xmlns="http://schemas.openxmlformats.org/officeDocument/2006/extended-properties" xmlns:vt="http://schemas.openxmlformats.org/officeDocument/2006/docPropsVTypes">
  <Template>F88-Template</Template>
  <TotalTime>2</TotalTime>
  <Pages>1</Pages>
  <Words>3423</Words>
  <Characters>19516</Characters>
  <Application>Microsoft Office Word</Application>
  <DocSecurity>0</DocSecurity>
  <Lines>162</Lines>
  <Paragraphs>45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Rapports sur les projets comportant des exigences particulières</vt:lpstr>
      <vt:lpstr/>
    </vt:vector>
  </TitlesOfParts>
  <Company>UNMFS</Company>
  <LinksUpToDate>false</LinksUpToDate>
  <CharactersWithSpaces>22894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Rapports sur les projets comportant des exigences particulières</dc:title>
  <dc:creator>Danielle</dc:creator>
  <cp:lastModifiedBy>HBE</cp:lastModifiedBy>
  <cp:revision>4</cp:revision>
  <cp:lastPrinted>2001-05-26T16:40:00Z</cp:lastPrinted>
  <dcterms:created xsi:type="dcterms:W3CDTF">2021-11-08T16:36:00Z</dcterms:created>
  <dcterms:modified xsi:type="dcterms:W3CDTF">2021-11-20T05:10:00Z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UNEP/OzL.Pro/ExCom/88/18/Add.1</vt:lpwstr>
  </property>
  <property fmtid="{D5CDD505-2E9C-101B-9397-08002B2CF9AE}" pid="3" name="Revision date">
    <vt:lpwstr>11/10/2021</vt:lpwstr>
  </property>
  <property fmtid="{D5CDD505-2E9C-101B-9397-08002B2CF9AE}" pid="4" name="ContentTypeId">
    <vt:lpwstr>0x01010009F56DB39A5B9F46AA87ED0A960035E8</vt:lpwstr>
  </property>
</Properties>
</file>