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F7008B" w14:paraId="2AACB1D6" w14:textId="77777777" w:rsidTr="001C0110">
        <w:trPr>
          <w:trHeight w:val="720"/>
        </w:trPr>
        <w:tc>
          <w:tcPr>
            <w:tcW w:w="5490" w:type="dxa"/>
            <w:gridSpan w:val="2"/>
            <w:tcBorders>
              <w:bottom w:val="single" w:sz="18" w:space="0" w:color="auto"/>
            </w:tcBorders>
          </w:tcPr>
          <w:p w14:paraId="5C1C4212" w14:textId="77777777" w:rsidR="00C15867" w:rsidRPr="00F7008B"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F7008B">
              <w:rPr>
                <w:rFonts w:ascii="Univers" w:hAnsi="Univers"/>
                <w:b/>
                <w:sz w:val="28"/>
                <w:szCs w:val="28"/>
              </w:rPr>
              <w:t>NATIONS</w:t>
            </w:r>
            <w:r w:rsidRPr="00F7008B">
              <w:rPr>
                <w:rFonts w:ascii="Univers" w:hAnsi="Univers"/>
                <w:b/>
                <w:sz w:val="28"/>
                <w:szCs w:val="28"/>
              </w:rPr>
              <w:br/>
              <w:t>UNIES</w:t>
            </w:r>
          </w:p>
        </w:tc>
        <w:tc>
          <w:tcPr>
            <w:tcW w:w="4590" w:type="dxa"/>
            <w:tcBorders>
              <w:bottom w:val="single" w:sz="18" w:space="0" w:color="auto"/>
            </w:tcBorders>
          </w:tcPr>
          <w:p w14:paraId="431F8135" w14:textId="77777777" w:rsidR="00C15867" w:rsidRPr="00F7008B" w:rsidRDefault="00C15867" w:rsidP="001C0110">
            <w:pPr>
              <w:jc w:val="right"/>
              <w:rPr>
                <w:sz w:val="52"/>
                <w:szCs w:val="52"/>
              </w:rPr>
            </w:pPr>
            <w:r w:rsidRPr="00F7008B">
              <w:rPr>
                <w:rFonts w:ascii="Univers Bold" w:hAnsi="Univers Bold"/>
                <w:b/>
                <w:sz w:val="72"/>
              </w:rPr>
              <w:t>EP</w:t>
            </w:r>
          </w:p>
        </w:tc>
      </w:tr>
      <w:tr w:rsidR="00C15867" w:rsidRPr="000310D1" w14:paraId="01F33DFA" w14:textId="77777777" w:rsidTr="001C0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E2F2194" w14:textId="77777777" w:rsidR="00C15867" w:rsidRPr="00F7008B" w:rsidRDefault="00E52838" w:rsidP="001C0110">
            <w:pPr>
              <w:spacing w:before="120"/>
            </w:pPr>
            <w:r w:rsidRPr="00F7008B">
              <w:rPr>
                <w:noProof/>
                <w:lang w:eastAsia="en-CA"/>
              </w:rPr>
              <mc:AlternateContent>
                <mc:Choice Requires="wpg">
                  <w:drawing>
                    <wp:anchor distT="0" distB="0" distL="114300" distR="114300" simplePos="0" relativeHeight="251660288" behindDoc="0" locked="0" layoutInCell="1" allowOverlap="1" wp14:anchorId="4F477BFD" wp14:editId="046C671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7BD2D0"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">
                        <v:imagedata r:id="rId10" o:title="UNEP"/>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">
                        <v:imagedata r:id="rId11" o:title=""/>
                      </v:shape>
                    </v:group>
                  </w:pict>
                </mc:Fallback>
              </mc:AlternateContent>
            </w:r>
          </w:p>
        </w:tc>
        <w:tc>
          <w:tcPr>
            <w:tcW w:w="3420" w:type="dxa"/>
            <w:tcBorders>
              <w:top w:val="nil"/>
              <w:left w:val="nil"/>
              <w:bottom w:val="single" w:sz="36" w:space="0" w:color="auto"/>
              <w:right w:val="nil"/>
            </w:tcBorders>
          </w:tcPr>
          <w:p w14:paraId="5A063790" w14:textId="77777777" w:rsidR="000310D1" w:rsidRDefault="000310D1"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p>
          <w:p w14:paraId="31280581" w14:textId="1B9263AA" w:rsidR="00C15867" w:rsidRPr="00822BBF"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r w:rsidRPr="00822BBF">
              <w:rPr>
                <w:rFonts w:ascii="Univers" w:hAnsi="Univers"/>
                <w:b/>
                <w:sz w:val="32"/>
                <w:lang w:val="fr-FR"/>
              </w:rPr>
              <w:t>Programme des</w:t>
            </w:r>
          </w:p>
          <w:p w14:paraId="6767FE6D" w14:textId="77777777" w:rsidR="00C15867" w:rsidRPr="00822BBF"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fr-FR"/>
              </w:rPr>
            </w:pPr>
            <w:r w:rsidRPr="00822BBF">
              <w:rPr>
                <w:rFonts w:ascii="Univers" w:hAnsi="Univers"/>
                <w:b/>
                <w:sz w:val="32"/>
                <w:lang w:val="fr-FR"/>
              </w:rPr>
              <w:t>Nations Unies pour</w:t>
            </w:r>
          </w:p>
          <w:p w14:paraId="1B989043" w14:textId="77777777" w:rsidR="00C15867" w:rsidRPr="00822BBF" w:rsidRDefault="00C15867" w:rsidP="001C011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proofErr w:type="gramStart"/>
            <w:r w:rsidRPr="00822BBF">
              <w:rPr>
                <w:rFonts w:ascii="Univers" w:hAnsi="Univers"/>
                <w:b/>
                <w:sz w:val="32"/>
                <w:lang w:val="fr-FR"/>
              </w:rPr>
              <w:t>l’environnement</w:t>
            </w:r>
            <w:proofErr w:type="gramEnd"/>
          </w:p>
          <w:p w14:paraId="46E32D10" w14:textId="77777777" w:rsidR="00C15867" w:rsidRPr="00822BBF" w:rsidRDefault="00C15867" w:rsidP="001C0110">
            <w:pPr>
              <w:spacing w:before="720"/>
              <w:ind w:left="158"/>
              <w:rPr>
                <w:lang w:val="fr-FR"/>
              </w:rPr>
            </w:pPr>
          </w:p>
        </w:tc>
        <w:tc>
          <w:tcPr>
            <w:tcW w:w="4590" w:type="dxa"/>
            <w:tcBorders>
              <w:top w:val="nil"/>
              <w:left w:val="nil"/>
              <w:bottom w:val="single" w:sz="36" w:space="0" w:color="auto"/>
              <w:right w:val="nil"/>
            </w:tcBorders>
          </w:tcPr>
          <w:p w14:paraId="10816E73" w14:textId="77777777" w:rsidR="000310D1" w:rsidRDefault="000310D1" w:rsidP="001C0110">
            <w:pPr>
              <w:rPr>
                <w:lang w:val="fr-FR"/>
              </w:rPr>
            </w:pPr>
          </w:p>
          <w:p w14:paraId="144486AC" w14:textId="198B4FCF" w:rsidR="00C15867" w:rsidRPr="00822BBF" w:rsidRDefault="00C15867" w:rsidP="001C0110">
            <w:pPr>
              <w:rPr>
                <w:lang w:val="fr-FR"/>
              </w:rPr>
            </w:pPr>
            <w:proofErr w:type="spellStart"/>
            <w:r w:rsidRPr="00822BBF">
              <w:rPr>
                <w:lang w:val="fr-FR"/>
              </w:rPr>
              <w:t>Distr</w:t>
            </w:r>
            <w:proofErr w:type="spellEnd"/>
            <w:r w:rsidRPr="00822BBF">
              <w:rPr>
                <w:lang w:val="fr-FR"/>
              </w:rPr>
              <w:t>.</w:t>
            </w:r>
          </w:p>
          <w:p w14:paraId="23EF2F61" w14:textId="77777777" w:rsidR="00923540" w:rsidRPr="00822BBF" w:rsidRDefault="00923540" w:rsidP="00923540">
            <w:pPr>
              <w:rPr>
                <w:lang w:val="fr-FR"/>
              </w:rPr>
            </w:pPr>
            <w:r w:rsidRPr="00822BBF">
              <w:rPr>
                <w:lang w:val="fr-FR"/>
              </w:rPr>
              <w:t>GÉNÉRALE</w:t>
            </w:r>
          </w:p>
          <w:p w14:paraId="29F96D3D" w14:textId="77777777" w:rsidR="00C15867" w:rsidRPr="00822BBF" w:rsidRDefault="00C15867" w:rsidP="001C0110">
            <w:pPr>
              <w:rPr>
                <w:lang w:val="fr-FR"/>
              </w:rPr>
            </w:pPr>
          </w:p>
          <w:p w14:paraId="1F56377B" w14:textId="13915B82" w:rsidR="00C15867" w:rsidRPr="00822BBF" w:rsidRDefault="001D0C1A" w:rsidP="001C0110">
            <w:pPr>
              <w:rPr>
                <w:lang w:val="fr-FR"/>
              </w:rPr>
            </w:pPr>
            <w:r>
              <w:fldChar w:fldCharType="begin"/>
            </w:r>
            <w:r w:rsidRPr="00822BBF">
              <w:rPr>
                <w:lang w:val="fr-FR"/>
              </w:rPr>
              <w:instrText xml:space="preserve"> DOCPROPERTY "Document number"  \* MERGEFORMAT </w:instrText>
            </w:r>
            <w:r>
              <w:fldChar w:fldCharType="separate"/>
            </w:r>
            <w:r w:rsidR="000310D1">
              <w:rPr>
                <w:lang w:val="fr-FR"/>
              </w:rPr>
              <w:t>UNEP/</w:t>
            </w:r>
            <w:proofErr w:type="spellStart"/>
            <w:r w:rsidR="000310D1">
              <w:rPr>
                <w:lang w:val="fr-FR"/>
              </w:rPr>
              <w:t>OzL.Pro</w:t>
            </w:r>
            <w:proofErr w:type="spellEnd"/>
            <w:r w:rsidR="000310D1">
              <w:rPr>
                <w:lang w:val="fr-FR"/>
              </w:rPr>
              <w:t>/</w:t>
            </w:r>
            <w:proofErr w:type="spellStart"/>
            <w:r w:rsidR="000310D1">
              <w:rPr>
                <w:lang w:val="fr-FR"/>
              </w:rPr>
              <w:t>ExCom</w:t>
            </w:r>
            <w:proofErr w:type="spellEnd"/>
            <w:r w:rsidR="000310D1">
              <w:rPr>
                <w:lang w:val="fr-FR"/>
              </w:rPr>
              <w:t>/88/14</w:t>
            </w:r>
            <w:r>
              <w:fldChar w:fldCharType="end"/>
            </w:r>
          </w:p>
          <w:p w14:paraId="499B3210" w14:textId="43DC04DD" w:rsidR="00C15867" w:rsidRPr="000310D1" w:rsidRDefault="00BC2495" w:rsidP="001C0110">
            <w:pPr>
              <w:rPr>
                <w:lang w:val="fr-CA"/>
              </w:rPr>
            </w:pPr>
            <w:r w:rsidRPr="00F7008B">
              <w:fldChar w:fldCharType="begin"/>
            </w:r>
            <w:r w:rsidR="00851352" w:rsidRPr="000310D1">
              <w:rPr>
                <w:lang w:val="fr-CA"/>
              </w:rPr>
              <w:instrText xml:space="preserve"> DOCPROPERTY "Revision date" \@ "d MMMM YYYY"  \* MERGEFORMAT </w:instrText>
            </w:r>
            <w:r w:rsidRPr="00F7008B">
              <w:fldChar w:fldCharType="separate"/>
            </w:r>
            <w:r w:rsidR="000310D1">
              <w:rPr>
                <w:lang w:val="fr-CA"/>
              </w:rPr>
              <w:t>18 octobre 2021</w:t>
            </w:r>
            <w:r w:rsidRPr="00F7008B">
              <w:fldChar w:fldCharType="end"/>
            </w:r>
          </w:p>
          <w:p w14:paraId="61DC7B7C" w14:textId="5076F8BC" w:rsidR="00C15867" w:rsidRDefault="00C15867" w:rsidP="001C0110">
            <w:pPr>
              <w:rPr>
                <w:caps/>
                <w:lang w:val="fr-CA"/>
              </w:rPr>
            </w:pPr>
          </w:p>
          <w:p w14:paraId="5D7FC88F" w14:textId="77777777" w:rsidR="000310D1" w:rsidRPr="00214485" w:rsidRDefault="000310D1" w:rsidP="000310D1">
            <w:pPr>
              <w:rPr>
                <w:caps/>
                <w:lang w:val="fr-FR"/>
              </w:rPr>
            </w:pPr>
            <w:r w:rsidRPr="00214485">
              <w:rPr>
                <w:caps/>
                <w:lang w:val="fr-FR"/>
              </w:rPr>
              <w:t>FRANÇAIS</w:t>
            </w:r>
          </w:p>
          <w:p w14:paraId="627A1E8F" w14:textId="0A3DEBAC" w:rsidR="00C15867" w:rsidRPr="000310D1" w:rsidRDefault="000310D1" w:rsidP="000310D1">
            <w:pPr>
              <w:rPr>
                <w:lang w:val="fr-CA"/>
              </w:rPr>
            </w:pPr>
            <w:r w:rsidRPr="00214485">
              <w:rPr>
                <w:lang w:val="fr-FR"/>
              </w:rPr>
              <w:t>ORIGINAL: ANGLAIS</w:t>
            </w:r>
          </w:p>
        </w:tc>
      </w:tr>
    </w:tbl>
    <w:p w14:paraId="6B9D541E" w14:textId="77777777" w:rsidR="00B86471" w:rsidRPr="00822BBF" w:rsidRDefault="00C15867" w:rsidP="00B86471">
      <w:pPr>
        <w:jc w:val="left"/>
        <w:rPr>
          <w:lang w:val="fr-FR"/>
        </w:rPr>
      </w:pPr>
      <w:r w:rsidRPr="00822BBF">
        <w:rPr>
          <w:lang w:val="fr-FR"/>
        </w:rPr>
        <w:t>COMITÉ EXÉCUTIF</w:t>
      </w:r>
      <w:r w:rsidRPr="00822BBF">
        <w:rPr>
          <w:lang w:val="fr-FR"/>
        </w:rPr>
        <w:br/>
        <w:t xml:space="preserve">  DU FONDS MULTILATÉRAL AUX FINS</w:t>
      </w:r>
      <w:r w:rsidRPr="00822BBF">
        <w:rPr>
          <w:lang w:val="fr-FR"/>
        </w:rPr>
        <w:br/>
        <w:t xml:space="preserve">  D’APPLICATION DU PROTOCOLE DE MONTRÉAL</w:t>
      </w:r>
      <w:r w:rsidRPr="00822BBF">
        <w:rPr>
          <w:lang w:val="fr-FR"/>
        </w:rPr>
        <w:br/>
        <w:t>Quatre-vingt-huitième réunion</w:t>
      </w:r>
    </w:p>
    <w:p w14:paraId="0DB0FADD" w14:textId="77777777" w:rsidR="00066CE8" w:rsidRPr="00822BBF" w:rsidRDefault="00B86471" w:rsidP="00B86471">
      <w:pPr>
        <w:jc w:val="left"/>
        <w:rPr>
          <w:lang w:val="fr-FR"/>
        </w:rPr>
      </w:pPr>
      <w:r w:rsidRPr="00822BBF">
        <w:rPr>
          <w:lang w:val="fr-FR"/>
        </w:rPr>
        <w:t>Montréal, 15 – 19 novembre 2021</w:t>
      </w:r>
      <w:r w:rsidRPr="00F7008B">
        <w:rPr>
          <w:rStyle w:val="FootnoteReference"/>
        </w:rPr>
        <w:footnoteReference w:id="1"/>
      </w:r>
    </w:p>
    <w:p w14:paraId="5994B358" w14:textId="77777777" w:rsidR="00E52ADD" w:rsidRPr="00822BBF" w:rsidRDefault="00E52ADD" w:rsidP="00E52ADD">
      <w:pPr>
        <w:jc w:val="left"/>
        <w:rPr>
          <w:lang w:val="fr-FR"/>
        </w:rPr>
      </w:pPr>
    </w:p>
    <w:p w14:paraId="38B1269D" w14:textId="77777777" w:rsidR="00E52ADD" w:rsidRPr="00822BBF" w:rsidRDefault="00E52ADD" w:rsidP="00E52ADD">
      <w:pPr>
        <w:jc w:val="left"/>
        <w:rPr>
          <w:lang w:val="fr-FR"/>
        </w:rPr>
      </w:pPr>
    </w:p>
    <w:p w14:paraId="7F23213C" w14:textId="77777777" w:rsidR="00E52ADD" w:rsidRPr="00822BBF" w:rsidRDefault="00E52ADD" w:rsidP="00E52ADD">
      <w:pPr>
        <w:jc w:val="left"/>
        <w:rPr>
          <w:lang w:val="fr-FR"/>
        </w:rPr>
      </w:pPr>
    </w:p>
    <w:p w14:paraId="0E394998" w14:textId="77777777" w:rsidR="0056042B" w:rsidRDefault="00E52ADD" w:rsidP="00E52ADD">
      <w:pPr>
        <w:jc w:val="center"/>
        <w:rPr>
          <w:b/>
          <w:bCs/>
          <w:noProof/>
          <w:lang w:val="fr-FR"/>
        </w:rPr>
      </w:pPr>
      <w:r w:rsidRPr="00822BBF">
        <w:rPr>
          <w:b/>
          <w:bCs/>
          <w:noProof/>
          <w:lang w:val="fr-FR"/>
        </w:rPr>
        <w:t xml:space="preserve">RAPPORT PÉRIODIQUE DU PNUD </w:t>
      </w:r>
    </w:p>
    <w:p w14:paraId="152072A7" w14:textId="569ADDBC" w:rsidR="00E52ADD" w:rsidRDefault="00E52ADD" w:rsidP="00E52ADD">
      <w:pPr>
        <w:jc w:val="center"/>
        <w:rPr>
          <w:b/>
          <w:bCs/>
          <w:noProof/>
          <w:lang w:val="fr-FR"/>
        </w:rPr>
      </w:pPr>
      <w:bookmarkStart w:id="0" w:name="_GoBack"/>
      <w:bookmarkEnd w:id="0"/>
      <w:r w:rsidRPr="00822BBF">
        <w:rPr>
          <w:b/>
          <w:bCs/>
          <w:noProof/>
          <w:lang w:val="fr-FR"/>
        </w:rPr>
        <w:t>AU 31 DÉCEMBRE 2020</w:t>
      </w:r>
    </w:p>
    <w:p w14:paraId="601F0261" w14:textId="77777777" w:rsidR="000310D1" w:rsidRDefault="000310D1" w:rsidP="00E52ADD">
      <w:pPr>
        <w:jc w:val="center"/>
        <w:rPr>
          <w:b/>
          <w:bCs/>
          <w:noProof/>
          <w:lang w:val="fr-FR"/>
        </w:rPr>
      </w:pPr>
    </w:p>
    <w:p w14:paraId="6A37C85A" w14:textId="77777777" w:rsidR="000310D1" w:rsidRPr="00822BBF" w:rsidRDefault="000310D1" w:rsidP="00E52ADD">
      <w:pPr>
        <w:jc w:val="center"/>
        <w:rPr>
          <w:b/>
          <w:bCs/>
          <w:noProof/>
          <w:lang w:val="fr-FR"/>
        </w:rPr>
      </w:pPr>
    </w:p>
    <w:p w14:paraId="18DB2114" w14:textId="77777777" w:rsidR="00E52ADD" w:rsidRPr="00822BBF" w:rsidRDefault="00E52ADD" w:rsidP="00E52ADD">
      <w:pPr>
        <w:rPr>
          <w:lang w:val="fr-FR"/>
        </w:rPr>
      </w:pPr>
    </w:p>
    <w:p w14:paraId="2990AD6C" w14:textId="77777777" w:rsidR="00E52ADD" w:rsidRPr="00822BBF" w:rsidRDefault="00E52ADD" w:rsidP="00E52ADD">
      <w:pPr>
        <w:pStyle w:val="Heading1"/>
        <w:tabs>
          <w:tab w:val="clear" w:pos="0"/>
        </w:tabs>
        <w:rPr>
          <w:lang w:val="fr-FR"/>
        </w:rPr>
      </w:pPr>
      <w:r w:rsidRPr="00822BBF">
        <w:rPr>
          <w:lang w:val="fr-FR"/>
        </w:rPr>
        <w:t>Le présent document comporte le rapport périodique du PNUD au 31 décembre 2020.</w:t>
      </w:r>
      <w:r w:rsidRPr="00F7008B">
        <w:rPr>
          <w:rStyle w:val="FootnoteReference"/>
        </w:rPr>
        <w:footnoteReference w:id="2"/>
      </w:r>
      <w:r w:rsidRPr="00822BBF">
        <w:rPr>
          <w:lang w:val="fr-FR"/>
        </w:rPr>
        <w:t xml:space="preserve"> </w:t>
      </w:r>
    </w:p>
    <w:p w14:paraId="2E59C1B5" w14:textId="77777777" w:rsidR="00E52ADD" w:rsidRPr="00F7008B" w:rsidRDefault="00E52ADD" w:rsidP="00E52ADD">
      <w:pPr>
        <w:rPr>
          <w:b/>
        </w:rPr>
      </w:pPr>
      <w:r w:rsidRPr="00F7008B">
        <w:rPr>
          <w:b/>
        </w:rPr>
        <w:t>Introduction</w:t>
      </w:r>
    </w:p>
    <w:p w14:paraId="4468FC71" w14:textId="77777777" w:rsidR="00E52ADD" w:rsidRPr="00F7008B" w:rsidRDefault="00E52ADD" w:rsidP="00E52ADD"/>
    <w:p w14:paraId="0AA96407" w14:textId="06963643" w:rsidR="00E52ADD" w:rsidRPr="00822BBF" w:rsidRDefault="00E52ADD" w:rsidP="00E52ADD">
      <w:pPr>
        <w:pStyle w:val="Heading1"/>
        <w:tabs>
          <w:tab w:val="clear" w:pos="0"/>
        </w:tabs>
        <w:rPr>
          <w:lang w:val="fr-FR"/>
        </w:rPr>
      </w:pPr>
      <w:r w:rsidRPr="00822BBF">
        <w:rPr>
          <w:lang w:val="fr-FR"/>
        </w:rPr>
        <w:t>Le rapport périodique du PNUD comprend l'état de la mise en œ</w:t>
      </w:r>
      <w:r w:rsidR="00F2646A" w:rsidRPr="00822BBF">
        <w:rPr>
          <w:lang w:val="fr-FR"/>
        </w:rPr>
        <w:t>uvre des projets, y compris</w:t>
      </w:r>
      <w:r w:rsidR="00822BBF">
        <w:rPr>
          <w:lang w:val="fr-FR"/>
        </w:rPr>
        <w:t> </w:t>
      </w:r>
      <w:r w:rsidR="00F2646A" w:rsidRPr="00822BBF">
        <w:rPr>
          <w:lang w:val="fr-FR"/>
        </w:rPr>
        <w:t>18</w:t>
      </w:r>
      <w:r w:rsidR="00822BBF">
        <w:rPr>
          <w:lang w:val="fr-FR"/>
        </w:rPr>
        <w:t> </w:t>
      </w:r>
      <w:r w:rsidRPr="00822BBF">
        <w:rPr>
          <w:lang w:val="fr-FR"/>
        </w:rPr>
        <w:t>projets liés aux HFC qui ont été financés au titre des contributions vo</w:t>
      </w:r>
      <w:r w:rsidR="00F2646A" w:rsidRPr="00822BBF">
        <w:rPr>
          <w:lang w:val="fr-FR"/>
        </w:rPr>
        <w:t xml:space="preserve">lontaires supplémentaires de 17 </w:t>
      </w:r>
      <w:r w:rsidRPr="00822BBF">
        <w:rPr>
          <w:lang w:val="fr-FR"/>
        </w:rPr>
        <w:t>Parties non visées à l'article 5 pour fournir un soutien à la mise en œuvre rapide de l'amendement de Kigali.</w:t>
      </w:r>
    </w:p>
    <w:p w14:paraId="1F6F2661" w14:textId="49294BFF" w:rsidR="00E52ADD" w:rsidRPr="00822BBF" w:rsidRDefault="00E52ADD" w:rsidP="00E52ADD">
      <w:pPr>
        <w:pStyle w:val="Heading1"/>
        <w:tabs>
          <w:tab w:val="clear" w:pos="0"/>
        </w:tabs>
        <w:rPr>
          <w:lang w:val="fr-FR"/>
        </w:rPr>
      </w:pPr>
      <w:r w:rsidRPr="00822BBF">
        <w:rPr>
          <w:lang w:val="fr-FR"/>
        </w:rPr>
        <w:t>Le Secrétariat a procédé à la révision de l’état de la mise en œuvre des projets en cours pays par pays, en tenant compte des retards de mise en œuvre qui se sont produits par rapport aux dates d’achèvement prévues qui avaient été déclarées en 2020, les ret</w:t>
      </w:r>
      <w:r w:rsidR="00F2646A" w:rsidRPr="00822BBF">
        <w:rPr>
          <w:lang w:val="fr-FR"/>
        </w:rPr>
        <w:t>ombées possibles de ces retards</w:t>
      </w:r>
      <w:r w:rsidRPr="00822BBF">
        <w:rPr>
          <w:lang w:val="fr-FR"/>
        </w:rPr>
        <w:t xml:space="preserve"> sur l’élimination des substances réglementées et sur les taux de décaissement prévus. Les analyses </w:t>
      </w:r>
      <w:r w:rsidR="00F2646A" w:rsidRPr="00822BBF">
        <w:rPr>
          <w:lang w:val="fr-FR"/>
        </w:rPr>
        <w:t>figurant</w:t>
      </w:r>
      <w:r w:rsidRPr="00822BBF">
        <w:rPr>
          <w:lang w:val="fr-FR"/>
        </w:rPr>
        <w:t xml:space="preserve"> dans le présent document utilisent les tonnes PAO comme unité de mesure de toutes les substances réglementées</w:t>
      </w:r>
      <w:r w:rsidR="00F2646A" w:rsidRPr="00822BBF">
        <w:rPr>
          <w:lang w:val="fr-FR"/>
        </w:rPr>
        <w:t>,</w:t>
      </w:r>
      <w:r w:rsidRPr="00822BBF">
        <w:rPr>
          <w:lang w:val="fr-FR"/>
        </w:rPr>
        <w:t xml:space="preserve"> à l'exception des HFC qui sont exprimés en </w:t>
      </w:r>
      <w:proofErr w:type="spellStart"/>
      <w:r w:rsidRPr="00822BBF">
        <w:rPr>
          <w:lang w:val="fr-FR"/>
        </w:rPr>
        <w:t>tm</w:t>
      </w:r>
      <w:proofErr w:type="spellEnd"/>
      <w:r w:rsidRPr="00822BBF">
        <w:rPr>
          <w:lang w:val="fr-FR"/>
        </w:rPr>
        <w:t xml:space="preserve"> CO</w:t>
      </w:r>
      <w:r w:rsidRPr="00822BBF">
        <w:rPr>
          <w:vertAlign w:val="subscript"/>
          <w:lang w:val="fr-FR"/>
        </w:rPr>
        <w:t>2</w:t>
      </w:r>
      <w:r w:rsidRPr="00822BBF">
        <w:rPr>
          <w:lang w:val="fr-FR"/>
        </w:rPr>
        <w:t>-éq.</w:t>
      </w:r>
      <w:r w:rsidRPr="00F7008B">
        <w:rPr>
          <w:rStyle w:val="FootnoteReference"/>
        </w:rPr>
        <w:footnoteReference w:id="3"/>
      </w:r>
    </w:p>
    <w:p w14:paraId="5CA8EAAE" w14:textId="77777777" w:rsidR="000310D1" w:rsidRPr="0056042B" w:rsidRDefault="000310D1">
      <w:pPr>
        <w:jc w:val="left"/>
        <w:rPr>
          <w:u w:val="single"/>
          <w:lang w:val="fr-CA"/>
        </w:rPr>
      </w:pPr>
      <w:r w:rsidRPr="0056042B">
        <w:rPr>
          <w:u w:val="single"/>
          <w:lang w:val="fr-CA"/>
        </w:rPr>
        <w:br w:type="page"/>
      </w:r>
    </w:p>
    <w:p w14:paraId="062015CF" w14:textId="4BBE3FF8" w:rsidR="00E52ADD" w:rsidRPr="00F7008B" w:rsidRDefault="00E52ADD" w:rsidP="00E52ADD">
      <w:pPr>
        <w:keepNext/>
        <w:rPr>
          <w:u w:val="single"/>
        </w:rPr>
      </w:pPr>
      <w:proofErr w:type="spellStart"/>
      <w:r w:rsidRPr="00F7008B">
        <w:rPr>
          <w:u w:val="single"/>
        </w:rPr>
        <w:lastRenderedPageBreak/>
        <w:t>Portée</w:t>
      </w:r>
      <w:proofErr w:type="spellEnd"/>
      <w:r w:rsidRPr="00F7008B">
        <w:rPr>
          <w:u w:val="single"/>
        </w:rPr>
        <w:t xml:space="preserve"> du document</w:t>
      </w:r>
    </w:p>
    <w:p w14:paraId="17F14D04" w14:textId="77777777" w:rsidR="00E52ADD" w:rsidRPr="00F7008B" w:rsidRDefault="00E52ADD" w:rsidP="00E52ADD">
      <w:pPr>
        <w:keepNext/>
      </w:pPr>
    </w:p>
    <w:p w14:paraId="1F244961" w14:textId="77777777" w:rsidR="00E52ADD" w:rsidRPr="00822BBF" w:rsidRDefault="00E52ADD" w:rsidP="00E52ADD">
      <w:pPr>
        <w:pStyle w:val="Heading1"/>
        <w:tabs>
          <w:tab w:val="clear" w:pos="0"/>
        </w:tabs>
        <w:rPr>
          <w:lang w:val="fr-FR"/>
        </w:rPr>
      </w:pPr>
      <w:r w:rsidRPr="00822BBF">
        <w:rPr>
          <w:lang w:val="fr-FR"/>
        </w:rPr>
        <w:t>Ce document se compose de plusieurs parties :</w:t>
      </w:r>
    </w:p>
    <w:p w14:paraId="4E1FC72F" w14:textId="21007F6F" w:rsidR="00E52ADD" w:rsidRPr="00822BBF" w:rsidRDefault="00E52ADD" w:rsidP="00E52ADD">
      <w:pPr>
        <w:pStyle w:val="Heading2"/>
        <w:keepNext/>
        <w:widowControl/>
        <w:numPr>
          <w:ilvl w:val="0"/>
          <w:numId w:val="0"/>
        </w:numPr>
        <w:adjustRightInd w:val="0"/>
        <w:ind w:left="2160" w:hanging="1440"/>
        <w:textAlignment w:val="baseline"/>
        <w:rPr>
          <w:lang w:val="fr-FR"/>
        </w:rPr>
      </w:pPr>
      <w:r w:rsidRPr="00822BBF">
        <w:rPr>
          <w:lang w:val="fr-FR"/>
        </w:rPr>
        <w:t>Partie I :</w:t>
      </w:r>
      <w:r w:rsidRPr="00822BBF">
        <w:rPr>
          <w:lang w:val="fr-FR"/>
        </w:rPr>
        <w:tab/>
        <w:t>Projets approuvés au titre des contributions ordinaires au Fonds multilatéral</w:t>
      </w:r>
      <w:r w:rsidR="00F2646A" w:rsidRPr="00822BBF">
        <w:rPr>
          <w:lang w:val="fr-FR"/>
        </w:rPr>
        <w:t>.</w:t>
      </w:r>
      <w:r w:rsidRPr="00822BBF">
        <w:rPr>
          <w:lang w:val="fr-FR"/>
        </w:rPr>
        <w:t xml:space="preserve"> Cette section présente un résumé de l’avancement de la mise en œuvre des projets en 2020, et le cumulatif depuis 1991 visant toutes les substances réglementées en vertu du Protocole de Montréal, y compris les substances de l’annexe F (HFC); elle contient un examen de l’état de la mise en œuvre de tous</w:t>
      </w:r>
      <w:r w:rsidR="00F2646A" w:rsidRPr="00822BBF">
        <w:rPr>
          <w:lang w:val="fr-FR"/>
        </w:rPr>
        <w:t xml:space="preserve"> les projets</w:t>
      </w:r>
      <w:r w:rsidRPr="00F7008B">
        <w:rPr>
          <w:rStyle w:val="FootnoteReference"/>
        </w:rPr>
        <w:footnoteReference w:id="4"/>
      </w:r>
      <w:r w:rsidRPr="00822BBF">
        <w:rPr>
          <w:lang w:val="fr-FR"/>
        </w:rPr>
        <w:t xml:space="preserve"> en cours au niveau national ; elle identifie les projets présentant des retards de mise en œuvre et les répercussions possibles sur l’éliminati</w:t>
      </w:r>
      <w:r w:rsidR="00F2646A" w:rsidRPr="00822BBF">
        <w:rPr>
          <w:lang w:val="fr-FR"/>
        </w:rPr>
        <w:t xml:space="preserve">on des substances réglementées ainsi que </w:t>
      </w:r>
      <w:r w:rsidRPr="00822BBF">
        <w:rPr>
          <w:lang w:val="fr-FR"/>
        </w:rPr>
        <w:t>les projets comprenant des questions en suspens aux fins d’examen par le Comité exécutif.</w:t>
      </w:r>
    </w:p>
    <w:p w14:paraId="342931B6" w14:textId="00B99CD3" w:rsidR="00E52ADD" w:rsidRPr="00822BBF" w:rsidRDefault="00E52ADD" w:rsidP="00E52ADD">
      <w:pPr>
        <w:pStyle w:val="Heading2"/>
        <w:widowControl/>
        <w:numPr>
          <w:ilvl w:val="0"/>
          <w:numId w:val="0"/>
        </w:numPr>
        <w:adjustRightInd w:val="0"/>
        <w:ind w:left="2160" w:hanging="1440"/>
        <w:textAlignment w:val="baseline"/>
        <w:rPr>
          <w:lang w:val="fr-FR"/>
        </w:rPr>
      </w:pPr>
      <w:r w:rsidRPr="00822BBF">
        <w:rPr>
          <w:lang w:val="fr-FR"/>
        </w:rPr>
        <w:t>Partie II</w:t>
      </w:r>
      <w:r w:rsidR="00F2646A" w:rsidRPr="00822BBF">
        <w:rPr>
          <w:lang w:val="fr-FR"/>
        </w:rPr>
        <w:t> </w:t>
      </w:r>
      <w:r w:rsidRPr="00822BBF">
        <w:rPr>
          <w:lang w:val="fr-FR"/>
        </w:rPr>
        <w:t>:</w:t>
      </w:r>
      <w:r w:rsidRPr="00822BBF">
        <w:rPr>
          <w:lang w:val="fr-FR"/>
        </w:rPr>
        <w:tab/>
        <w:t>Projets approuvés dans le cadre des contributions volontaires supplémentaires en vue d’un soutien au démarrage rapide de la réduction progressive des HFC. Ce</w:t>
      </w:r>
      <w:r w:rsidR="00F2646A" w:rsidRPr="00822BBF">
        <w:rPr>
          <w:lang w:val="fr-FR"/>
        </w:rPr>
        <w:t xml:space="preserve">tte section présente </w:t>
      </w:r>
      <w:proofErr w:type="spellStart"/>
      <w:r w:rsidR="00F2646A" w:rsidRPr="00822BBF">
        <w:rPr>
          <w:lang w:val="fr-FR"/>
        </w:rPr>
        <w:t>succintement</w:t>
      </w:r>
      <w:proofErr w:type="spellEnd"/>
      <w:r w:rsidR="00F2646A" w:rsidRPr="00822BBF">
        <w:rPr>
          <w:lang w:val="fr-FR"/>
        </w:rPr>
        <w:t xml:space="preserve"> la mise en œ</w:t>
      </w:r>
      <w:r w:rsidRPr="00822BBF">
        <w:rPr>
          <w:lang w:val="fr-FR"/>
        </w:rPr>
        <w:t>uvre des projets de réduction progressive des HFC financés par les contributions volontaires.</w:t>
      </w:r>
      <w:r w:rsidRPr="00F7008B">
        <w:rPr>
          <w:rStyle w:val="FootnoteReference"/>
        </w:rPr>
        <w:footnoteReference w:id="5"/>
      </w:r>
    </w:p>
    <w:p w14:paraId="2B64F294" w14:textId="77777777" w:rsidR="00E52ADD" w:rsidRPr="00F7008B" w:rsidRDefault="00E52ADD" w:rsidP="00E52ADD">
      <w:pPr>
        <w:ind w:firstLine="720"/>
      </w:pPr>
      <w:proofErr w:type="spellStart"/>
      <w:r w:rsidRPr="00F7008B">
        <w:t>Recommandation</w:t>
      </w:r>
      <w:proofErr w:type="spellEnd"/>
    </w:p>
    <w:p w14:paraId="5ABADAFA" w14:textId="77777777" w:rsidR="00E52ADD" w:rsidRPr="00F7008B" w:rsidRDefault="00E52ADD" w:rsidP="00E52ADD"/>
    <w:p w14:paraId="4D6F8009" w14:textId="77777777" w:rsidR="00E52ADD" w:rsidRPr="00822BBF" w:rsidRDefault="00E52ADD" w:rsidP="00E52ADD">
      <w:pPr>
        <w:pStyle w:val="Heading1"/>
        <w:tabs>
          <w:tab w:val="clear" w:pos="0"/>
        </w:tabs>
        <w:rPr>
          <w:lang w:val="fr-FR"/>
        </w:rPr>
      </w:pPr>
      <w:r w:rsidRPr="00822BBF">
        <w:rPr>
          <w:lang w:val="fr-FR"/>
        </w:rPr>
        <w:t>Le présent document comprend également les annexes suivantes :</w:t>
      </w:r>
    </w:p>
    <w:p w14:paraId="498FC398" w14:textId="77777777" w:rsidR="00E52ADD" w:rsidRPr="00822BBF" w:rsidRDefault="00E52ADD" w:rsidP="00E52ADD">
      <w:pPr>
        <w:ind w:left="2127" w:hanging="1407"/>
        <w:rPr>
          <w:lang w:val="fr-FR"/>
        </w:rPr>
      </w:pPr>
      <w:r w:rsidRPr="00822BBF">
        <w:rPr>
          <w:lang w:val="fr-FR"/>
        </w:rPr>
        <w:t xml:space="preserve">Annexe I : </w:t>
      </w:r>
      <w:r w:rsidRPr="00822BBF">
        <w:rPr>
          <w:lang w:val="fr-FR"/>
        </w:rPr>
        <w:tab/>
        <w:t>Récapitulatif de l’état d’avancement et recommandation concernant chaque projet en cours présentant des questions en suspens portées à l'attention du Comité exécutif.</w:t>
      </w:r>
    </w:p>
    <w:p w14:paraId="2B4F6E65" w14:textId="77777777" w:rsidR="00E52ADD" w:rsidRPr="00822BBF" w:rsidRDefault="00E52ADD" w:rsidP="00E52ADD">
      <w:pPr>
        <w:ind w:left="2127" w:hanging="1407"/>
        <w:rPr>
          <w:lang w:val="fr-FR"/>
        </w:rPr>
      </w:pPr>
    </w:p>
    <w:p w14:paraId="214AD9CE" w14:textId="77777777" w:rsidR="00E52ADD" w:rsidRPr="00822BBF" w:rsidRDefault="00E52ADD" w:rsidP="00E52ADD">
      <w:pPr>
        <w:ind w:left="2127" w:hanging="1407"/>
        <w:rPr>
          <w:lang w:val="fr-FR"/>
        </w:rPr>
      </w:pPr>
      <w:r w:rsidRPr="00822BBF">
        <w:rPr>
          <w:lang w:val="fr-FR"/>
        </w:rPr>
        <w:t xml:space="preserve">Annexe II : </w:t>
      </w:r>
      <w:r w:rsidRPr="00822BBF">
        <w:rPr>
          <w:lang w:val="fr-FR"/>
        </w:rPr>
        <w:tab/>
        <w:t>Analyse du rapport périodique.</w:t>
      </w:r>
    </w:p>
    <w:p w14:paraId="4F9287C1" w14:textId="77777777" w:rsidR="00E52ADD" w:rsidRPr="00822BBF" w:rsidRDefault="00E52ADD" w:rsidP="00E52ADD">
      <w:pPr>
        <w:ind w:left="2127" w:hanging="1407"/>
        <w:rPr>
          <w:lang w:val="fr-FR"/>
        </w:rPr>
      </w:pPr>
    </w:p>
    <w:p w14:paraId="436EE1BD" w14:textId="77777777" w:rsidR="00E52ADD" w:rsidRPr="00822BBF" w:rsidRDefault="00E52ADD" w:rsidP="00E52ADD">
      <w:pPr>
        <w:pStyle w:val="Heading1"/>
        <w:keepNext/>
        <w:keepLines/>
        <w:numPr>
          <w:ilvl w:val="0"/>
          <w:numId w:val="0"/>
        </w:numPr>
        <w:ind w:left="1440" w:hanging="1440"/>
        <w:rPr>
          <w:b/>
          <w:caps/>
          <w:lang w:val="fr-FR"/>
        </w:rPr>
      </w:pPr>
      <w:r w:rsidRPr="00822BBF">
        <w:rPr>
          <w:b/>
          <w:caps/>
          <w:lang w:val="fr-FR"/>
        </w:rPr>
        <w:t>Partie I : Projets approuvés au titre des contributions ordinaires au Fonds multilatéral</w:t>
      </w:r>
    </w:p>
    <w:p w14:paraId="0FD6D559" w14:textId="77777777" w:rsidR="00E52ADD" w:rsidRPr="00822BBF" w:rsidRDefault="00E52ADD" w:rsidP="00E52ADD">
      <w:pPr>
        <w:rPr>
          <w:b/>
          <w:lang w:val="fr-FR"/>
        </w:rPr>
      </w:pPr>
      <w:r w:rsidRPr="00822BBF">
        <w:rPr>
          <w:b/>
          <w:lang w:val="fr-FR"/>
        </w:rPr>
        <w:t>Résumé de l’évolution de la mise en œuvre des projets pour 2020 et de la mise en œuvre cumulée</w:t>
      </w:r>
    </w:p>
    <w:p w14:paraId="3FC367F6" w14:textId="77777777" w:rsidR="00E52ADD" w:rsidRPr="00822BBF" w:rsidRDefault="00E52ADD" w:rsidP="00E52ADD">
      <w:pPr>
        <w:rPr>
          <w:lang w:val="fr-FR"/>
        </w:rPr>
      </w:pPr>
    </w:p>
    <w:p w14:paraId="46781DC9" w14:textId="77777777" w:rsidR="00E52ADD" w:rsidRPr="00822BBF" w:rsidRDefault="00E52ADD" w:rsidP="00822BBF">
      <w:pPr>
        <w:pStyle w:val="Heading1"/>
        <w:tabs>
          <w:tab w:val="clear" w:pos="0"/>
        </w:tabs>
        <w:spacing w:after="120"/>
        <w:rPr>
          <w:lang w:val="fr-FR"/>
        </w:rPr>
      </w:pPr>
      <w:r w:rsidRPr="00822BBF">
        <w:rPr>
          <w:lang w:val="fr-FR"/>
        </w:rPr>
        <w:t>La mise en œuvre des projets et des activités par le PNUD pour 2020 et les progrès cumulatifs depuis 1991 jusqu’au 31 décembre 2020 sont récapitulés comme suit :</w:t>
      </w:r>
    </w:p>
    <w:p w14:paraId="091B848F" w14:textId="3726021E" w:rsidR="00E52ADD" w:rsidRPr="00822BBF" w:rsidRDefault="00E52ADD" w:rsidP="00822BBF">
      <w:pPr>
        <w:pStyle w:val="Heading2"/>
        <w:spacing w:after="120"/>
        <w:rPr>
          <w:lang w:val="fr-FR"/>
        </w:rPr>
      </w:pPr>
      <w:r w:rsidRPr="00822BBF">
        <w:rPr>
          <w:b/>
          <w:bCs/>
          <w:lang w:val="fr-FR"/>
        </w:rPr>
        <w:t>Élimination</w:t>
      </w:r>
      <w:r w:rsidR="00F2646A" w:rsidRPr="00822BBF">
        <w:rPr>
          <w:lang w:val="fr-FR"/>
        </w:rPr>
        <w:t xml:space="preserve"> </w:t>
      </w:r>
      <w:r w:rsidRPr="00822BBF">
        <w:rPr>
          <w:lang w:val="fr-FR"/>
        </w:rPr>
        <w:t xml:space="preserve">: </w:t>
      </w:r>
      <w:bookmarkStart w:id="1" w:name="OLE_LINK1"/>
      <w:r w:rsidR="00F2646A" w:rsidRPr="00822BBF">
        <w:rPr>
          <w:lang w:val="fr-FR"/>
        </w:rPr>
        <w:t>e</w:t>
      </w:r>
      <w:r w:rsidRPr="00822BBF">
        <w:rPr>
          <w:lang w:val="fr-FR"/>
        </w:rPr>
        <w:t xml:space="preserve">n </w:t>
      </w:r>
      <w:bookmarkEnd w:id="1"/>
      <w:r w:rsidRPr="00822BBF">
        <w:rPr>
          <w:lang w:val="fr-FR"/>
        </w:rPr>
        <w:t xml:space="preserve">2020, </w:t>
      </w:r>
      <w:r w:rsidR="00F2646A" w:rsidRPr="00822BBF">
        <w:rPr>
          <w:lang w:val="fr-FR"/>
        </w:rPr>
        <w:t>418,1</w:t>
      </w:r>
      <w:r w:rsidRPr="00822BBF">
        <w:rPr>
          <w:lang w:val="fr-FR"/>
        </w:rPr>
        <w:t xml:space="preserve"> tonnes PAO</w:t>
      </w:r>
      <w:r w:rsidR="00F2646A" w:rsidRPr="00F7008B">
        <w:rPr>
          <w:rStyle w:val="FootnoteReference"/>
        </w:rPr>
        <w:footnoteReference w:id="6"/>
      </w:r>
      <w:r w:rsidRPr="00822BBF">
        <w:rPr>
          <w:lang w:val="fr-FR"/>
        </w:rPr>
        <w:t xml:space="preserve"> de SAO ont été él</w:t>
      </w:r>
      <w:r w:rsidR="00F2646A" w:rsidRPr="00822BBF">
        <w:rPr>
          <w:lang w:val="fr-FR"/>
        </w:rPr>
        <w:t xml:space="preserve">iminées de la consommation et 620,2 </w:t>
      </w:r>
      <w:r w:rsidRPr="00822BBF">
        <w:rPr>
          <w:lang w:val="fr-FR"/>
        </w:rPr>
        <w:t xml:space="preserve">tonnes PAO supplémentaires </w:t>
      </w:r>
      <w:r w:rsidR="00F2646A" w:rsidRPr="00822BBF">
        <w:rPr>
          <w:lang w:val="fr-FR"/>
        </w:rPr>
        <w:t xml:space="preserve">de SAO ont été approuvées pour </w:t>
      </w:r>
      <w:r w:rsidRPr="00822BBF">
        <w:rPr>
          <w:lang w:val="fr-FR"/>
        </w:rPr>
        <w:t xml:space="preserve">élimination. Depuis 1991, 67 872 tonnes PAO et 224 221 </w:t>
      </w:r>
      <w:proofErr w:type="spellStart"/>
      <w:r w:rsidRPr="00822BBF">
        <w:rPr>
          <w:lang w:val="fr-FR"/>
        </w:rPr>
        <w:t>t</w:t>
      </w:r>
      <w:r w:rsidR="00F2646A" w:rsidRPr="00822BBF">
        <w:rPr>
          <w:lang w:val="fr-FR"/>
        </w:rPr>
        <w:t>m</w:t>
      </w:r>
      <w:proofErr w:type="spellEnd"/>
      <w:r w:rsidR="00F2646A" w:rsidRPr="00822BBF">
        <w:rPr>
          <w:lang w:val="fr-FR"/>
        </w:rPr>
        <w:t xml:space="preserve"> CO</w:t>
      </w:r>
      <w:r w:rsidR="00CE0DB7" w:rsidRPr="00822BBF">
        <w:rPr>
          <w:vertAlign w:val="subscript"/>
          <w:lang w:val="fr-FR"/>
        </w:rPr>
        <w:t>2</w:t>
      </w:r>
      <w:r w:rsidRPr="00822BBF">
        <w:rPr>
          <w:lang w:val="fr-FR"/>
        </w:rPr>
        <w:t>-éq de consommation de substances rég</w:t>
      </w:r>
      <w:r w:rsidR="00E1301A" w:rsidRPr="00822BBF">
        <w:rPr>
          <w:lang w:val="fr-FR"/>
        </w:rPr>
        <w:t>lementées avaient été éliminées</w:t>
      </w:r>
      <w:r w:rsidRPr="00822BBF">
        <w:rPr>
          <w:lang w:val="fr-FR"/>
        </w:rPr>
        <w:t xml:space="preserve"> sur un total prévu de 69 033 tonnes PAO et 240</w:t>
      </w:r>
      <w:r w:rsidR="00E1301A" w:rsidRPr="00822BBF">
        <w:rPr>
          <w:lang w:val="fr-FR"/>
        </w:rPr>
        <w:t> </w:t>
      </w:r>
      <w:r w:rsidRPr="00822BBF">
        <w:rPr>
          <w:lang w:val="fr-FR"/>
        </w:rPr>
        <w:t>094</w:t>
      </w:r>
      <w:r w:rsidR="00E1301A" w:rsidRPr="00822BBF">
        <w:rPr>
          <w:lang w:val="fr-FR"/>
        </w:rPr>
        <w:t> </w:t>
      </w:r>
      <w:proofErr w:type="spellStart"/>
      <w:r w:rsidRPr="00822BBF">
        <w:rPr>
          <w:lang w:val="fr-FR"/>
        </w:rPr>
        <w:t>t</w:t>
      </w:r>
      <w:r w:rsidR="00F2646A" w:rsidRPr="00822BBF">
        <w:rPr>
          <w:lang w:val="fr-FR"/>
        </w:rPr>
        <w:t>m</w:t>
      </w:r>
      <w:proofErr w:type="spellEnd"/>
      <w:r w:rsidR="00F2646A" w:rsidRPr="00822BBF">
        <w:rPr>
          <w:lang w:val="fr-FR"/>
        </w:rPr>
        <w:t xml:space="preserve"> CO</w:t>
      </w:r>
      <w:r w:rsidR="004A3A8F" w:rsidRPr="00822BBF">
        <w:rPr>
          <w:vertAlign w:val="subscript"/>
          <w:lang w:val="fr-FR"/>
        </w:rPr>
        <w:t>2</w:t>
      </w:r>
      <w:r w:rsidRPr="00822BBF">
        <w:rPr>
          <w:lang w:val="fr-FR"/>
        </w:rPr>
        <w:t>-éq provenant des projets approuvés (à l'exclusion des projets annulés et transférés) ;</w:t>
      </w:r>
    </w:p>
    <w:p w14:paraId="7FB921EF" w14:textId="5C819DB8" w:rsidR="00E52ADD" w:rsidRPr="00822BBF" w:rsidRDefault="00E52ADD" w:rsidP="005F392F">
      <w:pPr>
        <w:pStyle w:val="Heading2"/>
        <w:rPr>
          <w:lang w:val="fr-FR"/>
        </w:rPr>
      </w:pPr>
      <w:r w:rsidRPr="00822BBF">
        <w:rPr>
          <w:b/>
          <w:bCs/>
          <w:lang w:val="fr-FR"/>
        </w:rPr>
        <w:lastRenderedPageBreak/>
        <w:t>Décaissements/approbations :</w:t>
      </w:r>
      <w:r w:rsidRPr="00822BBF">
        <w:rPr>
          <w:lang w:val="fr-FR"/>
        </w:rPr>
        <w:t xml:space="preserve"> En 2020, 27,7 millions de $US ont été décaissés et 21,9</w:t>
      </w:r>
      <w:r w:rsidR="00E1301A" w:rsidRPr="00822BBF">
        <w:rPr>
          <w:lang w:val="fr-FR"/>
        </w:rPr>
        <w:t> </w:t>
      </w:r>
      <w:r w:rsidRPr="00822BBF">
        <w:rPr>
          <w:lang w:val="fr-FR"/>
        </w:rPr>
        <w:t>millions de $</w:t>
      </w:r>
      <w:r w:rsidR="00F2646A" w:rsidRPr="00822BBF">
        <w:rPr>
          <w:lang w:val="fr-FR"/>
        </w:rPr>
        <w:t> </w:t>
      </w:r>
      <w:r w:rsidRPr="00822BBF">
        <w:rPr>
          <w:lang w:val="fr-FR"/>
        </w:rPr>
        <w:t>US devaient être décaissés sur la base du rapport périodique 2019, soit un taux de décaissement de 126 % par rapport à celui prévu.</w:t>
      </w:r>
      <w:r w:rsidR="00F2646A" w:rsidRPr="00822BBF">
        <w:rPr>
          <w:lang w:val="fr-FR"/>
        </w:rPr>
        <w:t xml:space="preserve"> Au total, 796,36 millions de $ </w:t>
      </w:r>
      <w:r w:rsidRPr="00822BBF">
        <w:rPr>
          <w:lang w:val="fr-FR"/>
        </w:rPr>
        <w:t>US ont été décaissés sur le total de 861,36 millions de $ US approuvés pour décaissement (à l'exclusion des coûts d'appui d'agence), ce qui représente un taux de décaissement de 92 %. En 2020, 30,21 millions de $ US ont été approuvés pour la mise en œuvre ;</w:t>
      </w:r>
    </w:p>
    <w:p w14:paraId="7C57D2AB" w14:textId="78227504" w:rsidR="00E52ADD" w:rsidRPr="00822BBF" w:rsidRDefault="00E1301A" w:rsidP="0017694D">
      <w:pPr>
        <w:pStyle w:val="Heading2"/>
        <w:rPr>
          <w:lang w:val="fr-FR"/>
        </w:rPr>
      </w:pPr>
      <w:r w:rsidRPr="00822BBF">
        <w:rPr>
          <w:b/>
          <w:lang w:val="fr-FR"/>
        </w:rPr>
        <w:t>Rapport coût-efficacité moyen</w:t>
      </w:r>
      <w:r w:rsidR="00822BBF">
        <w:rPr>
          <w:b/>
          <w:lang w:val="fr-FR"/>
        </w:rPr>
        <w:t xml:space="preserve"> (en ODP)</w:t>
      </w:r>
      <w:r w:rsidRPr="00822BBF">
        <w:rPr>
          <w:b/>
          <w:lang w:val="fr-FR"/>
        </w:rPr>
        <w:t> :</w:t>
      </w:r>
      <w:r w:rsidRPr="00822BBF">
        <w:rPr>
          <w:rStyle w:val="FootnoteReference"/>
          <w:bCs/>
          <w:lang w:val="fr-FR"/>
        </w:rPr>
        <w:t xml:space="preserve"> </w:t>
      </w:r>
      <w:r w:rsidRPr="00F7008B">
        <w:rPr>
          <w:rStyle w:val="FootnoteReference"/>
          <w:bCs/>
        </w:rPr>
        <w:footnoteReference w:id="7"/>
      </w:r>
      <w:r w:rsidRPr="00822BBF">
        <w:rPr>
          <w:b/>
          <w:lang w:val="fr-FR"/>
        </w:rPr>
        <w:t xml:space="preserve"> </w:t>
      </w:r>
      <w:r w:rsidRPr="00822BBF">
        <w:rPr>
          <w:lang w:val="fr-FR"/>
        </w:rPr>
        <w:t>d</w:t>
      </w:r>
      <w:r w:rsidR="00E52ADD" w:rsidRPr="00822BBF">
        <w:rPr>
          <w:lang w:val="fr-FR"/>
        </w:rPr>
        <w:t>epuis 1991, le rapport coût-efficacité moyen</w:t>
      </w:r>
      <w:r w:rsidRPr="00822BBF">
        <w:rPr>
          <w:b/>
          <w:lang w:val="fr-FR"/>
        </w:rPr>
        <w:t xml:space="preserve"> </w:t>
      </w:r>
      <w:r w:rsidR="00E52ADD" w:rsidRPr="00822BBF">
        <w:rPr>
          <w:lang w:val="fr-FR"/>
        </w:rPr>
        <w:t>des projets d'investissement approuvés menant à une réduction permanente de la consommation s'est établi à 10,97 $ US/kg. Le rapport coût-efficacité moyen des projets d'investissement par tonne PAO a été de 9,69 $ US/kg pour les projets achevés et de 68,60 $ US/kg pour les projets en cours;</w:t>
      </w:r>
      <w:r w:rsidR="00E52ADD" w:rsidRPr="00F7008B">
        <w:rPr>
          <w:rStyle w:val="FootnoteReference"/>
        </w:rPr>
        <w:footnoteReference w:id="8"/>
      </w:r>
      <w:r w:rsidR="00E52ADD" w:rsidRPr="00822BBF">
        <w:rPr>
          <w:lang w:val="fr-FR"/>
        </w:rPr>
        <w:t xml:space="preserve"> </w:t>
      </w:r>
    </w:p>
    <w:p w14:paraId="5039EC45" w14:textId="21C4CAFC" w:rsidR="00E52ADD" w:rsidRPr="00822BBF" w:rsidRDefault="00E52ADD" w:rsidP="00DB3604">
      <w:pPr>
        <w:pStyle w:val="Heading2"/>
        <w:rPr>
          <w:lang w:val="fr-FR"/>
        </w:rPr>
      </w:pPr>
      <w:r w:rsidRPr="00822BBF">
        <w:rPr>
          <w:b/>
          <w:bCs/>
          <w:lang w:val="fr-FR"/>
        </w:rPr>
        <w:t>Nombre de projets menés à terme :</w:t>
      </w:r>
      <w:r w:rsidRPr="00822BBF">
        <w:rPr>
          <w:lang w:val="fr-FR"/>
        </w:rPr>
        <w:t xml:space="preserve"> En 2020, 34 projets ont été achevés. Depuis 1991,</w:t>
      </w:r>
      <w:r w:rsidR="00E1301A" w:rsidRPr="00822BBF">
        <w:rPr>
          <w:lang w:val="fr-FR"/>
        </w:rPr>
        <w:t xml:space="preserve"> </w:t>
      </w:r>
      <w:r w:rsidRPr="00822BBF">
        <w:rPr>
          <w:lang w:val="fr-FR"/>
        </w:rPr>
        <w:t>2 379 projets ont été menés à bien sur les 2 526 projets approuvés (à l'exclusion des projets clos ou transférés), ce qui représente un taux d’achèvement de 94 % ;</w:t>
      </w:r>
    </w:p>
    <w:p w14:paraId="592A0089" w14:textId="77777777" w:rsidR="00E52ADD" w:rsidRPr="00822BBF" w:rsidRDefault="00E52ADD" w:rsidP="00E52ADD">
      <w:pPr>
        <w:pStyle w:val="Heading2"/>
        <w:numPr>
          <w:ilvl w:val="1"/>
          <w:numId w:val="1"/>
        </w:numPr>
        <w:tabs>
          <w:tab w:val="clear" w:pos="0"/>
        </w:tabs>
        <w:rPr>
          <w:lang w:val="fr-FR"/>
        </w:rPr>
      </w:pPr>
      <w:r w:rsidRPr="00822BBF">
        <w:rPr>
          <w:b/>
          <w:lang w:val="fr-FR"/>
        </w:rPr>
        <w:t xml:space="preserve">Vitesse d'exécution des projets d'investissement : </w:t>
      </w:r>
      <w:r w:rsidRPr="00822BBF">
        <w:rPr>
          <w:lang w:val="fr-FR"/>
        </w:rPr>
        <w:t>Les projets achevés en 2020 l'ont été en moyenne 37 mois après leur approbation. Depuis 1991, la durée moyenne d'achèvement des projets d'investissement est de 34 mois après leur approbation. Les premiers décaissements ont commencé en moyenne 13 mois après leur approbation ;</w:t>
      </w:r>
    </w:p>
    <w:p w14:paraId="3B637012" w14:textId="15ABEC22" w:rsidR="00E52ADD" w:rsidRPr="00822BBF" w:rsidRDefault="00E52ADD" w:rsidP="00E52ADD">
      <w:pPr>
        <w:pStyle w:val="Heading2"/>
        <w:numPr>
          <w:ilvl w:val="1"/>
          <w:numId w:val="1"/>
        </w:numPr>
        <w:tabs>
          <w:tab w:val="clear" w:pos="0"/>
        </w:tabs>
        <w:rPr>
          <w:lang w:val="fr-FR"/>
        </w:rPr>
      </w:pPr>
      <w:r w:rsidRPr="00822BBF">
        <w:rPr>
          <w:b/>
          <w:lang w:val="fr-FR"/>
        </w:rPr>
        <w:t>Vitesse d'exécution des projets</w:t>
      </w:r>
      <w:r w:rsidRPr="00822BBF">
        <w:rPr>
          <w:lang w:val="fr-FR"/>
        </w:rPr>
        <w:t xml:space="preserve"> </w:t>
      </w:r>
      <w:r w:rsidRPr="00822BBF">
        <w:rPr>
          <w:b/>
          <w:lang w:val="fr-FR"/>
        </w:rPr>
        <w:t>autres que d'investissement :</w:t>
      </w:r>
      <w:r w:rsidRPr="00822BBF">
        <w:rPr>
          <w:lang w:val="fr-FR"/>
        </w:rPr>
        <w:t xml:space="preserve"> Les projets achevés en 2020 l'ont été en moyenne 27 mois après leur approbation. Depuis 1991, le délai moyen d'achèvement des projets autres que d'investissement est de 39 mois après leur approbation. En moyenne, les premiers décaissements de ces projets ont eu lieu 13 mois après leur approbation ;</w:t>
      </w:r>
    </w:p>
    <w:p w14:paraId="70CF3662" w14:textId="65E58394" w:rsidR="00E52ADD" w:rsidRPr="00822BBF" w:rsidRDefault="00E52ADD" w:rsidP="00206502">
      <w:pPr>
        <w:pStyle w:val="Heading2"/>
        <w:rPr>
          <w:lang w:val="fr-FR"/>
        </w:rPr>
      </w:pPr>
      <w:r w:rsidRPr="00822BBF">
        <w:rPr>
          <w:b/>
          <w:bCs/>
          <w:lang w:val="fr-FR"/>
        </w:rPr>
        <w:t>Préparation de projets :</w:t>
      </w:r>
      <w:r w:rsidRPr="00822BBF">
        <w:rPr>
          <w:lang w:val="fr-FR"/>
        </w:rPr>
        <w:t xml:space="preserve"> Des </w:t>
      </w:r>
      <w:r w:rsidR="00E1301A" w:rsidRPr="00822BBF">
        <w:rPr>
          <w:lang w:val="fr-FR"/>
        </w:rPr>
        <w:t>540</w:t>
      </w:r>
      <w:r w:rsidRPr="00822BBF">
        <w:rPr>
          <w:lang w:val="fr-FR"/>
        </w:rPr>
        <w:t xml:space="preserve"> activités de préparation de projet approuvées jusqu’à la fin</w:t>
      </w:r>
      <w:r w:rsidR="00E1301A" w:rsidRPr="00822BBF">
        <w:rPr>
          <w:lang w:val="fr-FR"/>
        </w:rPr>
        <w:t xml:space="preserve"> de 2020, 522 ont été achevées et </w:t>
      </w:r>
      <w:r w:rsidRPr="00822BBF">
        <w:rPr>
          <w:lang w:val="fr-FR"/>
        </w:rPr>
        <w:t>18 </w:t>
      </w:r>
      <w:r w:rsidR="00E1301A" w:rsidRPr="00822BBF">
        <w:rPr>
          <w:lang w:val="fr-FR"/>
        </w:rPr>
        <w:t xml:space="preserve">sont </w:t>
      </w:r>
      <w:r w:rsidRPr="00822BBF">
        <w:rPr>
          <w:lang w:val="fr-FR"/>
        </w:rPr>
        <w:t xml:space="preserve">en cours. En 2020, quatre activités de préparation de projets ont été </w:t>
      </w:r>
      <w:r w:rsidR="00E1301A" w:rsidRPr="00822BBF">
        <w:rPr>
          <w:lang w:val="fr-FR"/>
        </w:rPr>
        <w:t xml:space="preserve">menées à terme </w:t>
      </w:r>
      <w:r w:rsidRPr="00822BBF">
        <w:rPr>
          <w:lang w:val="fr-FR"/>
        </w:rPr>
        <w:t>;</w:t>
      </w:r>
    </w:p>
    <w:p w14:paraId="58663141" w14:textId="7479D11D" w:rsidR="00E52ADD" w:rsidRPr="00822BBF" w:rsidRDefault="00E52ADD" w:rsidP="00696730">
      <w:pPr>
        <w:pStyle w:val="Heading2"/>
        <w:numPr>
          <w:ilvl w:val="1"/>
          <w:numId w:val="1"/>
        </w:numPr>
        <w:tabs>
          <w:tab w:val="clear" w:pos="0"/>
        </w:tabs>
        <w:spacing w:after="120"/>
        <w:rPr>
          <w:lang w:val="fr-FR"/>
        </w:rPr>
      </w:pPr>
      <w:r w:rsidRPr="00822BBF">
        <w:rPr>
          <w:b/>
          <w:bCs/>
          <w:lang w:val="fr-FR"/>
        </w:rPr>
        <w:t>Délais de mise en œuvre :</w:t>
      </w:r>
      <w:r w:rsidRPr="00822BBF">
        <w:rPr>
          <w:lang w:val="fr-FR"/>
        </w:rPr>
        <w:t xml:space="preserve"> Au total, 147 projets étaient en cours de mise en œuvre à fin 2020, connaissant, en moyenne, un retard de sept mois. Treize de ces projets sont classés </w:t>
      </w:r>
      <w:r w:rsidR="00E1301A" w:rsidRPr="00822BBF">
        <w:rPr>
          <w:lang w:val="fr-FR"/>
        </w:rPr>
        <w:t>comme</w:t>
      </w:r>
      <w:r w:rsidRPr="00822BBF">
        <w:rPr>
          <w:lang w:val="fr-FR"/>
        </w:rPr>
        <w:t xml:space="preserve"> « projets </w:t>
      </w:r>
      <w:r w:rsidR="00E1301A" w:rsidRPr="00822BBF">
        <w:rPr>
          <w:lang w:val="fr-FR"/>
        </w:rPr>
        <w:t>présentant</w:t>
      </w:r>
      <w:r w:rsidRPr="00822BBF">
        <w:rPr>
          <w:lang w:val="fr-FR"/>
        </w:rPr>
        <w:t xml:space="preserve"> des retards de mise en œuvre »</w:t>
      </w:r>
      <w:r w:rsidRPr="00F7008B">
        <w:rPr>
          <w:rStyle w:val="FootnoteReference"/>
        </w:rPr>
        <w:footnoteReference w:id="9"/>
      </w:r>
      <w:r w:rsidRPr="00822BBF">
        <w:rPr>
          <w:lang w:val="fr-FR"/>
        </w:rPr>
        <w:t xml:space="preserve"> qui sont soumis aux procédures d'annulation de projet (</w:t>
      </w:r>
      <w:r w:rsidR="00E1301A" w:rsidRPr="00822BBF">
        <w:rPr>
          <w:lang w:val="fr-FR"/>
        </w:rPr>
        <w:t>car les projets de démonstration, les</w:t>
      </w:r>
      <w:r w:rsidRPr="00822BBF">
        <w:rPr>
          <w:lang w:val="fr-FR"/>
        </w:rPr>
        <w:t xml:space="preserve"> préparation</w:t>
      </w:r>
      <w:r w:rsidR="00E1301A" w:rsidRPr="00822BBF">
        <w:rPr>
          <w:lang w:val="fr-FR"/>
        </w:rPr>
        <w:t>s</w:t>
      </w:r>
      <w:r w:rsidRPr="00822BBF">
        <w:rPr>
          <w:lang w:val="fr-FR"/>
        </w:rPr>
        <w:t xml:space="preserve"> de projet</w:t>
      </w:r>
      <w:r w:rsidR="00E1301A" w:rsidRPr="00822BBF">
        <w:rPr>
          <w:lang w:val="fr-FR"/>
        </w:rPr>
        <w:t>s</w:t>
      </w:r>
      <w:r w:rsidRPr="00822BBF">
        <w:rPr>
          <w:lang w:val="fr-FR"/>
        </w:rPr>
        <w:t xml:space="preserve"> et le </w:t>
      </w:r>
      <w:r w:rsidR="00E1301A" w:rsidRPr="00822BBF">
        <w:rPr>
          <w:lang w:val="fr-FR"/>
        </w:rPr>
        <w:t>renforcement des institutions</w:t>
      </w:r>
      <w:r w:rsidRPr="00822BBF">
        <w:rPr>
          <w:lang w:val="fr-FR"/>
        </w:rPr>
        <w:t xml:space="preserve"> ne sont pas soumis à ces procédures) ; et</w:t>
      </w:r>
    </w:p>
    <w:p w14:paraId="637C7AEE" w14:textId="529576B8" w:rsidR="00E52ADD" w:rsidRPr="00822BBF" w:rsidRDefault="00E52ADD" w:rsidP="00696730">
      <w:pPr>
        <w:pStyle w:val="Heading2"/>
        <w:numPr>
          <w:ilvl w:val="1"/>
          <w:numId w:val="1"/>
        </w:numPr>
        <w:tabs>
          <w:tab w:val="clear" w:pos="0"/>
        </w:tabs>
        <w:spacing w:after="120"/>
        <w:rPr>
          <w:lang w:val="fr-FR"/>
        </w:rPr>
      </w:pPr>
      <w:r w:rsidRPr="00822BBF">
        <w:rPr>
          <w:b/>
          <w:lang w:val="fr-FR"/>
        </w:rPr>
        <w:t>Accords pluriannuels (APA)</w:t>
      </w:r>
      <w:r w:rsidRPr="00822BBF">
        <w:rPr>
          <w:lang w:val="fr-FR"/>
        </w:rPr>
        <w:t xml:space="preserve"> : En 2020, 51 accords pluriannuels </w:t>
      </w:r>
      <w:r w:rsidR="00E1301A" w:rsidRPr="00822BBF">
        <w:rPr>
          <w:lang w:val="fr-FR"/>
        </w:rPr>
        <w:t>portant sur</w:t>
      </w:r>
      <w:r w:rsidRPr="00822BBF">
        <w:rPr>
          <w:lang w:val="fr-FR"/>
        </w:rPr>
        <w:t xml:space="preserve"> les plans de gestion de l'élimination des HCFC (PGEH) étaient en cours de mise en œuvre. Depuis 1991, 148 accords pluriannuels ont été approuvés et 97 accords pluriannuels ont été achevés, ce qui représente un taux d'achèvement de 66 %. </w:t>
      </w:r>
    </w:p>
    <w:p w14:paraId="3984E104" w14:textId="77777777" w:rsidR="00E52ADD" w:rsidRPr="00822BBF" w:rsidRDefault="00E52ADD" w:rsidP="00E52ADD">
      <w:pPr>
        <w:pStyle w:val="a--"/>
        <w:tabs>
          <w:tab w:val="clear" w:pos="-720"/>
          <w:tab w:val="clear" w:pos="0"/>
          <w:tab w:val="clear" w:pos="720"/>
          <w:tab w:val="clear" w:pos="1440"/>
          <w:tab w:val="clear" w:pos="2160"/>
          <w:tab w:val="clear" w:pos="2880"/>
          <w:tab w:val="clear" w:pos="3600"/>
        </w:tabs>
        <w:suppressAutoHyphens w:val="0"/>
        <w:rPr>
          <w:sz w:val="22"/>
          <w:szCs w:val="22"/>
          <w:lang w:val="fr-FR"/>
        </w:rPr>
      </w:pPr>
      <w:r w:rsidRPr="00F7008B">
        <w:rPr>
          <w:sz w:val="22"/>
          <w:szCs w:val="22"/>
          <w:lang w:val="fr"/>
        </w:rPr>
        <w:t>Progression de la mise en œuvre de projets en 2020</w:t>
      </w:r>
    </w:p>
    <w:p w14:paraId="39B92727" w14:textId="77777777" w:rsidR="00E52ADD" w:rsidRPr="00822BBF" w:rsidRDefault="00E52ADD" w:rsidP="00E52ADD">
      <w:pPr>
        <w:pStyle w:val="a--"/>
        <w:tabs>
          <w:tab w:val="clear" w:pos="-720"/>
          <w:tab w:val="clear" w:pos="0"/>
          <w:tab w:val="clear" w:pos="720"/>
          <w:tab w:val="clear" w:pos="1440"/>
          <w:tab w:val="clear" w:pos="2160"/>
          <w:tab w:val="clear" w:pos="2880"/>
          <w:tab w:val="clear" w:pos="3600"/>
        </w:tabs>
        <w:suppressAutoHyphens w:val="0"/>
        <w:rPr>
          <w:sz w:val="22"/>
          <w:szCs w:val="22"/>
          <w:lang w:val="fr-FR"/>
        </w:rPr>
      </w:pPr>
    </w:p>
    <w:p w14:paraId="0F1FCEB3" w14:textId="2FAFADDF" w:rsidR="00C31AF1" w:rsidRPr="00822BBF" w:rsidRDefault="00C31AF1" w:rsidP="00C31AF1">
      <w:pPr>
        <w:pStyle w:val="Heading1"/>
        <w:rPr>
          <w:lang w:val="fr-FR"/>
        </w:rPr>
      </w:pPr>
      <w:r w:rsidRPr="00822BBF">
        <w:rPr>
          <w:lang w:val="fr-FR"/>
        </w:rPr>
        <w:t xml:space="preserve">Suite au processus d'examen, un certain nombre de questions ont été discutées et traitées de manière satisfaisante, à l'exception de 13 projets classés comme projets </w:t>
      </w:r>
      <w:r w:rsidR="00E1301A" w:rsidRPr="00822BBF">
        <w:rPr>
          <w:lang w:val="fr-FR"/>
        </w:rPr>
        <w:t>présentant</w:t>
      </w:r>
      <w:r w:rsidRPr="00822BBF">
        <w:rPr>
          <w:lang w:val="fr-FR"/>
        </w:rPr>
        <w:t xml:space="preserve"> des retards de mise en œuvre (y </w:t>
      </w:r>
      <w:r w:rsidRPr="00822BBF">
        <w:rPr>
          <w:lang w:val="fr-FR"/>
        </w:rPr>
        <w:lastRenderedPageBreak/>
        <w:t>compris 10 projets liés à des composantes d'accords pluriannuels qui sont soumis à des procédures d'annulation de projet, conformément à la décision 84/ 45(c) ; un projet d'assistance technique, un projet d'investissement dans les HFC et une activité habilitante pour l'élimination des HFC dans les pays visés à l'article 5 (« activités habilitantes »). L'annexe I au présent document présente les projets catégorisés comme présentant des retards de mise en œuvre ainsi que la recommandation du Secrétariat demandant la présentation d'un rapport à la 90</w:t>
      </w:r>
      <w:r w:rsidR="00A74F45" w:rsidRPr="00822BBF">
        <w:rPr>
          <w:vertAlign w:val="superscript"/>
          <w:lang w:val="fr-FR" w:eastAsia="fr"/>
        </w:rPr>
        <w:t>e</w:t>
      </w:r>
      <w:r w:rsidRPr="00822BBF">
        <w:rPr>
          <w:lang w:val="fr-FR"/>
        </w:rPr>
        <w:t xml:space="preserve"> réunion.</w:t>
      </w:r>
    </w:p>
    <w:p w14:paraId="52496019" w14:textId="0DBB43A2" w:rsidR="00E52ADD" w:rsidRPr="00822BBF" w:rsidRDefault="00E52ADD" w:rsidP="00E52ADD">
      <w:pPr>
        <w:pStyle w:val="Heading1"/>
        <w:tabs>
          <w:tab w:val="clear" w:pos="0"/>
        </w:tabs>
        <w:rPr>
          <w:lang w:val="fr-FR"/>
        </w:rPr>
      </w:pPr>
      <w:r w:rsidRPr="00822BBF">
        <w:rPr>
          <w:lang w:val="fr-FR"/>
        </w:rPr>
        <w:t>De plus, un problème a été identifié concernant la préparation de projet d'un PGEH. Cette question figure également en annexe I au présent document. Pour chaque projet en cours, une brève description de l’état d’avancement de la mise en œuvre et des questions en suspens est donnée et une recommandation formulée aux fins d’examen par le Comité exécutif.</w:t>
      </w:r>
    </w:p>
    <w:p w14:paraId="63F88C53" w14:textId="689071F8" w:rsidR="006B0822" w:rsidRPr="00822BBF" w:rsidRDefault="00E52ADD" w:rsidP="005514B9">
      <w:pPr>
        <w:pStyle w:val="Heading1"/>
        <w:widowControl w:val="0"/>
        <w:rPr>
          <w:lang w:val="fr-FR"/>
        </w:rPr>
      </w:pPr>
      <w:r w:rsidRPr="00822BBF">
        <w:rPr>
          <w:lang w:val="fr-FR"/>
        </w:rPr>
        <w:t>Les détails de l'avancement de la mise en œuvre des projets associés aux PGEH pour l'Angola,</w:t>
      </w:r>
      <w:r w:rsidR="006B0822" w:rsidRPr="00F7008B">
        <w:rPr>
          <w:rStyle w:val="FootnoteReference"/>
        </w:rPr>
        <w:footnoteReference w:id="10"/>
      </w:r>
      <w:r w:rsidRPr="00822BBF">
        <w:rPr>
          <w:lang w:val="fr-FR"/>
        </w:rPr>
        <w:t xml:space="preserve"> le Brésil,</w:t>
      </w:r>
      <w:r w:rsidR="0066613D" w:rsidRPr="00F7008B">
        <w:rPr>
          <w:rStyle w:val="FootnoteReference"/>
        </w:rPr>
        <w:footnoteReference w:id="11"/>
      </w:r>
      <w:r w:rsidRPr="00822BBF">
        <w:rPr>
          <w:lang w:val="fr-FR"/>
        </w:rPr>
        <w:t xml:space="preserve"> le Chili,</w:t>
      </w:r>
      <w:r w:rsidR="0066613D" w:rsidRPr="00F7008B">
        <w:rPr>
          <w:rStyle w:val="FootnoteReference"/>
        </w:rPr>
        <w:footnoteReference w:id="12"/>
      </w:r>
      <w:r w:rsidRPr="00822BBF">
        <w:rPr>
          <w:lang w:val="fr-FR"/>
        </w:rPr>
        <w:t xml:space="preserve"> la Chine,</w:t>
      </w:r>
      <w:r w:rsidR="0066613D" w:rsidRPr="00F7008B">
        <w:rPr>
          <w:rStyle w:val="FootnoteReference"/>
        </w:rPr>
        <w:footnoteReference w:id="13"/>
      </w:r>
      <w:r w:rsidRPr="00822BBF">
        <w:rPr>
          <w:lang w:val="fr-FR"/>
        </w:rPr>
        <w:t xml:space="preserve"> la Colombie,</w:t>
      </w:r>
      <w:r w:rsidR="0066613D" w:rsidRPr="00F7008B">
        <w:rPr>
          <w:rStyle w:val="FootnoteReference"/>
        </w:rPr>
        <w:footnoteReference w:id="14"/>
      </w:r>
      <w:r w:rsidRPr="00822BBF">
        <w:rPr>
          <w:lang w:val="fr-FR"/>
        </w:rPr>
        <w:t xml:space="preserve"> la République démocratique du Congo,</w:t>
      </w:r>
      <w:r w:rsidR="0066613D" w:rsidRPr="00F7008B">
        <w:rPr>
          <w:rStyle w:val="FootnoteReference"/>
        </w:rPr>
        <w:footnoteReference w:id="15"/>
      </w:r>
      <w:r w:rsidRPr="00822BBF">
        <w:rPr>
          <w:lang w:val="fr-FR"/>
        </w:rPr>
        <w:t xml:space="preserve"> l'Égypte,</w:t>
      </w:r>
      <w:r w:rsidR="0066613D" w:rsidRPr="00F7008B">
        <w:rPr>
          <w:rStyle w:val="FootnoteReference"/>
        </w:rPr>
        <w:footnoteReference w:id="16"/>
      </w:r>
      <w:r w:rsidRPr="00822BBF">
        <w:rPr>
          <w:lang w:val="fr-FR"/>
        </w:rPr>
        <w:t xml:space="preserve"> les Fidji,</w:t>
      </w:r>
      <w:r w:rsidR="00B93FAE" w:rsidRPr="00F7008B">
        <w:rPr>
          <w:rStyle w:val="FootnoteReference"/>
        </w:rPr>
        <w:footnoteReference w:id="17"/>
      </w:r>
      <w:r w:rsidRPr="00822BBF">
        <w:rPr>
          <w:lang w:val="fr-FR"/>
        </w:rPr>
        <w:t xml:space="preserve"> la Géorgie,</w:t>
      </w:r>
      <w:r w:rsidR="00B93FAE" w:rsidRPr="00F7008B">
        <w:rPr>
          <w:rStyle w:val="FootnoteReference"/>
        </w:rPr>
        <w:footnoteReference w:id="18"/>
      </w:r>
      <w:r w:rsidRPr="00822BBF">
        <w:rPr>
          <w:lang w:val="fr-FR"/>
        </w:rPr>
        <w:t xml:space="preserve"> l'Indonésie,</w:t>
      </w:r>
      <w:r w:rsidR="00306469" w:rsidRPr="00F7008B">
        <w:rPr>
          <w:rStyle w:val="FootnoteReference"/>
        </w:rPr>
        <w:footnoteReference w:id="19"/>
      </w:r>
      <w:r w:rsidRPr="00822BBF">
        <w:rPr>
          <w:lang w:val="fr-FR"/>
        </w:rPr>
        <w:t xml:space="preserve"> la Malaisie,</w:t>
      </w:r>
      <w:r w:rsidR="001E1E4C" w:rsidRPr="00F7008B">
        <w:rPr>
          <w:rStyle w:val="FootnoteReference"/>
        </w:rPr>
        <w:footnoteReference w:id="20"/>
      </w:r>
      <w:r w:rsidRPr="00822BBF">
        <w:rPr>
          <w:lang w:val="fr-FR"/>
        </w:rPr>
        <w:t xml:space="preserve"> le Nigéria,</w:t>
      </w:r>
      <w:r w:rsidR="001E1E4C" w:rsidRPr="00F7008B">
        <w:rPr>
          <w:rStyle w:val="FootnoteReference"/>
        </w:rPr>
        <w:footnoteReference w:id="21"/>
      </w:r>
      <w:r w:rsidR="00822BBF" w:rsidRPr="00822BBF">
        <w:rPr>
          <w:lang w:val="fr-FR"/>
        </w:rPr>
        <w:t>la République</w:t>
      </w:r>
      <w:r w:rsidRPr="00822BBF">
        <w:rPr>
          <w:lang w:val="fr-FR"/>
        </w:rPr>
        <w:t xml:space="preserve"> de Moldova</w:t>
      </w:r>
      <w:r w:rsidR="001E1E4C" w:rsidRPr="00F7008B">
        <w:rPr>
          <w:rStyle w:val="FootnoteReference"/>
        </w:rPr>
        <w:footnoteReference w:id="22"/>
      </w:r>
      <w:r w:rsidR="00E1301A" w:rsidRPr="00822BBF">
        <w:rPr>
          <w:lang w:val="fr-FR"/>
        </w:rPr>
        <w:t xml:space="preserve"> et le Timor</w:t>
      </w:r>
      <w:r w:rsidR="00696730">
        <w:rPr>
          <w:lang w:val="fr-FR"/>
        </w:rPr>
        <w:noBreakHyphen/>
      </w:r>
      <w:r w:rsidR="00E1301A" w:rsidRPr="00822BBF">
        <w:rPr>
          <w:lang w:val="fr-FR"/>
        </w:rPr>
        <w:t>Leste</w:t>
      </w:r>
      <w:r w:rsidR="001E1E4C" w:rsidRPr="00F7008B">
        <w:rPr>
          <w:rStyle w:val="FootnoteReference"/>
        </w:rPr>
        <w:footnoteReference w:id="23"/>
      </w:r>
      <w:r w:rsidRPr="00822BBF">
        <w:rPr>
          <w:lang w:val="fr-FR"/>
        </w:rPr>
        <w:t xml:space="preserve"> </w:t>
      </w:r>
      <w:r w:rsidR="00E1301A" w:rsidRPr="00822BBF">
        <w:rPr>
          <w:lang w:val="fr-FR"/>
        </w:rPr>
        <w:t xml:space="preserve">les </w:t>
      </w:r>
      <w:r w:rsidRPr="00822BBF">
        <w:rPr>
          <w:lang w:val="fr-FR"/>
        </w:rPr>
        <w:t>rapports sur les projets comportant des exigences de rapport spécifiques</w:t>
      </w:r>
      <w:r w:rsidR="00583126" w:rsidRPr="00F7008B">
        <w:rPr>
          <w:rStyle w:val="FootnoteReference"/>
        </w:rPr>
        <w:footnoteReference w:id="24"/>
      </w:r>
      <w:r w:rsidRPr="00822BBF">
        <w:rPr>
          <w:lang w:val="fr-FR"/>
        </w:rPr>
        <w:t xml:space="preserve"> concernant le Brésil (élimination des SAO) et le Ghana (PGEH), ont été présentés à la 88</w:t>
      </w:r>
      <w:r w:rsidR="00AC5741" w:rsidRPr="00822BBF">
        <w:rPr>
          <w:vertAlign w:val="superscript"/>
          <w:lang w:val="fr-FR"/>
        </w:rPr>
        <w:t>e</w:t>
      </w:r>
      <w:r w:rsidRPr="00822BBF">
        <w:rPr>
          <w:lang w:val="fr-FR"/>
        </w:rPr>
        <w:t xml:space="preserve"> réunion. Des recommandations concernant les questions en suspens pour ces projets, y compris l’approbation des demandes de prolongation, le cas échéant, font l'objet d'une discussion dans les sections y relatives de ces documents. Les questions relatives aux PGEH du Bangladesh, du Costa Rica, du Guyana, de la République islamique d'Iran, du Mali, de la Mauritanie et du Soudan du Sud sont abordées dans le document portant sur les retards de soumission des tranches.</w:t>
      </w:r>
      <w:r w:rsidR="00583126" w:rsidRPr="003E60C5">
        <w:rPr>
          <w:rStyle w:val="FootnoteReference"/>
        </w:rPr>
        <w:footnoteReference w:id="25"/>
      </w:r>
    </w:p>
    <w:p w14:paraId="512C45E9" w14:textId="7DA9A419" w:rsidR="00E52ADD" w:rsidRPr="00822BBF" w:rsidRDefault="00E52ADD" w:rsidP="00822BBF">
      <w:pPr>
        <w:pStyle w:val="Heading1"/>
        <w:tabs>
          <w:tab w:val="clear" w:pos="0"/>
        </w:tabs>
        <w:spacing w:after="120"/>
        <w:rPr>
          <w:lang w:val="fr-FR"/>
        </w:rPr>
      </w:pPr>
      <w:r w:rsidRPr="00822BBF">
        <w:rPr>
          <w:lang w:val="fr-FR"/>
        </w:rPr>
        <w:t xml:space="preserve">Sur les 102 projets en cours (sans compter ceux liés au renforcement des institutions et les préparations de projet), 30 ont vu leur date d’achèvement prévue </w:t>
      </w:r>
      <w:r w:rsidR="00E1301A" w:rsidRPr="00822BBF">
        <w:rPr>
          <w:lang w:val="fr-FR"/>
        </w:rPr>
        <w:t>ajournée</w:t>
      </w:r>
      <w:r w:rsidRPr="00822BBF">
        <w:rPr>
          <w:lang w:val="fr-FR"/>
        </w:rPr>
        <w:t xml:space="preserve"> depuis le rapport périodique de 2019.</w:t>
      </w:r>
    </w:p>
    <w:p w14:paraId="7CA2C872" w14:textId="3FCF3FAF" w:rsidR="00504DF1" w:rsidRPr="00822BBF" w:rsidRDefault="00AA5A3E" w:rsidP="00822BBF">
      <w:pPr>
        <w:pStyle w:val="Heading1"/>
        <w:spacing w:after="120"/>
        <w:rPr>
          <w:lang w:val="fr-FR"/>
        </w:rPr>
      </w:pPr>
      <w:r w:rsidRPr="00822BBF">
        <w:rPr>
          <w:lang w:val="fr-FR"/>
        </w:rPr>
        <w:t>Conformément à la décision 82/11(b),</w:t>
      </w:r>
      <w:r w:rsidRPr="00F7008B">
        <w:rPr>
          <w:rStyle w:val="FootnoteReference"/>
        </w:rPr>
        <w:footnoteReference w:id="26"/>
      </w:r>
      <w:r w:rsidRPr="00822BBF">
        <w:rPr>
          <w:lang w:val="fr-FR"/>
        </w:rPr>
        <w:t xml:space="preserve"> Le PNUD a demandé la prolongation de la durée d'un certain nombre de PGEH au-delà du 31 décembre 2022 ; ceux qui n'ont pas été soumis dans le cadre des demandes de tranches sont traités dans les rapports sur les projets comportant des exigences de rapport spécifiques.</w:t>
      </w:r>
      <w:r w:rsidR="00583126" w:rsidRPr="00F7008B">
        <w:rPr>
          <w:rStyle w:val="FootnoteReference"/>
        </w:rPr>
        <w:footnoteReference w:id="27"/>
      </w:r>
    </w:p>
    <w:p w14:paraId="28E780E7" w14:textId="4857B7CC" w:rsidR="00E52ADD" w:rsidRPr="00822BBF" w:rsidRDefault="00E52ADD" w:rsidP="005514B9">
      <w:pPr>
        <w:pStyle w:val="Heading1"/>
        <w:widowControl w:val="0"/>
        <w:tabs>
          <w:tab w:val="clear" w:pos="0"/>
        </w:tabs>
        <w:rPr>
          <w:lang w:val="fr-FR"/>
        </w:rPr>
      </w:pPr>
      <w:r w:rsidRPr="00822BBF">
        <w:rPr>
          <w:lang w:val="fr-FR"/>
        </w:rPr>
        <w:t>Conformément à la décision 82/11(c)(ii), le Secrétariat a noté que le renouvellement d</w:t>
      </w:r>
      <w:r w:rsidR="00E1301A" w:rsidRPr="00822BBF">
        <w:rPr>
          <w:lang w:val="fr-FR"/>
        </w:rPr>
        <w:t>es</w:t>
      </w:r>
      <w:r w:rsidRPr="00822BBF">
        <w:rPr>
          <w:lang w:val="fr-FR"/>
        </w:rPr>
        <w:t xml:space="preserve"> projet</w:t>
      </w:r>
      <w:r w:rsidR="00E1301A" w:rsidRPr="00822BBF">
        <w:rPr>
          <w:lang w:val="fr-FR"/>
        </w:rPr>
        <w:t>s</w:t>
      </w:r>
      <w:r w:rsidRPr="00822BBF">
        <w:rPr>
          <w:lang w:val="fr-FR"/>
        </w:rPr>
        <w:t xml:space="preserve"> de renforcement des institutions pour l'Argentine, la Chine et la République bolivarienne du Venezuela n'avait </w:t>
      </w:r>
      <w:r w:rsidRPr="00822BBF">
        <w:rPr>
          <w:lang w:val="fr-FR"/>
        </w:rPr>
        <w:lastRenderedPageBreak/>
        <w:t>pas été soumis au cours des deux dernières années ; les principales raisons sont des décaissements en baisse en raison d'un faible nombre d'activités, telles que des ateliers et des réunions, en raison des restrictions imposées par la pandémie de COVID 19, la dévaluation de la monnaie dans certains pays et d'autres questions administratives liées aux demandes de renouvellement des projets de renforcement des institutions. Le PNUD a indiqué qu'il prévoit de présenter ces demandes de renouvellement en 2022.</w:t>
      </w:r>
    </w:p>
    <w:p w14:paraId="0D9DA76E" w14:textId="77777777" w:rsidR="00E52ADD" w:rsidRPr="00822BBF" w:rsidRDefault="00E52ADD" w:rsidP="00E52ADD">
      <w:pPr>
        <w:pStyle w:val="sub-title"/>
        <w:keepNext/>
        <w:keepLines/>
        <w:ind w:left="1418" w:hanging="1418"/>
        <w:rPr>
          <w:caps/>
          <w:lang w:val="fr-FR"/>
        </w:rPr>
      </w:pPr>
      <w:r w:rsidRPr="00F7008B">
        <w:rPr>
          <w:caps/>
          <w:noProof w:val="0"/>
          <w:lang w:val="fr"/>
        </w:rPr>
        <w:t xml:space="preserve">Partie </w:t>
      </w:r>
      <w:proofErr w:type="gramStart"/>
      <w:r w:rsidRPr="00F7008B">
        <w:rPr>
          <w:caps/>
          <w:noProof w:val="0"/>
          <w:lang w:val="fr"/>
        </w:rPr>
        <w:t>II:</w:t>
      </w:r>
      <w:proofErr w:type="gramEnd"/>
      <w:r w:rsidRPr="00F7008B">
        <w:rPr>
          <w:caps/>
          <w:noProof w:val="0"/>
          <w:lang w:val="fr"/>
        </w:rPr>
        <w:tab/>
      </w:r>
      <w:r w:rsidRPr="00F7008B">
        <w:rPr>
          <w:caps/>
          <w:lang w:val="fr"/>
        </w:rPr>
        <w:t>Projets approuvés dans le cadre des contributions volontaires supplémentaires en vue d’un soutien au démarrage rapide de la réduction progressive des HFC</w:t>
      </w:r>
    </w:p>
    <w:p w14:paraId="742CD530" w14:textId="77777777" w:rsidR="00E52ADD" w:rsidRPr="00822BBF" w:rsidRDefault="00E52ADD" w:rsidP="00E52ADD">
      <w:pPr>
        <w:pStyle w:val="sub-title"/>
        <w:keepNext/>
        <w:keepLines/>
        <w:rPr>
          <w:caps/>
          <w:lang w:val="fr-FR"/>
        </w:rPr>
      </w:pPr>
    </w:p>
    <w:p w14:paraId="76FB9569" w14:textId="5FE26A70" w:rsidR="00E52ADD" w:rsidRPr="00822BBF" w:rsidRDefault="00E52ADD" w:rsidP="00F03C8A">
      <w:pPr>
        <w:pStyle w:val="Heading1"/>
        <w:rPr>
          <w:lang w:val="fr-FR"/>
        </w:rPr>
      </w:pPr>
      <w:r w:rsidRPr="00822BBF">
        <w:rPr>
          <w:lang w:val="fr-FR"/>
        </w:rPr>
        <w:t xml:space="preserve">Au 31 décembre 2020, le Comité exécutif avait approuvé 18 projets concernant les HFC dans le cadre des contributions volontaires supplémentaires, pour un montant total de 6 051 258 $US (hors coûts d’appui d’agence). Un récapitulatif de l’état d’avancement de ces projets est présenté dans le tableau 1. </w:t>
      </w:r>
    </w:p>
    <w:p w14:paraId="2C9FCA77" w14:textId="0C1A3D08" w:rsidR="00E52ADD" w:rsidRPr="00822BBF" w:rsidRDefault="00E52ADD" w:rsidP="00E52ADD">
      <w:pPr>
        <w:pStyle w:val="Heading1"/>
        <w:keepNext/>
        <w:numPr>
          <w:ilvl w:val="0"/>
          <w:numId w:val="0"/>
        </w:numPr>
        <w:spacing w:after="0"/>
        <w:rPr>
          <w:b/>
          <w:lang w:val="fr-FR"/>
        </w:rPr>
      </w:pPr>
      <w:r w:rsidRPr="00822BBF">
        <w:rPr>
          <w:b/>
          <w:lang w:val="fr-FR"/>
        </w:rPr>
        <w:t>Tableau 1. Statut des projets approuvés liés aux HFC à la fin 2020</w:t>
      </w:r>
    </w:p>
    <w:tbl>
      <w:tblPr>
        <w:tblW w:w="9443" w:type="dxa"/>
        <w:tblInd w:w="-5" w:type="dxa"/>
        <w:tblLayout w:type="fixed"/>
        <w:tblLook w:val="04A0" w:firstRow="1" w:lastRow="0" w:firstColumn="1" w:lastColumn="0" w:noHBand="0" w:noVBand="1"/>
      </w:tblPr>
      <w:tblGrid>
        <w:gridCol w:w="1800"/>
        <w:gridCol w:w="1072"/>
        <w:gridCol w:w="1150"/>
        <w:gridCol w:w="1108"/>
        <w:gridCol w:w="1078"/>
        <w:gridCol w:w="1083"/>
        <w:gridCol w:w="960"/>
        <w:gridCol w:w="1192"/>
      </w:tblGrid>
      <w:tr w:rsidR="00F03C8A" w:rsidRPr="00F7008B" w14:paraId="0D7F2294" w14:textId="77777777" w:rsidTr="005514B9">
        <w:trPr>
          <w:trHeight w:val="146"/>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92711AC" w14:textId="77777777" w:rsidR="00F03C8A" w:rsidRPr="00F7008B" w:rsidRDefault="00F03C8A" w:rsidP="005F392F">
            <w:pPr>
              <w:jc w:val="left"/>
              <w:rPr>
                <w:b/>
                <w:bCs/>
                <w:sz w:val="18"/>
                <w:szCs w:val="18"/>
                <w:lang w:eastAsia="en-CA"/>
              </w:rPr>
            </w:pPr>
            <w:r w:rsidRPr="00F7008B">
              <w:rPr>
                <w:b/>
                <w:bCs/>
                <w:sz w:val="18"/>
                <w:szCs w:val="18"/>
                <w:lang w:eastAsia="fr"/>
              </w:rPr>
              <w:t>Type</w:t>
            </w:r>
          </w:p>
        </w:tc>
        <w:tc>
          <w:tcPr>
            <w:tcW w:w="3330" w:type="dxa"/>
            <w:gridSpan w:val="3"/>
            <w:tcBorders>
              <w:top w:val="single" w:sz="4" w:space="0" w:color="auto"/>
              <w:left w:val="nil"/>
              <w:bottom w:val="single" w:sz="4" w:space="0" w:color="auto"/>
              <w:right w:val="single" w:sz="4" w:space="0" w:color="auto"/>
            </w:tcBorders>
            <w:shd w:val="clear" w:color="auto" w:fill="auto"/>
            <w:noWrap/>
            <w:hideMark/>
          </w:tcPr>
          <w:p w14:paraId="3ADDB02D" w14:textId="77777777" w:rsidR="00F03C8A" w:rsidRPr="00F7008B" w:rsidRDefault="00F03C8A" w:rsidP="005F392F">
            <w:pPr>
              <w:jc w:val="center"/>
              <w:rPr>
                <w:b/>
                <w:bCs/>
                <w:sz w:val="18"/>
                <w:szCs w:val="18"/>
                <w:lang w:eastAsia="en-CA"/>
              </w:rPr>
            </w:pPr>
            <w:proofErr w:type="spellStart"/>
            <w:r w:rsidRPr="00F7008B">
              <w:rPr>
                <w:b/>
                <w:bCs/>
                <w:sz w:val="18"/>
                <w:szCs w:val="18"/>
                <w:lang w:eastAsia="fr"/>
              </w:rPr>
              <w:t>Nombre</w:t>
            </w:r>
            <w:proofErr w:type="spellEnd"/>
            <w:r w:rsidRPr="00F7008B">
              <w:rPr>
                <w:b/>
                <w:bCs/>
                <w:sz w:val="18"/>
                <w:szCs w:val="18"/>
                <w:lang w:eastAsia="fr"/>
              </w:rPr>
              <w:t xml:space="preserve"> de </w:t>
            </w:r>
            <w:proofErr w:type="spellStart"/>
            <w:r w:rsidRPr="00F7008B">
              <w:rPr>
                <w:b/>
                <w:bCs/>
                <w:sz w:val="18"/>
                <w:szCs w:val="18"/>
                <w:lang w:eastAsia="fr"/>
              </w:rPr>
              <w:t>projets</w:t>
            </w:r>
            <w:proofErr w:type="spellEnd"/>
          </w:p>
        </w:tc>
        <w:tc>
          <w:tcPr>
            <w:tcW w:w="4313" w:type="dxa"/>
            <w:gridSpan w:val="4"/>
            <w:tcBorders>
              <w:top w:val="single" w:sz="4" w:space="0" w:color="auto"/>
              <w:left w:val="nil"/>
              <w:bottom w:val="single" w:sz="4" w:space="0" w:color="auto"/>
              <w:right w:val="single" w:sz="4" w:space="0" w:color="auto"/>
            </w:tcBorders>
            <w:shd w:val="clear" w:color="auto" w:fill="auto"/>
            <w:noWrap/>
            <w:hideMark/>
          </w:tcPr>
          <w:p w14:paraId="65BC8D21" w14:textId="77777777" w:rsidR="00F03C8A" w:rsidRPr="00F7008B" w:rsidRDefault="00F03C8A" w:rsidP="005F392F">
            <w:pPr>
              <w:jc w:val="center"/>
              <w:rPr>
                <w:b/>
                <w:bCs/>
                <w:sz w:val="18"/>
                <w:szCs w:val="18"/>
                <w:lang w:eastAsia="en-CA"/>
              </w:rPr>
            </w:pPr>
            <w:proofErr w:type="spellStart"/>
            <w:r w:rsidRPr="00F7008B">
              <w:rPr>
                <w:b/>
                <w:bCs/>
                <w:sz w:val="18"/>
                <w:szCs w:val="18"/>
                <w:lang w:eastAsia="fr"/>
              </w:rPr>
              <w:t>Financement</w:t>
            </w:r>
            <w:proofErr w:type="spellEnd"/>
            <w:r w:rsidRPr="00F7008B">
              <w:rPr>
                <w:b/>
                <w:bCs/>
                <w:sz w:val="18"/>
                <w:szCs w:val="18"/>
                <w:lang w:eastAsia="fr"/>
              </w:rPr>
              <w:t xml:space="preserve"> ($ US)*</w:t>
            </w:r>
          </w:p>
        </w:tc>
      </w:tr>
      <w:tr w:rsidR="00F03C8A" w:rsidRPr="00F7008B" w14:paraId="1C65ABA8" w14:textId="77777777" w:rsidTr="005514B9">
        <w:trPr>
          <w:trHeight w:val="150"/>
          <w:tblHeader/>
        </w:trPr>
        <w:tc>
          <w:tcPr>
            <w:tcW w:w="1800" w:type="dxa"/>
            <w:vMerge/>
            <w:tcBorders>
              <w:top w:val="single" w:sz="4" w:space="0" w:color="auto"/>
              <w:left w:val="single" w:sz="4" w:space="0" w:color="auto"/>
              <w:bottom w:val="single" w:sz="4" w:space="0" w:color="auto"/>
              <w:right w:val="single" w:sz="4" w:space="0" w:color="auto"/>
            </w:tcBorders>
            <w:hideMark/>
          </w:tcPr>
          <w:p w14:paraId="615E3758" w14:textId="77777777" w:rsidR="00F03C8A" w:rsidRPr="00F7008B" w:rsidRDefault="00F03C8A" w:rsidP="005F392F">
            <w:pPr>
              <w:jc w:val="left"/>
              <w:rPr>
                <w:b/>
                <w:bCs/>
                <w:sz w:val="18"/>
                <w:szCs w:val="18"/>
                <w:lang w:eastAsia="en-CA"/>
              </w:rPr>
            </w:pP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7E11EB" w14:textId="77777777" w:rsidR="00F03C8A" w:rsidRPr="00F7008B" w:rsidRDefault="00F03C8A" w:rsidP="005514B9">
            <w:pPr>
              <w:jc w:val="center"/>
              <w:rPr>
                <w:b/>
                <w:bCs/>
                <w:sz w:val="18"/>
                <w:szCs w:val="18"/>
                <w:lang w:eastAsia="en-CA"/>
              </w:rPr>
            </w:pPr>
            <w:r w:rsidRPr="00F7008B">
              <w:rPr>
                <w:b/>
                <w:bCs/>
                <w:sz w:val="18"/>
                <w:szCs w:val="18"/>
                <w:lang w:val="fr" w:eastAsia="fr"/>
              </w:rPr>
              <w:t>Approuvé</w:t>
            </w:r>
          </w:p>
        </w:tc>
        <w:tc>
          <w:tcPr>
            <w:tcW w:w="115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82543D" w14:textId="77777777" w:rsidR="00F03C8A" w:rsidRPr="00F7008B" w:rsidRDefault="00F03C8A" w:rsidP="005514B9">
            <w:pPr>
              <w:jc w:val="center"/>
              <w:rPr>
                <w:b/>
                <w:bCs/>
                <w:sz w:val="18"/>
                <w:szCs w:val="18"/>
                <w:lang w:eastAsia="en-CA"/>
              </w:rPr>
            </w:pPr>
            <w:r w:rsidRPr="00F7008B">
              <w:rPr>
                <w:b/>
                <w:bCs/>
                <w:sz w:val="18"/>
                <w:szCs w:val="18"/>
                <w:lang w:val="fr" w:eastAsia="fr"/>
              </w:rPr>
              <w:t>Terminé</w:t>
            </w:r>
          </w:p>
        </w:tc>
        <w:tc>
          <w:tcPr>
            <w:tcW w:w="110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BE68957" w14:textId="25A41F3A" w:rsidR="00F03C8A" w:rsidRPr="00F7008B" w:rsidRDefault="00F03C8A" w:rsidP="005514B9">
            <w:pPr>
              <w:jc w:val="center"/>
              <w:rPr>
                <w:b/>
                <w:bCs/>
                <w:sz w:val="18"/>
                <w:szCs w:val="18"/>
                <w:lang w:eastAsia="en-CA"/>
              </w:rPr>
            </w:pPr>
            <w:r w:rsidRPr="00F7008B">
              <w:rPr>
                <w:b/>
                <w:bCs/>
                <w:sz w:val="18"/>
                <w:szCs w:val="18"/>
                <w:lang w:val="fr" w:eastAsia="fr"/>
              </w:rPr>
              <w:t>% d’achèvement</w:t>
            </w:r>
          </w:p>
        </w:tc>
        <w:tc>
          <w:tcPr>
            <w:tcW w:w="107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62FBF00" w14:textId="77777777" w:rsidR="00F03C8A" w:rsidRPr="00F7008B" w:rsidRDefault="00F03C8A" w:rsidP="005514B9">
            <w:pPr>
              <w:jc w:val="center"/>
              <w:rPr>
                <w:b/>
                <w:bCs/>
                <w:sz w:val="18"/>
                <w:szCs w:val="18"/>
                <w:lang w:eastAsia="en-CA"/>
              </w:rPr>
            </w:pPr>
            <w:r w:rsidRPr="00F7008B">
              <w:rPr>
                <w:b/>
                <w:bCs/>
                <w:sz w:val="18"/>
                <w:szCs w:val="18"/>
                <w:lang w:val="fr" w:eastAsia="fr"/>
              </w:rPr>
              <w:t>Approuvé</w:t>
            </w:r>
          </w:p>
        </w:tc>
        <w:tc>
          <w:tcPr>
            <w:tcW w:w="108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BF2828" w14:textId="77777777" w:rsidR="00F03C8A" w:rsidRPr="00F7008B" w:rsidRDefault="00F03C8A" w:rsidP="005514B9">
            <w:pPr>
              <w:jc w:val="center"/>
              <w:rPr>
                <w:b/>
                <w:bCs/>
                <w:sz w:val="18"/>
                <w:szCs w:val="18"/>
                <w:lang w:eastAsia="en-CA"/>
              </w:rPr>
            </w:pPr>
            <w:r w:rsidRPr="00F7008B">
              <w:rPr>
                <w:b/>
                <w:bCs/>
                <w:sz w:val="18"/>
                <w:szCs w:val="18"/>
                <w:lang w:val="fr" w:eastAsia="fr"/>
              </w:rPr>
              <w:t>Décaissé</w:t>
            </w:r>
          </w:p>
        </w:tc>
        <w:tc>
          <w:tcPr>
            <w:tcW w:w="96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747978" w14:textId="77777777" w:rsidR="00F03C8A" w:rsidRPr="00F7008B" w:rsidRDefault="00F03C8A" w:rsidP="005514B9">
            <w:pPr>
              <w:jc w:val="center"/>
              <w:rPr>
                <w:b/>
                <w:bCs/>
                <w:sz w:val="18"/>
                <w:szCs w:val="18"/>
                <w:lang w:eastAsia="en-CA"/>
              </w:rPr>
            </w:pPr>
            <w:r w:rsidRPr="00F7008B">
              <w:rPr>
                <w:b/>
                <w:bCs/>
                <w:sz w:val="18"/>
                <w:szCs w:val="18"/>
                <w:lang w:val="fr" w:eastAsia="fr"/>
              </w:rPr>
              <w:t>Solde</w:t>
            </w:r>
          </w:p>
        </w:tc>
        <w:tc>
          <w:tcPr>
            <w:tcW w:w="119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64E302" w14:textId="1656A6BF" w:rsidR="00F03C8A" w:rsidRPr="00F7008B" w:rsidRDefault="00F03C8A" w:rsidP="005514B9">
            <w:pPr>
              <w:jc w:val="center"/>
              <w:rPr>
                <w:b/>
                <w:bCs/>
                <w:sz w:val="18"/>
                <w:szCs w:val="18"/>
                <w:lang w:eastAsia="en-CA"/>
              </w:rPr>
            </w:pPr>
            <w:r w:rsidRPr="00F7008B">
              <w:rPr>
                <w:b/>
                <w:bCs/>
                <w:sz w:val="18"/>
                <w:szCs w:val="18"/>
                <w:lang w:val="fr" w:eastAsia="fr"/>
              </w:rPr>
              <w:t>% de décaissement</w:t>
            </w:r>
          </w:p>
        </w:tc>
      </w:tr>
      <w:tr w:rsidR="00F03C8A" w:rsidRPr="00F7008B" w14:paraId="71AF85DA"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0376FD0A" w14:textId="77777777" w:rsidR="00F03C8A" w:rsidRPr="00F7008B" w:rsidRDefault="00F03C8A" w:rsidP="005F392F">
            <w:pPr>
              <w:jc w:val="left"/>
              <w:rPr>
                <w:sz w:val="18"/>
                <w:szCs w:val="18"/>
                <w:lang w:eastAsia="en-CA"/>
              </w:rPr>
            </w:pPr>
            <w:proofErr w:type="spellStart"/>
            <w:r w:rsidRPr="00F7008B">
              <w:rPr>
                <w:sz w:val="18"/>
                <w:szCs w:val="18"/>
                <w:lang w:eastAsia="fr"/>
              </w:rPr>
              <w:t>Investissement</w:t>
            </w:r>
            <w:proofErr w:type="spellEnd"/>
            <w:r w:rsidRPr="00F7008B">
              <w:rPr>
                <w:sz w:val="18"/>
                <w:szCs w:val="18"/>
                <w:lang w:eastAsia="fr"/>
              </w:rPr>
              <w:t>**</w:t>
            </w:r>
          </w:p>
        </w:tc>
        <w:tc>
          <w:tcPr>
            <w:tcW w:w="1072" w:type="dxa"/>
            <w:tcBorders>
              <w:top w:val="nil"/>
              <w:left w:val="nil"/>
              <w:bottom w:val="single" w:sz="4" w:space="0" w:color="auto"/>
              <w:right w:val="single" w:sz="4" w:space="0" w:color="auto"/>
            </w:tcBorders>
            <w:shd w:val="clear" w:color="auto" w:fill="auto"/>
            <w:noWrap/>
            <w:hideMark/>
          </w:tcPr>
          <w:p w14:paraId="06D6142C" w14:textId="77777777" w:rsidR="00F03C8A" w:rsidRPr="00F7008B" w:rsidRDefault="00F03C8A" w:rsidP="005F392F">
            <w:pPr>
              <w:jc w:val="right"/>
              <w:rPr>
                <w:sz w:val="18"/>
                <w:szCs w:val="18"/>
                <w:lang w:eastAsia="en-CA"/>
              </w:rPr>
            </w:pPr>
            <w:r w:rsidRPr="00F7008B">
              <w:rPr>
                <w:sz w:val="18"/>
                <w:szCs w:val="18"/>
                <w:lang w:eastAsia="fr"/>
              </w:rPr>
              <w:t>2</w:t>
            </w:r>
          </w:p>
        </w:tc>
        <w:tc>
          <w:tcPr>
            <w:tcW w:w="1150" w:type="dxa"/>
            <w:tcBorders>
              <w:top w:val="nil"/>
              <w:left w:val="nil"/>
              <w:bottom w:val="single" w:sz="4" w:space="0" w:color="auto"/>
              <w:right w:val="single" w:sz="4" w:space="0" w:color="auto"/>
            </w:tcBorders>
            <w:shd w:val="clear" w:color="auto" w:fill="auto"/>
            <w:noWrap/>
            <w:hideMark/>
          </w:tcPr>
          <w:p w14:paraId="5DD07D8D" w14:textId="77777777" w:rsidR="00F03C8A" w:rsidRPr="00F7008B" w:rsidRDefault="00F03C8A" w:rsidP="005F392F">
            <w:pPr>
              <w:jc w:val="right"/>
              <w:rPr>
                <w:sz w:val="18"/>
                <w:szCs w:val="18"/>
                <w:lang w:eastAsia="en-CA"/>
              </w:rPr>
            </w:pPr>
            <w:r w:rsidRPr="00F7008B">
              <w:rPr>
                <w:sz w:val="18"/>
                <w:szCs w:val="18"/>
                <w:lang w:eastAsia="fr"/>
              </w:rPr>
              <w:t>1</w:t>
            </w:r>
          </w:p>
        </w:tc>
        <w:tc>
          <w:tcPr>
            <w:tcW w:w="1108" w:type="dxa"/>
            <w:tcBorders>
              <w:top w:val="nil"/>
              <w:left w:val="nil"/>
              <w:bottom w:val="single" w:sz="4" w:space="0" w:color="auto"/>
              <w:right w:val="single" w:sz="4" w:space="0" w:color="auto"/>
            </w:tcBorders>
            <w:shd w:val="clear" w:color="auto" w:fill="auto"/>
            <w:noWrap/>
            <w:hideMark/>
          </w:tcPr>
          <w:p w14:paraId="226D7273" w14:textId="77777777" w:rsidR="00F03C8A" w:rsidRPr="00F7008B" w:rsidRDefault="00F03C8A" w:rsidP="005F392F">
            <w:pPr>
              <w:jc w:val="right"/>
              <w:rPr>
                <w:sz w:val="18"/>
                <w:szCs w:val="18"/>
                <w:lang w:eastAsia="en-CA"/>
              </w:rPr>
            </w:pPr>
            <w:r w:rsidRPr="00F7008B">
              <w:rPr>
                <w:sz w:val="18"/>
                <w:szCs w:val="18"/>
                <w:lang w:eastAsia="fr"/>
              </w:rPr>
              <w:t>50</w:t>
            </w:r>
          </w:p>
        </w:tc>
        <w:tc>
          <w:tcPr>
            <w:tcW w:w="1078" w:type="dxa"/>
            <w:tcBorders>
              <w:top w:val="nil"/>
              <w:left w:val="nil"/>
              <w:bottom w:val="single" w:sz="4" w:space="0" w:color="auto"/>
              <w:right w:val="single" w:sz="4" w:space="0" w:color="auto"/>
            </w:tcBorders>
            <w:shd w:val="clear" w:color="auto" w:fill="auto"/>
            <w:noWrap/>
            <w:hideMark/>
          </w:tcPr>
          <w:p w14:paraId="5BCC72A7" w14:textId="77777777" w:rsidR="00F03C8A" w:rsidRPr="00F7008B" w:rsidRDefault="00F03C8A" w:rsidP="005F392F">
            <w:pPr>
              <w:jc w:val="right"/>
              <w:rPr>
                <w:sz w:val="18"/>
                <w:szCs w:val="18"/>
                <w:lang w:eastAsia="en-CA"/>
              </w:rPr>
            </w:pPr>
            <w:r w:rsidRPr="00F7008B">
              <w:rPr>
                <w:sz w:val="18"/>
                <w:szCs w:val="18"/>
                <w:lang w:eastAsia="fr"/>
              </w:rPr>
              <w:t>4 406 610</w:t>
            </w:r>
          </w:p>
        </w:tc>
        <w:tc>
          <w:tcPr>
            <w:tcW w:w="1083" w:type="dxa"/>
            <w:tcBorders>
              <w:top w:val="nil"/>
              <w:left w:val="nil"/>
              <w:bottom w:val="single" w:sz="4" w:space="0" w:color="auto"/>
              <w:right w:val="single" w:sz="4" w:space="0" w:color="auto"/>
            </w:tcBorders>
            <w:shd w:val="clear" w:color="auto" w:fill="auto"/>
            <w:noWrap/>
            <w:hideMark/>
          </w:tcPr>
          <w:p w14:paraId="4D575871" w14:textId="77777777" w:rsidR="00F03C8A" w:rsidRPr="00F7008B" w:rsidRDefault="00F03C8A" w:rsidP="005F392F">
            <w:pPr>
              <w:jc w:val="right"/>
              <w:rPr>
                <w:sz w:val="18"/>
                <w:szCs w:val="18"/>
                <w:lang w:eastAsia="en-CA"/>
              </w:rPr>
            </w:pPr>
            <w:r w:rsidRPr="00F7008B">
              <w:rPr>
                <w:sz w:val="18"/>
                <w:szCs w:val="18"/>
                <w:lang w:eastAsia="fr"/>
              </w:rPr>
              <w:t>4 150 023</w:t>
            </w:r>
          </w:p>
        </w:tc>
        <w:tc>
          <w:tcPr>
            <w:tcW w:w="960" w:type="dxa"/>
            <w:tcBorders>
              <w:top w:val="nil"/>
              <w:left w:val="nil"/>
              <w:bottom w:val="single" w:sz="4" w:space="0" w:color="auto"/>
              <w:right w:val="single" w:sz="4" w:space="0" w:color="auto"/>
            </w:tcBorders>
            <w:shd w:val="clear" w:color="auto" w:fill="auto"/>
            <w:noWrap/>
            <w:hideMark/>
          </w:tcPr>
          <w:p w14:paraId="2AE8D6D8" w14:textId="77777777" w:rsidR="00F03C8A" w:rsidRPr="00F7008B" w:rsidRDefault="00F03C8A" w:rsidP="005F392F">
            <w:pPr>
              <w:jc w:val="right"/>
              <w:rPr>
                <w:sz w:val="18"/>
                <w:szCs w:val="18"/>
                <w:lang w:eastAsia="en-CA"/>
              </w:rPr>
            </w:pPr>
            <w:r w:rsidRPr="00F7008B">
              <w:rPr>
                <w:sz w:val="18"/>
                <w:szCs w:val="18"/>
                <w:lang w:eastAsia="fr"/>
              </w:rPr>
              <w:t>256 587</w:t>
            </w:r>
          </w:p>
        </w:tc>
        <w:tc>
          <w:tcPr>
            <w:tcW w:w="1192" w:type="dxa"/>
            <w:tcBorders>
              <w:top w:val="nil"/>
              <w:left w:val="nil"/>
              <w:bottom w:val="single" w:sz="4" w:space="0" w:color="auto"/>
              <w:right w:val="single" w:sz="4" w:space="0" w:color="auto"/>
            </w:tcBorders>
            <w:shd w:val="clear" w:color="auto" w:fill="auto"/>
            <w:noWrap/>
            <w:hideMark/>
          </w:tcPr>
          <w:p w14:paraId="4186F69C" w14:textId="77777777" w:rsidR="00F03C8A" w:rsidRPr="00F7008B" w:rsidRDefault="00F03C8A" w:rsidP="005F392F">
            <w:pPr>
              <w:jc w:val="right"/>
              <w:rPr>
                <w:sz w:val="18"/>
                <w:szCs w:val="18"/>
                <w:lang w:eastAsia="en-CA"/>
              </w:rPr>
            </w:pPr>
            <w:r w:rsidRPr="00F7008B">
              <w:rPr>
                <w:sz w:val="18"/>
                <w:szCs w:val="18"/>
                <w:lang w:eastAsia="fr"/>
              </w:rPr>
              <w:t>94</w:t>
            </w:r>
          </w:p>
        </w:tc>
      </w:tr>
      <w:tr w:rsidR="00F03C8A" w:rsidRPr="00F7008B" w14:paraId="771797A3"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75AEEB76" w14:textId="77777777" w:rsidR="00F03C8A" w:rsidRPr="00F7008B" w:rsidRDefault="00F03C8A" w:rsidP="005F392F">
            <w:pPr>
              <w:jc w:val="left"/>
              <w:rPr>
                <w:sz w:val="18"/>
                <w:szCs w:val="18"/>
                <w:lang w:eastAsia="en-CA"/>
              </w:rPr>
            </w:pPr>
            <w:proofErr w:type="spellStart"/>
            <w:r w:rsidRPr="00F7008B">
              <w:rPr>
                <w:sz w:val="18"/>
                <w:szCs w:val="18"/>
                <w:lang w:eastAsia="fr"/>
              </w:rPr>
              <w:t>Préparation</w:t>
            </w:r>
            <w:proofErr w:type="spellEnd"/>
            <w:r w:rsidRPr="00F7008B">
              <w:rPr>
                <w:sz w:val="18"/>
                <w:szCs w:val="18"/>
                <w:lang w:eastAsia="fr"/>
              </w:rPr>
              <w:t xml:space="preserve"> de </w:t>
            </w:r>
            <w:proofErr w:type="spellStart"/>
            <w:r w:rsidRPr="00F7008B">
              <w:rPr>
                <w:sz w:val="18"/>
                <w:szCs w:val="18"/>
                <w:lang w:eastAsia="fr"/>
              </w:rPr>
              <w:t>projets</w:t>
            </w:r>
            <w:proofErr w:type="spellEnd"/>
          </w:p>
        </w:tc>
        <w:tc>
          <w:tcPr>
            <w:tcW w:w="1072" w:type="dxa"/>
            <w:tcBorders>
              <w:top w:val="nil"/>
              <w:left w:val="nil"/>
              <w:bottom w:val="single" w:sz="4" w:space="0" w:color="auto"/>
              <w:right w:val="single" w:sz="4" w:space="0" w:color="auto"/>
            </w:tcBorders>
            <w:shd w:val="clear" w:color="auto" w:fill="auto"/>
            <w:noWrap/>
            <w:hideMark/>
          </w:tcPr>
          <w:p w14:paraId="528C0407" w14:textId="77777777" w:rsidR="00F03C8A" w:rsidRPr="00F7008B" w:rsidRDefault="00F03C8A" w:rsidP="005F392F">
            <w:pPr>
              <w:jc w:val="right"/>
              <w:rPr>
                <w:sz w:val="18"/>
                <w:szCs w:val="18"/>
                <w:lang w:eastAsia="en-CA"/>
              </w:rPr>
            </w:pPr>
            <w:r w:rsidRPr="00F7008B">
              <w:rPr>
                <w:sz w:val="18"/>
                <w:szCs w:val="18"/>
                <w:lang w:eastAsia="fr"/>
              </w:rPr>
              <w:t>5</w:t>
            </w:r>
          </w:p>
        </w:tc>
        <w:tc>
          <w:tcPr>
            <w:tcW w:w="1150" w:type="dxa"/>
            <w:tcBorders>
              <w:top w:val="nil"/>
              <w:left w:val="nil"/>
              <w:bottom w:val="single" w:sz="4" w:space="0" w:color="auto"/>
              <w:right w:val="single" w:sz="4" w:space="0" w:color="auto"/>
            </w:tcBorders>
            <w:shd w:val="clear" w:color="auto" w:fill="auto"/>
            <w:noWrap/>
            <w:hideMark/>
          </w:tcPr>
          <w:p w14:paraId="60836B9D" w14:textId="77777777" w:rsidR="00F03C8A" w:rsidRPr="00F7008B" w:rsidRDefault="00F03C8A" w:rsidP="005F392F">
            <w:pPr>
              <w:jc w:val="right"/>
              <w:rPr>
                <w:sz w:val="18"/>
                <w:szCs w:val="18"/>
                <w:lang w:eastAsia="en-CA"/>
              </w:rPr>
            </w:pPr>
            <w:r w:rsidRPr="00F7008B">
              <w:rPr>
                <w:sz w:val="18"/>
                <w:szCs w:val="18"/>
                <w:lang w:eastAsia="fr"/>
              </w:rPr>
              <w:t>5</w:t>
            </w:r>
          </w:p>
        </w:tc>
        <w:tc>
          <w:tcPr>
            <w:tcW w:w="1108" w:type="dxa"/>
            <w:tcBorders>
              <w:top w:val="nil"/>
              <w:left w:val="nil"/>
              <w:bottom w:val="single" w:sz="4" w:space="0" w:color="auto"/>
              <w:right w:val="single" w:sz="4" w:space="0" w:color="auto"/>
            </w:tcBorders>
            <w:shd w:val="clear" w:color="auto" w:fill="auto"/>
            <w:noWrap/>
            <w:hideMark/>
          </w:tcPr>
          <w:p w14:paraId="2CC45588" w14:textId="77777777" w:rsidR="00F03C8A" w:rsidRPr="00F7008B" w:rsidRDefault="00F03C8A" w:rsidP="005F392F">
            <w:pPr>
              <w:jc w:val="right"/>
              <w:rPr>
                <w:sz w:val="18"/>
                <w:szCs w:val="18"/>
                <w:lang w:eastAsia="en-CA"/>
              </w:rPr>
            </w:pPr>
            <w:r w:rsidRPr="00F7008B">
              <w:rPr>
                <w:sz w:val="18"/>
                <w:szCs w:val="18"/>
                <w:lang w:eastAsia="fr"/>
              </w:rPr>
              <w:t>100</w:t>
            </w:r>
          </w:p>
        </w:tc>
        <w:tc>
          <w:tcPr>
            <w:tcW w:w="1078" w:type="dxa"/>
            <w:tcBorders>
              <w:top w:val="nil"/>
              <w:left w:val="nil"/>
              <w:bottom w:val="single" w:sz="4" w:space="0" w:color="auto"/>
              <w:right w:val="single" w:sz="4" w:space="0" w:color="auto"/>
            </w:tcBorders>
            <w:shd w:val="clear" w:color="auto" w:fill="auto"/>
            <w:noWrap/>
            <w:hideMark/>
          </w:tcPr>
          <w:p w14:paraId="031200AD" w14:textId="77777777" w:rsidR="00F03C8A" w:rsidRPr="00F7008B" w:rsidRDefault="00F03C8A" w:rsidP="005F392F">
            <w:pPr>
              <w:jc w:val="right"/>
              <w:rPr>
                <w:sz w:val="18"/>
                <w:szCs w:val="18"/>
                <w:lang w:eastAsia="en-CA"/>
              </w:rPr>
            </w:pPr>
            <w:r w:rsidRPr="00F7008B">
              <w:rPr>
                <w:sz w:val="18"/>
                <w:szCs w:val="18"/>
                <w:lang w:eastAsia="fr"/>
              </w:rPr>
              <w:t>124 066</w:t>
            </w:r>
          </w:p>
        </w:tc>
        <w:tc>
          <w:tcPr>
            <w:tcW w:w="1083" w:type="dxa"/>
            <w:tcBorders>
              <w:top w:val="nil"/>
              <w:left w:val="nil"/>
              <w:bottom w:val="single" w:sz="4" w:space="0" w:color="auto"/>
              <w:right w:val="single" w:sz="4" w:space="0" w:color="auto"/>
            </w:tcBorders>
            <w:shd w:val="clear" w:color="auto" w:fill="auto"/>
            <w:noWrap/>
            <w:hideMark/>
          </w:tcPr>
          <w:p w14:paraId="64B09E26" w14:textId="77777777" w:rsidR="00F03C8A" w:rsidRPr="00F7008B" w:rsidRDefault="00F03C8A" w:rsidP="005F392F">
            <w:pPr>
              <w:jc w:val="right"/>
              <w:rPr>
                <w:sz w:val="18"/>
                <w:szCs w:val="18"/>
                <w:lang w:eastAsia="en-CA"/>
              </w:rPr>
            </w:pPr>
            <w:r w:rsidRPr="00F7008B">
              <w:rPr>
                <w:sz w:val="18"/>
                <w:szCs w:val="18"/>
                <w:lang w:eastAsia="fr"/>
              </w:rPr>
              <w:t>83 511</w:t>
            </w:r>
          </w:p>
        </w:tc>
        <w:tc>
          <w:tcPr>
            <w:tcW w:w="960" w:type="dxa"/>
            <w:tcBorders>
              <w:top w:val="nil"/>
              <w:left w:val="nil"/>
              <w:bottom w:val="single" w:sz="4" w:space="0" w:color="auto"/>
              <w:right w:val="single" w:sz="4" w:space="0" w:color="auto"/>
            </w:tcBorders>
            <w:shd w:val="clear" w:color="auto" w:fill="auto"/>
            <w:noWrap/>
            <w:hideMark/>
          </w:tcPr>
          <w:p w14:paraId="66B00593" w14:textId="77777777" w:rsidR="00F03C8A" w:rsidRPr="00F7008B" w:rsidRDefault="00F03C8A" w:rsidP="005F392F">
            <w:pPr>
              <w:jc w:val="right"/>
              <w:rPr>
                <w:sz w:val="18"/>
                <w:szCs w:val="18"/>
                <w:lang w:eastAsia="en-CA"/>
              </w:rPr>
            </w:pPr>
            <w:r w:rsidRPr="00F7008B">
              <w:rPr>
                <w:sz w:val="18"/>
                <w:szCs w:val="18"/>
                <w:lang w:eastAsia="fr"/>
              </w:rPr>
              <w:t>40 555</w:t>
            </w:r>
          </w:p>
        </w:tc>
        <w:tc>
          <w:tcPr>
            <w:tcW w:w="1192" w:type="dxa"/>
            <w:tcBorders>
              <w:top w:val="nil"/>
              <w:left w:val="nil"/>
              <w:bottom w:val="single" w:sz="4" w:space="0" w:color="auto"/>
              <w:right w:val="single" w:sz="4" w:space="0" w:color="auto"/>
            </w:tcBorders>
            <w:shd w:val="clear" w:color="auto" w:fill="auto"/>
            <w:noWrap/>
            <w:hideMark/>
          </w:tcPr>
          <w:p w14:paraId="09D2CD38" w14:textId="77777777" w:rsidR="00F03C8A" w:rsidRPr="00F7008B" w:rsidRDefault="00F03C8A" w:rsidP="005F392F">
            <w:pPr>
              <w:jc w:val="right"/>
              <w:rPr>
                <w:sz w:val="18"/>
                <w:szCs w:val="18"/>
                <w:lang w:eastAsia="en-CA"/>
              </w:rPr>
            </w:pPr>
            <w:r w:rsidRPr="00F7008B">
              <w:rPr>
                <w:sz w:val="18"/>
                <w:szCs w:val="18"/>
                <w:lang w:eastAsia="fr"/>
              </w:rPr>
              <w:t>67</w:t>
            </w:r>
          </w:p>
        </w:tc>
      </w:tr>
      <w:tr w:rsidR="00F03C8A" w:rsidRPr="00F7008B" w14:paraId="5881C28D" w14:textId="77777777" w:rsidTr="005514B9">
        <w:trPr>
          <w:trHeight w:val="264"/>
        </w:trPr>
        <w:tc>
          <w:tcPr>
            <w:tcW w:w="1800" w:type="dxa"/>
            <w:tcBorders>
              <w:top w:val="nil"/>
              <w:left w:val="single" w:sz="4" w:space="0" w:color="auto"/>
              <w:bottom w:val="single" w:sz="4" w:space="0" w:color="auto"/>
              <w:right w:val="single" w:sz="4" w:space="0" w:color="auto"/>
            </w:tcBorders>
            <w:shd w:val="clear" w:color="auto" w:fill="auto"/>
            <w:noWrap/>
            <w:hideMark/>
          </w:tcPr>
          <w:p w14:paraId="5F212E31" w14:textId="3315FB9A" w:rsidR="00F03C8A" w:rsidRPr="00822BBF" w:rsidRDefault="00F03C8A" w:rsidP="005F392F">
            <w:pPr>
              <w:jc w:val="left"/>
              <w:rPr>
                <w:sz w:val="18"/>
                <w:szCs w:val="18"/>
                <w:lang w:val="fr-FR" w:eastAsia="en-CA"/>
              </w:rPr>
            </w:pPr>
            <w:r w:rsidRPr="00822BBF">
              <w:rPr>
                <w:sz w:val="18"/>
                <w:szCs w:val="18"/>
                <w:lang w:val="fr-FR" w:eastAsia="fr"/>
              </w:rPr>
              <w:t xml:space="preserve">Assistance technique </w:t>
            </w:r>
            <w:r w:rsidR="00E1301A" w:rsidRPr="00822BBF">
              <w:rPr>
                <w:sz w:val="18"/>
                <w:szCs w:val="18"/>
                <w:lang w:val="fr-FR" w:eastAsia="fr"/>
              </w:rPr>
              <w:t>–</w:t>
            </w:r>
            <w:r w:rsidRPr="00822BBF">
              <w:rPr>
                <w:sz w:val="18"/>
                <w:szCs w:val="18"/>
                <w:lang w:val="fr-FR" w:eastAsia="fr"/>
              </w:rPr>
              <w:t xml:space="preserve"> Activités de facilitation</w:t>
            </w:r>
          </w:p>
        </w:tc>
        <w:tc>
          <w:tcPr>
            <w:tcW w:w="1072" w:type="dxa"/>
            <w:tcBorders>
              <w:top w:val="nil"/>
              <w:left w:val="nil"/>
              <w:bottom w:val="single" w:sz="4" w:space="0" w:color="auto"/>
              <w:right w:val="single" w:sz="4" w:space="0" w:color="auto"/>
            </w:tcBorders>
            <w:shd w:val="clear" w:color="auto" w:fill="auto"/>
            <w:noWrap/>
            <w:hideMark/>
          </w:tcPr>
          <w:p w14:paraId="16F5EFE2" w14:textId="77777777" w:rsidR="00F03C8A" w:rsidRPr="00F7008B" w:rsidRDefault="00F03C8A" w:rsidP="005F392F">
            <w:pPr>
              <w:jc w:val="right"/>
              <w:rPr>
                <w:sz w:val="18"/>
                <w:szCs w:val="18"/>
                <w:lang w:eastAsia="en-CA"/>
              </w:rPr>
            </w:pPr>
            <w:r w:rsidRPr="00F7008B">
              <w:rPr>
                <w:sz w:val="18"/>
                <w:szCs w:val="18"/>
                <w:lang w:eastAsia="fr"/>
              </w:rPr>
              <w:t>11</w:t>
            </w:r>
          </w:p>
        </w:tc>
        <w:tc>
          <w:tcPr>
            <w:tcW w:w="1150" w:type="dxa"/>
            <w:tcBorders>
              <w:top w:val="nil"/>
              <w:left w:val="nil"/>
              <w:bottom w:val="single" w:sz="4" w:space="0" w:color="auto"/>
              <w:right w:val="single" w:sz="4" w:space="0" w:color="auto"/>
            </w:tcBorders>
            <w:shd w:val="clear" w:color="auto" w:fill="auto"/>
            <w:noWrap/>
            <w:hideMark/>
          </w:tcPr>
          <w:p w14:paraId="74008205" w14:textId="77777777" w:rsidR="00F03C8A" w:rsidRPr="00F7008B" w:rsidRDefault="00F03C8A" w:rsidP="005F392F">
            <w:pPr>
              <w:jc w:val="right"/>
              <w:rPr>
                <w:sz w:val="18"/>
                <w:szCs w:val="18"/>
                <w:lang w:eastAsia="en-CA"/>
              </w:rPr>
            </w:pPr>
            <w:r w:rsidRPr="00F7008B">
              <w:rPr>
                <w:sz w:val="18"/>
                <w:szCs w:val="18"/>
                <w:lang w:eastAsia="fr"/>
              </w:rPr>
              <w:t>4</w:t>
            </w:r>
          </w:p>
        </w:tc>
        <w:tc>
          <w:tcPr>
            <w:tcW w:w="1108" w:type="dxa"/>
            <w:tcBorders>
              <w:top w:val="nil"/>
              <w:left w:val="nil"/>
              <w:bottom w:val="single" w:sz="4" w:space="0" w:color="auto"/>
              <w:right w:val="single" w:sz="4" w:space="0" w:color="auto"/>
            </w:tcBorders>
            <w:shd w:val="clear" w:color="auto" w:fill="auto"/>
            <w:noWrap/>
            <w:hideMark/>
          </w:tcPr>
          <w:p w14:paraId="5289009D" w14:textId="77777777" w:rsidR="00F03C8A" w:rsidRPr="00F7008B" w:rsidRDefault="00F03C8A" w:rsidP="005F392F">
            <w:pPr>
              <w:jc w:val="right"/>
              <w:rPr>
                <w:sz w:val="18"/>
                <w:szCs w:val="18"/>
                <w:lang w:eastAsia="en-CA"/>
              </w:rPr>
            </w:pPr>
            <w:r w:rsidRPr="00F7008B">
              <w:rPr>
                <w:sz w:val="18"/>
                <w:szCs w:val="18"/>
                <w:lang w:eastAsia="fr"/>
              </w:rPr>
              <w:t>36</w:t>
            </w:r>
          </w:p>
        </w:tc>
        <w:tc>
          <w:tcPr>
            <w:tcW w:w="1078" w:type="dxa"/>
            <w:tcBorders>
              <w:top w:val="nil"/>
              <w:left w:val="nil"/>
              <w:bottom w:val="single" w:sz="4" w:space="0" w:color="auto"/>
              <w:right w:val="single" w:sz="4" w:space="0" w:color="auto"/>
            </w:tcBorders>
            <w:shd w:val="clear" w:color="auto" w:fill="auto"/>
            <w:noWrap/>
            <w:hideMark/>
          </w:tcPr>
          <w:p w14:paraId="6CE9582E" w14:textId="77777777" w:rsidR="00F03C8A" w:rsidRPr="00F7008B" w:rsidRDefault="00F03C8A" w:rsidP="005F392F">
            <w:pPr>
              <w:jc w:val="right"/>
              <w:rPr>
                <w:sz w:val="18"/>
                <w:szCs w:val="18"/>
                <w:lang w:eastAsia="en-CA"/>
              </w:rPr>
            </w:pPr>
            <w:r w:rsidRPr="00F7008B">
              <w:rPr>
                <w:sz w:val="18"/>
                <w:szCs w:val="18"/>
                <w:lang w:eastAsia="fr"/>
              </w:rPr>
              <w:t>1 520 582</w:t>
            </w:r>
          </w:p>
        </w:tc>
        <w:tc>
          <w:tcPr>
            <w:tcW w:w="1083" w:type="dxa"/>
            <w:tcBorders>
              <w:top w:val="nil"/>
              <w:left w:val="nil"/>
              <w:bottom w:val="single" w:sz="4" w:space="0" w:color="auto"/>
              <w:right w:val="single" w:sz="4" w:space="0" w:color="auto"/>
            </w:tcBorders>
            <w:shd w:val="clear" w:color="auto" w:fill="auto"/>
            <w:noWrap/>
            <w:hideMark/>
          </w:tcPr>
          <w:p w14:paraId="4EE8D20C" w14:textId="77777777" w:rsidR="00F03C8A" w:rsidRPr="00F7008B" w:rsidRDefault="00F03C8A" w:rsidP="005F392F">
            <w:pPr>
              <w:jc w:val="right"/>
              <w:rPr>
                <w:sz w:val="18"/>
                <w:szCs w:val="18"/>
                <w:lang w:eastAsia="en-CA"/>
              </w:rPr>
            </w:pPr>
            <w:r w:rsidRPr="00F7008B">
              <w:rPr>
                <w:sz w:val="18"/>
                <w:szCs w:val="18"/>
                <w:lang w:eastAsia="fr"/>
              </w:rPr>
              <w:t>1 309 290</w:t>
            </w:r>
          </w:p>
        </w:tc>
        <w:tc>
          <w:tcPr>
            <w:tcW w:w="960" w:type="dxa"/>
            <w:tcBorders>
              <w:top w:val="nil"/>
              <w:left w:val="nil"/>
              <w:bottom w:val="single" w:sz="4" w:space="0" w:color="auto"/>
              <w:right w:val="single" w:sz="4" w:space="0" w:color="auto"/>
            </w:tcBorders>
            <w:shd w:val="clear" w:color="auto" w:fill="auto"/>
            <w:noWrap/>
            <w:hideMark/>
          </w:tcPr>
          <w:p w14:paraId="54CF0195" w14:textId="77777777" w:rsidR="00F03C8A" w:rsidRPr="00F7008B" w:rsidRDefault="00F03C8A" w:rsidP="005F392F">
            <w:pPr>
              <w:jc w:val="right"/>
              <w:rPr>
                <w:sz w:val="18"/>
                <w:szCs w:val="18"/>
                <w:lang w:eastAsia="en-CA"/>
              </w:rPr>
            </w:pPr>
            <w:r w:rsidRPr="00F7008B">
              <w:rPr>
                <w:sz w:val="18"/>
                <w:szCs w:val="18"/>
                <w:lang w:eastAsia="fr"/>
              </w:rPr>
              <w:t>211 292</w:t>
            </w:r>
          </w:p>
        </w:tc>
        <w:tc>
          <w:tcPr>
            <w:tcW w:w="1192" w:type="dxa"/>
            <w:tcBorders>
              <w:top w:val="nil"/>
              <w:left w:val="nil"/>
              <w:bottom w:val="single" w:sz="4" w:space="0" w:color="auto"/>
              <w:right w:val="single" w:sz="4" w:space="0" w:color="auto"/>
            </w:tcBorders>
            <w:shd w:val="clear" w:color="auto" w:fill="auto"/>
            <w:noWrap/>
            <w:hideMark/>
          </w:tcPr>
          <w:p w14:paraId="247C8833" w14:textId="77777777" w:rsidR="00F03C8A" w:rsidRPr="00F7008B" w:rsidRDefault="00F03C8A" w:rsidP="005F392F">
            <w:pPr>
              <w:jc w:val="right"/>
              <w:rPr>
                <w:sz w:val="18"/>
                <w:szCs w:val="18"/>
                <w:lang w:eastAsia="en-CA"/>
              </w:rPr>
            </w:pPr>
            <w:r w:rsidRPr="00F7008B">
              <w:rPr>
                <w:sz w:val="18"/>
                <w:szCs w:val="18"/>
                <w:lang w:eastAsia="fr"/>
              </w:rPr>
              <w:t>86</w:t>
            </w:r>
          </w:p>
        </w:tc>
      </w:tr>
      <w:tr w:rsidR="00F03C8A" w:rsidRPr="00F7008B" w14:paraId="1ABC3F39" w14:textId="77777777" w:rsidTr="005514B9">
        <w:trPr>
          <w:trHeight w:val="58"/>
        </w:trPr>
        <w:tc>
          <w:tcPr>
            <w:tcW w:w="1800" w:type="dxa"/>
            <w:tcBorders>
              <w:top w:val="nil"/>
              <w:left w:val="single" w:sz="4" w:space="0" w:color="auto"/>
              <w:bottom w:val="single" w:sz="4" w:space="0" w:color="auto"/>
              <w:right w:val="single" w:sz="4" w:space="0" w:color="auto"/>
            </w:tcBorders>
            <w:shd w:val="clear" w:color="auto" w:fill="auto"/>
            <w:noWrap/>
            <w:hideMark/>
          </w:tcPr>
          <w:p w14:paraId="051173A4" w14:textId="77777777" w:rsidR="00F03C8A" w:rsidRPr="00F7008B" w:rsidRDefault="00F03C8A" w:rsidP="005F392F">
            <w:pPr>
              <w:jc w:val="left"/>
              <w:rPr>
                <w:b/>
                <w:bCs/>
                <w:sz w:val="18"/>
                <w:szCs w:val="18"/>
                <w:lang w:eastAsia="en-CA"/>
              </w:rPr>
            </w:pPr>
            <w:r w:rsidRPr="00F7008B">
              <w:rPr>
                <w:b/>
                <w:bCs/>
                <w:sz w:val="18"/>
                <w:szCs w:val="18"/>
                <w:lang w:eastAsia="fr"/>
              </w:rPr>
              <w:t>Total</w:t>
            </w:r>
          </w:p>
        </w:tc>
        <w:tc>
          <w:tcPr>
            <w:tcW w:w="1072" w:type="dxa"/>
            <w:tcBorders>
              <w:top w:val="nil"/>
              <w:left w:val="nil"/>
              <w:bottom w:val="single" w:sz="4" w:space="0" w:color="auto"/>
              <w:right w:val="single" w:sz="4" w:space="0" w:color="auto"/>
            </w:tcBorders>
            <w:shd w:val="clear" w:color="auto" w:fill="auto"/>
            <w:noWrap/>
            <w:hideMark/>
          </w:tcPr>
          <w:p w14:paraId="098E1AF2" w14:textId="77777777" w:rsidR="00F03C8A" w:rsidRPr="00F7008B" w:rsidRDefault="00F03C8A" w:rsidP="005F392F">
            <w:pPr>
              <w:jc w:val="right"/>
              <w:rPr>
                <w:b/>
                <w:bCs/>
                <w:sz w:val="18"/>
                <w:szCs w:val="18"/>
                <w:lang w:eastAsia="en-CA"/>
              </w:rPr>
            </w:pPr>
            <w:r w:rsidRPr="00F7008B">
              <w:rPr>
                <w:b/>
                <w:bCs/>
                <w:sz w:val="18"/>
                <w:szCs w:val="18"/>
                <w:lang w:eastAsia="fr"/>
              </w:rPr>
              <w:t>18</w:t>
            </w:r>
          </w:p>
        </w:tc>
        <w:tc>
          <w:tcPr>
            <w:tcW w:w="1150" w:type="dxa"/>
            <w:tcBorders>
              <w:top w:val="nil"/>
              <w:left w:val="nil"/>
              <w:bottom w:val="single" w:sz="4" w:space="0" w:color="auto"/>
              <w:right w:val="single" w:sz="4" w:space="0" w:color="auto"/>
            </w:tcBorders>
            <w:shd w:val="clear" w:color="auto" w:fill="auto"/>
            <w:noWrap/>
            <w:hideMark/>
          </w:tcPr>
          <w:p w14:paraId="2BAC6A84" w14:textId="77777777" w:rsidR="00F03C8A" w:rsidRPr="00F7008B" w:rsidRDefault="00F03C8A" w:rsidP="005F392F">
            <w:pPr>
              <w:jc w:val="right"/>
              <w:rPr>
                <w:b/>
                <w:bCs/>
                <w:sz w:val="18"/>
                <w:szCs w:val="18"/>
                <w:lang w:eastAsia="en-CA"/>
              </w:rPr>
            </w:pPr>
            <w:r w:rsidRPr="00F7008B">
              <w:rPr>
                <w:b/>
                <w:bCs/>
                <w:sz w:val="18"/>
                <w:szCs w:val="18"/>
                <w:lang w:eastAsia="fr"/>
              </w:rPr>
              <w:t>10</w:t>
            </w:r>
          </w:p>
        </w:tc>
        <w:tc>
          <w:tcPr>
            <w:tcW w:w="1108" w:type="dxa"/>
            <w:tcBorders>
              <w:top w:val="nil"/>
              <w:left w:val="nil"/>
              <w:bottom w:val="single" w:sz="4" w:space="0" w:color="auto"/>
              <w:right w:val="single" w:sz="4" w:space="0" w:color="auto"/>
            </w:tcBorders>
            <w:shd w:val="clear" w:color="auto" w:fill="auto"/>
            <w:noWrap/>
            <w:hideMark/>
          </w:tcPr>
          <w:p w14:paraId="107F1110" w14:textId="77777777" w:rsidR="00F03C8A" w:rsidRPr="00F7008B" w:rsidRDefault="00F03C8A" w:rsidP="005F392F">
            <w:pPr>
              <w:jc w:val="right"/>
              <w:rPr>
                <w:b/>
                <w:sz w:val="18"/>
                <w:szCs w:val="18"/>
                <w:lang w:eastAsia="en-CA"/>
              </w:rPr>
            </w:pPr>
            <w:r w:rsidRPr="00F7008B">
              <w:rPr>
                <w:b/>
                <w:sz w:val="18"/>
                <w:szCs w:val="18"/>
                <w:lang w:eastAsia="fr"/>
              </w:rPr>
              <w:t>56</w:t>
            </w:r>
          </w:p>
        </w:tc>
        <w:tc>
          <w:tcPr>
            <w:tcW w:w="1078" w:type="dxa"/>
            <w:tcBorders>
              <w:top w:val="nil"/>
              <w:left w:val="nil"/>
              <w:bottom w:val="single" w:sz="4" w:space="0" w:color="auto"/>
              <w:right w:val="single" w:sz="4" w:space="0" w:color="auto"/>
            </w:tcBorders>
            <w:shd w:val="clear" w:color="auto" w:fill="auto"/>
            <w:noWrap/>
            <w:hideMark/>
          </w:tcPr>
          <w:p w14:paraId="75BE54BF" w14:textId="77777777" w:rsidR="00F03C8A" w:rsidRPr="00F7008B" w:rsidRDefault="00F03C8A" w:rsidP="005F392F">
            <w:pPr>
              <w:jc w:val="right"/>
              <w:rPr>
                <w:b/>
                <w:bCs/>
                <w:sz w:val="18"/>
                <w:szCs w:val="18"/>
                <w:lang w:eastAsia="en-CA"/>
              </w:rPr>
            </w:pPr>
            <w:r w:rsidRPr="00F7008B">
              <w:rPr>
                <w:b/>
                <w:bCs/>
                <w:sz w:val="18"/>
                <w:szCs w:val="18"/>
                <w:lang w:eastAsia="fr"/>
              </w:rPr>
              <w:t>6 051 258</w:t>
            </w:r>
          </w:p>
        </w:tc>
        <w:tc>
          <w:tcPr>
            <w:tcW w:w="1083" w:type="dxa"/>
            <w:tcBorders>
              <w:top w:val="nil"/>
              <w:left w:val="nil"/>
              <w:bottom w:val="single" w:sz="4" w:space="0" w:color="auto"/>
              <w:right w:val="single" w:sz="4" w:space="0" w:color="auto"/>
            </w:tcBorders>
            <w:shd w:val="clear" w:color="auto" w:fill="auto"/>
            <w:noWrap/>
            <w:hideMark/>
          </w:tcPr>
          <w:p w14:paraId="21C61D99" w14:textId="77777777" w:rsidR="00F03C8A" w:rsidRPr="00F7008B" w:rsidRDefault="00F03C8A" w:rsidP="005F392F">
            <w:pPr>
              <w:jc w:val="right"/>
              <w:rPr>
                <w:b/>
                <w:bCs/>
                <w:sz w:val="18"/>
                <w:szCs w:val="18"/>
                <w:lang w:eastAsia="en-CA"/>
              </w:rPr>
            </w:pPr>
            <w:r w:rsidRPr="00F7008B">
              <w:rPr>
                <w:b/>
                <w:bCs/>
                <w:sz w:val="18"/>
                <w:szCs w:val="18"/>
                <w:lang w:eastAsia="fr"/>
              </w:rPr>
              <w:t>5 542 824</w:t>
            </w:r>
          </w:p>
        </w:tc>
        <w:tc>
          <w:tcPr>
            <w:tcW w:w="960" w:type="dxa"/>
            <w:tcBorders>
              <w:top w:val="nil"/>
              <w:left w:val="nil"/>
              <w:bottom w:val="single" w:sz="4" w:space="0" w:color="auto"/>
              <w:right w:val="single" w:sz="4" w:space="0" w:color="auto"/>
            </w:tcBorders>
            <w:shd w:val="clear" w:color="auto" w:fill="auto"/>
            <w:noWrap/>
            <w:hideMark/>
          </w:tcPr>
          <w:p w14:paraId="486A33F3" w14:textId="77777777" w:rsidR="00F03C8A" w:rsidRPr="00F7008B" w:rsidRDefault="00F03C8A" w:rsidP="005F392F">
            <w:pPr>
              <w:jc w:val="right"/>
              <w:rPr>
                <w:b/>
                <w:bCs/>
                <w:sz w:val="18"/>
                <w:szCs w:val="18"/>
                <w:lang w:eastAsia="en-CA"/>
              </w:rPr>
            </w:pPr>
            <w:r w:rsidRPr="00F7008B">
              <w:rPr>
                <w:b/>
                <w:bCs/>
                <w:sz w:val="18"/>
                <w:szCs w:val="18"/>
                <w:lang w:eastAsia="fr"/>
              </w:rPr>
              <w:t>508 434</w:t>
            </w:r>
          </w:p>
        </w:tc>
        <w:tc>
          <w:tcPr>
            <w:tcW w:w="1192" w:type="dxa"/>
            <w:tcBorders>
              <w:top w:val="nil"/>
              <w:left w:val="nil"/>
              <w:bottom w:val="single" w:sz="4" w:space="0" w:color="auto"/>
              <w:right w:val="single" w:sz="4" w:space="0" w:color="auto"/>
            </w:tcBorders>
            <w:shd w:val="clear" w:color="auto" w:fill="auto"/>
            <w:noWrap/>
            <w:hideMark/>
          </w:tcPr>
          <w:p w14:paraId="2D57C20D" w14:textId="77777777" w:rsidR="00F03C8A" w:rsidRPr="00F7008B" w:rsidRDefault="00F03C8A" w:rsidP="005F392F">
            <w:pPr>
              <w:jc w:val="right"/>
              <w:rPr>
                <w:b/>
                <w:sz w:val="18"/>
                <w:szCs w:val="18"/>
                <w:lang w:eastAsia="en-CA"/>
              </w:rPr>
            </w:pPr>
            <w:r w:rsidRPr="00F7008B">
              <w:rPr>
                <w:b/>
                <w:sz w:val="18"/>
                <w:szCs w:val="18"/>
                <w:lang w:eastAsia="fr"/>
              </w:rPr>
              <w:t>92</w:t>
            </w:r>
          </w:p>
        </w:tc>
      </w:tr>
    </w:tbl>
    <w:p w14:paraId="42D220A9" w14:textId="77777777" w:rsidR="00F03C8A" w:rsidRPr="00822BBF" w:rsidRDefault="00F03C8A" w:rsidP="00F03C8A">
      <w:pPr>
        <w:pStyle w:val="Title1"/>
        <w:jc w:val="both"/>
        <w:rPr>
          <w:b w:val="0"/>
          <w:caps w:val="0"/>
          <w:sz w:val="19"/>
          <w:szCs w:val="19"/>
          <w:lang w:val="fr-FR"/>
        </w:rPr>
      </w:pPr>
      <w:r w:rsidRPr="00F7008B">
        <w:rPr>
          <w:b w:val="0"/>
          <w:caps w:val="0"/>
          <w:sz w:val="19"/>
          <w:szCs w:val="19"/>
          <w:lang w:val="fr"/>
        </w:rPr>
        <w:t>* À l'exclusion des coûts d'appui d'agence.</w:t>
      </w:r>
    </w:p>
    <w:p w14:paraId="123BBAA8" w14:textId="6A277DA9" w:rsidR="00F03C8A" w:rsidRPr="00822BBF" w:rsidRDefault="00F03C8A" w:rsidP="00F03C8A">
      <w:pPr>
        <w:pStyle w:val="Title1"/>
        <w:jc w:val="both"/>
        <w:rPr>
          <w:b w:val="0"/>
          <w:caps w:val="0"/>
          <w:sz w:val="19"/>
          <w:szCs w:val="19"/>
          <w:lang w:val="fr-FR"/>
        </w:rPr>
      </w:pPr>
      <w:r w:rsidRPr="00F7008B">
        <w:rPr>
          <w:b w:val="0"/>
          <w:caps w:val="0"/>
          <w:sz w:val="19"/>
          <w:szCs w:val="19"/>
          <w:lang w:val="fr"/>
        </w:rPr>
        <w:t xml:space="preserve">** 330,6 </w:t>
      </w:r>
      <w:proofErr w:type="spellStart"/>
      <w:r w:rsidRPr="00F7008B">
        <w:rPr>
          <w:b w:val="0"/>
          <w:caps w:val="0"/>
          <w:sz w:val="19"/>
          <w:szCs w:val="19"/>
          <w:lang w:val="fr"/>
        </w:rPr>
        <w:t>tm</w:t>
      </w:r>
      <w:proofErr w:type="spellEnd"/>
      <w:r w:rsidRPr="00F7008B">
        <w:rPr>
          <w:b w:val="0"/>
          <w:caps w:val="0"/>
          <w:sz w:val="19"/>
          <w:szCs w:val="19"/>
          <w:lang w:val="fr"/>
        </w:rPr>
        <w:t xml:space="preserve"> (432 801 </w:t>
      </w:r>
      <w:proofErr w:type="spellStart"/>
      <w:r w:rsidRPr="00F7008B">
        <w:rPr>
          <w:b w:val="0"/>
          <w:caps w:val="0"/>
          <w:sz w:val="19"/>
          <w:szCs w:val="19"/>
          <w:lang w:val="fr"/>
        </w:rPr>
        <w:t>tm</w:t>
      </w:r>
      <w:proofErr w:type="spellEnd"/>
      <w:r w:rsidRPr="00F7008B">
        <w:rPr>
          <w:b w:val="0"/>
          <w:caps w:val="0"/>
          <w:sz w:val="19"/>
          <w:szCs w:val="19"/>
          <w:lang w:val="fr"/>
        </w:rPr>
        <w:t xml:space="preserve"> CO</w:t>
      </w:r>
      <w:r w:rsidR="00B72F0B" w:rsidRPr="00F7008B">
        <w:rPr>
          <w:b w:val="0"/>
          <w:caps w:val="0"/>
          <w:sz w:val="19"/>
          <w:szCs w:val="19"/>
          <w:vertAlign w:val="subscript"/>
          <w:lang w:val="fr"/>
        </w:rPr>
        <w:t>2</w:t>
      </w:r>
      <w:r w:rsidR="00B72F0B" w:rsidRPr="00F7008B">
        <w:rPr>
          <w:b w:val="0"/>
          <w:caps w:val="0"/>
          <w:sz w:val="19"/>
          <w:szCs w:val="19"/>
          <w:lang w:val="fr"/>
        </w:rPr>
        <w:t xml:space="preserve">-éq.) sur 480,6 </w:t>
      </w:r>
      <w:proofErr w:type="spellStart"/>
      <w:r w:rsidR="00B72F0B" w:rsidRPr="00F7008B">
        <w:rPr>
          <w:b w:val="0"/>
          <w:caps w:val="0"/>
          <w:sz w:val="19"/>
          <w:szCs w:val="19"/>
          <w:lang w:val="fr"/>
        </w:rPr>
        <w:t>tm</w:t>
      </w:r>
      <w:proofErr w:type="spellEnd"/>
      <w:r w:rsidR="00B72F0B" w:rsidRPr="00F7008B">
        <w:rPr>
          <w:b w:val="0"/>
          <w:caps w:val="0"/>
          <w:sz w:val="19"/>
          <w:szCs w:val="19"/>
          <w:lang w:val="fr"/>
        </w:rPr>
        <w:t xml:space="preserve"> (587 301 </w:t>
      </w:r>
      <w:proofErr w:type="spellStart"/>
      <w:r w:rsidR="00B72F0B" w:rsidRPr="00F7008B">
        <w:rPr>
          <w:b w:val="0"/>
          <w:caps w:val="0"/>
          <w:sz w:val="19"/>
          <w:szCs w:val="19"/>
          <w:lang w:val="fr"/>
        </w:rPr>
        <w:t>tm</w:t>
      </w:r>
      <w:proofErr w:type="spellEnd"/>
      <w:r w:rsidR="00B72F0B" w:rsidRPr="00F7008B">
        <w:rPr>
          <w:b w:val="0"/>
          <w:caps w:val="0"/>
          <w:sz w:val="19"/>
          <w:szCs w:val="19"/>
          <w:lang w:val="fr"/>
        </w:rPr>
        <w:t xml:space="preserve"> CO</w:t>
      </w:r>
      <w:r w:rsidRPr="00F7008B">
        <w:rPr>
          <w:b w:val="0"/>
          <w:caps w:val="0"/>
          <w:sz w:val="19"/>
          <w:szCs w:val="19"/>
          <w:vertAlign w:val="subscript"/>
          <w:lang w:val="fr"/>
        </w:rPr>
        <w:t>2</w:t>
      </w:r>
      <w:r w:rsidR="00E1301A">
        <w:rPr>
          <w:b w:val="0"/>
          <w:caps w:val="0"/>
          <w:sz w:val="19"/>
          <w:szCs w:val="19"/>
          <w:lang w:val="fr"/>
        </w:rPr>
        <w:t>-éq.) de</w:t>
      </w:r>
      <w:r w:rsidRPr="00F7008B">
        <w:rPr>
          <w:b w:val="0"/>
          <w:caps w:val="0"/>
          <w:sz w:val="19"/>
          <w:szCs w:val="19"/>
          <w:lang w:val="fr"/>
        </w:rPr>
        <w:t xml:space="preserve"> HFC avaient été éliminé</w:t>
      </w:r>
      <w:r w:rsidR="00E1301A">
        <w:rPr>
          <w:b w:val="0"/>
          <w:caps w:val="0"/>
          <w:sz w:val="19"/>
          <w:szCs w:val="19"/>
          <w:lang w:val="fr"/>
        </w:rPr>
        <w:t>e</w:t>
      </w:r>
      <w:r w:rsidRPr="00F7008B">
        <w:rPr>
          <w:b w:val="0"/>
          <w:caps w:val="0"/>
          <w:sz w:val="19"/>
          <w:szCs w:val="19"/>
          <w:lang w:val="fr"/>
        </w:rPr>
        <w:t>s.</w:t>
      </w:r>
    </w:p>
    <w:p w14:paraId="1874688B" w14:textId="77777777" w:rsidR="00E52ADD" w:rsidRPr="00822BBF" w:rsidRDefault="00E52ADD" w:rsidP="00E52ADD">
      <w:pPr>
        <w:pStyle w:val="Title1"/>
        <w:jc w:val="both"/>
        <w:rPr>
          <w:b w:val="0"/>
          <w:caps w:val="0"/>
          <w:sz w:val="19"/>
          <w:szCs w:val="19"/>
          <w:lang w:val="fr-FR"/>
        </w:rPr>
      </w:pPr>
    </w:p>
    <w:p w14:paraId="44DB6819" w14:textId="355446D8" w:rsidR="00E52ADD" w:rsidRPr="00822BBF" w:rsidRDefault="00E52ADD" w:rsidP="00E52ADD">
      <w:pPr>
        <w:pStyle w:val="Heading1"/>
        <w:tabs>
          <w:tab w:val="clear" w:pos="0"/>
        </w:tabs>
        <w:rPr>
          <w:lang w:val="fr-FR"/>
        </w:rPr>
      </w:pPr>
      <w:r w:rsidRPr="00822BBF">
        <w:rPr>
          <w:lang w:val="fr-FR"/>
        </w:rPr>
        <w:t xml:space="preserve">À la fin 2020, sur les 18 projets approuvés, dix projets avaient été menés à terme, dont un projet d'investissement, quatre activités habilitantes et cinq activités de préparation, </w:t>
      </w:r>
      <w:r w:rsidR="000C6BEA" w:rsidRPr="00822BBF">
        <w:rPr>
          <w:lang w:val="fr-FR"/>
        </w:rPr>
        <w:t xml:space="preserve">les </w:t>
      </w:r>
      <w:r w:rsidRPr="00822BBF">
        <w:rPr>
          <w:lang w:val="fr-FR"/>
        </w:rPr>
        <w:t xml:space="preserve">huit projets </w:t>
      </w:r>
      <w:r w:rsidR="000C6BEA" w:rsidRPr="00822BBF">
        <w:rPr>
          <w:lang w:val="fr-FR"/>
        </w:rPr>
        <w:t xml:space="preserve">restants </w:t>
      </w:r>
      <w:r w:rsidRPr="00822BBF">
        <w:rPr>
          <w:lang w:val="fr-FR"/>
        </w:rPr>
        <w:t xml:space="preserve">suivant leur cours. L'ajournement de l'échéance des sept activités habilitantes en cours a été approuvé ; ces activités sont à divers stades de mise en œuvre. </w:t>
      </w:r>
      <w:r w:rsidR="00696730" w:rsidRPr="00822BBF">
        <w:rPr>
          <w:lang w:val="fr-FR"/>
        </w:rPr>
        <w:t>Pour donner suite au</w:t>
      </w:r>
      <w:r w:rsidRPr="00822BBF">
        <w:rPr>
          <w:lang w:val="fr-FR"/>
        </w:rPr>
        <w:t xml:space="preserve"> processus d'examen, trois projets d'activités habilitantes ont été classés comme projets présentant des retards de mise en œuvre et inclus à l'annexe I au présent document, laquelle comprend une recommandation du Secrétariat demandant la </w:t>
      </w:r>
      <w:r w:rsidR="000C6BEA" w:rsidRPr="00822BBF">
        <w:rPr>
          <w:lang w:val="fr-FR"/>
        </w:rPr>
        <w:t>soumission d'un rapport à la 90</w:t>
      </w:r>
      <w:r w:rsidR="00E3381C" w:rsidRPr="00822BBF">
        <w:rPr>
          <w:vertAlign w:val="superscript"/>
          <w:lang w:val="fr-FR" w:eastAsia="fr"/>
        </w:rPr>
        <w:t>e</w:t>
      </w:r>
      <w:r w:rsidRPr="00822BBF">
        <w:rPr>
          <w:lang w:val="fr-FR"/>
        </w:rPr>
        <w:t xml:space="preserve"> réunion.</w:t>
      </w:r>
    </w:p>
    <w:p w14:paraId="2ACDAC9C" w14:textId="5A9C95FF" w:rsidR="00504DF1" w:rsidRPr="00822BBF" w:rsidRDefault="00504DF1" w:rsidP="00ED5798">
      <w:pPr>
        <w:pStyle w:val="Heading1"/>
        <w:rPr>
          <w:lang w:val="fr-FR"/>
        </w:rPr>
      </w:pPr>
      <w:r w:rsidRPr="00822BBF">
        <w:rPr>
          <w:lang w:val="fr-FR"/>
        </w:rPr>
        <w:t>Conformément à la décision 82/11(b),</w:t>
      </w:r>
      <w:r w:rsidRPr="00F7008B">
        <w:rPr>
          <w:rStyle w:val="FootnoteReference"/>
        </w:rPr>
        <w:footnoteReference w:id="28"/>
      </w:r>
      <w:r w:rsidR="000C6BEA" w:rsidRPr="00822BBF">
        <w:rPr>
          <w:lang w:val="fr-FR"/>
        </w:rPr>
        <w:t xml:space="preserve"> l</w:t>
      </w:r>
      <w:r w:rsidRPr="00822BBF">
        <w:rPr>
          <w:lang w:val="fr-FR"/>
        </w:rPr>
        <w:t>e PNUD a demandé une nouvelle prolongation de la durée d'un projet portant sur des activités habilitantes, comme indiqué dans le tableau 2.</w:t>
      </w:r>
    </w:p>
    <w:p w14:paraId="2F63B3D1" w14:textId="608A3332" w:rsidR="00504DF1" w:rsidRPr="00822BBF" w:rsidRDefault="00504DF1" w:rsidP="00504DF1">
      <w:pPr>
        <w:pStyle w:val="Heading1"/>
        <w:keepNext/>
        <w:keepLines/>
        <w:numPr>
          <w:ilvl w:val="0"/>
          <w:numId w:val="0"/>
        </w:numPr>
        <w:spacing w:after="0"/>
        <w:rPr>
          <w:b/>
          <w:lang w:val="fr-FR"/>
        </w:rPr>
      </w:pPr>
      <w:r w:rsidRPr="00822BBF">
        <w:rPr>
          <w:lang w:val="fr-FR"/>
        </w:rPr>
        <w:t xml:space="preserve"> </w:t>
      </w:r>
      <w:r w:rsidRPr="00822BBF">
        <w:rPr>
          <w:b/>
          <w:lang w:val="fr-FR"/>
        </w:rPr>
        <w:t xml:space="preserve">Tableau 2. Projets dont la date d'échéance a fait l'objet d'une demande d'ajournement </w:t>
      </w:r>
    </w:p>
    <w:tbl>
      <w:tblPr>
        <w:tblStyle w:val="TableGrid"/>
        <w:tblW w:w="9407" w:type="dxa"/>
        <w:tblLook w:val="04A0" w:firstRow="1" w:lastRow="0" w:firstColumn="1" w:lastColumn="0" w:noHBand="0" w:noVBand="1"/>
      </w:tblPr>
      <w:tblGrid>
        <w:gridCol w:w="1971"/>
        <w:gridCol w:w="1213"/>
        <w:gridCol w:w="1280"/>
        <w:gridCol w:w="2336"/>
        <w:gridCol w:w="1321"/>
        <w:gridCol w:w="1286"/>
      </w:tblGrid>
      <w:tr w:rsidR="00504DF1" w:rsidRPr="00F7008B" w14:paraId="30BC41EC" w14:textId="77777777" w:rsidTr="00504DF1">
        <w:tc>
          <w:tcPr>
            <w:tcW w:w="1980" w:type="dxa"/>
          </w:tcPr>
          <w:p w14:paraId="1EF615EB" w14:textId="77777777" w:rsidR="00504DF1" w:rsidRPr="00822BBF" w:rsidRDefault="00504DF1" w:rsidP="00504DF1">
            <w:pPr>
              <w:jc w:val="center"/>
              <w:rPr>
                <w:b/>
                <w:sz w:val="18"/>
                <w:szCs w:val="18"/>
                <w:lang w:val="fr-FR"/>
              </w:rPr>
            </w:pPr>
            <w:r w:rsidRPr="00822BBF">
              <w:rPr>
                <w:b/>
                <w:sz w:val="18"/>
                <w:szCs w:val="18"/>
                <w:lang w:val="fr-FR"/>
              </w:rPr>
              <w:t>Code de pays/code de projet</w:t>
            </w:r>
          </w:p>
        </w:tc>
        <w:tc>
          <w:tcPr>
            <w:tcW w:w="1255" w:type="dxa"/>
          </w:tcPr>
          <w:p w14:paraId="61B3ACAA" w14:textId="77777777" w:rsidR="00504DF1" w:rsidRPr="00F7008B" w:rsidRDefault="00504DF1" w:rsidP="00504DF1">
            <w:pPr>
              <w:jc w:val="center"/>
              <w:rPr>
                <w:b/>
                <w:sz w:val="18"/>
                <w:szCs w:val="18"/>
              </w:rPr>
            </w:pPr>
            <w:r w:rsidRPr="00F7008B">
              <w:rPr>
                <w:b/>
                <w:sz w:val="18"/>
                <w:szCs w:val="18"/>
              </w:rPr>
              <w:t xml:space="preserve">Titre du </w:t>
            </w:r>
            <w:proofErr w:type="spellStart"/>
            <w:r w:rsidRPr="00F7008B">
              <w:rPr>
                <w:b/>
                <w:sz w:val="18"/>
                <w:szCs w:val="18"/>
              </w:rPr>
              <w:t>projet</w:t>
            </w:r>
            <w:proofErr w:type="spellEnd"/>
          </w:p>
        </w:tc>
        <w:tc>
          <w:tcPr>
            <w:tcW w:w="1286" w:type="dxa"/>
          </w:tcPr>
          <w:p w14:paraId="44F3DCDC" w14:textId="77777777" w:rsidR="00504DF1" w:rsidRPr="00F7008B" w:rsidRDefault="00504DF1" w:rsidP="00504DF1">
            <w:pPr>
              <w:jc w:val="center"/>
              <w:rPr>
                <w:b/>
                <w:sz w:val="18"/>
                <w:szCs w:val="18"/>
              </w:rPr>
            </w:pPr>
            <w:proofErr w:type="spellStart"/>
            <w:r w:rsidRPr="00F7008B">
              <w:rPr>
                <w:b/>
                <w:sz w:val="18"/>
                <w:szCs w:val="18"/>
              </w:rPr>
              <w:t>Décaissement</w:t>
            </w:r>
            <w:proofErr w:type="spellEnd"/>
            <w:r w:rsidRPr="00F7008B">
              <w:rPr>
                <w:b/>
                <w:sz w:val="18"/>
                <w:szCs w:val="18"/>
              </w:rPr>
              <w:t xml:space="preserve"> (%)</w:t>
            </w:r>
          </w:p>
        </w:tc>
        <w:tc>
          <w:tcPr>
            <w:tcW w:w="2584" w:type="dxa"/>
          </w:tcPr>
          <w:p w14:paraId="5A6CBB5D" w14:textId="77777777" w:rsidR="00504DF1" w:rsidRPr="00F7008B" w:rsidRDefault="00504DF1" w:rsidP="00504DF1">
            <w:pPr>
              <w:jc w:val="center"/>
              <w:rPr>
                <w:b/>
                <w:sz w:val="18"/>
                <w:szCs w:val="18"/>
              </w:rPr>
            </w:pPr>
            <w:r w:rsidRPr="00F7008B">
              <w:rPr>
                <w:b/>
                <w:sz w:val="18"/>
                <w:szCs w:val="18"/>
              </w:rPr>
              <w:t>État/Questions</w:t>
            </w:r>
          </w:p>
        </w:tc>
        <w:tc>
          <w:tcPr>
            <w:tcW w:w="1080" w:type="dxa"/>
          </w:tcPr>
          <w:p w14:paraId="185CB7A7" w14:textId="77777777" w:rsidR="00504DF1" w:rsidRPr="00F7008B" w:rsidRDefault="00504DF1" w:rsidP="00504DF1">
            <w:pPr>
              <w:jc w:val="center"/>
              <w:rPr>
                <w:b/>
                <w:sz w:val="18"/>
                <w:szCs w:val="18"/>
              </w:rPr>
            </w:pPr>
            <w:r w:rsidRPr="00F7008B">
              <w:rPr>
                <w:b/>
                <w:sz w:val="18"/>
                <w:szCs w:val="18"/>
              </w:rPr>
              <w:t xml:space="preserve">Date </w:t>
            </w:r>
            <w:proofErr w:type="spellStart"/>
            <w:r w:rsidRPr="00F7008B">
              <w:rPr>
                <w:b/>
                <w:sz w:val="18"/>
                <w:szCs w:val="18"/>
              </w:rPr>
              <w:t>d'achèvement</w:t>
            </w:r>
            <w:proofErr w:type="spellEnd"/>
            <w:r w:rsidRPr="00F7008B">
              <w:rPr>
                <w:b/>
                <w:sz w:val="18"/>
                <w:szCs w:val="18"/>
              </w:rPr>
              <w:t xml:space="preserve"> </w:t>
            </w:r>
            <w:proofErr w:type="spellStart"/>
            <w:r w:rsidRPr="00F7008B">
              <w:rPr>
                <w:b/>
                <w:sz w:val="18"/>
                <w:szCs w:val="18"/>
              </w:rPr>
              <w:t>révisée</w:t>
            </w:r>
            <w:proofErr w:type="spellEnd"/>
          </w:p>
        </w:tc>
        <w:tc>
          <w:tcPr>
            <w:tcW w:w="1222" w:type="dxa"/>
          </w:tcPr>
          <w:p w14:paraId="37FE457B" w14:textId="77777777" w:rsidR="00504DF1" w:rsidRPr="00F7008B" w:rsidRDefault="00504DF1" w:rsidP="00504DF1">
            <w:pPr>
              <w:jc w:val="center"/>
              <w:rPr>
                <w:b/>
                <w:sz w:val="18"/>
                <w:szCs w:val="18"/>
              </w:rPr>
            </w:pPr>
            <w:r w:rsidRPr="00F7008B">
              <w:rPr>
                <w:b/>
                <w:sz w:val="18"/>
                <w:szCs w:val="18"/>
              </w:rPr>
              <w:t xml:space="preserve">Date </w:t>
            </w:r>
            <w:proofErr w:type="spellStart"/>
            <w:r w:rsidRPr="00F7008B">
              <w:rPr>
                <w:b/>
                <w:sz w:val="18"/>
                <w:szCs w:val="18"/>
              </w:rPr>
              <w:t>d’achèvement</w:t>
            </w:r>
            <w:proofErr w:type="spellEnd"/>
            <w:r w:rsidRPr="00F7008B">
              <w:rPr>
                <w:b/>
                <w:sz w:val="18"/>
                <w:szCs w:val="18"/>
              </w:rPr>
              <w:t xml:space="preserve"> </w:t>
            </w:r>
            <w:proofErr w:type="spellStart"/>
            <w:r w:rsidRPr="00F7008B">
              <w:rPr>
                <w:b/>
                <w:sz w:val="18"/>
                <w:szCs w:val="18"/>
              </w:rPr>
              <w:t>demandée</w:t>
            </w:r>
            <w:proofErr w:type="spellEnd"/>
          </w:p>
        </w:tc>
      </w:tr>
      <w:tr w:rsidR="00504DF1" w:rsidRPr="00F7008B" w14:paraId="5F4F5F61" w14:textId="77777777" w:rsidTr="00504DF1">
        <w:tc>
          <w:tcPr>
            <w:tcW w:w="1980" w:type="dxa"/>
          </w:tcPr>
          <w:p w14:paraId="4139C417" w14:textId="77777777" w:rsidR="00504DF1" w:rsidRPr="00F7008B" w:rsidRDefault="00504DF1" w:rsidP="00504DF1">
            <w:pPr>
              <w:rPr>
                <w:sz w:val="18"/>
                <w:szCs w:val="18"/>
              </w:rPr>
            </w:pPr>
            <w:r w:rsidRPr="00F7008B">
              <w:rPr>
                <w:sz w:val="18"/>
                <w:szCs w:val="18"/>
              </w:rPr>
              <w:t>Uruguay</w:t>
            </w:r>
          </w:p>
          <w:p w14:paraId="60247986" w14:textId="77777777" w:rsidR="00504DF1" w:rsidRPr="00F7008B" w:rsidRDefault="00504DF1" w:rsidP="00504DF1">
            <w:pPr>
              <w:rPr>
                <w:sz w:val="18"/>
                <w:szCs w:val="18"/>
              </w:rPr>
            </w:pPr>
            <w:r w:rsidRPr="00F7008B">
              <w:rPr>
                <w:sz w:val="18"/>
                <w:szCs w:val="18"/>
              </w:rPr>
              <w:t>URU/SEV/80/TAS/02+</w:t>
            </w:r>
          </w:p>
        </w:tc>
        <w:tc>
          <w:tcPr>
            <w:tcW w:w="1255" w:type="dxa"/>
          </w:tcPr>
          <w:p w14:paraId="7256FB58" w14:textId="77777777" w:rsidR="00504DF1" w:rsidRPr="00822BBF" w:rsidRDefault="00504DF1" w:rsidP="00504DF1">
            <w:pPr>
              <w:jc w:val="left"/>
              <w:rPr>
                <w:sz w:val="18"/>
                <w:szCs w:val="18"/>
                <w:lang w:val="fr-FR"/>
              </w:rPr>
            </w:pPr>
            <w:r w:rsidRPr="00822BBF">
              <w:rPr>
                <w:sz w:val="18"/>
                <w:szCs w:val="18"/>
                <w:lang w:val="fr-FR"/>
              </w:rPr>
              <w:t>Activités de facilitation de la réduction progressive des HFC</w:t>
            </w:r>
          </w:p>
        </w:tc>
        <w:tc>
          <w:tcPr>
            <w:tcW w:w="1286" w:type="dxa"/>
          </w:tcPr>
          <w:p w14:paraId="0DF54DDE" w14:textId="4376AE2E" w:rsidR="00504DF1" w:rsidRPr="00F7008B" w:rsidRDefault="00504DF1" w:rsidP="00504DF1">
            <w:pPr>
              <w:jc w:val="center"/>
              <w:rPr>
                <w:sz w:val="18"/>
                <w:szCs w:val="18"/>
              </w:rPr>
            </w:pPr>
            <w:r w:rsidRPr="00F7008B">
              <w:rPr>
                <w:sz w:val="18"/>
                <w:szCs w:val="18"/>
              </w:rPr>
              <w:t>74</w:t>
            </w:r>
          </w:p>
        </w:tc>
        <w:tc>
          <w:tcPr>
            <w:tcW w:w="2584" w:type="dxa"/>
          </w:tcPr>
          <w:p w14:paraId="16B8EA89" w14:textId="77777777" w:rsidR="00504DF1" w:rsidRPr="00822BBF" w:rsidRDefault="00504DF1" w:rsidP="00504DF1">
            <w:pPr>
              <w:jc w:val="left"/>
              <w:rPr>
                <w:sz w:val="18"/>
                <w:szCs w:val="18"/>
                <w:lang w:val="fr-FR"/>
              </w:rPr>
            </w:pPr>
            <w:r w:rsidRPr="00822BBF">
              <w:rPr>
                <w:sz w:val="18"/>
                <w:szCs w:val="18"/>
                <w:lang w:val="fr-FR"/>
              </w:rPr>
              <w:t>En raison des restrictions liées au COVID-19, retards dans l'achèvement de l'évaluation des besoins pour le renforcement des capacités douanières pour le contrôle des HFC et l'achèvement du diagnostic du cadre juridique pour la mise en œuvre de l'amendement relatif aux HFC</w:t>
            </w:r>
          </w:p>
        </w:tc>
        <w:tc>
          <w:tcPr>
            <w:tcW w:w="1080" w:type="dxa"/>
          </w:tcPr>
          <w:p w14:paraId="4F0A35AD" w14:textId="77777777" w:rsidR="00504DF1" w:rsidRPr="00F7008B" w:rsidRDefault="00504DF1" w:rsidP="00504DF1">
            <w:pPr>
              <w:jc w:val="right"/>
              <w:rPr>
                <w:sz w:val="18"/>
                <w:szCs w:val="18"/>
              </w:rPr>
            </w:pPr>
            <w:proofErr w:type="spellStart"/>
            <w:r w:rsidRPr="00F7008B">
              <w:rPr>
                <w:sz w:val="18"/>
                <w:szCs w:val="18"/>
              </w:rPr>
              <w:t>décembre</w:t>
            </w:r>
            <w:proofErr w:type="spellEnd"/>
            <w:r w:rsidRPr="00F7008B">
              <w:rPr>
                <w:sz w:val="18"/>
                <w:szCs w:val="18"/>
              </w:rPr>
              <w:t> 2021</w:t>
            </w:r>
          </w:p>
        </w:tc>
        <w:tc>
          <w:tcPr>
            <w:tcW w:w="1222" w:type="dxa"/>
          </w:tcPr>
          <w:p w14:paraId="55BA189F" w14:textId="77777777" w:rsidR="00504DF1" w:rsidRPr="00F7008B" w:rsidRDefault="00504DF1" w:rsidP="00504DF1">
            <w:pPr>
              <w:jc w:val="right"/>
              <w:rPr>
                <w:sz w:val="18"/>
                <w:szCs w:val="18"/>
              </w:rPr>
            </w:pPr>
            <w:proofErr w:type="spellStart"/>
            <w:r w:rsidRPr="00F7008B">
              <w:rPr>
                <w:sz w:val="18"/>
                <w:szCs w:val="18"/>
              </w:rPr>
              <w:t>juin</w:t>
            </w:r>
            <w:proofErr w:type="spellEnd"/>
            <w:r w:rsidRPr="00F7008B">
              <w:rPr>
                <w:sz w:val="18"/>
                <w:szCs w:val="18"/>
              </w:rPr>
              <w:t xml:space="preserve"> 2022</w:t>
            </w:r>
          </w:p>
        </w:tc>
      </w:tr>
    </w:tbl>
    <w:p w14:paraId="30356B7D" w14:textId="71373BA4" w:rsidR="002B73E4" w:rsidRPr="00822BBF" w:rsidRDefault="002B73E4" w:rsidP="002B73E4">
      <w:pPr>
        <w:pStyle w:val="Heading1"/>
        <w:tabs>
          <w:tab w:val="clear" w:pos="0"/>
        </w:tabs>
        <w:rPr>
          <w:lang w:val="fr-FR"/>
        </w:rPr>
      </w:pPr>
      <w:r w:rsidRPr="00822BBF">
        <w:rPr>
          <w:lang w:val="fr-FR"/>
        </w:rPr>
        <w:lastRenderedPageBreak/>
        <w:t>Le projet d'investissement en cours résiduel, qui a été approuvé à la 82</w:t>
      </w:r>
      <w:r w:rsidRPr="00822BBF">
        <w:rPr>
          <w:vertAlign w:val="superscript"/>
          <w:lang w:val="fr-FR"/>
        </w:rPr>
        <w:t>e</w:t>
      </w:r>
      <w:r w:rsidRPr="00822BBF">
        <w:rPr>
          <w:lang w:val="fr-FR"/>
        </w:rPr>
        <w:t xml:space="preserve"> réunion, devrait être mené à terme en 2021, 80 % des fonds approuvés étant décaissés.</w:t>
      </w:r>
    </w:p>
    <w:p w14:paraId="0C695D2D" w14:textId="7B51433D" w:rsidR="002B73E4" w:rsidRPr="00822BBF" w:rsidRDefault="002B73E4" w:rsidP="002B73E4">
      <w:pPr>
        <w:pStyle w:val="Heading1"/>
        <w:rPr>
          <w:lang w:val="fr-FR"/>
        </w:rPr>
      </w:pPr>
      <w:r w:rsidRPr="00822BBF">
        <w:rPr>
          <w:lang w:val="fr-FR"/>
        </w:rPr>
        <w:t>Sur le financement accumulé total approuvé de 6 051 258 $</w:t>
      </w:r>
      <w:r w:rsidR="000C6BEA" w:rsidRPr="00822BBF">
        <w:rPr>
          <w:lang w:val="fr-FR"/>
        </w:rPr>
        <w:t> </w:t>
      </w:r>
      <w:r w:rsidRPr="00822BBF">
        <w:rPr>
          <w:lang w:val="fr-FR"/>
        </w:rPr>
        <w:t>US, 5 542 824 $</w:t>
      </w:r>
      <w:r w:rsidR="000C6BEA" w:rsidRPr="00822BBF">
        <w:rPr>
          <w:lang w:val="fr-FR"/>
        </w:rPr>
        <w:t> </w:t>
      </w:r>
      <w:r w:rsidRPr="00822BBF">
        <w:rPr>
          <w:lang w:val="fr-FR"/>
        </w:rPr>
        <w:t>US ont été décaissés, ce qui représente un taux de décaissement de 92 %.</w:t>
      </w:r>
    </w:p>
    <w:p w14:paraId="412834C1" w14:textId="77777777" w:rsidR="00E52ADD" w:rsidRPr="00F7008B" w:rsidRDefault="00E52ADD" w:rsidP="00E52ADD">
      <w:pPr>
        <w:pStyle w:val="a--"/>
        <w:keepNext/>
        <w:keepLines/>
        <w:tabs>
          <w:tab w:val="clear" w:pos="-720"/>
          <w:tab w:val="clear" w:pos="0"/>
          <w:tab w:val="clear" w:pos="720"/>
          <w:tab w:val="clear" w:pos="1440"/>
          <w:tab w:val="clear" w:pos="2160"/>
          <w:tab w:val="clear" w:pos="2880"/>
          <w:tab w:val="clear" w:pos="3600"/>
        </w:tabs>
        <w:suppressAutoHyphens w:val="0"/>
        <w:jc w:val="left"/>
        <w:rPr>
          <w:sz w:val="22"/>
          <w:szCs w:val="22"/>
          <w:lang w:val="en-CA"/>
        </w:rPr>
      </w:pPr>
      <w:r w:rsidRPr="00F7008B">
        <w:rPr>
          <w:sz w:val="22"/>
          <w:szCs w:val="22"/>
          <w:lang w:val="fr"/>
        </w:rPr>
        <w:t>Recommandation</w:t>
      </w:r>
    </w:p>
    <w:p w14:paraId="3E7CACCD" w14:textId="77777777" w:rsidR="00E52ADD" w:rsidRPr="00F7008B" w:rsidRDefault="00E52ADD" w:rsidP="00E52ADD">
      <w:pPr>
        <w:keepNext/>
        <w:keepLines/>
        <w:rPr>
          <w:b/>
          <w:bCs/>
        </w:rPr>
      </w:pPr>
    </w:p>
    <w:p w14:paraId="4FFE0266" w14:textId="77777777" w:rsidR="00E52ADD" w:rsidRPr="00822BBF" w:rsidRDefault="00E52ADD" w:rsidP="00E52ADD">
      <w:pPr>
        <w:pStyle w:val="Heading1"/>
        <w:tabs>
          <w:tab w:val="clear" w:pos="0"/>
        </w:tabs>
        <w:rPr>
          <w:lang w:val="fr-FR"/>
        </w:rPr>
      </w:pPr>
      <w:r w:rsidRPr="00822BBF">
        <w:rPr>
          <w:lang w:val="fr-FR"/>
        </w:rPr>
        <w:t>Le Comité exécutif pourrait souhaiter :</w:t>
      </w:r>
    </w:p>
    <w:p w14:paraId="76F27FCA" w14:textId="09079904" w:rsidR="006537BE" w:rsidRPr="00822BBF" w:rsidRDefault="00E52ADD" w:rsidP="00E52ADD">
      <w:pPr>
        <w:pStyle w:val="Heading2"/>
        <w:numPr>
          <w:ilvl w:val="1"/>
          <w:numId w:val="1"/>
        </w:numPr>
        <w:tabs>
          <w:tab w:val="clear" w:pos="0"/>
        </w:tabs>
        <w:rPr>
          <w:lang w:val="fr-FR"/>
        </w:rPr>
      </w:pPr>
      <w:r w:rsidRPr="00822BBF">
        <w:rPr>
          <w:lang w:val="fr-FR"/>
        </w:rPr>
        <w:t>Prendre note du rapport périodique du PNUD au 31 décembre 2020 figurant dans le documen</w:t>
      </w:r>
      <w:r w:rsidR="000C6BEA" w:rsidRPr="00822BBF">
        <w:rPr>
          <w:lang w:val="fr-FR"/>
        </w:rPr>
        <w:t>t UNEP/</w:t>
      </w:r>
      <w:proofErr w:type="spellStart"/>
      <w:r w:rsidR="000C6BEA" w:rsidRPr="00822BBF">
        <w:rPr>
          <w:lang w:val="fr-FR"/>
        </w:rPr>
        <w:t>OzL.Pro</w:t>
      </w:r>
      <w:proofErr w:type="spellEnd"/>
      <w:r w:rsidR="000C6BEA" w:rsidRPr="00822BBF">
        <w:rPr>
          <w:lang w:val="fr-FR"/>
        </w:rPr>
        <w:t>/</w:t>
      </w:r>
      <w:proofErr w:type="spellStart"/>
      <w:r w:rsidR="000C6BEA" w:rsidRPr="00822BBF">
        <w:rPr>
          <w:lang w:val="fr-FR"/>
        </w:rPr>
        <w:t>ExCom</w:t>
      </w:r>
      <w:proofErr w:type="spellEnd"/>
      <w:r w:rsidR="000C6BEA" w:rsidRPr="00822BBF">
        <w:rPr>
          <w:lang w:val="fr-FR"/>
        </w:rPr>
        <w:t xml:space="preserve">/88/14 ; </w:t>
      </w:r>
    </w:p>
    <w:p w14:paraId="5EAED94C" w14:textId="440D973E" w:rsidR="00E52ADD" w:rsidRPr="00822BBF" w:rsidRDefault="003F7ED2" w:rsidP="00E52ADD">
      <w:pPr>
        <w:pStyle w:val="Heading2"/>
        <w:numPr>
          <w:ilvl w:val="1"/>
          <w:numId w:val="1"/>
        </w:numPr>
        <w:tabs>
          <w:tab w:val="clear" w:pos="0"/>
        </w:tabs>
        <w:rPr>
          <w:lang w:val="fr-FR"/>
        </w:rPr>
      </w:pPr>
      <w:r w:rsidRPr="00822BBF">
        <w:rPr>
          <w:lang w:val="fr-FR"/>
        </w:rPr>
        <w:t>Approuver la prolongation, jusqu'au 30 juin 2022, des activités habilitantes pour la réduction progressive des HFC pour l'Uruguay (URU/SEV/80/TAS/02+), afin de permettre au PNUD d'achever le renforcement des capacités pour la surveillance des HFC et les activités liées au cadre juridique qui n'a pas pu être mené à terme avant le 31 décembre 2021 en raison des restrictions liées au COVID</w:t>
      </w:r>
      <w:r w:rsidR="00927352" w:rsidRPr="00822BBF">
        <w:rPr>
          <w:lang w:val="fr-FR"/>
        </w:rPr>
        <w:noBreakHyphen/>
      </w:r>
      <w:r w:rsidRPr="00822BBF">
        <w:rPr>
          <w:lang w:val="fr-FR"/>
        </w:rPr>
        <w:t>19 ; et</w:t>
      </w:r>
    </w:p>
    <w:p w14:paraId="74D31511" w14:textId="77777777" w:rsidR="00E52ADD" w:rsidRPr="00822BBF" w:rsidRDefault="00E52ADD" w:rsidP="00F7008B">
      <w:pPr>
        <w:pStyle w:val="Heading2"/>
        <w:keepNext/>
        <w:widowControl/>
        <w:numPr>
          <w:ilvl w:val="1"/>
          <w:numId w:val="1"/>
        </w:numPr>
        <w:tabs>
          <w:tab w:val="clear" w:pos="0"/>
        </w:tabs>
        <w:rPr>
          <w:lang w:val="fr-FR"/>
        </w:rPr>
      </w:pPr>
      <w:r w:rsidRPr="00822BBF">
        <w:rPr>
          <w:lang w:val="fr-FR"/>
        </w:rPr>
        <w:t>Approuver les recommandations sur les projets en cours comportant des questions en suspens, figurant à l’annexe I au présent document.</w:t>
      </w:r>
    </w:p>
    <w:p w14:paraId="60DC32EC" w14:textId="77777777" w:rsidR="00E52ADD" w:rsidRPr="00822BBF" w:rsidRDefault="00E52ADD" w:rsidP="00E52ADD">
      <w:pPr>
        <w:rPr>
          <w:lang w:val="fr-FR"/>
        </w:rPr>
      </w:pPr>
    </w:p>
    <w:p w14:paraId="7A9A6A69" w14:textId="77777777" w:rsidR="00E52ADD" w:rsidRPr="00822BBF" w:rsidRDefault="00E52ADD" w:rsidP="00E52ADD">
      <w:pPr>
        <w:rPr>
          <w:lang w:val="fr-FR"/>
        </w:rPr>
        <w:sectPr w:rsidR="00E52ADD" w:rsidRPr="00822BBF"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10F146D1" w14:textId="77777777" w:rsidR="00E52ADD" w:rsidRPr="00822BBF" w:rsidRDefault="00E52ADD" w:rsidP="00E52ADD">
      <w:pPr>
        <w:jc w:val="center"/>
        <w:rPr>
          <w:b/>
          <w:bCs/>
          <w:lang w:val="fr-FR"/>
        </w:rPr>
      </w:pPr>
      <w:r w:rsidRPr="00822BBF">
        <w:rPr>
          <w:b/>
          <w:bCs/>
          <w:lang w:val="fr-FR"/>
        </w:rPr>
        <w:lastRenderedPageBreak/>
        <w:t>Annexe I</w:t>
      </w:r>
    </w:p>
    <w:p w14:paraId="13367F65" w14:textId="77777777" w:rsidR="00E52ADD" w:rsidRPr="00822BBF" w:rsidRDefault="00E52ADD" w:rsidP="00E52ADD">
      <w:pPr>
        <w:jc w:val="center"/>
        <w:rPr>
          <w:b/>
          <w:bCs/>
          <w:lang w:val="fr-FR"/>
        </w:rPr>
      </w:pPr>
    </w:p>
    <w:p w14:paraId="2CC1F366" w14:textId="48FB6413" w:rsidR="00E52ADD" w:rsidRPr="00822BBF" w:rsidRDefault="00E52ADD" w:rsidP="00E52ADD">
      <w:pPr>
        <w:pStyle w:val="Heading2"/>
        <w:numPr>
          <w:ilvl w:val="0"/>
          <w:numId w:val="0"/>
        </w:numPr>
        <w:jc w:val="center"/>
        <w:rPr>
          <w:b/>
          <w:lang w:val="fr-FR"/>
        </w:rPr>
      </w:pPr>
      <w:r w:rsidRPr="00822BBF">
        <w:rPr>
          <w:b/>
          <w:lang w:val="fr-FR"/>
        </w:rPr>
        <w:t>PROJETS EN COURS COMPORTANT DES QUESTIONS EN SUSPENS DANS LE RAPPORT PÉRIODIQUE DU PNUD</w:t>
      </w:r>
    </w:p>
    <w:tbl>
      <w:tblPr>
        <w:tblW w:w="14243" w:type="dxa"/>
        <w:tblInd w:w="-5" w:type="dxa"/>
        <w:tblLook w:val="04A0" w:firstRow="1" w:lastRow="0" w:firstColumn="1" w:lastColumn="0" w:noHBand="0" w:noVBand="1"/>
      </w:tblPr>
      <w:tblGrid>
        <w:gridCol w:w="2406"/>
        <w:gridCol w:w="4308"/>
        <w:gridCol w:w="1405"/>
        <w:gridCol w:w="1893"/>
        <w:gridCol w:w="4231"/>
      </w:tblGrid>
      <w:tr w:rsidR="00D570E9" w:rsidRPr="00F7008B" w14:paraId="575081A0" w14:textId="77777777" w:rsidTr="00514D39">
        <w:trPr>
          <w:trHeight w:val="528"/>
          <w:tblHeader/>
        </w:trPr>
        <w:tc>
          <w:tcPr>
            <w:tcW w:w="2406" w:type="dxa"/>
            <w:tcBorders>
              <w:top w:val="single" w:sz="4" w:space="0" w:color="auto"/>
              <w:left w:val="single" w:sz="4" w:space="0" w:color="auto"/>
              <w:bottom w:val="single" w:sz="4" w:space="0" w:color="auto"/>
              <w:right w:val="single" w:sz="4" w:space="0" w:color="auto"/>
            </w:tcBorders>
            <w:shd w:val="clear" w:color="auto" w:fill="auto"/>
            <w:hideMark/>
          </w:tcPr>
          <w:p w14:paraId="27A36241" w14:textId="010BBF81" w:rsidR="00D570E9" w:rsidRPr="00822BBF" w:rsidRDefault="00D570E9" w:rsidP="00D570E9">
            <w:pPr>
              <w:jc w:val="center"/>
              <w:rPr>
                <w:b/>
                <w:bCs/>
                <w:sz w:val="20"/>
                <w:szCs w:val="20"/>
                <w:lang w:val="fr-FR" w:eastAsia="en-CA"/>
              </w:rPr>
            </w:pPr>
            <w:r w:rsidRPr="00822BBF">
              <w:rPr>
                <w:b/>
                <w:bCs/>
                <w:sz w:val="20"/>
                <w:szCs w:val="20"/>
                <w:lang w:val="fr-FR" w:eastAsia="fr"/>
              </w:rPr>
              <w:t>Code de pays/code de projet</w:t>
            </w:r>
          </w:p>
        </w:tc>
        <w:tc>
          <w:tcPr>
            <w:tcW w:w="4308" w:type="dxa"/>
            <w:tcBorders>
              <w:top w:val="single" w:sz="4" w:space="0" w:color="auto"/>
              <w:left w:val="nil"/>
              <w:bottom w:val="single" w:sz="4" w:space="0" w:color="auto"/>
              <w:right w:val="single" w:sz="4" w:space="0" w:color="auto"/>
            </w:tcBorders>
            <w:shd w:val="clear" w:color="auto" w:fill="auto"/>
            <w:hideMark/>
          </w:tcPr>
          <w:p w14:paraId="41FD150E" w14:textId="77777777" w:rsidR="00D570E9" w:rsidRPr="00F7008B" w:rsidRDefault="00D570E9" w:rsidP="00D570E9">
            <w:pPr>
              <w:jc w:val="center"/>
              <w:rPr>
                <w:b/>
                <w:bCs/>
                <w:sz w:val="20"/>
                <w:szCs w:val="20"/>
                <w:lang w:eastAsia="en-CA"/>
              </w:rPr>
            </w:pPr>
            <w:r w:rsidRPr="00F7008B">
              <w:rPr>
                <w:b/>
                <w:bCs/>
                <w:sz w:val="20"/>
                <w:szCs w:val="20"/>
                <w:lang w:eastAsia="fr"/>
              </w:rPr>
              <w:t xml:space="preserve">Titre du </w:t>
            </w:r>
            <w:proofErr w:type="spellStart"/>
            <w:r w:rsidRPr="00F7008B">
              <w:rPr>
                <w:b/>
                <w:bCs/>
                <w:sz w:val="20"/>
                <w:szCs w:val="20"/>
                <w:lang w:eastAsia="fr"/>
              </w:rPr>
              <w:t>projet</w:t>
            </w:r>
            <w:proofErr w:type="spellEnd"/>
          </w:p>
        </w:tc>
        <w:tc>
          <w:tcPr>
            <w:tcW w:w="1405" w:type="dxa"/>
            <w:tcBorders>
              <w:top w:val="single" w:sz="4" w:space="0" w:color="auto"/>
              <w:left w:val="nil"/>
              <w:bottom w:val="single" w:sz="4" w:space="0" w:color="auto"/>
              <w:right w:val="single" w:sz="4" w:space="0" w:color="auto"/>
            </w:tcBorders>
            <w:shd w:val="clear" w:color="auto" w:fill="auto"/>
            <w:hideMark/>
          </w:tcPr>
          <w:p w14:paraId="251D91D4" w14:textId="77777777" w:rsidR="00D570E9" w:rsidRPr="00F7008B" w:rsidRDefault="00D570E9" w:rsidP="00D570E9">
            <w:pPr>
              <w:jc w:val="center"/>
              <w:rPr>
                <w:b/>
                <w:bCs/>
                <w:sz w:val="20"/>
                <w:szCs w:val="20"/>
                <w:lang w:eastAsia="en-CA"/>
              </w:rPr>
            </w:pPr>
            <w:proofErr w:type="spellStart"/>
            <w:r w:rsidRPr="00F7008B">
              <w:rPr>
                <w:b/>
                <w:bCs/>
                <w:sz w:val="20"/>
                <w:szCs w:val="20"/>
                <w:lang w:eastAsia="fr"/>
              </w:rPr>
              <w:t>Décaissement</w:t>
            </w:r>
            <w:proofErr w:type="spellEnd"/>
            <w:r w:rsidRPr="00F7008B">
              <w:rPr>
                <w:b/>
                <w:bCs/>
                <w:sz w:val="20"/>
                <w:szCs w:val="20"/>
                <w:lang w:eastAsia="fr"/>
              </w:rPr>
              <w:t xml:space="preserve"> (%)</w:t>
            </w:r>
          </w:p>
        </w:tc>
        <w:tc>
          <w:tcPr>
            <w:tcW w:w="1893" w:type="dxa"/>
            <w:tcBorders>
              <w:top w:val="single" w:sz="4" w:space="0" w:color="auto"/>
              <w:left w:val="nil"/>
              <w:bottom w:val="single" w:sz="4" w:space="0" w:color="auto"/>
              <w:right w:val="single" w:sz="4" w:space="0" w:color="auto"/>
            </w:tcBorders>
            <w:shd w:val="clear" w:color="auto" w:fill="auto"/>
            <w:hideMark/>
          </w:tcPr>
          <w:p w14:paraId="7A704063" w14:textId="77777777" w:rsidR="00D570E9" w:rsidRPr="00F7008B" w:rsidRDefault="00D570E9" w:rsidP="00D570E9">
            <w:pPr>
              <w:jc w:val="center"/>
              <w:rPr>
                <w:b/>
                <w:bCs/>
                <w:sz w:val="20"/>
                <w:szCs w:val="20"/>
                <w:lang w:eastAsia="en-CA"/>
              </w:rPr>
            </w:pPr>
            <w:r w:rsidRPr="00F7008B">
              <w:rPr>
                <w:b/>
                <w:bCs/>
                <w:sz w:val="20"/>
                <w:szCs w:val="20"/>
                <w:lang w:eastAsia="fr"/>
              </w:rPr>
              <w:t>État/Questions</w:t>
            </w:r>
          </w:p>
        </w:tc>
        <w:tc>
          <w:tcPr>
            <w:tcW w:w="4231" w:type="dxa"/>
            <w:tcBorders>
              <w:top w:val="single" w:sz="4" w:space="0" w:color="auto"/>
              <w:left w:val="nil"/>
              <w:bottom w:val="single" w:sz="4" w:space="0" w:color="auto"/>
              <w:right w:val="single" w:sz="4" w:space="0" w:color="auto"/>
            </w:tcBorders>
            <w:shd w:val="clear" w:color="auto" w:fill="auto"/>
            <w:hideMark/>
          </w:tcPr>
          <w:p w14:paraId="3F631605" w14:textId="77777777" w:rsidR="00D570E9" w:rsidRPr="00F7008B" w:rsidRDefault="00D570E9" w:rsidP="00D570E9">
            <w:pPr>
              <w:jc w:val="center"/>
              <w:rPr>
                <w:b/>
                <w:bCs/>
                <w:sz w:val="20"/>
                <w:szCs w:val="20"/>
                <w:lang w:eastAsia="en-CA"/>
              </w:rPr>
            </w:pPr>
            <w:proofErr w:type="spellStart"/>
            <w:r w:rsidRPr="00F7008B">
              <w:rPr>
                <w:b/>
                <w:bCs/>
                <w:sz w:val="20"/>
                <w:szCs w:val="20"/>
                <w:lang w:eastAsia="fr"/>
              </w:rPr>
              <w:t>Recommandation</w:t>
            </w:r>
            <w:proofErr w:type="spellEnd"/>
          </w:p>
        </w:tc>
      </w:tr>
      <w:tr w:rsidR="00D570E9" w:rsidRPr="0056042B" w14:paraId="6A58DEDE" w14:textId="77777777" w:rsidTr="00514D39">
        <w:trPr>
          <w:trHeight w:val="267"/>
        </w:trPr>
        <w:tc>
          <w:tcPr>
            <w:tcW w:w="2406" w:type="dxa"/>
            <w:tcBorders>
              <w:top w:val="nil"/>
              <w:left w:val="single" w:sz="4" w:space="0" w:color="auto"/>
              <w:bottom w:val="single" w:sz="4" w:space="0" w:color="auto"/>
              <w:right w:val="single" w:sz="4" w:space="0" w:color="auto"/>
            </w:tcBorders>
            <w:shd w:val="clear" w:color="auto" w:fill="auto"/>
            <w:hideMark/>
          </w:tcPr>
          <w:p w14:paraId="4689BFBA" w14:textId="77777777" w:rsidR="00D570E9" w:rsidRPr="00F7008B" w:rsidRDefault="00D570E9" w:rsidP="00D570E9">
            <w:pPr>
              <w:jc w:val="left"/>
              <w:rPr>
                <w:sz w:val="20"/>
                <w:szCs w:val="20"/>
                <w:lang w:eastAsia="en-CA"/>
              </w:rPr>
            </w:pPr>
            <w:r w:rsidRPr="00F7008B">
              <w:rPr>
                <w:sz w:val="20"/>
                <w:szCs w:val="20"/>
                <w:lang w:eastAsia="fr"/>
              </w:rPr>
              <w:t>Bangladesh</w:t>
            </w:r>
          </w:p>
          <w:p w14:paraId="2D8D0BED" w14:textId="77777777" w:rsidR="00D570E9" w:rsidRPr="00F7008B" w:rsidRDefault="00D570E9" w:rsidP="00D570E9">
            <w:pPr>
              <w:jc w:val="left"/>
              <w:rPr>
                <w:sz w:val="20"/>
                <w:szCs w:val="20"/>
                <w:lang w:eastAsia="en-CA"/>
              </w:rPr>
            </w:pPr>
            <w:r w:rsidRPr="00F7008B">
              <w:rPr>
                <w:sz w:val="20"/>
                <w:szCs w:val="20"/>
                <w:lang w:eastAsia="fr"/>
              </w:rPr>
              <w:t>BGD/PHA/81/INV/51</w:t>
            </w:r>
          </w:p>
        </w:tc>
        <w:tc>
          <w:tcPr>
            <w:tcW w:w="4308" w:type="dxa"/>
            <w:tcBorders>
              <w:top w:val="nil"/>
              <w:left w:val="nil"/>
              <w:bottom w:val="single" w:sz="4" w:space="0" w:color="auto"/>
              <w:right w:val="single" w:sz="4" w:space="0" w:color="auto"/>
            </w:tcBorders>
            <w:shd w:val="clear" w:color="auto" w:fill="auto"/>
            <w:hideMark/>
          </w:tcPr>
          <w:p w14:paraId="170F5645" w14:textId="77777777" w:rsidR="00D570E9" w:rsidRPr="00822BBF" w:rsidRDefault="00D570E9" w:rsidP="00D570E9">
            <w:pPr>
              <w:jc w:val="left"/>
              <w:rPr>
                <w:sz w:val="20"/>
                <w:szCs w:val="20"/>
                <w:lang w:val="fr-FR" w:eastAsia="en-CA"/>
              </w:rPr>
            </w:pPr>
            <w:r w:rsidRPr="00822BBF">
              <w:rPr>
                <w:sz w:val="20"/>
                <w:szCs w:val="20"/>
                <w:lang w:val="fr-FR" w:eastAsia="fr"/>
              </w:rPr>
              <w:t>Plan de gestion de l'élimination des HCFC (phase II, première tranche) (secteur de la climatisation)</w:t>
            </w:r>
          </w:p>
        </w:tc>
        <w:tc>
          <w:tcPr>
            <w:tcW w:w="1405" w:type="dxa"/>
            <w:tcBorders>
              <w:top w:val="nil"/>
              <w:left w:val="nil"/>
              <w:bottom w:val="single" w:sz="4" w:space="0" w:color="auto"/>
              <w:right w:val="single" w:sz="4" w:space="0" w:color="auto"/>
            </w:tcBorders>
            <w:shd w:val="clear" w:color="auto" w:fill="auto"/>
            <w:hideMark/>
          </w:tcPr>
          <w:p w14:paraId="426D605F" w14:textId="23A8ACF8" w:rsidR="00D570E9" w:rsidRPr="00F7008B" w:rsidRDefault="00D570E9" w:rsidP="00D570E9">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7916E50A" w14:textId="77777777" w:rsidR="00D570E9" w:rsidRPr="00F7008B" w:rsidRDefault="00D570E9" w:rsidP="00D570E9">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7E5DAA3D" w14:textId="180C99C9" w:rsidR="00D570E9" w:rsidRPr="00822BBF" w:rsidRDefault="00D570E9">
            <w:pPr>
              <w:jc w:val="left"/>
              <w:rPr>
                <w:sz w:val="20"/>
                <w:szCs w:val="20"/>
                <w:lang w:val="fr-FR" w:eastAsia="en-CA"/>
              </w:rPr>
            </w:pPr>
            <w:r w:rsidRPr="00822BBF">
              <w:rPr>
                <w:sz w:val="20"/>
                <w:szCs w:val="20"/>
                <w:lang w:val="fr-FR" w:eastAsia="fr"/>
              </w:rPr>
              <w:t>Demander au PNUD de rendre rapport à la 90</w:t>
            </w:r>
            <w:r w:rsidR="008B37F5" w:rsidRPr="00822BBF">
              <w:rPr>
                <w:sz w:val="20"/>
                <w:szCs w:val="20"/>
                <w:vertAlign w:val="superscript"/>
                <w:lang w:val="fr-FR" w:eastAsia="fr"/>
              </w:rPr>
              <w:t>e</w:t>
            </w:r>
            <w:r w:rsidR="00696730">
              <w:rPr>
                <w:sz w:val="20"/>
                <w:szCs w:val="20"/>
                <w:vertAlign w:val="superscript"/>
                <w:lang w:val="fr-FR" w:eastAsia="fr"/>
              </w:rPr>
              <w:t> </w:t>
            </w:r>
            <w:r w:rsidR="004534DE" w:rsidRPr="00822BBF">
              <w:rPr>
                <w:sz w:val="20"/>
                <w:szCs w:val="20"/>
                <w:lang w:val="fr-FR" w:eastAsia="fr"/>
              </w:rPr>
              <w:t>réunion sur ce projet présentant un retard dans la mise en œuvre</w:t>
            </w:r>
          </w:p>
        </w:tc>
      </w:tr>
      <w:tr w:rsidR="00696730" w:rsidRPr="0056042B" w14:paraId="4C08A89E" w14:textId="77777777" w:rsidTr="00514D39">
        <w:trPr>
          <w:trHeight w:val="359"/>
        </w:trPr>
        <w:tc>
          <w:tcPr>
            <w:tcW w:w="2406" w:type="dxa"/>
            <w:tcBorders>
              <w:top w:val="nil"/>
              <w:left w:val="single" w:sz="4" w:space="0" w:color="auto"/>
              <w:bottom w:val="single" w:sz="4" w:space="0" w:color="auto"/>
              <w:right w:val="single" w:sz="4" w:space="0" w:color="auto"/>
            </w:tcBorders>
            <w:shd w:val="clear" w:color="auto" w:fill="auto"/>
            <w:hideMark/>
          </w:tcPr>
          <w:p w14:paraId="6E6ADC76" w14:textId="77777777" w:rsidR="00696730" w:rsidRPr="00F7008B" w:rsidRDefault="00696730" w:rsidP="00696730">
            <w:pPr>
              <w:jc w:val="left"/>
              <w:rPr>
                <w:sz w:val="20"/>
                <w:szCs w:val="20"/>
                <w:lang w:eastAsia="en-CA"/>
              </w:rPr>
            </w:pPr>
            <w:r w:rsidRPr="00F7008B">
              <w:rPr>
                <w:sz w:val="20"/>
                <w:szCs w:val="20"/>
                <w:lang w:eastAsia="fr"/>
              </w:rPr>
              <w:t>Bangladesh</w:t>
            </w:r>
          </w:p>
          <w:p w14:paraId="149897B3" w14:textId="77777777" w:rsidR="00696730" w:rsidRPr="00F7008B" w:rsidRDefault="00696730" w:rsidP="00696730">
            <w:pPr>
              <w:jc w:val="left"/>
              <w:rPr>
                <w:sz w:val="20"/>
                <w:szCs w:val="20"/>
                <w:lang w:eastAsia="en-CA"/>
              </w:rPr>
            </w:pPr>
            <w:r w:rsidRPr="00F7008B">
              <w:rPr>
                <w:sz w:val="20"/>
                <w:szCs w:val="20"/>
                <w:lang w:eastAsia="fr"/>
              </w:rPr>
              <w:t>BGD/PHA/81/TAS/49</w:t>
            </w:r>
          </w:p>
        </w:tc>
        <w:tc>
          <w:tcPr>
            <w:tcW w:w="4308" w:type="dxa"/>
            <w:tcBorders>
              <w:top w:val="nil"/>
              <w:left w:val="nil"/>
              <w:bottom w:val="single" w:sz="4" w:space="0" w:color="auto"/>
              <w:right w:val="single" w:sz="4" w:space="0" w:color="auto"/>
            </w:tcBorders>
            <w:shd w:val="clear" w:color="auto" w:fill="auto"/>
            <w:hideMark/>
          </w:tcPr>
          <w:p w14:paraId="3D00792E"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première tranche) (unité de gestion de projet)</w:t>
            </w:r>
          </w:p>
        </w:tc>
        <w:tc>
          <w:tcPr>
            <w:tcW w:w="1405" w:type="dxa"/>
            <w:tcBorders>
              <w:top w:val="nil"/>
              <w:left w:val="nil"/>
              <w:bottom w:val="single" w:sz="4" w:space="0" w:color="auto"/>
              <w:right w:val="single" w:sz="4" w:space="0" w:color="auto"/>
            </w:tcBorders>
            <w:shd w:val="clear" w:color="auto" w:fill="auto"/>
            <w:hideMark/>
          </w:tcPr>
          <w:p w14:paraId="5635BAAB" w14:textId="19005BF8"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66470D9B"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4EE1EB31" w14:textId="6AF1E0FB"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63CFB7C1" w14:textId="77777777" w:rsidTr="00514D39">
        <w:trPr>
          <w:trHeight w:val="169"/>
        </w:trPr>
        <w:tc>
          <w:tcPr>
            <w:tcW w:w="2406" w:type="dxa"/>
            <w:tcBorders>
              <w:top w:val="nil"/>
              <w:left w:val="single" w:sz="4" w:space="0" w:color="auto"/>
              <w:bottom w:val="single" w:sz="4" w:space="0" w:color="auto"/>
              <w:right w:val="single" w:sz="4" w:space="0" w:color="auto"/>
            </w:tcBorders>
            <w:shd w:val="clear" w:color="auto" w:fill="auto"/>
            <w:hideMark/>
          </w:tcPr>
          <w:p w14:paraId="782216E0" w14:textId="77777777" w:rsidR="00696730" w:rsidRPr="00F7008B" w:rsidRDefault="00696730" w:rsidP="00696730">
            <w:pPr>
              <w:jc w:val="left"/>
              <w:rPr>
                <w:sz w:val="20"/>
                <w:szCs w:val="20"/>
                <w:lang w:eastAsia="en-CA"/>
              </w:rPr>
            </w:pPr>
            <w:proofErr w:type="spellStart"/>
            <w:r w:rsidRPr="00F7008B">
              <w:rPr>
                <w:sz w:val="20"/>
                <w:szCs w:val="20"/>
                <w:lang w:eastAsia="fr"/>
              </w:rPr>
              <w:t>Colombie</w:t>
            </w:r>
            <w:proofErr w:type="spellEnd"/>
          </w:p>
          <w:p w14:paraId="4ED474C1" w14:textId="77777777" w:rsidR="00696730" w:rsidRPr="00F7008B" w:rsidRDefault="00696730" w:rsidP="00696730">
            <w:pPr>
              <w:jc w:val="left"/>
              <w:rPr>
                <w:sz w:val="20"/>
                <w:szCs w:val="20"/>
                <w:lang w:eastAsia="en-CA"/>
              </w:rPr>
            </w:pPr>
            <w:r w:rsidRPr="00F7008B">
              <w:rPr>
                <w:sz w:val="20"/>
                <w:szCs w:val="20"/>
                <w:lang w:eastAsia="fr"/>
              </w:rPr>
              <w:t>COL/SEV/80/TAS/01+</w:t>
            </w:r>
          </w:p>
        </w:tc>
        <w:tc>
          <w:tcPr>
            <w:tcW w:w="4308" w:type="dxa"/>
            <w:tcBorders>
              <w:top w:val="nil"/>
              <w:left w:val="nil"/>
              <w:bottom w:val="single" w:sz="4" w:space="0" w:color="auto"/>
              <w:right w:val="single" w:sz="4" w:space="0" w:color="auto"/>
            </w:tcBorders>
            <w:shd w:val="clear" w:color="auto" w:fill="auto"/>
            <w:hideMark/>
          </w:tcPr>
          <w:p w14:paraId="478FE0D0" w14:textId="77777777" w:rsidR="00696730" w:rsidRPr="00822BBF" w:rsidRDefault="00696730" w:rsidP="00696730">
            <w:pPr>
              <w:jc w:val="left"/>
              <w:rPr>
                <w:sz w:val="20"/>
                <w:szCs w:val="20"/>
                <w:lang w:val="fr-FR" w:eastAsia="en-CA"/>
              </w:rPr>
            </w:pPr>
            <w:r w:rsidRPr="00822BBF">
              <w:rPr>
                <w:sz w:val="20"/>
                <w:szCs w:val="20"/>
                <w:lang w:val="fr-FR" w:eastAsia="fr"/>
              </w:rPr>
              <w:t>Activités de facilitation de la réduction progressive des HFC</w:t>
            </w:r>
          </w:p>
        </w:tc>
        <w:tc>
          <w:tcPr>
            <w:tcW w:w="1405" w:type="dxa"/>
            <w:tcBorders>
              <w:top w:val="nil"/>
              <w:left w:val="nil"/>
              <w:bottom w:val="single" w:sz="4" w:space="0" w:color="auto"/>
              <w:right w:val="single" w:sz="4" w:space="0" w:color="auto"/>
            </w:tcBorders>
            <w:shd w:val="clear" w:color="auto" w:fill="auto"/>
            <w:hideMark/>
          </w:tcPr>
          <w:p w14:paraId="75B05716" w14:textId="3DD50393" w:rsidR="00696730" w:rsidRPr="00F7008B" w:rsidRDefault="00696730" w:rsidP="00696730">
            <w:pPr>
              <w:jc w:val="right"/>
              <w:rPr>
                <w:sz w:val="20"/>
                <w:szCs w:val="20"/>
                <w:lang w:eastAsia="en-CA"/>
              </w:rPr>
            </w:pPr>
            <w:r w:rsidRPr="00F7008B">
              <w:rPr>
                <w:sz w:val="20"/>
                <w:szCs w:val="20"/>
                <w:lang w:eastAsia="fr"/>
              </w:rPr>
              <w:t>97</w:t>
            </w:r>
          </w:p>
        </w:tc>
        <w:tc>
          <w:tcPr>
            <w:tcW w:w="1893" w:type="dxa"/>
            <w:tcBorders>
              <w:top w:val="nil"/>
              <w:left w:val="nil"/>
              <w:bottom w:val="single" w:sz="4" w:space="0" w:color="auto"/>
              <w:right w:val="single" w:sz="4" w:space="0" w:color="auto"/>
            </w:tcBorders>
            <w:shd w:val="clear" w:color="auto" w:fill="auto"/>
            <w:hideMark/>
          </w:tcPr>
          <w:p w14:paraId="0909EACB" w14:textId="77777777" w:rsidR="00696730" w:rsidRPr="00F7008B" w:rsidRDefault="00696730" w:rsidP="00696730">
            <w:pPr>
              <w:jc w:val="left"/>
              <w:rPr>
                <w:sz w:val="20"/>
                <w:szCs w:val="20"/>
                <w:lang w:eastAsia="en-CA"/>
              </w:rPr>
            </w:pPr>
            <w:r w:rsidRPr="00F7008B">
              <w:rPr>
                <w:sz w:val="20"/>
                <w:szCs w:val="20"/>
                <w:lang w:eastAsia="fr"/>
              </w:rPr>
              <w:t xml:space="preserve">12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5C8134B4" w14:textId="2A7D0C0F"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52F51997" w14:textId="77777777" w:rsidTr="00514D39">
        <w:trPr>
          <w:trHeight w:val="81"/>
        </w:trPr>
        <w:tc>
          <w:tcPr>
            <w:tcW w:w="2406" w:type="dxa"/>
            <w:tcBorders>
              <w:top w:val="nil"/>
              <w:left w:val="single" w:sz="4" w:space="0" w:color="auto"/>
              <w:bottom w:val="single" w:sz="4" w:space="0" w:color="auto"/>
              <w:right w:val="single" w:sz="4" w:space="0" w:color="auto"/>
            </w:tcBorders>
            <w:shd w:val="clear" w:color="auto" w:fill="auto"/>
            <w:hideMark/>
          </w:tcPr>
          <w:p w14:paraId="5875806D" w14:textId="77777777" w:rsidR="00696730" w:rsidRPr="00F7008B" w:rsidRDefault="00696730" w:rsidP="00696730">
            <w:pPr>
              <w:jc w:val="left"/>
              <w:rPr>
                <w:sz w:val="20"/>
                <w:szCs w:val="20"/>
                <w:lang w:eastAsia="en-CA"/>
              </w:rPr>
            </w:pPr>
            <w:r w:rsidRPr="00F7008B">
              <w:rPr>
                <w:sz w:val="20"/>
                <w:szCs w:val="20"/>
                <w:lang w:eastAsia="fr"/>
              </w:rPr>
              <w:t>Chine</w:t>
            </w:r>
          </w:p>
          <w:p w14:paraId="2ECCC7B7" w14:textId="77777777" w:rsidR="00696730" w:rsidRPr="00F7008B" w:rsidRDefault="00696730" w:rsidP="00696730">
            <w:pPr>
              <w:jc w:val="left"/>
              <w:rPr>
                <w:sz w:val="20"/>
                <w:szCs w:val="20"/>
                <w:lang w:eastAsia="en-CA"/>
              </w:rPr>
            </w:pPr>
            <w:r w:rsidRPr="00F7008B">
              <w:rPr>
                <w:sz w:val="20"/>
                <w:szCs w:val="20"/>
                <w:lang w:eastAsia="fr"/>
              </w:rPr>
              <w:t>CPR/SEV/80/TAS/04+</w:t>
            </w:r>
          </w:p>
        </w:tc>
        <w:tc>
          <w:tcPr>
            <w:tcW w:w="4308" w:type="dxa"/>
            <w:tcBorders>
              <w:top w:val="nil"/>
              <w:left w:val="nil"/>
              <w:bottom w:val="single" w:sz="4" w:space="0" w:color="auto"/>
              <w:right w:val="single" w:sz="4" w:space="0" w:color="auto"/>
            </w:tcBorders>
            <w:shd w:val="clear" w:color="auto" w:fill="auto"/>
            <w:hideMark/>
          </w:tcPr>
          <w:p w14:paraId="01168376" w14:textId="77777777" w:rsidR="00696730" w:rsidRPr="00822BBF" w:rsidRDefault="00696730" w:rsidP="00696730">
            <w:pPr>
              <w:jc w:val="left"/>
              <w:rPr>
                <w:sz w:val="20"/>
                <w:szCs w:val="20"/>
                <w:lang w:val="fr-FR" w:eastAsia="en-CA"/>
              </w:rPr>
            </w:pPr>
            <w:r w:rsidRPr="00822BBF">
              <w:rPr>
                <w:sz w:val="20"/>
                <w:szCs w:val="20"/>
                <w:lang w:val="fr-FR" w:eastAsia="fr"/>
              </w:rPr>
              <w:t>Activités de facilitation de la réduction progressive des HFC</w:t>
            </w:r>
          </w:p>
        </w:tc>
        <w:tc>
          <w:tcPr>
            <w:tcW w:w="1405" w:type="dxa"/>
            <w:tcBorders>
              <w:top w:val="nil"/>
              <w:left w:val="nil"/>
              <w:bottom w:val="single" w:sz="4" w:space="0" w:color="auto"/>
              <w:right w:val="single" w:sz="4" w:space="0" w:color="auto"/>
            </w:tcBorders>
            <w:shd w:val="clear" w:color="auto" w:fill="auto"/>
            <w:hideMark/>
          </w:tcPr>
          <w:p w14:paraId="57BE0063" w14:textId="2FF6E702" w:rsidR="00696730" w:rsidRPr="00F7008B" w:rsidRDefault="00696730" w:rsidP="00696730">
            <w:pPr>
              <w:jc w:val="right"/>
              <w:rPr>
                <w:sz w:val="20"/>
                <w:szCs w:val="20"/>
                <w:lang w:eastAsia="en-CA"/>
              </w:rPr>
            </w:pPr>
            <w:r w:rsidRPr="00F7008B">
              <w:rPr>
                <w:sz w:val="20"/>
                <w:szCs w:val="20"/>
                <w:lang w:eastAsia="fr"/>
              </w:rPr>
              <w:t>100</w:t>
            </w:r>
          </w:p>
        </w:tc>
        <w:tc>
          <w:tcPr>
            <w:tcW w:w="1893" w:type="dxa"/>
            <w:tcBorders>
              <w:top w:val="nil"/>
              <w:left w:val="nil"/>
              <w:bottom w:val="single" w:sz="4" w:space="0" w:color="auto"/>
              <w:right w:val="single" w:sz="4" w:space="0" w:color="auto"/>
            </w:tcBorders>
            <w:shd w:val="clear" w:color="auto" w:fill="auto"/>
            <w:hideMark/>
          </w:tcPr>
          <w:p w14:paraId="2F21AA7D" w14:textId="77777777" w:rsidR="00696730" w:rsidRPr="00F7008B" w:rsidRDefault="00696730" w:rsidP="00696730">
            <w:pPr>
              <w:jc w:val="left"/>
              <w:rPr>
                <w:sz w:val="20"/>
                <w:szCs w:val="20"/>
                <w:lang w:eastAsia="en-CA"/>
              </w:rPr>
            </w:pPr>
            <w:r w:rsidRPr="00F7008B">
              <w:rPr>
                <w:sz w:val="20"/>
                <w:szCs w:val="20"/>
                <w:lang w:eastAsia="fr"/>
              </w:rPr>
              <w:t xml:space="preserve">12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39963828" w14:textId="4B5237B9"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729CF406" w14:textId="77777777" w:rsidTr="00514D39">
        <w:trPr>
          <w:trHeight w:val="250"/>
        </w:trPr>
        <w:tc>
          <w:tcPr>
            <w:tcW w:w="2406" w:type="dxa"/>
            <w:tcBorders>
              <w:top w:val="nil"/>
              <w:left w:val="single" w:sz="4" w:space="0" w:color="auto"/>
              <w:bottom w:val="single" w:sz="4" w:space="0" w:color="auto"/>
              <w:right w:val="single" w:sz="4" w:space="0" w:color="auto"/>
            </w:tcBorders>
            <w:shd w:val="clear" w:color="auto" w:fill="auto"/>
            <w:hideMark/>
          </w:tcPr>
          <w:p w14:paraId="5B24B2CD" w14:textId="77777777" w:rsidR="00696730" w:rsidRPr="00F7008B" w:rsidRDefault="00696730" w:rsidP="00696730">
            <w:pPr>
              <w:jc w:val="left"/>
              <w:rPr>
                <w:sz w:val="20"/>
                <w:szCs w:val="20"/>
                <w:lang w:val="es-ES_tradnl" w:eastAsia="en-CA"/>
              </w:rPr>
            </w:pPr>
            <w:r w:rsidRPr="00F7008B">
              <w:rPr>
                <w:sz w:val="20"/>
                <w:szCs w:val="20"/>
                <w:lang w:val="es-ES_tradnl" w:eastAsia="fr"/>
              </w:rPr>
              <w:t>El Salvador</w:t>
            </w:r>
          </w:p>
          <w:p w14:paraId="29EC56B0" w14:textId="77777777" w:rsidR="00696730" w:rsidRPr="00F7008B" w:rsidRDefault="00696730" w:rsidP="00696730">
            <w:pPr>
              <w:jc w:val="left"/>
              <w:rPr>
                <w:sz w:val="20"/>
                <w:szCs w:val="20"/>
                <w:lang w:val="es-ES_tradnl" w:eastAsia="en-CA"/>
              </w:rPr>
            </w:pPr>
            <w:r w:rsidRPr="00F7008B">
              <w:rPr>
                <w:sz w:val="20"/>
                <w:szCs w:val="20"/>
                <w:lang w:val="es-ES_tradnl" w:eastAsia="fr"/>
              </w:rPr>
              <w:t>ELS/PHA/79/TAS/36</w:t>
            </w:r>
          </w:p>
        </w:tc>
        <w:tc>
          <w:tcPr>
            <w:tcW w:w="4308" w:type="dxa"/>
            <w:tcBorders>
              <w:top w:val="nil"/>
              <w:left w:val="nil"/>
              <w:bottom w:val="single" w:sz="4" w:space="0" w:color="auto"/>
              <w:right w:val="single" w:sz="4" w:space="0" w:color="auto"/>
            </w:tcBorders>
            <w:shd w:val="clear" w:color="auto" w:fill="auto"/>
            <w:hideMark/>
          </w:tcPr>
          <w:p w14:paraId="6AC66D36" w14:textId="77777777" w:rsidR="00696730" w:rsidRPr="00822BBF" w:rsidRDefault="00696730" w:rsidP="00696730">
            <w:pPr>
              <w:jc w:val="left"/>
              <w:rPr>
                <w:sz w:val="20"/>
                <w:szCs w:val="20"/>
                <w:lang w:val="fr-FR" w:eastAsia="en-CA"/>
              </w:rPr>
            </w:pPr>
            <w:r w:rsidRPr="00822BBF">
              <w:rPr>
                <w:sz w:val="20"/>
                <w:szCs w:val="20"/>
                <w:lang w:val="fr-FR" w:eastAsia="fr"/>
              </w:rPr>
              <w:t xml:space="preserve">Rapport de vérification de la phase I du plan de gestion de l'élimination des HCFC </w:t>
            </w:r>
          </w:p>
        </w:tc>
        <w:tc>
          <w:tcPr>
            <w:tcW w:w="1405" w:type="dxa"/>
            <w:tcBorders>
              <w:top w:val="nil"/>
              <w:left w:val="nil"/>
              <w:bottom w:val="single" w:sz="4" w:space="0" w:color="auto"/>
              <w:right w:val="single" w:sz="4" w:space="0" w:color="auto"/>
            </w:tcBorders>
            <w:shd w:val="clear" w:color="auto" w:fill="auto"/>
            <w:hideMark/>
          </w:tcPr>
          <w:p w14:paraId="59589133" w14:textId="2E0911F1"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35C7309D" w14:textId="77777777" w:rsidR="00696730" w:rsidRPr="00F7008B" w:rsidRDefault="00696730" w:rsidP="00696730">
            <w:pPr>
              <w:jc w:val="left"/>
              <w:rPr>
                <w:sz w:val="20"/>
                <w:szCs w:val="20"/>
                <w:lang w:eastAsia="en-CA"/>
              </w:rPr>
            </w:pPr>
            <w:r w:rsidRPr="00F7008B">
              <w:rPr>
                <w:sz w:val="20"/>
                <w:szCs w:val="20"/>
                <w:lang w:eastAsia="fr"/>
              </w:rPr>
              <w:t xml:space="preserve">12 et 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35A0BDC5" w14:textId="5FB77DA8"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29BF8122" w14:textId="77777777" w:rsidTr="00514D39">
        <w:trPr>
          <w:trHeight w:val="310"/>
        </w:trPr>
        <w:tc>
          <w:tcPr>
            <w:tcW w:w="2406" w:type="dxa"/>
            <w:tcBorders>
              <w:top w:val="nil"/>
              <w:left w:val="single" w:sz="4" w:space="0" w:color="auto"/>
              <w:bottom w:val="single" w:sz="4" w:space="0" w:color="auto"/>
              <w:right w:val="single" w:sz="4" w:space="0" w:color="auto"/>
            </w:tcBorders>
            <w:shd w:val="clear" w:color="auto" w:fill="auto"/>
            <w:hideMark/>
          </w:tcPr>
          <w:p w14:paraId="15A1298E" w14:textId="77777777" w:rsidR="00696730" w:rsidRPr="00F7008B" w:rsidRDefault="00696730" w:rsidP="00696730">
            <w:pPr>
              <w:jc w:val="left"/>
              <w:rPr>
                <w:sz w:val="20"/>
                <w:szCs w:val="20"/>
                <w:lang w:eastAsia="en-CA"/>
              </w:rPr>
            </w:pPr>
            <w:r w:rsidRPr="00F7008B">
              <w:rPr>
                <w:sz w:val="20"/>
                <w:szCs w:val="20"/>
                <w:lang w:eastAsia="fr"/>
              </w:rPr>
              <w:t>Guyana</w:t>
            </w:r>
          </w:p>
          <w:p w14:paraId="62C3DBDD" w14:textId="77777777" w:rsidR="00696730" w:rsidRPr="00F7008B" w:rsidRDefault="00696730" w:rsidP="00696730">
            <w:pPr>
              <w:jc w:val="left"/>
              <w:rPr>
                <w:sz w:val="20"/>
                <w:szCs w:val="20"/>
                <w:lang w:eastAsia="en-CA"/>
              </w:rPr>
            </w:pPr>
            <w:r w:rsidRPr="00F7008B">
              <w:rPr>
                <w:sz w:val="20"/>
                <w:szCs w:val="20"/>
                <w:lang w:eastAsia="fr"/>
              </w:rPr>
              <w:t>GUY/PHA/83/INV/32</w:t>
            </w:r>
          </w:p>
        </w:tc>
        <w:tc>
          <w:tcPr>
            <w:tcW w:w="4308" w:type="dxa"/>
            <w:tcBorders>
              <w:top w:val="nil"/>
              <w:left w:val="nil"/>
              <w:bottom w:val="single" w:sz="4" w:space="0" w:color="auto"/>
              <w:right w:val="single" w:sz="4" w:space="0" w:color="auto"/>
            </w:tcBorders>
            <w:shd w:val="clear" w:color="auto" w:fill="auto"/>
            <w:hideMark/>
          </w:tcPr>
          <w:p w14:paraId="0ED69EBB"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deuxième tranche)</w:t>
            </w:r>
          </w:p>
        </w:tc>
        <w:tc>
          <w:tcPr>
            <w:tcW w:w="1405" w:type="dxa"/>
            <w:tcBorders>
              <w:top w:val="nil"/>
              <w:left w:val="nil"/>
              <w:bottom w:val="single" w:sz="4" w:space="0" w:color="auto"/>
              <w:right w:val="single" w:sz="4" w:space="0" w:color="auto"/>
            </w:tcBorders>
            <w:shd w:val="clear" w:color="auto" w:fill="auto"/>
            <w:hideMark/>
          </w:tcPr>
          <w:p w14:paraId="5A941F8F" w14:textId="2D0218B4"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7F8B908E"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28358F19" w14:textId="008F94EB"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430C2B5A" w14:textId="77777777" w:rsidTr="00514D39">
        <w:trPr>
          <w:trHeight w:val="267"/>
        </w:trPr>
        <w:tc>
          <w:tcPr>
            <w:tcW w:w="2406" w:type="dxa"/>
            <w:tcBorders>
              <w:top w:val="nil"/>
              <w:left w:val="single" w:sz="4" w:space="0" w:color="auto"/>
              <w:bottom w:val="single" w:sz="4" w:space="0" w:color="auto"/>
              <w:right w:val="single" w:sz="4" w:space="0" w:color="auto"/>
            </w:tcBorders>
            <w:shd w:val="clear" w:color="auto" w:fill="auto"/>
            <w:hideMark/>
          </w:tcPr>
          <w:p w14:paraId="0E352D17" w14:textId="77777777" w:rsidR="00696730" w:rsidRPr="00F7008B" w:rsidRDefault="00696730" w:rsidP="00696730">
            <w:pPr>
              <w:jc w:val="left"/>
              <w:rPr>
                <w:sz w:val="20"/>
                <w:szCs w:val="20"/>
                <w:lang w:eastAsia="en-CA"/>
              </w:rPr>
            </w:pPr>
            <w:proofErr w:type="spellStart"/>
            <w:r w:rsidRPr="00F7008B">
              <w:rPr>
                <w:sz w:val="20"/>
                <w:szCs w:val="20"/>
                <w:lang w:eastAsia="fr"/>
              </w:rPr>
              <w:t>Inde</w:t>
            </w:r>
            <w:proofErr w:type="spellEnd"/>
          </w:p>
          <w:p w14:paraId="290F96BC" w14:textId="77777777" w:rsidR="00696730" w:rsidRPr="00F7008B" w:rsidRDefault="00696730" w:rsidP="00696730">
            <w:pPr>
              <w:jc w:val="left"/>
              <w:rPr>
                <w:sz w:val="20"/>
                <w:szCs w:val="20"/>
                <w:lang w:eastAsia="en-CA"/>
              </w:rPr>
            </w:pPr>
            <w:r w:rsidRPr="00F7008B">
              <w:rPr>
                <w:sz w:val="20"/>
                <w:szCs w:val="20"/>
                <w:lang w:eastAsia="fr"/>
              </w:rPr>
              <w:t>(IND/PHA/77/TAS/472)</w:t>
            </w:r>
          </w:p>
        </w:tc>
        <w:tc>
          <w:tcPr>
            <w:tcW w:w="4308" w:type="dxa"/>
            <w:tcBorders>
              <w:top w:val="nil"/>
              <w:left w:val="nil"/>
              <w:bottom w:val="single" w:sz="4" w:space="0" w:color="auto"/>
              <w:right w:val="single" w:sz="4" w:space="0" w:color="auto"/>
            </w:tcBorders>
            <w:shd w:val="clear" w:color="auto" w:fill="auto"/>
            <w:hideMark/>
          </w:tcPr>
          <w:p w14:paraId="561679CB"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première tranche) (gestion et suivi du projet)</w:t>
            </w:r>
          </w:p>
        </w:tc>
        <w:tc>
          <w:tcPr>
            <w:tcW w:w="1405" w:type="dxa"/>
            <w:tcBorders>
              <w:top w:val="nil"/>
              <w:left w:val="nil"/>
              <w:bottom w:val="single" w:sz="4" w:space="0" w:color="auto"/>
              <w:right w:val="single" w:sz="4" w:space="0" w:color="auto"/>
            </w:tcBorders>
            <w:shd w:val="clear" w:color="auto" w:fill="auto"/>
            <w:hideMark/>
          </w:tcPr>
          <w:p w14:paraId="374B563C" w14:textId="447A762D"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60380E71" w14:textId="77777777" w:rsidR="00696730" w:rsidRPr="00F7008B" w:rsidRDefault="00696730" w:rsidP="00696730">
            <w:pPr>
              <w:jc w:val="left"/>
              <w:rPr>
                <w:sz w:val="20"/>
                <w:szCs w:val="20"/>
                <w:lang w:eastAsia="en-CA"/>
              </w:rPr>
            </w:pPr>
            <w:r w:rsidRPr="00F7008B">
              <w:rPr>
                <w:sz w:val="20"/>
                <w:szCs w:val="20"/>
                <w:lang w:eastAsia="fr"/>
              </w:rPr>
              <w:t xml:space="preserve">12 et 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618EEC4D" w14:textId="73E37CED"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772DFFA0" w14:textId="77777777" w:rsidTr="00514D39">
        <w:trPr>
          <w:trHeight w:val="231"/>
        </w:trPr>
        <w:tc>
          <w:tcPr>
            <w:tcW w:w="2406" w:type="dxa"/>
            <w:tcBorders>
              <w:top w:val="nil"/>
              <w:left w:val="single" w:sz="4" w:space="0" w:color="auto"/>
              <w:bottom w:val="single" w:sz="4" w:space="0" w:color="auto"/>
              <w:right w:val="single" w:sz="4" w:space="0" w:color="auto"/>
            </w:tcBorders>
            <w:shd w:val="clear" w:color="auto" w:fill="auto"/>
            <w:hideMark/>
          </w:tcPr>
          <w:p w14:paraId="44E7EC51" w14:textId="77777777" w:rsidR="00696730" w:rsidRPr="00F7008B" w:rsidRDefault="00696730" w:rsidP="00696730">
            <w:pPr>
              <w:jc w:val="left"/>
              <w:rPr>
                <w:sz w:val="20"/>
                <w:szCs w:val="20"/>
                <w:lang w:eastAsia="en-CA"/>
              </w:rPr>
            </w:pPr>
            <w:proofErr w:type="spellStart"/>
            <w:r w:rsidRPr="00F7008B">
              <w:rPr>
                <w:sz w:val="20"/>
                <w:szCs w:val="20"/>
                <w:lang w:eastAsia="fr"/>
              </w:rPr>
              <w:t>Inde</w:t>
            </w:r>
            <w:proofErr w:type="spellEnd"/>
          </w:p>
          <w:p w14:paraId="1061CA5A" w14:textId="77777777" w:rsidR="00696730" w:rsidRPr="00F7008B" w:rsidRDefault="00696730" w:rsidP="00696730">
            <w:pPr>
              <w:jc w:val="left"/>
              <w:rPr>
                <w:sz w:val="20"/>
                <w:szCs w:val="20"/>
                <w:lang w:eastAsia="en-CA"/>
              </w:rPr>
            </w:pPr>
            <w:r w:rsidRPr="00F7008B">
              <w:rPr>
                <w:sz w:val="20"/>
                <w:szCs w:val="20"/>
                <w:lang w:eastAsia="fr"/>
              </w:rPr>
              <w:t>IND/PHA/82/INV/475</w:t>
            </w:r>
          </w:p>
        </w:tc>
        <w:tc>
          <w:tcPr>
            <w:tcW w:w="4308" w:type="dxa"/>
            <w:tcBorders>
              <w:top w:val="nil"/>
              <w:left w:val="nil"/>
              <w:bottom w:val="single" w:sz="4" w:space="0" w:color="auto"/>
              <w:right w:val="single" w:sz="4" w:space="0" w:color="auto"/>
            </w:tcBorders>
            <w:shd w:val="clear" w:color="auto" w:fill="auto"/>
            <w:hideMark/>
          </w:tcPr>
          <w:p w14:paraId="129C99E4"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deuxième tranche) (plan sectoriel des mousses de polyuréthane)</w:t>
            </w:r>
          </w:p>
        </w:tc>
        <w:tc>
          <w:tcPr>
            <w:tcW w:w="1405" w:type="dxa"/>
            <w:tcBorders>
              <w:top w:val="nil"/>
              <w:left w:val="nil"/>
              <w:bottom w:val="single" w:sz="4" w:space="0" w:color="auto"/>
              <w:right w:val="single" w:sz="4" w:space="0" w:color="auto"/>
            </w:tcBorders>
            <w:shd w:val="clear" w:color="auto" w:fill="auto"/>
            <w:hideMark/>
          </w:tcPr>
          <w:p w14:paraId="1CC88657" w14:textId="29146C73"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53D66828"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6366BB58" w14:textId="2312A046"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55F6324B" w14:textId="77777777" w:rsidTr="00514D39">
        <w:trPr>
          <w:trHeight w:val="528"/>
        </w:trPr>
        <w:tc>
          <w:tcPr>
            <w:tcW w:w="2406" w:type="dxa"/>
            <w:tcBorders>
              <w:top w:val="nil"/>
              <w:left w:val="single" w:sz="4" w:space="0" w:color="auto"/>
              <w:bottom w:val="single" w:sz="4" w:space="0" w:color="auto"/>
              <w:right w:val="single" w:sz="4" w:space="0" w:color="auto"/>
            </w:tcBorders>
            <w:shd w:val="clear" w:color="auto" w:fill="auto"/>
            <w:hideMark/>
          </w:tcPr>
          <w:p w14:paraId="3AB4831A" w14:textId="77777777" w:rsidR="00696730" w:rsidRPr="00F7008B" w:rsidRDefault="00696730" w:rsidP="00696730">
            <w:pPr>
              <w:jc w:val="left"/>
              <w:rPr>
                <w:sz w:val="20"/>
                <w:szCs w:val="20"/>
                <w:lang w:eastAsia="en-CA"/>
              </w:rPr>
            </w:pPr>
            <w:proofErr w:type="spellStart"/>
            <w:r w:rsidRPr="00F7008B">
              <w:rPr>
                <w:sz w:val="20"/>
                <w:szCs w:val="20"/>
                <w:lang w:eastAsia="fr"/>
              </w:rPr>
              <w:t>Inde</w:t>
            </w:r>
            <w:proofErr w:type="spellEnd"/>
          </w:p>
          <w:p w14:paraId="3A165E87" w14:textId="77777777" w:rsidR="00696730" w:rsidRPr="00F7008B" w:rsidRDefault="00696730" w:rsidP="00696730">
            <w:pPr>
              <w:jc w:val="left"/>
              <w:rPr>
                <w:sz w:val="20"/>
                <w:szCs w:val="20"/>
                <w:lang w:eastAsia="en-CA"/>
              </w:rPr>
            </w:pPr>
            <w:r w:rsidRPr="00F7008B">
              <w:rPr>
                <w:sz w:val="20"/>
                <w:szCs w:val="20"/>
                <w:lang w:eastAsia="fr"/>
              </w:rPr>
              <w:t>(IND/PHA/82/TAS/477)</w:t>
            </w:r>
          </w:p>
        </w:tc>
        <w:tc>
          <w:tcPr>
            <w:tcW w:w="4308" w:type="dxa"/>
            <w:tcBorders>
              <w:top w:val="nil"/>
              <w:left w:val="nil"/>
              <w:bottom w:val="single" w:sz="4" w:space="0" w:color="auto"/>
              <w:right w:val="single" w:sz="4" w:space="0" w:color="auto"/>
            </w:tcBorders>
            <w:shd w:val="clear" w:color="auto" w:fill="auto"/>
            <w:hideMark/>
          </w:tcPr>
          <w:p w14:paraId="073531F8"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deuxième tranche) (gestion et suivi de projet)</w:t>
            </w:r>
          </w:p>
        </w:tc>
        <w:tc>
          <w:tcPr>
            <w:tcW w:w="1405" w:type="dxa"/>
            <w:tcBorders>
              <w:top w:val="nil"/>
              <w:left w:val="nil"/>
              <w:bottom w:val="single" w:sz="4" w:space="0" w:color="auto"/>
              <w:right w:val="single" w:sz="4" w:space="0" w:color="auto"/>
            </w:tcBorders>
            <w:shd w:val="clear" w:color="auto" w:fill="auto"/>
            <w:hideMark/>
          </w:tcPr>
          <w:p w14:paraId="1ECAB12A" w14:textId="0F9131ED"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60FB6954"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2804A9E3" w14:textId="12A02ABA"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7C026F42" w14:textId="77777777" w:rsidTr="00514D39">
        <w:trPr>
          <w:trHeight w:val="155"/>
        </w:trPr>
        <w:tc>
          <w:tcPr>
            <w:tcW w:w="2406" w:type="dxa"/>
            <w:tcBorders>
              <w:top w:val="nil"/>
              <w:left w:val="single" w:sz="4" w:space="0" w:color="auto"/>
              <w:bottom w:val="single" w:sz="4" w:space="0" w:color="auto"/>
              <w:right w:val="single" w:sz="4" w:space="0" w:color="auto"/>
            </w:tcBorders>
            <w:shd w:val="clear" w:color="auto" w:fill="auto"/>
            <w:hideMark/>
          </w:tcPr>
          <w:p w14:paraId="60F4565D" w14:textId="77777777" w:rsidR="00696730" w:rsidRPr="00F7008B" w:rsidRDefault="00696730" w:rsidP="00696730">
            <w:pPr>
              <w:jc w:val="left"/>
              <w:rPr>
                <w:sz w:val="20"/>
                <w:szCs w:val="20"/>
                <w:lang w:eastAsia="en-CA"/>
              </w:rPr>
            </w:pPr>
            <w:proofErr w:type="spellStart"/>
            <w:r w:rsidRPr="00F7008B">
              <w:rPr>
                <w:sz w:val="20"/>
                <w:szCs w:val="20"/>
                <w:lang w:eastAsia="fr"/>
              </w:rPr>
              <w:t>Jamaïque</w:t>
            </w:r>
            <w:proofErr w:type="spellEnd"/>
          </w:p>
          <w:p w14:paraId="18A215F0" w14:textId="77777777" w:rsidR="00696730" w:rsidRPr="00F7008B" w:rsidRDefault="00696730" w:rsidP="00696730">
            <w:pPr>
              <w:jc w:val="left"/>
              <w:rPr>
                <w:sz w:val="20"/>
                <w:szCs w:val="20"/>
                <w:lang w:eastAsia="en-CA"/>
              </w:rPr>
            </w:pPr>
            <w:r w:rsidRPr="00F7008B">
              <w:rPr>
                <w:sz w:val="20"/>
                <w:szCs w:val="20"/>
                <w:lang w:eastAsia="fr"/>
              </w:rPr>
              <w:t>JAM/PHA/76/INV/36</w:t>
            </w:r>
          </w:p>
        </w:tc>
        <w:tc>
          <w:tcPr>
            <w:tcW w:w="4308" w:type="dxa"/>
            <w:tcBorders>
              <w:top w:val="nil"/>
              <w:left w:val="nil"/>
              <w:bottom w:val="single" w:sz="4" w:space="0" w:color="auto"/>
              <w:right w:val="single" w:sz="4" w:space="0" w:color="auto"/>
            </w:tcBorders>
            <w:shd w:val="clear" w:color="auto" w:fill="auto"/>
            <w:hideMark/>
          </w:tcPr>
          <w:p w14:paraId="1D305E19"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 troisième tranche)</w:t>
            </w:r>
          </w:p>
        </w:tc>
        <w:tc>
          <w:tcPr>
            <w:tcW w:w="1405" w:type="dxa"/>
            <w:tcBorders>
              <w:top w:val="nil"/>
              <w:left w:val="nil"/>
              <w:bottom w:val="single" w:sz="4" w:space="0" w:color="auto"/>
              <w:right w:val="single" w:sz="4" w:space="0" w:color="auto"/>
            </w:tcBorders>
            <w:shd w:val="clear" w:color="auto" w:fill="auto"/>
            <w:hideMark/>
          </w:tcPr>
          <w:p w14:paraId="6396AA9D" w14:textId="503502C6" w:rsidR="00696730" w:rsidRPr="00F7008B" w:rsidRDefault="00696730" w:rsidP="00696730">
            <w:pPr>
              <w:jc w:val="right"/>
              <w:rPr>
                <w:sz w:val="20"/>
                <w:szCs w:val="20"/>
                <w:lang w:eastAsia="en-CA"/>
              </w:rPr>
            </w:pPr>
            <w:r w:rsidRPr="00F7008B">
              <w:rPr>
                <w:sz w:val="20"/>
                <w:szCs w:val="20"/>
                <w:lang w:eastAsia="fr"/>
              </w:rPr>
              <w:t>64</w:t>
            </w:r>
          </w:p>
        </w:tc>
        <w:tc>
          <w:tcPr>
            <w:tcW w:w="1893" w:type="dxa"/>
            <w:tcBorders>
              <w:top w:val="nil"/>
              <w:left w:val="nil"/>
              <w:bottom w:val="single" w:sz="4" w:space="0" w:color="auto"/>
              <w:right w:val="single" w:sz="4" w:space="0" w:color="auto"/>
            </w:tcBorders>
            <w:shd w:val="clear" w:color="auto" w:fill="auto"/>
            <w:hideMark/>
          </w:tcPr>
          <w:p w14:paraId="261C3875" w14:textId="77777777" w:rsidR="00696730" w:rsidRPr="00F7008B" w:rsidRDefault="00696730" w:rsidP="00696730">
            <w:pPr>
              <w:jc w:val="left"/>
              <w:rPr>
                <w:sz w:val="20"/>
                <w:szCs w:val="20"/>
                <w:lang w:eastAsia="en-CA"/>
              </w:rPr>
            </w:pPr>
            <w:r w:rsidRPr="00F7008B">
              <w:rPr>
                <w:sz w:val="20"/>
                <w:szCs w:val="20"/>
                <w:lang w:eastAsia="fr"/>
              </w:rPr>
              <w:t xml:space="preserve">12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23AE97CE" w14:textId="322A8D00"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5D7664F8" w14:textId="77777777" w:rsidTr="005150A5">
        <w:trPr>
          <w:trHeight w:val="426"/>
        </w:trPr>
        <w:tc>
          <w:tcPr>
            <w:tcW w:w="2406" w:type="dxa"/>
            <w:tcBorders>
              <w:top w:val="nil"/>
              <w:left w:val="single" w:sz="4" w:space="0" w:color="auto"/>
              <w:bottom w:val="single" w:sz="4" w:space="0" w:color="auto"/>
              <w:right w:val="single" w:sz="4" w:space="0" w:color="auto"/>
            </w:tcBorders>
            <w:shd w:val="clear" w:color="auto" w:fill="auto"/>
            <w:hideMark/>
          </w:tcPr>
          <w:p w14:paraId="04732460" w14:textId="77777777" w:rsidR="00696730" w:rsidRPr="00F7008B" w:rsidRDefault="00696730" w:rsidP="00696730">
            <w:pPr>
              <w:jc w:val="left"/>
              <w:rPr>
                <w:sz w:val="20"/>
                <w:szCs w:val="20"/>
                <w:lang w:eastAsia="en-CA"/>
              </w:rPr>
            </w:pPr>
            <w:proofErr w:type="spellStart"/>
            <w:r w:rsidRPr="00F7008B">
              <w:rPr>
                <w:sz w:val="20"/>
                <w:szCs w:val="20"/>
                <w:lang w:eastAsia="fr"/>
              </w:rPr>
              <w:t>Liban</w:t>
            </w:r>
            <w:proofErr w:type="spellEnd"/>
          </w:p>
          <w:p w14:paraId="504731D8" w14:textId="77777777" w:rsidR="00696730" w:rsidRPr="00F7008B" w:rsidRDefault="00696730" w:rsidP="00696730">
            <w:pPr>
              <w:jc w:val="left"/>
              <w:rPr>
                <w:sz w:val="20"/>
                <w:szCs w:val="20"/>
                <w:lang w:eastAsia="en-CA"/>
              </w:rPr>
            </w:pPr>
            <w:r w:rsidRPr="00F7008B">
              <w:rPr>
                <w:sz w:val="20"/>
                <w:szCs w:val="20"/>
                <w:lang w:eastAsia="fr"/>
              </w:rPr>
              <w:t>LEB/PHA/81/TAS/92</w:t>
            </w:r>
          </w:p>
        </w:tc>
        <w:tc>
          <w:tcPr>
            <w:tcW w:w="4308" w:type="dxa"/>
            <w:tcBorders>
              <w:top w:val="nil"/>
              <w:left w:val="nil"/>
              <w:bottom w:val="single" w:sz="4" w:space="0" w:color="auto"/>
              <w:right w:val="single" w:sz="4" w:space="0" w:color="auto"/>
            </w:tcBorders>
            <w:shd w:val="clear" w:color="auto" w:fill="auto"/>
            <w:hideMark/>
          </w:tcPr>
          <w:p w14:paraId="5650036F"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deuxième tranche) (entretien en réfrigération et gestion et coordination du projet)</w:t>
            </w:r>
          </w:p>
        </w:tc>
        <w:tc>
          <w:tcPr>
            <w:tcW w:w="1405" w:type="dxa"/>
            <w:tcBorders>
              <w:top w:val="nil"/>
              <w:left w:val="nil"/>
              <w:bottom w:val="single" w:sz="4" w:space="0" w:color="auto"/>
              <w:right w:val="single" w:sz="4" w:space="0" w:color="auto"/>
            </w:tcBorders>
            <w:shd w:val="clear" w:color="auto" w:fill="auto"/>
            <w:hideMark/>
          </w:tcPr>
          <w:p w14:paraId="56A09C9A" w14:textId="1CB8502E"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6AA4B3A2"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4B8C3913" w14:textId="5533EEEF"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026653D7" w14:textId="77777777" w:rsidTr="00514D39">
        <w:trPr>
          <w:trHeight w:val="158"/>
        </w:trPr>
        <w:tc>
          <w:tcPr>
            <w:tcW w:w="2406" w:type="dxa"/>
            <w:tcBorders>
              <w:top w:val="nil"/>
              <w:left w:val="single" w:sz="4" w:space="0" w:color="auto"/>
              <w:bottom w:val="single" w:sz="4" w:space="0" w:color="auto"/>
              <w:right w:val="single" w:sz="4" w:space="0" w:color="auto"/>
            </w:tcBorders>
            <w:shd w:val="clear" w:color="auto" w:fill="auto"/>
            <w:hideMark/>
          </w:tcPr>
          <w:p w14:paraId="220C5A7C" w14:textId="77777777" w:rsidR="00696730" w:rsidRPr="00F7008B" w:rsidRDefault="00696730" w:rsidP="00696730">
            <w:pPr>
              <w:jc w:val="left"/>
              <w:rPr>
                <w:sz w:val="20"/>
                <w:szCs w:val="20"/>
                <w:lang w:eastAsia="en-CA"/>
              </w:rPr>
            </w:pPr>
            <w:proofErr w:type="spellStart"/>
            <w:r w:rsidRPr="00F7008B">
              <w:rPr>
                <w:sz w:val="20"/>
                <w:szCs w:val="20"/>
                <w:lang w:eastAsia="fr"/>
              </w:rPr>
              <w:lastRenderedPageBreak/>
              <w:t>Liban</w:t>
            </w:r>
            <w:proofErr w:type="spellEnd"/>
          </w:p>
          <w:p w14:paraId="4EF7F919" w14:textId="77777777" w:rsidR="00696730" w:rsidRPr="00F7008B" w:rsidRDefault="00696730" w:rsidP="00696730">
            <w:pPr>
              <w:jc w:val="left"/>
              <w:rPr>
                <w:sz w:val="20"/>
                <w:szCs w:val="20"/>
                <w:lang w:eastAsia="en-CA"/>
              </w:rPr>
            </w:pPr>
            <w:r w:rsidRPr="00F7008B">
              <w:rPr>
                <w:sz w:val="20"/>
                <w:szCs w:val="20"/>
                <w:lang w:eastAsia="fr"/>
              </w:rPr>
              <w:t>LEB/SEV/80/TAS/02+</w:t>
            </w:r>
          </w:p>
        </w:tc>
        <w:tc>
          <w:tcPr>
            <w:tcW w:w="4308" w:type="dxa"/>
            <w:tcBorders>
              <w:top w:val="nil"/>
              <w:left w:val="nil"/>
              <w:bottom w:val="single" w:sz="4" w:space="0" w:color="auto"/>
              <w:right w:val="single" w:sz="4" w:space="0" w:color="auto"/>
            </w:tcBorders>
            <w:shd w:val="clear" w:color="auto" w:fill="auto"/>
            <w:hideMark/>
          </w:tcPr>
          <w:p w14:paraId="1A1C1AD0" w14:textId="77777777" w:rsidR="00696730" w:rsidRPr="00822BBF" w:rsidRDefault="00696730" w:rsidP="00696730">
            <w:pPr>
              <w:jc w:val="left"/>
              <w:rPr>
                <w:sz w:val="20"/>
                <w:szCs w:val="20"/>
                <w:lang w:val="fr-FR" w:eastAsia="en-CA"/>
              </w:rPr>
            </w:pPr>
            <w:r w:rsidRPr="00822BBF">
              <w:rPr>
                <w:sz w:val="20"/>
                <w:szCs w:val="20"/>
                <w:lang w:val="fr-FR" w:eastAsia="fr"/>
              </w:rPr>
              <w:t>Activités de facilitation de la réduction progressive des HFC</w:t>
            </w:r>
          </w:p>
        </w:tc>
        <w:tc>
          <w:tcPr>
            <w:tcW w:w="1405" w:type="dxa"/>
            <w:tcBorders>
              <w:top w:val="nil"/>
              <w:left w:val="nil"/>
              <w:bottom w:val="single" w:sz="4" w:space="0" w:color="auto"/>
              <w:right w:val="single" w:sz="4" w:space="0" w:color="auto"/>
            </w:tcBorders>
            <w:shd w:val="clear" w:color="auto" w:fill="auto"/>
            <w:hideMark/>
          </w:tcPr>
          <w:p w14:paraId="433D522A" w14:textId="65E8BDEA" w:rsidR="00696730" w:rsidRPr="00F7008B" w:rsidRDefault="00696730" w:rsidP="00696730">
            <w:pPr>
              <w:jc w:val="right"/>
              <w:rPr>
                <w:sz w:val="20"/>
                <w:szCs w:val="20"/>
                <w:lang w:eastAsia="en-CA"/>
              </w:rPr>
            </w:pPr>
            <w:r w:rsidRPr="00F7008B">
              <w:rPr>
                <w:sz w:val="20"/>
                <w:szCs w:val="20"/>
                <w:lang w:eastAsia="fr"/>
              </w:rPr>
              <w:t>39</w:t>
            </w:r>
          </w:p>
        </w:tc>
        <w:tc>
          <w:tcPr>
            <w:tcW w:w="1893" w:type="dxa"/>
            <w:tcBorders>
              <w:top w:val="nil"/>
              <w:left w:val="nil"/>
              <w:bottom w:val="single" w:sz="4" w:space="0" w:color="auto"/>
              <w:right w:val="single" w:sz="4" w:space="0" w:color="auto"/>
            </w:tcBorders>
            <w:shd w:val="clear" w:color="auto" w:fill="auto"/>
            <w:hideMark/>
          </w:tcPr>
          <w:p w14:paraId="2285DC5E" w14:textId="77777777" w:rsidR="00696730" w:rsidRPr="00F7008B" w:rsidRDefault="00696730" w:rsidP="00696730">
            <w:pPr>
              <w:jc w:val="left"/>
              <w:rPr>
                <w:sz w:val="20"/>
                <w:szCs w:val="20"/>
                <w:lang w:eastAsia="en-CA"/>
              </w:rPr>
            </w:pPr>
            <w:r w:rsidRPr="00F7008B">
              <w:rPr>
                <w:sz w:val="20"/>
                <w:szCs w:val="20"/>
                <w:lang w:eastAsia="fr"/>
              </w:rPr>
              <w:t xml:space="preserve">12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0463C417" w14:textId="49963831"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4A5D3B5A" w14:textId="77777777" w:rsidTr="00514D39">
        <w:trPr>
          <w:trHeight w:val="305"/>
        </w:trPr>
        <w:tc>
          <w:tcPr>
            <w:tcW w:w="2406" w:type="dxa"/>
            <w:tcBorders>
              <w:top w:val="nil"/>
              <w:left w:val="single" w:sz="4" w:space="0" w:color="auto"/>
              <w:bottom w:val="single" w:sz="4" w:space="0" w:color="auto"/>
              <w:right w:val="single" w:sz="4" w:space="0" w:color="auto"/>
            </w:tcBorders>
            <w:shd w:val="clear" w:color="auto" w:fill="auto"/>
            <w:hideMark/>
          </w:tcPr>
          <w:p w14:paraId="2BD0FCE1" w14:textId="77777777" w:rsidR="00696730" w:rsidRPr="00F7008B" w:rsidRDefault="00696730" w:rsidP="00696730">
            <w:pPr>
              <w:jc w:val="left"/>
              <w:rPr>
                <w:sz w:val="20"/>
                <w:szCs w:val="20"/>
                <w:lang w:eastAsia="en-CA"/>
              </w:rPr>
            </w:pPr>
            <w:proofErr w:type="spellStart"/>
            <w:r w:rsidRPr="00F7008B">
              <w:rPr>
                <w:sz w:val="20"/>
                <w:szCs w:val="20"/>
                <w:lang w:eastAsia="fr"/>
              </w:rPr>
              <w:t>Mauritanie</w:t>
            </w:r>
            <w:proofErr w:type="spellEnd"/>
          </w:p>
          <w:p w14:paraId="0B821ACF" w14:textId="77777777" w:rsidR="00696730" w:rsidRPr="00F7008B" w:rsidRDefault="00696730" w:rsidP="00696730">
            <w:pPr>
              <w:jc w:val="left"/>
              <w:rPr>
                <w:sz w:val="20"/>
                <w:szCs w:val="20"/>
                <w:lang w:eastAsia="en-CA"/>
              </w:rPr>
            </w:pPr>
            <w:r w:rsidRPr="00F7008B">
              <w:rPr>
                <w:sz w:val="20"/>
                <w:szCs w:val="20"/>
                <w:lang w:eastAsia="fr"/>
              </w:rPr>
              <w:t>193MAU/PHA/80/INV/25</w:t>
            </w:r>
          </w:p>
        </w:tc>
        <w:tc>
          <w:tcPr>
            <w:tcW w:w="4308" w:type="dxa"/>
            <w:tcBorders>
              <w:top w:val="nil"/>
              <w:left w:val="nil"/>
              <w:bottom w:val="single" w:sz="4" w:space="0" w:color="auto"/>
              <w:right w:val="single" w:sz="4" w:space="0" w:color="auto"/>
            </w:tcBorders>
            <w:shd w:val="clear" w:color="auto" w:fill="auto"/>
            <w:hideMark/>
          </w:tcPr>
          <w:p w14:paraId="194B2D3A"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 première tranche)</w:t>
            </w:r>
          </w:p>
        </w:tc>
        <w:tc>
          <w:tcPr>
            <w:tcW w:w="1405" w:type="dxa"/>
            <w:tcBorders>
              <w:top w:val="nil"/>
              <w:left w:val="nil"/>
              <w:bottom w:val="single" w:sz="4" w:space="0" w:color="auto"/>
              <w:right w:val="single" w:sz="4" w:space="0" w:color="auto"/>
            </w:tcBorders>
            <w:shd w:val="clear" w:color="auto" w:fill="auto"/>
            <w:hideMark/>
          </w:tcPr>
          <w:p w14:paraId="7412BC1F" w14:textId="2CCAA59B"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0DC7D7FE" w14:textId="77777777" w:rsidR="00696730" w:rsidRPr="00F7008B" w:rsidRDefault="00696730" w:rsidP="00696730">
            <w:pPr>
              <w:jc w:val="left"/>
              <w:rPr>
                <w:sz w:val="20"/>
                <w:szCs w:val="20"/>
                <w:lang w:eastAsia="en-CA"/>
              </w:rPr>
            </w:pPr>
            <w:r w:rsidRPr="00F7008B">
              <w:rPr>
                <w:sz w:val="20"/>
                <w:szCs w:val="20"/>
                <w:lang w:eastAsia="fr"/>
              </w:rPr>
              <w:t xml:space="preserve">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46B5DFF3" w14:textId="663673D1"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10EC37F1" w14:textId="77777777" w:rsidTr="00514D39">
        <w:trPr>
          <w:trHeight w:val="305"/>
        </w:trPr>
        <w:tc>
          <w:tcPr>
            <w:tcW w:w="2406" w:type="dxa"/>
            <w:tcBorders>
              <w:top w:val="nil"/>
              <w:left w:val="single" w:sz="4" w:space="0" w:color="auto"/>
              <w:bottom w:val="single" w:sz="4" w:space="0" w:color="auto"/>
              <w:right w:val="single" w:sz="4" w:space="0" w:color="auto"/>
            </w:tcBorders>
            <w:shd w:val="clear" w:color="auto" w:fill="auto"/>
          </w:tcPr>
          <w:p w14:paraId="75BACFDF" w14:textId="77777777" w:rsidR="00696730" w:rsidRPr="00F7008B" w:rsidRDefault="00696730" w:rsidP="00696730">
            <w:pPr>
              <w:jc w:val="left"/>
              <w:rPr>
                <w:sz w:val="20"/>
                <w:szCs w:val="20"/>
                <w:lang w:eastAsia="en-CA"/>
              </w:rPr>
            </w:pPr>
            <w:r w:rsidRPr="00F7008B">
              <w:rPr>
                <w:sz w:val="20"/>
                <w:szCs w:val="20"/>
                <w:lang w:eastAsia="fr"/>
              </w:rPr>
              <w:t>Mali</w:t>
            </w:r>
          </w:p>
          <w:p w14:paraId="1AC59899" w14:textId="77777777" w:rsidR="00696730" w:rsidRPr="00F7008B" w:rsidRDefault="00696730" w:rsidP="00696730">
            <w:pPr>
              <w:jc w:val="left"/>
              <w:rPr>
                <w:sz w:val="20"/>
                <w:szCs w:val="20"/>
                <w:lang w:eastAsia="en-CA"/>
              </w:rPr>
            </w:pPr>
            <w:r w:rsidRPr="00F7008B">
              <w:rPr>
                <w:sz w:val="20"/>
                <w:szCs w:val="20"/>
                <w:lang w:eastAsia="fr"/>
              </w:rPr>
              <w:t>MLI/PHA/84/PRP/41</w:t>
            </w:r>
          </w:p>
        </w:tc>
        <w:tc>
          <w:tcPr>
            <w:tcW w:w="4308" w:type="dxa"/>
            <w:tcBorders>
              <w:top w:val="nil"/>
              <w:left w:val="nil"/>
              <w:bottom w:val="single" w:sz="4" w:space="0" w:color="auto"/>
              <w:right w:val="single" w:sz="4" w:space="0" w:color="auto"/>
            </w:tcBorders>
            <w:shd w:val="clear" w:color="auto" w:fill="auto"/>
          </w:tcPr>
          <w:p w14:paraId="297BDF5A" w14:textId="77777777" w:rsidR="00696730" w:rsidRPr="00822BBF" w:rsidRDefault="00696730" w:rsidP="00696730">
            <w:pPr>
              <w:jc w:val="left"/>
              <w:rPr>
                <w:sz w:val="20"/>
                <w:szCs w:val="20"/>
                <w:lang w:val="fr-FR" w:eastAsia="en-CA"/>
              </w:rPr>
            </w:pPr>
            <w:r w:rsidRPr="00822BBF">
              <w:rPr>
                <w:sz w:val="20"/>
                <w:szCs w:val="20"/>
                <w:lang w:val="fr-FR" w:eastAsia="fr"/>
              </w:rPr>
              <w:t>Préparation d'un plan de gestion de l'élimination des HCFC (phase II)</w:t>
            </w:r>
          </w:p>
        </w:tc>
        <w:tc>
          <w:tcPr>
            <w:tcW w:w="1405" w:type="dxa"/>
            <w:tcBorders>
              <w:top w:val="nil"/>
              <w:left w:val="nil"/>
              <w:bottom w:val="single" w:sz="4" w:space="0" w:color="auto"/>
              <w:right w:val="single" w:sz="4" w:space="0" w:color="auto"/>
            </w:tcBorders>
            <w:shd w:val="clear" w:color="auto" w:fill="auto"/>
          </w:tcPr>
          <w:p w14:paraId="10345B43" w14:textId="77777777"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tcPr>
          <w:p w14:paraId="439DCB78" w14:textId="753FFEDA" w:rsidR="00696730" w:rsidRPr="00822BBF" w:rsidRDefault="00696730" w:rsidP="00696730">
            <w:pPr>
              <w:jc w:val="left"/>
              <w:rPr>
                <w:sz w:val="20"/>
                <w:szCs w:val="20"/>
                <w:lang w:val="fr-FR" w:eastAsia="en-CA"/>
              </w:rPr>
            </w:pPr>
            <w:r w:rsidRPr="00822BBF">
              <w:rPr>
                <w:sz w:val="20"/>
                <w:szCs w:val="20"/>
                <w:lang w:val="fr-FR" w:eastAsia="fr"/>
              </w:rPr>
              <w:t xml:space="preserve">Situation politique entraînant des difficultés à mener à </w:t>
            </w:r>
            <w:proofErr w:type="spellStart"/>
            <w:r w:rsidRPr="00822BBF">
              <w:rPr>
                <w:sz w:val="20"/>
                <w:szCs w:val="20"/>
                <w:lang w:val="fr-FR" w:eastAsia="fr"/>
              </w:rPr>
              <w:t>bienles</w:t>
            </w:r>
            <w:proofErr w:type="spellEnd"/>
            <w:r w:rsidRPr="00822BBF">
              <w:rPr>
                <w:sz w:val="20"/>
                <w:szCs w:val="20"/>
                <w:lang w:val="fr-FR" w:eastAsia="fr"/>
              </w:rPr>
              <w:t xml:space="preserve"> activités de préparation</w:t>
            </w:r>
          </w:p>
        </w:tc>
        <w:tc>
          <w:tcPr>
            <w:tcW w:w="4231" w:type="dxa"/>
            <w:tcBorders>
              <w:top w:val="nil"/>
              <w:left w:val="nil"/>
              <w:bottom w:val="single" w:sz="4" w:space="0" w:color="auto"/>
              <w:right w:val="single" w:sz="4" w:space="0" w:color="auto"/>
            </w:tcBorders>
            <w:shd w:val="clear" w:color="auto" w:fill="auto"/>
          </w:tcPr>
          <w:p w14:paraId="179381EE" w14:textId="4EA2DCCC"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599DC448" w14:textId="77777777" w:rsidTr="00514D39">
        <w:trPr>
          <w:trHeight w:val="310"/>
        </w:trPr>
        <w:tc>
          <w:tcPr>
            <w:tcW w:w="2406" w:type="dxa"/>
            <w:tcBorders>
              <w:top w:val="nil"/>
              <w:left w:val="single" w:sz="4" w:space="0" w:color="auto"/>
              <w:bottom w:val="single" w:sz="4" w:space="0" w:color="auto"/>
              <w:right w:val="single" w:sz="4" w:space="0" w:color="auto"/>
            </w:tcBorders>
            <w:shd w:val="clear" w:color="auto" w:fill="auto"/>
            <w:hideMark/>
          </w:tcPr>
          <w:p w14:paraId="4541A9C8" w14:textId="77777777" w:rsidR="00696730" w:rsidRPr="00F7008B" w:rsidRDefault="00696730" w:rsidP="00696730">
            <w:pPr>
              <w:jc w:val="left"/>
              <w:rPr>
                <w:sz w:val="20"/>
                <w:szCs w:val="20"/>
                <w:lang w:eastAsia="en-CA"/>
              </w:rPr>
            </w:pPr>
            <w:r w:rsidRPr="00F7008B">
              <w:rPr>
                <w:sz w:val="20"/>
                <w:szCs w:val="20"/>
                <w:lang w:eastAsia="fr"/>
              </w:rPr>
              <w:t>Panama</w:t>
            </w:r>
          </w:p>
          <w:p w14:paraId="031B3F4B" w14:textId="77777777" w:rsidR="00696730" w:rsidRPr="00F7008B" w:rsidRDefault="00696730" w:rsidP="00696730">
            <w:pPr>
              <w:jc w:val="left"/>
              <w:rPr>
                <w:sz w:val="20"/>
                <w:szCs w:val="20"/>
                <w:lang w:eastAsia="en-CA"/>
              </w:rPr>
            </w:pPr>
            <w:r w:rsidRPr="00F7008B">
              <w:rPr>
                <w:sz w:val="20"/>
                <w:szCs w:val="20"/>
                <w:lang w:eastAsia="fr"/>
              </w:rPr>
              <w:t>PAN/PHA/76/INV/44</w:t>
            </w:r>
          </w:p>
        </w:tc>
        <w:tc>
          <w:tcPr>
            <w:tcW w:w="4308" w:type="dxa"/>
            <w:tcBorders>
              <w:top w:val="nil"/>
              <w:left w:val="nil"/>
              <w:bottom w:val="single" w:sz="4" w:space="0" w:color="auto"/>
              <w:right w:val="single" w:sz="4" w:space="0" w:color="auto"/>
            </w:tcBorders>
            <w:shd w:val="clear" w:color="auto" w:fill="auto"/>
            <w:hideMark/>
          </w:tcPr>
          <w:p w14:paraId="4757C75C" w14:textId="77777777" w:rsidR="00696730" w:rsidRPr="00822BBF" w:rsidRDefault="00696730" w:rsidP="00696730">
            <w:pPr>
              <w:jc w:val="left"/>
              <w:rPr>
                <w:sz w:val="20"/>
                <w:szCs w:val="20"/>
                <w:lang w:val="fr-FR" w:eastAsia="en-CA"/>
              </w:rPr>
            </w:pPr>
            <w:r w:rsidRPr="00822BBF">
              <w:rPr>
                <w:sz w:val="20"/>
                <w:szCs w:val="20"/>
                <w:lang w:val="fr-FR" w:eastAsia="fr"/>
              </w:rPr>
              <w:t>Plan de gestion de l’élimination des HCFC (phase II, première tranche) (secteur des mousses)</w:t>
            </w:r>
          </w:p>
        </w:tc>
        <w:tc>
          <w:tcPr>
            <w:tcW w:w="1405" w:type="dxa"/>
            <w:tcBorders>
              <w:top w:val="nil"/>
              <w:left w:val="nil"/>
              <w:bottom w:val="single" w:sz="4" w:space="0" w:color="auto"/>
              <w:right w:val="single" w:sz="4" w:space="0" w:color="auto"/>
            </w:tcBorders>
            <w:shd w:val="clear" w:color="auto" w:fill="auto"/>
            <w:hideMark/>
          </w:tcPr>
          <w:p w14:paraId="0D87E739" w14:textId="3320DF57" w:rsidR="00696730" w:rsidRPr="00F7008B" w:rsidRDefault="00696730" w:rsidP="00696730">
            <w:pPr>
              <w:jc w:val="right"/>
              <w:rPr>
                <w:sz w:val="20"/>
                <w:szCs w:val="20"/>
                <w:lang w:eastAsia="en-CA"/>
              </w:rPr>
            </w:pPr>
            <w:r w:rsidRPr="00F7008B">
              <w:rPr>
                <w:sz w:val="20"/>
                <w:szCs w:val="20"/>
                <w:lang w:eastAsia="fr"/>
              </w:rPr>
              <w:t>11</w:t>
            </w:r>
          </w:p>
        </w:tc>
        <w:tc>
          <w:tcPr>
            <w:tcW w:w="1893" w:type="dxa"/>
            <w:tcBorders>
              <w:top w:val="nil"/>
              <w:left w:val="nil"/>
              <w:bottom w:val="single" w:sz="4" w:space="0" w:color="auto"/>
              <w:right w:val="single" w:sz="4" w:space="0" w:color="auto"/>
            </w:tcBorders>
            <w:shd w:val="clear" w:color="auto" w:fill="auto"/>
            <w:hideMark/>
          </w:tcPr>
          <w:p w14:paraId="31BE352C" w14:textId="77777777" w:rsidR="00696730" w:rsidRPr="00F7008B" w:rsidRDefault="00696730" w:rsidP="00696730">
            <w:pPr>
              <w:jc w:val="left"/>
              <w:rPr>
                <w:sz w:val="20"/>
                <w:szCs w:val="20"/>
                <w:lang w:eastAsia="en-CA"/>
              </w:rPr>
            </w:pPr>
            <w:r w:rsidRPr="00F7008B">
              <w:rPr>
                <w:sz w:val="20"/>
                <w:szCs w:val="20"/>
                <w:lang w:eastAsia="fr"/>
              </w:rPr>
              <w:t xml:space="preserve">Retard de 12 </w:t>
            </w:r>
            <w:proofErr w:type="spellStart"/>
            <w:r w:rsidRPr="00F7008B">
              <w:rPr>
                <w:sz w:val="20"/>
                <w:szCs w:val="20"/>
                <w:lang w:eastAsia="fr"/>
              </w:rPr>
              <w:t>mois</w:t>
            </w:r>
            <w:proofErr w:type="spellEnd"/>
          </w:p>
        </w:tc>
        <w:tc>
          <w:tcPr>
            <w:tcW w:w="4231" w:type="dxa"/>
            <w:tcBorders>
              <w:top w:val="nil"/>
              <w:left w:val="nil"/>
              <w:bottom w:val="single" w:sz="4" w:space="0" w:color="auto"/>
              <w:right w:val="single" w:sz="4" w:space="0" w:color="auto"/>
            </w:tcBorders>
            <w:shd w:val="clear" w:color="auto" w:fill="auto"/>
            <w:hideMark/>
          </w:tcPr>
          <w:p w14:paraId="690AAD0D" w14:textId="0C967AC2"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691124B0" w14:textId="77777777" w:rsidTr="00514D39">
        <w:trPr>
          <w:trHeight w:val="275"/>
        </w:trPr>
        <w:tc>
          <w:tcPr>
            <w:tcW w:w="2406" w:type="dxa"/>
            <w:tcBorders>
              <w:top w:val="nil"/>
              <w:left w:val="single" w:sz="4" w:space="0" w:color="auto"/>
              <w:bottom w:val="single" w:sz="4" w:space="0" w:color="auto"/>
              <w:right w:val="single" w:sz="4" w:space="0" w:color="auto"/>
            </w:tcBorders>
            <w:shd w:val="clear" w:color="auto" w:fill="auto"/>
            <w:hideMark/>
          </w:tcPr>
          <w:p w14:paraId="147FE1F7" w14:textId="77777777" w:rsidR="00696730" w:rsidRPr="00F7008B" w:rsidRDefault="00696730" w:rsidP="00696730">
            <w:pPr>
              <w:jc w:val="left"/>
              <w:rPr>
                <w:sz w:val="20"/>
                <w:szCs w:val="20"/>
                <w:lang w:eastAsia="en-CA"/>
              </w:rPr>
            </w:pPr>
            <w:r w:rsidRPr="00F7008B">
              <w:rPr>
                <w:sz w:val="20"/>
                <w:szCs w:val="20"/>
                <w:lang w:eastAsia="fr"/>
              </w:rPr>
              <w:t>Panama</w:t>
            </w:r>
          </w:p>
          <w:p w14:paraId="090C721D" w14:textId="77777777" w:rsidR="00696730" w:rsidRPr="00F7008B" w:rsidRDefault="00696730" w:rsidP="00696730">
            <w:pPr>
              <w:jc w:val="left"/>
              <w:rPr>
                <w:sz w:val="20"/>
                <w:szCs w:val="20"/>
                <w:lang w:eastAsia="en-CA"/>
              </w:rPr>
            </w:pPr>
            <w:r w:rsidRPr="00F7008B">
              <w:rPr>
                <w:sz w:val="20"/>
                <w:szCs w:val="20"/>
                <w:lang w:eastAsia="fr"/>
              </w:rPr>
              <w:t>PAN/SEV/81/TAS/46</w:t>
            </w:r>
          </w:p>
        </w:tc>
        <w:tc>
          <w:tcPr>
            <w:tcW w:w="4308" w:type="dxa"/>
            <w:tcBorders>
              <w:top w:val="nil"/>
              <w:left w:val="nil"/>
              <w:bottom w:val="single" w:sz="4" w:space="0" w:color="auto"/>
              <w:right w:val="single" w:sz="4" w:space="0" w:color="auto"/>
            </w:tcBorders>
            <w:shd w:val="clear" w:color="auto" w:fill="auto"/>
            <w:hideMark/>
          </w:tcPr>
          <w:p w14:paraId="3D826A8C" w14:textId="77777777" w:rsidR="00696730" w:rsidRPr="00822BBF" w:rsidRDefault="00696730" w:rsidP="00696730">
            <w:pPr>
              <w:jc w:val="left"/>
              <w:rPr>
                <w:sz w:val="20"/>
                <w:szCs w:val="20"/>
                <w:lang w:val="fr-FR" w:eastAsia="en-CA"/>
              </w:rPr>
            </w:pPr>
            <w:r w:rsidRPr="00822BBF">
              <w:rPr>
                <w:sz w:val="20"/>
                <w:szCs w:val="20"/>
                <w:lang w:val="fr-FR" w:eastAsia="fr"/>
              </w:rPr>
              <w:t>Activités de facilitation de la réduction progressive des HFC</w:t>
            </w:r>
          </w:p>
        </w:tc>
        <w:tc>
          <w:tcPr>
            <w:tcW w:w="1405" w:type="dxa"/>
            <w:tcBorders>
              <w:top w:val="nil"/>
              <w:left w:val="nil"/>
              <w:bottom w:val="single" w:sz="4" w:space="0" w:color="auto"/>
              <w:right w:val="single" w:sz="4" w:space="0" w:color="auto"/>
            </w:tcBorders>
            <w:shd w:val="clear" w:color="auto" w:fill="auto"/>
            <w:hideMark/>
          </w:tcPr>
          <w:p w14:paraId="4F3E568C" w14:textId="0F24E70C" w:rsidR="00696730" w:rsidRPr="00F7008B" w:rsidRDefault="00696730" w:rsidP="00696730">
            <w:pPr>
              <w:jc w:val="right"/>
              <w:rPr>
                <w:sz w:val="20"/>
                <w:szCs w:val="20"/>
                <w:lang w:eastAsia="en-CA"/>
              </w:rPr>
            </w:pPr>
            <w:r w:rsidRPr="00F7008B">
              <w:rPr>
                <w:sz w:val="20"/>
                <w:szCs w:val="20"/>
                <w:lang w:eastAsia="fr"/>
              </w:rPr>
              <w:t>40</w:t>
            </w:r>
          </w:p>
        </w:tc>
        <w:tc>
          <w:tcPr>
            <w:tcW w:w="1893" w:type="dxa"/>
            <w:tcBorders>
              <w:top w:val="nil"/>
              <w:left w:val="nil"/>
              <w:bottom w:val="single" w:sz="4" w:space="0" w:color="auto"/>
              <w:right w:val="single" w:sz="4" w:space="0" w:color="auto"/>
            </w:tcBorders>
            <w:shd w:val="clear" w:color="auto" w:fill="auto"/>
            <w:hideMark/>
          </w:tcPr>
          <w:p w14:paraId="258B22F6" w14:textId="77777777" w:rsidR="00696730" w:rsidRPr="00F7008B" w:rsidRDefault="00696730" w:rsidP="00696730">
            <w:pPr>
              <w:jc w:val="left"/>
              <w:rPr>
                <w:sz w:val="20"/>
                <w:szCs w:val="20"/>
                <w:lang w:eastAsia="en-CA"/>
              </w:rPr>
            </w:pPr>
            <w:r w:rsidRPr="00F7008B">
              <w:rPr>
                <w:sz w:val="20"/>
                <w:szCs w:val="20"/>
                <w:lang w:eastAsia="fr"/>
              </w:rPr>
              <w:t xml:space="preserve">12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65C8F2A2" w14:textId="301B178D"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r w:rsidR="00696730" w:rsidRPr="0056042B" w14:paraId="2A62113E" w14:textId="77777777" w:rsidTr="00514D39">
        <w:trPr>
          <w:trHeight w:val="409"/>
        </w:trPr>
        <w:tc>
          <w:tcPr>
            <w:tcW w:w="2406" w:type="dxa"/>
            <w:tcBorders>
              <w:top w:val="nil"/>
              <w:left w:val="single" w:sz="4" w:space="0" w:color="auto"/>
              <w:bottom w:val="single" w:sz="4" w:space="0" w:color="auto"/>
              <w:right w:val="single" w:sz="4" w:space="0" w:color="auto"/>
            </w:tcBorders>
            <w:shd w:val="clear" w:color="auto" w:fill="auto"/>
            <w:hideMark/>
          </w:tcPr>
          <w:p w14:paraId="51B96D19" w14:textId="77777777" w:rsidR="00696730" w:rsidRPr="00F7008B" w:rsidRDefault="00696730" w:rsidP="00696730">
            <w:pPr>
              <w:jc w:val="left"/>
              <w:rPr>
                <w:sz w:val="20"/>
                <w:szCs w:val="20"/>
                <w:lang w:eastAsia="en-CA"/>
              </w:rPr>
            </w:pPr>
            <w:r w:rsidRPr="00F7008B">
              <w:rPr>
                <w:sz w:val="20"/>
                <w:szCs w:val="20"/>
                <w:lang w:eastAsia="fr"/>
              </w:rPr>
              <w:t>Zimbabwe</w:t>
            </w:r>
          </w:p>
          <w:p w14:paraId="519B26E8" w14:textId="77777777" w:rsidR="00696730" w:rsidRPr="00F7008B" w:rsidRDefault="00696730" w:rsidP="00696730">
            <w:pPr>
              <w:jc w:val="left"/>
              <w:rPr>
                <w:sz w:val="20"/>
                <w:szCs w:val="20"/>
                <w:lang w:eastAsia="en-CA"/>
              </w:rPr>
            </w:pPr>
            <w:r w:rsidRPr="00F7008B">
              <w:rPr>
                <w:sz w:val="20"/>
                <w:szCs w:val="20"/>
                <w:lang w:eastAsia="fr"/>
              </w:rPr>
              <w:t>ZIM/REF/82/INV/55</w:t>
            </w:r>
          </w:p>
        </w:tc>
        <w:tc>
          <w:tcPr>
            <w:tcW w:w="4308" w:type="dxa"/>
            <w:tcBorders>
              <w:top w:val="nil"/>
              <w:left w:val="nil"/>
              <w:bottom w:val="single" w:sz="4" w:space="0" w:color="auto"/>
              <w:right w:val="single" w:sz="4" w:space="0" w:color="auto"/>
            </w:tcBorders>
            <w:shd w:val="clear" w:color="auto" w:fill="auto"/>
            <w:hideMark/>
          </w:tcPr>
          <w:p w14:paraId="48306F6B" w14:textId="77777777" w:rsidR="00696730" w:rsidRPr="00822BBF" w:rsidRDefault="00696730" w:rsidP="00696730">
            <w:pPr>
              <w:jc w:val="left"/>
              <w:rPr>
                <w:sz w:val="20"/>
                <w:szCs w:val="20"/>
                <w:lang w:val="fr-FR" w:eastAsia="en-CA"/>
              </w:rPr>
            </w:pPr>
            <w:r w:rsidRPr="00822BBF">
              <w:rPr>
                <w:sz w:val="20"/>
                <w:szCs w:val="20"/>
                <w:lang w:val="fr-FR" w:eastAsia="fr"/>
              </w:rPr>
              <w:t>Reconversion du HFC-134a à l’isobutane dans la production de réfrigérateurs ménagers chez Capri (SME Harare)</w:t>
            </w:r>
          </w:p>
        </w:tc>
        <w:tc>
          <w:tcPr>
            <w:tcW w:w="1405" w:type="dxa"/>
            <w:tcBorders>
              <w:top w:val="nil"/>
              <w:left w:val="nil"/>
              <w:bottom w:val="single" w:sz="4" w:space="0" w:color="auto"/>
              <w:right w:val="single" w:sz="4" w:space="0" w:color="auto"/>
            </w:tcBorders>
            <w:shd w:val="clear" w:color="auto" w:fill="auto"/>
            <w:hideMark/>
          </w:tcPr>
          <w:p w14:paraId="052F2D3F" w14:textId="15C0740E" w:rsidR="00696730" w:rsidRPr="00F7008B" w:rsidRDefault="00696730" w:rsidP="00696730">
            <w:pPr>
              <w:jc w:val="right"/>
              <w:rPr>
                <w:sz w:val="20"/>
                <w:szCs w:val="20"/>
                <w:lang w:eastAsia="en-CA"/>
              </w:rPr>
            </w:pPr>
            <w:r w:rsidRPr="00F7008B">
              <w:rPr>
                <w:sz w:val="20"/>
                <w:szCs w:val="20"/>
                <w:lang w:eastAsia="fr"/>
              </w:rPr>
              <w:t>0</w:t>
            </w:r>
          </w:p>
        </w:tc>
        <w:tc>
          <w:tcPr>
            <w:tcW w:w="1893" w:type="dxa"/>
            <w:tcBorders>
              <w:top w:val="nil"/>
              <w:left w:val="nil"/>
              <w:bottom w:val="single" w:sz="4" w:space="0" w:color="auto"/>
              <w:right w:val="single" w:sz="4" w:space="0" w:color="auto"/>
            </w:tcBorders>
            <w:shd w:val="clear" w:color="auto" w:fill="auto"/>
            <w:hideMark/>
          </w:tcPr>
          <w:p w14:paraId="7DE78766" w14:textId="77777777" w:rsidR="00696730" w:rsidRPr="00F7008B" w:rsidRDefault="00696730" w:rsidP="00696730">
            <w:pPr>
              <w:jc w:val="left"/>
              <w:rPr>
                <w:sz w:val="20"/>
                <w:szCs w:val="20"/>
                <w:lang w:eastAsia="en-CA"/>
              </w:rPr>
            </w:pPr>
            <w:r w:rsidRPr="00F7008B">
              <w:rPr>
                <w:sz w:val="20"/>
                <w:szCs w:val="20"/>
                <w:lang w:eastAsia="fr"/>
              </w:rPr>
              <w:t xml:space="preserve">12 et 18 </w:t>
            </w:r>
            <w:proofErr w:type="spellStart"/>
            <w:r w:rsidRPr="00F7008B">
              <w:rPr>
                <w:sz w:val="20"/>
                <w:szCs w:val="20"/>
                <w:lang w:eastAsia="fr"/>
              </w:rPr>
              <w:t>mois</w:t>
            </w:r>
            <w:proofErr w:type="spellEnd"/>
            <w:r w:rsidRPr="00F7008B">
              <w:rPr>
                <w:sz w:val="20"/>
                <w:szCs w:val="20"/>
                <w:lang w:eastAsia="fr"/>
              </w:rPr>
              <w:t xml:space="preserve"> de retard</w:t>
            </w:r>
          </w:p>
        </w:tc>
        <w:tc>
          <w:tcPr>
            <w:tcW w:w="4231" w:type="dxa"/>
            <w:tcBorders>
              <w:top w:val="nil"/>
              <w:left w:val="nil"/>
              <w:bottom w:val="single" w:sz="4" w:space="0" w:color="auto"/>
              <w:right w:val="single" w:sz="4" w:space="0" w:color="auto"/>
            </w:tcBorders>
            <w:shd w:val="clear" w:color="auto" w:fill="auto"/>
            <w:hideMark/>
          </w:tcPr>
          <w:p w14:paraId="36425921" w14:textId="6DBBCE92" w:rsidR="00696730" w:rsidRPr="00822BBF" w:rsidRDefault="00696730" w:rsidP="00696730">
            <w:pPr>
              <w:jc w:val="left"/>
              <w:rPr>
                <w:sz w:val="20"/>
                <w:szCs w:val="20"/>
                <w:lang w:val="fr-FR" w:eastAsia="en-CA"/>
              </w:rPr>
            </w:pPr>
            <w:r w:rsidRPr="00822BBF">
              <w:rPr>
                <w:sz w:val="20"/>
                <w:szCs w:val="20"/>
                <w:lang w:val="fr-FR" w:eastAsia="fr"/>
              </w:rPr>
              <w:t>Demander au PNUD de rendre rapport à la 90</w:t>
            </w:r>
            <w:r w:rsidRPr="00822BBF">
              <w:rPr>
                <w:sz w:val="20"/>
                <w:szCs w:val="20"/>
                <w:vertAlign w:val="superscript"/>
                <w:lang w:val="fr-FR" w:eastAsia="fr"/>
              </w:rPr>
              <w:t>e</w:t>
            </w:r>
            <w:r>
              <w:rPr>
                <w:sz w:val="20"/>
                <w:szCs w:val="20"/>
                <w:vertAlign w:val="superscript"/>
                <w:lang w:val="fr-FR" w:eastAsia="fr"/>
              </w:rPr>
              <w:t> </w:t>
            </w:r>
            <w:r w:rsidRPr="00822BBF">
              <w:rPr>
                <w:sz w:val="20"/>
                <w:szCs w:val="20"/>
                <w:lang w:val="fr-FR" w:eastAsia="fr"/>
              </w:rPr>
              <w:t>réunion sur ce projet présentant un retard dans la mise en œuvre</w:t>
            </w:r>
          </w:p>
        </w:tc>
      </w:tr>
    </w:tbl>
    <w:p w14:paraId="37776B07" w14:textId="4B27CC34" w:rsidR="00E52ADD" w:rsidRPr="00822BBF" w:rsidRDefault="00732909" w:rsidP="000C6BEA">
      <w:pPr>
        <w:jc w:val="left"/>
        <w:rPr>
          <w:b/>
          <w:bCs/>
          <w:lang w:val="fr-FR"/>
        </w:rPr>
        <w:sectPr w:rsidR="00E52ADD" w:rsidRPr="00822BBF" w:rsidSect="001C0110">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720" w:bottom="1440" w:left="864" w:header="720" w:footer="475" w:gutter="0"/>
          <w:pgNumType w:start="1"/>
          <w:cols w:space="720"/>
          <w:titlePg/>
          <w:docGrid w:linePitch="299"/>
        </w:sectPr>
      </w:pPr>
      <w:r w:rsidRPr="00822BBF">
        <w:rPr>
          <w:sz w:val="20"/>
          <w:lang w:val="fr-FR"/>
        </w:rPr>
        <w:t xml:space="preserve">*Les codes se terminant par « + » </w:t>
      </w:r>
      <w:r w:rsidR="000C6BEA" w:rsidRPr="00822BBF">
        <w:rPr>
          <w:sz w:val="20"/>
          <w:lang w:val="fr-FR"/>
        </w:rPr>
        <w:t>indiquent des ressources provenant</w:t>
      </w:r>
      <w:r w:rsidRPr="00822BBF">
        <w:rPr>
          <w:sz w:val="20"/>
          <w:lang w:val="fr-FR"/>
        </w:rPr>
        <w:t xml:space="preserve"> des contributions supplémentaires.</w:t>
      </w:r>
    </w:p>
    <w:p w14:paraId="7B51ACBA" w14:textId="77777777" w:rsidR="00E52ADD" w:rsidRPr="00822BBF" w:rsidRDefault="00E52ADD" w:rsidP="00E52ADD">
      <w:pPr>
        <w:jc w:val="center"/>
        <w:rPr>
          <w:b/>
          <w:bCs/>
          <w:lang w:val="fr-FR"/>
        </w:rPr>
      </w:pPr>
      <w:r w:rsidRPr="00822BBF">
        <w:rPr>
          <w:b/>
          <w:bCs/>
          <w:lang w:val="fr-FR"/>
        </w:rPr>
        <w:lastRenderedPageBreak/>
        <w:t>Annexe II</w:t>
      </w:r>
    </w:p>
    <w:p w14:paraId="075C5CD3" w14:textId="77777777" w:rsidR="00E52ADD" w:rsidRPr="00822BBF" w:rsidRDefault="00E52ADD" w:rsidP="00E52ADD">
      <w:pPr>
        <w:jc w:val="center"/>
        <w:rPr>
          <w:b/>
          <w:bCs/>
          <w:lang w:val="fr-FR"/>
        </w:rPr>
      </w:pPr>
    </w:p>
    <w:p w14:paraId="7D61CADD" w14:textId="77777777" w:rsidR="00E52ADD" w:rsidRPr="00822BBF" w:rsidRDefault="00E52ADD" w:rsidP="00E52ADD">
      <w:pPr>
        <w:pStyle w:val="Title1"/>
        <w:rPr>
          <w:caps w:val="0"/>
          <w:lang w:val="fr-FR"/>
        </w:rPr>
      </w:pPr>
      <w:r w:rsidRPr="00F7008B">
        <w:rPr>
          <w:caps w:val="0"/>
          <w:lang w:val="fr"/>
        </w:rPr>
        <w:t>ANALYSE DU RAPPORT PÉRIODIQUE DU PNUD AU 31 DÉCEMBRE 2020</w:t>
      </w:r>
    </w:p>
    <w:p w14:paraId="2BB073AD" w14:textId="77777777" w:rsidR="00E52ADD" w:rsidRPr="00822BBF" w:rsidRDefault="00E52ADD" w:rsidP="00E52ADD">
      <w:pPr>
        <w:pStyle w:val="Title1"/>
        <w:rPr>
          <w:caps w:val="0"/>
          <w:lang w:val="fr-FR"/>
        </w:rPr>
      </w:pPr>
    </w:p>
    <w:p w14:paraId="2B528333" w14:textId="77777777" w:rsidR="00E52ADD" w:rsidRPr="00822BBF" w:rsidRDefault="00E52ADD" w:rsidP="00E52ADD">
      <w:pPr>
        <w:pStyle w:val="Heading1"/>
        <w:numPr>
          <w:ilvl w:val="0"/>
          <w:numId w:val="46"/>
        </w:numPr>
        <w:tabs>
          <w:tab w:val="clear" w:pos="0"/>
        </w:tabs>
        <w:rPr>
          <w:lang w:val="fr-FR"/>
        </w:rPr>
      </w:pPr>
      <w:r w:rsidRPr="00822BBF">
        <w:rPr>
          <w:lang w:val="fr-FR"/>
        </w:rPr>
        <w:t>La présente annexe se compose de deux parties :</w:t>
      </w:r>
    </w:p>
    <w:p w14:paraId="177FFCB8" w14:textId="77777777" w:rsidR="00E52ADD" w:rsidRPr="00822BBF" w:rsidRDefault="00E52ADD" w:rsidP="00E52ADD">
      <w:pPr>
        <w:pStyle w:val="Heading2"/>
        <w:keepNext/>
        <w:widowControl/>
        <w:numPr>
          <w:ilvl w:val="0"/>
          <w:numId w:val="0"/>
        </w:numPr>
        <w:adjustRightInd w:val="0"/>
        <w:ind w:left="2160" w:hanging="1440"/>
        <w:textAlignment w:val="baseline"/>
        <w:rPr>
          <w:lang w:val="fr-FR"/>
        </w:rPr>
      </w:pPr>
      <w:r w:rsidRPr="00822BBF">
        <w:rPr>
          <w:lang w:val="fr-FR"/>
        </w:rPr>
        <w:t>Partie I :</w:t>
      </w:r>
      <w:r w:rsidRPr="00822BBF">
        <w:rPr>
          <w:lang w:val="fr-FR"/>
        </w:rPr>
        <w:tab/>
        <w:t>Projets approuvés au titre des contributions ordinaires au Fonds multilatéral</w:t>
      </w:r>
    </w:p>
    <w:p w14:paraId="240ED35F" w14:textId="77777777" w:rsidR="00E52ADD" w:rsidRPr="00822BBF" w:rsidRDefault="00E52ADD" w:rsidP="00E52ADD">
      <w:pPr>
        <w:pStyle w:val="Heading2"/>
        <w:widowControl/>
        <w:numPr>
          <w:ilvl w:val="0"/>
          <w:numId w:val="0"/>
        </w:numPr>
        <w:adjustRightInd w:val="0"/>
        <w:ind w:left="2160" w:hanging="1440"/>
        <w:textAlignment w:val="baseline"/>
        <w:rPr>
          <w:lang w:val="fr-FR"/>
        </w:rPr>
      </w:pPr>
      <w:r w:rsidRPr="00822BBF">
        <w:rPr>
          <w:lang w:val="fr-FR"/>
        </w:rPr>
        <w:t xml:space="preserve">Partie </w:t>
      </w:r>
      <w:proofErr w:type="gramStart"/>
      <w:r w:rsidRPr="00822BBF">
        <w:rPr>
          <w:lang w:val="fr-FR"/>
        </w:rPr>
        <w:t>II:</w:t>
      </w:r>
      <w:proofErr w:type="gramEnd"/>
      <w:r w:rsidRPr="00822BBF">
        <w:rPr>
          <w:lang w:val="fr-FR"/>
        </w:rPr>
        <w:tab/>
        <w:t xml:space="preserve">Projets approuvés dans le cadre des contributions volontaires supplémentaires en vue d’un soutien au </w:t>
      </w:r>
      <w:r w:rsidRPr="00822BBF">
        <w:rPr>
          <w:lang w:val="fr-FR"/>
        </w:rPr>
        <w:noBreakHyphen/>
        <w:t>démarrage rapide de la réduction progressive des HFC.</w:t>
      </w:r>
    </w:p>
    <w:p w14:paraId="67CFA3A6" w14:textId="77777777" w:rsidR="00E52ADD" w:rsidRPr="00822BBF" w:rsidRDefault="00E52ADD" w:rsidP="00E52ADD">
      <w:pPr>
        <w:pStyle w:val="sub-title"/>
        <w:keepNext/>
        <w:keepLines/>
        <w:ind w:left="1418" w:hanging="1418"/>
        <w:rPr>
          <w:caps/>
          <w:noProof w:val="0"/>
          <w:lang w:val="fr-FR"/>
        </w:rPr>
      </w:pPr>
      <w:r w:rsidRPr="00F7008B">
        <w:rPr>
          <w:caps/>
          <w:noProof w:val="0"/>
          <w:lang w:val="fr"/>
        </w:rPr>
        <w:t>Partie I : Projets approuvés au titre des contributions ordinaires au Fonds multilatéral</w:t>
      </w:r>
    </w:p>
    <w:p w14:paraId="23C603BA" w14:textId="77777777" w:rsidR="00E52ADD" w:rsidRPr="00822BBF" w:rsidRDefault="00E52ADD" w:rsidP="00E52ADD">
      <w:pPr>
        <w:rPr>
          <w:lang w:val="fr-FR"/>
        </w:rPr>
      </w:pPr>
    </w:p>
    <w:p w14:paraId="7E89CA09" w14:textId="5E2E17DB" w:rsidR="00E52ADD" w:rsidRPr="00822BBF" w:rsidRDefault="00E52ADD" w:rsidP="00B803E0">
      <w:pPr>
        <w:pStyle w:val="Heading1"/>
        <w:rPr>
          <w:lang w:val="fr-FR"/>
        </w:rPr>
      </w:pPr>
      <w:r w:rsidRPr="00822BBF">
        <w:rPr>
          <w:lang w:val="fr-FR"/>
        </w:rPr>
        <w:t>Au 31 décembre 2020, le Comité exécutif avait approuvé un montant de 9</w:t>
      </w:r>
      <w:r w:rsidR="000C6BEA" w:rsidRPr="00822BBF">
        <w:rPr>
          <w:lang w:val="fr-FR"/>
        </w:rPr>
        <w:t>78,98 millions de $US, dont 861,</w:t>
      </w:r>
      <w:r w:rsidRPr="00822BBF">
        <w:rPr>
          <w:lang w:val="fr-FR"/>
        </w:rPr>
        <w:t>36 millions de $US pour la mise en œuvre de projets d'investissement et autres projets et</w:t>
      </w:r>
      <w:r w:rsidR="00696730">
        <w:rPr>
          <w:lang w:val="fr-FR"/>
        </w:rPr>
        <w:t> </w:t>
      </w:r>
      <w:r w:rsidRPr="00822BBF">
        <w:rPr>
          <w:lang w:val="fr-FR"/>
        </w:rPr>
        <w:t>117,63</w:t>
      </w:r>
      <w:r w:rsidR="00696730">
        <w:rPr>
          <w:lang w:val="fr-FR"/>
        </w:rPr>
        <w:t> </w:t>
      </w:r>
      <w:r w:rsidRPr="00822BBF">
        <w:rPr>
          <w:lang w:val="fr-FR"/>
        </w:rPr>
        <w:t>millions de $US pour les frais d'agence, comme indiqué au tableau 1. En 2020, 51 nouveaux projets et nouvelles activités ont été approuvés. Ce niveau de financement devrait entraîner l'élimination de 69 033 tonnes PAO de consommation de substances réglementées et de 240 094 tonnes d'équivalent CO</w:t>
      </w:r>
      <w:r w:rsidR="0065119B" w:rsidRPr="00822BBF">
        <w:rPr>
          <w:vertAlign w:val="subscript"/>
          <w:lang w:val="fr-FR"/>
        </w:rPr>
        <w:t>2</w:t>
      </w:r>
      <w:r w:rsidRPr="00822BBF">
        <w:rPr>
          <w:lang w:val="fr-FR"/>
        </w:rPr>
        <w:t xml:space="preserve"> pour les projets liés aux HFC. </w:t>
      </w:r>
    </w:p>
    <w:p w14:paraId="0718C8D0" w14:textId="77777777" w:rsidR="00E52ADD" w:rsidRPr="00822BBF" w:rsidRDefault="00E52ADD" w:rsidP="00E52ADD">
      <w:pPr>
        <w:pStyle w:val="Heading1"/>
        <w:keepNext/>
        <w:numPr>
          <w:ilvl w:val="0"/>
          <w:numId w:val="0"/>
        </w:numPr>
        <w:suppressAutoHyphens/>
        <w:spacing w:after="0"/>
        <w:rPr>
          <w:b/>
          <w:lang w:val="fr-FR"/>
        </w:rPr>
      </w:pPr>
      <w:r w:rsidRPr="00822BBF">
        <w:rPr>
          <w:b/>
          <w:spacing w:val="-3"/>
          <w:lang w:val="fr-FR"/>
        </w:rPr>
        <w:t>Tableau 1. Financement approuvé pour le PNUD, secteur par secteur, au 31 décembre </w:t>
      </w:r>
      <w:r w:rsidRPr="00822BBF">
        <w:rPr>
          <w:b/>
          <w:lang w:val="fr-FR"/>
        </w:rPr>
        <w:t>2020</w:t>
      </w:r>
    </w:p>
    <w:tbl>
      <w:tblPr>
        <w:tblW w:w="9360" w:type="dxa"/>
        <w:tblLayout w:type="fixed"/>
        <w:tblLook w:val="04A0" w:firstRow="1" w:lastRow="0" w:firstColumn="1" w:lastColumn="0" w:noHBand="0" w:noVBand="1"/>
      </w:tblPr>
      <w:tblGrid>
        <w:gridCol w:w="4679"/>
        <w:gridCol w:w="4681"/>
      </w:tblGrid>
      <w:tr w:rsidR="00373F62" w:rsidRPr="00F7008B" w14:paraId="36309AF3" w14:textId="77777777" w:rsidTr="005514B9">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C8BAF" w14:textId="77777777" w:rsidR="00373F62" w:rsidRPr="00F7008B" w:rsidRDefault="00373F62" w:rsidP="00373F62">
            <w:pPr>
              <w:jc w:val="center"/>
              <w:rPr>
                <w:b/>
                <w:bCs/>
                <w:sz w:val="20"/>
                <w:szCs w:val="20"/>
                <w:lang w:eastAsia="en-CA"/>
              </w:rPr>
            </w:pPr>
            <w:proofErr w:type="spellStart"/>
            <w:r w:rsidRPr="00F7008B">
              <w:rPr>
                <w:b/>
                <w:bCs/>
                <w:sz w:val="20"/>
                <w:szCs w:val="20"/>
                <w:lang w:eastAsia="fr"/>
              </w:rPr>
              <w:t>Secteur</w:t>
            </w:r>
            <w:proofErr w:type="spellEnd"/>
          </w:p>
        </w:tc>
        <w:tc>
          <w:tcPr>
            <w:tcW w:w="4661" w:type="dxa"/>
            <w:tcBorders>
              <w:top w:val="single" w:sz="4" w:space="0" w:color="auto"/>
              <w:left w:val="nil"/>
              <w:bottom w:val="single" w:sz="4" w:space="0" w:color="auto"/>
              <w:right w:val="single" w:sz="4" w:space="0" w:color="auto"/>
            </w:tcBorders>
            <w:shd w:val="clear" w:color="auto" w:fill="auto"/>
            <w:vAlign w:val="center"/>
            <w:hideMark/>
          </w:tcPr>
          <w:p w14:paraId="13E7944A" w14:textId="77777777" w:rsidR="00373F62" w:rsidRPr="00F7008B" w:rsidRDefault="00373F62" w:rsidP="00373F62">
            <w:pPr>
              <w:jc w:val="center"/>
              <w:rPr>
                <w:b/>
                <w:bCs/>
                <w:sz w:val="20"/>
                <w:szCs w:val="20"/>
                <w:lang w:eastAsia="en-CA"/>
              </w:rPr>
            </w:pPr>
            <w:proofErr w:type="spellStart"/>
            <w:r w:rsidRPr="00F7008B">
              <w:rPr>
                <w:b/>
                <w:bCs/>
                <w:sz w:val="20"/>
                <w:szCs w:val="20"/>
                <w:lang w:eastAsia="fr"/>
              </w:rPr>
              <w:t>Financement</w:t>
            </w:r>
            <w:proofErr w:type="spellEnd"/>
            <w:r w:rsidRPr="00F7008B">
              <w:rPr>
                <w:b/>
                <w:bCs/>
                <w:sz w:val="20"/>
                <w:szCs w:val="20"/>
                <w:lang w:eastAsia="fr"/>
              </w:rPr>
              <w:t xml:space="preserve"> ($US)</w:t>
            </w:r>
          </w:p>
        </w:tc>
      </w:tr>
      <w:tr w:rsidR="00373F62" w:rsidRPr="00F7008B" w14:paraId="2440857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1B51B5F" w14:textId="77777777" w:rsidR="00373F62" w:rsidRPr="00F7008B" w:rsidRDefault="00373F62" w:rsidP="00373F62">
            <w:pPr>
              <w:jc w:val="left"/>
              <w:rPr>
                <w:sz w:val="20"/>
                <w:szCs w:val="20"/>
                <w:lang w:eastAsia="en-CA"/>
              </w:rPr>
            </w:pPr>
            <w:proofErr w:type="spellStart"/>
            <w:r w:rsidRPr="00F7008B">
              <w:rPr>
                <w:sz w:val="20"/>
                <w:szCs w:val="20"/>
                <w:lang w:eastAsia="fr"/>
              </w:rPr>
              <w:t>Aérosols</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1BE7BCBE" w14:textId="77777777" w:rsidR="00373F62" w:rsidRPr="00F7008B" w:rsidRDefault="00373F62" w:rsidP="00373F62">
            <w:pPr>
              <w:jc w:val="right"/>
              <w:rPr>
                <w:sz w:val="20"/>
                <w:szCs w:val="20"/>
                <w:lang w:eastAsia="en-CA"/>
              </w:rPr>
            </w:pPr>
            <w:r w:rsidRPr="00F7008B">
              <w:rPr>
                <w:sz w:val="20"/>
                <w:szCs w:val="20"/>
                <w:lang w:eastAsia="fr"/>
              </w:rPr>
              <w:t>26 054 837</w:t>
            </w:r>
          </w:p>
        </w:tc>
      </w:tr>
      <w:tr w:rsidR="00373F62" w:rsidRPr="00F7008B" w14:paraId="3416C59D"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A4CF8CD" w14:textId="77777777" w:rsidR="00373F62" w:rsidRPr="00F7008B" w:rsidRDefault="00373F62" w:rsidP="00373F62">
            <w:pPr>
              <w:jc w:val="left"/>
              <w:rPr>
                <w:sz w:val="20"/>
                <w:szCs w:val="20"/>
                <w:lang w:eastAsia="en-CA"/>
              </w:rPr>
            </w:pPr>
            <w:r w:rsidRPr="00F7008B">
              <w:rPr>
                <w:sz w:val="20"/>
                <w:szCs w:val="20"/>
                <w:lang w:eastAsia="fr"/>
              </w:rPr>
              <w:t>Destruction</w:t>
            </w:r>
          </w:p>
        </w:tc>
        <w:tc>
          <w:tcPr>
            <w:tcW w:w="4661" w:type="dxa"/>
            <w:tcBorders>
              <w:top w:val="nil"/>
              <w:left w:val="nil"/>
              <w:bottom w:val="single" w:sz="4" w:space="0" w:color="auto"/>
              <w:right w:val="single" w:sz="4" w:space="0" w:color="auto"/>
            </w:tcBorders>
            <w:shd w:val="clear" w:color="auto" w:fill="auto"/>
            <w:noWrap/>
            <w:vAlign w:val="bottom"/>
            <w:hideMark/>
          </w:tcPr>
          <w:p w14:paraId="55F1B0C1" w14:textId="77777777" w:rsidR="00373F62" w:rsidRPr="00F7008B" w:rsidRDefault="00373F62" w:rsidP="00373F62">
            <w:pPr>
              <w:jc w:val="right"/>
              <w:rPr>
                <w:sz w:val="20"/>
                <w:szCs w:val="20"/>
                <w:lang w:eastAsia="en-CA"/>
              </w:rPr>
            </w:pPr>
            <w:r w:rsidRPr="00F7008B">
              <w:rPr>
                <w:sz w:val="20"/>
                <w:szCs w:val="20"/>
                <w:lang w:eastAsia="fr"/>
              </w:rPr>
              <w:t>3 606 279</w:t>
            </w:r>
          </w:p>
        </w:tc>
      </w:tr>
      <w:tr w:rsidR="00373F62" w:rsidRPr="00F7008B" w14:paraId="322EE3BF"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8A7E848" w14:textId="77777777" w:rsidR="00373F62" w:rsidRPr="00F7008B" w:rsidRDefault="00373F62" w:rsidP="00373F62">
            <w:pPr>
              <w:jc w:val="left"/>
              <w:rPr>
                <w:sz w:val="20"/>
                <w:szCs w:val="20"/>
                <w:lang w:eastAsia="en-CA"/>
              </w:rPr>
            </w:pPr>
            <w:r w:rsidRPr="00F7008B">
              <w:rPr>
                <w:sz w:val="20"/>
                <w:szCs w:val="20"/>
                <w:lang w:eastAsia="fr"/>
              </w:rPr>
              <w:t>Mousses</w:t>
            </w:r>
          </w:p>
        </w:tc>
        <w:tc>
          <w:tcPr>
            <w:tcW w:w="4661" w:type="dxa"/>
            <w:tcBorders>
              <w:top w:val="nil"/>
              <w:left w:val="nil"/>
              <w:bottom w:val="single" w:sz="4" w:space="0" w:color="auto"/>
              <w:right w:val="single" w:sz="4" w:space="0" w:color="auto"/>
            </w:tcBorders>
            <w:shd w:val="clear" w:color="auto" w:fill="auto"/>
            <w:noWrap/>
            <w:vAlign w:val="bottom"/>
            <w:hideMark/>
          </w:tcPr>
          <w:p w14:paraId="0C87009B" w14:textId="77777777" w:rsidR="00373F62" w:rsidRPr="00F7008B" w:rsidRDefault="00373F62" w:rsidP="00373F62">
            <w:pPr>
              <w:jc w:val="right"/>
              <w:rPr>
                <w:sz w:val="20"/>
                <w:szCs w:val="20"/>
                <w:lang w:eastAsia="en-CA"/>
              </w:rPr>
            </w:pPr>
            <w:r w:rsidRPr="00F7008B">
              <w:rPr>
                <w:sz w:val="20"/>
                <w:szCs w:val="20"/>
                <w:lang w:eastAsia="fr"/>
              </w:rPr>
              <w:t>173 331 512</w:t>
            </w:r>
          </w:p>
        </w:tc>
      </w:tr>
      <w:tr w:rsidR="00373F62" w:rsidRPr="00F7008B" w14:paraId="2995ED5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BE3DB05" w14:textId="77777777" w:rsidR="00373F62" w:rsidRPr="00F7008B" w:rsidRDefault="00373F62" w:rsidP="00373F62">
            <w:pPr>
              <w:jc w:val="left"/>
              <w:rPr>
                <w:sz w:val="20"/>
                <w:szCs w:val="20"/>
                <w:lang w:eastAsia="en-CA"/>
              </w:rPr>
            </w:pPr>
            <w:r w:rsidRPr="00F7008B">
              <w:rPr>
                <w:sz w:val="20"/>
                <w:szCs w:val="20"/>
                <w:lang w:eastAsia="fr"/>
              </w:rPr>
              <w:t>Halon</w:t>
            </w:r>
          </w:p>
        </w:tc>
        <w:tc>
          <w:tcPr>
            <w:tcW w:w="4661" w:type="dxa"/>
            <w:tcBorders>
              <w:top w:val="nil"/>
              <w:left w:val="nil"/>
              <w:bottom w:val="single" w:sz="4" w:space="0" w:color="auto"/>
              <w:right w:val="single" w:sz="4" w:space="0" w:color="auto"/>
            </w:tcBorders>
            <w:shd w:val="clear" w:color="auto" w:fill="auto"/>
            <w:noWrap/>
            <w:vAlign w:val="bottom"/>
            <w:hideMark/>
          </w:tcPr>
          <w:p w14:paraId="7F563756" w14:textId="77777777" w:rsidR="00373F62" w:rsidRPr="00F7008B" w:rsidRDefault="00373F62" w:rsidP="00373F62">
            <w:pPr>
              <w:jc w:val="right"/>
              <w:rPr>
                <w:sz w:val="20"/>
                <w:szCs w:val="20"/>
                <w:lang w:eastAsia="en-CA"/>
              </w:rPr>
            </w:pPr>
            <w:r w:rsidRPr="00F7008B">
              <w:rPr>
                <w:sz w:val="20"/>
                <w:szCs w:val="20"/>
                <w:lang w:eastAsia="fr"/>
              </w:rPr>
              <w:t>4 996 973</w:t>
            </w:r>
          </w:p>
        </w:tc>
      </w:tr>
      <w:tr w:rsidR="00373F62" w:rsidRPr="00F7008B" w14:paraId="58B8D01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7BF937F" w14:textId="77777777" w:rsidR="00373F62" w:rsidRPr="00F7008B" w:rsidRDefault="00373F62" w:rsidP="00373F62">
            <w:pPr>
              <w:jc w:val="left"/>
              <w:rPr>
                <w:sz w:val="20"/>
                <w:szCs w:val="20"/>
                <w:lang w:eastAsia="en-CA"/>
              </w:rPr>
            </w:pPr>
            <w:proofErr w:type="spellStart"/>
            <w:r w:rsidRPr="00F7008B">
              <w:rPr>
                <w:sz w:val="20"/>
                <w:szCs w:val="20"/>
                <w:lang w:eastAsia="fr"/>
              </w:rPr>
              <w:t>Fumigènes</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0B8A6E5E" w14:textId="77777777" w:rsidR="00373F62" w:rsidRPr="00F7008B" w:rsidRDefault="00373F62" w:rsidP="00373F62">
            <w:pPr>
              <w:jc w:val="right"/>
              <w:rPr>
                <w:sz w:val="20"/>
                <w:szCs w:val="20"/>
                <w:lang w:eastAsia="en-CA"/>
              </w:rPr>
            </w:pPr>
            <w:r w:rsidRPr="00F7008B">
              <w:rPr>
                <w:sz w:val="20"/>
                <w:szCs w:val="20"/>
                <w:lang w:eastAsia="fr"/>
              </w:rPr>
              <w:t>20 081 241</w:t>
            </w:r>
          </w:p>
        </w:tc>
      </w:tr>
      <w:tr w:rsidR="00373F62" w:rsidRPr="00F7008B" w14:paraId="2DF2E656"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5149258" w14:textId="77777777" w:rsidR="00373F62" w:rsidRPr="00F7008B" w:rsidRDefault="00373F62" w:rsidP="00373F62">
            <w:pPr>
              <w:jc w:val="left"/>
              <w:rPr>
                <w:sz w:val="20"/>
                <w:szCs w:val="20"/>
                <w:lang w:eastAsia="en-CA"/>
              </w:rPr>
            </w:pPr>
            <w:r w:rsidRPr="00F7008B">
              <w:rPr>
                <w:sz w:val="20"/>
                <w:szCs w:val="20"/>
                <w:lang w:eastAsia="fr"/>
              </w:rPr>
              <w:t xml:space="preserve">Plan </w:t>
            </w:r>
            <w:proofErr w:type="spellStart"/>
            <w:r w:rsidRPr="00F7008B">
              <w:rPr>
                <w:sz w:val="20"/>
                <w:szCs w:val="20"/>
                <w:lang w:eastAsia="fr"/>
              </w:rPr>
              <w:t>d’élimination</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413F2172" w14:textId="77777777" w:rsidR="00373F62" w:rsidRPr="00F7008B" w:rsidRDefault="00373F62" w:rsidP="00373F62">
            <w:pPr>
              <w:jc w:val="right"/>
              <w:rPr>
                <w:sz w:val="20"/>
                <w:szCs w:val="20"/>
                <w:lang w:eastAsia="en-CA"/>
              </w:rPr>
            </w:pPr>
            <w:r w:rsidRPr="00F7008B">
              <w:rPr>
                <w:sz w:val="20"/>
                <w:szCs w:val="20"/>
                <w:lang w:eastAsia="fr"/>
              </w:rPr>
              <w:t>361 740 925</w:t>
            </w:r>
          </w:p>
        </w:tc>
      </w:tr>
      <w:tr w:rsidR="00373F62" w:rsidRPr="00F7008B" w14:paraId="4584E0DA"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A7B3580" w14:textId="77777777" w:rsidR="00373F62" w:rsidRPr="00F7008B" w:rsidRDefault="00373F62" w:rsidP="00373F62">
            <w:pPr>
              <w:jc w:val="left"/>
              <w:rPr>
                <w:sz w:val="20"/>
                <w:szCs w:val="20"/>
                <w:lang w:eastAsia="en-CA"/>
              </w:rPr>
            </w:pPr>
            <w:r w:rsidRPr="00F7008B">
              <w:rPr>
                <w:sz w:val="20"/>
                <w:szCs w:val="20"/>
                <w:lang w:eastAsia="fr"/>
              </w:rPr>
              <w:t>Agents de transformation</w:t>
            </w:r>
          </w:p>
        </w:tc>
        <w:tc>
          <w:tcPr>
            <w:tcW w:w="4661" w:type="dxa"/>
            <w:tcBorders>
              <w:top w:val="nil"/>
              <w:left w:val="nil"/>
              <w:bottom w:val="single" w:sz="4" w:space="0" w:color="auto"/>
              <w:right w:val="single" w:sz="4" w:space="0" w:color="auto"/>
            </w:tcBorders>
            <w:shd w:val="clear" w:color="auto" w:fill="auto"/>
            <w:noWrap/>
            <w:vAlign w:val="bottom"/>
            <w:hideMark/>
          </w:tcPr>
          <w:p w14:paraId="43C05B8C" w14:textId="77777777" w:rsidR="00373F62" w:rsidRPr="00F7008B" w:rsidRDefault="00373F62" w:rsidP="00373F62">
            <w:pPr>
              <w:jc w:val="right"/>
              <w:rPr>
                <w:sz w:val="20"/>
                <w:szCs w:val="20"/>
                <w:lang w:eastAsia="en-CA"/>
              </w:rPr>
            </w:pPr>
            <w:r w:rsidRPr="00F7008B">
              <w:rPr>
                <w:sz w:val="20"/>
                <w:szCs w:val="20"/>
                <w:lang w:eastAsia="fr"/>
              </w:rPr>
              <w:t>1 286 923</w:t>
            </w:r>
          </w:p>
        </w:tc>
      </w:tr>
      <w:tr w:rsidR="00373F62" w:rsidRPr="00F7008B" w14:paraId="16DE9E65"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15B2E09E" w14:textId="77777777" w:rsidR="00373F62" w:rsidRPr="00F7008B" w:rsidRDefault="00373F62" w:rsidP="00373F62">
            <w:pPr>
              <w:jc w:val="left"/>
              <w:rPr>
                <w:sz w:val="20"/>
                <w:szCs w:val="20"/>
                <w:lang w:eastAsia="en-CA"/>
              </w:rPr>
            </w:pPr>
            <w:r w:rsidRPr="00F7008B">
              <w:rPr>
                <w:sz w:val="20"/>
                <w:szCs w:val="20"/>
                <w:lang w:eastAsia="fr"/>
              </w:rPr>
              <w:t>Production</w:t>
            </w:r>
          </w:p>
        </w:tc>
        <w:tc>
          <w:tcPr>
            <w:tcW w:w="4661" w:type="dxa"/>
            <w:tcBorders>
              <w:top w:val="nil"/>
              <w:left w:val="nil"/>
              <w:bottom w:val="single" w:sz="4" w:space="0" w:color="auto"/>
              <w:right w:val="single" w:sz="4" w:space="0" w:color="auto"/>
            </w:tcBorders>
            <w:shd w:val="clear" w:color="auto" w:fill="auto"/>
            <w:noWrap/>
            <w:vAlign w:val="bottom"/>
            <w:hideMark/>
          </w:tcPr>
          <w:p w14:paraId="0A5FC393" w14:textId="77777777" w:rsidR="00373F62" w:rsidRPr="00F7008B" w:rsidRDefault="00373F62" w:rsidP="00373F62">
            <w:pPr>
              <w:jc w:val="right"/>
              <w:rPr>
                <w:sz w:val="20"/>
                <w:szCs w:val="20"/>
                <w:lang w:eastAsia="en-CA"/>
              </w:rPr>
            </w:pPr>
            <w:r w:rsidRPr="00F7008B">
              <w:rPr>
                <w:sz w:val="20"/>
                <w:szCs w:val="20"/>
                <w:lang w:eastAsia="fr"/>
              </w:rPr>
              <w:t>1 056 000</w:t>
            </w:r>
          </w:p>
        </w:tc>
      </w:tr>
      <w:tr w:rsidR="00373F62" w:rsidRPr="00F7008B" w14:paraId="19B92EDC"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56F40CF" w14:textId="77777777" w:rsidR="00373F62" w:rsidRPr="00F7008B" w:rsidRDefault="00373F62" w:rsidP="00373F62">
            <w:pPr>
              <w:jc w:val="left"/>
              <w:rPr>
                <w:sz w:val="20"/>
                <w:szCs w:val="20"/>
                <w:lang w:eastAsia="en-CA"/>
              </w:rPr>
            </w:pPr>
            <w:proofErr w:type="spellStart"/>
            <w:r w:rsidRPr="00F7008B">
              <w:rPr>
                <w:sz w:val="20"/>
                <w:szCs w:val="20"/>
                <w:lang w:eastAsia="fr"/>
              </w:rPr>
              <w:t>Réfrigération</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48164746" w14:textId="77777777" w:rsidR="00373F62" w:rsidRPr="00F7008B" w:rsidRDefault="00373F62" w:rsidP="00373F62">
            <w:pPr>
              <w:jc w:val="right"/>
              <w:rPr>
                <w:sz w:val="20"/>
                <w:szCs w:val="20"/>
                <w:lang w:eastAsia="en-CA"/>
              </w:rPr>
            </w:pPr>
            <w:r w:rsidRPr="00F7008B">
              <w:rPr>
                <w:sz w:val="20"/>
                <w:szCs w:val="20"/>
                <w:lang w:eastAsia="fr"/>
              </w:rPr>
              <w:t>139 603 919</w:t>
            </w:r>
          </w:p>
        </w:tc>
      </w:tr>
      <w:tr w:rsidR="00373F62" w:rsidRPr="00F7008B" w14:paraId="1E84711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0476D02" w14:textId="77777777" w:rsidR="00373F62" w:rsidRPr="00F7008B" w:rsidRDefault="00373F62" w:rsidP="00373F62">
            <w:pPr>
              <w:jc w:val="left"/>
              <w:rPr>
                <w:sz w:val="20"/>
                <w:szCs w:val="20"/>
                <w:lang w:eastAsia="en-CA"/>
              </w:rPr>
            </w:pPr>
            <w:proofErr w:type="spellStart"/>
            <w:r w:rsidRPr="00F7008B">
              <w:rPr>
                <w:sz w:val="20"/>
                <w:szCs w:val="20"/>
                <w:lang w:eastAsia="fr"/>
              </w:rPr>
              <w:t>Secteurs</w:t>
            </w:r>
            <w:proofErr w:type="spellEnd"/>
            <w:r w:rsidRPr="00F7008B">
              <w:rPr>
                <w:sz w:val="20"/>
                <w:szCs w:val="20"/>
                <w:lang w:eastAsia="fr"/>
              </w:rPr>
              <w:t xml:space="preserve"> multiples</w:t>
            </w:r>
          </w:p>
        </w:tc>
        <w:tc>
          <w:tcPr>
            <w:tcW w:w="4661" w:type="dxa"/>
            <w:tcBorders>
              <w:top w:val="nil"/>
              <w:left w:val="nil"/>
              <w:bottom w:val="single" w:sz="4" w:space="0" w:color="auto"/>
              <w:right w:val="single" w:sz="4" w:space="0" w:color="auto"/>
            </w:tcBorders>
            <w:shd w:val="clear" w:color="auto" w:fill="auto"/>
            <w:noWrap/>
            <w:vAlign w:val="bottom"/>
            <w:hideMark/>
          </w:tcPr>
          <w:p w14:paraId="7F2DE3AD" w14:textId="77777777" w:rsidR="00373F62" w:rsidRPr="00F7008B" w:rsidRDefault="00373F62" w:rsidP="00373F62">
            <w:pPr>
              <w:jc w:val="right"/>
              <w:rPr>
                <w:sz w:val="20"/>
                <w:szCs w:val="20"/>
                <w:lang w:eastAsia="en-CA"/>
              </w:rPr>
            </w:pPr>
            <w:r w:rsidRPr="00F7008B">
              <w:rPr>
                <w:sz w:val="20"/>
                <w:szCs w:val="20"/>
                <w:lang w:eastAsia="fr"/>
              </w:rPr>
              <w:t>65 479 103</w:t>
            </w:r>
          </w:p>
        </w:tc>
      </w:tr>
      <w:tr w:rsidR="00373F62" w:rsidRPr="00F7008B" w14:paraId="1BC9450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9F341F7" w14:textId="77777777" w:rsidR="00373F62" w:rsidRPr="00F7008B" w:rsidRDefault="00373F62" w:rsidP="00373F62">
            <w:pPr>
              <w:jc w:val="left"/>
              <w:rPr>
                <w:sz w:val="20"/>
                <w:szCs w:val="20"/>
                <w:lang w:eastAsia="en-CA"/>
              </w:rPr>
            </w:pPr>
            <w:proofErr w:type="spellStart"/>
            <w:r w:rsidRPr="00F7008B">
              <w:rPr>
                <w:sz w:val="20"/>
                <w:szCs w:val="20"/>
                <w:lang w:eastAsia="fr"/>
              </w:rPr>
              <w:t>Solvants</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64368CED" w14:textId="77777777" w:rsidR="00373F62" w:rsidRPr="00F7008B" w:rsidRDefault="00373F62" w:rsidP="00373F62">
            <w:pPr>
              <w:jc w:val="right"/>
              <w:rPr>
                <w:sz w:val="20"/>
                <w:szCs w:val="20"/>
                <w:lang w:eastAsia="en-CA"/>
              </w:rPr>
            </w:pPr>
            <w:r w:rsidRPr="00F7008B">
              <w:rPr>
                <w:sz w:val="20"/>
                <w:szCs w:val="20"/>
                <w:lang w:eastAsia="fr"/>
              </w:rPr>
              <w:t>63 699 997</w:t>
            </w:r>
          </w:p>
        </w:tc>
      </w:tr>
      <w:tr w:rsidR="00373F62" w:rsidRPr="00F7008B" w14:paraId="7F4D3B4B"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1369EAB9" w14:textId="77777777" w:rsidR="00373F62" w:rsidRPr="00F7008B" w:rsidRDefault="00373F62" w:rsidP="00373F62">
            <w:pPr>
              <w:jc w:val="left"/>
              <w:rPr>
                <w:sz w:val="20"/>
                <w:szCs w:val="20"/>
                <w:lang w:eastAsia="en-CA"/>
              </w:rPr>
            </w:pPr>
            <w:r w:rsidRPr="00F7008B">
              <w:rPr>
                <w:sz w:val="20"/>
                <w:szCs w:val="20"/>
                <w:lang w:eastAsia="fr"/>
              </w:rPr>
              <w:t xml:space="preserve">Agents </w:t>
            </w:r>
            <w:proofErr w:type="spellStart"/>
            <w:r w:rsidRPr="00F7008B">
              <w:rPr>
                <w:sz w:val="20"/>
                <w:szCs w:val="20"/>
                <w:lang w:eastAsia="fr"/>
              </w:rPr>
              <w:t>désinfectants</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615E7221" w14:textId="77777777" w:rsidR="00373F62" w:rsidRPr="00F7008B" w:rsidRDefault="00373F62" w:rsidP="00373F62">
            <w:pPr>
              <w:jc w:val="right"/>
              <w:rPr>
                <w:sz w:val="20"/>
                <w:szCs w:val="20"/>
                <w:lang w:eastAsia="en-CA"/>
              </w:rPr>
            </w:pPr>
            <w:r w:rsidRPr="00F7008B">
              <w:rPr>
                <w:sz w:val="20"/>
                <w:szCs w:val="20"/>
                <w:lang w:eastAsia="fr"/>
              </w:rPr>
              <w:t>417 628</w:t>
            </w:r>
          </w:p>
        </w:tc>
      </w:tr>
      <w:tr w:rsidR="00373F62" w:rsidRPr="00F7008B" w14:paraId="633EA769"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50E8AE3F" w14:textId="77777777" w:rsidR="00373F62" w:rsidRPr="00F7008B" w:rsidRDefault="00373F62" w:rsidP="00373F62">
            <w:pPr>
              <w:jc w:val="left"/>
              <w:rPr>
                <w:b/>
                <w:bCs/>
                <w:sz w:val="20"/>
                <w:szCs w:val="20"/>
                <w:lang w:eastAsia="en-CA"/>
              </w:rPr>
            </w:pPr>
            <w:r w:rsidRPr="00F7008B">
              <w:rPr>
                <w:b/>
                <w:bCs/>
                <w:sz w:val="20"/>
                <w:szCs w:val="20"/>
                <w:lang w:eastAsia="fr"/>
              </w:rPr>
              <w:t xml:space="preserve">Total </w:t>
            </w:r>
            <w:proofErr w:type="spellStart"/>
            <w:r w:rsidRPr="00F7008B">
              <w:rPr>
                <w:b/>
                <w:bCs/>
                <w:sz w:val="20"/>
                <w:szCs w:val="20"/>
                <w:lang w:eastAsia="fr"/>
              </w:rPr>
              <w:t>partiel</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0971866D" w14:textId="77777777" w:rsidR="00373F62" w:rsidRPr="00F7008B" w:rsidRDefault="00373F62" w:rsidP="00373F62">
            <w:pPr>
              <w:jc w:val="right"/>
              <w:rPr>
                <w:b/>
                <w:sz w:val="20"/>
                <w:szCs w:val="20"/>
                <w:lang w:eastAsia="en-CA"/>
              </w:rPr>
            </w:pPr>
            <w:r w:rsidRPr="00F7008B">
              <w:rPr>
                <w:b/>
                <w:sz w:val="20"/>
                <w:szCs w:val="20"/>
                <w:lang w:eastAsia="fr"/>
              </w:rPr>
              <w:t>861 355 337</w:t>
            </w:r>
          </w:p>
        </w:tc>
      </w:tr>
      <w:tr w:rsidR="00373F62" w:rsidRPr="00F7008B" w14:paraId="5CC92C9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75A9609A" w14:textId="77777777" w:rsidR="00373F62" w:rsidRPr="00F7008B" w:rsidRDefault="00373F62" w:rsidP="00373F62">
            <w:pPr>
              <w:jc w:val="left"/>
              <w:rPr>
                <w:sz w:val="20"/>
                <w:szCs w:val="20"/>
                <w:lang w:eastAsia="en-CA"/>
              </w:rPr>
            </w:pPr>
            <w:proofErr w:type="spellStart"/>
            <w:r w:rsidRPr="00F7008B">
              <w:rPr>
                <w:sz w:val="20"/>
                <w:szCs w:val="20"/>
                <w:lang w:eastAsia="fr"/>
              </w:rPr>
              <w:t>Coûts</w:t>
            </w:r>
            <w:proofErr w:type="spellEnd"/>
            <w:r w:rsidRPr="00F7008B">
              <w:rPr>
                <w:sz w:val="20"/>
                <w:szCs w:val="20"/>
                <w:lang w:eastAsia="fr"/>
              </w:rPr>
              <w:t xml:space="preserve"> </w:t>
            </w:r>
            <w:proofErr w:type="spellStart"/>
            <w:r w:rsidRPr="00F7008B">
              <w:rPr>
                <w:sz w:val="20"/>
                <w:szCs w:val="20"/>
                <w:lang w:eastAsia="fr"/>
              </w:rPr>
              <w:t>d’appui</w:t>
            </w:r>
            <w:proofErr w:type="spellEnd"/>
            <w:r w:rsidRPr="00F7008B">
              <w:rPr>
                <w:sz w:val="20"/>
                <w:szCs w:val="20"/>
                <w:lang w:eastAsia="fr"/>
              </w:rPr>
              <w:t xml:space="preserve"> </w:t>
            </w:r>
            <w:proofErr w:type="spellStart"/>
            <w:r w:rsidRPr="00F7008B">
              <w:rPr>
                <w:sz w:val="20"/>
                <w:szCs w:val="20"/>
                <w:lang w:eastAsia="fr"/>
              </w:rPr>
              <w:t>d’agence</w:t>
            </w:r>
            <w:proofErr w:type="spellEnd"/>
          </w:p>
        </w:tc>
        <w:tc>
          <w:tcPr>
            <w:tcW w:w="4661" w:type="dxa"/>
            <w:tcBorders>
              <w:top w:val="nil"/>
              <w:left w:val="nil"/>
              <w:bottom w:val="single" w:sz="4" w:space="0" w:color="auto"/>
              <w:right w:val="single" w:sz="4" w:space="0" w:color="auto"/>
            </w:tcBorders>
            <w:shd w:val="clear" w:color="auto" w:fill="auto"/>
            <w:noWrap/>
            <w:vAlign w:val="bottom"/>
            <w:hideMark/>
          </w:tcPr>
          <w:p w14:paraId="7DEBDEA4" w14:textId="77777777" w:rsidR="00373F62" w:rsidRPr="00F7008B" w:rsidRDefault="00373F62" w:rsidP="00373F62">
            <w:pPr>
              <w:jc w:val="right"/>
              <w:rPr>
                <w:sz w:val="20"/>
                <w:szCs w:val="20"/>
                <w:lang w:eastAsia="en-CA"/>
              </w:rPr>
            </w:pPr>
            <w:r w:rsidRPr="00F7008B">
              <w:rPr>
                <w:sz w:val="20"/>
                <w:szCs w:val="20"/>
                <w:lang w:eastAsia="fr"/>
              </w:rPr>
              <w:t>117 625 135</w:t>
            </w:r>
          </w:p>
        </w:tc>
      </w:tr>
      <w:tr w:rsidR="00373F62" w:rsidRPr="00F7008B" w14:paraId="04E6E2B7" w14:textId="77777777" w:rsidTr="005514B9">
        <w:tc>
          <w:tcPr>
            <w:tcW w:w="4660" w:type="dxa"/>
            <w:tcBorders>
              <w:top w:val="nil"/>
              <w:left w:val="single" w:sz="4" w:space="0" w:color="auto"/>
              <w:bottom w:val="single" w:sz="4" w:space="0" w:color="auto"/>
              <w:right w:val="single" w:sz="4" w:space="0" w:color="auto"/>
            </w:tcBorders>
            <w:shd w:val="clear" w:color="auto" w:fill="auto"/>
            <w:noWrap/>
            <w:vAlign w:val="center"/>
            <w:hideMark/>
          </w:tcPr>
          <w:p w14:paraId="2CC0962A" w14:textId="77777777" w:rsidR="00373F62" w:rsidRPr="00F7008B" w:rsidRDefault="00373F62" w:rsidP="00373F62">
            <w:pPr>
              <w:jc w:val="left"/>
              <w:rPr>
                <w:b/>
                <w:bCs/>
                <w:sz w:val="20"/>
                <w:szCs w:val="20"/>
                <w:lang w:eastAsia="en-CA"/>
              </w:rPr>
            </w:pPr>
            <w:r w:rsidRPr="00F7008B">
              <w:rPr>
                <w:b/>
                <w:bCs/>
                <w:sz w:val="20"/>
                <w:szCs w:val="20"/>
                <w:lang w:eastAsia="fr"/>
              </w:rPr>
              <w:t>Total</w:t>
            </w:r>
          </w:p>
        </w:tc>
        <w:tc>
          <w:tcPr>
            <w:tcW w:w="4661" w:type="dxa"/>
            <w:tcBorders>
              <w:top w:val="nil"/>
              <w:left w:val="nil"/>
              <w:bottom w:val="single" w:sz="4" w:space="0" w:color="auto"/>
              <w:right w:val="single" w:sz="4" w:space="0" w:color="auto"/>
            </w:tcBorders>
            <w:shd w:val="clear" w:color="auto" w:fill="auto"/>
            <w:noWrap/>
            <w:vAlign w:val="bottom"/>
            <w:hideMark/>
          </w:tcPr>
          <w:p w14:paraId="734DA604" w14:textId="77777777" w:rsidR="00373F62" w:rsidRPr="00F7008B" w:rsidRDefault="00373F62" w:rsidP="00373F62">
            <w:pPr>
              <w:jc w:val="right"/>
              <w:rPr>
                <w:b/>
                <w:sz w:val="20"/>
                <w:szCs w:val="20"/>
                <w:lang w:eastAsia="en-CA"/>
              </w:rPr>
            </w:pPr>
            <w:r w:rsidRPr="00F7008B">
              <w:rPr>
                <w:b/>
                <w:sz w:val="20"/>
                <w:szCs w:val="20"/>
                <w:lang w:eastAsia="fr"/>
              </w:rPr>
              <w:t>978 980 472</w:t>
            </w:r>
          </w:p>
        </w:tc>
      </w:tr>
    </w:tbl>
    <w:p w14:paraId="28943251" w14:textId="77777777" w:rsidR="00E52ADD" w:rsidRPr="00F7008B" w:rsidRDefault="00E52ADD" w:rsidP="00E52ADD"/>
    <w:p w14:paraId="585B0ADE" w14:textId="77777777" w:rsidR="00E52ADD" w:rsidRPr="00822BBF" w:rsidRDefault="00E52ADD" w:rsidP="00E52ADD">
      <w:pPr>
        <w:pStyle w:val="Heading1"/>
        <w:tabs>
          <w:tab w:val="clear" w:pos="0"/>
        </w:tabs>
        <w:rPr>
          <w:lang w:val="fr-FR"/>
        </w:rPr>
      </w:pPr>
      <w:r w:rsidRPr="00822BBF">
        <w:rPr>
          <w:lang w:val="fr-FR"/>
        </w:rPr>
        <w:t xml:space="preserve">Un récapitulatif de l'état des projets mis en œuvre, par catégorie, est présenté au tableau 2. </w:t>
      </w:r>
    </w:p>
    <w:p w14:paraId="37BCBE64" w14:textId="77777777" w:rsidR="00E52ADD" w:rsidRPr="00822BBF" w:rsidRDefault="00E52ADD" w:rsidP="00E52ADD">
      <w:pPr>
        <w:keepNext/>
        <w:jc w:val="left"/>
        <w:rPr>
          <w:b/>
          <w:lang w:val="fr-FR"/>
        </w:rPr>
      </w:pPr>
      <w:r w:rsidRPr="00822BBF">
        <w:rPr>
          <w:b/>
          <w:lang w:val="fr-FR"/>
        </w:rPr>
        <w:t xml:space="preserve">Tableau 2. </w:t>
      </w:r>
      <w:r w:rsidRPr="00822BBF">
        <w:rPr>
          <w:b/>
          <w:spacing w:val="-3"/>
          <w:lang w:val="fr-FR"/>
        </w:rPr>
        <w:t xml:space="preserve">État de la mise en œuvre des projets, par </w:t>
      </w:r>
      <w:r w:rsidRPr="00822BBF">
        <w:rPr>
          <w:b/>
          <w:lang w:val="fr-FR"/>
        </w:rPr>
        <w:t>catégorie</w:t>
      </w:r>
    </w:p>
    <w:tbl>
      <w:tblPr>
        <w:tblW w:w="9360" w:type="dxa"/>
        <w:tblInd w:w="-5" w:type="dxa"/>
        <w:tblLayout w:type="fixed"/>
        <w:tblLook w:val="04A0" w:firstRow="1" w:lastRow="0" w:firstColumn="1" w:lastColumn="0" w:noHBand="0" w:noVBand="1"/>
      </w:tblPr>
      <w:tblGrid>
        <w:gridCol w:w="1770"/>
        <w:gridCol w:w="1085"/>
        <w:gridCol w:w="1084"/>
        <w:gridCol w:w="1227"/>
        <w:gridCol w:w="942"/>
        <w:gridCol w:w="1084"/>
        <w:gridCol w:w="1084"/>
        <w:gridCol w:w="1084"/>
      </w:tblGrid>
      <w:tr w:rsidR="00421196" w:rsidRPr="00F7008B" w14:paraId="5F68316A" w14:textId="77777777" w:rsidTr="00696730">
        <w:trPr>
          <w:tblHeader/>
        </w:trPr>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hideMark/>
          </w:tcPr>
          <w:p w14:paraId="5EE0D0B4" w14:textId="77777777" w:rsidR="002F1617" w:rsidRPr="00F7008B" w:rsidRDefault="002F1617" w:rsidP="002F1617">
            <w:pPr>
              <w:jc w:val="left"/>
              <w:rPr>
                <w:b/>
                <w:bCs/>
                <w:sz w:val="19"/>
                <w:szCs w:val="19"/>
                <w:lang w:eastAsia="en-CA"/>
              </w:rPr>
            </w:pPr>
            <w:r w:rsidRPr="00F7008B">
              <w:rPr>
                <w:b/>
                <w:bCs/>
                <w:sz w:val="19"/>
                <w:szCs w:val="19"/>
                <w:lang w:eastAsia="fr"/>
              </w:rPr>
              <w:t>Type</w:t>
            </w:r>
          </w:p>
        </w:tc>
        <w:tc>
          <w:tcPr>
            <w:tcW w:w="33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B36314"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Nombre</w:t>
            </w:r>
            <w:proofErr w:type="spellEnd"/>
            <w:r w:rsidRPr="00F7008B">
              <w:rPr>
                <w:b/>
                <w:bCs/>
                <w:sz w:val="19"/>
                <w:szCs w:val="19"/>
                <w:lang w:eastAsia="fr"/>
              </w:rPr>
              <w:t xml:space="preserve"> de </w:t>
            </w:r>
            <w:proofErr w:type="spellStart"/>
            <w:r w:rsidRPr="00F7008B">
              <w:rPr>
                <w:b/>
                <w:bCs/>
                <w:sz w:val="19"/>
                <w:szCs w:val="19"/>
                <w:lang w:eastAsia="fr"/>
              </w:rPr>
              <w:t>projets</w:t>
            </w:r>
            <w:proofErr w:type="spellEnd"/>
            <w:r w:rsidRPr="00F7008B">
              <w:rPr>
                <w:b/>
                <w:bCs/>
                <w:sz w:val="19"/>
                <w:szCs w:val="19"/>
                <w:lang w:eastAsia="fr"/>
              </w:rPr>
              <w:t>*</w:t>
            </w:r>
          </w:p>
        </w:tc>
        <w:tc>
          <w:tcPr>
            <w:tcW w:w="419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ECE05E"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Financement</w:t>
            </w:r>
            <w:proofErr w:type="spellEnd"/>
            <w:r w:rsidRPr="00F7008B">
              <w:rPr>
                <w:b/>
                <w:bCs/>
                <w:sz w:val="19"/>
                <w:szCs w:val="19"/>
                <w:lang w:eastAsia="fr"/>
              </w:rPr>
              <w:t xml:space="preserve"> ($US) **</w:t>
            </w:r>
          </w:p>
        </w:tc>
      </w:tr>
      <w:tr w:rsidR="005514B9" w:rsidRPr="00F7008B" w14:paraId="4FDCB93E" w14:textId="77777777" w:rsidTr="00696730">
        <w:trPr>
          <w:tblHeader/>
        </w:trPr>
        <w:tc>
          <w:tcPr>
            <w:tcW w:w="1770" w:type="dxa"/>
            <w:vMerge/>
            <w:tcBorders>
              <w:top w:val="single" w:sz="4" w:space="0" w:color="auto"/>
              <w:left w:val="single" w:sz="4" w:space="0" w:color="auto"/>
              <w:bottom w:val="single" w:sz="4" w:space="0" w:color="auto"/>
              <w:right w:val="single" w:sz="4" w:space="0" w:color="auto"/>
            </w:tcBorders>
            <w:tcMar>
              <w:left w:w="58" w:type="dxa"/>
              <w:right w:w="0" w:type="dxa"/>
            </w:tcMar>
            <w:vAlign w:val="center"/>
            <w:hideMark/>
          </w:tcPr>
          <w:p w14:paraId="3B3CA359" w14:textId="77777777" w:rsidR="002F1617" w:rsidRPr="00F7008B" w:rsidRDefault="002F1617" w:rsidP="002F1617">
            <w:pPr>
              <w:jc w:val="left"/>
              <w:rPr>
                <w:b/>
                <w:bCs/>
                <w:sz w:val="19"/>
                <w:szCs w:val="19"/>
                <w:lang w:eastAsia="en-CA"/>
              </w:rPr>
            </w:pPr>
          </w:p>
        </w:tc>
        <w:tc>
          <w:tcPr>
            <w:tcW w:w="108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0536021"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Approuvé</w:t>
            </w:r>
            <w:proofErr w:type="spellEnd"/>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9BA0D0"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Terminé</w:t>
            </w:r>
            <w:proofErr w:type="spellEnd"/>
          </w:p>
        </w:tc>
        <w:tc>
          <w:tcPr>
            <w:tcW w:w="122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27528B3" w14:textId="5EDFD7F9" w:rsidR="002F1617" w:rsidRPr="00F7008B" w:rsidRDefault="002F1617" w:rsidP="005514B9">
            <w:pPr>
              <w:jc w:val="center"/>
              <w:rPr>
                <w:b/>
                <w:bCs/>
                <w:sz w:val="19"/>
                <w:szCs w:val="19"/>
                <w:lang w:eastAsia="en-CA"/>
              </w:rPr>
            </w:pPr>
            <w:r w:rsidRPr="00F7008B">
              <w:rPr>
                <w:b/>
                <w:bCs/>
                <w:sz w:val="19"/>
                <w:szCs w:val="19"/>
                <w:lang w:eastAsia="fr"/>
              </w:rPr>
              <w:t xml:space="preserve">% </w:t>
            </w:r>
            <w:proofErr w:type="spellStart"/>
            <w:r w:rsidRPr="00F7008B">
              <w:rPr>
                <w:b/>
                <w:bCs/>
                <w:sz w:val="19"/>
                <w:szCs w:val="19"/>
                <w:lang w:eastAsia="fr"/>
              </w:rPr>
              <w:t>d’achèvement</w:t>
            </w:r>
            <w:proofErr w:type="spellEnd"/>
          </w:p>
        </w:tc>
        <w:tc>
          <w:tcPr>
            <w:tcW w:w="94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3A72C67"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Approuvé</w:t>
            </w:r>
            <w:proofErr w:type="spellEnd"/>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5F28EF"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Décaissé</w:t>
            </w:r>
            <w:proofErr w:type="spellEnd"/>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0B23789" w14:textId="77777777" w:rsidR="002F1617" w:rsidRPr="00F7008B" w:rsidRDefault="002F1617" w:rsidP="002F1617">
            <w:pPr>
              <w:jc w:val="center"/>
              <w:rPr>
                <w:b/>
                <w:bCs/>
                <w:sz w:val="19"/>
                <w:szCs w:val="19"/>
                <w:lang w:eastAsia="en-CA"/>
              </w:rPr>
            </w:pPr>
            <w:proofErr w:type="spellStart"/>
            <w:r w:rsidRPr="00F7008B">
              <w:rPr>
                <w:b/>
                <w:bCs/>
                <w:sz w:val="19"/>
                <w:szCs w:val="19"/>
                <w:lang w:eastAsia="fr"/>
              </w:rPr>
              <w:t>Solde</w:t>
            </w:r>
            <w:proofErr w:type="spellEnd"/>
          </w:p>
        </w:tc>
        <w:tc>
          <w:tcPr>
            <w:tcW w:w="10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094D07" w14:textId="2FA5421B" w:rsidR="002F1617" w:rsidRPr="00F7008B" w:rsidRDefault="002F1617" w:rsidP="005514B9">
            <w:pPr>
              <w:jc w:val="center"/>
              <w:rPr>
                <w:b/>
                <w:bCs/>
                <w:sz w:val="19"/>
                <w:szCs w:val="19"/>
                <w:lang w:eastAsia="en-CA"/>
              </w:rPr>
            </w:pPr>
            <w:r w:rsidRPr="00F7008B">
              <w:rPr>
                <w:b/>
                <w:bCs/>
                <w:sz w:val="19"/>
                <w:szCs w:val="19"/>
                <w:lang w:eastAsia="fr"/>
              </w:rPr>
              <w:t xml:space="preserve">% de </w:t>
            </w:r>
            <w:proofErr w:type="spellStart"/>
            <w:r w:rsidRPr="00F7008B">
              <w:rPr>
                <w:b/>
                <w:bCs/>
                <w:sz w:val="19"/>
                <w:szCs w:val="19"/>
                <w:lang w:eastAsia="fr"/>
              </w:rPr>
              <w:t>décaissement</w:t>
            </w:r>
            <w:proofErr w:type="spellEnd"/>
          </w:p>
        </w:tc>
      </w:tr>
      <w:tr w:rsidR="005514B9" w:rsidRPr="00F7008B" w14:paraId="42B04C73"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61BB6619" w14:textId="77777777" w:rsidR="002F1617" w:rsidRPr="00F7008B" w:rsidRDefault="002F1617" w:rsidP="002F1617">
            <w:pPr>
              <w:jc w:val="left"/>
              <w:rPr>
                <w:sz w:val="19"/>
                <w:szCs w:val="19"/>
                <w:lang w:eastAsia="en-CA"/>
              </w:rPr>
            </w:pPr>
            <w:r w:rsidRPr="00F7008B">
              <w:rPr>
                <w:sz w:val="19"/>
                <w:szCs w:val="19"/>
                <w:lang w:eastAsia="fr"/>
              </w:rPr>
              <w:t xml:space="preserve">Programme national </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6D48C078" w14:textId="77777777" w:rsidR="002F1617" w:rsidRPr="00F7008B" w:rsidRDefault="002F1617" w:rsidP="005514B9">
            <w:pPr>
              <w:jc w:val="right"/>
              <w:rPr>
                <w:sz w:val="19"/>
                <w:szCs w:val="19"/>
                <w:lang w:eastAsia="en-CA"/>
              </w:rPr>
            </w:pPr>
            <w:r w:rsidRPr="00F7008B">
              <w:rPr>
                <w:sz w:val="19"/>
                <w:szCs w:val="19"/>
                <w:lang w:eastAsia="fr"/>
              </w:rPr>
              <w:t>22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B0CB14F" w14:textId="77777777" w:rsidR="002F1617" w:rsidRPr="00F7008B" w:rsidRDefault="002F1617" w:rsidP="005514B9">
            <w:pPr>
              <w:jc w:val="right"/>
              <w:rPr>
                <w:sz w:val="19"/>
                <w:szCs w:val="19"/>
                <w:lang w:eastAsia="en-CA"/>
              </w:rPr>
            </w:pPr>
            <w:r w:rsidRPr="00F7008B">
              <w:rPr>
                <w:sz w:val="19"/>
                <w:szCs w:val="19"/>
                <w:lang w:eastAsia="fr"/>
              </w:rPr>
              <w:t>22</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50FAE4F6" w14:textId="77777777" w:rsidR="002F1617" w:rsidRPr="00F7008B" w:rsidRDefault="006A1F1C" w:rsidP="005514B9">
            <w:pPr>
              <w:jc w:val="right"/>
              <w:rPr>
                <w:sz w:val="19"/>
                <w:szCs w:val="19"/>
                <w:lang w:eastAsia="en-CA"/>
              </w:rPr>
            </w:pPr>
            <w:r w:rsidRPr="00F7008B">
              <w:rPr>
                <w:sz w:val="19"/>
                <w:szCs w:val="19"/>
                <w:lang w:eastAsia="fr"/>
              </w:rPr>
              <w:t>100</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442E9339" w14:textId="77777777" w:rsidR="002F1617" w:rsidRPr="00F7008B" w:rsidRDefault="002F1617" w:rsidP="005514B9">
            <w:pPr>
              <w:jc w:val="right"/>
              <w:rPr>
                <w:sz w:val="19"/>
                <w:szCs w:val="19"/>
                <w:lang w:eastAsia="en-CA"/>
              </w:rPr>
            </w:pPr>
            <w:r w:rsidRPr="00F7008B">
              <w:rPr>
                <w:sz w:val="19"/>
                <w:szCs w:val="19"/>
                <w:lang w:eastAsia="fr"/>
              </w:rPr>
              <w:t>1 628 797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9D2D416" w14:textId="77777777" w:rsidR="002F1617" w:rsidRPr="00F7008B" w:rsidRDefault="002F1617" w:rsidP="005514B9">
            <w:pPr>
              <w:jc w:val="right"/>
              <w:rPr>
                <w:sz w:val="19"/>
                <w:szCs w:val="19"/>
                <w:lang w:eastAsia="en-CA"/>
              </w:rPr>
            </w:pPr>
            <w:r w:rsidRPr="00F7008B">
              <w:rPr>
                <w:sz w:val="19"/>
                <w:szCs w:val="19"/>
                <w:lang w:eastAsia="fr"/>
              </w:rPr>
              <w:t>1 628 797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81F3CCA" w14:textId="77777777" w:rsidR="002F1617" w:rsidRPr="00F7008B" w:rsidRDefault="002F1617" w:rsidP="005514B9">
            <w:pPr>
              <w:jc w:val="right"/>
              <w:rPr>
                <w:sz w:val="19"/>
                <w:szCs w:val="19"/>
                <w:lang w:eastAsia="en-CA"/>
              </w:rPr>
            </w:pPr>
            <w:r w:rsidRPr="00F7008B">
              <w:rPr>
                <w:sz w:val="19"/>
                <w:szCs w:val="19"/>
                <w:lang w:eastAsia="fr"/>
              </w:rPr>
              <w:t>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16BE155" w14:textId="77777777" w:rsidR="002F1617" w:rsidRPr="00F7008B" w:rsidRDefault="006A1F1C" w:rsidP="005514B9">
            <w:pPr>
              <w:jc w:val="right"/>
              <w:rPr>
                <w:sz w:val="19"/>
                <w:szCs w:val="19"/>
                <w:lang w:eastAsia="en-CA"/>
              </w:rPr>
            </w:pPr>
            <w:r w:rsidRPr="00F7008B">
              <w:rPr>
                <w:sz w:val="19"/>
                <w:szCs w:val="19"/>
                <w:lang w:eastAsia="fr"/>
              </w:rPr>
              <w:t>100</w:t>
            </w:r>
          </w:p>
        </w:tc>
      </w:tr>
      <w:tr w:rsidR="005514B9" w:rsidRPr="00F7008B" w14:paraId="1A8CADDD"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0071B810" w14:textId="77777777" w:rsidR="002F1617" w:rsidRPr="00F7008B" w:rsidRDefault="002F1617" w:rsidP="002F1617">
            <w:pPr>
              <w:jc w:val="left"/>
              <w:rPr>
                <w:sz w:val="19"/>
                <w:szCs w:val="19"/>
                <w:lang w:eastAsia="en-CA"/>
              </w:rPr>
            </w:pPr>
            <w:proofErr w:type="spellStart"/>
            <w:r w:rsidRPr="00F7008B">
              <w:rPr>
                <w:sz w:val="19"/>
                <w:szCs w:val="19"/>
                <w:lang w:eastAsia="fr"/>
              </w:rPr>
              <w:t>Démonstration</w:t>
            </w:r>
            <w:proofErr w:type="spellEnd"/>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25AF00F3" w14:textId="77777777" w:rsidR="002F1617" w:rsidRPr="00F7008B" w:rsidRDefault="002F1617" w:rsidP="005514B9">
            <w:pPr>
              <w:jc w:val="right"/>
              <w:rPr>
                <w:sz w:val="19"/>
                <w:szCs w:val="19"/>
                <w:lang w:eastAsia="en-CA"/>
              </w:rPr>
            </w:pPr>
            <w:r w:rsidRPr="00F7008B">
              <w:rPr>
                <w:sz w:val="19"/>
                <w:szCs w:val="19"/>
                <w:lang w:eastAsia="fr"/>
              </w:rPr>
              <w:t>42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5C43A87" w14:textId="77777777" w:rsidR="002F1617" w:rsidRPr="00F7008B" w:rsidRDefault="002F1617" w:rsidP="005514B9">
            <w:pPr>
              <w:jc w:val="right"/>
              <w:rPr>
                <w:sz w:val="19"/>
                <w:szCs w:val="19"/>
                <w:lang w:eastAsia="en-CA"/>
              </w:rPr>
            </w:pPr>
            <w:r w:rsidRPr="00F7008B">
              <w:rPr>
                <w:sz w:val="19"/>
                <w:szCs w:val="19"/>
                <w:lang w:eastAsia="fr"/>
              </w:rPr>
              <w:t>41</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140620A1" w14:textId="77777777" w:rsidR="002F1617" w:rsidRPr="00F7008B" w:rsidRDefault="006A1F1C" w:rsidP="005514B9">
            <w:pPr>
              <w:jc w:val="right"/>
              <w:rPr>
                <w:sz w:val="19"/>
                <w:szCs w:val="19"/>
                <w:lang w:eastAsia="en-CA"/>
              </w:rPr>
            </w:pPr>
            <w:r w:rsidRPr="00F7008B">
              <w:rPr>
                <w:sz w:val="19"/>
                <w:szCs w:val="19"/>
                <w:lang w:eastAsia="fr"/>
              </w:rPr>
              <w:t>98</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4A1E7889" w14:textId="77777777" w:rsidR="002F1617" w:rsidRPr="00F7008B" w:rsidRDefault="002F1617" w:rsidP="005514B9">
            <w:pPr>
              <w:jc w:val="right"/>
              <w:rPr>
                <w:sz w:val="19"/>
                <w:szCs w:val="19"/>
                <w:lang w:eastAsia="en-CA"/>
              </w:rPr>
            </w:pPr>
            <w:r w:rsidRPr="00F7008B">
              <w:rPr>
                <w:sz w:val="19"/>
                <w:szCs w:val="19"/>
                <w:lang w:eastAsia="fr"/>
              </w:rPr>
              <w:t>21 910 507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E02F484" w14:textId="77777777" w:rsidR="002F1617" w:rsidRPr="00F7008B" w:rsidRDefault="002F1617" w:rsidP="005514B9">
            <w:pPr>
              <w:jc w:val="right"/>
              <w:rPr>
                <w:sz w:val="19"/>
                <w:szCs w:val="19"/>
                <w:lang w:eastAsia="en-CA"/>
              </w:rPr>
            </w:pPr>
            <w:r w:rsidRPr="00F7008B">
              <w:rPr>
                <w:sz w:val="19"/>
                <w:szCs w:val="19"/>
                <w:lang w:eastAsia="fr"/>
              </w:rPr>
              <w:t>21 550 701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26B3024" w14:textId="77777777" w:rsidR="002F1617" w:rsidRPr="00F7008B" w:rsidRDefault="002F1617" w:rsidP="005514B9">
            <w:pPr>
              <w:jc w:val="right"/>
              <w:rPr>
                <w:sz w:val="19"/>
                <w:szCs w:val="19"/>
                <w:lang w:eastAsia="en-CA"/>
              </w:rPr>
            </w:pPr>
            <w:r w:rsidRPr="00F7008B">
              <w:rPr>
                <w:sz w:val="19"/>
                <w:szCs w:val="19"/>
                <w:lang w:eastAsia="fr"/>
              </w:rPr>
              <w:t>359 806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52293CC" w14:textId="77777777" w:rsidR="002F1617" w:rsidRPr="00F7008B" w:rsidRDefault="006A1F1C" w:rsidP="005514B9">
            <w:pPr>
              <w:jc w:val="right"/>
              <w:rPr>
                <w:sz w:val="19"/>
                <w:szCs w:val="19"/>
                <w:lang w:eastAsia="en-CA"/>
              </w:rPr>
            </w:pPr>
            <w:r w:rsidRPr="00F7008B">
              <w:rPr>
                <w:sz w:val="19"/>
                <w:szCs w:val="19"/>
                <w:lang w:eastAsia="fr"/>
              </w:rPr>
              <w:t>98</w:t>
            </w:r>
          </w:p>
        </w:tc>
      </w:tr>
      <w:tr w:rsidR="005514B9" w:rsidRPr="00F7008B" w14:paraId="2A61F1A7"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21F6A5F8" w14:textId="77777777" w:rsidR="002F1617" w:rsidRPr="00F7008B" w:rsidRDefault="002F1617" w:rsidP="002F1617">
            <w:pPr>
              <w:jc w:val="left"/>
              <w:rPr>
                <w:sz w:val="19"/>
                <w:szCs w:val="19"/>
                <w:lang w:eastAsia="en-CA"/>
              </w:rPr>
            </w:pPr>
            <w:proofErr w:type="spellStart"/>
            <w:r w:rsidRPr="00F7008B">
              <w:rPr>
                <w:sz w:val="19"/>
                <w:szCs w:val="19"/>
                <w:lang w:eastAsia="fr"/>
              </w:rPr>
              <w:t>Renforcement</w:t>
            </w:r>
            <w:proofErr w:type="spellEnd"/>
            <w:r w:rsidRPr="00F7008B">
              <w:rPr>
                <w:sz w:val="19"/>
                <w:szCs w:val="19"/>
                <w:lang w:eastAsia="fr"/>
              </w:rPr>
              <w:t xml:space="preserve"> des institutions</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0E49D4CB" w14:textId="77777777" w:rsidR="002F1617" w:rsidRPr="00F7008B" w:rsidRDefault="002F1617" w:rsidP="005514B9">
            <w:pPr>
              <w:jc w:val="right"/>
              <w:rPr>
                <w:sz w:val="19"/>
                <w:szCs w:val="19"/>
                <w:lang w:eastAsia="en-CA"/>
              </w:rPr>
            </w:pPr>
            <w:r w:rsidRPr="00F7008B">
              <w:rPr>
                <w:sz w:val="19"/>
                <w:szCs w:val="19"/>
                <w:lang w:eastAsia="fr"/>
              </w:rPr>
              <w:t>256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1751DFA" w14:textId="77777777" w:rsidR="002F1617" w:rsidRPr="00F7008B" w:rsidRDefault="002F1617" w:rsidP="005514B9">
            <w:pPr>
              <w:jc w:val="right"/>
              <w:rPr>
                <w:sz w:val="19"/>
                <w:szCs w:val="19"/>
                <w:lang w:eastAsia="en-CA"/>
              </w:rPr>
            </w:pPr>
            <w:r w:rsidRPr="00F7008B">
              <w:rPr>
                <w:sz w:val="19"/>
                <w:szCs w:val="19"/>
                <w:lang w:eastAsia="fr"/>
              </w:rPr>
              <w:t>229</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450BDC6F" w14:textId="77777777" w:rsidR="002F1617" w:rsidRPr="00F7008B" w:rsidRDefault="006A1F1C" w:rsidP="005514B9">
            <w:pPr>
              <w:jc w:val="right"/>
              <w:rPr>
                <w:sz w:val="19"/>
                <w:szCs w:val="19"/>
                <w:lang w:eastAsia="en-CA"/>
              </w:rPr>
            </w:pPr>
            <w:r w:rsidRPr="00F7008B">
              <w:rPr>
                <w:sz w:val="19"/>
                <w:szCs w:val="19"/>
                <w:lang w:eastAsia="fr"/>
              </w:rPr>
              <w:t>89</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73145547" w14:textId="77777777" w:rsidR="002F1617" w:rsidRPr="00F7008B" w:rsidRDefault="002F1617" w:rsidP="005514B9">
            <w:pPr>
              <w:jc w:val="right"/>
              <w:rPr>
                <w:sz w:val="19"/>
                <w:szCs w:val="19"/>
                <w:lang w:eastAsia="en-CA"/>
              </w:rPr>
            </w:pPr>
            <w:r w:rsidRPr="00F7008B">
              <w:rPr>
                <w:sz w:val="19"/>
                <w:szCs w:val="19"/>
                <w:lang w:eastAsia="fr"/>
              </w:rPr>
              <w:t>55 111 246</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E188584" w14:textId="77777777" w:rsidR="002F1617" w:rsidRPr="00F7008B" w:rsidRDefault="002F1617" w:rsidP="005514B9">
            <w:pPr>
              <w:jc w:val="right"/>
              <w:rPr>
                <w:sz w:val="19"/>
                <w:szCs w:val="19"/>
                <w:lang w:eastAsia="en-CA"/>
              </w:rPr>
            </w:pPr>
            <w:r w:rsidRPr="00F7008B">
              <w:rPr>
                <w:sz w:val="19"/>
                <w:szCs w:val="19"/>
                <w:lang w:eastAsia="fr"/>
              </w:rPr>
              <w:t>50 254 147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DC71B8E" w14:textId="77777777" w:rsidR="002F1617" w:rsidRPr="00F7008B" w:rsidRDefault="002F1617" w:rsidP="005514B9">
            <w:pPr>
              <w:jc w:val="right"/>
              <w:rPr>
                <w:sz w:val="19"/>
                <w:szCs w:val="19"/>
                <w:lang w:eastAsia="en-CA"/>
              </w:rPr>
            </w:pPr>
            <w:r w:rsidRPr="00F7008B">
              <w:rPr>
                <w:sz w:val="19"/>
                <w:szCs w:val="19"/>
                <w:lang w:eastAsia="fr"/>
              </w:rPr>
              <w:t>4 857 099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A78E124" w14:textId="77777777" w:rsidR="002F1617" w:rsidRPr="00F7008B" w:rsidRDefault="006A1F1C" w:rsidP="005514B9">
            <w:pPr>
              <w:jc w:val="right"/>
              <w:rPr>
                <w:sz w:val="19"/>
                <w:szCs w:val="19"/>
                <w:lang w:eastAsia="en-CA"/>
              </w:rPr>
            </w:pPr>
            <w:r w:rsidRPr="00F7008B">
              <w:rPr>
                <w:sz w:val="19"/>
                <w:szCs w:val="19"/>
                <w:lang w:eastAsia="fr"/>
              </w:rPr>
              <w:t>91</w:t>
            </w:r>
          </w:p>
        </w:tc>
      </w:tr>
      <w:tr w:rsidR="005514B9" w:rsidRPr="00F7008B" w14:paraId="3BA8B433"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0A8069C4" w14:textId="77777777" w:rsidR="002F1617" w:rsidRPr="00F7008B" w:rsidRDefault="002F1617" w:rsidP="002F1617">
            <w:pPr>
              <w:jc w:val="left"/>
              <w:rPr>
                <w:sz w:val="19"/>
                <w:szCs w:val="19"/>
                <w:lang w:eastAsia="en-CA"/>
              </w:rPr>
            </w:pPr>
            <w:proofErr w:type="spellStart"/>
            <w:r w:rsidRPr="00F7008B">
              <w:rPr>
                <w:sz w:val="19"/>
                <w:szCs w:val="19"/>
                <w:lang w:eastAsia="fr"/>
              </w:rPr>
              <w:t>Investissement</w:t>
            </w:r>
            <w:proofErr w:type="spellEnd"/>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7B662C5D" w14:textId="77777777" w:rsidR="002F1617" w:rsidRPr="00F7008B" w:rsidRDefault="002F1617" w:rsidP="005514B9">
            <w:pPr>
              <w:jc w:val="right"/>
              <w:rPr>
                <w:sz w:val="19"/>
                <w:szCs w:val="19"/>
                <w:lang w:eastAsia="en-CA"/>
              </w:rPr>
            </w:pPr>
            <w:r w:rsidRPr="00F7008B">
              <w:rPr>
                <w:sz w:val="19"/>
                <w:szCs w:val="19"/>
                <w:lang w:eastAsia="fr"/>
              </w:rPr>
              <w:t>1 311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9C0D36A" w14:textId="77777777" w:rsidR="002F1617" w:rsidRPr="00F7008B" w:rsidRDefault="002F1617" w:rsidP="005514B9">
            <w:pPr>
              <w:jc w:val="right"/>
              <w:rPr>
                <w:sz w:val="19"/>
                <w:szCs w:val="19"/>
                <w:lang w:eastAsia="en-CA"/>
              </w:rPr>
            </w:pPr>
            <w:r w:rsidRPr="00F7008B">
              <w:rPr>
                <w:sz w:val="19"/>
                <w:szCs w:val="19"/>
                <w:lang w:eastAsia="fr"/>
              </w:rPr>
              <w:t>1 243</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157B4514" w14:textId="77777777" w:rsidR="002F1617" w:rsidRPr="00F7008B" w:rsidRDefault="006A1F1C" w:rsidP="005514B9">
            <w:pPr>
              <w:jc w:val="right"/>
              <w:rPr>
                <w:sz w:val="19"/>
                <w:szCs w:val="19"/>
                <w:lang w:eastAsia="en-CA"/>
              </w:rPr>
            </w:pPr>
            <w:r w:rsidRPr="00F7008B">
              <w:rPr>
                <w:sz w:val="19"/>
                <w:szCs w:val="19"/>
                <w:lang w:eastAsia="fr"/>
              </w:rPr>
              <w:t>95</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3515D341" w14:textId="77777777" w:rsidR="002F1617" w:rsidRPr="00F7008B" w:rsidRDefault="002F1617" w:rsidP="005514B9">
            <w:pPr>
              <w:jc w:val="right"/>
              <w:rPr>
                <w:sz w:val="19"/>
                <w:szCs w:val="19"/>
                <w:lang w:eastAsia="en-CA"/>
              </w:rPr>
            </w:pPr>
            <w:r w:rsidRPr="00F7008B">
              <w:rPr>
                <w:sz w:val="19"/>
                <w:szCs w:val="19"/>
                <w:lang w:eastAsia="fr"/>
              </w:rPr>
              <w:t>709 402 352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15626ED" w14:textId="77777777" w:rsidR="002F1617" w:rsidRPr="00F7008B" w:rsidRDefault="002F1617" w:rsidP="005514B9">
            <w:pPr>
              <w:jc w:val="right"/>
              <w:rPr>
                <w:sz w:val="19"/>
                <w:szCs w:val="19"/>
                <w:lang w:eastAsia="en-CA"/>
              </w:rPr>
            </w:pPr>
            <w:r w:rsidRPr="00F7008B">
              <w:rPr>
                <w:sz w:val="19"/>
                <w:szCs w:val="19"/>
                <w:lang w:eastAsia="fr"/>
              </w:rPr>
              <w:t>659 814 365</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120226D" w14:textId="77777777" w:rsidR="002F1617" w:rsidRPr="00F7008B" w:rsidRDefault="002F1617" w:rsidP="005514B9">
            <w:pPr>
              <w:jc w:val="right"/>
              <w:rPr>
                <w:sz w:val="19"/>
                <w:szCs w:val="19"/>
                <w:lang w:eastAsia="en-CA"/>
              </w:rPr>
            </w:pPr>
            <w:r w:rsidRPr="00F7008B">
              <w:rPr>
                <w:sz w:val="19"/>
                <w:szCs w:val="19"/>
                <w:lang w:eastAsia="fr"/>
              </w:rPr>
              <w:t>49 587 987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8D55849" w14:textId="77777777" w:rsidR="002F1617" w:rsidRPr="00F7008B" w:rsidRDefault="006A1F1C" w:rsidP="005514B9">
            <w:pPr>
              <w:jc w:val="right"/>
              <w:rPr>
                <w:sz w:val="19"/>
                <w:szCs w:val="19"/>
                <w:lang w:eastAsia="en-CA"/>
              </w:rPr>
            </w:pPr>
            <w:r w:rsidRPr="00F7008B">
              <w:rPr>
                <w:sz w:val="19"/>
                <w:szCs w:val="19"/>
                <w:lang w:eastAsia="fr"/>
              </w:rPr>
              <w:t>93</w:t>
            </w:r>
          </w:p>
        </w:tc>
      </w:tr>
      <w:tr w:rsidR="005514B9" w:rsidRPr="00F7008B" w14:paraId="35D70907"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5215D900" w14:textId="77777777" w:rsidR="002F1617" w:rsidRPr="00F7008B" w:rsidRDefault="002F1617" w:rsidP="002F1617">
            <w:pPr>
              <w:jc w:val="left"/>
              <w:rPr>
                <w:sz w:val="19"/>
                <w:szCs w:val="19"/>
                <w:lang w:eastAsia="en-CA"/>
              </w:rPr>
            </w:pPr>
            <w:proofErr w:type="spellStart"/>
            <w:r w:rsidRPr="00F7008B">
              <w:rPr>
                <w:sz w:val="19"/>
                <w:szCs w:val="19"/>
                <w:lang w:eastAsia="fr"/>
              </w:rPr>
              <w:t>Préparation</w:t>
            </w:r>
            <w:proofErr w:type="spellEnd"/>
            <w:r w:rsidRPr="00F7008B">
              <w:rPr>
                <w:sz w:val="19"/>
                <w:szCs w:val="19"/>
                <w:lang w:eastAsia="fr"/>
              </w:rPr>
              <w:t xml:space="preserve"> de </w:t>
            </w:r>
            <w:proofErr w:type="spellStart"/>
            <w:r w:rsidRPr="00F7008B">
              <w:rPr>
                <w:sz w:val="19"/>
                <w:szCs w:val="19"/>
                <w:lang w:eastAsia="fr"/>
              </w:rPr>
              <w:t>projets</w:t>
            </w:r>
            <w:proofErr w:type="spellEnd"/>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2B32B1FD" w14:textId="77777777" w:rsidR="002F1617" w:rsidRPr="00F7008B" w:rsidRDefault="002F1617" w:rsidP="005514B9">
            <w:pPr>
              <w:jc w:val="right"/>
              <w:rPr>
                <w:sz w:val="19"/>
                <w:szCs w:val="19"/>
                <w:lang w:eastAsia="en-CA"/>
              </w:rPr>
            </w:pPr>
            <w:r w:rsidRPr="00F7008B">
              <w:rPr>
                <w:sz w:val="19"/>
                <w:szCs w:val="19"/>
                <w:lang w:eastAsia="fr"/>
              </w:rPr>
              <w:t>540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52E2FA58" w14:textId="77777777" w:rsidR="002F1617" w:rsidRPr="00F7008B" w:rsidRDefault="002F1617" w:rsidP="005514B9">
            <w:pPr>
              <w:jc w:val="right"/>
              <w:rPr>
                <w:sz w:val="19"/>
                <w:szCs w:val="19"/>
                <w:lang w:eastAsia="en-CA"/>
              </w:rPr>
            </w:pPr>
            <w:r w:rsidRPr="00F7008B">
              <w:rPr>
                <w:sz w:val="19"/>
                <w:szCs w:val="19"/>
                <w:lang w:eastAsia="fr"/>
              </w:rPr>
              <w:t>522</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68AAEE17" w14:textId="77777777" w:rsidR="002F1617" w:rsidRPr="00F7008B" w:rsidRDefault="006A1F1C" w:rsidP="005514B9">
            <w:pPr>
              <w:jc w:val="right"/>
              <w:rPr>
                <w:sz w:val="19"/>
                <w:szCs w:val="19"/>
                <w:lang w:eastAsia="en-CA"/>
              </w:rPr>
            </w:pPr>
            <w:r w:rsidRPr="00F7008B">
              <w:rPr>
                <w:sz w:val="19"/>
                <w:szCs w:val="19"/>
                <w:lang w:eastAsia="fr"/>
              </w:rPr>
              <w:t>97</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007CC652" w14:textId="77777777" w:rsidR="002F1617" w:rsidRPr="00F7008B" w:rsidRDefault="002F1617" w:rsidP="005514B9">
            <w:pPr>
              <w:jc w:val="right"/>
              <w:rPr>
                <w:sz w:val="19"/>
                <w:szCs w:val="19"/>
                <w:lang w:eastAsia="en-CA"/>
              </w:rPr>
            </w:pPr>
            <w:r w:rsidRPr="00F7008B">
              <w:rPr>
                <w:sz w:val="19"/>
                <w:szCs w:val="19"/>
                <w:lang w:eastAsia="fr"/>
              </w:rPr>
              <w:t>22 409 988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4DD0E2B9" w14:textId="77777777" w:rsidR="002F1617" w:rsidRPr="00F7008B" w:rsidRDefault="002F1617" w:rsidP="005514B9">
            <w:pPr>
              <w:jc w:val="right"/>
              <w:rPr>
                <w:sz w:val="19"/>
                <w:szCs w:val="19"/>
                <w:lang w:eastAsia="en-CA"/>
              </w:rPr>
            </w:pPr>
            <w:r w:rsidRPr="00F7008B">
              <w:rPr>
                <w:sz w:val="19"/>
                <w:szCs w:val="19"/>
                <w:lang w:eastAsia="fr"/>
              </w:rPr>
              <w:t>21 887 077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196B01E" w14:textId="77777777" w:rsidR="002F1617" w:rsidRPr="00F7008B" w:rsidRDefault="002F1617" w:rsidP="005514B9">
            <w:pPr>
              <w:jc w:val="right"/>
              <w:rPr>
                <w:sz w:val="19"/>
                <w:szCs w:val="19"/>
                <w:lang w:eastAsia="en-CA"/>
              </w:rPr>
            </w:pPr>
            <w:r w:rsidRPr="00F7008B">
              <w:rPr>
                <w:sz w:val="19"/>
                <w:szCs w:val="19"/>
                <w:lang w:eastAsia="fr"/>
              </w:rPr>
              <w:t>522 911</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CEF5D31" w14:textId="77777777" w:rsidR="002F1617" w:rsidRPr="00F7008B" w:rsidRDefault="006A1F1C" w:rsidP="005514B9">
            <w:pPr>
              <w:jc w:val="right"/>
              <w:rPr>
                <w:sz w:val="19"/>
                <w:szCs w:val="19"/>
                <w:lang w:eastAsia="en-CA"/>
              </w:rPr>
            </w:pPr>
            <w:r w:rsidRPr="00F7008B">
              <w:rPr>
                <w:sz w:val="19"/>
                <w:szCs w:val="19"/>
                <w:lang w:eastAsia="fr"/>
              </w:rPr>
              <w:t>98</w:t>
            </w:r>
          </w:p>
        </w:tc>
      </w:tr>
      <w:tr w:rsidR="005514B9" w:rsidRPr="00F7008B" w14:paraId="5E2A57D4"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5821E7F" w14:textId="77777777" w:rsidR="002F1617" w:rsidRPr="00F7008B" w:rsidRDefault="002F1617" w:rsidP="002F1617">
            <w:pPr>
              <w:jc w:val="left"/>
              <w:rPr>
                <w:sz w:val="19"/>
                <w:szCs w:val="19"/>
                <w:lang w:eastAsia="en-CA"/>
              </w:rPr>
            </w:pPr>
            <w:r w:rsidRPr="00F7008B">
              <w:rPr>
                <w:sz w:val="19"/>
                <w:szCs w:val="19"/>
                <w:lang w:eastAsia="fr"/>
              </w:rPr>
              <w:lastRenderedPageBreak/>
              <w:t>Assistance technique</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3BD8B685" w14:textId="77777777" w:rsidR="002F1617" w:rsidRPr="00F7008B" w:rsidRDefault="002F1617" w:rsidP="005514B9">
            <w:pPr>
              <w:jc w:val="right"/>
              <w:rPr>
                <w:sz w:val="19"/>
                <w:szCs w:val="19"/>
                <w:lang w:eastAsia="en-CA"/>
              </w:rPr>
            </w:pPr>
            <w:r w:rsidRPr="00F7008B">
              <w:rPr>
                <w:sz w:val="19"/>
                <w:szCs w:val="19"/>
                <w:lang w:eastAsia="fr"/>
              </w:rPr>
              <w:t>327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03DED1A1" w14:textId="77777777" w:rsidR="002F1617" w:rsidRPr="00F7008B" w:rsidRDefault="002F1617" w:rsidP="005514B9">
            <w:pPr>
              <w:jc w:val="right"/>
              <w:rPr>
                <w:sz w:val="19"/>
                <w:szCs w:val="19"/>
                <w:lang w:eastAsia="en-CA"/>
              </w:rPr>
            </w:pPr>
            <w:r w:rsidRPr="00F7008B">
              <w:rPr>
                <w:sz w:val="19"/>
                <w:szCs w:val="19"/>
                <w:lang w:eastAsia="fr"/>
              </w:rPr>
              <w:t>294</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161CC1A4" w14:textId="77777777" w:rsidR="002F1617" w:rsidRPr="00F7008B" w:rsidRDefault="006A1F1C" w:rsidP="005514B9">
            <w:pPr>
              <w:jc w:val="right"/>
              <w:rPr>
                <w:sz w:val="19"/>
                <w:szCs w:val="19"/>
                <w:lang w:eastAsia="en-CA"/>
              </w:rPr>
            </w:pPr>
            <w:r w:rsidRPr="00F7008B">
              <w:rPr>
                <w:sz w:val="19"/>
                <w:szCs w:val="19"/>
                <w:lang w:eastAsia="fr"/>
              </w:rPr>
              <w:t>90</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683D743C" w14:textId="77777777" w:rsidR="002F1617" w:rsidRPr="00F7008B" w:rsidRDefault="002F1617" w:rsidP="005514B9">
            <w:pPr>
              <w:jc w:val="right"/>
              <w:rPr>
                <w:sz w:val="19"/>
                <w:szCs w:val="19"/>
                <w:lang w:eastAsia="en-CA"/>
              </w:rPr>
            </w:pPr>
            <w:r w:rsidRPr="00F7008B">
              <w:rPr>
                <w:sz w:val="19"/>
                <w:szCs w:val="19"/>
                <w:lang w:eastAsia="fr"/>
              </w:rPr>
              <w:t>49 301 958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8A122D3" w14:textId="77777777" w:rsidR="002F1617" w:rsidRPr="00F7008B" w:rsidRDefault="002F1617" w:rsidP="005514B9">
            <w:pPr>
              <w:jc w:val="right"/>
              <w:rPr>
                <w:sz w:val="19"/>
                <w:szCs w:val="19"/>
                <w:lang w:eastAsia="en-CA"/>
              </w:rPr>
            </w:pPr>
            <w:r w:rsidRPr="00F7008B">
              <w:rPr>
                <w:sz w:val="19"/>
                <w:szCs w:val="19"/>
                <w:lang w:eastAsia="fr"/>
              </w:rPr>
              <w:t>39 633 179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78C1CA3F" w14:textId="77777777" w:rsidR="002F1617" w:rsidRPr="00F7008B" w:rsidRDefault="002F1617" w:rsidP="005514B9">
            <w:pPr>
              <w:jc w:val="right"/>
              <w:rPr>
                <w:sz w:val="19"/>
                <w:szCs w:val="19"/>
                <w:lang w:eastAsia="en-CA"/>
              </w:rPr>
            </w:pPr>
            <w:r w:rsidRPr="00F7008B">
              <w:rPr>
                <w:sz w:val="19"/>
                <w:szCs w:val="19"/>
                <w:lang w:eastAsia="fr"/>
              </w:rPr>
              <w:t>9 668 779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D78CBAC" w14:textId="77777777" w:rsidR="002F1617" w:rsidRPr="00F7008B" w:rsidRDefault="006A1F1C" w:rsidP="005514B9">
            <w:pPr>
              <w:jc w:val="right"/>
              <w:rPr>
                <w:sz w:val="19"/>
                <w:szCs w:val="19"/>
                <w:lang w:eastAsia="en-CA"/>
              </w:rPr>
            </w:pPr>
            <w:r w:rsidRPr="00F7008B">
              <w:rPr>
                <w:sz w:val="19"/>
                <w:szCs w:val="19"/>
                <w:lang w:eastAsia="fr"/>
              </w:rPr>
              <w:t>80</w:t>
            </w:r>
          </w:p>
        </w:tc>
      </w:tr>
      <w:tr w:rsidR="005514B9" w:rsidRPr="00F7008B" w14:paraId="67FE2007"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97851C2" w14:textId="77777777" w:rsidR="002F1617" w:rsidRPr="00F7008B" w:rsidRDefault="002F1617" w:rsidP="002F1617">
            <w:pPr>
              <w:jc w:val="left"/>
              <w:rPr>
                <w:sz w:val="19"/>
                <w:szCs w:val="19"/>
                <w:lang w:eastAsia="en-CA"/>
              </w:rPr>
            </w:pPr>
            <w:r w:rsidRPr="00F7008B">
              <w:rPr>
                <w:sz w:val="19"/>
                <w:szCs w:val="19"/>
                <w:lang w:eastAsia="fr"/>
              </w:rPr>
              <w:t>Formation</w:t>
            </w:r>
          </w:p>
        </w:tc>
        <w:tc>
          <w:tcPr>
            <w:tcW w:w="1085" w:type="dxa"/>
            <w:tcBorders>
              <w:top w:val="nil"/>
              <w:left w:val="nil"/>
              <w:bottom w:val="single" w:sz="4" w:space="0" w:color="auto"/>
              <w:right w:val="single" w:sz="4" w:space="0" w:color="auto"/>
            </w:tcBorders>
            <w:shd w:val="clear" w:color="auto" w:fill="auto"/>
            <w:noWrap/>
            <w:tcMar>
              <w:left w:w="0" w:type="dxa"/>
              <w:right w:w="115" w:type="dxa"/>
            </w:tcMar>
            <w:hideMark/>
          </w:tcPr>
          <w:p w14:paraId="37E54EFA" w14:textId="77777777" w:rsidR="002F1617" w:rsidRPr="00F7008B" w:rsidRDefault="002F1617" w:rsidP="005514B9">
            <w:pPr>
              <w:jc w:val="right"/>
              <w:rPr>
                <w:sz w:val="19"/>
                <w:szCs w:val="19"/>
                <w:lang w:eastAsia="en-CA"/>
              </w:rPr>
            </w:pPr>
            <w:r w:rsidRPr="00F7008B">
              <w:rPr>
                <w:sz w:val="19"/>
                <w:szCs w:val="19"/>
                <w:lang w:eastAsia="fr"/>
              </w:rPr>
              <w:t>28</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73139BF1" w14:textId="77777777" w:rsidR="002F1617" w:rsidRPr="00F7008B" w:rsidRDefault="002F1617" w:rsidP="005514B9">
            <w:pPr>
              <w:jc w:val="right"/>
              <w:rPr>
                <w:sz w:val="19"/>
                <w:szCs w:val="19"/>
                <w:lang w:eastAsia="en-CA"/>
              </w:rPr>
            </w:pPr>
            <w:r w:rsidRPr="00F7008B">
              <w:rPr>
                <w:sz w:val="19"/>
                <w:szCs w:val="19"/>
                <w:lang w:eastAsia="fr"/>
              </w:rPr>
              <w:t>28</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5252658F" w14:textId="77777777" w:rsidR="002F1617" w:rsidRPr="00F7008B" w:rsidRDefault="006A1F1C" w:rsidP="005514B9">
            <w:pPr>
              <w:jc w:val="right"/>
              <w:rPr>
                <w:sz w:val="19"/>
                <w:szCs w:val="19"/>
                <w:lang w:eastAsia="en-CA"/>
              </w:rPr>
            </w:pPr>
            <w:r w:rsidRPr="00F7008B">
              <w:rPr>
                <w:sz w:val="19"/>
                <w:szCs w:val="19"/>
                <w:lang w:eastAsia="fr"/>
              </w:rPr>
              <w:t>100</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3E0F0647" w14:textId="77777777" w:rsidR="002F1617" w:rsidRPr="00F7008B" w:rsidRDefault="002F1617" w:rsidP="005514B9">
            <w:pPr>
              <w:jc w:val="right"/>
              <w:rPr>
                <w:sz w:val="19"/>
                <w:szCs w:val="19"/>
                <w:lang w:eastAsia="en-CA"/>
              </w:rPr>
            </w:pPr>
            <w:r w:rsidRPr="00F7008B">
              <w:rPr>
                <w:sz w:val="19"/>
                <w:szCs w:val="19"/>
                <w:lang w:eastAsia="fr"/>
              </w:rPr>
              <w:t>1 590 489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17097C6" w14:textId="77777777" w:rsidR="002F1617" w:rsidRPr="00F7008B" w:rsidRDefault="002F1617" w:rsidP="005514B9">
            <w:pPr>
              <w:jc w:val="right"/>
              <w:rPr>
                <w:sz w:val="19"/>
                <w:szCs w:val="19"/>
                <w:lang w:eastAsia="en-CA"/>
              </w:rPr>
            </w:pPr>
            <w:r w:rsidRPr="00F7008B">
              <w:rPr>
                <w:sz w:val="19"/>
                <w:szCs w:val="19"/>
                <w:lang w:eastAsia="fr"/>
              </w:rPr>
              <w:t>1 590 489</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77B79CC" w14:textId="77777777" w:rsidR="002F1617" w:rsidRPr="00F7008B" w:rsidRDefault="002F1617" w:rsidP="005514B9">
            <w:pPr>
              <w:jc w:val="right"/>
              <w:rPr>
                <w:sz w:val="19"/>
                <w:szCs w:val="19"/>
                <w:lang w:eastAsia="en-CA"/>
              </w:rPr>
            </w:pPr>
            <w:r w:rsidRPr="00F7008B">
              <w:rPr>
                <w:sz w:val="19"/>
                <w:szCs w:val="19"/>
                <w:lang w:eastAsia="fr"/>
              </w:rPr>
              <w:t>0</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16FC4C0C" w14:textId="77777777" w:rsidR="002F1617" w:rsidRPr="00F7008B" w:rsidRDefault="006A1F1C" w:rsidP="005514B9">
            <w:pPr>
              <w:jc w:val="right"/>
              <w:rPr>
                <w:sz w:val="19"/>
                <w:szCs w:val="19"/>
                <w:lang w:eastAsia="en-CA"/>
              </w:rPr>
            </w:pPr>
            <w:r w:rsidRPr="00F7008B">
              <w:rPr>
                <w:sz w:val="19"/>
                <w:szCs w:val="19"/>
                <w:lang w:eastAsia="fr"/>
              </w:rPr>
              <w:t>100</w:t>
            </w:r>
          </w:p>
        </w:tc>
      </w:tr>
      <w:tr w:rsidR="005514B9" w:rsidRPr="00F7008B" w14:paraId="667FB6CA" w14:textId="77777777" w:rsidTr="00696730">
        <w:tc>
          <w:tcPr>
            <w:tcW w:w="1770" w:type="dxa"/>
            <w:tcBorders>
              <w:top w:val="nil"/>
              <w:left w:val="single" w:sz="4" w:space="0" w:color="auto"/>
              <w:bottom w:val="single" w:sz="4" w:space="0" w:color="auto"/>
              <w:right w:val="single" w:sz="4" w:space="0" w:color="auto"/>
            </w:tcBorders>
            <w:shd w:val="clear" w:color="auto" w:fill="auto"/>
            <w:tcMar>
              <w:left w:w="58" w:type="dxa"/>
              <w:right w:w="0" w:type="dxa"/>
            </w:tcMar>
            <w:vAlign w:val="center"/>
            <w:hideMark/>
          </w:tcPr>
          <w:p w14:paraId="1B1FAB2D" w14:textId="77777777" w:rsidR="002F1617" w:rsidRPr="00F7008B" w:rsidRDefault="002F1617" w:rsidP="002F1617">
            <w:pPr>
              <w:jc w:val="left"/>
              <w:rPr>
                <w:b/>
                <w:bCs/>
                <w:sz w:val="19"/>
                <w:szCs w:val="19"/>
                <w:lang w:eastAsia="en-CA"/>
              </w:rPr>
            </w:pPr>
            <w:r w:rsidRPr="00F7008B">
              <w:rPr>
                <w:b/>
                <w:bCs/>
                <w:sz w:val="19"/>
                <w:szCs w:val="19"/>
                <w:lang w:eastAsia="fr"/>
              </w:rPr>
              <w:t>Total</w:t>
            </w:r>
          </w:p>
        </w:tc>
        <w:tc>
          <w:tcPr>
            <w:tcW w:w="1085" w:type="dxa"/>
            <w:tcBorders>
              <w:top w:val="nil"/>
              <w:left w:val="nil"/>
              <w:bottom w:val="single" w:sz="4" w:space="0" w:color="auto"/>
              <w:right w:val="single" w:sz="4" w:space="0" w:color="auto"/>
            </w:tcBorders>
            <w:shd w:val="clear" w:color="auto" w:fill="auto"/>
            <w:tcMar>
              <w:left w:w="0" w:type="dxa"/>
              <w:right w:w="115" w:type="dxa"/>
            </w:tcMar>
            <w:hideMark/>
          </w:tcPr>
          <w:p w14:paraId="28F68FC7" w14:textId="77777777" w:rsidR="002F1617" w:rsidRPr="00F7008B" w:rsidRDefault="002F1617" w:rsidP="005514B9">
            <w:pPr>
              <w:jc w:val="right"/>
              <w:rPr>
                <w:b/>
                <w:bCs/>
                <w:sz w:val="19"/>
                <w:szCs w:val="19"/>
                <w:lang w:eastAsia="en-CA"/>
              </w:rPr>
            </w:pPr>
            <w:r w:rsidRPr="00F7008B">
              <w:rPr>
                <w:b/>
                <w:bCs/>
                <w:sz w:val="19"/>
                <w:szCs w:val="19"/>
                <w:lang w:eastAsia="fr"/>
              </w:rPr>
              <w:t>2 526</w:t>
            </w:r>
          </w:p>
        </w:tc>
        <w:tc>
          <w:tcPr>
            <w:tcW w:w="1084" w:type="dxa"/>
            <w:tcBorders>
              <w:top w:val="nil"/>
              <w:left w:val="nil"/>
              <w:bottom w:val="single" w:sz="4" w:space="0" w:color="auto"/>
              <w:right w:val="single" w:sz="4" w:space="0" w:color="auto"/>
            </w:tcBorders>
            <w:shd w:val="clear" w:color="auto" w:fill="auto"/>
            <w:tcMar>
              <w:left w:w="0" w:type="dxa"/>
              <w:right w:w="115" w:type="dxa"/>
            </w:tcMar>
            <w:hideMark/>
          </w:tcPr>
          <w:p w14:paraId="15F68223" w14:textId="77777777" w:rsidR="002F1617" w:rsidRPr="00F7008B" w:rsidRDefault="002F1617" w:rsidP="005514B9">
            <w:pPr>
              <w:jc w:val="right"/>
              <w:rPr>
                <w:b/>
                <w:bCs/>
                <w:sz w:val="19"/>
                <w:szCs w:val="19"/>
                <w:lang w:eastAsia="en-CA"/>
              </w:rPr>
            </w:pPr>
            <w:r w:rsidRPr="00F7008B">
              <w:rPr>
                <w:b/>
                <w:bCs/>
                <w:sz w:val="19"/>
                <w:szCs w:val="19"/>
                <w:lang w:eastAsia="fr"/>
              </w:rPr>
              <w:t>2 379</w:t>
            </w:r>
          </w:p>
        </w:tc>
        <w:tc>
          <w:tcPr>
            <w:tcW w:w="1227" w:type="dxa"/>
            <w:tcBorders>
              <w:top w:val="nil"/>
              <w:left w:val="nil"/>
              <w:bottom w:val="single" w:sz="4" w:space="0" w:color="auto"/>
              <w:right w:val="single" w:sz="4" w:space="0" w:color="auto"/>
            </w:tcBorders>
            <w:shd w:val="clear" w:color="auto" w:fill="auto"/>
            <w:noWrap/>
            <w:tcMar>
              <w:left w:w="0" w:type="dxa"/>
              <w:right w:w="115" w:type="dxa"/>
            </w:tcMar>
            <w:hideMark/>
          </w:tcPr>
          <w:p w14:paraId="2CEB3F13" w14:textId="77777777" w:rsidR="002F1617" w:rsidRPr="00F7008B" w:rsidRDefault="006A1F1C" w:rsidP="005514B9">
            <w:pPr>
              <w:jc w:val="right"/>
              <w:rPr>
                <w:b/>
                <w:bCs/>
                <w:sz w:val="19"/>
                <w:szCs w:val="19"/>
                <w:lang w:eastAsia="en-CA"/>
              </w:rPr>
            </w:pPr>
            <w:r w:rsidRPr="00F7008B">
              <w:rPr>
                <w:b/>
                <w:bCs/>
                <w:sz w:val="19"/>
                <w:szCs w:val="19"/>
                <w:lang w:eastAsia="fr"/>
              </w:rPr>
              <w:t>94</w:t>
            </w:r>
          </w:p>
        </w:tc>
        <w:tc>
          <w:tcPr>
            <w:tcW w:w="942" w:type="dxa"/>
            <w:tcBorders>
              <w:top w:val="nil"/>
              <w:left w:val="nil"/>
              <w:bottom w:val="single" w:sz="4" w:space="0" w:color="auto"/>
              <w:right w:val="single" w:sz="4" w:space="0" w:color="auto"/>
            </w:tcBorders>
            <w:shd w:val="clear" w:color="auto" w:fill="auto"/>
            <w:noWrap/>
            <w:tcMar>
              <w:left w:w="0" w:type="dxa"/>
              <w:right w:w="115" w:type="dxa"/>
            </w:tcMar>
            <w:hideMark/>
          </w:tcPr>
          <w:p w14:paraId="57DF84E2" w14:textId="77777777" w:rsidR="002F1617" w:rsidRPr="00F7008B" w:rsidRDefault="002F1617" w:rsidP="005514B9">
            <w:pPr>
              <w:jc w:val="right"/>
              <w:rPr>
                <w:b/>
                <w:bCs/>
                <w:sz w:val="19"/>
                <w:szCs w:val="19"/>
                <w:lang w:eastAsia="en-CA"/>
              </w:rPr>
            </w:pPr>
            <w:r w:rsidRPr="00F7008B">
              <w:rPr>
                <w:b/>
                <w:bCs/>
                <w:sz w:val="19"/>
                <w:szCs w:val="19"/>
                <w:lang w:eastAsia="fr"/>
              </w:rPr>
              <w:t>861 355 337</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34F9A8CB" w14:textId="77777777" w:rsidR="002F1617" w:rsidRPr="00F7008B" w:rsidRDefault="002F1617" w:rsidP="005514B9">
            <w:pPr>
              <w:jc w:val="right"/>
              <w:rPr>
                <w:b/>
                <w:bCs/>
                <w:sz w:val="19"/>
                <w:szCs w:val="19"/>
                <w:lang w:eastAsia="en-CA"/>
              </w:rPr>
            </w:pPr>
            <w:r w:rsidRPr="00F7008B">
              <w:rPr>
                <w:b/>
                <w:bCs/>
                <w:sz w:val="19"/>
                <w:szCs w:val="19"/>
                <w:lang w:eastAsia="fr"/>
              </w:rPr>
              <w:t>796 358 755</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68CD53A7" w14:textId="77777777" w:rsidR="002F1617" w:rsidRPr="00F7008B" w:rsidRDefault="002F1617" w:rsidP="005514B9">
            <w:pPr>
              <w:jc w:val="right"/>
              <w:rPr>
                <w:b/>
                <w:bCs/>
                <w:sz w:val="19"/>
                <w:szCs w:val="19"/>
                <w:lang w:eastAsia="en-CA"/>
              </w:rPr>
            </w:pPr>
            <w:r w:rsidRPr="00F7008B">
              <w:rPr>
                <w:b/>
                <w:bCs/>
                <w:sz w:val="19"/>
                <w:szCs w:val="19"/>
                <w:lang w:eastAsia="fr"/>
              </w:rPr>
              <w:t>64 996 582</w:t>
            </w:r>
          </w:p>
        </w:tc>
        <w:tc>
          <w:tcPr>
            <w:tcW w:w="1084" w:type="dxa"/>
            <w:tcBorders>
              <w:top w:val="nil"/>
              <w:left w:val="nil"/>
              <w:bottom w:val="single" w:sz="4" w:space="0" w:color="auto"/>
              <w:right w:val="single" w:sz="4" w:space="0" w:color="auto"/>
            </w:tcBorders>
            <w:shd w:val="clear" w:color="auto" w:fill="auto"/>
            <w:noWrap/>
            <w:tcMar>
              <w:left w:w="0" w:type="dxa"/>
              <w:right w:w="115" w:type="dxa"/>
            </w:tcMar>
            <w:hideMark/>
          </w:tcPr>
          <w:p w14:paraId="280F1AB1" w14:textId="77777777" w:rsidR="002F1617" w:rsidRPr="00F7008B" w:rsidRDefault="002F1617" w:rsidP="005514B9">
            <w:pPr>
              <w:jc w:val="right"/>
              <w:rPr>
                <w:b/>
                <w:bCs/>
                <w:sz w:val="19"/>
                <w:szCs w:val="19"/>
                <w:lang w:eastAsia="en-CA"/>
              </w:rPr>
            </w:pPr>
            <w:r w:rsidRPr="00F7008B">
              <w:rPr>
                <w:b/>
                <w:bCs/>
                <w:sz w:val="19"/>
                <w:szCs w:val="19"/>
                <w:lang w:eastAsia="fr"/>
              </w:rPr>
              <w:t>92</w:t>
            </w:r>
          </w:p>
        </w:tc>
      </w:tr>
    </w:tbl>
    <w:p w14:paraId="4C944FF4" w14:textId="77777777" w:rsidR="00E52ADD" w:rsidRPr="00822BBF" w:rsidRDefault="00E52ADD" w:rsidP="00E52ADD">
      <w:pPr>
        <w:jc w:val="left"/>
        <w:rPr>
          <w:sz w:val="19"/>
          <w:szCs w:val="19"/>
          <w:lang w:val="fr-FR"/>
        </w:rPr>
      </w:pPr>
      <w:r w:rsidRPr="00822BBF">
        <w:rPr>
          <w:sz w:val="19"/>
          <w:szCs w:val="19"/>
          <w:lang w:val="fr-FR"/>
        </w:rPr>
        <w:t>* Exclut les projets clôturés et transférés.</w:t>
      </w:r>
    </w:p>
    <w:p w14:paraId="70CC250B" w14:textId="77777777" w:rsidR="00E52ADD" w:rsidRPr="00822BBF" w:rsidRDefault="00E52ADD" w:rsidP="00E52ADD">
      <w:pPr>
        <w:jc w:val="left"/>
        <w:rPr>
          <w:sz w:val="19"/>
          <w:szCs w:val="19"/>
          <w:lang w:val="fr-FR"/>
        </w:rPr>
      </w:pPr>
      <w:r w:rsidRPr="00822BBF">
        <w:rPr>
          <w:sz w:val="19"/>
          <w:szCs w:val="19"/>
          <w:lang w:val="fr-FR"/>
        </w:rPr>
        <w:t>** À l'exclusion des coûts d'appui d'agence.</w:t>
      </w:r>
    </w:p>
    <w:p w14:paraId="62B61C4B" w14:textId="77777777" w:rsidR="00E52ADD" w:rsidRPr="00822BBF" w:rsidRDefault="00E52ADD" w:rsidP="00E52ADD">
      <w:pPr>
        <w:jc w:val="left"/>
        <w:rPr>
          <w:sz w:val="18"/>
          <w:szCs w:val="18"/>
          <w:lang w:val="fr-FR"/>
        </w:rPr>
      </w:pPr>
    </w:p>
    <w:p w14:paraId="7F68487A" w14:textId="046EC792" w:rsidR="00E52ADD" w:rsidRPr="00822BBF" w:rsidRDefault="00E52ADD" w:rsidP="00E52ADD">
      <w:pPr>
        <w:pStyle w:val="Heading1"/>
        <w:tabs>
          <w:tab w:val="clear" w:pos="0"/>
        </w:tabs>
        <w:rPr>
          <w:lang w:val="fr-FR"/>
        </w:rPr>
      </w:pPr>
      <w:r w:rsidRPr="00822BBF">
        <w:rPr>
          <w:lang w:val="fr-FR"/>
        </w:rPr>
        <w:t>Le tableau 3 présente un aperçu de l'état de la mise en œuvre du projet par année</w:t>
      </w:r>
      <w:r w:rsidR="000266B0" w:rsidRPr="00822BBF">
        <w:rPr>
          <w:lang w:val="fr-FR"/>
        </w:rPr>
        <w:t>.</w:t>
      </w:r>
      <w:r w:rsidRPr="00F7008B">
        <w:rPr>
          <w:rStyle w:val="FootnoteReference"/>
        </w:rPr>
        <w:footnoteReference w:id="29"/>
      </w:r>
      <w:r w:rsidRPr="00822BBF">
        <w:rPr>
          <w:lang w:val="fr-FR"/>
        </w:rPr>
        <w:t xml:space="preserve"> Tous les projets et activité</w:t>
      </w:r>
      <w:r w:rsidR="000C6BEA" w:rsidRPr="00822BBF">
        <w:rPr>
          <w:lang w:val="fr-FR"/>
        </w:rPr>
        <w:t xml:space="preserve">s approuvés entre 1991 et 2013 </w:t>
      </w:r>
      <w:r w:rsidRPr="00822BBF">
        <w:rPr>
          <w:lang w:val="fr-FR"/>
        </w:rPr>
        <w:t xml:space="preserve">ont </w:t>
      </w:r>
      <w:r w:rsidR="000C6BEA" w:rsidRPr="00822BBF">
        <w:rPr>
          <w:lang w:val="fr-FR"/>
        </w:rPr>
        <w:t>dorénavant été menés à terme</w:t>
      </w:r>
      <w:r w:rsidRPr="00822BBF">
        <w:rPr>
          <w:lang w:val="fr-FR"/>
        </w:rPr>
        <w:t xml:space="preserve">. </w:t>
      </w:r>
    </w:p>
    <w:p w14:paraId="5EB16B5A" w14:textId="77777777" w:rsidR="00E52ADD" w:rsidRPr="00822BBF" w:rsidRDefault="00E52ADD" w:rsidP="00E52ADD">
      <w:pPr>
        <w:keepNext/>
        <w:suppressAutoHyphens/>
        <w:jc w:val="left"/>
        <w:rPr>
          <w:b/>
          <w:spacing w:val="-3"/>
          <w:lang w:val="fr-FR"/>
        </w:rPr>
      </w:pPr>
      <w:r w:rsidRPr="00822BBF">
        <w:rPr>
          <w:b/>
          <w:spacing w:val="-3"/>
          <w:lang w:val="fr-FR"/>
        </w:rPr>
        <w:t>Tableau 3. État de la mise en œuvre des projets par année</w:t>
      </w:r>
    </w:p>
    <w:tbl>
      <w:tblPr>
        <w:tblW w:w="9406" w:type="dxa"/>
        <w:tblInd w:w="-34" w:type="dxa"/>
        <w:tblLayout w:type="fixed"/>
        <w:tblLook w:val="04A0" w:firstRow="1" w:lastRow="0" w:firstColumn="1" w:lastColumn="0" w:noHBand="0" w:noVBand="1"/>
      </w:tblPr>
      <w:tblGrid>
        <w:gridCol w:w="789"/>
        <w:gridCol w:w="1216"/>
        <w:gridCol w:w="1217"/>
        <w:gridCol w:w="1217"/>
        <w:gridCol w:w="1241"/>
        <w:gridCol w:w="1242"/>
        <w:gridCol w:w="1242"/>
        <w:gridCol w:w="1242"/>
      </w:tblGrid>
      <w:tr w:rsidR="005632A0" w:rsidRPr="00F7008B" w14:paraId="7475AA0A" w14:textId="77777777" w:rsidTr="00696730">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3F6C"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Année</w:t>
            </w:r>
            <w:proofErr w:type="spellEnd"/>
          </w:p>
        </w:tc>
        <w:tc>
          <w:tcPr>
            <w:tcW w:w="365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3E0960"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Nombre</w:t>
            </w:r>
            <w:proofErr w:type="spellEnd"/>
            <w:r w:rsidRPr="00F7008B">
              <w:rPr>
                <w:b/>
                <w:bCs/>
                <w:sz w:val="20"/>
                <w:szCs w:val="20"/>
                <w:lang w:eastAsia="fr"/>
              </w:rPr>
              <w:t xml:space="preserve"> de </w:t>
            </w:r>
            <w:proofErr w:type="spellStart"/>
            <w:r w:rsidRPr="00F7008B">
              <w:rPr>
                <w:b/>
                <w:bCs/>
                <w:sz w:val="20"/>
                <w:szCs w:val="20"/>
                <w:lang w:eastAsia="fr"/>
              </w:rPr>
              <w:t>projets</w:t>
            </w:r>
            <w:proofErr w:type="spellEnd"/>
            <w:r w:rsidRPr="00F7008B">
              <w:rPr>
                <w:b/>
                <w:bCs/>
                <w:sz w:val="20"/>
                <w:szCs w:val="20"/>
                <w:lang w:eastAsia="fr"/>
              </w:rPr>
              <w:t>*</w:t>
            </w:r>
          </w:p>
        </w:tc>
        <w:tc>
          <w:tcPr>
            <w:tcW w:w="4967"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FA5402"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Financement</w:t>
            </w:r>
            <w:proofErr w:type="spellEnd"/>
            <w:r w:rsidRPr="00F7008B">
              <w:rPr>
                <w:b/>
                <w:bCs/>
                <w:sz w:val="20"/>
                <w:szCs w:val="20"/>
                <w:lang w:eastAsia="fr"/>
              </w:rPr>
              <w:t xml:space="preserve"> ($US) **</w:t>
            </w:r>
          </w:p>
        </w:tc>
      </w:tr>
      <w:tr w:rsidR="005632A0" w:rsidRPr="00F7008B" w14:paraId="42E68AE3" w14:textId="77777777" w:rsidTr="00696730">
        <w:tc>
          <w:tcPr>
            <w:tcW w:w="789" w:type="dxa"/>
            <w:vMerge/>
            <w:tcBorders>
              <w:top w:val="single" w:sz="4" w:space="0" w:color="auto"/>
              <w:left w:val="single" w:sz="4" w:space="0" w:color="auto"/>
              <w:bottom w:val="single" w:sz="4" w:space="0" w:color="auto"/>
              <w:right w:val="single" w:sz="4" w:space="0" w:color="auto"/>
            </w:tcBorders>
            <w:vAlign w:val="center"/>
            <w:hideMark/>
          </w:tcPr>
          <w:p w14:paraId="61092F40" w14:textId="77777777" w:rsidR="005632A0" w:rsidRPr="00F7008B" w:rsidRDefault="005632A0" w:rsidP="005632A0">
            <w:pPr>
              <w:jc w:val="left"/>
              <w:rPr>
                <w:b/>
                <w:bCs/>
                <w:sz w:val="20"/>
                <w:szCs w:val="20"/>
                <w:lang w:eastAsia="en-CA"/>
              </w:rPr>
            </w:pPr>
          </w:p>
        </w:tc>
        <w:tc>
          <w:tcPr>
            <w:tcW w:w="1216" w:type="dxa"/>
            <w:tcBorders>
              <w:top w:val="nil"/>
              <w:left w:val="nil"/>
              <w:bottom w:val="single" w:sz="4" w:space="0" w:color="auto"/>
              <w:right w:val="single" w:sz="4" w:space="0" w:color="auto"/>
            </w:tcBorders>
            <w:shd w:val="clear" w:color="auto" w:fill="auto"/>
            <w:noWrap/>
            <w:vAlign w:val="center"/>
            <w:hideMark/>
          </w:tcPr>
          <w:p w14:paraId="3866A090"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Approuvé</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42A86E2" w14:textId="77777777" w:rsidR="005632A0" w:rsidRPr="00F7008B" w:rsidRDefault="005632A0" w:rsidP="005632A0">
            <w:pPr>
              <w:jc w:val="left"/>
              <w:rPr>
                <w:b/>
                <w:bCs/>
                <w:sz w:val="20"/>
                <w:szCs w:val="20"/>
                <w:lang w:eastAsia="en-CA"/>
              </w:rPr>
            </w:pPr>
            <w:proofErr w:type="spellStart"/>
            <w:r w:rsidRPr="00F7008B">
              <w:rPr>
                <w:b/>
                <w:bCs/>
                <w:sz w:val="20"/>
                <w:szCs w:val="20"/>
                <w:lang w:eastAsia="fr"/>
              </w:rPr>
              <w:t>Terminé</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7E856C62" w14:textId="77777777" w:rsidR="005632A0" w:rsidRPr="00F7008B" w:rsidRDefault="005632A0" w:rsidP="005632A0">
            <w:pPr>
              <w:ind w:left="-121" w:right="-111"/>
              <w:jc w:val="center"/>
              <w:rPr>
                <w:b/>
                <w:bCs/>
                <w:sz w:val="20"/>
                <w:szCs w:val="20"/>
                <w:lang w:eastAsia="en-CA"/>
              </w:rPr>
            </w:pPr>
            <w:r w:rsidRPr="00F7008B">
              <w:rPr>
                <w:b/>
                <w:bCs/>
                <w:sz w:val="20"/>
                <w:szCs w:val="20"/>
                <w:lang w:eastAsia="fr"/>
              </w:rPr>
              <w:t xml:space="preserve">% </w:t>
            </w:r>
            <w:proofErr w:type="spellStart"/>
            <w:r w:rsidRPr="00F7008B">
              <w:rPr>
                <w:b/>
                <w:bCs/>
                <w:sz w:val="20"/>
                <w:szCs w:val="20"/>
                <w:lang w:eastAsia="fr"/>
              </w:rPr>
              <w:t>d’achèvement</w:t>
            </w:r>
            <w:proofErr w:type="spellEnd"/>
          </w:p>
        </w:tc>
        <w:tc>
          <w:tcPr>
            <w:tcW w:w="1241" w:type="dxa"/>
            <w:tcBorders>
              <w:top w:val="nil"/>
              <w:left w:val="nil"/>
              <w:bottom w:val="single" w:sz="4" w:space="0" w:color="auto"/>
              <w:right w:val="single" w:sz="4" w:space="0" w:color="auto"/>
            </w:tcBorders>
            <w:shd w:val="clear" w:color="auto" w:fill="auto"/>
            <w:noWrap/>
            <w:vAlign w:val="center"/>
            <w:hideMark/>
          </w:tcPr>
          <w:p w14:paraId="5F9BD519"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Approuvé</w:t>
            </w:r>
            <w:proofErr w:type="spellEnd"/>
          </w:p>
        </w:tc>
        <w:tc>
          <w:tcPr>
            <w:tcW w:w="1242" w:type="dxa"/>
            <w:tcBorders>
              <w:top w:val="nil"/>
              <w:left w:val="nil"/>
              <w:bottom w:val="single" w:sz="4" w:space="0" w:color="auto"/>
              <w:right w:val="single" w:sz="4" w:space="0" w:color="auto"/>
            </w:tcBorders>
            <w:shd w:val="clear" w:color="auto" w:fill="auto"/>
            <w:noWrap/>
            <w:vAlign w:val="center"/>
            <w:hideMark/>
          </w:tcPr>
          <w:p w14:paraId="784B16B1"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Décaissé</w:t>
            </w:r>
            <w:proofErr w:type="spellEnd"/>
          </w:p>
        </w:tc>
        <w:tc>
          <w:tcPr>
            <w:tcW w:w="1242" w:type="dxa"/>
            <w:tcBorders>
              <w:top w:val="nil"/>
              <w:left w:val="nil"/>
              <w:bottom w:val="single" w:sz="4" w:space="0" w:color="auto"/>
              <w:right w:val="single" w:sz="4" w:space="0" w:color="auto"/>
            </w:tcBorders>
            <w:shd w:val="clear" w:color="auto" w:fill="auto"/>
            <w:noWrap/>
            <w:vAlign w:val="center"/>
            <w:hideMark/>
          </w:tcPr>
          <w:p w14:paraId="73B272BE" w14:textId="77777777" w:rsidR="005632A0" w:rsidRPr="00F7008B" w:rsidRDefault="005632A0" w:rsidP="005632A0">
            <w:pPr>
              <w:jc w:val="center"/>
              <w:rPr>
                <w:b/>
                <w:bCs/>
                <w:sz w:val="20"/>
                <w:szCs w:val="20"/>
                <w:lang w:eastAsia="en-CA"/>
              </w:rPr>
            </w:pPr>
            <w:proofErr w:type="spellStart"/>
            <w:r w:rsidRPr="00F7008B">
              <w:rPr>
                <w:b/>
                <w:bCs/>
                <w:sz w:val="20"/>
                <w:szCs w:val="20"/>
                <w:lang w:eastAsia="fr"/>
              </w:rPr>
              <w:t>Solde</w:t>
            </w:r>
            <w:proofErr w:type="spellEnd"/>
          </w:p>
        </w:tc>
        <w:tc>
          <w:tcPr>
            <w:tcW w:w="1242" w:type="dxa"/>
            <w:tcBorders>
              <w:top w:val="nil"/>
              <w:left w:val="nil"/>
              <w:bottom w:val="single" w:sz="4" w:space="0" w:color="auto"/>
              <w:right w:val="single" w:sz="4" w:space="0" w:color="auto"/>
            </w:tcBorders>
            <w:shd w:val="clear" w:color="auto" w:fill="auto"/>
            <w:noWrap/>
            <w:vAlign w:val="center"/>
            <w:hideMark/>
          </w:tcPr>
          <w:p w14:paraId="1FE8D956" w14:textId="77777777" w:rsidR="005632A0" w:rsidRPr="00F7008B" w:rsidRDefault="005632A0" w:rsidP="005632A0">
            <w:pPr>
              <w:ind w:left="-176" w:right="-102"/>
              <w:jc w:val="center"/>
              <w:rPr>
                <w:b/>
                <w:bCs/>
                <w:sz w:val="20"/>
                <w:szCs w:val="20"/>
                <w:lang w:eastAsia="en-CA"/>
              </w:rPr>
            </w:pPr>
            <w:r w:rsidRPr="00F7008B">
              <w:rPr>
                <w:b/>
                <w:bCs/>
                <w:sz w:val="20"/>
                <w:szCs w:val="20"/>
                <w:lang w:eastAsia="fr"/>
              </w:rPr>
              <w:t xml:space="preserve">% de </w:t>
            </w:r>
            <w:proofErr w:type="spellStart"/>
            <w:r w:rsidRPr="00F7008B">
              <w:rPr>
                <w:b/>
                <w:bCs/>
                <w:sz w:val="20"/>
                <w:szCs w:val="20"/>
                <w:lang w:eastAsia="fr"/>
              </w:rPr>
              <w:t>décaissement</w:t>
            </w:r>
            <w:proofErr w:type="spellEnd"/>
          </w:p>
        </w:tc>
      </w:tr>
      <w:tr w:rsidR="005632A0" w:rsidRPr="00F7008B" w14:paraId="574B4AA9"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216B0DB8" w14:textId="77777777" w:rsidR="005632A0" w:rsidRPr="00F7008B" w:rsidRDefault="005632A0" w:rsidP="005632A0">
            <w:pPr>
              <w:jc w:val="left"/>
              <w:rPr>
                <w:sz w:val="20"/>
                <w:szCs w:val="20"/>
                <w:lang w:eastAsia="en-CA"/>
              </w:rPr>
            </w:pPr>
            <w:r w:rsidRPr="00F7008B">
              <w:rPr>
                <w:sz w:val="20"/>
                <w:szCs w:val="20"/>
                <w:lang w:eastAsia="fr"/>
              </w:rPr>
              <w:t xml:space="preserve">1991 </w:t>
            </w:r>
          </w:p>
        </w:tc>
        <w:tc>
          <w:tcPr>
            <w:tcW w:w="1216" w:type="dxa"/>
            <w:tcBorders>
              <w:top w:val="nil"/>
              <w:left w:val="nil"/>
              <w:bottom w:val="single" w:sz="4" w:space="0" w:color="auto"/>
              <w:right w:val="single" w:sz="4" w:space="0" w:color="auto"/>
            </w:tcBorders>
            <w:shd w:val="clear" w:color="auto" w:fill="auto"/>
            <w:noWrap/>
            <w:vAlign w:val="bottom"/>
            <w:hideMark/>
          </w:tcPr>
          <w:p w14:paraId="22FA0ADC" w14:textId="77777777" w:rsidR="005632A0" w:rsidRPr="00F7008B" w:rsidRDefault="005632A0" w:rsidP="005632A0">
            <w:pPr>
              <w:jc w:val="right"/>
              <w:rPr>
                <w:sz w:val="20"/>
                <w:szCs w:val="20"/>
                <w:lang w:eastAsia="en-CA"/>
              </w:rPr>
            </w:pPr>
            <w:r w:rsidRPr="00F7008B">
              <w:rPr>
                <w:sz w:val="20"/>
                <w:szCs w:val="20"/>
                <w:lang w:eastAsia="fr"/>
              </w:rPr>
              <w:t>15</w:t>
            </w:r>
          </w:p>
        </w:tc>
        <w:tc>
          <w:tcPr>
            <w:tcW w:w="1217" w:type="dxa"/>
            <w:tcBorders>
              <w:top w:val="nil"/>
              <w:left w:val="nil"/>
              <w:bottom w:val="single" w:sz="4" w:space="0" w:color="auto"/>
              <w:right w:val="single" w:sz="4" w:space="0" w:color="auto"/>
            </w:tcBorders>
            <w:shd w:val="clear" w:color="auto" w:fill="auto"/>
            <w:noWrap/>
            <w:vAlign w:val="bottom"/>
            <w:hideMark/>
          </w:tcPr>
          <w:p w14:paraId="6D7F6A8B" w14:textId="77777777" w:rsidR="005632A0" w:rsidRPr="00F7008B" w:rsidRDefault="005632A0" w:rsidP="005632A0">
            <w:pPr>
              <w:jc w:val="right"/>
              <w:rPr>
                <w:sz w:val="20"/>
                <w:szCs w:val="20"/>
                <w:lang w:eastAsia="en-CA"/>
              </w:rPr>
            </w:pPr>
            <w:r w:rsidRPr="00F7008B">
              <w:rPr>
                <w:sz w:val="20"/>
                <w:szCs w:val="20"/>
                <w:lang w:eastAsia="fr"/>
              </w:rPr>
              <w:t>15</w:t>
            </w:r>
          </w:p>
        </w:tc>
        <w:tc>
          <w:tcPr>
            <w:tcW w:w="1217" w:type="dxa"/>
            <w:tcBorders>
              <w:top w:val="nil"/>
              <w:left w:val="nil"/>
              <w:bottom w:val="single" w:sz="4" w:space="0" w:color="auto"/>
              <w:right w:val="single" w:sz="4" w:space="0" w:color="auto"/>
            </w:tcBorders>
            <w:shd w:val="clear" w:color="auto" w:fill="auto"/>
            <w:noWrap/>
            <w:vAlign w:val="bottom"/>
            <w:hideMark/>
          </w:tcPr>
          <w:p w14:paraId="4C27416B"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9058781" w14:textId="77777777" w:rsidR="005632A0" w:rsidRPr="00F7008B" w:rsidRDefault="005632A0" w:rsidP="005632A0">
            <w:pPr>
              <w:jc w:val="right"/>
              <w:rPr>
                <w:sz w:val="20"/>
                <w:szCs w:val="20"/>
                <w:lang w:eastAsia="en-CA"/>
              </w:rPr>
            </w:pPr>
            <w:r w:rsidRPr="00F7008B">
              <w:rPr>
                <w:sz w:val="20"/>
                <w:szCs w:val="20"/>
                <w:lang w:eastAsia="fr"/>
              </w:rPr>
              <w:t>1 149 032</w:t>
            </w:r>
          </w:p>
        </w:tc>
        <w:tc>
          <w:tcPr>
            <w:tcW w:w="1242" w:type="dxa"/>
            <w:tcBorders>
              <w:top w:val="nil"/>
              <w:left w:val="nil"/>
              <w:bottom w:val="single" w:sz="4" w:space="0" w:color="auto"/>
              <w:right w:val="single" w:sz="4" w:space="0" w:color="auto"/>
            </w:tcBorders>
            <w:shd w:val="clear" w:color="auto" w:fill="auto"/>
            <w:noWrap/>
            <w:vAlign w:val="bottom"/>
            <w:hideMark/>
          </w:tcPr>
          <w:p w14:paraId="042C2D58" w14:textId="77777777" w:rsidR="005632A0" w:rsidRPr="00F7008B" w:rsidRDefault="005632A0" w:rsidP="005632A0">
            <w:pPr>
              <w:jc w:val="right"/>
              <w:rPr>
                <w:sz w:val="20"/>
                <w:szCs w:val="20"/>
                <w:lang w:eastAsia="en-CA"/>
              </w:rPr>
            </w:pPr>
            <w:r w:rsidRPr="00F7008B">
              <w:rPr>
                <w:sz w:val="20"/>
                <w:szCs w:val="20"/>
                <w:lang w:eastAsia="fr"/>
              </w:rPr>
              <w:t>1 149 032</w:t>
            </w:r>
          </w:p>
        </w:tc>
        <w:tc>
          <w:tcPr>
            <w:tcW w:w="1242" w:type="dxa"/>
            <w:tcBorders>
              <w:top w:val="nil"/>
              <w:left w:val="nil"/>
              <w:bottom w:val="single" w:sz="4" w:space="0" w:color="auto"/>
              <w:right w:val="single" w:sz="4" w:space="0" w:color="auto"/>
            </w:tcBorders>
            <w:shd w:val="clear" w:color="auto" w:fill="auto"/>
            <w:noWrap/>
            <w:vAlign w:val="bottom"/>
            <w:hideMark/>
          </w:tcPr>
          <w:p w14:paraId="2DD43567"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41117F3E"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2786F6F5"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7E7C06C3" w14:textId="77777777" w:rsidR="005632A0" w:rsidRPr="00F7008B" w:rsidRDefault="005632A0" w:rsidP="005632A0">
            <w:pPr>
              <w:jc w:val="left"/>
              <w:rPr>
                <w:sz w:val="20"/>
                <w:szCs w:val="20"/>
                <w:lang w:eastAsia="en-CA"/>
              </w:rPr>
            </w:pPr>
            <w:r w:rsidRPr="00F7008B">
              <w:rPr>
                <w:sz w:val="20"/>
                <w:szCs w:val="20"/>
                <w:lang w:eastAsia="fr"/>
              </w:rPr>
              <w:t xml:space="preserve">1992 </w:t>
            </w:r>
          </w:p>
        </w:tc>
        <w:tc>
          <w:tcPr>
            <w:tcW w:w="1216" w:type="dxa"/>
            <w:tcBorders>
              <w:top w:val="nil"/>
              <w:left w:val="nil"/>
              <w:bottom w:val="single" w:sz="4" w:space="0" w:color="auto"/>
              <w:right w:val="single" w:sz="4" w:space="0" w:color="auto"/>
            </w:tcBorders>
            <w:shd w:val="clear" w:color="auto" w:fill="auto"/>
            <w:noWrap/>
            <w:vAlign w:val="bottom"/>
            <w:hideMark/>
          </w:tcPr>
          <w:p w14:paraId="771C7114" w14:textId="77777777" w:rsidR="005632A0" w:rsidRPr="00F7008B" w:rsidRDefault="005632A0" w:rsidP="005632A0">
            <w:pPr>
              <w:jc w:val="right"/>
              <w:rPr>
                <w:sz w:val="20"/>
                <w:szCs w:val="20"/>
                <w:lang w:eastAsia="en-CA"/>
              </w:rPr>
            </w:pPr>
            <w:r w:rsidRPr="00F7008B">
              <w:rPr>
                <w:sz w:val="20"/>
                <w:szCs w:val="20"/>
                <w:lang w:eastAsia="fr"/>
              </w:rPr>
              <w:t>67</w:t>
            </w:r>
          </w:p>
        </w:tc>
        <w:tc>
          <w:tcPr>
            <w:tcW w:w="1217" w:type="dxa"/>
            <w:tcBorders>
              <w:top w:val="nil"/>
              <w:left w:val="nil"/>
              <w:bottom w:val="single" w:sz="4" w:space="0" w:color="auto"/>
              <w:right w:val="single" w:sz="4" w:space="0" w:color="auto"/>
            </w:tcBorders>
            <w:shd w:val="clear" w:color="auto" w:fill="auto"/>
            <w:noWrap/>
            <w:vAlign w:val="bottom"/>
            <w:hideMark/>
          </w:tcPr>
          <w:p w14:paraId="192B116A" w14:textId="77777777" w:rsidR="005632A0" w:rsidRPr="00F7008B" w:rsidRDefault="005632A0" w:rsidP="005632A0">
            <w:pPr>
              <w:jc w:val="right"/>
              <w:rPr>
                <w:sz w:val="20"/>
                <w:szCs w:val="20"/>
                <w:lang w:eastAsia="en-CA"/>
              </w:rPr>
            </w:pPr>
            <w:r w:rsidRPr="00F7008B">
              <w:rPr>
                <w:sz w:val="20"/>
                <w:szCs w:val="20"/>
                <w:lang w:eastAsia="fr"/>
              </w:rPr>
              <w:t>67</w:t>
            </w:r>
          </w:p>
        </w:tc>
        <w:tc>
          <w:tcPr>
            <w:tcW w:w="1217" w:type="dxa"/>
            <w:tcBorders>
              <w:top w:val="nil"/>
              <w:left w:val="nil"/>
              <w:bottom w:val="single" w:sz="4" w:space="0" w:color="auto"/>
              <w:right w:val="single" w:sz="4" w:space="0" w:color="auto"/>
            </w:tcBorders>
            <w:shd w:val="clear" w:color="auto" w:fill="auto"/>
            <w:noWrap/>
            <w:vAlign w:val="bottom"/>
            <w:hideMark/>
          </w:tcPr>
          <w:p w14:paraId="2447E0CF"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4881BBE" w14:textId="77777777" w:rsidR="005632A0" w:rsidRPr="00F7008B" w:rsidRDefault="005632A0" w:rsidP="005632A0">
            <w:pPr>
              <w:jc w:val="right"/>
              <w:rPr>
                <w:sz w:val="20"/>
                <w:szCs w:val="20"/>
                <w:lang w:eastAsia="en-CA"/>
              </w:rPr>
            </w:pPr>
            <w:r w:rsidRPr="00F7008B">
              <w:rPr>
                <w:sz w:val="20"/>
                <w:szCs w:val="20"/>
                <w:lang w:eastAsia="fr"/>
              </w:rPr>
              <w:t>8 619 002</w:t>
            </w:r>
          </w:p>
        </w:tc>
        <w:tc>
          <w:tcPr>
            <w:tcW w:w="1242" w:type="dxa"/>
            <w:tcBorders>
              <w:top w:val="nil"/>
              <w:left w:val="nil"/>
              <w:bottom w:val="single" w:sz="4" w:space="0" w:color="auto"/>
              <w:right w:val="single" w:sz="4" w:space="0" w:color="auto"/>
            </w:tcBorders>
            <w:shd w:val="clear" w:color="auto" w:fill="auto"/>
            <w:noWrap/>
            <w:vAlign w:val="bottom"/>
            <w:hideMark/>
          </w:tcPr>
          <w:p w14:paraId="249D5138" w14:textId="77777777" w:rsidR="005632A0" w:rsidRPr="00F7008B" w:rsidRDefault="005632A0" w:rsidP="005632A0">
            <w:pPr>
              <w:jc w:val="right"/>
              <w:rPr>
                <w:sz w:val="20"/>
                <w:szCs w:val="20"/>
                <w:lang w:eastAsia="en-CA"/>
              </w:rPr>
            </w:pPr>
            <w:r w:rsidRPr="00F7008B">
              <w:rPr>
                <w:sz w:val="20"/>
                <w:szCs w:val="20"/>
                <w:lang w:eastAsia="fr"/>
              </w:rPr>
              <w:t>8 619 002</w:t>
            </w:r>
          </w:p>
        </w:tc>
        <w:tc>
          <w:tcPr>
            <w:tcW w:w="1242" w:type="dxa"/>
            <w:tcBorders>
              <w:top w:val="nil"/>
              <w:left w:val="nil"/>
              <w:bottom w:val="single" w:sz="4" w:space="0" w:color="auto"/>
              <w:right w:val="single" w:sz="4" w:space="0" w:color="auto"/>
            </w:tcBorders>
            <w:shd w:val="clear" w:color="auto" w:fill="auto"/>
            <w:noWrap/>
            <w:vAlign w:val="bottom"/>
            <w:hideMark/>
          </w:tcPr>
          <w:p w14:paraId="42419B4C"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69EF9729"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DD34122"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7FBCE087" w14:textId="77777777" w:rsidR="005632A0" w:rsidRPr="00F7008B" w:rsidRDefault="005632A0" w:rsidP="005632A0">
            <w:pPr>
              <w:jc w:val="left"/>
              <w:rPr>
                <w:sz w:val="20"/>
                <w:szCs w:val="20"/>
                <w:lang w:eastAsia="en-CA"/>
              </w:rPr>
            </w:pPr>
            <w:r w:rsidRPr="00F7008B">
              <w:rPr>
                <w:sz w:val="20"/>
                <w:szCs w:val="20"/>
                <w:lang w:eastAsia="fr"/>
              </w:rPr>
              <w:t xml:space="preserve">1993 </w:t>
            </w:r>
          </w:p>
        </w:tc>
        <w:tc>
          <w:tcPr>
            <w:tcW w:w="1216" w:type="dxa"/>
            <w:tcBorders>
              <w:top w:val="nil"/>
              <w:left w:val="nil"/>
              <w:bottom w:val="single" w:sz="4" w:space="0" w:color="auto"/>
              <w:right w:val="single" w:sz="4" w:space="0" w:color="auto"/>
            </w:tcBorders>
            <w:shd w:val="clear" w:color="auto" w:fill="auto"/>
            <w:noWrap/>
            <w:vAlign w:val="bottom"/>
            <w:hideMark/>
          </w:tcPr>
          <w:p w14:paraId="0BFE9ED8" w14:textId="77777777" w:rsidR="005632A0" w:rsidRPr="00F7008B" w:rsidRDefault="005632A0" w:rsidP="005632A0">
            <w:pPr>
              <w:jc w:val="right"/>
              <w:rPr>
                <w:sz w:val="20"/>
                <w:szCs w:val="20"/>
                <w:lang w:eastAsia="en-CA"/>
              </w:rPr>
            </w:pPr>
            <w:r w:rsidRPr="00F7008B">
              <w:rPr>
                <w:sz w:val="20"/>
                <w:szCs w:val="20"/>
                <w:lang w:eastAsia="fr"/>
              </w:rPr>
              <w:t>57</w:t>
            </w:r>
          </w:p>
        </w:tc>
        <w:tc>
          <w:tcPr>
            <w:tcW w:w="1217" w:type="dxa"/>
            <w:tcBorders>
              <w:top w:val="nil"/>
              <w:left w:val="nil"/>
              <w:bottom w:val="single" w:sz="4" w:space="0" w:color="auto"/>
              <w:right w:val="single" w:sz="4" w:space="0" w:color="auto"/>
            </w:tcBorders>
            <w:shd w:val="clear" w:color="auto" w:fill="auto"/>
            <w:noWrap/>
            <w:vAlign w:val="bottom"/>
            <w:hideMark/>
          </w:tcPr>
          <w:p w14:paraId="42208B6D" w14:textId="77777777" w:rsidR="005632A0" w:rsidRPr="00F7008B" w:rsidRDefault="005632A0" w:rsidP="005632A0">
            <w:pPr>
              <w:jc w:val="right"/>
              <w:rPr>
                <w:sz w:val="20"/>
                <w:szCs w:val="20"/>
                <w:lang w:eastAsia="en-CA"/>
              </w:rPr>
            </w:pPr>
            <w:r w:rsidRPr="00F7008B">
              <w:rPr>
                <w:sz w:val="20"/>
                <w:szCs w:val="20"/>
                <w:lang w:eastAsia="fr"/>
              </w:rPr>
              <w:t>57</w:t>
            </w:r>
          </w:p>
        </w:tc>
        <w:tc>
          <w:tcPr>
            <w:tcW w:w="1217" w:type="dxa"/>
            <w:tcBorders>
              <w:top w:val="nil"/>
              <w:left w:val="nil"/>
              <w:bottom w:val="single" w:sz="4" w:space="0" w:color="auto"/>
              <w:right w:val="single" w:sz="4" w:space="0" w:color="auto"/>
            </w:tcBorders>
            <w:shd w:val="clear" w:color="auto" w:fill="auto"/>
            <w:noWrap/>
            <w:vAlign w:val="bottom"/>
            <w:hideMark/>
          </w:tcPr>
          <w:p w14:paraId="7591AEF5"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0F1EF74" w14:textId="77777777" w:rsidR="005632A0" w:rsidRPr="00F7008B" w:rsidRDefault="005632A0" w:rsidP="005632A0">
            <w:pPr>
              <w:jc w:val="right"/>
              <w:rPr>
                <w:sz w:val="20"/>
                <w:szCs w:val="20"/>
                <w:lang w:eastAsia="en-CA"/>
              </w:rPr>
            </w:pPr>
            <w:r w:rsidRPr="00F7008B">
              <w:rPr>
                <w:sz w:val="20"/>
                <w:szCs w:val="20"/>
                <w:lang w:eastAsia="fr"/>
              </w:rPr>
              <w:t>13 204 712</w:t>
            </w:r>
          </w:p>
        </w:tc>
        <w:tc>
          <w:tcPr>
            <w:tcW w:w="1242" w:type="dxa"/>
            <w:tcBorders>
              <w:top w:val="nil"/>
              <w:left w:val="nil"/>
              <w:bottom w:val="single" w:sz="4" w:space="0" w:color="auto"/>
              <w:right w:val="single" w:sz="4" w:space="0" w:color="auto"/>
            </w:tcBorders>
            <w:shd w:val="clear" w:color="auto" w:fill="auto"/>
            <w:noWrap/>
            <w:vAlign w:val="bottom"/>
            <w:hideMark/>
          </w:tcPr>
          <w:p w14:paraId="0C7C1820" w14:textId="77777777" w:rsidR="005632A0" w:rsidRPr="00F7008B" w:rsidRDefault="005632A0" w:rsidP="005632A0">
            <w:pPr>
              <w:jc w:val="right"/>
              <w:rPr>
                <w:sz w:val="20"/>
                <w:szCs w:val="20"/>
                <w:lang w:eastAsia="en-CA"/>
              </w:rPr>
            </w:pPr>
            <w:r w:rsidRPr="00F7008B">
              <w:rPr>
                <w:sz w:val="20"/>
                <w:szCs w:val="20"/>
                <w:lang w:eastAsia="fr"/>
              </w:rPr>
              <w:t>13 204 712</w:t>
            </w:r>
          </w:p>
        </w:tc>
        <w:tc>
          <w:tcPr>
            <w:tcW w:w="1242" w:type="dxa"/>
            <w:tcBorders>
              <w:top w:val="nil"/>
              <w:left w:val="nil"/>
              <w:bottom w:val="single" w:sz="4" w:space="0" w:color="auto"/>
              <w:right w:val="single" w:sz="4" w:space="0" w:color="auto"/>
            </w:tcBorders>
            <w:shd w:val="clear" w:color="auto" w:fill="auto"/>
            <w:noWrap/>
            <w:vAlign w:val="bottom"/>
            <w:hideMark/>
          </w:tcPr>
          <w:p w14:paraId="0FB63528"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5C21F57A"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08370103"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4C7679D6" w14:textId="77777777" w:rsidR="005632A0" w:rsidRPr="00F7008B" w:rsidRDefault="005632A0" w:rsidP="005632A0">
            <w:pPr>
              <w:jc w:val="left"/>
              <w:rPr>
                <w:sz w:val="20"/>
                <w:szCs w:val="20"/>
                <w:lang w:eastAsia="en-CA"/>
              </w:rPr>
            </w:pPr>
            <w:r w:rsidRPr="00F7008B">
              <w:rPr>
                <w:sz w:val="20"/>
                <w:szCs w:val="20"/>
                <w:lang w:eastAsia="fr"/>
              </w:rPr>
              <w:t xml:space="preserve">1994 </w:t>
            </w:r>
          </w:p>
        </w:tc>
        <w:tc>
          <w:tcPr>
            <w:tcW w:w="1216" w:type="dxa"/>
            <w:tcBorders>
              <w:top w:val="nil"/>
              <w:left w:val="nil"/>
              <w:bottom w:val="single" w:sz="4" w:space="0" w:color="auto"/>
              <w:right w:val="single" w:sz="4" w:space="0" w:color="auto"/>
            </w:tcBorders>
            <w:shd w:val="clear" w:color="auto" w:fill="auto"/>
            <w:noWrap/>
            <w:vAlign w:val="bottom"/>
            <w:hideMark/>
          </w:tcPr>
          <w:p w14:paraId="782CE154" w14:textId="77777777" w:rsidR="005632A0" w:rsidRPr="00F7008B" w:rsidRDefault="005632A0" w:rsidP="005632A0">
            <w:pPr>
              <w:jc w:val="right"/>
              <w:rPr>
                <w:sz w:val="20"/>
                <w:szCs w:val="20"/>
                <w:lang w:eastAsia="en-CA"/>
              </w:rPr>
            </w:pPr>
            <w:r w:rsidRPr="00F7008B">
              <w:rPr>
                <w:sz w:val="20"/>
                <w:szCs w:val="20"/>
                <w:lang w:eastAsia="fr"/>
              </w:rPr>
              <w:t>148</w:t>
            </w:r>
          </w:p>
        </w:tc>
        <w:tc>
          <w:tcPr>
            <w:tcW w:w="1217" w:type="dxa"/>
            <w:tcBorders>
              <w:top w:val="nil"/>
              <w:left w:val="nil"/>
              <w:bottom w:val="single" w:sz="4" w:space="0" w:color="auto"/>
              <w:right w:val="single" w:sz="4" w:space="0" w:color="auto"/>
            </w:tcBorders>
            <w:shd w:val="clear" w:color="auto" w:fill="auto"/>
            <w:noWrap/>
            <w:vAlign w:val="bottom"/>
            <w:hideMark/>
          </w:tcPr>
          <w:p w14:paraId="6CCD4481" w14:textId="77777777" w:rsidR="005632A0" w:rsidRPr="00F7008B" w:rsidRDefault="005632A0" w:rsidP="005632A0">
            <w:pPr>
              <w:jc w:val="right"/>
              <w:rPr>
                <w:sz w:val="20"/>
                <w:szCs w:val="20"/>
                <w:lang w:eastAsia="en-CA"/>
              </w:rPr>
            </w:pPr>
            <w:r w:rsidRPr="00F7008B">
              <w:rPr>
                <w:sz w:val="20"/>
                <w:szCs w:val="20"/>
                <w:lang w:eastAsia="fr"/>
              </w:rPr>
              <w:t>148</w:t>
            </w:r>
          </w:p>
        </w:tc>
        <w:tc>
          <w:tcPr>
            <w:tcW w:w="1217" w:type="dxa"/>
            <w:tcBorders>
              <w:top w:val="nil"/>
              <w:left w:val="nil"/>
              <w:bottom w:val="single" w:sz="4" w:space="0" w:color="auto"/>
              <w:right w:val="single" w:sz="4" w:space="0" w:color="auto"/>
            </w:tcBorders>
            <w:shd w:val="clear" w:color="auto" w:fill="auto"/>
            <w:noWrap/>
            <w:vAlign w:val="bottom"/>
            <w:hideMark/>
          </w:tcPr>
          <w:p w14:paraId="19CA05C5"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64C289C" w14:textId="77777777" w:rsidR="005632A0" w:rsidRPr="00F7008B" w:rsidRDefault="005632A0" w:rsidP="005632A0">
            <w:pPr>
              <w:jc w:val="right"/>
              <w:rPr>
                <w:sz w:val="20"/>
                <w:szCs w:val="20"/>
                <w:lang w:eastAsia="en-CA"/>
              </w:rPr>
            </w:pPr>
            <w:r w:rsidRPr="00F7008B">
              <w:rPr>
                <w:sz w:val="20"/>
                <w:szCs w:val="20"/>
                <w:lang w:eastAsia="fr"/>
              </w:rPr>
              <w:t>49 481 581</w:t>
            </w:r>
          </w:p>
        </w:tc>
        <w:tc>
          <w:tcPr>
            <w:tcW w:w="1242" w:type="dxa"/>
            <w:tcBorders>
              <w:top w:val="nil"/>
              <w:left w:val="nil"/>
              <w:bottom w:val="single" w:sz="4" w:space="0" w:color="auto"/>
              <w:right w:val="single" w:sz="4" w:space="0" w:color="auto"/>
            </w:tcBorders>
            <w:shd w:val="clear" w:color="auto" w:fill="auto"/>
            <w:noWrap/>
            <w:vAlign w:val="bottom"/>
            <w:hideMark/>
          </w:tcPr>
          <w:p w14:paraId="62BEE4E7" w14:textId="77777777" w:rsidR="005632A0" w:rsidRPr="00F7008B" w:rsidRDefault="005632A0" w:rsidP="005632A0">
            <w:pPr>
              <w:jc w:val="right"/>
              <w:rPr>
                <w:sz w:val="20"/>
                <w:szCs w:val="20"/>
                <w:lang w:eastAsia="en-CA"/>
              </w:rPr>
            </w:pPr>
            <w:r w:rsidRPr="00F7008B">
              <w:rPr>
                <w:sz w:val="20"/>
                <w:szCs w:val="20"/>
                <w:lang w:eastAsia="fr"/>
              </w:rPr>
              <w:t>49 481 581</w:t>
            </w:r>
          </w:p>
        </w:tc>
        <w:tc>
          <w:tcPr>
            <w:tcW w:w="1242" w:type="dxa"/>
            <w:tcBorders>
              <w:top w:val="nil"/>
              <w:left w:val="nil"/>
              <w:bottom w:val="single" w:sz="4" w:space="0" w:color="auto"/>
              <w:right w:val="single" w:sz="4" w:space="0" w:color="auto"/>
            </w:tcBorders>
            <w:shd w:val="clear" w:color="auto" w:fill="auto"/>
            <w:noWrap/>
            <w:vAlign w:val="bottom"/>
            <w:hideMark/>
          </w:tcPr>
          <w:p w14:paraId="5060520D"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1A38984A"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36819269"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412E976C" w14:textId="77777777" w:rsidR="005632A0" w:rsidRPr="00F7008B" w:rsidRDefault="005632A0" w:rsidP="005632A0">
            <w:pPr>
              <w:jc w:val="left"/>
              <w:rPr>
                <w:sz w:val="20"/>
                <w:szCs w:val="20"/>
                <w:lang w:eastAsia="en-CA"/>
              </w:rPr>
            </w:pPr>
            <w:r w:rsidRPr="00F7008B">
              <w:rPr>
                <w:sz w:val="20"/>
                <w:szCs w:val="20"/>
                <w:lang w:eastAsia="fr"/>
              </w:rPr>
              <w:t xml:space="preserve">1995 </w:t>
            </w:r>
          </w:p>
        </w:tc>
        <w:tc>
          <w:tcPr>
            <w:tcW w:w="1216" w:type="dxa"/>
            <w:tcBorders>
              <w:top w:val="nil"/>
              <w:left w:val="nil"/>
              <w:bottom w:val="single" w:sz="4" w:space="0" w:color="auto"/>
              <w:right w:val="single" w:sz="4" w:space="0" w:color="auto"/>
            </w:tcBorders>
            <w:shd w:val="clear" w:color="auto" w:fill="auto"/>
            <w:noWrap/>
            <w:vAlign w:val="bottom"/>
            <w:hideMark/>
          </w:tcPr>
          <w:p w14:paraId="3373E114" w14:textId="77777777" w:rsidR="005632A0" w:rsidRPr="00F7008B" w:rsidRDefault="005632A0" w:rsidP="005632A0">
            <w:pPr>
              <w:jc w:val="right"/>
              <w:rPr>
                <w:sz w:val="20"/>
                <w:szCs w:val="20"/>
                <w:lang w:eastAsia="en-CA"/>
              </w:rPr>
            </w:pPr>
            <w:r w:rsidRPr="00F7008B">
              <w:rPr>
                <w:sz w:val="20"/>
                <w:szCs w:val="20"/>
                <w:lang w:eastAsia="fr"/>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7F8E83BE" w14:textId="77777777" w:rsidR="005632A0" w:rsidRPr="00F7008B" w:rsidRDefault="005632A0" w:rsidP="005632A0">
            <w:pPr>
              <w:jc w:val="right"/>
              <w:rPr>
                <w:sz w:val="20"/>
                <w:szCs w:val="20"/>
                <w:lang w:eastAsia="en-CA"/>
              </w:rPr>
            </w:pPr>
            <w:r w:rsidRPr="00F7008B">
              <w:rPr>
                <w:sz w:val="20"/>
                <w:szCs w:val="20"/>
                <w:lang w:eastAsia="fr"/>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19611B2B"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D5BFFF0" w14:textId="77777777" w:rsidR="005632A0" w:rsidRPr="00F7008B" w:rsidRDefault="005632A0" w:rsidP="005632A0">
            <w:pPr>
              <w:jc w:val="right"/>
              <w:rPr>
                <w:sz w:val="20"/>
                <w:szCs w:val="20"/>
                <w:lang w:eastAsia="en-CA"/>
              </w:rPr>
            </w:pPr>
            <w:r w:rsidRPr="00F7008B">
              <w:rPr>
                <w:sz w:val="20"/>
                <w:szCs w:val="20"/>
                <w:lang w:eastAsia="fr"/>
              </w:rPr>
              <w:t>29 599 446</w:t>
            </w:r>
          </w:p>
        </w:tc>
        <w:tc>
          <w:tcPr>
            <w:tcW w:w="1242" w:type="dxa"/>
            <w:tcBorders>
              <w:top w:val="nil"/>
              <w:left w:val="nil"/>
              <w:bottom w:val="single" w:sz="4" w:space="0" w:color="auto"/>
              <w:right w:val="single" w:sz="4" w:space="0" w:color="auto"/>
            </w:tcBorders>
            <w:shd w:val="clear" w:color="auto" w:fill="auto"/>
            <w:noWrap/>
            <w:vAlign w:val="bottom"/>
            <w:hideMark/>
          </w:tcPr>
          <w:p w14:paraId="0D766053" w14:textId="77777777" w:rsidR="005632A0" w:rsidRPr="00F7008B" w:rsidRDefault="005632A0" w:rsidP="005632A0">
            <w:pPr>
              <w:jc w:val="right"/>
              <w:rPr>
                <w:sz w:val="20"/>
                <w:szCs w:val="20"/>
                <w:lang w:eastAsia="en-CA"/>
              </w:rPr>
            </w:pPr>
            <w:r w:rsidRPr="00F7008B">
              <w:rPr>
                <w:sz w:val="20"/>
                <w:szCs w:val="20"/>
                <w:lang w:eastAsia="fr"/>
              </w:rPr>
              <w:t>29 599 446</w:t>
            </w:r>
          </w:p>
        </w:tc>
        <w:tc>
          <w:tcPr>
            <w:tcW w:w="1242" w:type="dxa"/>
            <w:tcBorders>
              <w:top w:val="nil"/>
              <w:left w:val="nil"/>
              <w:bottom w:val="single" w:sz="4" w:space="0" w:color="auto"/>
              <w:right w:val="single" w:sz="4" w:space="0" w:color="auto"/>
            </w:tcBorders>
            <w:shd w:val="clear" w:color="auto" w:fill="auto"/>
            <w:noWrap/>
            <w:vAlign w:val="bottom"/>
            <w:hideMark/>
          </w:tcPr>
          <w:p w14:paraId="115A043B"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45610820"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0AD3134"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23DA975E" w14:textId="77777777" w:rsidR="005632A0" w:rsidRPr="00F7008B" w:rsidRDefault="005632A0" w:rsidP="005632A0">
            <w:pPr>
              <w:jc w:val="left"/>
              <w:rPr>
                <w:sz w:val="20"/>
                <w:szCs w:val="20"/>
                <w:lang w:eastAsia="en-CA"/>
              </w:rPr>
            </w:pPr>
            <w:r w:rsidRPr="00F7008B">
              <w:rPr>
                <w:sz w:val="20"/>
                <w:szCs w:val="20"/>
                <w:lang w:eastAsia="fr"/>
              </w:rPr>
              <w:t xml:space="preserve">1996 </w:t>
            </w:r>
          </w:p>
        </w:tc>
        <w:tc>
          <w:tcPr>
            <w:tcW w:w="1216" w:type="dxa"/>
            <w:tcBorders>
              <w:top w:val="nil"/>
              <w:left w:val="nil"/>
              <w:bottom w:val="single" w:sz="4" w:space="0" w:color="auto"/>
              <w:right w:val="single" w:sz="4" w:space="0" w:color="auto"/>
            </w:tcBorders>
            <w:shd w:val="clear" w:color="auto" w:fill="auto"/>
            <w:noWrap/>
            <w:vAlign w:val="bottom"/>
            <w:hideMark/>
          </w:tcPr>
          <w:p w14:paraId="13EDC718" w14:textId="77777777" w:rsidR="005632A0" w:rsidRPr="00F7008B" w:rsidRDefault="005632A0" w:rsidP="005632A0">
            <w:pPr>
              <w:jc w:val="right"/>
              <w:rPr>
                <w:sz w:val="20"/>
                <w:szCs w:val="20"/>
                <w:lang w:eastAsia="en-CA"/>
              </w:rPr>
            </w:pPr>
            <w:r w:rsidRPr="00F7008B">
              <w:rPr>
                <w:sz w:val="20"/>
                <w:szCs w:val="20"/>
                <w:lang w:eastAsia="fr"/>
              </w:rPr>
              <w:t>83</w:t>
            </w:r>
          </w:p>
        </w:tc>
        <w:tc>
          <w:tcPr>
            <w:tcW w:w="1217" w:type="dxa"/>
            <w:tcBorders>
              <w:top w:val="nil"/>
              <w:left w:val="nil"/>
              <w:bottom w:val="single" w:sz="4" w:space="0" w:color="auto"/>
              <w:right w:val="single" w:sz="4" w:space="0" w:color="auto"/>
            </w:tcBorders>
            <w:shd w:val="clear" w:color="auto" w:fill="auto"/>
            <w:noWrap/>
            <w:vAlign w:val="bottom"/>
            <w:hideMark/>
          </w:tcPr>
          <w:p w14:paraId="23FBA44F" w14:textId="77777777" w:rsidR="005632A0" w:rsidRPr="00F7008B" w:rsidRDefault="005632A0" w:rsidP="005632A0">
            <w:pPr>
              <w:jc w:val="right"/>
              <w:rPr>
                <w:sz w:val="20"/>
                <w:szCs w:val="20"/>
                <w:lang w:eastAsia="en-CA"/>
              </w:rPr>
            </w:pPr>
            <w:r w:rsidRPr="00F7008B">
              <w:rPr>
                <w:sz w:val="20"/>
                <w:szCs w:val="20"/>
                <w:lang w:eastAsia="fr"/>
              </w:rPr>
              <w:t>83</w:t>
            </w:r>
          </w:p>
        </w:tc>
        <w:tc>
          <w:tcPr>
            <w:tcW w:w="1217" w:type="dxa"/>
            <w:tcBorders>
              <w:top w:val="nil"/>
              <w:left w:val="nil"/>
              <w:bottom w:val="single" w:sz="4" w:space="0" w:color="auto"/>
              <w:right w:val="single" w:sz="4" w:space="0" w:color="auto"/>
            </w:tcBorders>
            <w:shd w:val="clear" w:color="auto" w:fill="auto"/>
            <w:noWrap/>
            <w:vAlign w:val="bottom"/>
            <w:hideMark/>
          </w:tcPr>
          <w:p w14:paraId="07DB3435"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F6E8FFF" w14:textId="77777777" w:rsidR="005632A0" w:rsidRPr="00F7008B" w:rsidRDefault="005632A0" w:rsidP="005632A0">
            <w:pPr>
              <w:jc w:val="right"/>
              <w:rPr>
                <w:sz w:val="20"/>
                <w:szCs w:val="20"/>
                <w:lang w:eastAsia="en-CA"/>
              </w:rPr>
            </w:pPr>
            <w:r w:rsidRPr="00F7008B">
              <w:rPr>
                <w:sz w:val="20"/>
                <w:szCs w:val="20"/>
                <w:lang w:eastAsia="fr"/>
              </w:rPr>
              <w:t>27 838 805</w:t>
            </w:r>
          </w:p>
        </w:tc>
        <w:tc>
          <w:tcPr>
            <w:tcW w:w="1242" w:type="dxa"/>
            <w:tcBorders>
              <w:top w:val="nil"/>
              <w:left w:val="nil"/>
              <w:bottom w:val="single" w:sz="4" w:space="0" w:color="auto"/>
              <w:right w:val="single" w:sz="4" w:space="0" w:color="auto"/>
            </w:tcBorders>
            <w:shd w:val="clear" w:color="auto" w:fill="auto"/>
            <w:noWrap/>
            <w:vAlign w:val="bottom"/>
            <w:hideMark/>
          </w:tcPr>
          <w:p w14:paraId="4F97130F" w14:textId="77777777" w:rsidR="005632A0" w:rsidRPr="00F7008B" w:rsidRDefault="005632A0" w:rsidP="005632A0">
            <w:pPr>
              <w:jc w:val="right"/>
              <w:rPr>
                <w:sz w:val="20"/>
                <w:szCs w:val="20"/>
                <w:lang w:eastAsia="en-CA"/>
              </w:rPr>
            </w:pPr>
            <w:r w:rsidRPr="00F7008B">
              <w:rPr>
                <w:sz w:val="20"/>
                <w:szCs w:val="20"/>
                <w:lang w:eastAsia="fr"/>
              </w:rPr>
              <w:t>27 838 805</w:t>
            </w:r>
          </w:p>
        </w:tc>
        <w:tc>
          <w:tcPr>
            <w:tcW w:w="1242" w:type="dxa"/>
            <w:tcBorders>
              <w:top w:val="nil"/>
              <w:left w:val="nil"/>
              <w:bottom w:val="single" w:sz="4" w:space="0" w:color="auto"/>
              <w:right w:val="single" w:sz="4" w:space="0" w:color="auto"/>
            </w:tcBorders>
            <w:shd w:val="clear" w:color="auto" w:fill="auto"/>
            <w:noWrap/>
            <w:vAlign w:val="bottom"/>
            <w:hideMark/>
          </w:tcPr>
          <w:p w14:paraId="71C3162A"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643642CA"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2430ED03"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5F4547FE" w14:textId="77777777" w:rsidR="005632A0" w:rsidRPr="00F7008B" w:rsidRDefault="005632A0" w:rsidP="005632A0">
            <w:pPr>
              <w:jc w:val="left"/>
              <w:rPr>
                <w:sz w:val="20"/>
                <w:szCs w:val="20"/>
                <w:lang w:eastAsia="en-CA"/>
              </w:rPr>
            </w:pPr>
            <w:r w:rsidRPr="00F7008B">
              <w:rPr>
                <w:sz w:val="20"/>
                <w:szCs w:val="20"/>
                <w:lang w:eastAsia="fr"/>
              </w:rPr>
              <w:t xml:space="preserve">1997 </w:t>
            </w:r>
          </w:p>
        </w:tc>
        <w:tc>
          <w:tcPr>
            <w:tcW w:w="1216" w:type="dxa"/>
            <w:tcBorders>
              <w:top w:val="nil"/>
              <w:left w:val="nil"/>
              <w:bottom w:val="single" w:sz="4" w:space="0" w:color="auto"/>
              <w:right w:val="single" w:sz="4" w:space="0" w:color="auto"/>
            </w:tcBorders>
            <w:shd w:val="clear" w:color="auto" w:fill="auto"/>
            <w:noWrap/>
            <w:vAlign w:val="bottom"/>
            <w:hideMark/>
          </w:tcPr>
          <w:p w14:paraId="7FE7CCA3" w14:textId="77777777" w:rsidR="005632A0" w:rsidRPr="00F7008B" w:rsidRDefault="005632A0" w:rsidP="005632A0">
            <w:pPr>
              <w:jc w:val="right"/>
              <w:rPr>
                <w:sz w:val="20"/>
                <w:szCs w:val="20"/>
                <w:lang w:eastAsia="en-CA"/>
              </w:rPr>
            </w:pPr>
            <w:r w:rsidRPr="00F7008B">
              <w:rPr>
                <w:sz w:val="20"/>
                <w:szCs w:val="20"/>
                <w:lang w:eastAsia="fr"/>
              </w:rPr>
              <w:t>188</w:t>
            </w:r>
          </w:p>
        </w:tc>
        <w:tc>
          <w:tcPr>
            <w:tcW w:w="1217" w:type="dxa"/>
            <w:tcBorders>
              <w:top w:val="nil"/>
              <w:left w:val="nil"/>
              <w:bottom w:val="single" w:sz="4" w:space="0" w:color="auto"/>
              <w:right w:val="single" w:sz="4" w:space="0" w:color="auto"/>
            </w:tcBorders>
            <w:shd w:val="clear" w:color="auto" w:fill="auto"/>
            <w:noWrap/>
            <w:vAlign w:val="bottom"/>
            <w:hideMark/>
          </w:tcPr>
          <w:p w14:paraId="7AA28298" w14:textId="77777777" w:rsidR="005632A0" w:rsidRPr="00F7008B" w:rsidRDefault="005632A0" w:rsidP="005632A0">
            <w:pPr>
              <w:jc w:val="right"/>
              <w:rPr>
                <w:sz w:val="20"/>
                <w:szCs w:val="20"/>
                <w:lang w:eastAsia="en-CA"/>
              </w:rPr>
            </w:pPr>
            <w:r w:rsidRPr="00F7008B">
              <w:rPr>
                <w:sz w:val="20"/>
                <w:szCs w:val="20"/>
                <w:lang w:eastAsia="fr"/>
              </w:rPr>
              <w:t>188</w:t>
            </w:r>
          </w:p>
        </w:tc>
        <w:tc>
          <w:tcPr>
            <w:tcW w:w="1217" w:type="dxa"/>
            <w:tcBorders>
              <w:top w:val="nil"/>
              <w:left w:val="nil"/>
              <w:bottom w:val="single" w:sz="4" w:space="0" w:color="auto"/>
              <w:right w:val="single" w:sz="4" w:space="0" w:color="auto"/>
            </w:tcBorders>
            <w:shd w:val="clear" w:color="auto" w:fill="auto"/>
            <w:noWrap/>
            <w:vAlign w:val="bottom"/>
            <w:hideMark/>
          </w:tcPr>
          <w:p w14:paraId="47790B50"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9B3CCEA" w14:textId="77777777" w:rsidR="005632A0" w:rsidRPr="00F7008B" w:rsidRDefault="005632A0" w:rsidP="005632A0">
            <w:pPr>
              <w:jc w:val="right"/>
              <w:rPr>
                <w:sz w:val="20"/>
                <w:szCs w:val="20"/>
                <w:lang w:eastAsia="en-CA"/>
              </w:rPr>
            </w:pPr>
            <w:r w:rsidRPr="00F7008B">
              <w:rPr>
                <w:sz w:val="20"/>
                <w:szCs w:val="20"/>
                <w:lang w:eastAsia="fr"/>
              </w:rPr>
              <w:t>44 056 257</w:t>
            </w:r>
          </w:p>
        </w:tc>
        <w:tc>
          <w:tcPr>
            <w:tcW w:w="1242" w:type="dxa"/>
            <w:tcBorders>
              <w:top w:val="nil"/>
              <w:left w:val="nil"/>
              <w:bottom w:val="single" w:sz="4" w:space="0" w:color="auto"/>
              <w:right w:val="single" w:sz="4" w:space="0" w:color="auto"/>
            </w:tcBorders>
            <w:shd w:val="clear" w:color="auto" w:fill="auto"/>
            <w:noWrap/>
            <w:vAlign w:val="bottom"/>
            <w:hideMark/>
          </w:tcPr>
          <w:p w14:paraId="51C8E01C" w14:textId="77777777" w:rsidR="005632A0" w:rsidRPr="00F7008B" w:rsidRDefault="005632A0" w:rsidP="005632A0">
            <w:pPr>
              <w:jc w:val="right"/>
              <w:rPr>
                <w:sz w:val="20"/>
                <w:szCs w:val="20"/>
                <w:lang w:eastAsia="en-CA"/>
              </w:rPr>
            </w:pPr>
            <w:r w:rsidRPr="00F7008B">
              <w:rPr>
                <w:sz w:val="20"/>
                <w:szCs w:val="20"/>
                <w:lang w:eastAsia="fr"/>
              </w:rPr>
              <w:t>44 056 257</w:t>
            </w:r>
          </w:p>
        </w:tc>
        <w:tc>
          <w:tcPr>
            <w:tcW w:w="1242" w:type="dxa"/>
            <w:tcBorders>
              <w:top w:val="nil"/>
              <w:left w:val="nil"/>
              <w:bottom w:val="single" w:sz="4" w:space="0" w:color="auto"/>
              <w:right w:val="single" w:sz="4" w:space="0" w:color="auto"/>
            </w:tcBorders>
            <w:shd w:val="clear" w:color="auto" w:fill="auto"/>
            <w:noWrap/>
            <w:vAlign w:val="bottom"/>
            <w:hideMark/>
          </w:tcPr>
          <w:p w14:paraId="224A675E"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1B6C48C8"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033B102"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04014317" w14:textId="77777777" w:rsidR="005632A0" w:rsidRPr="00F7008B" w:rsidRDefault="005632A0" w:rsidP="005632A0">
            <w:pPr>
              <w:jc w:val="left"/>
              <w:rPr>
                <w:sz w:val="20"/>
                <w:szCs w:val="20"/>
                <w:lang w:eastAsia="en-CA"/>
              </w:rPr>
            </w:pPr>
            <w:r w:rsidRPr="00F7008B">
              <w:rPr>
                <w:sz w:val="20"/>
                <w:szCs w:val="20"/>
                <w:lang w:eastAsia="fr"/>
              </w:rPr>
              <w:t xml:space="preserve">1998 </w:t>
            </w:r>
          </w:p>
        </w:tc>
        <w:tc>
          <w:tcPr>
            <w:tcW w:w="1216" w:type="dxa"/>
            <w:tcBorders>
              <w:top w:val="nil"/>
              <w:left w:val="nil"/>
              <w:bottom w:val="single" w:sz="4" w:space="0" w:color="auto"/>
              <w:right w:val="single" w:sz="4" w:space="0" w:color="auto"/>
            </w:tcBorders>
            <w:shd w:val="clear" w:color="auto" w:fill="auto"/>
            <w:noWrap/>
            <w:vAlign w:val="bottom"/>
            <w:hideMark/>
          </w:tcPr>
          <w:p w14:paraId="3F778945" w14:textId="77777777" w:rsidR="005632A0" w:rsidRPr="00F7008B" w:rsidRDefault="005632A0" w:rsidP="005632A0">
            <w:pPr>
              <w:jc w:val="right"/>
              <w:rPr>
                <w:sz w:val="20"/>
                <w:szCs w:val="20"/>
                <w:lang w:eastAsia="en-CA"/>
              </w:rPr>
            </w:pPr>
            <w:r w:rsidRPr="00F7008B">
              <w:rPr>
                <w:sz w:val="20"/>
                <w:szCs w:val="20"/>
                <w:lang w:eastAsia="fr"/>
              </w:rPr>
              <w:t>172</w:t>
            </w:r>
          </w:p>
        </w:tc>
        <w:tc>
          <w:tcPr>
            <w:tcW w:w="1217" w:type="dxa"/>
            <w:tcBorders>
              <w:top w:val="nil"/>
              <w:left w:val="nil"/>
              <w:bottom w:val="single" w:sz="4" w:space="0" w:color="auto"/>
              <w:right w:val="single" w:sz="4" w:space="0" w:color="auto"/>
            </w:tcBorders>
            <w:shd w:val="clear" w:color="auto" w:fill="auto"/>
            <w:noWrap/>
            <w:vAlign w:val="bottom"/>
            <w:hideMark/>
          </w:tcPr>
          <w:p w14:paraId="67D9F395" w14:textId="77777777" w:rsidR="005632A0" w:rsidRPr="00F7008B" w:rsidRDefault="005632A0" w:rsidP="005632A0">
            <w:pPr>
              <w:jc w:val="right"/>
              <w:rPr>
                <w:sz w:val="20"/>
                <w:szCs w:val="20"/>
                <w:lang w:eastAsia="en-CA"/>
              </w:rPr>
            </w:pPr>
            <w:r w:rsidRPr="00F7008B">
              <w:rPr>
                <w:sz w:val="20"/>
                <w:szCs w:val="20"/>
                <w:lang w:eastAsia="fr"/>
              </w:rPr>
              <w:t>172</w:t>
            </w:r>
          </w:p>
        </w:tc>
        <w:tc>
          <w:tcPr>
            <w:tcW w:w="1217" w:type="dxa"/>
            <w:tcBorders>
              <w:top w:val="nil"/>
              <w:left w:val="nil"/>
              <w:bottom w:val="single" w:sz="4" w:space="0" w:color="auto"/>
              <w:right w:val="single" w:sz="4" w:space="0" w:color="auto"/>
            </w:tcBorders>
            <w:shd w:val="clear" w:color="auto" w:fill="auto"/>
            <w:noWrap/>
            <w:vAlign w:val="bottom"/>
            <w:hideMark/>
          </w:tcPr>
          <w:p w14:paraId="2F627AF7"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014156B" w14:textId="77777777" w:rsidR="005632A0" w:rsidRPr="00F7008B" w:rsidRDefault="005632A0" w:rsidP="005632A0">
            <w:pPr>
              <w:jc w:val="right"/>
              <w:rPr>
                <w:sz w:val="20"/>
                <w:szCs w:val="20"/>
                <w:lang w:eastAsia="en-CA"/>
              </w:rPr>
            </w:pPr>
            <w:r w:rsidRPr="00F7008B">
              <w:rPr>
                <w:sz w:val="20"/>
                <w:szCs w:val="20"/>
                <w:lang w:eastAsia="fr"/>
              </w:rPr>
              <w:t>31 305 010</w:t>
            </w:r>
          </w:p>
        </w:tc>
        <w:tc>
          <w:tcPr>
            <w:tcW w:w="1242" w:type="dxa"/>
            <w:tcBorders>
              <w:top w:val="nil"/>
              <w:left w:val="nil"/>
              <w:bottom w:val="single" w:sz="4" w:space="0" w:color="auto"/>
              <w:right w:val="single" w:sz="4" w:space="0" w:color="auto"/>
            </w:tcBorders>
            <w:shd w:val="clear" w:color="auto" w:fill="auto"/>
            <w:noWrap/>
            <w:vAlign w:val="bottom"/>
            <w:hideMark/>
          </w:tcPr>
          <w:p w14:paraId="4D8692D8" w14:textId="77777777" w:rsidR="005632A0" w:rsidRPr="00F7008B" w:rsidRDefault="005632A0" w:rsidP="005632A0">
            <w:pPr>
              <w:jc w:val="right"/>
              <w:rPr>
                <w:sz w:val="20"/>
                <w:szCs w:val="20"/>
                <w:lang w:eastAsia="en-CA"/>
              </w:rPr>
            </w:pPr>
            <w:r w:rsidRPr="00F7008B">
              <w:rPr>
                <w:sz w:val="20"/>
                <w:szCs w:val="20"/>
                <w:lang w:eastAsia="fr"/>
              </w:rPr>
              <w:t>31 305 010</w:t>
            </w:r>
          </w:p>
        </w:tc>
        <w:tc>
          <w:tcPr>
            <w:tcW w:w="1242" w:type="dxa"/>
            <w:tcBorders>
              <w:top w:val="nil"/>
              <w:left w:val="nil"/>
              <w:bottom w:val="single" w:sz="4" w:space="0" w:color="auto"/>
              <w:right w:val="single" w:sz="4" w:space="0" w:color="auto"/>
            </w:tcBorders>
            <w:shd w:val="clear" w:color="auto" w:fill="auto"/>
            <w:noWrap/>
            <w:vAlign w:val="bottom"/>
            <w:hideMark/>
          </w:tcPr>
          <w:p w14:paraId="3EBC54BE"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5A0BC28E"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DE79A3A"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2A1A5106" w14:textId="77777777" w:rsidR="005632A0" w:rsidRPr="00F7008B" w:rsidRDefault="005632A0" w:rsidP="005632A0">
            <w:pPr>
              <w:jc w:val="left"/>
              <w:rPr>
                <w:sz w:val="20"/>
                <w:szCs w:val="20"/>
                <w:lang w:eastAsia="en-CA"/>
              </w:rPr>
            </w:pPr>
            <w:r w:rsidRPr="00F7008B">
              <w:rPr>
                <w:sz w:val="20"/>
                <w:szCs w:val="20"/>
                <w:lang w:eastAsia="fr"/>
              </w:rPr>
              <w:t xml:space="preserve">1999 </w:t>
            </w:r>
          </w:p>
        </w:tc>
        <w:tc>
          <w:tcPr>
            <w:tcW w:w="1216" w:type="dxa"/>
            <w:tcBorders>
              <w:top w:val="nil"/>
              <w:left w:val="nil"/>
              <w:bottom w:val="single" w:sz="4" w:space="0" w:color="auto"/>
              <w:right w:val="single" w:sz="4" w:space="0" w:color="auto"/>
            </w:tcBorders>
            <w:shd w:val="clear" w:color="auto" w:fill="auto"/>
            <w:noWrap/>
            <w:vAlign w:val="bottom"/>
            <w:hideMark/>
          </w:tcPr>
          <w:p w14:paraId="4EA32EF7" w14:textId="77777777" w:rsidR="005632A0" w:rsidRPr="00F7008B" w:rsidRDefault="005632A0" w:rsidP="005632A0">
            <w:pPr>
              <w:jc w:val="right"/>
              <w:rPr>
                <w:sz w:val="20"/>
                <w:szCs w:val="20"/>
                <w:lang w:eastAsia="en-CA"/>
              </w:rPr>
            </w:pPr>
            <w:r w:rsidRPr="00F7008B">
              <w:rPr>
                <w:sz w:val="20"/>
                <w:szCs w:val="20"/>
                <w:lang w:eastAsia="fr"/>
              </w:rPr>
              <w:t>204</w:t>
            </w:r>
          </w:p>
        </w:tc>
        <w:tc>
          <w:tcPr>
            <w:tcW w:w="1217" w:type="dxa"/>
            <w:tcBorders>
              <w:top w:val="nil"/>
              <w:left w:val="nil"/>
              <w:bottom w:val="single" w:sz="4" w:space="0" w:color="auto"/>
              <w:right w:val="single" w:sz="4" w:space="0" w:color="auto"/>
            </w:tcBorders>
            <w:shd w:val="clear" w:color="auto" w:fill="auto"/>
            <w:noWrap/>
            <w:vAlign w:val="bottom"/>
            <w:hideMark/>
          </w:tcPr>
          <w:p w14:paraId="654DA720" w14:textId="77777777" w:rsidR="005632A0" w:rsidRPr="00F7008B" w:rsidRDefault="005632A0" w:rsidP="005632A0">
            <w:pPr>
              <w:jc w:val="right"/>
              <w:rPr>
                <w:sz w:val="20"/>
                <w:szCs w:val="20"/>
                <w:lang w:eastAsia="en-CA"/>
              </w:rPr>
            </w:pPr>
            <w:r w:rsidRPr="00F7008B">
              <w:rPr>
                <w:sz w:val="20"/>
                <w:szCs w:val="20"/>
                <w:lang w:eastAsia="fr"/>
              </w:rPr>
              <w:t>204</w:t>
            </w:r>
          </w:p>
        </w:tc>
        <w:tc>
          <w:tcPr>
            <w:tcW w:w="1217" w:type="dxa"/>
            <w:tcBorders>
              <w:top w:val="nil"/>
              <w:left w:val="nil"/>
              <w:bottom w:val="single" w:sz="4" w:space="0" w:color="auto"/>
              <w:right w:val="single" w:sz="4" w:space="0" w:color="auto"/>
            </w:tcBorders>
            <w:shd w:val="clear" w:color="auto" w:fill="auto"/>
            <w:noWrap/>
            <w:vAlign w:val="bottom"/>
            <w:hideMark/>
          </w:tcPr>
          <w:p w14:paraId="6F1157F4"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76829F9" w14:textId="77777777" w:rsidR="005632A0" w:rsidRPr="00F7008B" w:rsidRDefault="005632A0" w:rsidP="005632A0">
            <w:pPr>
              <w:jc w:val="right"/>
              <w:rPr>
                <w:sz w:val="20"/>
                <w:szCs w:val="20"/>
                <w:lang w:eastAsia="en-CA"/>
              </w:rPr>
            </w:pPr>
            <w:r w:rsidRPr="00F7008B">
              <w:rPr>
                <w:sz w:val="20"/>
                <w:szCs w:val="20"/>
                <w:lang w:eastAsia="fr"/>
              </w:rPr>
              <w:t>35 896 884</w:t>
            </w:r>
          </w:p>
        </w:tc>
        <w:tc>
          <w:tcPr>
            <w:tcW w:w="1242" w:type="dxa"/>
            <w:tcBorders>
              <w:top w:val="nil"/>
              <w:left w:val="nil"/>
              <w:bottom w:val="single" w:sz="4" w:space="0" w:color="auto"/>
              <w:right w:val="single" w:sz="4" w:space="0" w:color="auto"/>
            </w:tcBorders>
            <w:shd w:val="clear" w:color="auto" w:fill="auto"/>
            <w:noWrap/>
            <w:vAlign w:val="bottom"/>
            <w:hideMark/>
          </w:tcPr>
          <w:p w14:paraId="421EF286" w14:textId="77777777" w:rsidR="005632A0" w:rsidRPr="00F7008B" w:rsidRDefault="005632A0" w:rsidP="005632A0">
            <w:pPr>
              <w:jc w:val="right"/>
              <w:rPr>
                <w:sz w:val="20"/>
                <w:szCs w:val="20"/>
                <w:lang w:eastAsia="en-CA"/>
              </w:rPr>
            </w:pPr>
            <w:r w:rsidRPr="00F7008B">
              <w:rPr>
                <w:sz w:val="20"/>
                <w:szCs w:val="20"/>
                <w:lang w:eastAsia="fr"/>
              </w:rPr>
              <w:t>35 896 884</w:t>
            </w:r>
          </w:p>
        </w:tc>
        <w:tc>
          <w:tcPr>
            <w:tcW w:w="1242" w:type="dxa"/>
            <w:tcBorders>
              <w:top w:val="nil"/>
              <w:left w:val="nil"/>
              <w:bottom w:val="single" w:sz="4" w:space="0" w:color="auto"/>
              <w:right w:val="single" w:sz="4" w:space="0" w:color="auto"/>
            </w:tcBorders>
            <w:shd w:val="clear" w:color="auto" w:fill="auto"/>
            <w:noWrap/>
            <w:vAlign w:val="bottom"/>
            <w:hideMark/>
          </w:tcPr>
          <w:p w14:paraId="384AD9F1"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2A97D588"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3A27B982"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5914520D" w14:textId="77777777" w:rsidR="005632A0" w:rsidRPr="00F7008B" w:rsidRDefault="005632A0" w:rsidP="005632A0">
            <w:pPr>
              <w:jc w:val="left"/>
              <w:rPr>
                <w:sz w:val="20"/>
                <w:szCs w:val="20"/>
                <w:lang w:eastAsia="en-CA"/>
              </w:rPr>
            </w:pPr>
            <w:r w:rsidRPr="00F7008B">
              <w:rPr>
                <w:sz w:val="20"/>
                <w:szCs w:val="20"/>
                <w:lang w:eastAsia="fr"/>
              </w:rPr>
              <w:t xml:space="preserve">2000 </w:t>
            </w:r>
          </w:p>
        </w:tc>
        <w:tc>
          <w:tcPr>
            <w:tcW w:w="1216" w:type="dxa"/>
            <w:tcBorders>
              <w:top w:val="nil"/>
              <w:left w:val="nil"/>
              <w:bottom w:val="single" w:sz="4" w:space="0" w:color="auto"/>
              <w:right w:val="single" w:sz="4" w:space="0" w:color="auto"/>
            </w:tcBorders>
            <w:shd w:val="clear" w:color="auto" w:fill="auto"/>
            <w:noWrap/>
            <w:vAlign w:val="bottom"/>
            <w:hideMark/>
          </w:tcPr>
          <w:p w14:paraId="7B9C924A" w14:textId="77777777" w:rsidR="005632A0" w:rsidRPr="00F7008B" w:rsidRDefault="005632A0" w:rsidP="005632A0">
            <w:pPr>
              <w:jc w:val="right"/>
              <w:rPr>
                <w:sz w:val="20"/>
                <w:szCs w:val="20"/>
                <w:lang w:eastAsia="en-CA"/>
              </w:rPr>
            </w:pPr>
            <w:r w:rsidRPr="00F7008B">
              <w:rPr>
                <w:sz w:val="20"/>
                <w:szCs w:val="20"/>
                <w:lang w:eastAsia="fr"/>
              </w:rPr>
              <w:t>149</w:t>
            </w:r>
          </w:p>
        </w:tc>
        <w:tc>
          <w:tcPr>
            <w:tcW w:w="1217" w:type="dxa"/>
            <w:tcBorders>
              <w:top w:val="nil"/>
              <w:left w:val="nil"/>
              <w:bottom w:val="single" w:sz="4" w:space="0" w:color="auto"/>
              <w:right w:val="single" w:sz="4" w:space="0" w:color="auto"/>
            </w:tcBorders>
            <w:shd w:val="clear" w:color="auto" w:fill="auto"/>
            <w:noWrap/>
            <w:vAlign w:val="bottom"/>
            <w:hideMark/>
          </w:tcPr>
          <w:p w14:paraId="40A50B5B" w14:textId="77777777" w:rsidR="005632A0" w:rsidRPr="00F7008B" w:rsidRDefault="005632A0" w:rsidP="005632A0">
            <w:pPr>
              <w:jc w:val="right"/>
              <w:rPr>
                <w:sz w:val="20"/>
                <w:szCs w:val="20"/>
                <w:lang w:eastAsia="en-CA"/>
              </w:rPr>
            </w:pPr>
            <w:r w:rsidRPr="00F7008B">
              <w:rPr>
                <w:sz w:val="20"/>
                <w:szCs w:val="20"/>
                <w:lang w:eastAsia="fr"/>
              </w:rPr>
              <w:t>149</w:t>
            </w:r>
          </w:p>
        </w:tc>
        <w:tc>
          <w:tcPr>
            <w:tcW w:w="1217" w:type="dxa"/>
            <w:tcBorders>
              <w:top w:val="nil"/>
              <w:left w:val="nil"/>
              <w:bottom w:val="single" w:sz="4" w:space="0" w:color="auto"/>
              <w:right w:val="single" w:sz="4" w:space="0" w:color="auto"/>
            </w:tcBorders>
            <w:shd w:val="clear" w:color="auto" w:fill="auto"/>
            <w:noWrap/>
            <w:vAlign w:val="bottom"/>
            <w:hideMark/>
          </w:tcPr>
          <w:p w14:paraId="16B1803F"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291B0BA" w14:textId="77777777" w:rsidR="005632A0" w:rsidRPr="00F7008B" w:rsidRDefault="005632A0" w:rsidP="005632A0">
            <w:pPr>
              <w:jc w:val="right"/>
              <w:rPr>
                <w:sz w:val="20"/>
                <w:szCs w:val="20"/>
                <w:lang w:eastAsia="en-CA"/>
              </w:rPr>
            </w:pPr>
            <w:r w:rsidRPr="00F7008B">
              <w:rPr>
                <w:sz w:val="20"/>
                <w:szCs w:val="20"/>
                <w:lang w:eastAsia="fr"/>
              </w:rPr>
              <w:t>31 268 361</w:t>
            </w:r>
          </w:p>
        </w:tc>
        <w:tc>
          <w:tcPr>
            <w:tcW w:w="1242" w:type="dxa"/>
            <w:tcBorders>
              <w:top w:val="nil"/>
              <w:left w:val="nil"/>
              <w:bottom w:val="single" w:sz="4" w:space="0" w:color="auto"/>
              <w:right w:val="single" w:sz="4" w:space="0" w:color="auto"/>
            </w:tcBorders>
            <w:shd w:val="clear" w:color="auto" w:fill="auto"/>
            <w:noWrap/>
            <w:vAlign w:val="bottom"/>
            <w:hideMark/>
          </w:tcPr>
          <w:p w14:paraId="1A35A01F" w14:textId="77777777" w:rsidR="005632A0" w:rsidRPr="00F7008B" w:rsidRDefault="005632A0" w:rsidP="005632A0">
            <w:pPr>
              <w:jc w:val="right"/>
              <w:rPr>
                <w:sz w:val="20"/>
                <w:szCs w:val="20"/>
                <w:lang w:eastAsia="en-CA"/>
              </w:rPr>
            </w:pPr>
            <w:r w:rsidRPr="00F7008B">
              <w:rPr>
                <w:sz w:val="20"/>
                <w:szCs w:val="20"/>
                <w:lang w:eastAsia="fr"/>
              </w:rPr>
              <w:t>31 268 361</w:t>
            </w:r>
          </w:p>
        </w:tc>
        <w:tc>
          <w:tcPr>
            <w:tcW w:w="1242" w:type="dxa"/>
            <w:tcBorders>
              <w:top w:val="nil"/>
              <w:left w:val="nil"/>
              <w:bottom w:val="single" w:sz="4" w:space="0" w:color="auto"/>
              <w:right w:val="single" w:sz="4" w:space="0" w:color="auto"/>
            </w:tcBorders>
            <w:shd w:val="clear" w:color="auto" w:fill="auto"/>
            <w:noWrap/>
            <w:vAlign w:val="bottom"/>
            <w:hideMark/>
          </w:tcPr>
          <w:p w14:paraId="164C82DB"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1044CAE0"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5A5C06AB"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21048AAB" w14:textId="77777777" w:rsidR="005632A0" w:rsidRPr="00F7008B" w:rsidRDefault="005632A0" w:rsidP="005632A0">
            <w:pPr>
              <w:jc w:val="left"/>
              <w:rPr>
                <w:sz w:val="20"/>
                <w:szCs w:val="20"/>
                <w:lang w:eastAsia="en-CA"/>
              </w:rPr>
            </w:pPr>
            <w:r w:rsidRPr="00F7008B">
              <w:rPr>
                <w:sz w:val="20"/>
                <w:szCs w:val="20"/>
                <w:lang w:eastAsia="fr"/>
              </w:rPr>
              <w:t xml:space="preserve">2001 </w:t>
            </w:r>
          </w:p>
        </w:tc>
        <w:tc>
          <w:tcPr>
            <w:tcW w:w="1216" w:type="dxa"/>
            <w:tcBorders>
              <w:top w:val="nil"/>
              <w:left w:val="nil"/>
              <w:bottom w:val="single" w:sz="4" w:space="0" w:color="auto"/>
              <w:right w:val="single" w:sz="4" w:space="0" w:color="auto"/>
            </w:tcBorders>
            <w:shd w:val="clear" w:color="auto" w:fill="auto"/>
            <w:noWrap/>
            <w:vAlign w:val="bottom"/>
            <w:hideMark/>
          </w:tcPr>
          <w:p w14:paraId="46487ED0" w14:textId="77777777" w:rsidR="005632A0" w:rsidRPr="00F7008B" w:rsidRDefault="005632A0" w:rsidP="005632A0">
            <w:pPr>
              <w:jc w:val="right"/>
              <w:rPr>
                <w:sz w:val="20"/>
                <w:szCs w:val="20"/>
                <w:lang w:eastAsia="en-CA"/>
              </w:rPr>
            </w:pPr>
            <w:r w:rsidRPr="00F7008B">
              <w:rPr>
                <w:sz w:val="20"/>
                <w:szCs w:val="20"/>
                <w:lang w:eastAsia="fr"/>
              </w:rPr>
              <w:t>179</w:t>
            </w:r>
          </w:p>
        </w:tc>
        <w:tc>
          <w:tcPr>
            <w:tcW w:w="1217" w:type="dxa"/>
            <w:tcBorders>
              <w:top w:val="nil"/>
              <w:left w:val="nil"/>
              <w:bottom w:val="single" w:sz="4" w:space="0" w:color="auto"/>
              <w:right w:val="single" w:sz="4" w:space="0" w:color="auto"/>
            </w:tcBorders>
            <w:shd w:val="clear" w:color="auto" w:fill="auto"/>
            <w:noWrap/>
            <w:vAlign w:val="bottom"/>
            <w:hideMark/>
          </w:tcPr>
          <w:p w14:paraId="6635D058" w14:textId="77777777" w:rsidR="005632A0" w:rsidRPr="00F7008B" w:rsidRDefault="005632A0" w:rsidP="005632A0">
            <w:pPr>
              <w:jc w:val="right"/>
              <w:rPr>
                <w:sz w:val="20"/>
                <w:szCs w:val="20"/>
                <w:lang w:eastAsia="en-CA"/>
              </w:rPr>
            </w:pPr>
            <w:r w:rsidRPr="00F7008B">
              <w:rPr>
                <w:sz w:val="20"/>
                <w:szCs w:val="20"/>
                <w:lang w:eastAsia="fr"/>
              </w:rPr>
              <w:t>179</w:t>
            </w:r>
          </w:p>
        </w:tc>
        <w:tc>
          <w:tcPr>
            <w:tcW w:w="1217" w:type="dxa"/>
            <w:tcBorders>
              <w:top w:val="nil"/>
              <w:left w:val="nil"/>
              <w:bottom w:val="single" w:sz="4" w:space="0" w:color="auto"/>
              <w:right w:val="single" w:sz="4" w:space="0" w:color="auto"/>
            </w:tcBorders>
            <w:shd w:val="clear" w:color="auto" w:fill="auto"/>
            <w:noWrap/>
            <w:vAlign w:val="bottom"/>
            <w:hideMark/>
          </w:tcPr>
          <w:p w14:paraId="3986B78E"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03C9888" w14:textId="77777777" w:rsidR="005632A0" w:rsidRPr="00F7008B" w:rsidRDefault="005632A0" w:rsidP="005632A0">
            <w:pPr>
              <w:jc w:val="right"/>
              <w:rPr>
                <w:sz w:val="20"/>
                <w:szCs w:val="20"/>
                <w:lang w:eastAsia="en-CA"/>
              </w:rPr>
            </w:pPr>
            <w:r w:rsidRPr="00F7008B">
              <w:rPr>
                <w:sz w:val="20"/>
                <w:szCs w:val="20"/>
                <w:lang w:eastAsia="fr"/>
              </w:rPr>
              <w:t>35 292 271</w:t>
            </w:r>
          </w:p>
        </w:tc>
        <w:tc>
          <w:tcPr>
            <w:tcW w:w="1242" w:type="dxa"/>
            <w:tcBorders>
              <w:top w:val="nil"/>
              <w:left w:val="nil"/>
              <w:bottom w:val="single" w:sz="4" w:space="0" w:color="auto"/>
              <w:right w:val="single" w:sz="4" w:space="0" w:color="auto"/>
            </w:tcBorders>
            <w:shd w:val="clear" w:color="auto" w:fill="auto"/>
            <w:noWrap/>
            <w:vAlign w:val="bottom"/>
            <w:hideMark/>
          </w:tcPr>
          <w:p w14:paraId="2FB459FF" w14:textId="77777777" w:rsidR="005632A0" w:rsidRPr="00F7008B" w:rsidRDefault="005632A0" w:rsidP="005632A0">
            <w:pPr>
              <w:jc w:val="right"/>
              <w:rPr>
                <w:sz w:val="20"/>
                <w:szCs w:val="20"/>
                <w:lang w:eastAsia="en-CA"/>
              </w:rPr>
            </w:pPr>
            <w:r w:rsidRPr="00F7008B">
              <w:rPr>
                <w:sz w:val="20"/>
                <w:szCs w:val="20"/>
                <w:lang w:eastAsia="fr"/>
              </w:rPr>
              <w:t>35 292 271</w:t>
            </w:r>
          </w:p>
        </w:tc>
        <w:tc>
          <w:tcPr>
            <w:tcW w:w="1242" w:type="dxa"/>
            <w:tcBorders>
              <w:top w:val="nil"/>
              <w:left w:val="nil"/>
              <w:bottom w:val="single" w:sz="4" w:space="0" w:color="auto"/>
              <w:right w:val="single" w:sz="4" w:space="0" w:color="auto"/>
            </w:tcBorders>
            <w:shd w:val="clear" w:color="auto" w:fill="auto"/>
            <w:noWrap/>
            <w:vAlign w:val="bottom"/>
            <w:hideMark/>
          </w:tcPr>
          <w:p w14:paraId="34ED5525"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0FE83593"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7144C55D"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1778A5CA" w14:textId="77777777" w:rsidR="005632A0" w:rsidRPr="00F7008B" w:rsidRDefault="005632A0" w:rsidP="005632A0">
            <w:pPr>
              <w:jc w:val="left"/>
              <w:rPr>
                <w:sz w:val="20"/>
                <w:szCs w:val="20"/>
                <w:lang w:eastAsia="en-CA"/>
              </w:rPr>
            </w:pPr>
            <w:r w:rsidRPr="00F7008B">
              <w:rPr>
                <w:sz w:val="20"/>
                <w:szCs w:val="20"/>
                <w:lang w:eastAsia="fr"/>
              </w:rPr>
              <w:t xml:space="preserve">2002 </w:t>
            </w:r>
          </w:p>
        </w:tc>
        <w:tc>
          <w:tcPr>
            <w:tcW w:w="1216" w:type="dxa"/>
            <w:tcBorders>
              <w:top w:val="nil"/>
              <w:left w:val="nil"/>
              <w:bottom w:val="single" w:sz="4" w:space="0" w:color="auto"/>
              <w:right w:val="single" w:sz="4" w:space="0" w:color="auto"/>
            </w:tcBorders>
            <w:shd w:val="clear" w:color="auto" w:fill="auto"/>
            <w:noWrap/>
            <w:vAlign w:val="bottom"/>
            <w:hideMark/>
          </w:tcPr>
          <w:p w14:paraId="0A7CFDCB" w14:textId="77777777" w:rsidR="005632A0" w:rsidRPr="00F7008B" w:rsidRDefault="005632A0" w:rsidP="005632A0">
            <w:pPr>
              <w:jc w:val="right"/>
              <w:rPr>
                <w:sz w:val="20"/>
                <w:szCs w:val="20"/>
                <w:lang w:eastAsia="en-CA"/>
              </w:rPr>
            </w:pPr>
            <w:r w:rsidRPr="00F7008B">
              <w:rPr>
                <w:sz w:val="20"/>
                <w:szCs w:val="20"/>
                <w:lang w:eastAsia="fr"/>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78210C31" w14:textId="77777777" w:rsidR="005632A0" w:rsidRPr="00F7008B" w:rsidRDefault="005632A0" w:rsidP="005632A0">
            <w:pPr>
              <w:jc w:val="right"/>
              <w:rPr>
                <w:sz w:val="20"/>
                <w:szCs w:val="20"/>
                <w:lang w:eastAsia="en-CA"/>
              </w:rPr>
            </w:pPr>
            <w:r w:rsidRPr="00F7008B">
              <w:rPr>
                <w:sz w:val="20"/>
                <w:szCs w:val="20"/>
                <w:lang w:eastAsia="fr"/>
              </w:rPr>
              <w:t>117</w:t>
            </w:r>
          </w:p>
        </w:tc>
        <w:tc>
          <w:tcPr>
            <w:tcW w:w="1217" w:type="dxa"/>
            <w:tcBorders>
              <w:top w:val="nil"/>
              <w:left w:val="nil"/>
              <w:bottom w:val="single" w:sz="4" w:space="0" w:color="auto"/>
              <w:right w:val="single" w:sz="4" w:space="0" w:color="auto"/>
            </w:tcBorders>
            <w:shd w:val="clear" w:color="auto" w:fill="auto"/>
            <w:noWrap/>
            <w:vAlign w:val="bottom"/>
            <w:hideMark/>
          </w:tcPr>
          <w:p w14:paraId="26DD9D87"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EF102E9" w14:textId="77777777" w:rsidR="005632A0" w:rsidRPr="00F7008B" w:rsidRDefault="005632A0" w:rsidP="005632A0">
            <w:pPr>
              <w:jc w:val="right"/>
              <w:rPr>
                <w:sz w:val="20"/>
                <w:szCs w:val="20"/>
                <w:lang w:eastAsia="en-CA"/>
              </w:rPr>
            </w:pPr>
            <w:r w:rsidRPr="00F7008B">
              <w:rPr>
                <w:sz w:val="20"/>
                <w:szCs w:val="20"/>
                <w:lang w:eastAsia="fr"/>
              </w:rPr>
              <w:t>44 316 422</w:t>
            </w:r>
          </w:p>
        </w:tc>
        <w:tc>
          <w:tcPr>
            <w:tcW w:w="1242" w:type="dxa"/>
            <w:tcBorders>
              <w:top w:val="nil"/>
              <w:left w:val="nil"/>
              <w:bottom w:val="single" w:sz="4" w:space="0" w:color="auto"/>
              <w:right w:val="single" w:sz="4" w:space="0" w:color="auto"/>
            </w:tcBorders>
            <w:shd w:val="clear" w:color="auto" w:fill="auto"/>
            <w:noWrap/>
            <w:vAlign w:val="bottom"/>
            <w:hideMark/>
          </w:tcPr>
          <w:p w14:paraId="1F096755" w14:textId="77777777" w:rsidR="005632A0" w:rsidRPr="00F7008B" w:rsidRDefault="005632A0" w:rsidP="005632A0">
            <w:pPr>
              <w:jc w:val="right"/>
              <w:rPr>
                <w:sz w:val="20"/>
                <w:szCs w:val="20"/>
                <w:lang w:eastAsia="en-CA"/>
              </w:rPr>
            </w:pPr>
            <w:r w:rsidRPr="00F7008B">
              <w:rPr>
                <w:sz w:val="20"/>
                <w:szCs w:val="20"/>
                <w:lang w:eastAsia="fr"/>
              </w:rPr>
              <w:t>44 316 422</w:t>
            </w:r>
          </w:p>
        </w:tc>
        <w:tc>
          <w:tcPr>
            <w:tcW w:w="1242" w:type="dxa"/>
            <w:tcBorders>
              <w:top w:val="nil"/>
              <w:left w:val="nil"/>
              <w:bottom w:val="single" w:sz="4" w:space="0" w:color="auto"/>
              <w:right w:val="single" w:sz="4" w:space="0" w:color="auto"/>
            </w:tcBorders>
            <w:shd w:val="clear" w:color="auto" w:fill="auto"/>
            <w:noWrap/>
            <w:vAlign w:val="bottom"/>
            <w:hideMark/>
          </w:tcPr>
          <w:p w14:paraId="46CDF4AE"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66309804"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9D18FBE"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765480E9" w14:textId="77777777" w:rsidR="005632A0" w:rsidRPr="00F7008B" w:rsidRDefault="005632A0" w:rsidP="005632A0">
            <w:pPr>
              <w:jc w:val="left"/>
              <w:rPr>
                <w:sz w:val="20"/>
                <w:szCs w:val="20"/>
                <w:lang w:eastAsia="en-CA"/>
              </w:rPr>
            </w:pPr>
            <w:r w:rsidRPr="00F7008B">
              <w:rPr>
                <w:sz w:val="20"/>
                <w:szCs w:val="20"/>
                <w:lang w:eastAsia="fr"/>
              </w:rPr>
              <w:t xml:space="preserve">2003 </w:t>
            </w:r>
          </w:p>
        </w:tc>
        <w:tc>
          <w:tcPr>
            <w:tcW w:w="1216" w:type="dxa"/>
            <w:tcBorders>
              <w:top w:val="nil"/>
              <w:left w:val="nil"/>
              <w:bottom w:val="single" w:sz="4" w:space="0" w:color="auto"/>
              <w:right w:val="single" w:sz="4" w:space="0" w:color="auto"/>
            </w:tcBorders>
            <w:shd w:val="clear" w:color="auto" w:fill="auto"/>
            <w:noWrap/>
            <w:vAlign w:val="bottom"/>
            <w:hideMark/>
          </w:tcPr>
          <w:p w14:paraId="22E25BDD" w14:textId="77777777" w:rsidR="005632A0" w:rsidRPr="00F7008B" w:rsidRDefault="005632A0" w:rsidP="005632A0">
            <w:pPr>
              <w:jc w:val="right"/>
              <w:rPr>
                <w:sz w:val="20"/>
                <w:szCs w:val="20"/>
                <w:lang w:eastAsia="en-CA"/>
              </w:rPr>
            </w:pPr>
            <w:r w:rsidRPr="00F7008B">
              <w:rPr>
                <w:sz w:val="20"/>
                <w:szCs w:val="20"/>
                <w:lang w:eastAsia="fr"/>
              </w:rPr>
              <w:t>64</w:t>
            </w:r>
          </w:p>
        </w:tc>
        <w:tc>
          <w:tcPr>
            <w:tcW w:w="1217" w:type="dxa"/>
            <w:tcBorders>
              <w:top w:val="nil"/>
              <w:left w:val="nil"/>
              <w:bottom w:val="single" w:sz="4" w:space="0" w:color="auto"/>
              <w:right w:val="single" w:sz="4" w:space="0" w:color="auto"/>
            </w:tcBorders>
            <w:shd w:val="clear" w:color="auto" w:fill="auto"/>
            <w:noWrap/>
            <w:vAlign w:val="bottom"/>
            <w:hideMark/>
          </w:tcPr>
          <w:p w14:paraId="60EAF271" w14:textId="77777777" w:rsidR="005632A0" w:rsidRPr="00F7008B" w:rsidRDefault="005632A0" w:rsidP="005632A0">
            <w:pPr>
              <w:jc w:val="right"/>
              <w:rPr>
                <w:sz w:val="20"/>
                <w:szCs w:val="20"/>
                <w:lang w:eastAsia="en-CA"/>
              </w:rPr>
            </w:pPr>
            <w:r w:rsidRPr="00F7008B">
              <w:rPr>
                <w:sz w:val="20"/>
                <w:szCs w:val="20"/>
                <w:lang w:eastAsia="fr"/>
              </w:rPr>
              <w:t>64</w:t>
            </w:r>
          </w:p>
        </w:tc>
        <w:tc>
          <w:tcPr>
            <w:tcW w:w="1217" w:type="dxa"/>
            <w:tcBorders>
              <w:top w:val="nil"/>
              <w:left w:val="nil"/>
              <w:bottom w:val="single" w:sz="4" w:space="0" w:color="auto"/>
              <w:right w:val="single" w:sz="4" w:space="0" w:color="auto"/>
            </w:tcBorders>
            <w:shd w:val="clear" w:color="auto" w:fill="auto"/>
            <w:noWrap/>
            <w:vAlign w:val="bottom"/>
            <w:hideMark/>
          </w:tcPr>
          <w:p w14:paraId="3063CBFE"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F959B2C" w14:textId="77777777" w:rsidR="005632A0" w:rsidRPr="00F7008B" w:rsidRDefault="005632A0" w:rsidP="005632A0">
            <w:pPr>
              <w:jc w:val="right"/>
              <w:rPr>
                <w:sz w:val="20"/>
                <w:szCs w:val="20"/>
                <w:lang w:eastAsia="en-CA"/>
              </w:rPr>
            </w:pPr>
            <w:r w:rsidRPr="00F7008B">
              <w:rPr>
                <w:sz w:val="20"/>
                <w:szCs w:val="20"/>
                <w:lang w:eastAsia="fr"/>
              </w:rPr>
              <w:t>36 336 530</w:t>
            </w:r>
          </w:p>
        </w:tc>
        <w:tc>
          <w:tcPr>
            <w:tcW w:w="1242" w:type="dxa"/>
            <w:tcBorders>
              <w:top w:val="nil"/>
              <w:left w:val="nil"/>
              <w:bottom w:val="single" w:sz="4" w:space="0" w:color="auto"/>
              <w:right w:val="single" w:sz="4" w:space="0" w:color="auto"/>
            </w:tcBorders>
            <w:shd w:val="clear" w:color="auto" w:fill="auto"/>
            <w:noWrap/>
            <w:vAlign w:val="bottom"/>
            <w:hideMark/>
          </w:tcPr>
          <w:p w14:paraId="296EE743" w14:textId="77777777" w:rsidR="005632A0" w:rsidRPr="00F7008B" w:rsidRDefault="005632A0" w:rsidP="005632A0">
            <w:pPr>
              <w:jc w:val="right"/>
              <w:rPr>
                <w:sz w:val="20"/>
                <w:szCs w:val="20"/>
                <w:lang w:eastAsia="en-CA"/>
              </w:rPr>
            </w:pPr>
            <w:r w:rsidRPr="00F7008B">
              <w:rPr>
                <w:sz w:val="20"/>
                <w:szCs w:val="20"/>
                <w:lang w:eastAsia="fr"/>
              </w:rPr>
              <w:t>36 336 530</w:t>
            </w:r>
          </w:p>
        </w:tc>
        <w:tc>
          <w:tcPr>
            <w:tcW w:w="1242" w:type="dxa"/>
            <w:tcBorders>
              <w:top w:val="nil"/>
              <w:left w:val="nil"/>
              <w:bottom w:val="single" w:sz="4" w:space="0" w:color="auto"/>
              <w:right w:val="single" w:sz="4" w:space="0" w:color="auto"/>
            </w:tcBorders>
            <w:shd w:val="clear" w:color="auto" w:fill="auto"/>
            <w:noWrap/>
            <w:vAlign w:val="bottom"/>
            <w:hideMark/>
          </w:tcPr>
          <w:p w14:paraId="1EAACDFB"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19ACEB74"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02BB39ED"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17843442" w14:textId="77777777" w:rsidR="005632A0" w:rsidRPr="00F7008B" w:rsidRDefault="005632A0" w:rsidP="005632A0">
            <w:pPr>
              <w:jc w:val="left"/>
              <w:rPr>
                <w:sz w:val="20"/>
                <w:szCs w:val="20"/>
                <w:lang w:eastAsia="en-CA"/>
              </w:rPr>
            </w:pPr>
            <w:r w:rsidRPr="00F7008B">
              <w:rPr>
                <w:sz w:val="20"/>
                <w:szCs w:val="20"/>
                <w:lang w:eastAsia="fr"/>
              </w:rPr>
              <w:t xml:space="preserve">2004 </w:t>
            </w:r>
          </w:p>
        </w:tc>
        <w:tc>
          <w:tcPr>
            <w:tcW w:w="1216" w:type="dxa"/>
            <w:tcBorders>
              <w:top w:val="nil"/>
              <w:left w:val="nil"/>
              <w:bottom w:val="single" w:sz="4" w:space="0" w:color="auto"/>
              <w:right w:val="single" w:sz="4" w:space="0" w:color="auto"/>
            </w:tcBorders>
            <w:shd w:val="clear" w:color="auto" w:fill="auto"/>
            <w:noWrap/>
            <w:vAlign w:val="bottom"/>
            <w:hideMark/>
          </w:tcPr>
          <w:p w14:paraId="45D57F59" w14:textId="77777777" w:rsidR="005632A0" w:rsidRPr="00F7008B" w:rsidRDefault="005632A0" w:rsidP="005632A0">
            <w:pPr>
              <w:jc w:val="right"/>
              <w:rPr>
                <w:sz w:val="20"/>
                <w:szCs w:val="20"/>
                <w:lang w:eastAsia="en-CA"/>
              </w:rPr>
            </w:pPr>
            <w:r w:rsidRPr="00F7008B">
              <w:rPr>
                <w:sz w:val="20"/>
                <w:szCs w:val="20"/>
                <w:lang w:eastAsia="fr"/>
              </w:rPr>
              <w:t>69</w:t>
            </w:r>
          </w:p>
        </w:tc>
        <w:tc>
          <w:tcPr>
            <w:tcW w:w="1217" w:type="dxa"/>
            <w:tcBorders>
              <w:top w:val="nil"/>
              <w:left w:val="nil"/>
              <w:bottom w:val="single" w:sz="4" w:space="0" w:color="auto"/>
              <w:right w:val="single" w:sz="4" w:space="0" w:color="auto"/>
            </w:tcBorders>
            <w:shd w:val="clear" w:color="auto" w:fill="auto"/>
            <w:noWrap/>
            <w:vAlign w:val="bottom"/>
            <w:hideMark/>
          </w:tcPr>
          <w:p w14:paraId="2A835C17" w14:textId="77777777" w:rsidR="005632A0" w:rsidRPr="00F7008B" w:rsidRDefault="005632A0" w:rsidP="005632A0">
            <w:pPr>
              <w:jc w:val="right"/>
              <w:rPr>
                <w:sz w:val="20"/>
                <w:szCs w:val="20"/>
                <w:lang w:eastAsia="en-CA"/>
              </w:rPr>
            </w:pPr>
            <w:r w:rsidRPr="00F7008B">
              <w:rPr>
                <w:sz w:val="20"/>
                <w:szCs w:val="20"/>
                <w:lang w:eastAsia="fr"/>
              </w:rPr>
              <w:t>69</w:t>
            </w:r>
          </w:p>
        </w:tc>
        <w:tc>
          <w:tcPr>
            <w:tcW w:w="1217" w:type="dxa"/>
            <w:tcBorders>
              <w:top w:val="nil"/>
              <w:left w:val="nil"/>
              <w:bottom w:val="single" w:sz="4" w:space="0" w:color="auto"/>
              <w:right w:val="single" w:sz="4" w:space="0" w:color="auto"/>
            </w:tcBorders>
            <w:shd w:val="clear" w:color="auto" w:fill="auto"/>
            <w:noWrap/>
            <w:vAlign w:val="bottom"/>
            <w:hideMark/>
          </w:tcPr>
          <w:p w14:paraId="0C70A145"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57E78F69" w14:textId="77777777" w:rsidR="005632A0" w:rsidRPr="00F7008B" w:rsidRDefault="005632A0" w:rsidP="005632A0">
            <w:pPr>
              <w:jc w:val="right"/>
              <w:rPr>
                <w:sz w:val="20"/>
                <w:szCs w:val="20"/>
                <w:lang w:eastAsia="en-CA"/>
              </w:rPr>
            </w:pPr>
            <w:r w:rsidRPr="00F7008B">
              <w:rPr>
                <w:sz w:val="20"/>
                <w:szCs w:val="20"/>
                <w:lang w:eastAsia="fr"/>
              </w:rPr>
              <w:t>24 802 714</w:t>
            </w:r>
          </w:p>
        </w:tc>
        <w:tc>
          <w:tcPr>
            <w:tcW w:w="1242" w:type="dxa"/>
            <w:tcBorders>
              <w:top w:val="nil"/>
              <w:left w:val="nil"/>
              <w:bottom w:val="single" w:sz="4" w:space="0" w:color="auto"/>
              <w:right w:val="single" w:sz="4" w:space="0" w:color="auto"/>
            </w:tcBorders>
            <w:shd w:val="clear" w:color="auto" w:fill="auto"/>
            <w:noWrap/>
            <w:vAlign w:val="bottom"/>
            <w:hideMark/>
          </w:tcPr>
          <w:p w14:paraId="69758396" w14:textId="77777777" w:rsidR="005632A0" w:rsidRPr="00F7008B" w:rsidRDefault="005632A0" w:rsidP="005632A0">
            <w:pPr>
              <w:jc w:val="right"/>
              <w:rPr>
                <w:sz w:val="20"/>
                <w:szCs w:val="20"/>
                <w:lang w:eastAsia="en-CA"/>
              </w:rPr>
            </w:pPr>
            <w:r w:rsidRPr="00F7008B">
              <w:rPr>
                <w:sz w:val="20"/>
                <w:szCs w:val="20"/>
                <w:lang w:eastAsia="fr"/>
              </w:rPr>
              <w:t>24 802 714</w:t>
            </w:r>
          </w:p>
        </w:tc>
        <w:tc>
          <w:tcPr>
            <w:tcW w:w="1242" w:type="dxa"/>
            <w:tcBorders>
              <w:top w:val="nil"/>
              <w:left w:val="nil"/>
              <w:bottom w:val="single" w:sz="4" w:space="0" w:color="auto"/>
              <w:right w:val="single" w:sz="4" w:space="0" w:color="auto"/>
            </w:tcBorders>
            <w:shd w:val="clear" w:color="auto" w:fill="auto"/>
            <w:noWrap/>
            <w:vAlign w:val="bottom"/>
            <w:hideMark/>
          </w:tcPr>
          <w:p w14:paraId="5C460687"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05755E9C"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5CC7BD1D"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63A9F5DD" w14:textId="77777777" w:rsidR="005632A0" w:rsidRPr="00F7008B" w:rsidRDefault="005632A0" w:rsidP="005632A0">
            <w:pPr>
              <w:jc w:val="left"/>
              <w:rPr>
                <w:sz w:val="20"/>
                <w:szCs w:val="20"/>
                <w:lang w:eastAsia="en-CA"/>
              </w:rPr>
            </w:pPr>
            <w:r w:rsidRPr="00F7008B">
              <w:rPr>
                <w:sz w:val="20"/>
                <w:szCs w:val="20"/>
                <w:lang w:eastAsia="fr"/>
              </w:rPr>
              <w:t xml:space="preserve">2005 </w:t>
            </w:r>
          </w:p>
        </w:tc>
        <w:tc>
          <w:tcPr>
            <w:tcW w:w="1216" w:type="dxa"/>
            <w:tcBorders>
              <w:top w:val="nil"/>
              <w:left w:val="nil"/>
              <w:bottom w:val="single" w:sz="4" w:space="0" w:color="auto"/>
              <w:right w:val="single" w:sz="4" w:space="0" w:color="auto"/>
            </w:tcBorders>
            <w:shd w:val="clear" w:color="auto" w:fill="auto"/>
            <w:noWrap/>
            <w:vAlign w:val="bottom"/>
            <w:hideMark/>
          </w:tcPr>
          <w:p w14:paraId="0A4A050B" w14:textId="77777777" w:rsidR="005632A0" w:rsidRPr="00F7008B" w:rsidRDefault="005632A0" w:rsidP="005632A0">
            <w:pPr>
              <w:jc w:val="right"/>
              <w:rPr>
                <w:sz w:val="20"/>
                <w:szCs w:val="20"/>
                <w:lang w:eastAsia="en-CA"/>
              </w:rPr>
            </w:pPr>
            <w:r w:rsidRPr="00F7008B">
              <w:rPr>
                <w:sz w:val="20"/>
                <w:szCs w:val="20"/>
                <w:lang w:eastAsia="fr"/>
              </w:rPr>
              <w:t>53</w:t>
            </w:r>
          </w:p>
        </w:tc>
        <w:tc>
          <w:tcPr>
            <w:tcW w:w="1217" w:type="dxa"/>
            <w:tcBorders>
              <w:top w:val="nil"/>
              <w:left w:val="nil"/>
              <w:bottom w:val="single" w:sz="4" w:space="0" w:color="auto"/>
              <w:right w:val="single" w:sz="4" w:space="0" w:color="auto"/>
            </w:tcBorders>
            <w:shd w:val="clear" w:color="auto" w:fill="auto"/>
            <w:noWrap/>
            <w:vAlign w:val="bottom"/>
            <w:hideMark/>
          </w:tcPr>
          <w:p w14:paraId="54B034BC" w14:textId="77777777" w:rsidR="005632A0" w:rsidRPr="00F7008B" w:rsidRDefault="005632A0" w:rsidP="005632A0">
            <w:pPr>
              <w:jc w:val="right"/>
              <w:rPr>
                <w:sz w:val="20"/>
                <w:szCs w:val="20"/>
                <w:lang w:eastAsia="en-CA"/>
              </w:rPr>
            </w:pPr>
            <w:r w:rsidRPr="00F7008B">
              <w:rPr>
                <w:sz w:val="20"/>
                <w:szCs w:val="20"/>
                <w:lang w:eastAsia="fr"/>
              </w:rPr>
              <w:t>53</w:t>
            </w:r>
          </w:p>
        </w:tc>
        <w:tc>
          <w:tcPr>
            <w:tcW w:w="1217" w:type="dxa"/>
            <w:tcBorders>
              <w:top w:val="nil"/>
              <w:left w:val="nil"/>
              <w:bottom w:val="single" w:sz="4" w:space="0" w:color="auto"/>
              <w:right w:val="single" w:sz="4" w:space="0" w:color="auto"/>
            </w:tcBorders>
            <w:shd w:val="clear" w:color="auto" w:fill="auto"/>
            <w:noWrap/>
            <w:vAlign w:val="bottom"/>
            <w:hideMark/>
          </w:tcPr>
          <w:p w14:paraId="06E403EA"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7476E5E5" w14:textId="77777777" w:rsidR="005632A0" w:rsidRPr="00F7008B" w:rsidRDefault="005632A0" w:rsidP="005632A0">
            <w:pPr>
              <w:jc w:val="right"/>
              <w:rPr>
                <w:sz w:val="20"/>
                <w:szCs w:val="20"/>
                <w:lang w:eastAsia="en-CA"/>
              </w:rPr>
            </w:pPr>
            <w:r w:rsidRPr="00F7008B">
              <w:rPr>
                <w:sz w:val="20"/>
                <w:szCs w:val="20"/>
                <w:lang w:eastAsia="fr"/>
              </w:rPr>
              <w:t>29 124 833</w:t>
            </w:r>
          </w:p>
        </w:tc>
        <w:tc>
          <w:tcPr>
            <w:tcW w:w="1242" w:type="dxa"/>
            <w:tcBorders>
              <w:top w:val="nil"/>
              <w:left w:val="nil"/>
              <w:bottom w:val="single" w:sz="4" w:space="0" w:color="auto"/>
              <w:right w:val="single" w:sz="4" w:space="0" w:color="auto"/>
            </w:tcBorders>
            <w:shd w:val="clear" w:color="auto" w:fill="auto"/>
            <w:noWrap/>
            <w:vAlign w:val="bottom"/>
            <w:hideMark/>
          </w:tcPr>
          <w:p w14:paraId="105E83BF" w14:textId="77777777" w:rsidR="005632A0" w:rsidRPr="00F7008B" w:rsidRDefault="005632A0" w:rsidP="005632A0">
            <w:pPr>
              <w:jc w:val="right"/>
              <w:rPr>
                <w:sz w:val="20"/>
                <w:szCs w:val="20"/>
                <w:lang w:eastAsia="en-CA"/>
              </w:rPr>
            </w:pPr>
            <w:r w:rsidRPr="00F7008B">
              <w:rPr>
                <w:sz w:val="20"/>
                <w:szCs w:val="20"/>
                <w:lang w:eastAsia="fr"/>
              </w:rPr>
              <w:t>29 124 833</w:t>
            </w:r>
          </w:p>
        </w:tc>
        <w:tc>
          <w:tcPr>
            <w:tcW w:w="1242" w:type="dxa"/>
            <w:tcBorders>
              <w:top w:val="nil"/>
              <w:left w:val="nil"/>
              <w:bottom w:val="single" w:sz="4" w:space="0" w:color="auto"/>
              <w:right w:val="single" w:sz="4" w:space="0" w:color="auto"/>
            </w:tcBorders>
            <w:shd w:val="clear" w:color="auto" w:fill="auto"/>
            <w:noWrap/>
            <w:vAlign w:val="bottom"/>
            <w:hideMark/>
          </w:tcPr>
          <w:p w14:paraId="14F0EC1D"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799ED113"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498D5814"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75AEDB12" w14:textId="77777777" w:rsidR="005632A0" w:rsidRPr="00F7008B" w:rsidRDefault="005632A0" w:rsidP="005632A0">
            <w:pPr>
              <w:jc w:val="left"/>
              <w:rPr>
                <w:sz w:val="20"/>
                <w:szCs w:val="20"/>
                <w:lang w:eastAsia="en-CA"/>
              </w:rPr>
            </w:pPr>
            <w:r w:rsidRPr="00F7008B">
              <w:rPr>
                <w:sz w:val="20"/>
                <w:szCs w:val="20"/>
                <w:lang w:eastAsia="fr"/>
              </w:rPr>
              <w:t xml:space="preserve">2006 </w:t>
            </w:r>
          </w:p>
        </w:tc>
        <w:tc>
          <w:tcPr>
            <w:tcW w:w="1216" w:type="dxa"/>
            <w:tcBorders>
              <w:top w:val="nil"/>
              <w:left w:val="nil"/>
              <w:bottom w:val="single" w:sz="4" w:space="0" w:color="auto"/>
              <w:right w:val="single" w:sz="4" w:space="0" w:color="auto"/>
            </w:tcBorders>
            <w:shd w:val="clear" w:color="auto" w:fill="auto"/>
            <w:noWrap/>
            <w:vAlign w:val="bottom"/>
            <w:hideMark/>
          </w:tcPr>
          <w:p w14:paraId="50174410" w14:textId="77777777" w:rsidR="005632A0" w:rsidRPr="00F7008B" w:rsidRDefault="005632A0" w:rsidP="005632A0">
            <w:pPr>
              <w:jc w:val="right"/>
              <w:rPr>
                <w:sz w:val="20"/>
                <w:szCs w:val="20"/>
                <w:lang w:eastAsia="en-CA"/>
              </w:rPr>
            </w:pPr>
            <w:r w:rsidRPr="00F7008B">
              <w:rPr>
                <w:sz w:val="20"/>
                <w:szCs w:val="20"/>
                <w:lang w:eastAsia="fr"/>
              </w:rPr>
              <w:t>62</w:t>
            </w:r>
          </w:p>
        </w:tc>
        <w:tc>
          <w:tcPr>
            <w:tcW w:w="1217" w:type="dxa"/>
            <w:tcBorders>
              <w:top w:val="nil"/>
              <w:left w:val="nil"/>
              <w:bottom w:val="single" w:sz="4" w:space="0" w:color="auto"/>
              <w:right w:val="single" w:sz="4" w:space="0" w:color="auto"/>
            </w:tcBorders>
            <w:shd w:val="clear" w:color="auto" w:fill="auto"/>
            <w:noWrap/>
            <w:vAlign w:val="bottom"/>
            <w:hideMark/>
          </w:tcPr>
          <w:p w14:paraId="279B03D6" w14:textId="77777777" w:rsidR="005632A0" w:rsidRPr="00F7008B" w:rsidRDefault="005632A0" w:rsidP="005632A0">
            <w:pPr>
              <w:jc w:val="right"/>
              <w:rPr>
                <w:sz w:val="20"/>
                <w:szCs w:val="20"/>
                <w:lang w:eastAsia="en-CA"/>
              </w:rPr>
            </w:pPr>
            <w:r w:rsidRPr="00F7008B">
              <w:rPr>
                <w:sz w:val="20"/>
                <w:szCs w:val="20"/>
                <w:lang w:eastAsia="fr"/>
              </w:rPr>
              <w:t>62</w:t>
            </w:r>
          </w:p>
        </w:tc>
        <w:tc>
          <w:tcPr>
            <w:tcW w:w="1217" w:type="dxa"/>
            <w:tcBorders>
              <w:top w:val="nil"/>
              <w:left w:val="nil"/>
              <w:bottom w:val="single" w:sz="4" w:space="0" w:color="auto"/>
              <w:right w:val="single" w:sz="4" w:space="0" w:color="auto"/>
            </w:tcBorders>
            <w:shd w:val="clear" w:color="auto" w:fill="auto"/>
            <w:noWrap/>
            <w:vAlign w:val="bottom"/>
            <w:hideMark/>
          </w:tcPr>
          <w:p w14:paraId="00EF0369"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6C627E60" w14:textId="77777777" w:rsidR="005632A0" w:rsidRPr="00F7008B" w:rsidRDefault="005632A0" w:rsidP="005632A0">
            <w:pPr>
              <w:jc w:val="right"/>
              <w:rPr>
                <w:sz w:val="20"/>
                <w:szCs w:val="20"/>
                <w:lang w:eastAsia="en-CA"/>
              </w:rPr>
            </w:pPr>
            <w:r w:rsidRPr="00F7008B">
              <w:rPr>
                <w:sz w:val="20"/>
                <w:szCs w:val="20"/>
                <w:lang w:eastAsia="fr"/>
              </w:rPr>
              <w:t>15 753 459</w:t>
            </w:r>
          </w:p>
        </w:tc>
        <w:tc>
          <w:tcPr>
            <w:tcW w:w="1242" w:type="dxa"/>
            <w:tcBorders>
              <w:top w:val="nil"/>
              <w:left w:val="nil"/>
              <w:bottom w:val="single" w:sz="4" w:space="0" w:color="auto"/>
              <w:right w:val="single" w:sz="4" w:space="0" w:color="auto"/>
            </w:tcBorders>
            <w:shd w:val="clear" w:color="auto" w:fill="auto"/>
            <w:noWrap/>
            <w:vAlign w:val="bottom"/>
            <w:hideMark/>
          </w:tcPr>
          <w:p w14:paraId="199721AA" w14:textId="77777777" w:rsidR="005632A0" w:rsidRPr="00F7008B" w:rsidRDefault="005632A0" w:rsidP="005632A0">
            <w:pPr>
              <w:jc w:val="right"/>
              <w:rPr>
                <w:sz w:val="20"/>
                <w:szCs w:val="20"/>
                <w:lang w:eastAsia="en-CA"/>
              </w:rPr>
            </w:pPr>
            <w:r w:rsidRPr="00F7008B">
              <w:rPr>
                <w:sz w:val="20"/>
                <w:szCs w:val="20"/>
                <w:lang w:eastAsia="fr"/>
              </w:rPr>
              <w:t>15 753 461</w:t>
            </w:r>
          </w:p>
        </w:tc>
        <w:tc>
          <w:tcPr>
            <w:tcW w:w="1242" w:type="dxa"/>
            <w:tcBorders>
              <w:top w:val="nil"/>
              <w:left w:val="nil"/>
              <w:bottom w:val="single" w:sz="4" w:space="0" w:color="auto"/>
              <w:right w:val="single" w:sz="4" w:space="0" w:color="auto"/>
            </w:tcBorders>
            <w:shd w:val="clear" w:color="auto" w:fill="auto"/>
            <w:noWrap/>
            <w:vAlign w:val="bottom"/>
            <w:hideMark/>
          </w:tcPr>
          <w:p w14:paraId="55F32E47" w14:textId="77777777" w:rsidR="005632A0" w:rsidRPr="00F7008B" w:rsidRDefault="005632A0" w:rsidP="005632A0">
            <w:pPr>
              <w:jc w:val="right"/>
              <w:rPr>
                <w:sz w:val="20"/>
                <w:szCs w:val="20"/>
                <w:lang w:eastAsia="en-CA"/>
              </w:rPr>
            </w:pPr>
            <w:r w:rsidRPr="00F7008B">
              <w:rPr>
                <w:sz w:val="20"/>
                <w:szCs w:val="20"/>
                <w:lang w:eastAsia="fr"/>
              </w:rPr>
              <w:t>-2</w:t>
            </w:r>
          </w:p>
        </w:tc>
        <w:tc>
          <w:tcPr>
            <w:tcW w:w="1242" w:type="dxa"/>
            <w:tcBorders>
              <w:top w:val="nil"/>
              <w:left w:val="nil"/>
              <w:bottom w:val="single" w:sz="4" w:space="0" w:color="auto"/>
              <w:right w:val="single" w:sz="4" w:space="0" w:color="auto"/>
            </w:tcBorders>
            <w:shd w:val="clear" w:color="auto" w:fill="auto"/>
            <w:noWrap/>
            <w:vAlign w:val="bottom"/>
            <w:hideMark/>
          </w:tcPr>
          <w:p w14:paraId="6D434A7C"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39F02EF4"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4E78D9CC" w14:textId="77777777" w:rsidR="005632A0" w:rsidRPr="00F7008B" w:rsidRDefault="005632A0" w:rsidP="005632A0">
            <w:pPr>
              <w:jc w:val="left"/>
              <w:rPr>
                <w:sz w:val="20"/>
                <w:szCs w:val="20"/>
                <w:lang w:eastAsia="en-CA"/>
              </w:rPr>
            </w:pPr>
            <w:r w:rsidRPr="00F7008B">
              <w:rPr>
                <w:sz w:val="20"/>
                <w:szCs w:val="20"/>
                <w:lang w:eastAsia="fr"/>
              </w:rPr>
              <w:t xml:space="preserve">2007 </w:t>
            </w:r>
          </w:p>
        </w:tc>
        <w:tc>
          <w:tcPr>
            <w:tcW w:w="1216" w:type="dxa"/>
            <w:tcBorders>
              <w:top w:val="nil"/>
              <w:left w:val="nil"/>
              <w:bottom w:val="single" w:sz="4" w:space="0" w:color="auto"/>
              <w:right w:val="single" w:sz="4" w:space="0" w:color="auto"/>
            </w:tcBorders>
            <w:shd w:val="clear" w:color="auto" w:fill="auto"/>
            <w:noWrap/>
            <w:vAlign w:val="bottom"/>
            <w:hideMark/>
          </w:tcPr>
          <w:p w14:paraId="0D483B7B" w14:textId="77777777" w:rsidR="005632A0" w:rsidRPr="00F7008B" w:rsidRDefault="005632A0" w:rsidP="005632A0">
            <w:pPr>
              <w:jc w:val="right"/>
              <w:rPr>
                <w:sz w:val="20"/>
                <w:szCs w:val="20"/>
                <w:lang w:eastAsia="en-CA"/>
              </w:rPr>
            </w:pPr>
            <w:r w:rsidRPr="00F7008B">
              <w:rPr>
                <w:sz w:val="20"/>
                <w:szCs w:val="20"/>
                <w:lang w:eastAsia="fr"/>
              </w:rPr>
              <w:t>54</w:t>
            </w:r>
          </w:p>
        </w:tc>
        <w:tc>
          <w:tcPr>
            <w:tcW w:w="1217" w:type="dxa"/>
            <w:tcBorders>
              <w:top w:val="nil"/>
              <w:left w:val="nil"/>
              <w:bottom w:val="single" w:sz="4" w:space="0" w:color="auto"/>
              <w:right w:val="single" w:sz="4" w:space="0" w:color="auto"/>
            </w:tcBorders>
            <w:shd w:val="clear" w:color="auto" w:fill="auto"/>
            <w:noWrap/>
            <w:vAlign w:val="bottom"/>
            <w:hideMark/>
          </w:tcPr>
          <w:p w14:paraId="271EA564" w14:textId="77777777" w:rsidR="005632A0" w:rsidRPr="00F7008B" w:rsidRDefault="005632A0" w:rsidP="005632A0">
            <w:pPr>
              <w:jc w:val="right"/>
              <w:rPr>
                <w:sz w:val="20"/>
                <w:szCs w:val="20"/>
                <w:lang w:eastAsia="en-CA"/>
              </w:rPr>
            </w:pPr>
            <w:r w:rsidRPr="00F7008B">
              <w:rPr>
                <w:sz w:val="20"/>
                <w:szCs w:val="20"/>
                <w:lang w:eastAsia="fr"/>
              </w:rPr>
              <w:t>54</w:t>
            </w:r>
          </w:p>
        </w:tc>
        <w:tc>
          <w:tcPr>
            <w:tcW w:w="1217" w:type="dxa"/>
            <w:tcBorders>
              <w:top w:val="nil"/>
              <w:left w:val="nil"/>
              <w:bottom w:val="single" w:sz="4" w:space="0" w:color="auto"/>
              <w:right w:val="single" w:sz="4" w:space="0" w:color="auto"/>
            </w:tcBorders>
            <w:shd w:val="clear" w:color="auto" w:fill="auto"/>
            <w:noWrap/>
            <w:vAlign w:val="bottom"/>
            <w:hideMark/>
          </w:tcPr>
          <w:p w14:paraId="5DBBC0A6"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6DA798C" w14:textId="77777777" w:rsidR="005632A0" w:rsidRPr="00F7008B" w:rsidRDefault="005632A0" w:rsidP="005632A0">
            <w:pPr>
              <w:jc w:val="right"/>
              <w:rPr>
                <w:sz w:val="20"/>
                <w:szCs w:val="20"/>
                <w:lang w:eastAsia="en-CA"/>
              </w:rPr>
            </w:pPr>
            <w:r w:rsidRPr="00F7008B">
              <w:rPr>
                <w:sz w:val="20"/>
                <w:szCs w:val="20"/>
                <w:lang w:eastAsia="fr"/>
              </w:rPr>
              <w:t>12 142 486</w:t>
            </w:r>
          </w:p>
        </w:tc>
        <w:tc>
          <w:tcPr>
            <w:tcW w:w="1242" w:type="dxa"/>
            <w:tcBorders>
              <w:top w:val="nil"/>
              <w:left w:val="nil"/>
              <w:bottom w:val="single" w:sz="4" w:space="0" w:color="auto"/>
              <w:right w:val="single" w:sz="4" w:space="0" w:color="auto"/>
            </w:tcBorders>
            <w:shd w:val="clear" w:color="auto" w:fill="auto"/>
            <w:noWrap/>
            <w:vAlign w:val="bottom"/>
            <w:hideMark/>
          </w:tcPr>
          <w:p w14:paraId="0675B027" w14:textId="77777777" w:rsidR="005632A0" w:rsidRPr="00F7008B" w:rsidRDefault="005632A0" w:rsidP="005632A0">
            <w:pPr>
              <w:jc w:val="right"/>
              <w:rPr>
                <w:sz w:val="20"/>
                <w:szCs w:val="20"/>
                <w:lang w:eastAsia="en-CA"/>
              </w:rPr>
            </w:pPr>
            <w:r w:rsidRPr="00F7008B">
              <w:rPr>
                <w:sz w:val="20"/>
                <w:szCs w:val="20"/>
                <w:lang w:eastAsia="fr"/>
              </w:rPr>
              <w:t>12 142 486</w:t>
            </w:r>
          </w:p>
        </w:tc>
        <w:tc>
          <w:tcPr>
            <w:tcW w:w="1242" w:type="dxa"/>
            <w:tcBorders>
              <w:top w:val="nil"/>
              <w:left w:val="nil"/>
              <w:bottom w:val="single" w:sz="4" w:space="0" w:color="auto"/>
              <w:right w:val="single" w:sz="4" w:space="0" w:color="auto"/>
            </w:tcBorders>
            <w:shd w:val="clear" w:color="auto" w:fill="auto"/>
            <w:noWrap/>
            <w:vAlign w:val="bottom"/>
            <w:hideMark/>
          </w:tcPr>
          <w:p w14:paraId="6BF375CC"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75FB04B3"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46BA5A86"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4E461E15" w14:textId="77777777" w:rsidR="005632A0" w:rsidRPr="00F7008B" w:rsidRDefault="005632A0" w:rsidP="005632A0">
            <w:pPr>
              <w:jc w:val="left"/>
              <w:rPr>
                <w:sz w:val="20"/>
                <w:szCs w:val="20"/>
                <w:lang w:eastAsia="en-CA"/>
              </w:rPr>
            </w:pPr>
            <w:r w:rsidRPr="00F7008B">
              <w:rPr>
                <w:sz w:val="20"/>
                <w:szCs w:val="20"/>
                <w:lang w:eastAsia="fr"/>
              </w:rPr>
              <w:t xml:space="preserve">2008 </w:t>
            </w:r>
          </w:p>
        </w:tc>
        <w:tc>
          <w:tcPr>
            <w:tcW w:w="1216" w:type="dxa"/>
            <w:tcBorders>
              <w:top w:val="nil"/>
              <w:left w:val="nil"/>
              <w:bottom w:val="single" w:sz="4" w:space="0" w:color="auto"/>
              <w:right w:val="single" w:sz="4" w:space="0" w:color="auto"/>
            </w:tcBorders>
            <w:shd w:val="clear" w:color="auto" w:fill="auto"/>
            <w:noWrap/>
            <w:vAlign w:val="bottom"/>
            <w:hideMark/>
          </w:tcPr>
          <w:p w14:paraId="72FCE47E" w14:textId="77777777" w:rsidR="005632A0" w:rsidRPr="00F7008B" w:rsidRDefault="005632A0" w:rsidP="005632A0">
            <w:pPr>
              <w:jc w:val="right"/>
              <w:rPr>
                <w:sz w:val="20"/>
                <w:szCs w:val="20"/>
                <w:lang w:eastAsia="en-CA"/>
              </w:rPr>
            </w:pPr>
            <w:r w:rsidRPr="00F7008B">
              <w:rPr>
                <w:sz w:val="20"/>
                <w:szCs w:val="20"/>
                <w:lang w:eastAsia="fr"/>
              </w:rPr>
              <w:t>84</w:t>
            </w:r>
          </w:p>
        </w:tc>
        <w:tc>
          <w:tcPr>
            <w:tcW w:w="1217" w:type="dxa"/>
            <w:tcBorders>
              <w:top w:val="nil"/>
              <w:left w:val="nil"/>
              <w:bottom w:val="single" w:sz="4" w:space="0" w:color="auto"/>
              <w:right w:val="single" w:sz="4" w:space="0" w:color="auto"/>
            </w:tcBorders>
            <w:shd w:val="clear" w:color="auto" w:fill="auto"/>
            <w:noWrap/>
            <w:vAlign w:val="bottom"/>
            <w:hideMark/>
          </w:tcPr>
          <w:p w14:paraId="6AD69FF2" w14:textId="77777777" w:rsidR="005632A0" w:rsidRPr="00F7008B" w:rsidRDefault="005632A0" w:rsidP="005632A0">
            <w:pPr>
              <w:jc w:val="right"/>
              <w:rPr>
                <w:sz w:val="20"/>
                <w:szCs w:val="20"/>
                <w:lang w:eastAsia="en-CA"/>
              </w:rPr>
            </w:pPr>
            <w:r w:rsidRPr="00F7008B">
              <w:rPr>
                <w:sz w:val="20"/>
                <w:szCs w:val="20"/>
                <w:lang w:eastAsia="fr"/>
              </w:rPr>
              <w:t>84</w:t>
            </w:r>
          </w:p>
        </w:tc>
        <w:tc>
          <w:tcPr>
            <w:tcW w:w="1217" w:type="dxa"/>
            <w:tcBorders>
              <w:top w:val="nil"/>
              <w:left w:val="nil"/>
              <w:bottom w:val="single" w:sz="4" w:space="0" w:color="auto"/>
              <w:right w:val="single" w:sz="4" w:space="0" w:color="auto"/>
            </w:tcBorders>
            <w:shd w:val="clear" w:color="auto" w:fill="auto"/>
            <w:noWrap/>
            <w:vAlign w:val="bottom"/>
            <w:hideMark/>
          </w:tcPr>
          <w:p w14:paraId="46C2EF97"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F6E4441" w14:textId="77777777" w:rsidR="005632A0" w:rsidRPr="00F7008B" w:rsidRDefault="005632A0" w:rsidP="005632A0">
            <w:pPr>
              <w:jc w:val="right"/>
              <w:rPr>
                <w:sz w:val="20"/>
                <w:szCs w:val="20"/>
                <w:lang w:eastAsia="en-CA"/>
              </w:rPr>
            </w:pPr>
            <w:r w:rsidRPr="00F7008B">
              <w:rPr>
                <w:sz w:val="20"/>
                <w:szCs w:val="20"/>
                <w:lang w:eastAsia="fr"/>
              </w:rPr>
              <w:t>22 873 866</w:t>
            </w:r>
          </w:p>
        </w:tc>
        <w:tc>
          <w:tcPr>
            <w:tcW w:w="1242" w:type="dxa"/>
            <w:tcBorders>
              <w:top w:val="nil"/>
              <w:left w:val="nil"/>
              <w:bottom w:val="single" w:sz="4" w:space="0" w:color="auto"/>
              <w:right w:val="single" w:sz="4" w:space="0" w:color="auto"/>
            </w:tcBorders>
            <w:shd w:val="clear" w:color="auto" w:fill="auto"/>
            <w:noWrap/>
            <w:vAlign w:val="bottom"/>
            <w:hideMark/>
          </w:tcPr>
          <w:p w14:paraId="043D47A3" w14:textId="77777777" w:rsidR="005632A0" w:rsidRPr="00F7008B" w:rsidRDefault="005632A0" w:rsidP="005632A0">
            <w:pPr>
              <w:jc w:val="right"/>
              <w:rPr>
                <w:sz w:val="20"/>
                <w:szCs w:val="20"/>
                <w:lang w:eastAsia="en-CA"/>
              </w:rPr>
            </w:pPr>
            <w:r w:rsidRPr="00F7008B">
              <w:rPr>
                <w:sz w:val="20"/>
                <w:szCs w:val="20"/>
                <w:lang w:eastAsia="fr"/>
              </w:rPr>
              <w:t>22 873 866</w:t>
            </w:r>
          </w:p>
        </w:tc>
        <w:tc>
          <w:tcPr>
            <w:tcW w:w="1242" w:type="dxa"/>
            <w:tcBorders>
              <w:top w:val="nil"/>
              <w:left w:val="nil"/>
              <w:bottom w:val="single" w:sz="4" w:space="0" w:color="auto"/>
              <w:right w:val="single" w:sz="4" w:space="0" w:color="auto"/>
            </w:tcBorders>
            <w:shd w:val="clear" w:color="auto" w:fill="auto"/>
            <w:noWrap/>
            <w:vAlign w:val="bottom"/>
            <w:hideMark/>
          </w:tcPr>
          <w:p w14:paraId="3DF1D969"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022E5688"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270E5539"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762FAC95" w14:textId="77777777" w:rsidR="005632A0" w:rsidRPr="00F7008B" w:rsidRDefault="005632A0" w:rsidP="005632A0">
            <w:pPr>
              <w:jc w:val="left"/>
              <w:rPr>
                <w:sz w:val="20"/>
                <w:szCs w:val="20"/>
                <w:lang w:eastAsia="en-CA"/>
              </w:rPr>
            </w:pPr>
            <w:r w:rsidRPr="00F7008B">
              <w:rPr>
                <w:sz w:val="20"/>
                <w:szCs w:val="20"/>
                <w:lang w:eastAsia="fr"/>
              </w:rPr>
              <w:t xml:space="preserve">2009 </w:t>
            </w:r>
          </w:p>
        </w:tc>
        <w:tc>
          <w:tcPr>
            <w:tcW w:w="1216" w:type="dxa"/>
            <w:tcBorders>
              <w:top w:val="nil"/>
              <w:left w:val="nil"/>
              <w:bottom w:val="single" w:sz="4" w:space="0" w:color="auto"/>
              <w:right w:val="single" w:sz="4" w:space="0" w:color="auto"/>
            </w:tcBorders>
            <w:shd w:val="clear" w:color="auto" w:fill="auto"/>
            <w:noWrap/>
            <w:vAlign w:val="bottom"/>
            <w:hideMark/>
          </w:tcPr>
          <w:p w14:paraId="1DFCC22C" w14:textId="77777777" w:rsidR="005632A0" w:rsidRPr="00F7008B" w:rsidRDefault="005632A0" w:rsidP="005632A0">
            <w:pPr>
              <w:jc w:val="right"/>
              <w:rPr>
                <w:sz w:val="20"/>
                <w:szCs w:val="20"/>
                <w:lang w:eastAsia="en-CA"/>
              </w:rPr>
            </w:pPr>
            <w:r w:rsidRPr="00F7008B">
              <w:rPr>
                <w:sz w:val="20"/>
                <w:szCs w:val="20"/>
                <w:lang w:eastAsia="fr"/>
              </w:rPr>
              <w:t>92</w:t>
            </w:r>
          </w:p>
        </w:tc>
        <w:tc>
          <w:tcPr>
            <w:tcW w:w="1217" w:type="dxa"/>
            <w:tcBorders>
              <w:top w:val="nil"/>
              <w:left w:val="nil"/>
              <w:bottom w:val="single" w:sz="4" w:space="0" w:color="auto"/>
              <w:right w:val="single" w:sz="4" w:space="0" w:color="auto"/>
            </w:tcBorders>
            <w:shd w:val="clear" w:color="auto" w:fill="auto"/>
            <w:noWrap/>
            <w:vAlign w:val="bottom"/>
            <w:hideMark/>
          </w:tcPr>
          <w:p w14:paraId="04B1D726" w14:textId="77777777" w:rsidR="005632A0" w:rsidRPr="00F7008B" w:rsidRDefault="005632A0" w:rsidP="005632A0">
            <w:pPr>
              <w:jc w:val="right"/>
              <w:rPr>
                <w:sz w:val="20"/>
                <w:szCs w:val="20"/>
                <w:lang w:eastAsia="en-CA"/>
              </w:rPr>
            </w:pPr>
            <w:r w:rsidRPr="00F7008B">
              <w:rPr>
                <w:sz w:val="20"/>
                <w:szCs w:val="20"/>
                <w:lang w:eastAsia="fr"/>
              </w:rPr>
              <w:t>92</w:t>
            </w:r>
          </w:p>
        </w:tc>
        <w:tc>
          <w:tcPr>
            <w:tcW w:w="1217" w:type="dxa"/>
            <w:tcBorders>
              <w:top w:val="nil"/>
              <w:left w:val="nil"/>
              <w:bottom w:val="single" w:sz="4" w:space="0" w:color="auto"/>
              <w:right w:val="single" w:sz="4" w:space="0" w:color="auto"/>
            </w:tcBorders>
            <w:shd w:val="clear" w:color="auto" w:fill="auto"/>
            <w:noWrap/>
            <w:vAlign w:val="bottom"/>
            <w:hideMark/>
          </w:tcPr>
          <w:p w14:paraId="35977305"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0E2452B9" w14:textId="77777777" w:rsidR="005632A0" w:rsidRPr="00F7008B" w:rsidRDefault="005632A0" w:rsidP="005632A0">
            <w:pPr>
              <w:jc w:val="right"/>
              <w:rPr>
                <w:sz w:val="20"/>
                <w:szCs w:val="20"/>
                <w:lang w:eastAsia="en-CA"/>
              </w:rPr>
            </w:pPr>
            <w:r w:rsidRPr="00F7008B">
              <w:rPr>
                <w:sz w:val="20"/>
                <w:szCs w:val="20"/>
                <w:lang w:eastAsia="fr"/>
              </w:rPr>
              <w:t>13 222 786</w:t>
            </w:r>
          </w:p>
        </w:tc>
        <w:tc>
          <w:tcPr>
            <w:tcW w:w="1242" w:type="dxa"/>
            <w:tcBorders>
              <w:top w:val="nil"/>
              <w:left w:val="nil"/>
              <w:bottom w:val="single" w:sz="4" w:space="0" w:color="auto"/>
              <w:right w:val="single" w:sz="4" w:space="0" w:color="auto"/>
            </w:tcBorders>
            <w:shd w:val="clear" w:color="auto" w:fill="auto"/>
            <w:noWrap/>
            <w:vAlign w:val="bottom"/>
            <w:hideMark/>
          </w:tcPr>
          <w:p w14:paraId="228636C3" w14:textId="77777777" w:rsidR="005632A0" w:rsidRPr="00F7008B" w:rsidRDefault="005632A0" w:rsidP="005632A0">
            <w:pPr>
              <w:jc w:val="right"/>
              <w:rPr>
                <w:sz w:val="20"/>
                <w:szCs w:val="20"/>
                <w:lang w:eastAsia="en-CA"/>
              </w:rPr>
            </w:pPr>
            <w:r w:rsidRPr="00F7008B">
              <w:rPr>
                <w:sz w:val="20"/>
                <w:szCs w:val="20"/>
                <w:lang w:eastAsia="fr"/>
              </w:rPr>
              <w:t>13 217 903</w:t>
            </w:r>
          </w:p>
        </w:tc>
        <w:tc>
          <w:tcPr>
            <w:tcW w:w="1242" w:type="dxa"/>
            <w:tcBorders>
              <w:top w:val="nil"/>
              <w:left w:val="nil"/>
              <w:bottom w:val="single" w:sz="4" w:space="0" w:color="auto"/>
              <w:right w:val="single" w:sz="4" w:space="0" w:color="auto"/>
            </w:tcBorders>
            <w:shd w:val="clear" w:color="auto" w:fill="auto"/>
            <w:noWrap/>
            <w:vAlign w:val="bottom"/>
            <w:hideMark/>
          </w:tcPr>
          <w:p w14:paraId="11EF891F" w14:textId="77777777" w:rsidR="005632A0" w:rsidRPr="00F7008B" w:rsidRDefault="005632A0" w:rsidP="005632A0">
            <w:pPr>
              <w:jc w:val="right"/>
              <w:rPr>
                <w:sz w:val="20"/>
                <w:szCs w:val="20"/>
                <w:lang w:eastAsia="en-CA"/>
              </w:rPr>
            </w:pPr>
            <w:r w:rsidRPr="00F7008B">
              <w:rPr>
                <w:sz w:val="20"/>
                <w:szCs w:val="20"/>
                <w:lang w:eastAsia="fr"/>
              </w:rPr>
              <w:t>4 883</w:t>
            </w:r>
          </w:p>
        </w:tc>
        <w:tc>
          <w:tcPr>
            <w:tcW w:w="1242" w:type="dxa"/>
            <w:tcBorders>
              <w:top w:val="nil"/>
              <w:left w:val="nil"/>
              <w:bottom w:val="single" w:sz="4" w:space="0" w:color="auto"/>
              <w:right w:val="single" w:sz="4" w:space="0" w:color="auto"/>
            </w:tcBorders>
            <w:shd w:val="clear" w:color="auto" w:fill="auto"/>
            <w:noWrap/>
            <w:vAlign w:val="bottom"/>
            <w:hideMark/>
          </w:tcPr>
          <w:p w14:paraId="2D6C192B"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12881DE1"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6BE833F0" w14:textId="77777777" w:rsidR="005632A0" w:rsidRPr="00F7008B" w:rsidRDefault="005632A0" w:rsidP="005632A0">
            <w:pPr>
              <w:jc w:val="left"/>
              <w:rPr>
                <w:sz w:val="20"/>
                <w:szCs w:val="20"/>
                <w:lang w:eastAsia="en-CA"/>
              </w:rPr>
            </w:pPr>
            <w:r w:rsidRPr="00F7008B">
              <w:rPr>
                <w:sz w:val="20"/>
                <w:szCs w:val="20"/>
                <w:lang w:eastAsia="fr"/>
              </w:rPr>
              <w:t xml:space="preserve">2010 </w:t>
            </w:r>
          </w:p>
        </w:tc>
        <w:tc>
          <w:tcPr>
            <w:tcW w:w="1216" w:type="dxa"/>
            <w:tcBorders>
              <w:top w:val="nil"/>
              <w:left w:val="nil"/>
              <w:bottom w:val="single" w:sz="4" w:space="0" w:color="auto"/>
              <w:right w:val="single" w:sz="4" w:space="0" w:color="auto"/>
            </w:tcBorders>
            <w:shd w:val="clear" w:color="auto" w:fill="auto"/>
            <w:noWrap/>
            <w:vAlign w:val="bottom"/>
            <w:hideMark/>
          </w:tcPr>
          <w:p w14:paraId="461D5BEC" w14:textId="77777777" w:rsidR="005632A0" w:rsidRPr="00F7008B" w:rsidRDefault="005632A0" w:rsidP="005632A0">
            <w:pPr>
              <w:jc w:val="right"/>
              <w:rPr>
                <w:sz w:val="20"/>
                <w:szCs w:val="20"/>
                <w:lang w:eastAsia="en-CA"/>
              </w:rPr>
            </w:pPr>
            <w:r w:rsidRPr="00F7008B">
              <w:rPr>
                <w:sz w:val="20"/>
                <w:szCs w:val="20"/>
                <w:lang w:eastAsia="fr"/>
              </w:rPr>
              <w:t>43</w:t>
            </w:r>
          </w:p>
        </w:tc>
        <w:tc>
          <w:tcPr>
            <w:tcW w:w="1217" w:type="dxa"/>
            <w:tcBorders>
              <w:top w:val="nil"/>
              <w:left w:val="nil"/>
              <w:bottom w:val="single" w:sz="4" w:space="0" w:color="auto"/>
              <w:right w:val="single" w:sz="4" w:space="0" w:color="auto"/>
            </w:tcBorders>
            <w:shd w:val="clear" w:color="auto" w:fill="auto"/>
            <w:noWrap/>
            <w:vAlign w:val="bottom"/>
            <w:hideMark/>
          </w:tcPr>
          <w:p w14:paraId="6F5C4F90" w14:textId="77777777" w:rsidR="005632A0" w:rsidRPr="00F7008B" w:rsidRDefault="005632A0" w:rsidP="005632A0">
            <w:pPr>
              <w:jc w:val="right"/>
              <w:rPr>
                <w:sz w:val="20"/>
                <w:szCs w:val="20"/>
                <w:lang w:eastAsia="en-CA"/>
              </w:rPr>
            </w:pPr>
            <w:r w:rsidRPr="00F7008B">
              <w:rPr>
                <w:sz w:val="20"/>
                <w:szCs w:val="20"/>
                <w:lang w:eastAsia="fr"/>
              </w:rPr>
              <w:t>43</w:t>
            </w:r>
          </w:p>
        </w:tc>
        <w:tc>
          <w:tcPr>
            <w:tcW w:w="1217" w:type="dxa"/>
            <w:tcBorders>
              <w:top w:val="nil"/>
              <w:left w:val="nil"/>
              <w:bottom w:val="single" w:sz="4" w:space="0" w:color="auto"/>
              <w:right w:val="single" w:sz="4" w:space="0" w:color="auto"/>
            </w:tcBorders>
            <w:shd w:val="clear" w:color="auto" w:fill="auto"/>
            <w:noWrap/>
            <w:vAlign w:val="bottom"/>
            <w:hideMark/>
          </w:tcPr>
          <w:p w14:paraId="4365378E"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1D112053" w14:textId="77777777" w:rsidR="005632A0" w:rsidRPr="00F7008B" w:rsidRDefault="005632A0" w:rsidP="005632A0">
            <w:pPr>
              <w:jc w:val="right"/>
              <w:rPr>
                <w:sz w:val="20"/>
                <w:szCs w:val="20"/>
                <w:lang w:eastAsia="en-CA"/>
              </w:rPr>
            </w:pPr>
            <w:r w:rsidRPr="00F7008B">
              <w:rPr>
                <w:sz w:val="20"/>
                <w:szCs w:val="20"/>
                <w:lang w:eastAsia="fr"/>
              </w:rPr>
              <w:t>19 567 970</w:t>
            </w:r>
          </w:p>
        </w:tc>
        <w:tc>
          <w:tcPr>
            <w:tcW w:w="1242" w:type="dxa"/>
            <w:tcBorders>
              <w:top w:val="nil"/>
              <w:left w:val="nil"/>
              <w:bottom w:val="single" w:sz="4" w:space="0" w:color="auto"/>
              <w:right w:val="single" w:sz="4" w:space="0" w:color="auto"/>
            </w:tcBorders>
            <w:shd w:val="clear" w:color="auto" w:fill="auto"/>
            <w:noWrap/>
            <w:vAlign w:val="bottom"/>
            <w:hideMark/>
          </w:tcPr>
          <w:p w14:paraId="3511CC8C" w14:textId="77777777" w:rsidR="005632A0" w:rsidRPr="00F7008B" w:rsidRDefault="005632A0" w:rsidP="005632A0">
            <w:pPr>
              <w:jc w:val="right"/>
              <w:rPr>
                <w:sz w:val="20"/>
                <w:szCs w:val="20"/>
                <w:lang w:eastAsia="en-CA"/>
              </w:rPr>
            </w:pPr>
            <w:r w:rsidRPr="00F7008B">
              <w:rPr>
                <w:sz w:val="20"/>
                <w:szCs w:val="20"/>
                <w:lang w:eastAsia="fr"/>
              </w:rPr>
              <w:t>19 567 970</w:t>
            </w:r>
          </w:p>
        </w:tc>
        <w:tc>
          <w:tcPr>
            <w:tcW w:w="1242" w:type="dxa"/>
            <w:tcBorders>
              <w:top w:val="nil"/>
              <w:left w:val="nil"/>
              <w:bottom w:val="single" w:sz="4" w:space="0" w:color="auto"/>
              <w:right w:val="single" w:sz="4" w:space="0" w:color="auto"/>
            </w:tcBorders>
            <w:shd w:val="clear" w:color="auto" w:fill="auto"/>
            <w:noWrap/>
            <w:vAlign w:val="bottom"/>
            <w:hideMark/>
          </w:tcPr>
          <w:p w14:paraId="06E0D9C6" w14:textId="77777777" w:rsidR="005632A0" w:rsidRPr="00F7008B" w:rsidRDefault="005632A0" w:rsidP="005632A0">
            <w:pPr>
              <w:jc w:val="right"/>
              <w:rPr>
                <w:sz w:val="20"/>
                <w:szCs w:val="20"/>
                <w:lang w:eastAsia="en-CA"/>
              </w:rPr>
            </w:pPr>
            <w:r w:rsidRPr="00F7008B">
              <w:rPr>
                <w:sz w:val="20"/>
                <w:szCs w:val="20"/>
                <w:lang w:eastAsia="fr"/>
              </w:rPr>
              <w:t>0</w:t>
            </w:r>
          </w:p>
        </w:tc>
        <w:tc>
          <w:tcPr>
            <w:tcW w:w="1242" w:type="dxa"/>
            <w:tcBorders>
              <w:top w:val="nil"/>
              <w:left w:val="nil"/>
              <w:bottom w:val="single" w:sz="4" w:space="0" w:color="auto"/>
              <w:right w:val="single" w:sz="4" w:space="0" w:color="auto"/>
            </w:tcBorders>
            <w:shd w:val="clear" w:color="auto" w:fill="auto"/>
            <w:noWrap/>
            <w:vAlign w:val="bottom"/>
            <w:hideMark/>
          </w:tcPr>
          <w:p w14:paraId="7B0F3C45"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66CAE8EF"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0AEEE921" w14:textId="77777777" w:rsidR="005632A0" w:rsidRPr="00F7008B" w:rsidRDefault="005632A0" w:rsidP="005632A0">
            <w:pPr>
              <w:jc w:val="left"/>
              <w:rPr>
                <w:sz w:val="20"/>
                <w:szCs w:val="20"/>
                <w:lang w:eastAsia="en-CA"/>
              </w:rPr>
            </w:pPr>
            <w:r w:rsidRPr="00F7008B">
              <w:rPr>
                <w:sz w:val="20"/>
                <w:szCs w:val="20"/>
                <w:lang w:eastAsia="fr"/>
              </w:rPr>
              <w:t xml:space="preserve">2011 </w:t>
            </w:r>
          </w:p>
        </w:tc>
        <w:tc>
          <w:tcPr>
            <w:tcW w:w="1216" w:type="dxa"/>
            <w:tcBorders>
              <w:top w:val="nil"/>
              <w:left w:val="nil"/>
              <w:bottom w:val="single" w:sz="4" w:space="0" w:color="auto"/>
              <w:right w:val="single" w:sz="4" w:space="0" w:color="auto"/>
            </w:tcBorders>
            <w:shd w:val="clear" w:color="auto" w:fill="auto"/>
            <w:noWrap/>
            <w:vAlign w:val="bottom"/>
            <w:hideMark/>
          </w:tcPr>
          <w:p w14:paraId="0A7246CC" w14:textId="77777777" w:rsidR="005632A0" w:rsidRPr="00F7008B" w:rsidRDefault="005632A0" w:rsidP="005632A0">
            <w:pPr>
              <w:jc w:val="right"/>
              <w:rPr>
                <w:sz w:val="20"/>
                <w:szCs w:val="20"/>
                <w:lang w:eastAsia="en-CA"/>
              </w:rPr>
            </w:pPr>
            <w:r w:rsidRPr="00F7008B">
              <w:rPr>
                <w:sz w:val="20"/>
                <w:szCs w:val="20"/>
                <w:lang w:eastAsia="fr"/>
              </w:rPr>
              <w:t>63</w:t>
            </w:r>
          </w:p>
        </w:tc>
        <w:tc>
          <w:tcPr>
            <w:tcW w:w="1217" w:type="dxa"/>
            <w:tcBorders>
              <w:top w:val="nil"/>
              <w:left w:val="nil"/>
              <w:bottom w:val="single" w:sz="4" w:space="0" w:color="auto"/>
              <w:right w:val="single" w:sz="4" w:space="0" w:color="auto"/>
            </w:tcBorders>
            <w:shd w:val="clear" w:color="auto" w:fill="auto"/>
            <w:noWrap/>
            <w:vAlign w:val="bottom"/>
            <w:hideMark/>
          </w:tcPr>
          <w:p w14:paraId="5D12AF3D" w14:textId="77777777" w:rsidR="005632A0" w:rsidRPr="00F7008B" w:rsidRDefault="005632A0" w:rsidP="005632A0">
            <w:pPr>
              <w:jc w:val="right"/>
              <w:rPr>
                <w:sz w:val="20"/>
                <w:szCs w:val="20"/>
                <w:lang w:eastAsia="en-CA"/>
              </w:rPr>
            </w:pPr>
            <w:r w:rsidRPr="00F7008B">
              <w:rPr>
                <w:sz w:val="20"/>
                <w:szCs w:val="20"/>
                <w:lang w:eastAsia="fr"/>
              </w:rPr>
              <w:t>63</w:t>
            </w:r>
          </w:p>
        </w:tc>
        <w:tc>
          <w:tcPr>
            <w:tcW w:w="1217" w:type="dxa"/>
            <w:tcBorders>
              <w:top w:val="nil"/>
              <w:left w:val="nil"/>
              <w:bottom w:val="single" w:sz="4" w:space="0" w:color="auto"/>
              <w:right w:val="single" w:sz="4" w:space="0" w:color="auto"/>
            </w:tcBorders>
            <w:shd w:val="clear" w:color="auto" w:fill="auto"/>
            <w:noWrap/>
            <w:vAlign w:val="bottom"/>
            <w:hideMark/>
          </w:tcPr>
          <w:p w14:paraId="30D99AAB"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270F4DFE" w14:textId="77777777" w:rsidR="005632A0" w:rsidRPr="00F7008B" w:rsidRDefault="005632A0" w:rsidP="005632A0">
            <w:pPr>
              <w:jc w:val="right"/>
              <w:rPr>
                <w:sz w:val="20"/>
                <w:szCs w:val="20"/>
                <w:lang w:eastAsia="en-CA"/>
              </w:rPr>
            </w:pPr>
            <w:r w:rsidRPr="00F7008B">
              <w:rPr>
                <w:sz w:val="20"/>
                <w:szCs w:val="20"/>
                <w:lang w:eastAsia="fr"/>
              </w:rPr>
              <w:t>57 415 442</w:t>
            </w:r>
          </w:p>
        </w:tc>
        <w:tc>
          <w:tcPr>
            <w:tcW w:w="1242" w:type="dxa"/>
            <w:tcBorders>
              <w:top w:val="nil"/>
              <w:left w:val="nil"/>
              <w:bottom w:val="single" w:sz="4" w:space="0" w:color="auto"/>
              <w:right w:val="single" w:sz="4" w:space="0" w:color="auto"/>
            </w:tcBorders>
            <w:shd w:val="clear" w:color="auto" w:fill="auto"/>
            <w:noWrap/>
            <w:vAlign w:val="bottom"/>
            <w:hideMark/>
          </w:tcPr>
          <w:p w14:paraId="112FC1C6" w14:textId="77777777" w:rsidR="005632A0" w:rsidRPr="00F7008B" w:rsidRDefault="005632A0" w:rsidP="005632A0">
            <w:pPr>
              <w:jc w:val="right"/>
              <w:rPr>
                <w:sz w:val="20"/>
                <w:szCs w:val="20"/>
                <w:lang w:eastAsia="en-CA"/>
              </w:rPr>
            </w:pPr>
            <w:r w:rsidRPr="00F7008B">
              <w:rPr>
                <w:sz w:val="20"/>
                <w:szCs w:val="20"/>
                <w:lang w:eastAsia="fr"/>
              </w:rPr>
              <w:t>57 415 931</w:t>
            </w:r>
          </w:p>
        </w:tc>
        <w:tc>
          <w:tcPr>
            <w:tcW w:w="1242" w:type="dxa"/>
            <w:tcBorders>
              <w:top w:val="nil"/>
              <w:left w:val="nil"/>
              <w:bottom w:val="single" w:sz="4" w:space="0" w:color="auto"/>
              <w:right w:val="single" w:sz="4" w:space="0" w:color="auto"/>
            </w:tcBorders>
            <w:shd w:val="clear" w:color="auto" w:fill="auto"/>
            <w:noWrap/>
            <w:vAlign w:val="bottom"/>
            <w:hideMark/>
          </w:tcPr>
          <w:p w14:paraId="70297AC1" w14:textId="77777777" w:rsidR="005632A0" w:rsidRPr="00F7008B" w:rsidRDefault="005632A0" w:rsidP="005632A0">
            <w:pPr>
              <w:jc w:val="right"/>
              <w:rPr>
                <w:sz w:val="20"/>
                <w:szCs w:val="20"/>
                <w:lang w:eastAsia="en-CA"/>
              </w:rPr>
            </w:pPr>
            <w:r w:rsidRPr="00F7008B">
              <w:rPr>
                <w:sz w:val="20"/>
                <w:szCs w:val="20"/>
                <w:lang w:eastAsia="fr"/>
              </w:rPr>
              <w:t>489</w:t>
            </w:r>
          </w:p>
        </w:tc>
        <w:tc>
          <w:tcPr>
            <w:tcW w:w="1242" w:type="dxa"/>
            <w:tcBorders>
              <w:top w:val="nil"/>
              <w:left w:val="nil"/>
              <w:bottom w:val="single" w:sz="4" w:space="0" w:color="auto"/>
              <w:right w:val="single" w:sz="4" w:space="0" w:color="auto"/>
            </w:tcBorders>
            <w:shd w:val="clear" w:color="auto" w:fill="auto"/>
            <w:noWrap/>
            <w:vAlign w:val="bottom"/>
            <w:hideMark/>
          </w:tcPr>
          <w:p w14:paraId="0257364D" w14:textId="77777777" w:rsidR="005632A0" w:rsidRPr="00F7008B" w:rsidRDefault="006A1F1C" w:rsidP="005632A0">
            <w:pPr>
              <w:jc w:val="right"/>
              <w:rPr>
                <w:sz w:val="20"/>
                <w:szCs w:val="20"/>
                <w:lang w:eastAsia="en-CA"/>
              </w:rPr>
            </w:pPr>
            <w:r w:rsidRPr="00F7008B">
              <w:rPr>
                <w:sz w:val="20"/>
                <w:szCs w:val="20"/>
                <w:lang w:eastAsia="fr"/>
              </w:rPr>
              <w:t>100</w:t>
            </w:r>
          </w:p>
        </w:tc>
      </w:tr>
      <w:tr w:rsidR="005632A0" w:rsidRPr="00F7008B" w14:paraId="2057E0E2"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1157052D" w14:textId="77777777" w:rsidR="005632A0" w:rsidRPr="00F7008B" w:rsidRDefault="005632A0" w:rsidP="005632A0">
            <w:pPr>
              <w:jc w:val="left"/>
              <w:rPr>
                <w:sz w:val="20"/>
                <w:szCs w:val="20"/>
                <w:lang w:eastAsia="en-CA"/>
              </w:rPr>
            </w:pPr>
            <w:r w:rsidRPr="00F7008B">
              <w:rPr>
                <w:sz w:val="20"/>
                <w:szCs w:val="20"/>
                <w:lang w:eastAsia="fr"/>
              </w:rPr>
              <w:t xml:space="preserve">2012 </w:t>
            </w:r>
          </w:p>
        </w:tc>
        <w:tc>
          <w:tcPr>
            <w:tcW w:w="1216" w:type="dxa"/>
            <w:tcBorders>
              <w:top w:val="nil"/>
              <w:left w:val="nil"/>
              <w:bottom w:val="single" w:sz="4" w:space="0" w:color="auto"/>
              <w:right w:val="single" w:sz="4" w:space="0" w:color="auto"/>
            </w:tcBorders>
            <w:shd w:val="clear" w:color="auto" w:fill="auto"/>
            <w:noWrap/>
            <w:vAlign w:val="bottom"/>
            <w:hideMark/>
          </w:tcPr>
          <w:p w14:paraId="526E4C7D" w14:textId="77777777" w:rsidR="005632A0" w:rsidRPr="00F7008B" w:rsidRDefault="005632A0" w:rsidP="005632A0">
            <w:pPr>
              <w:jc w:val="right"/>
              <w:rPr>
                <w:sz w:val="20"/>
                <w:szCs w:val="20"/>
                <w:lang w:eastAsia="en-CA"/>
              </w:rPr>
            </w:pPr>
            <w:r w:rsidRPr="00F7008B">
              <w:rPr>
                <w:sz w:val="20"/>
                <w:szCs w:val="20"/>
                <w:lang w:eastAsia="fr"/>
              </w:rPr>
              <w:t>29</w:t>
            </w:r>
          </w:p>
        </w:tc>
        <w:tc>
          <w:tcPr>
            <w:tcW w:w="1217" w:type="dxa"/>
            <w:tcBorders>
              <w:top w:val="nil"/>
              <w:left w:val="nil"/>
              <w:bottom w:val="single" w:sz="4" w:space="0" w:color="auto"/>
              <w:right w:val="single" w:sz="4" w:space="0" w:color="auto"/>
            </w:tcBorders>
            <w:shd w:val="clear" w:color="auto" w:fill="auto"/>
            <w:noWrap/>
            <w:vAlign w:val="bottom"/>
            <w:hideMark/>
          </w:tcPr>
          <w:p w14:paraId="6C7939A4" w14:textId="77777777" w:rsidR="005632A0" w:rsidRPr="00F7008B" w:rsidRDefault="005632A0" w:rsidP="005632A0">
            <w:pPr>
              <w:jc w:val="right"/>
              <w:rPr>
                <w:sz w:val="20"/>
                <w:szCs w:val="20"/>
                <w:lang w:eastAsia="en-CA"/>
              </w:rPr>
            </w:pPr>
            <w:r w:rsidRPr="00F7008B">
              <w:rPr>
                <w:sz w:val="20"/>
                <w:szCs w:val="20"/>
                <w:lang w:eastAsia="fr"/>
              </w:rPr>
              <w:t>29</w:t>
            </w:r>
          </w:p>
        </w:tc>
        <w:tc>
          <w:tcPr>
            <w:tcW w:w="1217" w:type="dxa"/>
            <w:tcBorders>
              <w:top w:val="nil"/>
              <w:left w:val="nil"/>
              <w:bottom w:val="single" w:sz="4" w:space="0" w:color="auto"/>
              <w:right w:val="single" w:sz="4" w:space="0" w:color="auto"/>
            </w:tcBorders>
            <w:shd w:val="clear" w:color="auto" w:fill="auto"/>
            <w:noWrap/>
            <w:vAlign w:val="bottom"/>
            <w:hideMark/>
          </w:tcPr>
          <w:p w14:paraId="01A52771"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37E6CC07" w14:textId="77777777" w:rsidR="005632A0" w:rsidRPr="00F7008B" w:rsidRDefault="005632A0" w:rsidP="005632A0">
            <w:pPr>
              <w:jc w:val="right"/>
              <w:rPr>
                <w:sz w:val="20"/>
                <w:szCs w:val="20"/>
                <w:lang w:eastAsia="en-CA"/>
              </w:rPr>
            </w:pPr>
            <w:r w:rsidRPr="00F7008B">
              <w:rPr>
                <w:sz w:val="20"/>
                <w:szCs w:val="20"/>
                <w:lang w:eastAsia="fr"/>
              </w:rPr>
              <w:t>33 889 850</w:t>
            </w:r>
          </w:p>
        </w:tc>
        <w:tc>
          <w:tcPr>
            <w:tcW w:w="1242" w:type="dxa"/>
            <w:tcBorders>
              <w:top w:val="nil"/>
              <w:left w:val="nil"/>
              <w:bottom w:val="single" w:sz="4" w:space="0" w:color="auto"/>
              <w:right w:val="single" w:sz="4" w:space="0" w:color="auto"/>
            </w:tcBorders>
            <w:shd w:val="clear" w:color="auto" w:fill="auto"/>
            <w:noWrap/>
            <w:vAlign w:val="bottom"/>
            <w:hideMark/>
          </w:tcPr>
          <w:p w14:paraId="2C2E084E" w14:textId="77777777" w:rsidR="005632A0" w:rsidRPr="00F7008B" w:rsidRDefault="005632A0" w:rsidP="005632A0">
            <w:pPr>
              <w:jc w:val="right"/>
              <w:rPr>
                <w:sz w:val="20"/>
                <w:szCs w:val="20"/>
                <w:lang w:eastAsia="en-CA"/>
              </w:rPr>
            </w:pPr>
            <w:r w:rsidRPr="00F7008B">
              <w:rPr>
                <w:sz w:val="20"/>
                <w:szCs w:val="20"/>
                <w:lang w:eastAsia="fr"/>
              </w:rPr>
              <w:t>33 711 420</w:t>
            </w:r>
          </w:p>
        </w:tc>
        <w:tc>
          <w:tcPr>
            <w:tcW w:w="1242" w:type="dxa"/>
            <w:tcBorders>
              <w:top w:val="nil"/>
              <w:left w:val="nil"/>
              <w:bottom w:val="single" w:sz="4" w:space="0" w:color="auto"/>
              <w:right w:val="single" w:sz="4" w:space="0" w:color="auto"/>
            </w:tcBorders>
            <w:shd w:val="clear" w:color="auto" w:fill="auto"/>
            <w:noWrap/>
            <w:vAlign w:val="bottom"/>
            <w:hideMark/>
          </w:tcPr>
          <w:p w14:paraId="7D015C84" w14:textId="77777777" w:rsidR="005632A0" w:rsidRPr="00F7008B" w:rsidRDefault="005632A0" w:rsidP="005632A0">
            <w:pPr>
              <w:jc w:val="right"/>
              <w:rPr>
                <w:sz w:val="20"/>
                <w:szCs w:val="20"/>
                <w:lang w:eastAsia="en-CA"/>
              </w:rPr>
            </w:pPr>
            <w:r w:rsidRPr="00F7008B">
              <w:rPr>
                <w:sz w:val="20"/>
                <w:szCs w:val="20"/>
                <w:lang w:eastAsia="fr"/>
              </w:rPr>
              <w:t>178 430</w:t>
            </w:r>
          </w:p>
        </w:tc>
        <w:tc>
          <w:tcPr>
            <w:tcW w:w="1242" w:type="dxa"/>
            <w:tcBorders>
              <w:top w:val="nil"/>
              <w:left w:val="nil"/>
              <w:bottom w:val="single" w:sz="4" w:space="0" w:color="auto"/>
              <w:right w:val="single" w:sz="4" w:space="0" w:color="auto"/>
            </w:tcBorders>
            <w:shd w:val="clear" w:color="auto" w:fill="auto"/>
            <w:noWrap/>
            <w:vAlign w:val="bottom"/>
            <w:hideMark/>
          </w:tcPr>
          <w:p w14:paraId="38473F65" w14:textId="77777777" w:rsidR="005632A0" w:rsidRPr="00F7008B" w:rsidRDefault="006A1F1C" w:rsidP="005632A0">
            <w:pPr>
              <w:jc w:val="right"/>
              <w:rPr>
                <w:sz w:val="20"/>
                <w:szCs w:val="20"/>
                <w:lang w:eastAsia="en-CA"/>
              </w:rPr>
            </w:pPr>
            <w:r w:rsidRPr="00F7008B">
              <w:rPr>
                <w:sz w:val="20"/>
                <w:szCs w:val="20"/>
                <w:lang w:eastAsia="fr"/>
              </w:rPr>
              <w:t>99</w:t>
            </w:r>
          </w:p>
        </w:tc>
      </w:tr>
      <w:tr w:rsidR="005632A0" w:rsidRPr="00F7008B" w14:paraId="3AAC7202"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665AF3C0" w14:textId="77777777" w:rsidR="005632A0" w:rsidRPr="00F7008B" w:rsidRDefault="005632A0" w:rsidP="005632A0">
            <w:pPr>
              <w:jc w:val="left"/>
              <w:rPr>
                <w:sz w:val="20"/>
                <w:szCs w:val="20"/>
                <w:lang w:eastAsia="en-CA"/>
              </w:rPr>
            </w:pPr>
            <w:r w:rsidRPr="00F7008B">
              <w:rPr>
                <w:sz w:val="20"/>
                <w:szCs w:val="20"/>
                <w:lang w:eastAsia="fr"/>
              </w:rPr>
              <w:t xml:space="preserve">2013 </w:t>
            </w:r>
          </w:p>
        </w:tc>
        <w:tc>
          <w:tcPr>
            <w:tcW w:w="1216" w:type="dxa"/>
            <w:tcBorders>
              <w:top w:val="nil"/>
              <w:left w:val="nil"/>
              <w:bottom w:val="single" w:sz="4" w:space="0" w:color="auto"/>
              <w:right w:val="single" w:sz="4" w:space="0" w:color="auto"/>
            </w:tcBorders>
            <w:shd w:val="clear" w:color="auto" w:fill="auto"/>
            <w:noWrap/>
            <w:vAlign w:val="bottom"/>
            <w:hideMark/>
          </w:tcPr>
          <w:p w14:paraId="4A45E8B0" w14:textId="77777777" w:rsidR="005632A0" w:rsidRPr="00F7008B" w:rsidRDefault="005632A0" w:rsidP="005632A0">
            <w:pPr>
              <w:jc w:val="right"/>
              <w:rPr>
                <w:sz w:val="20"/>
                <w:szCs w:val="20"/>
                <w:lang w:eastAsia="en-CA"/>
              </w:rPr>
            </w:pPr>
            <w:r w:rsidRPr="00F7008B">
              <w:rPr>
                <w:sz w:val="20"/>
                <w:szCs w:val="20"/>
                <w:lang w:eastAsia="fr"/>
              </w:rPr>
              <w:t>43</w:t>
            </w:r>
          </w:p>
        </w:tc>
        <w:tc>
          <w:tcPr>
            <w:tcW w:w="1217" w:type="dxa"/>
            <w:tcBorders>
              <w:top w:val="nil"/>
              <w:left w:val="nil"/>
              <w:bottom w:val="single" w:sz="4" w:space="0" w:color="auto"/>
              <w:right w:val="single" w:sz="4" w:space="0" w:color="auto"/>
            </w:tcBorders>
            <w:shd w:val="clear" w:color="auto" w:fill="auto"/>
            <w:noWrap/>
            <w:vAlign w:val="bottom"/>
            <w:hideMark/>
          </w:tcPr>
          <w:p w14:paraId="76FC7CE7" w14:textId="77777777" w:rsidR="005632A0" w:rsidRPr="00F7008B" w:rsidRDefault="005632A0" w:rsidP="005632A0">
            <w:pPr>
              <w:jc w:val="right"/>
              <w:rPr>
                <w:sz w:val="20"/>
                <w:szCs w:val="20"/>
                <w:lang w:eastAsia="en-CA"/>
              </w:rPr>
            </w:pPr>
            <w:r w:rsidRPr="00F7008B">
              <w:rPr>
                <w:sz w:val="20"/>
                <w:szCs w:val="20"/>
                <w:lang w:eastAsia="fr"/>
              </w:rPr>
              <w:t>43</w:t>
            </w:r>
          </w:p>
        </w:tc>
        <w:tc>
          <w:tcPr>
            <w:tcW w:w="1217" w:type="dxa"/>
            <w:tcBorders>
              <w:top w:val="nil"/>
              <w:left w:val="nil"/>
              <w:bottom w:val="single" w:sz="4" w:space="0" w:color="auto"/>
              <w:right w:val="single" w:sz="4" w:space="0" w:color="auto"/>
            </w:tcBorders>
            <w:shd w:val="clear" w:color="auto" w:fill="auto"/>
            <w:noWrap/>
            <w:vAlign w:val="bottom"/>
            <w:hideMark/>
          </w:tcPr>
          <w:p w14:paraId="4F50A95F" w14:textId="77777777" w:rsidR="005632A0" w:rsidRPr="00F7008B" w:rsidRDefault="006A1F1C" w:rsidP="005632A0">
            <w:pPr>
              <w:jc w:val="right"/>
              <w:rPr>
                <w:sz w:val="20"/>
                <w:szCs w:val="20"/>
                <w:lang w:eastAsia="en-CA"/>
              </w:rPr>
            </w:pPr>
            <w:r w:rsidRPr="00F7008B">
              <w:rPr>
                <w:sz w:val="20"/>
                <w:szCs w:val="20"/>
                <w:lang w:eastAsia="fr"/>
              </w:rPr>
              <w:t>100</w:t>
            </w:r>
          </w:p>
        </w:tc>
        <w:tc>
          <w:tcPr>
            <w:tcW w:w="1241" w:type="dxa"/>
            <w:tcBorders>
              <w:top w:val="nil"/>
              <w:left w:val="nil"/>
              <w:bottom w:val="single" w:sz="4" w:space="0" w:color="auto"/>
              <w:right w:val="single" w:sz="4" w:space="0" w:color="auto"/>
            </w:tcBorders>
            <w:shd w:val="clear" w:color="auto" w:fill="auto"/>
            <w:noWrap/>
            <w:vAlign w:val="bottom"/>
            <w:hideMark/>
          </w:tcPr>
          <w:p w14:paraId="647E7A4D" w14:textId="77777777" w:rsidR="005632A0" w:rsidRPr="00F7008B" w:rsidRDefault="005632A0" w:rsidP="005632A0">
            <w:pPr>
              <w:jc w:val="right"/>
              <w:rPr>
                <w:sz w:val="20"/>
                <w:szCs w:val="20"/>
                <w:lang w:eastAsia="en-CA"/>
              </w:rPr>
            </w:pPr>
            <w:r w:rsidRPr="00F7008B">
              <w:rPr>
                <w:sz w:val="20"/>
                <w:szCs w:val="20"/>
                <w:lang w:eastAsia="fr"/>
              </w:rPr>
              <w:t>34 433 292</w:t>
            </w:r>
          </w:p>
        </w:tc>
        <w:tc>
          <w:tcPr>
            <w:tcW w:w="1242" w:type="dxa"/>
            <w:tcBorders>
              <w:top w:val="nil"/>
              <w:left w:val="nil"/>
              <w:bottom w:val="single" w:sz="4" w:space="0" w:color="auto"/>
              <w:right w:val="single" w:sz="4" w:space="0" w:color="auto"/>
            </w:tcBorders>
            <w:shd w:val="clear" w:color="auto" w:fill="auto"/>
            <w:noWrap/>
            <w:vAlign w:val="bottom"/>
            <w:hideMark/>
          </w:tcPr>
          <w:p w14:paraId="6326BF2D" w14:textId="77777777" w:rsidR="005632A0" w:rsidRPr="00F7008B" w:rsidRDefault="005632A0" w:rsidP="005632A0">
            <w:pPr>
              <w:jc w:val="right"/>
              <w:rPr>
                <w:sz w:val="20"/>
                <w:szCs w:val="20"/>
                <w:lang w:eastAsia="en-CA"/>
              </w:rPr>
            </w:pPr>
            <w:r w:rsidRPr="00F7008B">
              <w:rPr>
                <w:sz w:val="20"/>
                <w:szCs w:val="20"/>
                <w:lang w:eastAsia="fr"/>
              </w:rPr>
              <w:t>33 845 180</w:t>
            </w:r>
          </w:p>
        </w:tc>
        <w:tc>
          <w:tcPr>
            <w:tcW w:w="1242" w:type="dxa"/>
            <w:tcBorders>
              <w:top w:val="nil"/>
              <w:left w:val="nil"/>
              <w:bottom w:val="single" w:sz="4" w:space="0" w:color="auto"/>
              <w:right w:val="single" w:sz="4" w:space="0" w:color="auto"/>
            </w:tcBorders>
            <w:shd w:val="clear" w:color="auto" w:fill="auto"/>
            <w:noWrap/>
            <w:vAlign w:val="bottom"/>
            <w:hideMark/>
          </w:tcPr>
          <w:p w14:paraId="60810E11" w14:textId="77777777" w:rsidR="005632A0" w:rsidRPr="00F7008B" w:rsidRDefault="005632A0" w:rsidP="005632A0">
            <w:pPr>
              <w:jc w:val="right"/>
              <w:rPr>
                <w:sz w:val="20"/>
                <w:szCs w:val="20"/>
                <w:lang w:eastAsia="en-CA"/>
              </w:rPr>
            </w:pPr>
            <w:r w:rsidRPr="00F7008B">
              <w:rPr>
                <w:sz w:val="20"/>
                <w:szCs w:val="20"/>
                <w:lang w:eastAsia="fr"/>
              </w:rPr>
              <w:t>588 112</w:t>
            </w:r>
          </w:p>
        </w:tc>
        <w:tc>
          <w:tcPr>
            <w:tcW w:w="1242" w:type="dxa"/>
            <w:tcBorders>
              <w:top w:val="nil"/>
              <w:left w:val="nil"/>
              <w:bottom w:val="single" w:sz="4" w:space="0" w:color="auto"/>
              <w:right w:val="single" w:sz="4" w:space="0" w:color="auto"/>
            </w:tcBorders>
            <w:shd w:val="clear" w:color="auto" w:fill="auto"/>
            <w:noWrap/>
            <w:vAlign w:val="bottom"/>
            <w:hideMark/>
          </w:tcPr>
          <w:p w14:paraId="52059185" w14:textId="77777777" w:rsidR="005632A0" w:rsidRPr="00F7008B" w:rsidRDefault="006A1F1C" w:rsidP="005632A0">
            <w:pPr>
              <w:jc w:val="right"/>
              <w:rPr>
                <w:sz w:val="20"/>
                <w:szCs w:val="20"/>
                <w:lang w:eastAsia="en-CA"/>
              </w:rPr>
            </w:pPr>
            <w:r w:rsidRPr="00F7008B">
              <w:rPr>
                <w:sz w:val="20"/>
                <w:szCs w:val="20"/>
                <w:lang w:eastAsia="fr"/>
              </w:rPr>
              <w:t>98</w:t>
            </w:r>
          </w:p>
        </w:tc>
      </w:tr>
      <w:tr w:rsidR="005632A0" w:rsidRPr="00F7008B" w14:paraId="268BBD3E"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049E96A4" w14:textId="77777777" w:rsidR="005632A0" w:rsidRPr="00F7008B" w:rsidRDefault="005632A0" w:rsidP="005632A0">
            <w:pPr>
              <w:jc w:val="left"/>
              <w:rPr>
                <w:sz w:val="20"/>
                <w:szCs w:val="20"/>
                <w:lang w:eastAsia="en-CA"/>
              </w:rPr>
            </w:pPr>
            <w:r w:rsidRPr="00F7008B">
              <w:rPr>
                <w:sz w:val="20"/>
                <w:szCs w:val="20"/>
                <w:lang w:eastAsia="fr"/>
              </w:rPr>
              <w:t xml:space="preserve">2014 </w:t>
            </w:r>
          </w:p>
        </w:tc>
        <w:tc>
          <w:tcPr>
            <w:tcW w:w="1216" w:type="dxa"/>
            <w:tcBorders>
              <w:top w:val="nil"/>
              <w:left w:val="nil"/>
              <w:bottom w:val="single" w:sz="4" w:space="0" w:color="auto"/>
              <w:right w:val="single" w:sz="4" w:space="0" w:color="auto"/>
            </w:tcBorders>
            <w:shd w:val="clear" w:color="auto" w:fill="auto"/>
            <w:noWrap/>
            <w:vAlign w:val="bottom"/>
            <w:hideMark/>
          </w:tcPr>
          <w:p w14:paraId="5305B1DF" w14:textId="77777777" w:rsidR="005632A0" w:rsidRPr="00F7008B" w:rsidRDefault="005632A0" w:rsidP="005632A0">
            <w:pPr>
              <w:jc w:val="right"/>
              <w:rPr>
                <w:sz w:val="20"/>
                <w:szCs w:val="20"/>
                <w:lang w:eastAsia="en-CA"/>
              </w:rPr>
            </w:pPr>
            <w:r w:rsidRPr="00F7008B">
              <w:rPr>
                <w:sz w:val="20"/>
                <w:szCs w:val="20"/>
                <w:lang w:eastAsia="fr"/>
              </w:rPr>
              <w:t>67</w:t>
            </w:r>
          </w:p>
        </w:tc>
        <w:tc>
          <w:tcPr>
            <w:tcW w:w="1217" w:type="dxa"/>
            <w:tcBorders>
              <w:top w:val="nil"/>
              <w:left w:val="nil"/>
              <w:bottom w:val="single" w:sz="4" w:space="0" w:color="auto"/>
              <w:right w:val="single" w:sz="4" w:space="0" w:color="auto"/>
            </w:tcBorders>
            <w:shd w:val="clear" w:color="auto" w:fill="auto"/>
            <w:noWrap/>
            <w:vAlign w:val="bottom"/>
            <w:hideMark/>
          </w:tcPr>
          <w:p w14:paraId="1C859CDE" w14:textId="77777777" w:rsidR="005632A0" w:rsidRPr="00F7008B" w:rsidRDefault="005632A0" w:rsidP="005632A0">
            <w:pPr>
              <w:jc w:val="right"/>
              <w:rPr>
                <w:sz w:val="20"/>
                <w:szCs w:val="20"/>
                <w:lang w:eastAsia="en-CA"/>
              </w:rPr>
            </w:pPr>
            <w:r w:rsidRPr="00F7008B">
              <w:rPr>
                <w:sz w:val="20"/>
                <w:szCs w:val="20"/>
                <w:lang w:eastAsia="fr"/>
              </w:rPr>
              <w:t>65</w:t>
            </w:r>
          </w:p>
        </w:tc>
        <w:tc>
          <w:tcPr>
            <w:tcW w:w="1217" w:type="dxa"/>
            <w:tcBorders>
              <w:top w:val="nil"/>
              <w:left w:val="nil"/>
              <w:bottom w:val="single" w:sz="4" w:space="0" w:color="auto"/>
              <w:right w:val="single" w:sz="4" w:space="0" w:color="auto"/>
            </w:tcBorders>
            <w:shd w:val="clear" w:color="auto" w:fill="auto"/>
            <w:noWrap/>
            <w:vAlign w:val="bottom"/>
            <w:hideMark/>
          </w:tcPr>
          <w:p w14:paraId="4CDFB6DB" w14:textId="77777777" w:rsidR="005632A0" w:rsidRPr="00F7008B" w:rsidRDefault="006A1F1C" w:rsidP="005632A0">
            <w:pPr>
              <w:jc w:val="right"/>
              <w:rPr>
                <w:sz w:val="20"/>
                <w:szCs w:val="20"/>
                <w:lang w:eastAsia="en-CA"/>
              </w:rPr>
            </w:pPr>
            <w:r w:rsidRPr="00F7008B">
              <w:rPr>
                <w:sz w:val="20"/>
                <w:szCs w:val="20"/>
                <w:lang w:eastAsia="fr"/>
              </w:rPr>
              <w:t>97</w:t>
            </w:r>
          </w:p>
        </w:tc>
        <w:tc>
          <w:tcPr>
            <w:tcW w:w="1241" w:type="dxa"/>
            <w:tcBorders>
              <w:top w:val="nil"/>
              <w:left w:val="nil"/>
              <w:bottom w:val="single" w:sz="4" w:space="0" w:color="auto"/>
              <w:right w:val="single" w:sz="4" w:space="0" w:color="auto"/>
            </w:tcBorders>
            <w:shd w:val="clear" w:color="auto" w:fill="auto"/>
            <w:noWrap/>
            <w:vAlign w:val="bottom"/>
            <w:hideMark/>
          </w:tcPr>
          <w:p w14:paraId="3D76D0F7" w14:textId="77777777" w:rsidR="005632A0" w:rsidRPr="00F7008B" w:rsidRDefault="005632A0" w:rsidP="005632A0">
            <w:pPr>
              <w:jc w:val="right"/>
              <w:rPr>
                <w:sz w:val="20"/>
                <w:szCs w:val="20"/>
                <w:lang w:eastAsia="en-CA"/>
              </w:rPr>
            </w:pPr>
            <w:r w:rsidRPr="00F7008B">
              <w:rPr>
                <w:sz w:val="20"/>
                <w:szCs w:val="20"/>
                <w:lang w:eastAsia="fr"/>
              </w:rPr>
              <w:t>22 566 390</w:t>
            </w:r>
          </w:p>
        </w:tc>
        <w:tc>
          <w:tcPr>
            <w:tcW w:w="1242" w:type="dxa"/>
            <w:tcBorders>
              <w:top w:val="nil"/>
              <w:left w:val="nil"/>
              <w:bottom w:val="single" w:sz="4" w:space="0" w:color="auto"/>
              <w:right w:val="single" w:sz="4" w:space="0" w:color="auto"/>
            </w:tcBorders>
            <w:shd w:val="clear" w:color="auto" w:fill="auto"/>
            <w:noWrap/>
            <w:vAlign w:val="bottom"/>
            <w:hideMark/>
          </w:tcPr>
          <w:p w14:paraId="123B72AB" w14:textId="77777777" w:rsidR="005632A0" w:rsidRPr="00F7008B" w:rsidRDefault="005632A0" w:rsidP="005632A0">
            <w:pPr>
              <w:jc w:val="right"/>
              <w:rPr>
                <w:sz w:val="20"/>
                <w:szCs w:val="20"/>
                <w:lang w:eastAsia="en-CA"/>
              </w:rPr>
            </w:pPr>
            <w:r w:rsidRPr="00F7008B">
              <w:rPr>
                <w:sz w:val="20"/>
                <w:szCs w:val="20"/>
                <w:lang w:eastAsia="fr"/>
              </w:rPr>
              <w:t>22 339 555</w:t>
            </w:r>
          </w:p>
        </w:tc>
        <w:tc>
          <w:tcPr>
            <w:tcW w:w="1242" w:type="dxa"/>
            <w:tcBorders>
              <w:top w:val="nil"/>
              <w:left w:val="nil"/>
              <w:bottom w:val="single" w:sz="4" w:space="0" w:color="auto"/>
              <w:right w:val="single" w:sz="4" w:space="0" w:color="auto"/>
            </w:tcBorders>
            <w:shd w:val="clear" w:color="auto" w:fill="auto"/>
            <w:noWrap/>
            <w:vAlign w:val="bottom"/>
            <w:hideMark/>
          </w:tcPr>
          <w:p w14:paraId="0DAAC2EC" w14:textId="77777777" w:rsidR="005632A0" w:rsidRPr="00F7008B" w:rsidRDefault="005632A0" w:rsidP="005632A0">
            <w:pPr>
              <w:jc w:val="right"/>
              <w:rPr>
                <w:sz w:val="20"/>
                <w:szCs w:val="20"/>
                <w:lang w:eastAsia="en-CA"/>
              </w:rPr>
            </w:pPr>
            <w:r w:rsidRPr="00F7008B">
              <w:rPr>
                <w:sz w:val="20"/>
                <w:szCs w:val="20"/>
                <w:lang w:eastAsia="fr"/>
              </w:rPr>
              <w:t>226 835</w:t>
            </w:r>
          </w:p>
        </w:tc>
        <w:tc>
          <w:tcPr>
            <w:tcW w:w="1242" w:type="dxa"/>
            <w:tcBorders>
              <w:top w:val="nil"/>
              <w:left w:val="nil"/>
              <w:bottom w:val="single" w:sz="4" w:space="0" w:color="auto"/>
              <w:right w:val="single" w:sz="4" w:space="0" w:color="auto"/>
            </w:tcBorders>
            <w:shd w:val="clear" w:color="auto" w:fill="auto"/>
            <w:noWrap/>
            <w:vAlign w:val="bottom"/>
            <w:hideMark/>
          </w:tcPr>
          <w:p w14:paraId="6B047F12" w14:textId="77777777" w:rsidR="005632A0" w:rsidRPr="00F7008B" w:rsidRDefault="006A1F1C" w:rsidP="005632A0">
            <w:pPr>
              <w:jc w:val="right"/>
              <w:rPr>
                <w:sz w:val="20"/>
                <w:szCs w:val="20"/>
                <w:lang w:eastAsia="en-CA"/>
              </w:rPr>
            </w:pPr>
            <w:r w:rsidRPr="00F7008B">
              <w:rPr>
                <w:sz w:val="20"/>
                <w:szCs w:val="20"/>
                <w:lang w:eastAsia="fr"/>
              </w:rPr>
              <w:t>99</w:t>
            </w:r>
          </w:p>
        </w:tc>
      </w:tr>
      <w:tr w:rsidR="005632A0" w:rsidRPr="00F7008B" w14:paraId="053652FE"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59E7B5FC" w14:textId="77777777" w:rsidR="005632A0" w:rsidRPr="00F7008B" w:rsidRDefault="005632A0" w:rsidP="005632A0">
            <w:pPr>
              <w:jc w:val="left"/>
              <w:rPr>
                <w:sz w:val="20"/>
                <w:szCs w:val="20"/>
                <w:lang w:eastAsia="en-CA"/>
              </w:rPr>
            </w:pPr>
            <w:r w:rsidRPr="00F7008B">
              <w:rPr>
                <w:sz w:val="20"/>
                <w:szCs w:val="20"/>
                <w:lang w:eastAsia="fr"/>
              </w:rPr>
              <w:t xml:space="preserve">2015 </w:t>
            </w:r>
          </w:p>
        </w:tc>
        <w:tc>
          <w:tcPr>
            <w:tcW w:w="1216" w:type="dxa"/>
            <w:tcBorders>
              <w:top w:val="nil"/>
              <w:left w:val="nil"/>
              <w:bottom w:val="single" w:sz="4" w:space="0" w:color="auto"/>
              <w:right w:val="single" w:sz="4" w:space="0" w:color="auto"/>
            </w:tcBorders>
            <w:shd w:val="clear" w:color="auto" w:fill="auto"/>
            <w:noWrap/>
            <w:vAlign w:val="bottom"/>
            <w:hideMark/>
          </w:tcPr>
          <w:p w14:paraId="293D62CF" w14:textId="77777777" w:rsidR="005632A0" w:rsidRPr="00F7008B" w:rsidRDefault="005632A0" w:rsidP="005632A0">
            <w:pPr>
              <w:jc w:val="right"/>
              <w:rPr>
                <w:sz w:val="20"/>
                <w:szCs w:val="20"/>
                <w:lang w:eastAsia="en-CA"/>
              </w:rPr>
            </w:pPr>
            <w:r w:rsidRPr="00F7008B">
              <w:rPr>
                <w:sz w:val="20"/>
                <w:szCs w:val="20"/>
                <w:lang w:eastAsia="fr"/>
              </w:rPr>
              <w:t>75</w:t>
            </w:r>
          </w:p>
        </w:tc>
        <w:tc>
          <w:tcPr>
            <w:tcW w:w="1217" w:type="dxa"/>
            <w:tcBorders>
              <w:top w:val="nil"/>
              <w:left w:val="nil"/>
              <w:bottom w:val="single" w:sz="4" w:space="0" w:color="auto"/>
              <w:right w:val="single" w:sz="4" w:space="0" w:color="auto"/>
            </w:tcBorders>
            <w:shd w:val="clear" w:color="auto" w:fill="auto"/>
            <w:noWrap/>
            <w:vAlign w:val="bottom"/>
            <w:hideMark/>
          </w:tcPr>
          <w:p w14:paraId="33046602" w14:textId="77777777" w:rsidR="005632A0" w:rsidRPr="00F7008B" w:rsidRDefault="005632A0" w:rsidP="005632A0">
            <w:pPr>
              <w:jc w:val="right"/>
              <w:rPr>
                <w:sz w:val="20"/>
                <w:szCs w:val="20"/>
                <w:lang w:eastAsia="en-CA"/>
              </w:rPr>
            </w:pPr>
            <w:r w:rsidRPr="00F7008B">
              <w:rPr>
                <w:sz w:val="20"/>
                <w:szCs w:val="20"/>
                <w:lang w:eastAsia="fr"/>
              </w:rPr>
              <w:t>74</w:t>
            </w:r>
          </w:p>
        </w:tc>
        <w:tc>
          <w:tcPr>
            <w:tcW w:w="1217" w:type="dxa"/>
            <w:tcBorders>
              <w:top w:val="nil"/>
              <w:left w:val="nil"/>
              <w:bottom w:val="single" w:sz="4" w:space="0" w:color="auto"/>
              <w:right w:val="single" w:sz="4" w:space="0" w:color="auto"/>
            </w:tcBorders>
            <w:shd w:val="clear" w:color="auto" w:fill="auto"/>
            <w:noWrap/>
            <w:vAlign w:val="bottom"/>
            <w:hideMark/>
          </w:tcPr>
          <w:p w14:paraId="4ACA2727" w14:textId="77777777" w:rsidR="005632A0" w:rsidRPr="00F7008B" w:rsidRDefault="006A1F1C" w:rsidP="005632A0">
            <w:pPr>
              <w:jc w:val="right"/>
              <w:rPr>
                <w:sz w:val="20"/>
                <w:szCs w:val="20"/>
                <w:lang w:eastAsia="en-CA"/>
              </w:rPr>
            </w:pPr>
            <w:r w:rsidRPr="00F7008B">
              <w:rPr>
                <w:sz w:val="20"/>
                <w:szCs w:val="20"/>
                <w:lang w:eastAsia="fr"/>
              </w:rPr>
              <w:t>99</w:t>
            </w:r>
          </w:p>
        </w:tc>
        <w:tc>
          <w:tcPr>
            <w:tcW w:w="1241" w:type="dxa"/>
            <w:tcBorders>
              <w:top w:val="nil"/>
              <w:left w:val="nil"/>
              <w:bottom w:val="single" w:sz="4" w:space="0" w:color="auto"/>
              <w:right w:val="single" w:sz="4" w:space="0" w:color="auto"/>
            </w:tcBorders>
            <w:shd w:val="clear" w:color="auto" w:fill="auto"/>
            <w:noWrap/>
            <w:vAlign w:val="bottom"/>
            <w:hideMark/>
          </w:tcPr>
          <w:p w14:paraId="484CE77F" w14:textId="77777777" w:rsidR="005632A0" w:rsidRPr="00F7008B" w:rsidRDefault="005632A0" w:rsidP="005632A0">
            <w:pPr>
              <w:jc w:val="right"/>
              <w:rPr>
                <w:sz w:val="20"/>
                <w:szCs w:val="20"/>
                <w:lang w:eastAsia="en-CA"/>
              </w:rPr>
            </w:pPr>
            <w:r w:rsidRPr="00F7008B">
              <w:rPr>
                <w:sz w:val="20"/>
                <w:szCs w:val="20"/>
                <w:lang w:eastAsia="fr"/>
              </w:rPr>
              <w:t>33 477 064</w:t>
            </w:r>
          </w:p>
        </w:tc>
        <w:tc>
          <w:tcPr>
            <w:tcW w:w="1242" w:type="dxa"/>
            <w:tcBorders>
              <w:top w:val="nil"/>
              <w:left w:val="nil"/>
              <w:bottom w:val="single" w:sz="4" w:space="0" w:color="auto"/>
              <w:right w:val="single" w:sz="4" w:space="0" w:color="auto"/>
            </w:tcBorders>
            <w:shd w:val="clear" w:color="auto" w:fill="auto"/>
            <w:noWrap/>
            <w:vAlign w:val="bottom"/>
            <w:hideMark/>
          </w:tcPr>
          <w:p w14:paraId="4959D54B" w14:textId="77777777" w:rsidR="005632A0" w:rsidRPr="00F7008B" w:rsidRDefault="005632A0" w:rsidP="005632A0">
            <w:pPr>
              <w:jc w:val="right"/>
              <w:rPr>
                <w:sz w:val="20"/>
                <w:szCs w:val="20"/>
                <w:lang w:eastAsia="en-CA"/>
              </w:rPr>
            </w:pPr>
            <w:r w:rsidRPr="00F7008B">
              <w:rPr>
                <w:sz w:val="20"/>
                <w:szCs w:val="20"/>
                <w:lang w:eastAsia="fr"/>
              </w:rPr>
              <w:t>29 609 306</w:t>
            </w:r>
          </w:p>
        </w:tc>
        <w:tc>
          <w:tcPr>
            <w:tcW w:w="1242" w:type="dxa"/>
            <w:tcBorders>
              <w:top w:val="nil"/>
              <w:left w:val="nil"/>
              <w:bottom w:val="single" w:sz="4" w:space="0" w:color="auto"/>
              <w:right w:val="single" w:sz="4" w:space="0" w:color="auto"/>
            </w:tcBorders>
            <w:shd w:val="clear" w:color="auto" w:fill="auto"/>
            <w:noWrap/>
            <w:vAlign w:val="bottom"/>
            <w:hideMark/>
          </w:tcPr>
          <w:p w14:paraId="16587624" w14:textId="77777777" w:rsidR="005632A0" w:rsidRPr="00F7008B" w:rsidRDefault="005632A0" w:rsidP="005632A0">
            <w:pPr>
              <w:jc w:val="right"/>
              <w:rPr>
                <w:sz w:val="20"/>
                <w:szCs w:val="20"/>
                <w:lang w:eastAsia="en-CA"/>
              </w:rPr>
            </w:pPr>
            <w:r w:rsidRPr="00F7008B">
              <w:rPr>
                <w:sz w:val="20"/>
                <w:szCs w:val="20"/>
                <w:lang w:eastAsia="fr"/>
              </w:rPr>
              <w:t>3 867 758</w:t>
            </w:r>
          </w:p>
        </w:tc>
        <w:tc>
          <w:tcPr>
            <w:tcW w:w="1242" w:type="dxa"/>
            <w:tcBorders>
              <w:top w:val="nil"/>
              <w:left w:val="nil"/>
              <w:bottom w:val="single" w:sz="4" w:space="0" w:color="auto"/>
              <w:right w:val="single" w:sz="4" w:space="0" w:color="auto"/>
            </w:tcBorders>
            <w:shd w:val="clear" w:color="auto" w:fill="auto"/>
            <w:noWrap/>
            <w:vAlign w:val="bottom"/>
            <w:hideMark/>
          </w:tcPr>
          <w:p w14:paraId="5AB8F906" w14:textId="77777777" w:rsidR="005632A0" w:rsidRPr="00F7008B" w:rsidRDefault="006A1F1C" w:rsidP="005632A0">
            <w:pPr>
              <w:jc w:val="right"/>
              <w:rPr>
                <w:sz w:val="20"/>
                <w:szCs w:val="20"/>
                <w:lang w:eastAsia="en-CA"/>
              </w:rPr>
            </w:pPr>
            <w:r w:rsidRPr="00F7008B">
              <w:rPr>
                <w:sz w:val="20"/>
                <w:szCs w:val="20"/>
                <w:lang w:eastAsia="fr"/>
              </w:rPr>
              <w:t>88</w:t>
            </w:r>
          </w:p>
        </w:tc>
      </w:tr>
      <w:tr w:rsidR="005632A0" w:rsidRPr="00F7008B" w14:paraId="06BE182D"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101A9EC3" w14:textId="77777777" w:rsidR="005632A0" w:rsidRPr="00F7008B" w:rsidRDefault="005632A0" w:rsidP="005632A0">
            <w:pPr>
              <w:jc w:val="left"/>
              <w:rPr>
                <w:sz w:val="20"/>
                <w:szCs w:val="20"/>
                <w:lang w:eastAsia="en-CA"/>
              </w:rPr>
            </w:pPr>
            <w:r w:rsidRPr="00F7008B">
              <w:rPr>
                <w:sz w:val="20"/>
                <w:szCs w:val="20"/>
                <w:lang w:eastAsia="fr"/>
              </w:rPr>
              <w:t xml:space="preserve">2016 </w:t>
            </w:r>
          </w:p>
        </w:tc>
        <w:tc>
          <w:tcPr>
            <w:tcW w:w="1216" w:type="dxa"/>
            <w:tcBorders>
              <w:top w:val="nil"/>
              <w:left w:val="nil"/>
              <w:bottom w:val="single" w:sz="4" w:space="0" w:color="auto"/>
              <w:right w:val="single" w:sz="4" w:space="0" w:color="auto"/>
            </w:tcBorders>
            <w:shd w:val="clear" w:color="auto" w:fill="auto"/>
            <w:noWrap/>
            <w:vAlign w:val="bottom"/>
            <w:hideMark/>
          </w:tcPr>
          <w:p w14:paraId="68495310" w14:textId="77777777" w:rsidR="005632A0" w:rsidRPr="00F7008B" w:rsidRDefault="005632A0" w:rsidP="005632A0">
            <w:pPr>
              <w:jc w:val="right"/>
              <w:rPr>
                <w:sz w:val="20"/>
                <w:szCs w:val="20"/>
                <w:lang w:eastAsia="en-CA"/>
              </w:rPr>
            </w:pPr>
            <w:r w:rsidRPr="00F7008B">
              <w:rPr>
                <w:sz w:val="20"/>
                <w:szCs w:val="20"/>
                <w:lang w:eastAsia="fr"/>
              </w:rPr>
              <w:t>52</w:t>
            </w:r>
          </w:p>
        </w:tc>
        <w:tc>
          <w:tcPr>
            <w:tcW w:w="1217" w:type="dxa"/>
            <w:tcBorders>
              <w:top w:val="nil"/>
              <w:left w:val="nil"/>
              <w:bottom w:val="single" w:sz="4" w:space="0" w:color="auto"/>
              <w:right w:val="single" w:sz="4" w:space="0" w:color="auto"/>
            </w:tcBorders>
            <w:shd w:val="clear" w:color="auto" w:fill="auto"/>
            <w:noWrap/>
            <w:vAlign w:val="bottom"/>
            <w:hideMark/>
          </w:tcPr>
          <w:p w14:paraId="60047DCD" w14:textId="77777777" w:rsidR="005632A0" w:rsidRPr="00F7008B" w:rsidRDefault="005632A0" w:rsidP="005632A0">
            <w:pPr>
              <w:jc w:val="right"/>
              <w:rPr>
                <w:sz w:val="20"/>
                <w:szCs w:val="20"/>
                <w:lang w:eastAsia="en-CA"/>
              </w:rPr>
            </w:pPr>
            <w:r w:rsidRPr="00F7008B">
              <w:rPr>
                <w:sz w:val="20"/>
                <w:szCs w:val="20"/>
                <w:lang w:eastAsia="fr"/>
              </w:rPr>
              <w:t>43</w:t>
            </w:r>
          </w:p>
        </w:tc>
        <w:tc>
          <w:tcPr>
            <w:tcW w:w="1217" w:type="dxa"/>
            <w:tcBorders>
              <w:top w:val="nil"/>
              <w:left w:val="nil"/>
              <w:bottom w:val="single" w:sz="4" w:space="0" w:color="auto"/>
              <w:right w:val="single" w:sz="4" w:space="0" w:color="auto"/>
            </w:tcBorders>
            <w:shd w:val="clear" w:color="auto" w:fill="auto"/>
            <w:noWrap/>
            <w:vAlign w:val="bottom"/>
            <w:hideMark/>
          </w:tcPr>
          <w:p w14:paraId="275B1E61" w14:textId="77777777" w:rsidR="005632A0" w:rsidRPr="00F7008B" w:rsidRDefault="006A1F1C" w:rsidP="005632A0">
            <w:pPr>
              <w:jc w:val="right"/>
              <w:rPr>
                <w:sz w:val="20"/>
                <w:szCs w:val="20"/>
                <w:lang w:eastAsia="en-CA"/>
              </w:rPr>
            </w:pPr>
            <w:r w:rsidRPr="00F7008B">
              <w:rPr>
                <w:sz w:val="20"/>
                <w:szCs w:val="20"/>
                <w:lang w:eastAsia="fr"/>
              </w:rPr>
              <w:t>83</w:t>
            </w:r>
          </w:p>
        </w:tc>
        <w:tc>
          <w:tcPr>
            <w:tcW w:w="1241" w:type="dxa"/>
            <w:tcBorders>
              <w:top w:val="nil"/>
              <w:left w:val="nil"/>
              <w:bottom w:val="single" w:sz="4" w:space="0" w:color="auto"/>
              <w:right w:val="single" w:sz="4" w:space="0" w:color="auto"/>
            </w:tcBorders>
            <w:shd w:val="clear" w:color="auto" w:fill="auto"/>
            <w:noWrap/>
            <w:vAlign w:val="bottom"/>
            <w:hideMark/>
          </w:tcPr>
          <w:p w14:paraId="6DA94135" w14:textId="77777777" w:rsidR="005632A0" w:rsidRPr="00F7008B" w:rsidRDefault="005632A0" w:rsidP="005632A0">
            <w:pPr>
              <w:jc w:val="right"/>
              <w:rPr>
                <w:sz w:val="20"/>
                <w:szCs w:val="20"/>
                <w:lang w:eastAsia="en-CA"/>
              </w:rPr>
            </w:pPr>
            <w:r w:rsidRPr="00F7008B">
              <w:rPr>
                <w:sz w:val="20"/>
                <w:szCs w:val="20"/>
                <w:lang w:eastAsia="fr"/>
              </w:rPr>
              <w:t>42 115 232</w:t>
            </w:r>
          </w:p>
        </w:tc>
        <w:tc>
          <w:tcPr>
            <w:tcW w:w="1242" w:type="dxa"/>
            <w:tcBorders>
              <w:top w:val="nil"/>
              <w:left w:val="nil"/>
              <w:bottom w:val="single" w:sz="4" w:space="0" w:color="auto"/>
              <w:right w:val="single" w:sz="4" w:space="0" w:color="auto"/>
            </w:tcBorders>
            <w:shd w:val="clear" w:color="auto" w:fill="auto"/>
            <w:noWrap/>
            <w:vAlign w:val="bottom"/>
            <w:hideMark/>
          </w:tcPr>
          <w:p w14:paraId="11378385" w14:textId="77777777" w:rsidR="005632A0" w:rsidRPr="00F7008B" w:rsidRDefault="005632A0" w:rsidP="005632A0">
            <w:pPr>
              <w:jc w:val="right"/>
              <w:rPr>
                <w:sz w:val="20"/>
                <w:szCs w:val="20"/>
                <w:lang w:eastAsia="en-CA"/>
              </w:rPr>
            </w:pPr>
            <w:r w:rsidRPr="00F7008B">
              <w:rPr>
                <w:sz w:val="20"/>
                <w:szCs w:val="20"/>
                <w:lang w:eastAsia="fr"/>
              </w:rPr>
              <w:t>38 481 186</w:t>
            </w:r>
          </w:p>
        </w:tc>
        <w:tc>
          <w:tcPr>
            <w:tcW w:w="1242" w:type="dxa"/>
            <w:tcBorders>
              <w:top w:val="nil"/>
              <w:left w:val="nil"/>
              <w:bottom w:val="single" w:sz="4" w:space="0" w:color="auto"/>
              <w:right w:val="single" w:sz="4" w:space="0" w:color="auto"/>
            </w:tcBorders>
            <w:shd w:val="clear" w:color="auto" w:fill="auto"/>
            <w:noWrap/>
            <w:vAlign w:val="bottom"/>
            <w:hideMark/>
          </w:tcPr>
          <w:p w14:paraId="19BD4323" w14:textId="77777777" w:rsidR="005632A0" w:rsidRPr="00F7008B" w:rsidRDefault="005632A0" w:rsidP="005632A0">
            <w:pPr>
              <w:jc w:val="right"/>
              <w:rPr>
                <w:sz w:val="20"/>
                <w:szCs w:val="20"/>
                <w:lang w:eastAsia="en-CA"/>
              </w:rPr>
            </w:pPr>
            <w:r w:rsidRPr="00F7008B">
              <w:rPr>
                <w:sz w:val="20"/>
                <w:szCs w:val="20"/>
                <w:lang w:eastAsia="fr"/>
              </w:rPr>
              <w:t>3 634 046</w:t>
            </w:r>
          </w:p>
        </w:tc>
        <w:tc>
          <w:tcPr>
            <w:tcW w:w="1242" w:type="dxa"/>
            <w:tcBorders>
              <w:top w:val="nil"/>
              <w:left w:val="nil"/>
              <w:bottom w:val="single" w:sz="4" w:space="0" w:color="auto"/>
              <w:right w:val="single" w:sz="4" w:space="0" w:color="auto"/>
            </w:tcBorders>
            <w:shd w:val="clear" w:color="auto" w:fill="auto"/>
            <w:noWrap/>
            <w:vAlign w:val="bottom"/>
            <w:hideMark/>
          </w:tcPr>
          <w:p w14:paraId="0CC54393" w14:textId="77777777" w:rsidR="005632A0" w:rsidRPr="00F7008B" w:rsidRDefault="006A1F1C" w:rsidP="005632A0">
            <w:pPr>
              <w:jc w:val="right"/>
              <w:rPr>
                <w:sz w:val="20"/>
                <w:szCs w:val="20"/>
                <w:lang w:eastAsia="en-CA"/>
              </w:rPr>
            </w:pPr>
            <w:r w:rsidRPr="00F7008B">
              <w:rPr>
                <w:sz w:val="20"/>
                <w:szCs w:val="20"/>
                <w:lang w:eastAsia="fr"/>
              </w:rPr>
              <w:t>91</w:t>
            </w:r>
          </w:p>
        </w:tc>
      </w:tr>
      <w:tr w:rsidR="005632A0" w:rsidRPr="00F7008B" w14:paraId="5E14BF79"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45B22B8C" w14:textId="77777777" w:rsidR="005632A0" w:rsidRPr="00F7008B" w:rsidRDefault="005632A0" w:rsidP="005632A0">
            <w:pPr>
              <w:jc w:val="left"/>
              <w:rPr>
                <w:sz w:val="20"/>
                <w:szCs w:val="20"/>
                <w:lang w:eastAsia="en-CA"/>
              </w:rPr>
            </w:pPr>
            <w:r w:rsidRPr="00F7008B">
              <w:rPr>
                <w:sz w:val="20"/>
                <w:szCs w:val="20"/>
                <w:lang w:eastAsia="fr"/>
              </w:rPr>
              <w:t xml:space="preserve">2017 </w:t>
            </w:r>
          </w:p>
        </w:tc>
        <w:tc>
          <w:tcPr>
            <w:tcW w:w="1216" w:type="dxa"/>
            <w:tcBorders>
              <w:top w:val="nil"/>
              <w:left w:val="nil"/>
              <w:bottom w:val="single" w:sz="4" w:space="0" w:color="auto"/>
              <w:right w:val="single" w:sz="4" w:space="0" w:color="auto"/>
            </w:tcBorders>
            <w:shd w:val="clear" w:color="auto" w:fill="auto"/>
            <w:noWrap/>
            <w:vAlign w:val="bottom"/>
            <w:hideMark/>
          </w:tcPr>
          <w:p w14:paraId="5F3D7259" w14:textId="77777777" w:rsidR="005632A0" w:rsidRPr="00F7008B" w:rsidRDefault="005632A0" w:rsidP="005632A0">
            <w:pPr>
              <w:jc w:val="right"/>
              <w:rPr>
                <w:sz w:val="20"/>
                <w:szCs w:val="20"/>
                <w:lang w:eastAsia="en-CA"/>
              </w:rPr>
            </w:pPr>
            <w:r w:rsidRPr="00F7008B">
              <w:rPr>
                <w:sz w:val="20"/>
                <w:szCs w:val="20"/>
                <w:lang w:eastAsia="fr"/>
              </w:rPr>
              <w:t>28</w:t>
            </w:r>
          </w:p>
        </w:tc>
        <w:tc>
          <w:tcPr>
            <w:tcW w:w="1217" w:type="dxa"/>
            <w:tcBorders>
              <w:top w:val="nil"/>
              <w:left w:val="nil"/>
              <w:bottom w:val="single" w:sz="4" w:space="0" w:color="auto"/>
              <w:right w:val="single" w:sz="4" w:space="0" w:color="auto"/>
            </w:tcBorders>
            <w:shd w:val="clear" w:color="auto" w:fill="auto"/>
            <w:noWrap/>
            <w:vAlign w:val="bottom"/>
            <w:hideMark/>
          </w:tcPr>
          <w:p w14:paraId="5358AE07" w14:textId="77777777" w:rsidR="005632A0" w:rsidRPr="00F7008B" w:rsidRDefault="005632A0" w:rsidP="005632A0">
            <w:pPr>
              <w:jc w:val="right"/>
              <w:rPr>
                <w:sz w:val="20"/>
                <w:szCs w:val="20"/>
                <w:lang w:eastAsia="en-CA"/>
              </w:rPr>
            </w:pPr>
            <w:r w:rsidRPr="00F7008B">
              <w:rPr>
                <w:sz w:val="20"/>
                <w:szCs w:val="20"/>
                <w:lang w:eastAsia="fr"/>
              </w:rPr>
              <w:t>18</w:t>
            </w:r>
          </w:p>
        </w:tc>
        <w:tc>
          <w:tcPr>
            <w:tcW w:w="1217" w:type="dxa"/>
            <w:tcBorders>
              <w:top w:val="nil"/>
              <w:left w:val="nil"/>
              <w:bottom w:val="single" w:sz="4" w:space="0" w:color="auto"/>
              <w:right w:val="single" w:sz="4" w:space="0" w:color="auto"/>
            </w:tcBorders>
            <w:shd w:val="clear" w:color="auto" w:fill="auto"/>
            <w:noWrap/>
            <w:vAlign w:val="bottom"/>
            <w:hideMark/>
          </w:tcPr>
          <w:p w14:paraId="0C191963" w14:textId="77777777" w:rsidR="005632A0" w:rsidRPr="00F7008B" w:rsidRDefault="006A1F1C" w:rsidP="005632A0">
            <w:pPr>
              <w:jc w:val="right"/>
              <w:rPr>
                <w:sz w:val="20"/>
                <w:szCs w:val="20"/>
                <w:lang w:eastAsia="en-CA"/>
              </w:rPr>
            </w:pPr>
            <w:r w:rsidRPr="00F7008B">
              <w:rPr>
                <w:sz w:val="20"/>
                <w:szCs w:val="20"/>
                <w:lang w:eastAsia="fr"/>
              </w:rPr>
              <w:t>64</w:t>
            </w:r>
          </w:p>
        </w:tc>
        <w:tc>
          <w:tcPr>
            <w:tcW w:w="1241" w:type="dxa"/>
            <w:tcBorders>
              <w:top w:val="nil"/>
              <w:left w:val="nil"/>
              <w:bottom w:val="single" w:sz="4" w:space="0" w:color="auto"/>
              <w:right w:val="single" w:sz="4" w:space="0" w:color="auto"/>
            </w:tcBorders>
            <w:shd w:val="clear" w:color="auto" w:fill="auto"/>
            <w:noWrap/>
            <w:vAlign w:val="bottom"/>
            <w:hideMark/>
          </w:tcPr>
          <w:p w14:paraId="39EFB272" w14:textId="77777777" w:rsidR="005632A0" w:rsidRPr="00F7008B" w:rsidRDefault="005632A0" w:rsidP="005632A0">
            <w:pPr>
              <w:jc w:val="right"/>
              <w:rPr>
                <w:sz w:val="20"/>
                <w:szCs w:val="20"/>
                <w:lang w:eastAsia="en-CA"/>
              </w:rPr>
            </w:pPr>
            <w:r w:rsidRPr="00F7008B">
              <w:rPr>
                <w:sz w:val="20"/>
                <w:szCs w:val="20"/>
                <w:lang w:eastAsia="fr"/>
              </w:rPr>
              <w:t>30 726 524</w:t>
            </w:r>
          </w:p>
        </w:tc>
        <w:tc>
          <w:tcPr>
            <w:tcW w:w="1242" w:type="dxa"/>
            <w:tcBorders>
              <w:top w:val="nil"/>
              <w:left w:val="nil"/>
              <w:bottom w:val="single" w:sz="4" w:space="0" w:color="auto"/>
              <w:right w:val="single" w:sz="4" w:space="0" w:color="auto"/>
            </w:tcBorders>
            <w:shd w:val="clear" w:color="auto" w:fill="auto"/>
            <w:noWrap/>
            <w:vAlign w:val="bottom"/>
            <w:hideMark/>
          </w:tcPr>
          <w:p w14:paraId="3B9DA431" w14:textId="77777777" w:rsidR="005632A0" w:rsidRPr="00F7008B" w:rsidRDefault="005632A0" w:rsidP="005632A0">
            <w:pPr>
              <w:jc w:val="right"/>
              <w:rPr>
                <w:sz w:val="20"/>
                <w:szCs w:val="20"/>
                <w:lang w:eastAsia="en-CA"/>
              </w:rPr>
            </w:pPr>
            <w:r w:rsidRPr="00F7008B">
              <w:rPr>
                <w:sz w:val="20"/>
                <w:szCs w:val="20"/>
                <w:lang w:eastAsia="fr"/>
              </w:rPr>
              <w:t>29 868 519</w:t>
            </w:r>
          </w:p>
        </w:tc>
        <w:tc>
          <w:tcPr>
            <w:tcW w:w="1242" w:type="dxa"/>
            <w:tcBorders>
              <w:top w:val="nil"/>
              <w:left w:val="nil"/>
              <w:bottom w:val="single" w:sz="4" w:space="0" w:color="auto"/>
              <w:right w:val="single" w:sz="4" w:space="0" w:color="auto"/>
            </w:tcBorders>
            <w:shd w:val="clear" w:color="auto" w:fill="auto"/>
            <w:noWrap/>
            <w:vAlign w:val="bottom"/>
            <w:hideMark/>
          </w:tcPr>
          <w:p w14:paraId="29B0D168" w14:textId="77777777" w:rsidR="005632A0" w:rsidRPr="00F7008B" w:rsidRDefault="005632A0" w:rsidP="005632A0">
            <w:pPr>
              <w:jc w:val="right"/>
              <w:rPr>
                <w:sz w:val="20"/>
                <w:szCs w:val="20"/>
                <w:lang w:eastAsia="en-CA"/>
              </w:rPr>
            </w:pPr>
            <w:r w:rsidRPr="00F7008B">
              <w:rPr>
                <w:sz w:val="20"/>
                <w:szCs w:val="20"/>
                <w:lang w:eastAsia="fr"/>
              </w:rPr>
              <w:t>858 005</w:t>
            </w:r>
          </w:p>
        </w:tc>
        <w:tc>
          <w:tcPr>
            <w:tcW w:w="1242" w:type="dxa"/>
            <w:tcBorders>
              <w:top w:val="nil"/>
              <w:left w:val="nil"/>
              <w:bottom w:val="single" w:sz="4" w:space="0" w:color="auto"/>
              <w:right w:val="single" w:sz="4" w:space="0" w:color="auto"/>
            </w:tcBorders>
            <w:shd w:val="clear" w:color="auto" w:fill="auto"/>
            <w:noWrap/>
            <w:vAlign w:val="bottom"/>
            <w:hideMark/>
          </w:tcPr>
          <w:p w14:paraId="7F5E41F1" w14:textId="77777777" w:rsidR="005632A0" w:rsidRPr="00F7008B" w:rsidRDefault="006A1F1C" w:rsidP="005632A0">
            <w:pPr>
              <w:jc w:val="right"/>
              <w:rPr>
                <w:sz w:val="20"/>
                <w:szCs w:val="20"/>
                <w:lang w:eastAsia="en-CA"/>
              </w:rPr>
            </w:pPr>
            <w:r w:rsidRPr="00F7008B">
              <w:rPr>
                <w:sz w:val="20"/>
                <w:szCs w:val="20"/>
                <w:lang w:eastAsia="fr"/>
              </w:rPr>
              <w:t>97</w:t>
            </w:r>
          </w:p>
        </w:tc>
      </w:tr>
      <w:tr w:rsidR="005632A0" w:rsidRPr="00F7008B" w14:paraId="5D890E3E"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5D0267C9" w14:textId="77777777" w:rsidR="005632A0" w:rsidRPr="00F7008B" w:rsidRDefault="005632A0" w:rsidP="005632A0">
            <w:pPr>
              <w:jc w:val="left"/>
              <w:rPr>
                <w:sz w:val="20"/>
                <w:szCs w:val="20"/>
                <w:lang w:eastAsia="en-CA"/>
              </w:rPr>
            </w:pPr>
            <w:r w:rsidRPr="00F7008B">
              <w:rPr>
                <w:sz w:val="20"/>
                <w:szCs w:val="20"/>
                <w:lang w:eastAsia="fr"/>
              </w:rPr>
              <w:t xml:space="preserve">2018 </w:t>
            </w:r>
          </w:p>
        </w:tc>
        <w:tc>
          <w:tcPr>
            <w:tcW w:w="1216" w:type="dxa"/>
            <w:tcBorders>
              <w:top w:val="nil"/>
              <w:left w:val="nil"/>
              <w:bottom w:val="single" w:sz="4" w:space="0" w:color="auto"/>
              <w:right w:val="single" w:sz="4" w:space="0" w:color="auto"/>
            </w:tcBorders>
            <w:shd w:val="clear" w:color="auto" w:fill="auto"/>
            <w:noWrap/>
            <w:vAlign w:val="bottom"/>
            <w:hideMark/>
          </w:tcPr>
          <w:p w14:paraId="40547A43" w14:textId="77777777" w:rsidR="005632A0" w:rsidRPr="00F7008B" w:rsidRDefault="005632A0" w:rsidP="005632A0">
            <w:pPr>
              <w:jc w:val="right"/>
              <w:rPr>
                <w:sz w:val="20"/>
                <w:szCs w:val="20"/>
                <w:lang w:eastAsia="en-CA"/>
              </w:rPr>
            </w:pPr>
            <w:r w:rsidRPr="00F7008B">
              <w:rPr>
                <w:sz w:val="20"/>
                <w:szCs w:val="20"/>
                <w:lang w:eastAsia="fr"/>
              </w:rPr>
              <w:t>60</w:t>
            </w:r>
          </w:p>
        </w:tc>
        <w:tc>
          <w:tcPr>
            <w:tcW w:w="1217" w:type="dxa"/>
            <w:tcBorders>
              <w:top w:val="nil"/>
              <w:left w:val="nil"/>
              <w:bottom w:val="single" w:sz="4" w:space="0" w:color="auto"/>
              <w:right w:val="single" w:sz="4" w:space="0" w:color="auto"/>
            </w:tcBorders>
            <w:shd w:val="clear" w:color="auto" w:fill="auto"/>
            <w:noWrap/>
            <w:vAlign w:val="bottom"/>
            <w:hideMark/>
          </w:tcPr>
          <w:p w14:paraId="03E339EE" w14:textId="77777777" w:rsidR="005632A0" w:rsidRPr="00F7008B" w:rsidRDefault="005632A0" w:rsidP="005632A0">
            <w:pPr>
              <w:jc w:val="right"/>
              <w:rPr>
                <w:sz w:val="20"/>
                <w:szCs w:val="20"/>
                <w:lang w:eastAsia="en-CA"/>
              </w:rPr>
            </w:pPr>
            <w:r w:rsidRPr="00F7008B">
              <w:rPr>
                <w:sz w:val="20"/>
                <w:szCs w:val="20"/>
                <w:lang w:eastAsia="fr"/>
              </w:rPr>
              <w:t>21</w:t>
            </w:r>
          </w:p>
        </w:tc>
        <w:tc>
          <w:tcPr>
            <w:tcW w:w="1217" w:type="dxa"/>
            <w:tcBorders>
              <w:top w:val="nil"/>
              <w:left w:val="nil"/>
              <w:bottom w:val="single" w:sz="4" w:space="0" w:color="auto"/>
              <w:right w:val="single" w:sz="4" w:space="0" w:color="auto"/>
            </w:tcBorders>
            <w:shd w:val="clear" w:color="auto" w:fill="auto"/>
            <w:noWrap/>
            <w:vAlign w:val="bottom"/>
            <w:hideMark/>
          </w:tcPr>
          <w:p w14:paraId="3F320DEB" w14:textId="77777777" w:rsidR="005632A0" w:rsidRPr="00F7008B" w:rsidRDefault="006A1F1C" w:rsidP="005632A0">
            <w:pPr>
              <w:jc w:val="right"/>
              <w:rPr>
                <w:sz w:val="20"/>
                <w:szCs w:val="20"/>
                <w:lang w:eastAsia="en-CA"/>
              </w:rPr>
            </w:pPr>
            <w:r w:rsidRPr="00F7008B">
              <w:rPr>
                <w:sz w:val="20"/>
                <w:szCs w:val="20"/>
                <w:lang w:eastAsia="fr"/>
              </w:rPr>
              <w:t>35</w:t>
            </w:r>
          </w:p>
        </w:tc>
        <w:tc>
          <w:tcPr>
            <w:tcW w:w="1241" w:type="dxa"/>
            <w:tcBorders>
              <w:top w:val="nil"/>
              <w:left w:val="nil"/>
              <w:bottom w:val="single" w:sz="4" w:space="0" w:color="auto"/>
              <w:right w:val="single" w:sz="4" w:space="0" w:color="auto"/>
            </w:tcBorders>
            <w:shd w:val="clear" w:color="auto" w:fill="auto"/>
            <w:noWrap/>
            <w:vAlign w:val="bottom"/>
            <w:hideMark/>
          </w:tcPr>
          <w:p w14:paraId="7E4CBB85" w14:textId="77777777" w:rsidR="005632A0" w:rsidRPr="00F7008B" w:rsidRDefault="005632A0" w:rsidP="005632A0">
            <w:pPr>
              <w:jc w:val="right"/>
              <w:rPr>
                <w:sz w:val="20"/>
                <w:szCs w:val="20"/>
                <w:lang w:eastAsia="en-CA"/>
              </w:rPr>
            </w:pPr>
            <w:r w:rsidRPr="00F7008B">
              <w:rPr>
                <w:sz w:val="20"/>
                <w:szCs w:val="20"/>
                <w:lang w:eastAsia="fr"/>
              </w:rPr>
              <w:t>40 274 486</w:t>
            </w:r>
          </w:p>
        </w:tc>
        <w:tc>
          <w:tcPr>
            <w:tcW w:w="1242" w:type="dxa"/>
            <w:tcBorders>
              <w:top w:val="nil"/>
              <w:left w:val="nil"/>
              <w:bottom w:val="single" w:sz="4" w:space="0" w:color="auto"/>
              <w:right w:val="single" w:sz="4" w:space="0" w:color="auto"/>
            </w:tcBorders>
            <w:shd w:val="clear" w:color="auto" w:fill="auto"/>
            <w:noWrap/>
            <w:vAlign w:val="bottom"/>
            <w:hideMark/>
          </w:tcPr>
          <w:p w14:paraId="60C2E4A3" w14:textId="77777777" w:rsidR="005632A0" w:rsidRPr="00F7008B" w:rsidRDefault="005632A0" w:rsidP="005632A0">
            <w:pPr>
              <w:jc w:val="right"/>
              <w:rPr>
                <w:sz w:val="20"/>
                <w:szCs w:val="20"/>
                <w:lang w:eastAsia="en-CA"/>
              </w:rPr>
            </w:pPr>
            <w:r w:rsidRPr="00F7008B">
              <w:rPr>
                <w:sz w:val="20"/>
                <w:szCs w:val="20"/>
                <w:lang w:eastAsia="fr"/>
              </w:rPr>
              <w:t>12 139 791</w:t>
            </w:r>
          </w:p>
        </w:tc>
        <w:tc>
          <w:tcPr>
            <w:tcW w:w="1242" w:type="dxa"/>
            <w:tcBorders>
              <w:top w:val="nil"/>
              <w:left w:val="nil"/>
              <w:bottom w:val="single" w:sz="4" w:space="0" w:color="auto"/>
              <w:right w:val="single" w:sz="4" w:space="0" w:color="auto"/>
            </w:tcBorders>
            <w:shd w:val="clear" w:color="auto" w:fill="auto"/>
            <w:noWrap/>
            <w:vAlign w:val="bottom"/>
            <w:hideMark/>
          </w:tcPr>
          <w:p w14:paraId="2FCA1CDA" w14:textId="77777777" w:rsidR="005632A0" w:rsidRPr="00F7008B" w:rsidRDefault="005632A0" w:rsidP="005632A0">
            <w:pPr>
              <w:jc w:val="right"/>
              <w:rPr>
                <w:sz w:val="20"/>
                <w:szCs w:val="20"/>
                <w:lang w:eastAsia="en-CA"/>
              </w:rPr>
            </w:pPr>
            <w:r w:rsidRPr="00F7008B">
              <w:rPr>
                <w:sz w:val="20"/>
                <w:szCs w:val="20"/>
                <w:lang w:eastAsia="fr"/>
              </w:rPr>
              <w:t>28 134 695</w:t>
            </w:r>
          </w:p>
        </w:tc>
        <w:tc>
          <w:tcPr>
            <w:tcW w:w="1242" w:type="dxa"/>
            <w:tcBorders>
              <w:top w:val="nil"/>
              <w:left w:val="nil"/>
              <w:bottom w:val="single" w:sz="4" w:space="0" w:color="auto"/>
              <w:right w:val="single" w:sz="4" w:space="0" w:color="auto"/>
            </w:tcBorders>
            <w:shd w:val="clear" w:color="auto" w:fill="auto"/>
            <w:noWrap/>
            <w:vAlign w:val="bottom"/>
            <w:hideMark/>
          </w:tcPr>
          <w:p w14:paraId="77C1B6A7" w14:textId="77777777" w:rsidR="005632A0" w:rsidRPr="00F7008B" w:rsidRDefault="006A1F1C" w:rsidP="005632A0">
            <w:pPr>
              <w:jc w:val="right"/>
              <w:rPr>
                <w:sz w:val="20"/>
                <w:szCs w:val="20"/>
                <w:lang w:eastAsia="en-CA"/>
              </w:rPr>
            </w:pPr>
            <w:r w:rsidRPr="00F7008B">
              <w:rPr>
                <w:sz w:val="20"/>
                <w:szCs w:val="20"/>
                <w:lang w:eastAsia="fr"/>
              </w:rPr>
              <w:t>30</w:t>
            </w:r>
          </w:p>
        </w:tc>
      </w:tr>
      <w:tr w:rsidR="005632A0" w:rsidRPr="00F7008B" w14:paraId="76E06BEF"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6DF437D0" w14:textId="77777777" w:rsidR="005632A0" w:rsidRPr="00F7008B" w:rsidRDefault="005632A0" w:rsidP="005632A0">
            <w:pPr>
              <w:jc w:val="left"/>
              <w:rPr>
                <w:sz w:val="20"/>
                <w:szCs w:val="20"/>
                <w:lang w:eastAsia="en-CA"/>
              </w:rPr>
            </w:pPr>
            <w:r w:rsidRPr="00F7008B">
              <w:rPr>
                <w:sz w:val="20"/>
                <w:szCs w:val="20"/>
                <w:lang w:eastAsia="fr"/>
              </w:rPr>
              <w:t xml:space="preserve">2019 </w:t>
            </w:r>
          </w:p>
        </w:tc>
        <w:tc>
          <w:tcPr>
            <w:tcW w:w="1216" w:type="dxa"/>
            <w:tcBorders>
              <w:top w:val="nil"/>
              <w:left w:val="nil"/>
              <w:bottom w:val="single" w:sz="4" w:space="0" w:color="auto"/>
              <w:right w:val="single" w:sz="4" w:space="0" w:color="auto"/>
            </w:tcBorders>
            <w:shd w:val="clear" w:color="auto" w:fill="auto"/>
            <w:noWrap/>
            <w:vAlign w:val="bottom"/>
            <w:hideMark/>
          </w:tcPr>
          <w:p w14:paraId="4D0E17DB" w14:textId="77777777" w:rsidR="005632A0" w:rsidRPr="00F7008B" w:rsidRDefault="005632A0" w:rsidP="005632A0">
            <w:pPr>
              <w:jc w:val="right"/>
              <w:rPr>
                <w:sz w:val="20"/>
                <w:szCs w:val="20"/>
                <w:lang w:eastAsia="en-CA"/>
              </w:rPr>
            </w:pPr>
            <w:r w:rsidRPr="00F7008B">
              <w:rPr>
                <w:sz w:val="20"/>
                <w:szCs w:val="20"/>
                <w:lang w:eastAsia="fr"/>
              </w:rPr>
              <w:t>41</w:t>
            </w:r>
          </w:p>
        </w:tc>
        <w:tc>
          <w:tcPr>
            <w:tcW w:w="1217" w:type="dxa"/>
            <w:tcBorders>
              <w:top w:val="nil"/>
              <w:left w:val="nil"/>
              <w:bottom w:val="single" w:sz="4" w:space="0" w:color="auto"/>
              <w:right w:val="single" w:sz="4" w:space="0" w:color="auto"/>
            </w:tcBorders>
            <w:shd w:val="clear" w:color="auto" w:fill="auto"/>
            <w:noWrap/>
            <w:vAlign w:val="bottom"/>
            <w:hideMark/>
          </w:tcPr>
          <w:p w14:paraId="30B5F89D" w14:textId="77777777" w:rsidR="005632A0" w:rsidRPr="00F7008B" w:rsidRDefault="005632A0" w:rsidP="005632A0">
            <w:pPr>
              <w:jc w:val="right"/>
              <w:rPr>
                <w:sz w:val="20"/>
                <w:szCs w:val="20"/>
                <w:lang w:eastAsia="en-CA"/>
              </w:rPr>
            </w:pPr>
            <w:r w:rsidRPr="00F7008B">
              <w:rPr>
                <w:sz w:val="20"/>
                <w:szCs w:val="20"/>
                <w:lang w:eastAsia="fr"/>
              </w:rPr>
              <w:t>6</w:t>
            </w:r>
          </w:p>
        </w:tc>
        <w:tc>
          <w:tcPr>
            <w:tcW w:w="1217" w:type="dxa"/>
            <w:tcBorders>
              <w:top w:val="nil"/>
              <w:left w:val="nil"/>
              <w:bottom w:val="single" w:sz="4" w:space="0" w:color="auto"/>
              <w:right w:val="single" w:sz="4" w:space="0" w:color="auto"/>
            </w:tcBorders>
            <w:shd w:val="clear" w:color="auto" w:fill="auto"/>
            <w:noWrap/>
            <w:vAlign w:val="bottom"/>
            <w:hideMark/>
          </w:tcPr>
          <w:p w14:paraId="500F6086" w14:textId="77777777" w:rsidR="005632A0" w:rsidRPr="00F7008B" w:rsidRDefault="006A1F1C" w:rsidP="005632A0">
            <w:pPr>
              <w:jc w:val="right"/>
              <w:rPr>
                <w:sz w:val="20"/>
                <w:szCs w:val="20"/>
                <w:lang w:eastAsia="en-CA"/>
              </w:rPr>
            </w:pPr>
            <w:r w:rsidRPr="00F7008B">
              <w:rPr>
                <w:sz w:val="20"/>
                <w:szCs w:val="20"/>
                <w:lang w:eastAsia="fr"/>
              </w:rPr>
              <w:t>15</w:t>
            </w:r>
          </w:p>
        </w:tc>
        <w:tc>
          <w:tcPr>
            <w:tcW w:w="1241" w:type="dxa"/>
            <w:tcBorders>
              <w:top w:val="nil"/>
              <w:left w:val="nil"/>
              <w:bottom w:val="single" w:sz="4" w:space="0" w:color="auto"/>
              <w:right w:val="single" w:sz="4" w:space="0" w:color="auto"/>
            </w:tcBorders>
            <w:shd w:val="clear" w:color="auto" w:fill="auto"/>
            <w:noWrap/>
            <w:vAlign w:val="bottom"/>
            <w:hideMark/>
          </w:tcPr>
          <w:p w14:paraId="78F6C513" w14:textId="77777777" w:rsidR="005632A0" w:rsidRPr="00F7008B" w:rsidRDefault="005632A0" w:rsidP="005632A0">
            <w:pPr>
              <w:jc w:val="right"/>
              <w:rPr>
                <w:sz w:val="20"/>
                <w:szCs w:val="20"/>
                <w:lang w:eastAsia="en-CA"/>
              </w:rPr>
            </w:pPr>
            <w:r w:rsidRPr="00F7008B">
              <w:rPr>
                <w:sz w:val="20"/>
                <w:szCs w:val="20"/>
                <w:lang w:eastAsia="fr"/>
              </w:rPr>
              <w:t>10 391 727</w:t>
            </w:r>
          </w:p>
        </w:tc>
        <w:tc>
          <w:tcPr>
            <w:tcW w:w="1242" w:type="dxa"/>
            <w:tcBorders>
              <w:top w:val="nil"/>
              <w:left w:val="nil"/>
              <w:bottom w:val="single" w:sz="4" w:space="0" w:color="auto"/>
              <w:right w:val="single" w:sz="4" w:space="0" w:color="auto"/>
            </w:tcBorders>
            <w:shd w:val="clear" w:color="auto" w:fill="auto"/>
            <w:noWrap/>
            <w:vAlign w:val="bottom"/>
            <w:hideMark/>
          </w:tcPr>
          <w:p w14:paraId="2DF36649" w14:textId="77777777" w:rsidR="005632A0" w:rsidRPr="00F7008B" w:rsidRDefault="005632A0" w:rsidP="005632A0">
            <w:pPr>
              <w:jc w:val="right"/>
              <w:rPr>
                <w:sz w:val="20"/>
                <w:szCs w:val="20"/>
                <w:lang w:eastAsia="en-CA"/>
              </w:rPr>
            </w:pPr>
            <w:r w:rsidRPr="00F7008B">
              <w:rPr>
                <w:sz w:val="20"/>
                <w:szCs w:val="20"/>
                <w:lang w:eastAsia="fr"/>
              </w:rPr>
              <w:t>1 717 154</w:t>
            </w:r>
          </w:p>
        </w:tc>
        <w:tc>
          <w:tcPr>
            <w:tcW w:w="1242" w:type="dxa"/>
            <w:tcBorders>
              <w:top w:val="nil"/>
              <w:left w:val="nil"/>
              <w:bottom w:val="single" w:sz="4" w:space="0" w:color="auto"/>
              <w:right w:val="single" w:sz="4" w:space="0" w:color="auto"/>
            </w:tcBorders>
            <w:shd w:val="clear" w:color="auto" w:fill="auto"/>
            <w:noWrap/>
            <w:vAlign w:val="bottom"/>
            <w:hideMark/>
          </w:tcPr>
          <w:p w14:paraId="6DA7C613" w14:textId="77777777" w:rsidR="005632A0" w:rsidRPr="00F7008B" w:rsidRDefault="005632A0" w:rsidP="005632A0">
            <w:pPr>
              <w:jc w:val="right"/>
              <w:rPr>
                <w:sz w:val="20"/>
                <w:szCs w:val="20"/>
                <w:lang w:eastAsia="en-CA"/>
              </w:rPr>
            </w:pPr>
            <w:r w:rsidRPr="00F7008B">
              <w:rPr>
                <w:sz w:val="20"/>
                <w:szCs w:val="20"/>
                <w:lang w:eastAsia="fr"/>
              </w:rPr>
              <w:t>8 674 573</w:t>
            </w:r>
          </w:p>
        </w:tc>
        <w:tc>
          <w:tcPr>
            <w:tcW w:w="1242" w:type="dxa"/>
            <w:tcBorders>
              <w:top w:val="nil"/>
              <w:left w:val="nil"/>
              <w:bottom w:val="single" w:sz="4" w:space="0" w:color="auto"/>
              <w:right w:val="single" w:sz="4" w:space="0" w:color="auto"/>
            </w:tcBorders>
            <w:shd w:val="clear" w:color="auto" w:fill="auto"/>
            <w:noWrap/>
            <w:vAlign w:val="bottom"/>
            <w:hideMark/>
          </w:tcPr>
          <w:p w14:paraId="5866B2A6" w14:textId="77777777" w:rsidR="005632A0" w:rsidRPr="00F7008B" w:rsidRDefault="006A1F1C" w:rsidP="005632A0">
            <w:pPr>
              <w:jc w:val="right"/>
              <w:rPr>
                <w:sz w:val="20"/>
                <w:szCs w:val="20"/>
                <w:lang w:eastAsia="en-CA"/>
              </w:rPr>
            </w:pPr>
            <w:r w:rsidRPr="00F7008B">
              <w:rPr>
                <w:sz w:val="20"/>
                <w:szCs w:val="20"/>
                <w:lang w:eastAsia="fr"/>
              </w:rPr>
              <w:t>17</w:t>
            </w:r>
          </w:p>
        </w:tc>
      </w:tr>
      <w:tr w:rsidR="005632A0" w:rsidRPr="00F7008B" w14:paraId="42E69E08"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1A99A3AA" w14:textId="77777777" w:rsidR="005632A0" w:rsidRPr="00F7008B" w:rsidRDefault="005632A0" w:rsidP="005632A0">
            <w:pPr>
              <w:jc w:val="left"/>
              <w:rPr>
                <w:sz w:val="20"/>
                <w:szCs w:val="20"/>
                <w:lang w:eastAsia="en-CA"/>
              </w:rPr>
            </w:pPr>
            <w:r w:rsidRPr="00F7008B">
              <w:rPr>
                <w:sz w:val="20"/>
                <w:szCs w:val="20"/>
                <w:lang w:eastAsia="fr"/>
              </w:rPr>
              <w:t xml:space="preserve">2020 </w:t>
            </w:r>
          </w:p>
        </w:tc>
        <w:tc>
          <w:tcPr>
            <w:tcW w:w="1216" w:type="dxa"/>
            <w:tcBorders>
              <w:top w:val="nil"/>
              <w:left w:val="nil"/>
              <w:bottom w:val="single" w:sz="4" w:space="0" w:color="auto"/>
              <w:right w:val="single" w:sz="4" w:space="0" w:color="auto"/>
            </w:tcBorders>
            <w:shd w:val="clear" w:color="auto" w:fill="auto"/>
            <w:noWrap/>
            <w:vAlign w:val="bottom"/>
            <w:hideMark/>
          </w:tcPr>
          <w:p w14:paraId="132883B5" w14:textId="77777777" w:rsidR="005632A0" w:rsidRPr="00F7008B" w:rsidRDefault="005632A0" w:rsidP="005632A0">
            <w:pPr>
              <w:jc w:val="right"/>
              <w:rPr>
                <w:sz w:val="20"/>
                <w:szCs w:val="20"/>
                <w:lang w:eastAsia="en-CA"/>
              </w:rPr>
            </w:pPr>
            <w:r w:rsidRPr="00F7008B">
              <w:rPr>
                <w:sz w:val="20"/>
                <w:szCs w:val="20"/>
                <w:lang w:eastAsia="fr"/>
              </w:rPr>
              <w:t>51</w:t>
            </w:r>
          </w:p>
        </w:tc>
        <w:tc>
          <w:tcPr>
            <w:tcW w:w="1217" w:type="dxa"/>
            <w:tcBorders>
              <w:top w:val="nil"/>
              <w:left w:val="nil"/>
              <w:bottom w:val="single" w:sz="4" w:space="0" w:color="auto"/>
              <w:right w:val="single" w:sz="4" w:space="0" w:color="auto"/>
            </w:tcBorders>
            <w:shd w:val="clear" w:color="auto" w:fill="auto"/>
            <w:noWrap/>
            <w:vAlign w:val="bottom"/>
            <w:hideMark/>
          </w:tcPr>
          <w:p w14:paraId="14516D28" w14:textId="77777777" w:rsidR="005632A0" w:rsidRPr="00F7008B" w:rsidRDefault="005632A0" w:rsidP="005632A0">
            <w:pPr>
              <w:jc w:val="right"/>
              <w:rPr>
                <w:sz w:val="20"/>
                <w:szCs w:val="20"/>
                <w:lang w:eastAsia="en-CA"/>
              </w:rPr>
            </w:pPr>
            <w:r w:rsidRPr="00F7008B">
              <w:rPr>
                <w:sz w:val="20"/>
                <w:szCs w:val="20"/>
                <w:lang w:eastAsia="fr"/>
              </w:rPr>
              <w:t>0</w:t>
            </w:r>
          </w:p>
        </w:tc>
        <w:tc>
          <w:tcPr>
            <w:tcW w:w="1217" w:type="dxa"/>
            <w:tcBorders>
              <w:top w:val="nil"/>
              <w:left w:val="nil"/>
              <w:bottom w:val="single" w:sz="4" w:space="0" w:color="auto"/>
              <w:right w:val="single" w:sz="4" w:space="0" w:color="auto"/>
            </w:tcBorders>
            <w:shd w:val="clear" w:color="auto" w:fill="auto"/>
            <w:noWrap/>
            <w:vAlign w:val="bottom"/>
            <w:hideMark/>
          </w:tcPr>
          <w:p w14:paraId="12D54611" w14:textId="77777777" w:rsidR="005632A0" w:rsidRPr="00F7008B" w:rsidRDefault="006A1F1C" w:rsidP="005632A0">
            <w:pPr>
              <w:jc w:val="right"/>
              <w:rPr>
                <w:sz w:val="20"/>
                <w:szCs w:val="20"/>
                <w:lang w:eastAsia="en-CA"/>
              </w:rPr>
            </w:pPr>
            <w:r w:rsidRPr="00F7008B">
              <w:rPr>
                <w:sz w:val="20"/>
                <w:szCs w:val="20"/>
                <w:lang w:eastAsia="fr"/>
              </w:rPr>
              <w:t>0</w:t>
            </w:r>
          </w:p>
        </w:tc>
        <w:tc>
          <w:tcPr>
            <w:tcW w:w="1241" w:type="dxa"/>
            <w:tcBorders>
              <w:top w:val="nil"/>
              <w:left w:val="nil"/>
              <w:bottom w:val="single" w:sz="4" w:space="0" w:color="auto"/>
              <w:right w:val="single" w:sz="4" w:space="0" w:color="auto"/>
            </w:tcBorders>
            <w:shd w:val="clear" w:color="auto" w:fill="auto"/>
            <w:noWrap/>
            <w:vAlign w:val="bottom"/>
            <w:hideMark/>
          </w:tcPr>
          <w:p w14:paraId="1AEDA5F0" w14:textId="77777777" w:rsidR="005632A0" w:rsidRPr="00F7008B" w:rsidRDefault="005632A0" w:rsidP="005632A0">
            <w:pPr>
              <w:jc w:val="right"/>
              <w:rPr>
                <w:sz w:val="20"/>
                <w:szCs w:val="20"/>
                <w:lang w:eastAsia="en-CA"/>
              </w:rPr>
            </w:pPr>
            <w:r w:rsidRPr="00F7008B">
              <w:rPr>
                <w:sz w:val="20"/>
                <w:szCs w:val="20"/>
                <w:lang w:eastAsia="fr"/>
              </w:rPr>
              <w:t>30 212 903</w:t>
            </w:r>
          </w:p>
        </w:tc>
        <w:tc>
          <w:tcPr>
            <w:tcW w:w="1242" w:type="dxa"/>
            <w:tcBorders>
              <w:top w:val="nil"/>
              <w:left w:val="nil"/>
              <w:bottom w:val="single" w:sz="4" w:space="0" w:color="auto"/>
              <w:right w:val="single" w:sz="4" w:space="0" w:color="auto"/>
            </w:tcBorders>
            <w:shd w:val="clear" w:color="auto" w:fill="auto"/>
            <w:noWrap/>
            <w:vAlign w:val="bottom"/>
            <w:hideMark/>
          </w:tcPr>
          <w:p w14:paraId="2A039EA9" w14:textId="77777777" w:rsidR="005632A0" w:rsidRPr="00F7008B" w:rsidRDefault="005632A0" w:rsidP="005632A0">
            <w:pPr>
              <w:jc w:val="right"/>
              <w:rPr>
                <w:sz w:val="20"/>
                <w:szCs w:val="20"/>
                <w:lang w:eastAsia="en-CA"/>
              </w:rPr>
            </w:pPr>
            <w:r w:rsidRPr="00F7008B">
              <w:rPr>
                <w:sz w:val="20"/>
                <w:szCs w:val="20"/>
                <w:lang w:eastAsia="fr"/>
              </w:rPr>
              <w:t>11 383 167</w:t>
            </w:r>
          </w:p>
        </w:tc>
        <w:tc>
          <w:tcPr>
            <w:tcW w:w="1242" w:type="dxa"/>
            <w:tcBorders>
              <w:top w:val="nil"/>
              <w:left w:val="nil"/>
              <w:bottom w:val="single" w:sz="4" w:space="0" w:color="auto"/>
              <w:right w:val="single" w:sz="4" w:space="0" w:color="auto"/>
            </w:tcBorders>
            <w:shd w:val="clear" w:color="auto" w:fill="auto"/>
            <w:noWrap/>
            <w:vAlign w:val="bottom"/>
            <w:hideMark/>
          </w:tcPr>
          <w:p w14:paraId="67EA9541" w14:textId="77777777" w:rsidR="005632A0" w:rsidRPr="00F7008B" w:rsidRDefault="005632A0" w:rsidP="005632A0">
            <w:pPr>
              <w:jc w:val="right"/>
              <w:rPr>
                <w:sz w:val="20"/>
                <w:szCs w:val="20"/>
                <w:lang w:eastAsia="en-CA"/>
              </w:rPr>
            </w:pPr>
            <w:r w:rsidRPr="00F7008B">
              <w:rPr>
                <w:sz w:val="20"/>
                <w:szCs w:val="20"/>
                <w:lang w:eastAsia="fr"/>
              </w:rPr>
              <w:t>18 829 736</w:t>
            </w:r>
          </w:p>
        </w:tc>
        <w:tc>
          <w:tcPr>
            <w:tcW w:w="1242" w:type="dxa"/>
            <w:tcBorders>
              <w:top w:val="nil"/>
              <w:left w:val="nil"/>
              <w:bottom w:val="single" w:sz="4" w:space="0" w:color="auto"/>
              <w:right w:val="single" w:sz="4" w:space="0" w:color="auto"/>
            </w:tcBorders>
            <w:shd w:val="clear" w:color="auto" w:fill="auto"/>
            <w:noWrap/>
            <w:vAlign w:val="bottom"/>
            <w:hideMark/>
          </w:tcPr>
          <w:p w14:paraId="2D6CD2FA" w14:textId="77777777" w:rsidR="005632A0" w:rsidRPr="00F7008B" w:rsidRDefault="006A1F1C" w:rsidP="005632A0">
            <w:pPr>
              <w:jc w:val="right"/>
              <w:rPr>
                <w:sz w:val="20"/>
                <w:szCs w:val="20"/>
                <w:lang w:eastAsia="en-CA"/>
              </w:rPr>
            </w:pPr>
            <w:r w:rsidRPr="00F7008B">
              <w:rPr>
                <w:sz w:val="20"/>
                <w:szCs w:val="20"/>
                <w:lang w:eastAsia="fr"/>
              </w:rPr>
              <w:t>38</w:t>
            </w:r>
          </w:p>
        </w:tc>
      </w:tr>
      <w:tr w:rsidR="005632A0" w:rsidRPr="00F7008B" w14:paraId="57322296" w14:textId="77777777" w:rsidTr="00696730">
        <w:tc>
          <w:tcPr>
            <w:tcW w:w="789" w:type="dxa"/>
            <w:tcBorders>
              <w:top w:val="nil"/>
              <w:left w:val="single" w:sz="4" w:space="0" w:color="auto"/>
              <w:bottom w:val="single" w:sz="4" w:space="0" w:color="auto"/>
              <w:right w:val="single" w:sz="4" w:space="0" w:color="auto"/>
            </w:tcBorders>
            <w:shd w:val="clear" w:color="auto" w:fill="auto"/>
            <w:noWrap/>
            <w:hideMark/>
          </w:tcPr>
          <w:p w14:paraId="24497140" w14:textId="77777777" w:rsidR="005632A0" w:rsidRPr="00F7008B" w:rsidRDefault="005632A0" w:rsidP="005632A0">
            <w:pPr>
              <w:jc w:val="left"/>
              <w:rPr>
                <w:b/>
                <w:bCs/>
                <w:sz w:val="20"/>
                <w:szCs w:val="20"/>
                <w:lang w:eastAsia="en-CA"/>
              </w:rPr>
            </w:pPr>
            <w:r w:rsidRPr="00F7008B">
              <w:rPr>
                <w:b/>
                <w:bCs/>
                <w:sz w:val="20"/>
                <w:szCs w:val="20"/>
                <w:lang w:eastAsia="fr"/>
              </w:rPr>
              <w:lastRenderedPageBreak/>
              <w:t>Total</w:t>
            </w:r>
          </w:p>
        </w:tc>
        <w:tc>
          <w:tcPr>
            <w:tcW w:w="1216" w:type="dxa"/>
            <w:tcBorders>
              <w:top w:val="nil"/>
              <w:left w:val="nil"/>
              <w:bottom w:val="single" w:sz="4" w:space="0" w:color="auto"/>
              <w:right w:val="single" w:sz="4" w:space="0" w:color="auto"/>
            </w:tcBorders>
            <w:shd w:val="clear" w:color="auto" w:fill="auto"/>
            <w:noWrap/>
            <w:vAlign w:val="bottom"/>
            <w:hideMark/>
          </w:tcPr>
          <w:p w14:paraId="308A5DA5" w14:textId="77777777" w:rsidR="005632A0" w:rsidRPr="00F7008B" w:rsidRDefault="005632A0" w:rsidP="005632A0">
            <w:pPr>
              <w:jc w:val="right"/>
              <w:rPr>
                <w:b/>
                <w:bCs/>
                <w:sz w:val="20"/>
                <w:szCs w:val="20"/>
                <w:lang w:eastAsia="en-CA"/>
              </w:rPr>
            </w:pPr>
            <w:r w:rsidRPr="00F7008B">
              <w:rPr>
                <w:b/>
                <w:bCs/>
                <w:sz w:val="20"/>
                <w:szCs w:val="20"/>
                <w:lang w:eastAsia="fr"/>
              </w:rPr>
              <w:t>2 526</w:t>
            </w:r>
          </w:p>
        </w:tc>
        <w:tc>
          <w:tcPr>
            <w:tcW w:w="1217" w:type="dxa"/>
            <w:tcBorders>
              <w:top w:val="nil"/>
              <w:left w:val="nil"/>
              <w:bottom w:val="single" w:sz="4" w:space="0" w:color="auto"/>
              <w:right w:val="single" w:sz="4" w:space="0" w:color="auto"/>
            </w:tcBorders>
            <w:shd w:val="clear" w:color="auto" w:fill="auto"/>
            <w:noWrap/>
            <w:vAlign w:val="bottom"/>
            <w:hideMark/>
          </w:tcPr>
          <w:p w14:paraId="47376206" w14:textId="77777777" w:rsidR="005632A0" w:rsidRPr="00F7008B" w:rsidRDefault="005632A0" w:rsidP="005632A0">
            <w:pPr>
              <w:jc w:val="right"/>
              <w:rPr>
                <w:b/>
                <w:bCs/>
                <w:sz w:val="20"/>
                <w:szCs w:val="20"/>
                <w:lang w:eastAsia="en-CA"/>
              </w:rPr>
            </w:pPr>
            <w:r w:rsidRPr="00F7008B">
              <w:rPr>
                <w:b/>
                <w:bCs/>
                <w:sz w:val="20"/>
                <w:szCs w:val="20"/>
                <w:lang w:eastAsia="fr"/>
              </w:rPr>
              <w:t>2 379</w:t>
            </w:r>
          </w:p>
        </w:tc>
        <w:tc>
          <w:tcPr>
            <w:tcW w:w="1217" w:type="dxa"/>
            <w:tcBorders>
              <w:top w:val="nil"/>
              <w:left w:val="nil"/>
              <w:bottom w:val="single" w:sz="4" w:space="0" w:color="auto"/>
              <w:right w:val="single" w:sz="4" w:space="0" w:color="auto"/>
            </w:tcBorders>
            <w:shd w:val="clear" w:color="auto" w:fill="auto"/>
            <w:noWrap/>
            <w:vAlign w:val="bottom"/>
            <w:hideMark/>
          </w:tcPr>
          <w:p w14:paraId="32B86D47" w14:textId="77777777" w:rsidR="005632A0" w:rsidRPr="00F7008B" w:rsidRDefault="006A1F1C" w:rsidP="005632A0">
            <w:pPr>
              <w:jc w:val="right"/>
              <w:rPr>
                <w:b/>
                <w:bCs/>
                <w:sz w:val="20"/>
                <w:szCs w:val="20"/>
                <w:lang w:eastAsia="en-CA"/>
              </w:rPr>
            </w:pPr>
            <w:r w:rsidRPr="00F7008B">
              <w:rPr>
                <w:b/>
                <w:bCs/>
                <w:sz w:val="20"/>
                <w:szCs w:val="20"/>
                <w:lang w:eastAsia="fr"/>
              </w:rPr>
              <w:t>94</w:t>
            </w:r>
          </w:p>
        </w:tc>
        <w:tc>
          <w:tcPr>
            <w:tcW w:w="1241" w:type="dxa"/>
            <w:tcBorders>
              <w:top w:val="nil"/>
              <w:left w:val="nil"/>
              <w:bottom w:val="single" w:sz="4" w:space="0" w:color="auto"/>
              <w:right w:val="single" w:sz="4" w:space="0" w:color="auto"/>
            </w:tcBorders>
            <w:shd w:val="clear" w:color="auto" w:fill="auto"/>
            <w:noWrap/>
            <w:vAlign w:val="bottom"/>
            <w:hideMark/>
          </w:tcPr>
          <w:p w14:paraId="68450240" w14:textId="77777777" w:rsidR="005632A0" w:rsidRPr="00F7008B" w:rsidRDefault="005632A0" w:rsidP="005632A0">
            <w:pPr>
              <w:jc w:val="right"/>
              <w:rPr>
                <w:b/>
                <w:bCs/>
                <w:sz w:val="20"/>
                <w:szCs w:val="20"/>
                <w:lang w:eastAsia="en-CA"/>
              </w:rPr>
            </w:pPr>
            <w:r w:rsidRPr="00F7008B">
              <w:rPr>
                <w:b/>
                <w:bCs/>
                <w:sz w:val="20"/>
                <w:szCs w:val="20"/>
                <w:lang w:eastAsia="fr"/>
              </w:rPr>
              <w:t>861 355 337</w:t>
            </w:r>
          </w:p>
        </w:tc>
        <w:tc>
          <w:tcPr>
            <w:tcW w:w="1242" w:type="dxa"/>
            <w:tcBorders>
              <w:top w:val="nil"/>
              <w:left w:val="nil"/>
              <w:bottom w:val="single" w:sz="4" w:space="0" w:color="auto"/>
              <w:right w:val="single" w:sz="4" w:space="0" w:color="auto"/>
            </w:tcBorders>
            <w:shd w:val="clear" w:color="auto" w:fill="auto"/>
            <w:noWrap/>
            <w:vAlign w:val="bottom"/>
            <w:hideMark/>
          </w:tcPr>
          <w:p w14:paraId="3A7439B3" w14:textId="77777777" w:rsidR="005632A0" w:rsidRPr="00F7008B" w:rsidRDefault="005632A0" w:rsidP="005632A0">
            <w:pPr>
              <w:jc w:val="right"/>
              <w:rPr>
                <w:b/>
                <w:bCs/>
                <w:sz w:val="20"/>
                <w:szCs w:val="20"/>
                <w:lang w:eastAsia="en-CA"/>
              </w:rPr>
            </w:pPr>
            <w:r w:rsidRPr="00F7008B">
              <w:rPr>
                <w:b/>
                <w:bCs/>
                <w:sz w:val="20"/>
                <w:szCs w:val="20"/>
                <w:lang w:eastAsia="fr"/>
              </w:rPr>
              <w:t>796 358 755</w:t>
            </w:r>
          </w:p>
        </w:tc>
        <w:tc>
          <w:tcPr>
            <w:tcW w:w="1242" w:type="dxa"/>
            <w:tcBorders>
              <w:top w:val="nil"/>
              <w:left w:val="nil"/>
              <w:bottom w:val="single" w:sz="4" w:space="0" w:color="auto"/>
              <w:right w:val="single" w:sz="4" w:space="0" w:color="auto"/>
            </w:tcBorders>
            <w:shd w:val="clear" w:color="auto" w:fill="auto"/>
            <w:noWrap/>
            <w:vAlign w:val="bottom"/>
            <w:hideMark/>
          </w:tcPr>
          <w:p w14:paraId="17D669D0" w14:textId="77777777" w:rsidR="005632A0" w:rsidRPr="00F7008B" w:rsidRDefault="005632A0" w:rsidP="005632A0">
            <w:pPr>
              <w:jc w:val="right"/>
              <w:rPr>
                <w:b/>
                <w:bCs/>
                <w:sz w:val="20"/>
                <w:szCs w:val="20"/>
                <w:lang w:eastAsia="en-CA"/>
              </w:rPr>
            </w:pPr>
            <w:r w:rsidRPr="00F7008B">
              <w:rPr>
                <w:b/>
                <w:bCs/>
                <w:sz w:val="20"/>
                <w:szCs w:val="20"/>
                <w:lang w:eastAsia="fr"/>
              </w:rPr>
              <w:t>64 996 582</w:t>
            </w:r>
          </w:p>
        </w:tc>
        <w:tc>
          <w:tcPr>
            <w:tcW w:w="1242" w:type="dxa"/>
            <w:tcBorders>
              <w:top w:val="nil"/>
              <w:left w:val="nil"/>
              <w:bottom w:val="single" w:sz="4" w:space="0" w:color="auto"/>
              <w:right w:val="single" w:sz="4" w:space="0" w:color="auto"/>
            </w:tcBorders>
            <w:shd w:val="clear" w:color="auto" w:fill="auto"/>
            <w:noWrap/>
            <w:vAlign w:val="bottom"/>
            <w:hideMark/>
          </w:tcPr>
          <w:p w14:paraId="17A6059D" w14:textId="77777777" w:rsidR="005632A0" w:rsidRPr="00F7008B" w:rsidRDefault="005632A0" w:rsidP="005632A0">
            <w:pPr>
              <w:jc w:val="right"/>
              <w:rPr>
                <w:b/>
                <w:bCs/>
                <w:sz w:val="20"/>
                <w:szCs w:val="20"/>
                <w:lang w:eastAsia="en-CA"/>
              </w:rPr>
            </w:pPr>
            <w:r w:rsidRPr="00F7008B">
              <w:rPr>
                <w:b/>
                <w:bCs/>
                <w:sz w:val="20"/>
                <w:szCs w:val="20"/>
                <w:lang w:eastAsia="fr"/>
              </w:rPr>
              <w:t>92</w:t>
            </w:r>
          </w:p>
        </w:tc>
      </w:tr>
    </w:tbl>
    <w:p w14:paraId="3965CA6E" w14:textId="08C16D99" w:rsidR="00E52ADD" w:rsidRPr="00822BBF" w:rsidRDefault="00E52ADD" w:rsidP="00E52ADD">
      <w:pPr>
        <w:keepNext/>
        <w:suppressAutoHyphens/>
        <w:jc w:val="left"/>
        <w:rPr>
          <w:sz w:val="19"/>
          <w:szCs w:val="19"/>
          <w:lang w:val="fr-FR"/>
        </w:rPr>
      </w:pPr>
      <w:r w:rsidRPr="00822BBF">
        <w:rPr>
          <w:sz w:val="19"/>
          <w:szCs w:val="19"/>
          <w:lang w:val="fr-FR"/>
        </w:rPr>
        <w:t>* À l'exclusion des projets clôturés et transférés.</w:t>
      </w:r>
    </w:p>
    <w:p w14:paraId="1113B40F" w14:textId="66767210" w:rsidR="00E52ADD" w:rsidRPr="00822BBF" w:rsidRDefault="00E52ADD" w:rsidP="00E52ADD">
      <w:pPr>
        <w:spacing w:after="240"/>
        <w:rPr>
          <w:sz w:val="18"/>
          <w:szCs w:val="18"/>
          <w:lang w:val="fr-FR"/>
        </w:rPr>
      </w:pPr>
      <w:r w:rsidRPr="00822BBF">
        <w:rPr>
          <w:sz w:val="19"/>
          <w:szCs w:val="19"/>
          <w:lang w:val="fr-FR"/>
        </w:rPr>
        <w:t xml:space="preserve">** À l'exclusion des coûts d'appui d'agence. </w:t>
      </w:r>
    </w:p>
    <w:p w14:paraId="3BEF4B9D" w14:textId="77777777" w:rsidR="00E52ADD" w:rsidRPr="00822BBF" w:rsidRDefault="00E52ADD" w:rsidP="00E52ADD">
      <w:pPr>
        <w:pStyle w:val="Heading1"/>
        <w:tabs>
          <w:tab w:val="clear" w:pos="0"/>
        </w:tabs>
        <w:rPr>
          <w:lang w:val="fr-FR"/>
        </w:rPr>
      </w:pPr>
      <w:r w:rsidRPr="00822BBF">
        <w:rPr>
          <w:lang w:val="fr-FR"/>
        </w:rPr>
        <w:t xml:space="preserve">Le tableau 4 présente la mise en </w:t>
      </w:r>
      <w:proofErr w:type="spellStart"/>
      <w:r w:rsidRPr="00822BBF">
        <w:rPr>
          <w:lang w:val="fr-FR"/>
        </w:rPr>
        <w:t>oeuvre</w:t>
      </w:r>
      <w:proofErr w:type="spellEnd"/>
      <w:r w:rsidRPr="00822BBF">
        <w:rPr>
          <w:lang w:val="fr-FR"/>
        </w:rPr>
        <w:t xml:space="preserve"> des projets, par pays, pour 2020.</w:t>
      </w:r>
    </w:p>
    <w:p w14:paraId="6634874C" w14:textId="77777777" w:rsidR="00E52ADD" w:rsidRPr="00822BBF" w:rsidRDefault="00E52ADD" w:rsidP="00E52ADD">
      <w:pPr>
        <w:pStyle w:val="Title1"/>
        <w:keepNext/>
        <w:jc w:val="both"/>
        <w:rPr>
          <w:caps w:val="0"/>
          <w:lang w:val="fr-FR"/>
        </w:rPr>
      </w:pPr>
      <w:r w:rsidRPr="00F7008B">
        <w:rPr>
          <w:caps w:val="0"/>
          <w:lang w:val="fr"/>
        </w:rPr>
        <w:t xml:space="preserve">Tableau 4. Sommaire des projets mis en œuvre par le PNUD en </w:t>
      </w:r>
      <w:r w:rsidR="00C954FD" w:rsidRPr="00F7008B">
        <w:rPr>
          <w:caps w:val="0"/>
          <w:lang w:val="fr"/>
        </w:rPr>
        <w:t>2020</w:t>
      </w:r>
    </w:p>
    <w:tbl>
      <w:tblPr>
        <w:tblW w:w="9576" w:type="dxa"/>
        <w:tblLayout w:type="fixed"/>
        <w:tblLook w:val="04A0" w:firstRow="1" w:lastRow="0" w:firstColumn="1" w:lastColumn="0" w:noHBand="0" w:noVBand="1"/>
      </w:tblPr>
      <w:tblGrid>
        <w:gridCol w:w="2235"/>
        <w:gridCol w:w="1475"/>
        <w:gridCol w:w="1230"/>
        <w:gridCol w:w="1095"/>
        <w:gridCol w:w="1017"/>
        <w:gridCol w:w="1304"/>
        <w:gridCol w:w="1220"/>
      </w:tblGrid>
      <w:tr w:rsidR="00A1757E" w:rsidRPr="0056042B" w14:paraId="1060407D" w14:textId="77777777" w:rsidTr="00781759">
        <w:trPr>
          <w:trHeight w:val="819"/>
          <w:tblHead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5078" w14:textId="77777777" w:rsidR="00A1757E" w:rsidRPr="00F7008B" w:rsidRDefault="00A1757E" w:rsidP="005514B9">
            <w:pPr>
              <w:jc w:val="left"/>
              <w:rPr>
                <w:b/>
                <w:bCs/>
                <w:sz w:val="20"/>
                <w:szCs w:val="20"/>
                <w:lang w:eastAsia="en-CA"/>
              </w:rPr>
            </w:pPr>
            <w:r w:rsidRPr="00F7008B">
              <w:rPr>
                <w:b/>
                <w:bCs/>
                <w:sz w:val="20"/>
                <w:szCs w:val="20"/>
                <w:lang w:eastAsia="fr"/>
              </w:rPr>
              <w:t>Pays</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2859F9CB" w14:textId="77777777" w:rsidR="00A1757E" w:rsidRPr="00F7008B" w:rsidRDefault="00A1757E" w:rsidP="005514B9">
            <w:pPr>
              <w:jc w:val="center"/>
              <w:rPr>
                <w:bCs/>
                <w:sz w:val="20"/>
                <w:szCs w:val="20"/>
                <w:lang w:eastAsia="en-CA"/>
              </w:rPr>
            </w:pPr>
            <w:proofErr w:type="spellStart"/>
            <w:r w:rsidRPr="00781759">
              <w:rPr>
                <w:b/>
                <w:bCs/>
                <w:sz w:val="18"/>
                <w:szCs w:val="18"/>
                <w:lang w:eastAsia="fr"/>
              </w:rPr>
              <w:t>Élimination</w:t>
            </w:r>
            <w:proofErr w:type="spellEnd"/>
            <w:r w:rsidRPr="00781759">
              <w:rPr>
                <w:b/>
                <w:bCs/>
                <w:sz w:val="18"/>
                <w:szCs w:val="18"/>
                <w:lang w:eastAsia="fr"/>
              </w:rPr>
              <w:t xml:space="preserve"> </w:t>
            </w:r>
            <w:proofErr w:type="spellStart"/>
            <w:r w:rsidRPr="00781759">
              <w:rPr>
                <w:b/>
                <w:bCs/>
                <w:sz w:val="18"/>
                <w:szCs w:val="18"/>
                <w:lang w:eastAsia="fr"/>
              </w:rPr>
              <w:t>e</w:t>
            </w:r>
            <w:r w:rsidRPr="00F7008B">
              <w:rPr>
                <w:b/>
                <w:bCs/>
                <w:sz w:val="20"/>
                <w:szCs w:val="20"/>
                <w:lang w:eastAsia="fr"/>
              </w:rPr>
              <w:t>n</w:t>
            </w:r>
            <w:proofErr w:type="spellEnd"/>
            <w:r w:rsidRPr="00F7008B">
              <w:rPr>
                <w:b/>
                <w:bCs/>
                <w:sz w:val="20"/>
                <w:szCs w:val="20"/>
                <w:lang w:eastAsia="fr"/>
              </w:rPr>
              <w:t xml:space="preserve"> 2020</w:t>
            </w:r>
          </w:p>
          <w:p w14:paraId="4D16C79C" w14:textId="6A10A3F2" w:rsidR="00421196" w:rsidRPr="00F7008B" w:rsidRDefault="00421196" w:rsidP="005514B9">
            <w:pPr>
              <w:jc w:val="center"/>
              <w:rPr>
                <w:b/>
                <w:bCs/>
                <w:sz w:val="20"/>
                <w:szCs w:val="20"/>
                <w:lang w:eastAsia="en-CA"/>
              </w:rPr>
            </w:pPr>
            <w:r w:rsidRPr="00F7008B">
              <w:rPr>
                <w:b/>
                <w:bCs/>
                <w:sz w:val="20"/>
                <w:szCs w:val="20"/>
                <w:lang w:eastAsia="fr"/>
              </w:rPr>
              <w:t>(tonnes PAO)*</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DF49877" w14:textId="77777777" w:rsidR="00A1757E" w:rsidRPr="00781759" w:rsidRDefault="00A1757E" w:rsidP="005514B9">
            <w:pPr>
              <w:jc w:val="center"/>
              <w:rPr>
                <w:b/>
                <w:bCs/>
                <w:sz w:val="18"/>
                <w:szCs w:val="18"/>
                <w:lang w:val="fr-FR" w:eastAsia="en-CA"/>
              </w:rPr>
            </w:pPr>
            <w:r w:rsidRPr="00781759">
              <w:rPr>
                <w:b/>
                <w:bCs/>
                <w:sz w:val="18"/>
                <w:szCs w:val="18"/>
                <w:lang w:val="fr-FR" w:eastAsia="fr"/>
              </w:rPr>
              <w:t>Pourcentage de l'élimination prévue atteinte en 2020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2B8A038B" w14:textId="1E90AFFA" w:rsidR="00A1757E" w:rsidRPr="00781759" w:rsidRDefault="00A1757E" w:rsidP="000C6BEA">
            <w:pPr>
              <w:jc w:val="center"/>
              <w:rPr>
                <w:b/>
                <w:bCs/>
                <w:sz w:val="18"/>
                <w:szCs w:val="18"/>
                <w:lang w:val="fr-FR" w:eastAsia="en-CA"/>
              </w:rPr>
            </w:pPr>
            <w:r w:rsidRPr="00781759">
              <w:rPr>
                <w:b/>
                <w:bCs/>
                <w:sz w:val="18"/>
                <w:szCs w:val="18"/>
                <w:lang w:val="fr-FR" w:eastAsia="fr"/>
              </w:rPr>
              <w:t>Estimation des fonds décaissés en 2020 ($</w:t>
            </w:r>
            <w:r w:rsidR="000C6BEA" w:rsidRPr="00781759">
              <w:rPr>
                <w:b/>
                <w:bCs/>
                <w:sz w:val="18"/>
                <w:szCs w:val="18"/>
                <w:lang w:val="fr-FR" w:eastAsia="fr"/>
              </w:rPr>
              <w:t> </w:t>
            </w:r>
            <w:r w:rsidRPr="00781759">
              <w:rPr>
                <w:b/>
                <w:bCs/>
                <w:sz w:val="18"/>
                <w:szCs w:val="18"/>
                <w:lang w:val="fr-FR" w:eastAsia="fr"/>
              </w:rPr>
              <w:t>US)</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68B6BE24" w14:textId="2FBBCA1C" w:rsidR="00A1757E" w:rsidRPr="00781759" w:rsidRDefault="00A1757E" w:rsidP="005514B9">
            <w:pPr>
              <w:jc w:val="center"/>
              <w:rPr>
                <w:b/>
                <w:bCs/>
                <w:sz w:val="18"/>
                <w:szCs w:val="18"/>
                <w:lang w:eastAsia="en-CA"/>
              </w:rPr>
            </w:pPr>
            <w:proofErr w:type="spellStart"/>
            <w:r w:rsidRPr="00781759">
              <w:rPr>
                <w:b/>
                <w:bCs/>
                <w:sz w:val="18"/>
                <w:szCs w:val="18"/>
                <w:lang w:eastAsia="fr"/>
              </w:rPr>
              <w:t>Fonds</w:t>
            </w:r>
            <w:proofErr w:type="spellEnd"/>
            <w:r w:rsidRPr="00781759">
              <w:rPr>
                <w:b/>
                <w:bCs/>
                <w:sz w:val="18"/>
                <w:szCs w:val="18"/>
                <w:lang w:eastAsia="fr"/>
              </w:rPr>
              <w:t xml:space="preserve"> </w:t>
            </w:r>
            <w:proofErr w:type="spellStart"/>
            <w:r w:rsidRPr="00781759">
              <w:rPr>
                <w:b/>
                <w:bCs/>
                <w:sz w:val="18"/>
                <w:szCs w:val="18"/>
                <w:lang w:eastAsia="fr"/>
              </w:rPr>
              <w:t>décaissés</w:t>
            </w:r>
            <w:proofErr w:type="spellEnd"/>
            <w:r w:rsidRPr="00781759">
              <w:rPr>
                <w:b/>
                <w:bCs/>
                <w:sz w:val="18"/>
                <w:szCs w:val="18"/>
                <w:lang w:eastAsia="fr"/>
              </w:rPr>
              <w:t xml:space="preserve"> </w:t>
            </w:r>
            <w:proofErr w:type="spellStart"/>
            <w:r w:rsidRPr="00781759">
              <w:rPr>
                <w:b/>
                <w:bCs/>
                <w:sz w:val="18"/>
                <w:szCs w:val="18"/>
                <w:lang w:eastAsia="fr"/>
              </w:rPr>
              <w:t>en</w:t>
            </w:r>
            <w:proofErr w:type="spellEnd"/>
            <w:r w:rsidRPr="00781759">
              <w:rPr>
                <w:b/>
                <w:bCs/>
                <w:sz w:val="18"/>
                <w:szCs w:val="18"/>
                <w:lang w:eastAsia="fr"/>
              </w:rPr>
              <w:t xml:space="preserve"> 2020 ($</w:t>
            </w:r>
            <w:r w:rsidR="000C6BEA" w:rsidRPr="00781759">
              <w:rPr>
                <w:b/>
                <w:bCs/>
                <w:sz w:val="18"/>
                <w:szCs w:val="18"/>
                <w:lang w:eastAsia="fr"/>
              </w:rPr>
              <w:t> </w:t>
            </w:r>
            <w:r w:rsidRPr="00781759">
              <w:rPr>
                <w:b/>
                <w:bCs/>
                <w:sz w:val="18"/>
                <w:szCs w:val="18"/>
                <w:lang w:eastAsia="fr"/>
              </w:rPr>
              <w:t>US)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5A95254" w14:textId="31DE8A9F" w:rsidR="00A1757E" w:rsidRPr="00781759" w:rsidRDefault="00A1757E" w:rsidP="005514B9">
            <w:pPr>
              <w:ind w:left="-218" w:right="-153"/>
              <w:jc w:val="center"/>
              <w:rPr>
                <w:b/>
                <w:bCs/>
                <w:sz w:val="18"/>
                <w:szCs w:val="18"/>
                <w:lang w:val="fr-FR" w:eastAsia="en-CA"/>
              </w:rPr>
            </w:pPr>
            <w:r w:rsidRPr="00781759">
              <w:rPr>
                <w:b/>
                <w:bCs/>
                <w:sz w:val="18"/>
                <w:szCs w:val="18"/>
                <w:lang w:val="fr-FR" w:eastAsia="fr"/>
              </w:rPr>
              <w:t>Pourcentage des fonds</w:t>
            </w:r>
          </w:p>
          <w:p w14:paraId="0BC845E6" w14:textId="77777777" w:rsidR="00A1757E" w:rsidRPr="00781759" w:rsidRDefault="00A1757E" w:rsidP="005514B9">
            <w:pPr>
              <w:ind w:left="-218" w:right="-153"/>
              <w:jc w:val="center"/>
              <w:rPr>
                <w:b/>
                <w:bCs/>
                <w:sz w:val="18"/>
                <w:szCs w:val="18"/>
                <w:lang w:val="fr-FR" w:eastAsia="en-CA"/>
              </w:rPr>
            </w:pPr>
            <w:r w:rsidRPr="00781759">
              <w:rPr>
                <w:b/>
                <w:bCs/>
                <w:sz w:val="18"/>
                <w:szCs w:val="18"/>
                <w:lang w:val="fr-FR" w:eastAsia="fr"/>
              </w:rPr>
              <w:t>décaissés par rapport aux estimations, en 2020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D2E32D1" w14:textId="77777777" w:rsidR="00A1757E" w:rsidRPr="00781759" w:rsidRDefault="00A1757E" w:rsidP="005514B9">
            <w:pPr>
              <w:jc w:val="center"/>
              <w:rPr>
                <w:b/>
                <w:bCs/>
                <w:sz w:val="18"/>
                <w:szCs w:val="18"/>
                <w:lang w:val="fr-FR" w:eastAsia="en-CA"/>
              </w:rPr>
            </w:pPr>
            <w:r w:rsidRPr="00781759">
              <w:rPr>
                <w:b/>
                <w:bCs/>
                <w:sz w:val="18"/>
                <w:szCs w:val="18"/>
                <w:lang w:val="fr-FR" w:eastAsia="fr"/>
              </w:rPr>
              <w:t>Pourcentage des projets prévus achevés en 2020</w:t>
            </w:r>
          </w:p>
        </w:tc>
      </w:tr>
      <w:tr w:rsidR="00A1757E" w:rsidRPr="00F7008B" w14:paraId="09133D1D"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5796B69A" w14:textId="77777777" w:rsidR="00A1757E" w:rsidRPr="00F7008B" w:rsidRDefault="00A1757E" w:rsidP="00A1757E">
            <w:pPr>
              <w:jc w:val="left"/>
              <w:rPr>
                <w:sz w:val="20"/>
                <w:szCs w:val="20"/>
                <w:lang w:eastAsia="en-CA"/>
              </w:rPr>
            </w:pPr>
            <w:r w:rsidRPr="00F7008B">
              <w:rPr>
                <w:sz w:val="20"/>
                <w:szCs w:val="20"/>
                <w:lang w:eastAsia="fr"/>
              </w:rPr>
              <w:t>Angola</w:t>
            </w:r>
          </w:p>
        </w:tc>
        <w:tc>
          <w:tcPr>
            <w:tcW w:w="1475" w:type="dxa"/>
            <w:tcBorders>
              <w:top w:val="nil"/>
              <w:left w:val="nil"/>
              <w:bottom w:val="single" w:sz="4" w:space="0" w:color="auto"/>
              <w:right w:val="single" w:sz="4" w:space="0" w:color="auto"/>
            </w:tcBorders>
            <w:shd w:val="clear" w:color="auto" w:fill="auto"/>
            <w:noWrap/>
            <w:hideMark/>
          </w:tcPr>
          <w:p w14:paraId="4BE81ED1"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22F30ED8"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18D42EB" w14:textId="77777777" w:rsidR="00A1757E" w:rsidRPr="00F7008B" w:rsidRDefault="00A1757E" w:rsidP="00A1757E">
            <w:pPr>
              <w:jc w:val="right"/>
              <w:rPr>
                <w:sz w:val="20"/>
                <w:szCs w:val="20"/>
                <w:lang w:eastAsia="en-CA"/>
              </w:rPr>
            </w:pPr>
            <w:r w:rsidRPr="00F7008B">
              <w:rPr>
                <w:sz w:val="20"/>
                <w:szCs w:val="20"/>
                <w:lang w:eastAsia="fr"/>
              </w:rPr>
              <w:t>80 629</w:t>
            </w:r>
          </w:p>
        </w:tc>
        <w:tc>
          <w:tcPr>
            <w:tcW w:w="1017" w:type="dxa"/>
            <w:tcBorders>
              <w:top w:val="nil"/>
              <w:left w:val="nil"/>
              <w:bottom w:val="single" w:sz="4" w:space="0" w:color="auto"/>
              <w:right w:val="single" w:sz="4" w:space="0" w:color="auto"/>
            </w:tcBorders>
            <w:shd w:val="clear" w:color="auto" w:fill="auto"/>
            <w:noWrap/>
            <w:hideMark/>
          </w:tcPr>
          <w:p w14:paraId="034D1208" w14:textId="77777777" w:rsidR="00A1757E" w:rsidRPr="00F7008B" w:rsidRDefault="00A1757E" w:rsidP="00A1757E">
            <w:pPr>
              <w:jc w:val="right"/>
              <w:rPr>
                <w:sz w:val="20"/>
                <w:szCs w:val="20"/>
                <w:lang w:eastAsia="en-CA"/>
              </w:rPr>
            </w:pPr>
            <w:r w:rsidRPr="00F7008B">
              <w:rPr>
                <w:sz w:val="20"/>
                <w:szCs w:val="20"/>
                <w:lang w:eastAsia="fr"/>
              </w:rPr>
              <w:t>119 673</w:t>
            </w:r>
          </w:p>
        </w:tc>
        <w:tc>
          <w:tcPr>
            <w:tcW w:w="1304" w:type="dxa"/>
            <w:tcBorders>
              <w:top w:val="nil"/>
              <w:left w:val="nil"/>
              <w:bottom w:val="single" w:sz="4" w:space="0" w:color="auto"/>
              <w:right w:val="single" w:sz="4" w:space="0" w:color="auto"/>
            </w:tcBorders>
            <w:shd w:val="clear" w:color="auto" w:fill="auto"/>
            <w:noWrap/>
            <w:hideMark/>
          </w:tcPr>
          <w:p w14:paraId="3EB97C85" w14:textId="77777777" w:rsidR="00A1757E" w:rsidRPr="00F7008B" w:rsidRDefault="00A1757E" w:rsidP="00A1757E">
            <w:pPr>
              <w:jc w:val="right"/>
              <w:rPr>
                <w:sz w:val="20"/>
                <w:szCs w:val="20"/>
                <w:lang w:eastAsia="en-CA"/>
              </w:rPr>
            </w:pPr>
            <w:r w:rsidRPr="00F7008B">
              <w:rPr>
                <w:sz w:val="20"/>
                <w:szCs w:val="20"/>
                <w:lang w:eastAsia="fr"/>
              </w:rPr>
              <w:t>148</w:t>
            </w:r>
          </w:p>
        </w:tc>
        <w:tc>
          <w:tcPr>
            <w:tcW w:w="1220" w:type="dxa"/>
            <w:tcBorders>
              <w:top w:val="nil"/>
              <w:left w:val="nil"/>
              <w:bottom w:val="single" w:sz="4" w:space="0" w:color="auto"/>
              <w:right w:val="single" w:sz="4" w:space="0" w:color="auto"/>
            </w:tcBorders>
            <w:shd w:val="clear" w:color="auto" w:fill="auto"/>
            <w:noWrap/>
            <w:hideMark/>
          </w:tcPr>
          <w:p w14:paraId="6CEADC53"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009A698D" w14:textId="77777777" w:rsidTr="00781759">
        <w:trPr>
          <w:trHeight w:val="130"/>
        </w:trPr>
        <w:tc>
          <w:tcPr>
            <w:tcW w:w="2235" w:type="dxa"/>
            <w:tcBorders>
              <w:top w:val="nil"/>
              <w:left w:val="single" w:sz="4" w:space="0" w:color="auto"/>
              <w:bottom w:val="single" w:sz="4" w:space="0" w:color="auto"/>
              <w:right w:val="single" w:sz="4" w:space="0" w:color="auto"/>
            </w:tcBorders>
            <w:shd w:val="clear" w:color="auto" w:fill="auto"/>
            <w:noWrap/>
            <w:hideMark/>
          </w:tcPr>
          <w:p w14:paraId="421C36CF" w14:textId="77777777" w:rsidR="00A1757E" w:rsidRPr="00F7008B" w:rsidRDefault="00A1757E" w:rsidP="00A1757E">
            <w:pPr>
              <w:jc w:val="left"/>
              <w:rPr>
                <w:sz w:val="20"/>
                <w:szCs w:val="20"/>
                <w:lang w:eastAsia="en-CA"/>
              </w:rPr>
            </w:pPr>
            <w:r w:rsidRPr="00F7008B">
              <w:rPr>
                <w:sz w:val="20"/>
                <w:szCs w:val="20"/>
                <w:lang w:eastAsia="fr"/>
              </w:rPr>
              <w:t>Argentine</w:t>
            </w:r>
          </w:p>
        </w:tc>
        <w:tc>
          <w:tcPr>
            <w:tcW w:w="1475" w:type="dxa"/>
            <w:tcBorders>
              <w:top w:val="nil"/>
              <w:left w:val="nil"/>
              <w:bottom w:val="single" w:sz="4" w:space="0" w:color="auto"/>
              <w:right w:val="single" w:sz="4" w:space="0" w:color="auto"/>
            </w:tcBorders>
            <w:shd w:val="clear" w:color="auto" w:fill="auto"/>
            <w:noWrap/>
            <w:hideMark/>
          </w:tcPr>
          <w:p w14:paraId="4F6F82A8"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03F4509C"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EC52186" w14:textId="77777777" w:rsidR="00A1757E" w:rsidRPr="00F7008B" w:rsidRDefault="00A1757E" w:rsidP="00A1757E">
            <w:pPr>
              <w:jc w:val="right"/>
              <w:rPr>
                <w:sz w:val="20"/>
                <w:szCs w:val="20"/>
                <w:lang w:eastAsia="en-CA"/>
              </w:rPr>
            </w:pPr>
            <w:r w:rsidRPr="00F7008B">
              <w:rPr>
                <w:sz w:val="20"/>
                <w:szCs w:val="20"/>
                <w:lang w:eastAsia="fr"/>
              </w:rPr>
              <w:t>160 688</w:t>
            </w:r>
          </w:p>
        </w:tc>
        <w:tc>
          <w:tcPr>
            <w:tcW w:w="1017" w:type="dxa"/>
            <w:tcBorders>
              <w:top w:val="nil"/>
              <w:left w:val="nil"/>
              <w:bottom w:val="single" w:sz="4" w:space="0" w:color="auto"/>
              <w:right w:val="single" w:sz="4" w:space="0" w:color="auto"/>
            </w:tcBorders>
            <w:shd w:val="clear" w:color="auto" w:fill="auto"/>
            <w:noWrap/>
            <w:hideMark/>
          </w:tcPr>
          <w:p w14:paraId="7BA3FC00" w14:textId="77777777" w:rsidR="00A1757E" w:rsidRPr="00F7008B" w:rsidRDefault="00A1757E" w:rsidP="00A1757E">
            <w:pPr>
              <w:jc w:val="right"/>
              <w:rPr>
                <w:sz w:val="20"/>
                <w:szCs w:val="20"/>
                <w:lang w:eastAsia="en-CA"/>
              </w:rPr>
            </w:pPr>
            <w:r w:rsidRPr="00F7008B">
              <w:rPr>
                <w:sz w:val="20"/>
                <w:szCs w:val="20"/>
                <w:lang w:eastAsia="fr"/>
              </w:rPr>
              <w:t>107 141</w:t>
            </w:r>
          </w:p>
        </w:tc>
        <w:tc>
          <w:tcPr>
            <w:tcW w:w="1304" w:type="dxa"/>
            <w:tcBorders>
              <w:top w:val="nil"/>
              <w:left w:val="nil"/>
              <w:bottom w:val="single" w:sz="4" w:space="0" w:color="auto"/>
              <w:right w:val="single" w:sz="4" w:space="0" w:color="auto"/>
            </w:tcBorders>
            <w:shd w:val="clear" w:color="auto" w:fill="auto"/>
            <w:noWrap/>
            <w:hideMark/>
          </w:tcPr>
          <w:p w14:paraId="5D078289" w14:textId="77777777" w:rsidR="00A1757E" w:rsidRPr="00F7008B" w:rsidRDefault="00A1757E" w:rsidP="00A1757E">
            <w:pPr>
              <w:jc w:val="right"/>
              <w:rPr>
                <w:sz w:val="20"/>
                <w:szCs w:val="20"/>
                <w:lang w:eastAsia="en-CA"/>
              </w:rPr>
            </w:pPr>
            <w:r w:rsidRPr="00F7008B">
              <w:rPr>
                <w:sz w:val="20"/>
                <w:szCs w:val="20"/>
                <w:lang w:eastAsia="fr"/>
              </w:rPr>
              <w:t>67</w:t>
            </w:r>
          </w:p>
        </w:tc>
        <w:tc>
          <w:tcPr>
            <w:tcW w:w="1220" w:type="dxa"/>
            <w:tcBorders>
              <w:top w:val="nil"/>
              <w:left w:val="nil"/>
              <w:bottom w:val="single" w:sz="4" w:space="0" w:color="auto"/>
              <w:right w:val="single" w:sz="4" w:space="0" w:color="auto"/>
            </w:tcBorders>
            <w:shd w:val="clear" w:color="auto" w:fill="auto"/>
            <w:noWrap/>
            <w:hideMark/>
          </w:tcPr>
          <w:p w14:paraId="0427A966"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65A6E402" w14:textId="77777777" w:rsidTr="00781759">
        <w:trPr>
          <w:trHeight w:val="177"/>
        </w:trPr>
        <w:tc>
          <w:tcPr>
            <w:tcW w:w="2235" w:type="dxa"/>
            <w:tcBorders>
              <w:top w:val="nil"/>
              <w:left w:val="single" w:sz="4" w:space="0" w:color="auto"/>
              <w:bottom w:val="single" w:sz="4" w:space="0" w:color="auto"/>
              <w:right w:val="single" w:sz="4" w:space="0" w:color="auto"/>
            </w:tcBorders>
            <w:shd w:val="clear" w:color="auto" w:fill="auto"/>
            <w:noWrap/>
            <w:hideMark/>
          </w:tcPr>
          <w:p w14:paraId="3ED0023E" w14:textId="77777777" w:rsidR="00A1757E" w:rsidRPr="00F7008B" w:rsidRDefault="00A1757E" w:rsidP="00A1757E">
            <w:pPr>
              <w:jc w:val="left"/>
              <w:rPr>
                <w:sz w:val="20"/>
                <w:szCs w:val="20"/>
                <w:lang w:eastAsia="en-CA"/>
              </w:rPr>
            </w:pPr>
            <w:proofErr w:type="spellStart"/>
            <w:r w:rsidRPr="00F7008B">
              <w:rPr>
                <w:sz w:val="20"/>
                <w:szCs w:val="20"/>
                <w:lang w:eastAsia="fr"/>
              </w:rPr>
              <w:t>Arménie</w:t>
            </w:r>
            <w:proofErr w:type="spellEnd"/>
          </w:p>
        </w:tc>
        <w:tc>
          <w:tcPr>
            <w:tcW w:w="1475" w:type="dxa"/>
            <w:tcBorders>
              <w:top w:val="nil"/>
              <w:left w:val="nil"/>
              <w:bottom w:val="single" w:sz="4" w:space="0" w:color="auto"/>
              <w:right w:val="single" w:sz="4" w:space="0" w:color="auto"/>
            </w:tcBorders>
            <w:shd w:val="clear" w:color="auto" w:fill="auto"/>
            <w:noWrap/>
            <w:hideMark/>
          </w:tcPr>
          <w:p w14:paraId="4CF2CAF5"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1960F46B"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378D776D" w14:textId="77777777" w:rsidR="00A1757E" w:rsidRPr="00F7008B" w:rsidRDefault="00A1757E" w:rsidP="00A1757E">
            <w:pPr>
              <w:jc w:val="right"/>
              <w:rPr>
                <w:sz w:val="20"/>
                <w:szCs w:val="20"/>
                <w:lang w:eastAsia="en-CA"/>
              </w:rPr>
            </w:pPr>
            <w:r w:rsidRPr="00F7008B">
              <w:rPr>
                <w:sz w:val="20"/>
                <w:szCs w:val="20"/>
                <w:lang w:eastAsia="fr"/>
              </w:rPr>
              <w:t>10 405</w:t>
            </w:r>
          </w:p>
        </w:tc>
        <w:tc>
          <w:tcPr>
            <w:tcW w:w="1017" w:type="dxa"/>
            <w:tcBorders>
              <w:top w:val="nil"/>
              <w:left w:val="nil"/>
              <w:bottom w:val="single" w:sz="4" w:space="0" w:color="auto"/>
              <w:right w:val="single" w:sz="4" w:space="0" w:color="auto"/>
            </w:tcBorders>
            <w:shd w:val="clear" w:color="auto" w:fill="auto"/>
            <w:noWrap/>
            <w:hideMark/>
          </w:tcPr>
          <w:p w14:paraId="492B602C" w14:textId="77777777" w:rsidR="00A1757E" w:rsidRPr="00F7008B" w:rsidRDefault="00A1757E" w:rsidP="00A1757E">
            <w:pPr>
              <w:jc w:val="right"/>
              <w:rPr>
                <w:sz w:val="20"/>
                <w:szCs w:val="20"/>
                <w:lang w:eastAsia="en-CA"/>
              </w:rPr>
            </w:pPr>
            <w:r w:rsidRPr="00F7008B">
              <w:rPr>
                <w:sz w:val="20"/>
                <w:szCs w:val="20"/>
                <w:lang w:eastAsia="fr"/>
              </w:rPr>
              <w:t>34 053</w:t>
            </w:r>
          </w:p>
        </w:tc>
        <w:tc>
          <w:tcPr>
            <w:tcW w:w="1304" w:type="dxa"/>
            <w:tcBorders>
              <w:top w:val="nil"/>
              <w:left w:val="nil"/>
              <w:bottom w:val="single" w:sz="4" w:space="0" w:color="auto"/>
              <w:right w:val="single" w:sz="4" w:space="0" w:color="auto"/>
            </w:tcBorders>
            <w:shd w:val="clear" w:color="auto" w:fill="auto"/>
            <w:noWrap/>
            <w:hideMark/>
          </w:tcPr>
          <w:p w14:paraId="20154E14" w14:textId="77777777" w:rsidR="00A1757E" w:rsidRPr="00F7008B" w:rsidRDefault="00A1757E" w:rsidP="00A1757E">
            <w:pPr>
              <w:jc w:val="right"/>
              <w:rPr>
                <w:sz w:val="20"/>
                <w:szCs w:val="20"/>
                <w:lang w:eastAsia="en-CA"/>
              </w:rPr>
            </w:pPr>
            <w:r w:rsidRPr="00F7008B">
              <w:rPr>
                <w:sz w:val="20"/>
                <w:szCs w:val="20"/>
                <w:lang w:eastAsia="fr"/>
              </w:rPr>
              <w:t>327</w:t>
            </w:r>
          </w:p>
        </w:tc>
        <w:tc>
          <w:tcPr>
            <w:tcW w:w="1220" w:type="dxa"/>
            <w:tcBorders>
              <w:top w:val="nil"/>
              <w:left w:val="nil"/>
              <w:bottom w:val="single" w:sz="4" w:space="0" w:color="auto"/>
              <w:right w:val="single" w:sz="4" w:space="0" w:color="auto"/>
            </w:tcBorders>
            <w:shd w:val="clear" w:color="auto" w:fill="auto"/>
            <w:noWrap/>
            <w:hideMark/>
          </w:tcPr>
          <w:p w14:paraId="6C6123CA"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4F5D6DFF" w14:textId="77777777" w:rsidTr="00781759">
        <w:trPr>
          <w:trHeight w:val="80"/>
        </w:trPr>
        <w:tc>
          <w:tcPr>
            <w:tcW w:w="2235" w:type="dxa"/>
            <w:tcBorders>
              <w:top w:val="nil"/>
              <w:left w:val="single" w:sz="4" w:space="0" w:color="auto"/>
              <w:bottom w:val="single" w:sz="4" w:space="0" w:color="auto"/>
              <w:right w:val="single" w:sz="4" w:space="0" w:color="auto"/>
            </w:tcBorders>
            <w:shd w:val="clear" w:color="auto" w:fill="auto"/>
            <w:noWrap/>
            <w:hideMark/>
          </w:tcPr>
          <w:p w14:paraId="4E8602A8" w14:textId="77777777" w:rsidR="00A1757E" w:rsidRPr="00F7008B" w:rsidRDefault="00A1757E" w:rsidP="00A1757E">
            <w:pPr>
              <w:jc w:val="left"/>
              <w:rPr>
                <w:sz w:val="20"/>
                <w:szCs w:val="20"/>
                <w:lang w:eastAsia="en-CA"/>
              </w:rPr>
            </w:pPr>
            <w:r w:rsidRPr="00F7008B">
              <w:rPr>
                <w:sz w:val="20"/>
                <w:szCs w:val="20"/>
                <w:lang w:eastAsia="fr"/>
              </w:rPr>
              <w:t>Bangladesh</w:t>
            </w:r>
          </w:p>
        </w:tc>
        <w:tc>
          <w:tcPr>
            <w:tcW w:w="1475" w:type="dxa"/>
            <w:tcBorders>
              <w:top w:val="nil"/>
              <w:left w:val="nil"/>
              <w:bottom w:val="single" w:sz="4" w:space="0" w:color="auto"/>
              <w:right w:val="single" w:sz="4" w:space="0" w:color="auto"/>
            </w:tcBorders>
            <w:shd w:val="clear" w:color="auto" w:fill="auto"/>
            <w:noWrap/>
            <w:hideMark/>
          </w:tcPr>
          <w:p w14:paraId="0620D062"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3E701EA"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0413E55" w14:textId="77777777" w:rsidR="00A1757E" w:rsidRPr="00F7008B" w:rsidRDefault="00A1757E" w:rsidP="00A1757E">
            <w:pPr>
              <w:jc w:val="right"/>
              <w:rPr>
                <w:sz w:val="20"/>
                <w:szCs w:val="20"/>
                <w:lang w:eastAsia="en-CA"/>
              </w:rPr>
            </w:pPr>
            <w:r w:rsidRPr="00F7008B">
              <w:rPr>
                <w:sz w:val="20"/>
                <w:szCs w:val="20"/>
                <w:lang w:eastAsia="fr"/>
              </w:rPr>
              <w:t>698 777</w:t>
            </w:r>
          </w:p>
        </w:tc>
        <w:tc>
          <w:tcPr>
            <w:tcW w:w="1017" w:type="dxa"/>
            <w:tcBorders>
              <w:top w:val="nil"/>
              <w:left w:val="nil"/>
              <w:bottom w:val="single" w:sz="4" w:space="0" w:color="auto"/>
              <w:right w:val="single" w:sz="4" w:space="0" w:color="auto"/>
            </w:tcBorders>
            <w:shd w:val="clear" w:color="auto" w:fill="auto"/>
            <w:noWrap/>
            <w:hideMark/>
          </w:tcPr>
          <w:p w14:paraId="220111EE" w14:textId="77777777" w:rsidR="00A1757E" w:rsidRPr="00F7008B" w:rsidRDefault="00A1757E" w:rsidP="00A1757E">
            <w:pPr>
              <w:jc w:val="right"/>
              <w:rPr>
                <w:sz w:val="20"/>
                <w:szCs w:val="20"/>
                <w:lang w:eastAsia="en-CA"/>
              </w:rPr>
            </w:pPr>
            <w:r w:rsidRPr="00F7008B">
              <w:rPr>
                <w:sz w:val="20"/>
                <w:szCs w:val="20"/>
                <w:lang w:eastAsia="fr"/>
              </w:rPr>
              <w:t>922</w:t>
            </w:r>
          </w:p>
        </w:tc>
        <w:tc>
          <w:tcPr>
            <w:tcW w:w="1304" w:type="dxa"/>
            <w:tcBorders>
              <w:top w:val="nil"/>
              <w:left w:val="nil"/>
              <w:bottom w:val="single" w:sz="4" w:space="0" w:color="auto"/>
              <w:right w:val="single" w:sz="4" w:space="0" w:color="auto"/>
            </w:tcBorders>
            <w:shd w:val="clear" w:color="auto" w:fill="auto"/>
            <w:noWrap/>
            <w:hideMark/>
          </w:tcPr>
          <w:p w14:paraId="1E19A324"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58946116"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78486441" w14:textId="77777777" w:rsidTr="00781759">
        <w:trPr>
          <w:trHeight w:val="113"/>
        </w:trPr>
        <w:tc>
          <w:tcPr>
            <w:tcW w:w="2235" w:type="dxa"/>
            <w:tcBorders>
              <w:top w:val="nil"/>
              <w:left w:val="single" w:sz="4" w:space="0" w:color="auto"/>
              <w:bottom w:val="single" w:sz="4" w:space="0" w:color="auto"/>
              <w:right w:val="single" w:sz="4" w:space="0" w:color="auto"/>
            </w:tcBorders>
            <w:shd w:val="clear" w:color="auto" w:fill="auto"/>
            <w:noWrap/>
            <w:hideMark/>
          </w:tcPr>
          <w:p w14:paraId="4E51A3C8" w14:textId="77777777" w:rsidR="00A1757E" w:rsidRPr="00F7008B" w:rsidRDefault="00A1757E" w:rsidP="00A1757E">
            <w:pPr>
              <w:jc w:val="left"/>
              <w:rPr>
                <w:sz w:val="20"/>
                <w:szCs w:val="20"/>
                <w:lang w:eastAsia="en-CA"/>
              </w:rPr>
            </w:pPr>
            <w:proofErr w:type="spellStart"/>
            <w:r w:rsidRPr="00F7008B">
              <w:rPr>
                <w:sz w:val="20"/>
                <w:szCs w:val="20"/>
                <w:lang w:eastAsia="fr"/>
              </w:rPr>
              <w:t>Barbade</w:t>
            </w:r>
            <w:proofErr w:type="spellEnd"/>
          </w:p>
        </w:tc>
        <w:tc>
          <w:tcPr>
            <w:tcW w:w="1475" w:type="dxa"/>
            <w:tcBorders>
              <w:top w:val="nil"/>
              <w:left w:val="nil"/>
              <w:bottom w:val="single" w:sz="4" w:space="0" w:color="auto"/>
              <w:right w:val="single" w:sz="4" w:space="0" w:color="auto"/>
            </w:tcBorders>
            <w:shd w:val="clear" w:color="auto" w:fill="auto"/>
            <w:noWrap/>
            <w:hideMark/>
          </w:tcPr>
          <w:p w14:paraId="2D0508D3"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5303FF9"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7130B93" w14:textId="77777777" w:rsidR="00A1757E" w:rsidRPr="00F7008B" w:rsidRDefault="00A1757E" w:rsidP="00A1757E">
            <w:pPr>
              <w:jc w:val="right"/>
              <w:rPr>
                <w:sz w:val="20"/>
                <w:szCs w:val="20"/>
                <w:lang w:eastAsia="en-CA"/>
              </w:rPr>
            </w:pPr>
            <w:r w:rsidRPr="00F7008B">
              <w:rPr>
                <w:sz w:val="20"/>
                <w:szCs w:val="20"/>
                <w:lang w:eastAsia="fr"/>
              </w:rPr>
              <w:t>1 276</w:t>
            </w:r>
          </w:p>
        </w:tc>
        <w:tc>
          <w:tcPr>
            <w:tcW w:w="1017" w:type="dxa"/>
            <w:tcBorders>
              <w:top w:val="nil"/>
              <w:left w:val="nil"/>
              <w:bottom w:val="single" w:sz="4" w:space="0" w:color="auto"/>
              <w:right w:val="single" w:sz="4" w:space="0" w:color="auto"/>
            </w:tcBorders>
            <w:shd w:val="clear" w:color="auto" w:fill="auto"/>
            <w:noWrap/>
            <w:hideMark/>
          </w:tcPr>
          <w:p w14:paraId="50AFD141"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03FB9610"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65B8A96B"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459E2F03"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0C3B1185" w14:textId="77777777" w:rsidR="00A1757E" w:rsidRPr="00F7008B" w:rsidRDefault="00A1757E" w:rsidP="00A1757E">
            <w:pPr>
              <w:jc w:val="left"/>
              <w:rPr>
                <w:sz w:val="20"/>
                <w:szCs w:val="20"/>
                <w:lang w:eastAsia="en-CA"/>
              </w:rPr>
            </w:pPr>
            <w:r w:rsidRPr="00F7008B">
              <w:rPr>
                <w:sz w:val="20"/>
                <w:szCs w:val="20"/>
                <w:lang w:eastAsia="fr"/>
              </w:rPr>
              <w:t>Belize</w:t>
            </w:r>
          </w:p>
        </w:tc>
        <w:tc>
          <w:tcPr>
            <w:tcW w:w="1475" w:type="dxa"/>
            <w:tcBorders>
              <w:top w:val="nil"/>
              <w:left w:val="nil"/>
              <w:bottom w:val="single" w:sz="4" w:space="0" w:color="auto"/>
              <w:right w:val="single" w:sz="4" w:space="0" w:color="auto"/>
            </w:tcBorders>
            <w:shd w:val="clear" w:color="auto" w:fill="auto"/>
            <w:noWrap/>
            <w:hideMark/>
          </w:tcPr>
          <w:p w14:paraId="511BD130"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3350F48"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59805C4" w14:textId="77777777" w:rsidR="00A1757E" w:rsidRPr="00F7008B" w:rsidRDefault="00A1757E" w:rsidP="00A1757E">
            <w:pPr>
              <w:jc w:val="right"/>
              <w:rPr>
                <w:sz w:val="20"/>
                <w:szCs w:val="20"/>
                <w:lang w:eastAsia="en-CA"/>
              </w:rPr>
            </w:pPr>
            <w:r w:rsidRPr="00F7008B">
              <w:rPr>
                <w:sz w:val="20"/>
                <w:szCs w:val="20"/>
                <w:lang w:eastAsia="fr"/>
              </w:rPr>
              <w:t>10 000</w:t>
            </w:r>
          </w:p>
        </w:tc>
        <w:tc>
          <w:tcPr>
            <w:tcW w:w="1017" w:type="dxa"/>
            <w:tcBorders>
              <w:top w:val="nil"/>
              <w:left w:val="nil"/>
              <w:bottom w:val="single" w:sz="4" w:space="0" w:color="auto"/>
              <w:right w:val="single" w:sz="4" w:space="0" w:color="auto"/>
            </w:tcBorders>
            <w:shd w:val="clear" w:color="auto" w:fill="auto"/>
            <w:noWrap/>
            <w:hideMark/>
          </w:tcPr>
          <w:p w14:paraId="0421E40F"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2336BB3D"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05B9D7F3"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01E99B08" w14:textId="77777777" w:rsidTr="00781759">
        <w:trPr>
          <w:trHeight w:val="63"/>
        </w:trPr>
        <w:tc>
          <w:tcPr>
            <w:tcW w:w="2235" w:type="dxa"/>
            <w:tcBorders>
              <w:top w:val="nil"/>
              <w:left w:val="single" w:sz="4" w:space="0" w:color="auto"/>
              <w:bottom w:val="single" w:sz="4" w:space="0" w:color="auto"/>
              <w:right w:val="single" w:sz="4" w:space="0" w:color="auto"/>
            </w:tcBorders>
            <w:shd w:val="clear" w:color="auto" w:fill="auto"/>
            <w:noWrap/>
            <w:hideMark/>
          </w:tcPr>
          <w:p w14:paraId="607E6699" w14:textId="77777777" w:rsidR="00A1757E" w:rsidRPr="00F7008B" w:rsidRDefault="00A1757E" w:rsidP="00A1757E">
            <w:pPr>
              <w:jc w:val="left"/>
              <w:rPr>
                <w:sz w:val="20"/>
                <w:szCs w:val="20"/>
                <w:lang w:eastAsia="en-CA"/>
              </w:rPr>
            </w:pPr>
            <w:proofErr w:type="spellStart"/>
            <w:r w:rsidRPr="00F7008B">
              <w:rPr>
                <w:sz w:val="20"/>
                <w:szCs w:val="20"/>
                <w:lang w:eastAsia="fr"/>
              </w:rPr>
              <w:t>Bhoutan</w:t>
            </w:r>
            <w:proofErr w:type="spellEnd"/>
          </w:p>
        </w:tc>
        <w:tc>
          <w:tcPr>
            <w:tcW w:w="1475" w:type="dxa"/>
            <w:tcBorders>
              <w:top w:val="nil"/>
              <w:left w:val="nil"/>
              <w:bottom w:val="single" w:sz="4" w:space="0" w:color="auto"/>
              <w:right w:val="single" w:sz="4" w:space="0" w:color="auto"/>
            </w:tcBorders>
            <w:shd w:val="clear" w:color="auto" w:fill="auto"/>
            <w:noWrap/>
            <w:hideMark/>
          </w:tcPr>
          <w:p w14:paraId="6C32D39F"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74ED6502"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248ED72" w14:textId="77777777" w:rsidR="00A1757E" w:rsidRPr="00F7008B" w:rsidRDefault="00A1757E" w:rsidP="00A1757E">
            <w:pPr>
              <w:jc w:val="right"/>
              <w:rPr>
                <w:sz w:val="20"/>
                <w:szCs w:val="20"/>
                <w:lang w:eastAsia="en-CA"/>
              </w:rPr>
            </w:pPr>
            <w:r w:rsidRPr="00F7008B">
              <w:rPr>
                <w:sz w:val="20"/>
                <w:szCs w:val="20"/>
                <w:lang w:eastAsia="fr"/>
              </w:rPr>
              <w:t>449</w:t>
            </w:r>
          </w:p>
        </w:tc>
        <w:tc>
          <w:tcPr>
            <w:tcW w:w="1017" w:type="dxa"/>
            <w:tcBorders>
              <w:top w:val="nil"/>
              <w:left w:val="nil"/>
              <w:bottom w:val="single" w:sz="4" w:space="0" w:color="auto"/>
              <w:right w:val="single" w:sz="4" w:space="0" w:color="auto"/>
            </w:tcBorders>
            <w:shd w:val="clear" w:color="auto" w:fill="auto"/>
            <w:noWrap/>
            <w:hideMark/>
          </w:tcPr>
          <w:p w14:paraId="52CA01A9"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2AAE82AB"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03D79E89"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26D75E7A" w14:textId="77777777" w:rsidTr="00781759">
        <w:trPr>
          <w:trHeight w:val="109"/>
        </w:trPr>
        <w:tc>
          <w:tcPr>
            <w:tcW w:w="2235" w:type="dxa"/>
            <w:tcBorders>
              <w:top w:val="nil"/>
              <w:left w:val="single" w:sz="4" w:space="0" w:color="auto"/>
              <w:bottom w:val="single" w:sz="4" w:space="0" w:color="auto"/>
              <w:right w:val="single" w:sz="4" w:space="0" w:color="auto"/>
            </w:tcBorders>
            <w:shd w:val="clear" w:color="auto" w:fill="auto"/>
            <w:noWrap/>
            <w:hideMark/>
          </w:tcPr>
          <w:p w14:paraId="79ED2A4A" w14:textId="77777777" w:rsidR="00A1757E" w:rsidRPr="00F7008B" w:rsidRDefault="00A1757E" w:rsidP="00A1757E">
            <w:pPr>
              <w:jc w:val="left"/>
              <w:rPr>
                <w:sz w:val="20"/>
                <w:szCs w:val="20"/>
                <w:lang w:eastAsia="en-CA"/>
              </w:rPr>
            </w:pPr>
            <w:proofErr w:type="spellStart"/>
            <w:r w:rsidRPr="00F7008B">
              <w:rPr>
                <w:sz w:val="20"/>
                <w:szCs w:val="20"/>
                <w:lang w:eastAsia="fr"/>
              </w:rPr>
              <w:t>Brésil</w:t>
            </w:r>
            <w:proofErr w:type="spellEnd"/>
          </w:p>
        </w:tc>
        <w:tc>
          <w:tcPr>
            <w:tcW w:w="1475" w:type="dxa"/>
            <w:tcBorders>
              <w:top w:val="nil"/>
              <w:left w:val="nil"/>
              <w:bottom w:val="single" w:sz="4" w:space="0" w:color="auto"/>
              <w:right w:val="single" w:sz="4" w:space="0" w:color="auto"/>
            </w:tcBorders>
            <w:shd w:val="clear" w:color="auto" w:fill="auto"/>
            <w:noWrap/>
            <w:hideMark/>
          </w:tcPr>
          <w:p w14:paraId="1A7C556B" w14:textId="77777777" w:rsidR="00A1757E" w:rsidRPr="00F7008B" w:rsidRDefault="00A1757E" w:rsidP="00A1757E">
            <w:pPr>
              <w:jc w:val="right"/>
              <w:rPr>
                <w:sz w:val="20"/>
                <w:szCs w:val="20"/>
                <w:lang w:eastAsia="en-CA"/>
              </w:rPr>
            </w:pPr>
            <w:r w:rsidRPr="00F7008B">
              <w:rPr>
                <w:sz w:val="20"/>
                <w:szCs w:val="20"/>
                <w:lang w:eastAsia="fr"/>
              </w:rPr>
              <w:t>20,0</w:t>
            </w:r>
          </w:p>
        </w:tc>
        <w:tc>
          <w:tcPr>
            <w:tcW w:w="1230" w:type="dxa"/>
            <w:tcBorders>
              <w:top w:val="nil"/>
              <w:left w:val="nil"/>
              <w:bottom w:val="single" w:sz="4" w:space="0" w:color="auto"/>
              <w:right w:val="single" w:sz="4" w:space="0" w:color="auto"/>
            </w:tcBorders>
            <w:shd w:val="clear" w:color="auto" w:fill="auto"/>
            <w:noWrap/>
            <w:hideMark/>
          </w:tcPr>
          <w:p w14:paraId="2EE5B015"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3CA0D0AC" w14:textId="77777777" w:rsidR="00A1757E" w:rsidRPr="00F7008B" w:rsidRDefault="00A1757E" w:rsidP="00A1757E">
            <w:pPr>
              <w:jc w:val="right"/>
              <w:rPr>
                <w:sz w:val="20"/>
                <w:szCs w:val="20"/>
                <w:lang w:eastAsia="en-CA"/>
              </w:rPr>
            </w:pPr>
            <w:r w:rsidRPr="00F7008B">
              <w:rPr>
                <w:sz w:val="20"/>
                <w:szCs w:val="20"/>
                <w:lang w:eastAsia="fr"/>
              </w:rPr>
              <w:t>3 663 123</w:t>
            </w:r>
          </w:p>
        </w:tc>
        <w:tc>
          <w:tcPr>
            <w:tcW w:w="1017" w:type="dxa"/>
            <w:tcBorders>
              <w:top w:val="nil"/>
              <w:left w:val="nil"/>
              <w:bottom w:val="single" w:sz="4" w:space="0" w:color="auto"/>
              <w:right w:val="single" w:sz="4" w:space="0" w:color="auto"/>
            </w:tcBorders>
            <w:shd w:val="clear" w:color="auto" w:fill="auto"/>
            <w:noWrap/>
            <w:hideMark/>
          </w:tcPr>
          <w:p w14:paraId="0072356C" w14:textId="77777777" w:rsidR="00A1757E" w:rsidRPr="00F7008B" w:rsidRDefault="00A1757E" w:rsidP="00A1757E">
            <w:pPr>
              <w:jc w:val="right"/>
              <w:rPr>
                <w:sz w:val="20"/>
                <w:szCs w:val="20"/>
                <w:lang w:eastAsia="en-CA"/>
              </w:rPr>
            </w:pPr>
            <w:r w:rsidRPr="00F7008B">
              <w:rPr>
                <w:sz w:val="20"/>
                <w:szCs w:val="20"/>
                <w:lang w:eastAsia="fr"/>
              </w:rPr>
              <w:t>1 900 772</w:t>
            </w:r>
          </w:p>
        </w:tc>
        <w:tc>
          <w:tcPr>
            <w:tcW w:w="1304" w:type="dxa"/>
            <w:tcBorders>
              <w:top w:val="nil"/>
              <w:left w:val="nil"/>
              <w:bottom w:val="single" w:sz="4" w:space="0" w:color="auto"/>
              <w:right w:val="single" w:sz="4" w:space="0" w:color="auto"/>
            </w:tcBorders>
            <w:shd w:val="clear" w:color="auto" w:fill="auto"/>
            <w:noWrap/>
            <w:hideMark/>
          </w:tcPr>
          <w:p w14:paraId="38782908" w14:textId="77777777" w:rsidR="00A1757E" w:rsidRPr="00F7008B" w:rsidRDefault="00A1757E" w:rsidP="00A1757E">
            <w:pPr>
              <w:jc w:val="right"/>
              <w:rPr>
                <w:sz w:val="20"/>
                <w:szCs w:val="20"/>
                <w:lang w:eastAsia="en-CA"/>
              </w:rPr>
            </w:pPr>
            <w:r w:rsidRPr="00F7008B">
              <w:rPr>
                <w:sz w:val="20"/>
                <w:szCs w:val="20"/>
                <w:lang w:eastAsia="fr"/>
              </w:rPr>
              <w:t>52</w:t>
            </w:r>
          </w:p>
        </w:tc>
        <w:tc>
          <w:tcPr>
            <w:tcW w:w="1220" w:type="dxa"/>
            <w:tcBorders>
              <w:top w:val="nil"/>
              <w:left w:val="nil"/>
              <w:bottom w:val="single" w:sz="4" w:space="0" w:color="auto"/>
              <w:right w:val="single" w:sz="4" w:space="0" w:color="auto"/>
            </w:tcBorders>
            <w:shd w:val="clear" w:color="auto" w:fill="auto"/>
            <w:noWrap/>
            <w:hideMark/>
          </w:tcPr>
          <w:p w14:paraId="74CAE59B"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05F8CFCE"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F5028D7" w14:textId="77777777" w:rsidR="00A1757E" w:rsidRPr="00F7008B" w:rsidRDefault="00A1757E" w:rsidP="00A1757E">
            <w:pPr>
              <w:jc w:val="left"/>
              <w:rPr>
                <w:sz w:val="20"/>
                <w:szCs w:val="20"/>
                <w:lang w:eastAsia="en-CA"/>
              </w:rPr>
            </w:pPr>
            <w:proofErr w:type="spellStart"/>
            <w:r w:rsidRPr="00F7008B">
              <w:rPr>
                <w:sz w:val="20"/>
                <w:szCs w:val="20"/>
                <w:lang w:eastAsia="fr"/>
              </w:rPr>
              <w:t>Brunéi</w:t>
            </w:r>
            <w:proofErr w:type="spellEnd"/>
            <w:r w:rsidRPr="00F7008B">
              <w:rPr>
                <w:sz w:val="20"/>
                <w:szCs w:val="20"/>
                <w:lang w:eastAsia="fr"/>
              </w:rPr>
              <w:t xml:space="preserve"> Darussalam</w:t>
            </w:r>
          </w:p>
        </w:tc>
        <w:tc>
          <w:tcPr>
            <w:tcW w:w="1475" w:type="dxa"/>
            <w:tcBorders>
              <w:top w:val="nil"/>
              <w:left w:val="nil"/>
              <w:bottom w:val="single" w:sz="4" w:space="0" w:color="auto"/>
              <w:right w:val="single" w:sz="4" w:space="0" w:color="auto"/>
            </w:tcBorders>
            <w:shd w:val="clear" w:color="auto" w:fill="auto"/>
            <w:noWrap/>
            <w:hideMark/>
          </w:tcPr>
          <w:p w14:paraId="313B94A0" w14:textId="77777777" w:rsidR="00A1757E" w:rsidRPr="00F7008B" w:rsidRDefault="00A1757E" w:rsidP="00A1757E">
            <w:pPr>
              <w:jc w:val="right"/>
              <w:rPr>
                <w:sz w:val="20"/>
                <w:szCs w:val="20"/>
                <w:lang w:eastAsia="en-CA"/>
              </w:rPr>
            </w:pPr>
            <w:r w:rsidRPr="00F7008B">
              <w:rPr>
                <w:sz w:val="20"/>
                <w:szCs w:val="20"/>
                <w:lang w:eastAsia="fr"/>
              </w:rPr>
              <w:t>0,2</w:t>
            </w:r>
          </w:p>
        </w:tc>
        <w:tc>
          <w:tcPr>
            <w:tcW w:w="1230" w:type="dxa"/>
            <w:tcBorders>
              <w:top w:val="nil"/>
              <w:left w:val="nil"/>
              <w:bottom w:val="single" w:sz="4" w:space="0" w:color="auto"/>
              <w:right w:val="single" w:sz="4" w:space="0" w:color="auto"/>
            </w:tcBorders>
            <w:shd w:val="clear" w:color="auto" w:fill="auto"/>
            <w:noWrap/>
            <w:hideMark/>
          </w:tcPr>
          <w:p w14:paraId="55C193C4" w14:textId="77777777" w:rsidR="00A1757E" w:rsidRPr="00F7008B" w:rsidRDefault="00A1757E" w:rsidP="00A1757E">
            <w:pPr>
              <w:jc w:val="right"/>
              <w:rPr>
                <w:sz w:val="20"/>
                <w:szCs w:val="20"/>
                <w:lang w:eastAsia="en-CA"/>
              </w:rPr>
            </w:pPr>
            <w:r w:rsidRPr="00F7008B">
              <w:rPr>
                <w:sz w:val="20"/>
                <w:szCs w:val="20"/>
                <w:lang w:eastAsia="fr"/>
              </w:rPr>
              <w:t>100</w:t>
            </w:r>
          </w:p>
        </w:tc>
        <w:tc>
          <w:tcPr>
            <w:tcW w:w="1095" w:type="dxa"/>
            <w:tcBorders>
              <w:top w:val="nil"/>
              <w:left w:val="nil"/>
              <w:bottom w:val="single" w:sz="4" w:space="0" w:color="auto"/>
              <w:right w:val="single" w:sz="4" w:space="0" w:color="auto"/>
            </w:tcBorders>
            <w:shd w:val="clear" w:color="auto" w:fill="auto"/>
            <w:noWrap/>
            <w:hideMark/>
          </w:tcPr>
          <w:p w14:paraId="7E4EB7A4" w14:textId="77777777" w:rsidR="00A1757E" w:rsidRPr="00F7008B" w:rsidRDefault="00A1757E" w:rsidP="00A1757E">
            <w:pPr>
              <w:jc w:val="right"/>
              <w:rPr>
                <w:sz w:val="20"/>
                <w:szCs w:val="20"/>
                <w:lang w:eastAsia="en-CA"/>
              </w:rPr>
            </w:pPr>
            <w:r w:rsidRPr="00F7008B">
              <w:rPr>
                <w:sz w:val="20"/>
                <w:szCs w:val="20"/>
                <w:lang w:eastAsia="fr"/>
              </w:rPr>
              <w:t>6 900</w:t>
            </w:r>
          </w:p>
        </w:tc>
        <w:tc>
          <w:tcPr>
            <w:tcW w:w="1017" w:type="dxa"/>
            <w:tcBorders>
              <w:top w:val="nil"/>
              <w:left w:val="nil"/>
              <w:bottom w:val="single" w:sz="4" w:space="0" w:color="auto"/>
              <w:right w:val="single" w:sz="4" w:space="0" w:color="auto"/>
            </w:tcBorders>
            <w:shd w:val="clear" w:color="auto" w:fill="auto"/>
            <w:noWrap/>
            <w:hideMark/>
          </w:tcPr>
          <w:p w14:paraId="2CE80EEF" w14:textId="77777777" w:rsidR="00A1757E" w:rsidRPr="00F7008B" w:rsidRDefault="00A1757E" w:rsidP="00A1757E">
            <w:pPr>
              <w:jc w:val="right"/>
              <w:rPr>
                <w:sz w:val="20"/>
                <w:szCs w:val="20"/>
                <w:lang w:eastAsia="en-CA"/>
              </w:rPr>
            </w:pPr>
            <w:r w:rsidRPr="00F7008B">
              <w:rPr>
                <w:sz w:val="20"/>
                <w:szCs w:val="20"/>
                <w:lang w:eastAsia="fr"/>
              </w:rPr>
              <w:t>14 937</w:t>
            </w:r>
          </w:p>
        </w:tc>
        <w:tc>
          <w:tcPr>
            <w:tcW w:w="1304" w:type="dxa"/>
            <w:tcBorders>
              <w:top w:val="nil"/>
              <w:left w:val="nil"/>
              <w:bottom w:val="single" w:sz="4" w:space="0" w:color="auto"/>
              <w:right w:val="single" w:sz="4" w:space="0" w:color="auto"/>
            </w:tcBorders>
            <w:shd w:val="clear" w:color="auto" w:fill="auto"/>
            <w:noWrap/>
            <w:hideMark/>
          </w:tcPr>
          <w:p w14:paraId="5D91A025" w14:textId="77777777" w:rsidR="00A1757E" w:rsidRPr="00F7008B" w:rsidRDefault="00A1757E" w:rsidP="00A1757E">
            <w:pPr>
              <w:jc w:val="right"/>
              <w:rPr>
                <w:sz w:val="20"/>
                <w:szCs w:val="20"/>
                <w:lang w:eastAsia="en-CA"/>
              </w:rPr>
            </w:pPr>
            <w:r w:rsidRPr="00F7008B">
              <w:rPr>
                <w:sz w:val="20"/>
                <w:szCs w:val="20"/>
                <w:lang w:eastAsia="fr"/>
              </w:rPr>
              <w:t>216</w:t>
            </w:r>
          </w:p>
        </w:tc>
        <w:tc>
          <w:tcPr>
            <w:tcW w:w="1220" w:type="dxa"/>
            <w:tcBorders>
              <w:top w:val="nil"/>
              <w:left w:val="nil"/>
              <w:bottom w:val="single" w:sz="4" w:space="0" w:color="auto"/>
              <w:right w:val="single" w:sz="4" w:space="0" w:color="auto"/>
            </w:tcBorders>
            <w:shd w:val="clear" w:color="auto" w:fill="auto"/>
            <w:noWrap/>
            <w:hideMark/>
          </w:tcPr>
          <w:p w14:paraId="36B9838F"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0D2FC9E7" w14:textId="77777777" w:rsidTr="00781759">
        <w:trPr>
          <w:trHeight w:val="59"/>
        </w:trPr>
        <w:tc>
          <w:tcPr>
            <w:tcW w:w="2235" w:type="dxa"/>
            <w:tcBorders>
              <w:top w:val="nil"/>
              <w:left w:val="single" w:sz="4" w:space="0" w:color="auto"/>
              <w:bottom w:val="single" w:sz="4" w:space="0" w:color="auto"/>
              <w:right w:val="single" w:sz="4" w:space="0" w:color="auto"/>
            </w:tcBorders>
            <w:shd w:val="clear" w:color="auto" w:fill="auto"/>
            <w:noWrap/>
            <w:hideMark/>
          </w:tcPr>
          <w:p w14:paraId="3548D6EC" w14:textId="77777777" w:rsidR="00A1757E" w:rsidRPr="00F7008B" w:rsidRDefault="00A1757E" w:rsidP="00A1757E">
            <w:pPr>
              <w:jc w:val="left"/>
              <w:rPr>
                <w:sz w:val="20"/>
                <w:szCs w:val="20"/>
                <w:lang w:eastAsia="en-CA"/>
              </w:rPr>
            </w:pPr>
            <w:proofErr w:type="spellStart"/>
            <w:r w:rsidRPr="00F7008B">
              <w:rPr>
                <w:sz w:val="20"/>
                <w:szCs w:val="20"/>
                <w:lang w:eastAsia="fr"/>
              </w:rPr>
              <w:t>Cambodge</w:t>
            </w:r>
            <w:proofErr w:type="spellEnd"/>
          </w:p>
        </w:tc>
        <w:tc>
          <w:tcPr>
            <w:tcW w:w="1475" w:type="dxa"/>
            <w:tcBorders>
              <w:top w:val="nil"/>
              <w:left w:val="nil"/>
              <w:bottom w:val="single" w:sz="4" w:space="0" w:color="auto"/>
              <w:right w:val="single" w:sz="4" w:space="0" w:color="auto"/>
            </w:tcBorders>
            <w:shd w:val="clear" w:color="auto" w:fill="auto"/>
            <w:noWrap/>
            <w:hideMark/>
          </w:tcPr>
          <w:p w14:paraId="4669E158"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66F6BCFD"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22BD35D1" w14:textId="77777777" w:rsidR="00A1757E" w:rsidRPr="00F7008B" w:rsidRDefault="00A1757E" w:rsidP="00A1757E">
            <w:pPr>
              <w:jc w:val="right"/>
              <w:rPr>
                <w:sz w:val="20"/>
                <w:szCs w:val="20"/>
                <w:lang w:eastAsia="en-CA"/>
              </w:rPr>
            </w:pPr>
            <w:r w:rsidRPr="00F7008B">
              <w:rPr>
                <w:sz w:val="20"/>
                <w:szCs w:val="20"/>
                <w:lang w:eastAsia="fr"/>
              </w:rPr>
              <w:t>45 000</w:t>
            </w:r>
          </w:p>
        </w:tc>
        <w:tc>
          <w:tcPr>
            <w:tcW w:w="1017" w:type="dxa"/>
            <w:tcBorders>
              <w:top w:val="nil"/>
              <w:left w:val="nil"/>
              <w:bottom w:val="single" w:sz="4" w:space="0" w:color="auto"/>
              <w:right w:val="single" w:sz="4" w:space="0" w:color="auto"/>
            </w:tcBorders>
            <w:shd w:val="clear" w:color="auto" w:fill="auto"/>
            <w:noWrap/>
            <w:hideMark/>
          </w:tcPr>
          <w:p w14:paraId="4FC648B9" w14:textId="77777777" w:rsidR="00A1757E" w:rsidRPr="00F7008B" w:rsidRDefault="00A1757E" w:rsidP="00A1757E">
            <w:pPr>
              <w:jc w:val="right"/>
              <w:rPr>
                <w:sz w:val="20"/>
                <w:szCs w:val="20"/>
                <w:lang w:eastAsia="en-CA"/>
              </w:rPr>
            </w:pPr>
            <w:r w:rsidRPr="00F7008B">
              <w:rPr>
                <w:sz w:val="20"/>
                <w:szCs w:val="20"/>
                <w:lang w:eastAsia="fr"/>
              </w:rPr>
              <w:t>74 216</w:t>
            </w:r>
          </w:p>
        </w:tc>
        <w:tc>
          <w:tcPr>
            <w:tcW w:w="1304" w:type="dxa"/>
            <w:tcBorders>
              <w:top w:val="nil"/>
              <w:left w:val="nil"/>
              <w:bottom w:val="single" w:sz="4" w:space="0" w:color="auto"/>
              <w:right w:val="single" w:sz="4" w:space="0" w:color="auto"/>
            </w:tcBorders>
            <w:shd w:val="clear" w:color="auto" w:fill="auto"/>
            <w:noWrap/>
            <w:hideMark/>
          </w:tcPr>
          <w:p w14:paraId="04E0CB16" w14:textId="77777777" w:rsidR="00A1757E" w:rsidRPr="00F7008B" w:rsidRDefault="00A1757E" w:rsidP="00A1757E">
            <w:pPr>
              <w:jc w:val="right"/>
              <w:rPr>
                <w:sz w:val="20"/>
                <w:szCs w:val="20"/>
                <w:lang w:eastAsia="en-CA"/>
              </w:rPr>
            </w:pPr>
            <w:r w:rsidRPr="00F7008B">
              <w:rPr>
                <w:sz w:val="20"/>
                <w:szCs w:val="20"/>
                <w:lang w:eastAsia="fr"/>
              </w:rPr>
              <w:t>165</w:t>
            </w:r>
          </w:p>
        </w:tc>
        <w:tc>
          <w:tcPr>
            <w:tcW w:w="1220" w:type="dxa"/>
            <w:tcBorders>
              <w:top w:val="nil"/>
              <w:left w:val="nil"/>
              <w:bottom w:val="single" w:sz="4" w:space="0" w:color="auto"/>
              <w:right w:val="single" w:sz="4" w:space="0" w:color="auto"/>
            </w:tcBorders>
            <w:shd w:val="clear" w:color="auto" w:fill="auto"/>
            <w:noWrap/>
            <w:hideMark/>
          </w:tcPr>
          <w:p w14:paraId="3EDBB15B"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5ECF110D" w14:textId="77777777" w:rsidTr="00781759">
        <w:trPr>
          <w:trHeight w:val="90"/>
        </w:trPr>
        <w:tc>
          <w:tcPr>
            <w:tcW w:w="2235" w:type="dxa"/>
            <w:tcBorders>
              <w:top w:val="nil"/>
              <w:left w:val="single" w:sz="4" w:space="0" w:color="auto"/>
              <w:bottom w:val="single" w:sz="4" w:space="0" w:color="auto"/>
              <w:right w:val="single" w:sz="4" w:space="0" w:color="auto"/>
            </w:tcBorders>
            <w:shd w:val="clear" w:color="auto" w:fill="auto"/>
            <w:noWrap/>
            <w:hideMark/>
          </w:tcPr>
          <w:p w14:paraId="7D614E39" w14:textId="77777777" w:rsidR="00A1757E" w:rsidRPr="00F7008B" w:rsidRDefault="00A1757E" w:rsidP="00A1757E">
            <w:pPr>
              <w:jc w:val="left"/>
              <w:rPr>
                <w:sz w:val="20"/>
                <w:szCs w:val="20"/>
                <w:lang w:eastAsia="en-CA"/>
              </w:rPr>
            </w:pPr>
            <w:r w:rsidRPr="00F7008B">
              <w:rPr>
                <w:sz w:val="20"/>
                <w:szCs w:val="20"/>
                <w:lang w:eastAsia="fr"/>
              </w:rPr>
              <w:t>Chili</w:t>
            </w:r>
          </w:p>
        </w:tc>
        <w:tc>
          <w:tcPr>
            <w:tcW w:w="1475" w:type="dxa"/>
            <w:tcBorders>
              <w:top w:val="nil"/>
              <w:left w:val="nil"/>
              <w:bottom w:val="single" w:sz="4" w:space="0" w:color="auto"/>
              <w:right w:val="single" w:sz="4" w:space="0" w:color="auto"/>
            </w:tcBorders>
            <w:shd w:val="clear" w:color="auto" w:fill="auto"/>
            <w:noWrap/>
            <w:hideMark/>
          </w:tcPr>
          <w:p w14:paraId="1902E076" w14:textId="77777777" w:rsidR="00A1757E" w:rsidRPr="00F7008B" w:rsidRDefault="00A1757E" w:rsidP="00A1757E">
            <w:pPr>
              <w:jc w:val="right"/>
              <w:rPr>
                <w:sz w:val="20"/>
                <w:szCs w:val="20"/>
                <w:lang w:eastAsia="en-CA"/>
              </w:rPr>
            </w:pPr>
            <w:r w:rsidRPr="00F7008B">
              <w:rPr>
                <w:sz w:val="20"/>
                <w:szCs w:val="20"/>
                <w:lang w:eastAsia="fr"/>
              </w:rPr>
              <w:t>4,0</w:t>
            </w:r>
          </w:p>
        </w:tc>
        <w:tc>
          <w:tcPr>
            <w:tcW w:w="1230" w:type="dxa"/>
            <w:tcBorders>
              <w:top w:val="nil"/>
              <w:left w:val="nil"/>
              <w:bottom w:val="single" w:sz="4" w:space="0" w:color="auto"/>
              <w:right w:val="single" w:sz="4" w:space="0" w:color="auto"/>
            </w:tcBorders>
            <w:shd w:val="clear" w:color="auto" w:fill="auto"/>
            <w:noWrap/>
            <w:hideMark/>
          </w:tcPr>
          <w:p w14:paraId="1E69DD2B"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E568D57" w14:textId="77777777" w:rsidR="00A1757E" w:rsidRPr="00F7008B" w:rsidRDefault="00A1757E" w:rsidP="00A1757E">
            <w:pPr>
              <w:jc w:val="right"/>
              <w:rPr>
                <w:sz w:val="20"/>
                <w:szCs w:val="20"/>
                <w:lang w:eastAsia="en-CA"/>
              </w:rPr>
            </w:pPr>
            <w:r w:rsidRPr="00F7008B">
              <w:rPr>
                <w:sz w:val="20"/>
                <w:szCs w:val="20"/>
                <w:lang w:eastAsia="fr"/>
              </w:rPr>
              <w:t>290 692</w:t>
            </w:r>
          </w:p>
        </w:tc>
        <w:tc>
          <w:tcPr>
            <w:tcW w:w="1017" w:type="dxa"/>
            <w:tcBorders>
              <w:top w:val="nil"/>
              <w:left w:val="nil"/>
              <w:bottom w:val="single" w:sz="4" w:space="0" w:color="auto"/>
              <w:right w:val="single" w:sz="4" w:space="0" w:color="auto"/>
            </w:tcBorders>
            <w:shd w:val="clear" w:color="auto" w:fill="auto"/>
            <w:noWrap/>
            <w:hideMark/>
          </w:tcPr>
          <w:p w14:paraId="397930D3" w14:textId="77777777" w:rsidR="00A1757E" w:rsidRPr="00F7008B" w:rsidRDefault="00A1757E" w:rsidP="00A1757E">
            <w:pPr>
              <w:jc w:val="right"/>
              <w:rPr>
                <w:sz w:val="20"/>
                <w:szCs w:val="20"/>
                <w:lang w:eastAsia="en-CA"/>
              </w:rPr>
            </w:pPr>
            <w:r w:rsidRPr="00F7008B">
              <w:rPr>
                <w:sz w:val="20"/>
                <w:szCs w:val="20"/>
                <w:lang w:eastAsia="fr"/>
              </w:rPr>
              <w:t>391 151</w:t>
            </w:r>
          </w:p>
        </w:tc>
        <w:tc>
          <w:tcPr>
            <w:tcW w:w="1304" w:type="dxa"/>
            <w:tcBorders>
              <w:top w:val="nil"/>
              <w:left w:val="nil"/>
              <w:bottom w:val="single" w:sz="4" w:space="0" w:color="auto"/>
              <w:right w:val="single" w:sz="4" w:space="0" w:color="auto"/>
            </w:tcBorders>
            <w:shd w:val="clear" w:color="auto" w:fill="auto"/>
            <w:noWrap/>
            <w:hideMark/>
          </w:tcPr>
          <w:p w14:paraId="7952EFE8" w14:textId="77777777" w:rsidR="00A1757E" w:rsidRPr="00F7008B" w:rsidRDefault="00A1757E" w:rsidP="00A1757E">
            <w:pPr>
              <w:jc w:val="right"/>
              <w:rPr>
                <w:sz w:val="20"/>
                <w:szCs w:val="20"/>
                <w:lang w:eastAsia="en-CA"/>
              </w:rPr>
            </w:pPr>
            <w:r w:rsidRPr="00F7008B">
              <w:rPr>
                <w:sz w:val="20"/>
                <w:szCs w:val="20"/>
                <w:lang w:eastAsia="fr"/>
              </w:rPr>
              <w:t>135</w:t>
            </w:r>
          </w:p>
        </w:tc>
        <w:tc>
          <w:tcPr>
            <w:tcW w:w="1220" w:type="dxa"/>
            <w:tcBorders>
              <w:top w:val="nil"/>
              <w:left w:val="nil"/>
              <w:bottom w:val="single" w:sz="4" w:space="0" w:color="auto"/>
              <w:right w:val="single" w:sz="4" w:space="0" w:color="auto"/>
            </w:tcBorders>
            <w:shd w:val="clear" w:color="auto" w:fill="auto"/>
            <w:noWrap/>
            <w:hideMark/>
          </w:tcPr>
          <w:p w14:paraId="7DCA8EA3"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7B6C3EEB"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48CE1A15" w14:textId="77777777" w:rsidR="00A1757E" w:rsidRPr="00F7008B" w:rsidRDefault="00A1757E" w:rsidP="00A1757E">
            <w:pPr>
              <w:jc w:val="left"/>
              <w:rPr>
                <w:sz w:val="20"/>
                <w:szCs w:val="20"/>
                <w:lang w:eastAsia="en-CA"/>
              </w:rPr>
            </w:pPr>
            <w:r w:rsidRPr="00F7008B">
              <w:rPr>
                <w:sz w:val="20"/>
                <w:szCs w:val="20"/>
                <w:lang w:eastAsia="fr"/>
              </w:rPr>
              <w:t>Chine</w:t>
            </w:r>
          </w:p>
        </w:tc>
        <w:tc>
          <w:tcPr>
            <w:tcW w:w="1475" w:type="dxa"/>
            <w:tcBorders>
              <w:top w:val="nil"/>
              <w:left w:val="nil"/>
              <w:bottom w:val="single" w:sz="4" w:space="0" w:color="auto"/>
              <w:right w:val="single" w:sz="4" w:space="0" w:color="auto"/>
            </w:tcBorders>
            <w:shd w:val="clear" w:color="auto" w:fill="auto"/>
            <w:noWrap/>
            <w:hideMark/>
          </w:tcPr>
          <w:p w14:paraId="25CB62DC" w14:textId="77777777" w:rsidR="00A1757E" w:rsidRPr="00F7008B" w:rsidRDefault="00A1757E" w:rsidP="00A1757E">
            <w:pPr>
              <w:jc w:val="right"/>
              <w:rPr>
                <w:sz w:val="20"/>
                <w:szCs w:val="20"/>
                <w:lang w:eastAsia="en-CA"/>
              </w:rPr>
            </w:pPr>
            <w:r w:rsidRPr="00F7008B">
              <w:rPr>
                <w:sz w:val="20"/>
                <w:szCs w:val="20"/>
                <w:lang w:eastAsia="fr"/>
              </w:rPr>
              <w:t>130,3</w:t>
            </w:r>
          </w:p>
        </w:tc>
        <w:tc>
          <w:tcPr>
            <w:tcW w:w="1230" w:type="dxa"/>
            <w:tcBorders>
              <w:top w:val="nil"/>
              <w:left w:val="nil"/>
              <w:bottom w:val="single" w:sz="4" w:space="0" w:color="auto"/>
              <w:right w:val="single" w:sz="4" w:space="0" w:color="auto"/>
            </w:tcBorders>
            <w:shd w:val="clear" w:color="auto" w:fill="auto"/>
            <w:noWrap/>
            <w:hideMark/>
          </w:tcPr>
          <w:p w14:paraId="069C537D" w14:textId="77777777" w:rsidR="00A1757E" w:rsidRPr="00F7008B" w:rsidRDefault="00A1757E" w:rsidP="00A1757E">
            <w:pPr>
              <w:jc w:val="right"/>
              <w:rPr>
                <w:sz w:val="20"/>
                <w:szCs w:val="20"/>
                <w:lang w:eastAsia="en-CA"/>
              </w:rPr>
            </w:pPr>
            <w:r w:rsidRPr="00F7008B">
              <w:rPr>
                <w:sz w:val="20"/>
                <w:szCs w:val="20"/>
                <w:lang w:eastAsia="fr"/>
              </w:rPr>
              <w:t>55</w:t>
            </w:r>
          </w:p>
        </w:tc>
        <w:tc>
          <w:tcPr>
            <w:tcW w:w="1095" w:type="dxa"/>
            <w:tcBorders>
              <w:top w:val="nil"/>
              <w:left w:val="nil"/>
              <w:bottom w:val="single" w:sz="4" w:space="0" w:color="auto"/>
              <w:right w:val="single" w:sz="4" w:space="0" w:color="auto"/>
            </w:tcBorders>
            <w:shd w:val="clear" w:color="auto" w:fill="auto"/>
            <w:noWrap/>
            <w:hideMark/>
          </w:tcPr>
          <w:p w14:paraId="363B936A" w14:textId="77777777" w:rsidR="00A1757E" w:rsidRPr="00F7008B" w:rsidRDefault="00A1757E" w:rsidP="00A1757E">
            <w:pPr>
              <w:jc w:val="right"/>
              <w:rPr>
                <w:sz w:val="20"/>
                <w:szCs w:val="20"/>
                <w:lang w:eastAsia="en-CA"/>
              </w:rPr>
            </w:pPr>
            <w:r w:rsidRPr="00F7008B">
              <w:rPr>
                <w:sz w:val="20"/>
                <w:szCs w:val="20"/>
                <w:lang w:eastAsia="fr"/>
              </w:rPr>
              <w:t>76 437</w:t>
            </w:r>
          </w:p>
        </w:tc>
        <w:tc>
          <w:tcPr>
            <w:tcW w:w="1017" w:type="dxa"/>
            <w:tcBorders>
              <w:top w:val="nil"/>
              <w:left w:val="nil"/>
              <w:bottom w:val="single" w:sz="4" w:space="0" w:color="auto"/>
              <w:right w:val="single" w:sz="4" w:space="0" w:color="auto"/>
            </w:tcBorders>
            <w:shd w:val="clear" w:color="auto" w:fill="auto"/>
            <w:noWrap/>
            <w:hideMark/>
          </w:tcPr>
          <w:p w14:paraId="26931B68" w14:textId="77777777" w:rsidR="00A1757E" w:rsidRPr="00F7008B" w:rsidRDefault="00A1757E" w:rsidP="00A1757E">
            <w:pPr>
              <w:jc w:val="right"/>
              <w:rPr>
                <w:sz w:val="20"/>
                <w:szCs w:val="20"/>
                <w:lang w:eastAsia="en-CA"/>
              </w:rPr>
            </w:pPr>
            <w:r w:rsidRPr="00F7008B">
              <w:rPr>
                <w:sz w:val="20"/>
                <w:szCs w:val="20"/>
                <w:lang w:eastAsia="fr"/>
              </w:rPr>
              <w:t>11 609 384</w:t>
            </w:r>
          </w:p>
        </w:tc>
        <w:tc>
          <w:tcPr>
            <w:tcW w:w="1304" w:type="dxa"/>
            <w:tcBorders>
              <w:top w:val="nil"/>
              <w:left w:val="nil"/>
              <w:bottom w:val="single" w:sz="4" w:space="0" w:color="auto"/>
              <w:right w:val="single" w:sz="4" w:space="0" w:color="auto"/>
            </w:tcBorders>
            <w:shd w:val="clear" w:color="auto" w:fill="auto"/>
            <w:noWrap/>
            <w:hideMark/>
          </w:tcPr>
          <w:p w14:paraId="748F2CB6" w14:textId="77777777" w:rsidR="00A1757E" w:rsidRPr="00F7008B" w:rsidRDefault="00A1757E" w:rsidP="00A1757E">
            <w:pPr>
              <w:jc w:val="right"/>
              <w:rPr>
                <w:sz w:val="20"/>
                <w:szCs w:val="20"/>
                <w:lang w:eastAsia="en-CA"/>
              </w:rPr>
            </w:pPr>
            <w:r w:rsidRPr="00F7008B">
              <w:rPr>
                <w:sz w:val="20"/>
                <w:szCs w:val="20"/>
                <w:lang w:eastAsia="fr"/>
              </w:rPr>
              <w:t>15 188</w:t>
            </w:r>
          </w:p>
        </w:tc>
        <w:tc>
          <w:tcPr>
            <w:tcW w:w="1220" w:type="dxa"/>
            <w:tcBorders>
              <w:top w:val="nil"/>
              <w:left w:val="nil"/>
              <w:bottom w:val="single" w:sz="4" w:space="0" w:color="auto"/>
              <w:right w:val="single" w:sz="4" w:space="0" w:color="auto"/>
            </w:tcBorders>
            <w:shd w:val="clear" w:color="auto" w:fill="auto"/>
            <w:noWrap/>
            <w:hideMark/>
          </w:tcPr>
          <w:p w14:paraId="33B32A58" w14:textId="77777777" w:rsidR="00A1757E" w:rsidRPr="00F7008B" w:rsidRDefault="00A1757E" w:rsidP="00A1757E">
            <w:pPr>
              <w:jc w:val="right"/>
              <w:rPr>
                <w:sz w:val="20"/>
                <w:szCs w:val="20"/>
                <w:lang w:eastAsia="en-CA"/>
              </w:rPr>
            </w:pPr>
            <w:r w:rsidRPr="00F7008B">
              <w:rPr>
                <w:sz w:val="20"/>
                <w:szCs w:val="20"/>
                <w:lang w:eastAsia="fr"/>
              </w:rPr>
              <w:t>40</w:t>
            </w:r>
          </w:p>
        </w:tc>
      </w:tr>
      <w:tr w:rsidR="00A1757E" w:rsidRPr="00F7008B" w14:paraId="63B57AF8"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02B6AC1F" w14:textId="77777777" w:rsidR="00A1757E" w:rsidRPr="00F7008B" w:rsidRDefault="00A1757E" w:rsidP="00A1757E">
            <w:pPr>
              <w:jc w:val="left"/>
              <w:rPr>
                <w:sz w:val="20"/>
                <w:szCs w:val="20"/>
                <w:lang w:eastAsia="en-CA"/>
              </w:rPr>
            </w:pPr>
            <w:proofErr w:type="spellStart"/>
            <w:r w:rsidRPr="00F7008B">
              <w:rPr>
                <w:sz w:val="20"/>
                <w:szCs w:val="20"/>
                <w:lang w:eastAsia="fr"/>
              </w:rPr>
              <w:t>Colombie</w:t>
            </w:r>
            <w:proofErr w:type="spellEnd"/>
          </w:p>
        </w:tc>
        <w:tc>
          <w:tcPr>
            <w:tcW w:w="1475" w:type="dxa"/>
            <w:tcBorders>
              <w:top w:val="nil"/>
              <w:left w:val="nil"/>
              <w:bottom w:val="single" w:sz="4" w:space="0" w:color="auto"/>
              <w:right w:val="single" w:sz="4" w:space="0" w:color="auto"/>
            </w:tcBorders>
            <w:shd w:val="clear" w:color="auto" w:fill="auto"/>
            <w:noWrap/>
            <w:hideMark/>
          </w:tcPr>
          <w:p w14:paraId="34F5C05C" w14:textId="77777777" w:rsidR="00A1757E" w:rsidRPr="00F7008B" w:rsidRDefault="00A1757E" w:rsidP="00A1757E">
            <w:pPr>
              <w:jc w:val="right"/>
              <w:rPr>
                <w:sz w:val="20"/>
                <w:szCs w:val="20"/>
                <w:lang w:eastAsia="en-CA"/>
              </w:rPr>
            </w:pPr>
            <w:r w:rsidRPr="00F7008B">
              <w:rPr>
                <w:sz w:val="20"/>
                <w:szCs w:val="20"/>
                <w:lang w:eastAsia="fr"/>
              </w:rPr>
              <w:t>26,0</w:t>
            </w:r>
          </w:p>
        </w:tc>
        <w:tc>
          <w:tcPr>
            <w:tcW w:w="1230" w:type="dxa"/>
            <w:tcBorders>
              <w:top w:val="nil"/>
              <w:left w:val="nil"/>
              <w:bottom w:val="single" w:sz="4" w:space="0" w:color="auto"/>
              <w:right w:val="single" w:sz="4" w:space="0" w:color="auto"/>
            </w:tcBorders>
            <w:shd w:val="clear" w:color="auto" w:fill="auto"/>
            <w:noWrap/>
            <w:hideMark/>
          </w:tcPr>
          <w:p w14:paraId="52E14B83" w14:textId="77777777" w:rsidR="00A1757E" w:rsidRPr="00F7008B" w:rsidRDefault="00A1757E" w:rsidP="00A1757E">
            <w:pPr>
              <w:jc w:val="right"/>
              <w:rPr>
                <w:sz w:val="20"/>
                <w:szCs w:val="20"/>
                <w:lang w:eastAsia="en-CA"/>
              </w:rPr>
            </w:pPr>
            <w:r w:rsidRPr="00F7008B">
              <w:rPr>
                <w:sz w:val="20"/>
                <w:szCs w:val="20"/>
                <w:lang w:eastAsia="fr"/>
              </w:rPr>
              <w:t>14</w:t>
            </w:r>
          </w:p>
        </w:tc>
        <w:tc>
          <w:tcPr>
            <w:tcW w:w="1095" w:type="dxa"/>
            <w:tcBorders>
              <w:top w:val="nil"/>
              <w:left w:val="nil"/>
              <w:bottom w:val="single" w:sz="4" w:space="0" w:color="auto"/>
              <w:right w:val="single" w:sz="4" w:space="0" w:color="auto"/>
            </w:tcBorders>
            <w:shd w:val="clear" w:color="auto" w:fill="auto"/>
            <w:noWrap/>
            <w:hideMark/>
          </w:tcPr>
          <w:p w14:paraId="281AB303" w14:textId="77777777" w:rsidR="00A1757E" w:rsidRPr="00F7008B" w:rsidRDefault="00A1757E" w:rsidP="00A1757E">
            <w:pPr>
              <w:jc w:val="right"/>
              <w:rPr>
                <w:sz w:val="20"/>
                <w:szCs w:val="20"/>
                <w:lang w:eastAsia="en-CA"/>
              </w:rPr>
            </w:pPr>
            <w:r w:rsidRPr="00F7008B">
              <w:rPr>
                <w:sz w:val="20"/>
                <w:szCs w:val="20"/>
                <w:lang w:eastAsia="fr"/>
              </w:rPr>
              <w:t>897 760</w:t>
            </w:r>
          </w:p>
        </w:tc>
        <w:tc>
          <w:tcPr>
            <w:tcW w:w="1017" w:type="dxa"/>
            <w:tcBorders>
              <w:top w:val="nil"/>
              <w:left w:val="nil"/>
              <w:bottom w:val="single" w:sz="4" w:space="0" w:color="auto"/>
              <w:right w:val="single" w:sz="4" w:space="0" w:color="auto"/>
            </w:tcBorders>
            <w:shd w:val="clear" w:color="auto" w:fill="auto"/>
            <w:noWrap/>
            <w:hideMark/>
          </w:tcPr>
          <w:p w14:paraId="23524C70" w14:textId="77777777" w:rsidR="00A1757E" w:rsidRPr="00F7008B" w:rsidRDefault="00A1757E" w:rsidP="00A1757E">
            <w:pPr>
              <w:jc w:val="right"/>
              <w:rPr>
                <w:sz w:val="20"/>
                <w:szCs w:val="20"/>
                <w:lang w:eastAsia="en-CA"/>
              </w:rPr>
            </w:pPr>
            <w:r w:rsidRPr="00F7008B">
              <w:rPr>
                <w:sz w:val="20"/>
                <w:szCs w:val="20"/>
                <w:lang w:eastAsia="fr"/>
              </w:rPr>
              <w:t>380 370</w:t>
            </w:r>
          </w:p>
        </w:tc>
        <w:tc>
          <w:tcPr>
            <w:tcW w:w="1304" w:type="dxa"/>
            <w:tcBorders>
              <w:top w:val="nil"/>
              <w:left w:val="nil"/>
              <w:bottom w:val="single" w:sz="4" w:space="0" w:color="auto"/>
              <w:right w:val="single" w:sz="4" w:space="0" w:color="auto"/>
            </w:tcBorders>
            <w:shd w:val="clear" w:color="auto" w:fill="auto"/>
            <w:noWrap/>
            <w:hideMark/>
          </w:tcPr>
          <w:p w14:paraId="274B3011" w14:textId="77777777" w:rsidR="00A1757E" w:rsidRPr="00F7008B" w:rsidRDefault="00A1757E" w:rsidP="00A1757E">
            <w:pPr>
              <w:jc w:val="right"/>
              <w:rPr>
                <w:sz w:val="20"/>
                <w:szCs w:val="20"/>
                <w:lang w:eastAsia="en-CA"/>
              </w:rPr>
            </w:pPr>
            <w:r w:rsidRPr="00F7008B">
              <w:rPr>
                <w:sz w:val="20"/>
                <w:szCs w:val="20"/>
                <w:lang w:eastAsia="fr"/>
              </w:rPr>
              <w:t>42</w:t>
            </w:r>
          </w:p>
        </w:tc>
        <w:tc>
          <w:tcPr>
            <w:tcW w:w="1220" w:type="dxa"/>
            <w:tcBorders>
              <w:top w:val="nil"/>
              <w:left w:val="nil"/>
              <w:bottom w:val="single" w:sz="4" w:space="0" w:color="auto"/>
              <w:right w:val="single" w:sz="4" w:space="0" w:color="auto"/>
            </w:tcBorders>
            <w:shd w:val="clear" w:color="auto" w:fill="auto"/>
            <w:noWrap/>
            <w:hideMark/>
          </w:tcPr>
          <w:p w14:paraId="0A7FCBAE" w14:textId="77777777" w:rsidR="00A1757E" w:rsidRPr="00F7008B" w:rsidRDefault="00A1757E" w:rsidP="00A1757E">
            <w:pPr>
              <w:jc w:val="right"/>
              <w:rPr>
                <w:sz w:val="20"/>
                <w:szCs w:val="20"/>
                <w:lang w:eastAsia="en-CA"/>
              </w:rPr>
            </w:pPr>
            <w:r w:rsidRPr="00F7008B">
              <w:rPr>
                <w:sz w:val="20"/>
                <w:szCs w:val="20"/>
                <w:lang w:eastAsia="fr"/>
              </w:rPr>
              <w:t>50</w:t>
            </w:r>
          </w:p>
        </w:tc>
      </w:tr>
      <w:tr w:rsidR="00A1757E" w:rsidRPr="00F7008B" w14:paraId="7A4BFB05" w14:textId="77777777" w:rsidTr="00781759">
        <w:trPr>
          <w:trHeight w:val="59"/>
        </w:trPr>
        <w:tc>
          <w:tcPr>
            <w:tcW w:w="2235" w:type="dxa"/>
            <w:tcBorders>
              <w:top w:val="nil"/>
              <w:left w:val="single" w:sz="4" w:space="0" w:color="auto"/>
              <w:bottom w:val="single" w:sz="4" w:space="0" w:color="auto"/>
              <w:right w:val="single" w:sz="4" w:space="0" w:color="auto"/>
            </w:tcBorders>
            <w:shd w:val="clear" w:color="auto" w:fill="auto"/>
            <w:noWrap/>
            <w:hideMark/>
          </w:tcPr>
          <w:p w14:paraId="443B751A" w14:textId="77777777" w:rsidR="00A1757E" w:rsidRPr="00F7008B" w:rsidRDefault="00A1757E" w:rsidP="00A1757E">
            <w:pPr>
              <w:jc w:val="left"/>
              <w:rPr>
                <w:sz w:val="20"/>
                <w:szCs w:val="20"/>
                <w:lang w:eastAsia="en-CA"/>
              </w:rPr>
            </w:pPr>
            <w:r w:rsidRPr="00F7008B">
              <w:rPr>
                <w:sz w:val="20"/>
                <w:szCs w:val="20"/>
                <w:lang w:eastAsia="fr"/>
              </w:rPr>
              <w:t>Costa Rica</w:t>
            </w:r>
          </w:p>
        </w:tc>
        <w:tc>
          <w:tcPr>
            <w:tcW w:w="1475" w:type="dxa"/>
            <w:tcBorders>
              <w:top w:val="nil"/>
              <w:left w:val="nil"/>
              <w:bottom w:val="single" w:sz="4" w:space="0" w:color="auto"/>
              <w:right w:val="single" w:sz="4" w:space="0" w:color="auto"/>
            </w:tcBorders>
            <w:shd w:val="clear" w:color="auto" w:fill="auto"/>
            <w:noWrap/>
            <w:hideMark/>
          </w:tcPr>
          <w:p w14:paraId="38084DB3" w14:textId="77777777" w:rsidR="00A1757E" w:rsidRPr="00F7008B" w:rsidRDefault="00A1757E" w:rsidP="00A1757E">
            <w:pPr>
              <w:jc w:val="right"/>
              <w:rPr>
                <w:sz w:val="20"/>
                <w:szCs w:val="20"/>
                <w:lang w:eastAsia="en-CA"/>
              </w:rPr>
            </w:pPr>
            <w:r w:rsidRPr="00F7008B">
              <w:rPr>
                <w:sz w:val="20"/>
                <w:szCs w:val="20"/>
                <w:lang w:eastAsia="fr"/>
              </w:rPr>
              <w:t>3,5</w:t>
            </w:r>
          </w:p>
        </w:tc>
        <w:tc>
          <w:tcPr>
            <w:tcW w:w="1230" w:type="dxa"/>
            <w:tcBorders>
              <w:top w:val="nil"/>
              <w:left w:val="nil"/>
              <w:bottom w:val="single" w:sz="4" w:space="0" w:color="auto"/>
              <w:right w:val="single" w:sz="4" w:space="0" w:color="auto"/>
            </w:tcBorders>
            <w:shd w:val="clear" w:color="auto" w:fill="auto"/>
            <w:noWrap/>
            <w:hideMark/>
          </w:tcPr>
          <w:p w14:paraId="31998B0B"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A77F59E" w14:textId="77777777" w:rsidR="00A1757E" w:rsidRPr="00F7008B" w:rsidRDefault="00A1757E" w:rsidP="00A1757E">
            <w:pPr>
              <w:jc w:val="right"/>
              <w:rPr>
                <w:sz w:val="20"/>
                <w:szCs w:val="20"/>
                <w:lang w:eastAsia="en-CA"/>
              </w:rPr>
            </w:pPr>
            <w:r w:rsidRPr="00F7008B">
              <w:rPr>
                <w:sz w:val="20"/>
                <w:szCs w:val="20"/>
                <w:lang w:eastAsia="fr"/>
              </w:rPr>
              <w:t>222 542</w:t>
            </w:r>
          </w:p>
        </w:tc>
        <w:tc>
          <w:tcPr>
            <w:tcW w:w="1017" w:type="dxa"/>
            <w:tcBorders>
              <w:top w:val="nil"/>
              <w:left w:val="nil"/>
              <w:bottom w:val="single" w:sz="4" w:space="0" w:color="auto"/>
              <w:right w:val="single" w:sz="4" w:space="0" w:color="auto"/>
            </w:tcBorders>
            <w:shd w:val="clear" w:color="auto" w:fill="auto"/>
            <w:noWrap/>
            <w:hideMark/>
          </w:tcPr>
          <w:p w14:paraId="17169953" w14:textId="77777777" w:rsidR="00A1757E" w:rsidRPr="00F7008B" w:rsidRDefault="00A1757E" w:rsidP="00A1757E">
            <w:pPr>
              <w:jc w:val="right"/>
              <w:rPr>
                <w:sz w:val="20"/>
                <w:szCs w:val="20"/>
                <w:lang w:eastAsia="en-CA"/>
              </w:rPr>
            </w:pPr>
            <w:r w:rsidRPr="00F7008B">
              <w:rPr>
                <w:sz w:val="20"/>
                <w:szCs w:val="20"/>
                <w:lang w:eastAsia="fr"/>
              </w:rPr>
              <w:t>164 696</w:t>
            </w:r>
          </w:p>
        </w:tc>
        <w:tc>
          <w:tcPr>
            <w:tcW w:w="1304" w:type="dxa"/>
            <w:tcBorders>
              <w:top w:val="nil"/>
              <w:left w:val="nil"/>
              <w:bottom w:val="single" w:sz="4" w:space="0" w:color="auto"/>
              <w:right w:val="single" w:sz="4" w:space="0" w:color="auto"/>
            </w:tcBorders>
            <w:shd w:val="clear" w:color="auto" w:fill="auto"/>
            <w:noWrap/>
            <w:hideMark/>
          </w:tcPr>
          <w:p w14:paraId="5904C058" w14:textId="77777777" w:rsidR="00A1757E" w:rsidRPr="00F7008B" w:rsidRDefault="00A1757E" w:rsidP="00A1757E">
            <w:pPr>
              <w:jc w:val="right"/>
              <w:rPr>
                <w:sz w:val="20"/>
                <w:szCs w:val="20"/>
                <w:lang w:eastAsia="en-CA"/>
              </w:rPr>
            </w:pPr>
            <w:r w:rsidRPr="00F7008B">
              <w:rPr>
                <w:sz w:val="20"/>
                <w:szCs w:val="20"/>
                <w:lang w:eastAsia="fr"/>
              </w:rPr>
              <w:t>74</w:t>
            </w:r>
          </w:p>
        </w:tc>
        <w:tc>
          <w:tcPr>
            <w:tcW w:w="1220" w:type="dxa"/>
            <w:tcBorders>
              <w:top w:val="nil"/>
              <w:left w:val="nil"/>
              <w:bottom w:val="single" w:sz="4" w:space="0" w:color="auto"/>
              <w:right w:val="single" w:sz="4" w:space="0" w:color="auto"/>
            </w:tcBorders>
            <w:shd w:val="clear" w:color="auto" w:fill="auto"/>
            <w:noWrap/>
            <w:hideMark/>
          </w:tcPr>
          <w:p w14:paraId="2653DCD7"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522C4787" w14:textId="77777777" w:rsidTr="00781759">
        <w:trPr>
          <w:trHeight w:val="105"/>
        </w:trPr>
        <w:tc>
          <w:tcPr>
            <w:tcW w:w="2235" w:type="dxa"/>
            <w:tcBorders>
              <w:top w:val="nil"/>
              <w:left w:val="single" w:sz="4" w:space="0" w:color="auto"/>
              <w:bottom w:val="single" w:sz="4" w:space="0" w:color="auto"/>
              <w:right w:val="single" w:sz="4" w:space="0" w:color="auto"/>
            </w:tcBorders>
            <w:shd w:val="clear" w:color="auto" w:fill="auto"/>
            <w:noWrap/>
            <w:hideMark/>
          </w:tcPr>
          <w:p w14:paraId="4FE9E3A1" w14:textId="77777777" w:rsidR="00A1757E" w:rsidRPr="00F7008B" w:rsidRDefault="00A1757E" w:rsidP="00A1757E">
            <w:pPr>
              <w:jc w:val="left"/>
              <w:rPr>
                <w:sz w:val="20"/>
                <w:szCs w:val="20"/>
                <w:lang w:eastAsia="en-CA"/>
              </w:rPr>
            </w:pPr>
            <w:r w:rsidRPr="00F7008B">
              <w:rPr>
                <w:sz w:val="20"/>
                <w:szCs w:val="20"/>
                <w:lang w:eastAsia="fr"/>
              </w:rPr>
              <w:t>Cuba</w:t>
            </w:r>
          </w:p>
        </w:tc>
        <w:tc>
          <w:tcPr>
            <w:tcW w:w="1475" w:type="dxa"/>
            <w:tcBorders>
              <w:top w:val="nil"/>
              <w:left w:val="nil"/>
              <w:bottom w:val="single" w:sz="4" w:space="0" w:color="auto"/>
              <w:right w:val="single" w:sz="4" w:space="0" w:color="auto"/>
            </w:tcBorders>
            <w:shd w:val="clear" w:color="auto" w:fill="auto"/>
            <w:noWrap/>
            <w:hideMark/>
          </w:tcPr>
          <w:p w14:paraId="5ACE7838" w14:textId="77777777" w:rsidR="00A1757E" w:rsidRPr="00F7008B" w:rsidRDefault="00A1757E" w:rsidP="00A1757E">
            <w:pPr>
              <w:jc w:val="right"/>
              <w:rPr>
                <w:sz w:val="20"/>
                <w:szCs w:val="20"/>
                <w:lang w:eastAsia="en-CA"/>
              </w:rPr>
            </w:pPr>
            <w:r w:rsidRPr="00F7008B">
              <w:rPr>
                <w:sz w:val="20"/>
                <w:szCs w:val="20"/>
                <w:lang w:eastAsia="fr"/>
              </w:rPr>
              <w:t>3,2</w:t>
            </w:r>
          </w:p>
        </w:tc>
        <w:tc>
          <w:tcPr>
            <w:tcW w:w="1230" w:type="dxa"/>
            <w:tcBorders>
              <w:top w:val="nil"/>
              <w:left w:val="nil"/>
              <w:bottom w:val="single" w:sz="4" w:space="0" w:color="auto"/>
              <w:right w:val="single" w:sz="4" w:space="0" w:color="auto"/>
            </w:tcBorders>
            <w:shd w:val="clear" w:color="auto" w:fill="auto"/>
            <w:noWrap/>
            <w:hideMark/>
          </w:tcPr>
          <w:p w14:paraId="3DE6E94A"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E9099C4" w14:textId="77777777" w:rsidR="00A1757E" w:rsidRPr="00F7008B" w:rsidRDefault="00A1757E" w:rsidP="00A1757E">
            <w:pPr>
              <w:jc w:val="right"/>
              <w:rPr>
                <w:sz w:val="20"/>
                <w:szCs w:val="20"/>
                <w:lang w:eastAsia="en-CA"/>
              </w:rPr>
            </w:pPr>
            <w:r w:rsidRPr="00F7008B">
              <w:rPr>
                <w:sz w:val="20"/>
                <w:szCs w:val="20"/>
                <w:lang w:eastAsia="fr"/>
              </w:rPr>
              <w:t>223 459</w:t>
            </w:r>
          </w:p>
        </w:tc>
        <w:tc>
          <w:tcPr>
            <w:tcW w:w="1017" w:type="dxa"/>
            <w:tcBorders>
              <w:top w:val="nil"/>
              <w:left w:val="nil"/>
              <w:bottom w:val="single" w:sz="4" w:space="0" w:color="auto"/>
              <w:right w:val="single" w:sz="4" w:space="0" w:color="auto"/>
            </w:tcBorders>
            <w:shd w:val="clear" w:color="auto" w:fill="auto"/>
            <w:noWrap/>
            <w:hideMark/>
          </w:tcPr>
          <w:p w14:paraId="6C67E4E5" w14:textId="77777777" w:rsidR="00A1757E" w:rsidRPr="00F7008B" w:rsidRDefault="00A1757E" w:rsidP="00A1757E">
            <w:pPr>
              <w:jc w:val="right"/>
              <w:rPr>
                <w:sz w:val="20"/>
                <w:szCs w:val="20"/>
                <w:lang w:eastAsia="en-CA"/>
              </w:rPr>
            </w:pPr>
            <w:r w:rsidRPr="00F7008B">
              <w:rPr>
                <w:sz w:val="20"/>
                <w:szCs w:val="20"/>
                <w:lang w:eastAsia="fr"/>
              </w:rPr>
              <w:t>289 759</w:t>
            </w:r>
          </w:p>
        </w:tc>
        <w:tc>
          <w:tcPr>
            <w:tcW w:w="1304" w:type="dxa"/>
            <w:tcBorders>
              <w:top w:val="nil"/>
              <w:left w:val="nil"/>
              <w:bottom w:val="single" w:sz="4" w:space="0" w:color="auto"/>
              <w:right w:val="single" w:sz="4" w:space="0" w:color="auto"/>
            </w:tcBorders>
            <w:shd w:val="clear" w:color="auto" w:fill="auto"/>
            <w:noWrap/>
            <w:hideMark/>
          </w:tcPr>
          <w:p w14:paraId="68C50639" w14:textId="77777777" w:rsidR="00A1757E" w:rsidRPr="00F7008B" w:rsidRDefault="00A1757E" w:rsidP="00A1757E">
            <w:pPr>
              <w:jc w:val="right"/>
              <w:rPr>
                <w:sz w:val="20"/>
                <w:szCs w:val="20"/>
                <w:lang w:eastAsia="en-CA"/>
              </w:rPr>
            </w:pPr>
            <w:r w:rsidRPr="00F7008B">
              <w:rPr>
                <w:sz w:val="20"/>
                <w:szCs w:val="20"/>
                <w:lang w:eastAsia="fr"/>
              </w:rPr>
              <w:t>130</w:t>
            </w:r>
          </w:p>
        </w:tc>
        <w:tc>
          <w:tcPr>
            <w:tcW w:w="1220" w:type="dxa"/>
            <w:tcBorders>
              <w:top w:val="nil"/>
              <w:left w:val="nil"/>
              <w:bottom w:val="single" w:sz="4" w:space="0" w:color="auto"/>
              <w:right w:val="single" w:sz="4" w:space="0" w:color="auto"/>
            </w:tcBorders>
            <w:shd w:val="clear" w:color="auto" w:fill="auto"/>
            <w:noWrap/>
            <w:hideMark/>
          </w:tcPr>
          <w:p w14:paraId="698C9B3C" w14:textId="77777777" w:rsidR="00A1757E" w:rsidRPr="00F7008B" w:rsidRDefault="00A1757E" w:rsidP="00A1757E">
            <w:pPr>
              <w:jc w:val="right"/>
              <w:rPr>
                <w:sz w:val="20"/>
                <w:szCs w:val="20"/>
                <w:lang w:eastAsia="en-CA"/>
              </w:rPr>
            </w:pPr>
            <w:r w:rsidRPr="00F7008B">
              <w:rPr>
                <w:sz w:val="20"/>
                <w:szCs w:val="20"/>
                <w:lang w:eastAsia="fr"/>
              </w:rPr>
              <w:t>50</w:t>
            </w:r>
          </w:p>
        </w:tc>
      </w:tr>
      <w:tr w:rsidR="00A1757E" w:rsidRPr="00F7008B" w14:paraId="4F61AA2F" w14:textId="77777777" w:rsidTr="00781759">
        <w:trPr>
          <w:trHeight w:val="292"/>
        </w:trPr>
        <w:tc>
          <w:tcPr>
            <w:tcW w:w="2235" w:type="dxa"/>
            <w:tcBorders>
              <w:top w:val="nil"/>
              <w:left w:val="single" w:sz="4" w:space="0" w:color="auto"/>
              <w:bottom w:val="single" w:sz="4" w:space="0" w:color="auto"/>
              <w:right w:val="single" w:sz="4" w:space="0" w:color="auto"/>
            </w:tcBorders>
            <w:shd w:val="clear" w:color="auto" w:fill="auto"/>
            <w:noWrap/>
            <w:hideMark/>
          </w:tcPr>
          <w:p w14:paraId="07C0F41E" w14:textId="77777777" w:rsidR="00A1757E" w:rsidRPr="00F7008B" w:rsidRDefault="00A1757E" w:rsidP="00A1757E">
            <w:pPr>
              <w:jc w:val="left"/>
              <w:rPr>
                <w:sz w:val="20"/>
                <w:szCs w:val="20"/>
                <w:lang w:eastAsia="en-CA"/>
              </w:rPr>
            </w:pPr>
            <w:proofErr w:type="spellStart"/>
            <w:r w:rsidRPr="00F7008B">
              <w:rPr>
                <w:sz w:val="20"/>
                <w:szCs w:val="20"/>
                <w:lang w:eastAsia="fr"/>
              </w:rPr>
              <w:t>République</w:t>
            </w:r>
            <w:proofErr w:type="spellEnd"/>
            <w:r w:rsidRPr="00F7008B">
              <w:rPr>
                <w:sz w:val="20"/>
                <w:szCs w:val="20"/>
                <w:lang w:eastAsia="fr"/>
              </w:rPr>
              <w:t xml:space="preserve"> </w:t>
            </w:r>
            <w:proofErr w:type="spellStart"/>
            <w:r w:rsidRPr="00F7008B">
              <w:rPr>
                <w:sz w:val="20"/>
                <w:szCs w:val="20"/>
                <w:lang w:eastAsia="fr"/>
              </w:rPr>
              <w:t>démocratique</w:t>
            </w:r>
            <w:proofErr w:type="spellEnd"/>
            <w:r w:rsidRPr="00F7008B">
              <w:rPr>
                <w:sz w:val="20"/>
                <w:szCs w:val="20"/>
                <w:lang w:eastAsia="fr"/>
              </w:rPr>
              <w:t xml:space="preserve"> du Congo</w:t>
            </w:r>
          </w:p>
        </w:tc>
        <w:tc>
          <w:tcPr>
            <w:tcW w:w="1475" w:type="dxa"/>
            <w:tcBorders>
              <w:top w:val="nil"/>
              <w:left w:val="nil"/>
              <w:bottom w:val="single" w:sz="4" w:space="0" w:color="auto"/>
              <w:right w:val="single" w:sz="4" w:space="0" w:color="auto"/>
            </w:tcBorders>
            <w:shd w:val="clear" w:color="auto" w:fill="auto"/>
            <w:noWrap/>
            <w:hideMark/>
          </w:tcPr>
          <w:p w14:paraId="1061CFDC"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136FDDCD"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59CC1C3" w14:textId="77777777" w:rsidR="00A1757E" w:rsidRPr="00F7008B" w:rsidRDefault="00A1757E" w:rsidP="00A1757E">
            <w:pPr>
              <w:jc w:val="right"/>
              <w:rPr>
                <w:sz w:val="20"/>
                <w:szCs w:val="20"/>
                <w:lang w:eastAsia="en-CA"/>
              </w:rPr>
            </w:pPr>
            <w:r w:rsidRPr="00F7008B">
              <w:rPr>
                <w:sz w:val="20"/>
                <w:szCs w:val="20"/>
                <w:lang w:eastAsia="fr"/>
              </w:rPr>
              <w:t>17 476</w:t>
            </w:r>
          </w:p>
        </w:tc>
        <w:tc>
          <w:tcPr>
            <w:tcW w:w="1017" w:type="dxa"/>
            <w:tcBorders>
              <w:top w:val="nil"/>
              <w:left w:val="nil"/>
              <w:bottom w:val="single" w:sz="4" w:space="0" w:color="auto"/>
              <w:right w:val="single" w:sz="4" w:space="0" w:color="auto"/>
            </w:tcBorders>
            <w:shd w:val="clear" w:color="auto" w:fill="auto"/>
            <w:noWrap/>
            <w:hideMark/>
          </w:tcPr>
          <w:p w14:paraId="29C229D6"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18CBC1F9"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5BDD2F05"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052D1B3D" w14:textId="77777777" w:rsidTr="00781759">
        <w:trPr>
          <w:trHeight w:val="86"/>
        </w:trPr>
        <w:tc>
          <w:tcPr>
            <w:tcW w:w="2235" w:type="dxa"/>
            <w:tcBorders>
              <w:top w:val="nil"/>
              <w:left w:val="single" w:sz="4" w:space="0" w:color="auto"/>
              <w:bottom w:val="single" w:sz="4" w:space="0" w:color="auto"/>
              <w:right w:val="single" w:sz="4" w:space="0" w:color="auto"/>
            </w:tcBorders>
            <w:shd w:val="clear" w:color="auto" w:fill="auto"/>
            <w:noWrap/>
            <w:hideMark/>
          </w:tcPr>
          <w:p w14:paraId="70CA9EF8" w14:textId="77777777" w:rsidR="00A1757E" w:rsidRPr="00F7008B" w:rsidRDefault="00A1757E" w:rsidP="00A1757E">
            <w:pPr>
              <w:jc w:val="left"/>
              <w:rPr>
                <w:sz w:val="20"/>
                <w:szCs w:val="20"/>
                <w:lang w:eastAsia="en-CA"/>
              </w:rPr>
            </w:pPr>
            <w:proofErr w:type="spellStart"/>
            <w:r w:rsidRPr="00F7008B">
              <w:rPr>
                <w:sz w:val="20"/>
                <w:szCs w:val="20"/>
                <w:lang w:eastAsia="fr"/>
              </w:rPr>
              <w:t>République</w:t>
            </w:r>
            <w:proofErr w:type="spellEnd"/>
            <w:r w:rsidRPr="00F7008B">
              <w:rPr>
                <w:sz w:val="20"/>
                <w:szCs w:val="20"/>
                <w:lang w:eastAsia="fr"/>
              </w:rPr>
              <w:t xml:space="preserve"> </w:t>
            </w:r>
            <w:proofErr w:type="spellStart"/>
            <w:r w:rsidRPr="00F7008B">
              <w:rPr>
                <w:sz w:val="20"/>
                <w:szCs w:val="20"/>
                <w:lang w:eastAsia="fr"/>
              </w:rPr>
              <w:t>dominicaine</w:t>
            </w:r>
            <w:proofErr w:type="spellEnd"/>
          </w:p>
        </w:tc>
        <w:tc>
          <w:tcPr>
            <w:tcW w:w="1475" w:type="dxa"/>
            <w:tcBorders>
              <w:top w:val="nil"/>
              <w:left w:val="nil"/>
              <w:bottom w:val="single" w:sz="4" w:space="0" w:color="auto"/>
              <w:right w:val="single" w:sz="4" w:space="0" w:color="auto"/>
            </w:tcBorders>
            <w:shd w:val="clear" w:color="auto" w:fill="auto"/>
            <w:noWrap/>
            <w:hideMark/>
          </w:tcPr>
          <w:p w14:paraId="28417E64"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739A8430"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09CE18AE" w14:textId="77777777" w:rsidR="00A1757E" w:rsidRPr="00F7008B" w:rsidRDefault="00A1757E" w:rsidP="00A1757E">
            <w:pPr>
              <w:jc w:val="right"/>
              <w:rPr>
                <w:sz w:val="20"/>
                <w:szCs w:val="20"/>
                <w:lang w:eastAsia="en-CA"/>
              </w:rPr>
            </w:pPr>
            <w:r w:rsidRPr="00F7008B">
              <w:rPr>
                <w:sz w:val="20"/>
                <w:szCs w:val="20"/>
                <w:lang w:eastAsia="fr"/>
              </w:rPr>
              <w:t>140 195</w:t>
            </w:r>
          </w:p>
        </w:tc>
        <w:tc>
          <w:tcPr>
            <w:tcW w:w="1017" w:type="dxa"/>
            <w:tcBorders>
              <w:top w:val="nil"/>
              <w:left w:val="nil"/>
              <w:bottom w:val="single" w:sz="4" w:space="0" w:color="auto"/>
              <w:right w:val="single" w:sz="4" w:space="0" w:color="auto"/>
            </w:tcBorders>
            <w:shd w:val="clear" w:color="auto" w:fill="auto"/>
            <w:noWrap/>
            <w:hideMark/>
          </w:tcPr>
          <w:p w14:paraId="42958CC6" w14:textId="77777777" w:rsidR="00A1757E" w:rsidRPr="00F7008B" w:rsidRDefault="00A1757E" w:rsidP="00A1757E">
            <w:pPr>
              <w:jc w:val="right"/>
              <w:rPr>
                <w:sz w:val="20"/>
                <w:szCs w:val="20"/>
                <w:lang w:eastAsia="en-CA"/>
              </w:rPr>
            </w:pPr>
            <w:r w:rsidRPr="00F7008B">
              <w:rPr>
                <w:sz w:val="20"/>
                <w:szCs w:val="20"/>
                <w:lang w:eastAsia="fr"/>
              </w:rPr>
              <w:t>109 120</w:t>
            </w:r>
          </w:p>
        </w:tc>
        <w:tc>
          <w:tcPr>
            <w:tcW w:w="1304" w:type="dxa"/>
            <w:tcBorders>
              <w:top w:val="nil"/>
              <w:left w:val="nil"/>
              <w:bottom w:val="single" w:sz="4" w:space="0" w:color="auto"/>
              <w:right w:val="single" w:sz="4" w:space="0" w:color="auto"/>
            </w:tcBorders>
            <w:shd w:val="clear" w:color="auto" w:fill="auto"/>
            <w:noWrap/>
            <w:hideMark/>
          </w:tcPr>
          <w:p w14:paraId="7E465F4B" w14:textId="77777777" w:rsidR="00A1757E" w:rsidRPr="00F7008B" w:rsidRDefault="00A1757E" w:rsidP="00A1757E">
            <w:pPr>
              <w:jc w:val="right"/>
              <w:rPr>
                <w:sz w:val="20"/>
                <w:szCs w:val="20"/>
                <w:lang w:eastAsia="en-CA"/>
              </w:rPr>
            </w:pPr>
            <w:r w:rsidRPr="00F7008B">
              <w:rPr>
                <w:sz w:val="20"/>
                <w:szCs w:val="20"/>
                <w:lang w:eastAsia="fr"/>
              </w:rPr>
              <w:t>78</w:t>
            </w:r>
          </w:p>
        </w:tc>
        <w:tc>
          <w:tcPr>
            <w:tcW w:w="1220" w:type="dxa"/>
            <w:tcBorders>
              <w:top w:val="nil"/>
              <w:left w:val="nil"/>
              <w:bottom w:val="single" w:sz="4" w:space="0" w:color="auto"/>
              <w:right w:val="single" w:sz="4" w:space="0" w:color="auto"/>
            </w:tcBorders>
            <w:shd w:val="clear" w:color="auto" w:fill="auto"/>
            <w:noWrap/>
            <w:hideMark/>
          </w:tcPr>
          <w:p w14:paraId="6CC2B881"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2C157D28"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E7A95B4" w14:textId="77777777" w:rsidR="00A1757E" w:rsidRPr="00F7008B" w:rsidRDefault="00A1757E" w:rsidP="00A1757E">
            <w:pPr>
              <w:jc w:val="left"/>
              <w:rPr>
                <w:sz w:val="20"/>
                <w:szCs w:val="20"/>
                <w:lang w:eastAsia="en-CA"/>
              </w:rPr>
            </w:pPr>
            <w:proofErr w:type="spellStart"/>
            <w:r w:rsidRPr="00F7008B">
              <w:rPr>
                <w:sz w:val="20"/>
                <w:szCs w:val="20"/>
                <w:lang w:eastAsia="fr"/>
              </w:rPr>
              <w:t>Égypte</w:t>
            </w:r>
            <w:proofErr w:type="spellEnd"/>
          </w:p>
        </w:tc>
        <w:tc>
          <w:tcPr>
            <w:tcW w:w="1475" w:type="dxa"/>
            <w:tcBorders>
              <w:top w:val="nil"/>
              <w:left w:val="nil"/>
              <w:bottom w:val="single" w:sz="4" w:space="0" w:color="auto"/>
              <w:right w:val="single" w:sz="4" w:space="0" w:color="auto"/>
            </w:tcBorders>
            <w:shd w:val="clear" w:color="auto" w:fill="auto"/>
            <w:noWrap/>
            <w:hideMark/>
          </w:tcPr>
          <w:p w14:paraId="2FCDEA1E" w14:textId="77777777" w:rsidR="00A1757E" w:rsidRPr="00F7008B" w:rsidRDefault="00A1757E" w:rsidP="00A1757E">
            <w:pPr>
              <w:jc w:val="right"/>
              <w:rPr>
                <w:sz w:val="20"/>
                <w:szCs w:val="20"/>
                <w:lang w:eastAsia="en-CA"/>
              </w:rPr>
            </w:pPr>
            <w:r w:rsidRPr="00F7008B">
              <w:rPr>
                <w:sz w:val="20"/>
                <w:szCs w:val="20"/>
                <w:lang w:eastAsia="fr"/>
              </w:rPr>
              <w:t>2,0</w:t>
            </w:r>
          </w:p>
        </w:tc>
        <w:tc>
          <w:tcPr>
            <w:tcW w:w="1230" w:type="dxa"/>
            <w:tcBorders>
              <w:top w:val="nil"/>
              <w:left w:val="nil"/>
              <w:bottom w:val="single" w:sz="4" w:space="0" w:color="auto"/>
              <w:right w:val="single" w:sz="4" w:space="0" w:color="auto"/>
            </w:tcBorders>
            <w:shd w:val="clear" w:color="auto" w:fill="auto"/>
            <w:noWrap/>
            <w:hideMark/>
          </w:tcPr>
          <w:p w14:paraId="099B3E91" w14:textId="77777777" w:rsidR="00A1757E" w:rsidRPr="00F7008B" w:rsidRDefault="00A1757E" w:rsidP="00A1757E">
            <w:pPr>
              <w:jc w:val="right"/>
              <w:rPr>
                <w:sz w:val="20"/>
                <w:szCs w:val="20"/>
                <w:lang w:eastAsia="en-CA"/>
              </w:rPr>
            </w:pPr>
            <w:r w:rsidRPr="00F7008B">
              <w:rPr>
                <w:sz w:val="20"/>
                <w:szCs w:val="20"/>
                <w:lang w:eastAsia="fr"/>
              </w:rPr>
              <w:t>29</w:t>
            </w:r>
          </w:p>
        </w:tc>
        <w:tc>
          <w:tcPr>
            <w:tcW w:w="1095" w:type="dxa"/>
            <w:tcBorders>
              <w:top w:val="nil"/>
              <w:left w:val="nil"/>
              <w:bottom w:val="single" w:sz="4" w:space="0" w:color="auto"/>
              <w:right w:val="single" w:sz="4" w:space="0" w:color="auto"/>
            </w:tcBorders>
            <w:shd w:val="clear" w:color="auto" w:fill="auto"/>
            <w:noWrap/>
            <w:hideMark/>
          </w:tcPr>
          <w:p w14:paraId="23BC06F6" w14:textId="77777777" w:rsidR="00A1757E" w:rsidRPr="00F7008B" w:rsidRDefault="00A1757E" w:rsidP="00A1757E">
            <w:pPr>
              <w:jc w:val="right"/>
              <w:rPr>
                <w:sz w:val="20"/>
                <w:szCs w:val="20"/>
                <w:lang w:eastAsia="en-CA"/>
              </w:rPr>
            </w:pPr>
            <w:r w:rsidRPr="00F7008B">
              <w:rPr>
                <w:sz w:val="20"/>
                <w:szCs w:val="20"/>
                <w:lang w:eastAsia="fr"/>
              </w:rPr>
              <w:t>1 915 623</w:t>
            </w:r>
          </w:p>
        </w:tc>
        <w:tc>
          <w:tcPr>
            <w:tcW w:w="1017" w:type="dxa"/>
            <w:tcBorders>
              <w:top w:val="nil"/>
              <w:left w:val="nil"/>
              <w:bottom w:val="single" w:sz="4" w:space="0" w:color="auto"/>
              <w:right w:val="single" w:sz="4" w:space="0" w:color="auto"/>
            </w:tcBorders>
            <w:shd w:val="clear" w:color="auto" w:fill="auto"/>
            <w:noWrap/>
            <w:hideMark/>
          </w:tcPr>
          <w:p w14:paraId="7F63CD60" w14:textId="77777777" w:rsidR="00A1757E" w:rsidRPr="00F7008B" w:rsidRDefault="00A1757E" w:rsidP="00A1757E">
            <w:pPr>
              <w:jc w:val="right"/>
              <w:rPr>
                <w:sz w:val="20"/>
                <w:szCs w:val="20"/>
                <w:lang w:eastAsia="en-CA"/>
              </w:rPr>
            </w:pPr>
            <w:r w:rsidRPr="00F7008B">
              <w:rPr>
                <w:sz w:val="20"/>
                <w:szCs w:val="20"/>
                <w:lang w:eastAsia="fr"/>
              </w:rPr>
              <w:t>1 211 224</w:t>
            </w:r>
          </w:p>
        </w:tc>
        <w:tc>
          <w:tcPr>
            <w:tcW w:w="1304" w:type="dxa"/>
            <w:tcBorders>
              <w:top w:val="nil"/>
              <w:left w:val="nil"/>
              <w:bottom w:val="single" w:sz="4" w:space="0" w:color="auto"/>
              <w:right w:val="single" w:sz="4" w:space="0" w:color="auto"/>
            </w:tcBorders>
            <w:shd w:val="clear" w:color="auto" w:fill="auto"/>
            <w:noWrap/>
            <w:hideMark/>
          </w:tcPr>
          <w:p w14:paraId="32CADD0D" w14:textId="77777777" w:rsidR="00A1757E" w:rsidRPr="00F7008B" w:rsidRDefault="00A1757E" w:rsidP="00A1757E">
            <w:pPr>
              <w:jc w:val="right"/>
              <w:rPr>
                <w:sz w:val="20"/>
                <w:szCs w:val="20"/>
                <w:lang w:eastAsia="en-CA"/>
              </w:rPr>
            </w:pPr>
            <w:r w:rsidRPr="00F7008B">
              <w:rPr>
                <w:sz w:val="20"/>
                <w:szCs w:val="20"/>
                <w:lang w:eastAsia="fr"/>
              </w:rPr>
              <w:t>63</w:t>
            </w:r>
          </w:p>
        </w:tc>
        <w:tc>
          <w:tcPr>
            <w:tcW w:w="1220" w:type="dxa"/>
            <w:tcBorders>
              <w:top w:val="nil"/>
              <w:left w:val="nil"/>
              <w:bottom w:val="single" w:sz="4" w:space="0" w:color="auto"/>
              <w:right w:val="single" w:sz="4" w:space="0" w:color="auto"/>
            </w:tcBorders>
            <w:shd w:val="clear" w:color="auto" w:fill="auto"/>
            <w:noWrap/>
            <w:hideMark/>
          </w:tcPr>
          <w:p w14:paraId="2B8F1B42"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1967BB46" w14:textId="77777777" w:rsidTr="00781759">
        <w:trPr>
          <w:trHeight w:val="122"/>
        </w:trPr>
        <w:tc>
          <w:tcPr>
            <w:tcW w:w="2235" w:type="dxa"/>
            <w:tcBorders>
              <w:top w:val="nil"/>
              <w:left w:val="single" w:sz="4" w:space="0" w:color="auto"/>
              <w:bottom w:val="single" w:sz="4" w:space="0" w:color="auto"/>
              <w:right w:val="single" w:sz="4" w:space="0" w:color="auto"/>
            </w:tcBorders>
            <w:shd w:val="clear" w:color="auto" w:fill="auto"/>
            <w:noWrap/>
            <w:hideMark/>
          </w:tcPr>
          <w:p w14:paraId="4F6F3AA0" w14:textId="77777777" w:rsidR="00A1757E" w:rsidRPr="00F7008B" w:rsidRDefault="00A1757E" w:rsidP="00A1757E">
            <w:pPr>
              <w:jc w:val="left"/>
              <w:rPr>
                <w:sz w:val="20"/>
                <w:szCs w:val="20"/>
                <w:lang w:eastAsia="en-CA"/>
              </w:rPr>
            </w:pPr>
            <w:r w:rsidRPr="00F7008B">
              <w:rPr>
                <w:sz w:val="20"/>
                <w:szCs w:val="20"/>
                <w:lang w:eastAsia="fr"/>
              </w:rPr>
              <w:t>El Salvador</w:t>
            </w:r>
          </w:p>
        </w:tc>
        <w:tc>
          <w:tcPr>
            <w:tcW w:w="1475" w:type="dxa"/>
            <w:tcBorders>
              <w:top w:val="nil"/>
              <w:left w:val="nil"/>
              <w:bottom w:val="single" w:sz="4" w:space="0" w:color="auto"/>
              <w:right w:val="single" w:sz="4" w:space="0" w:color="auto"/>
            </w:tcBorders>
            <w:shd w:val="clear" w:color="auto" w:fill="auto"/>
            <w:noWrap/>
            <w:hideMark/>
          </w:tcPr>
          <w:p w14:paraId="7928F6D2"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391C94E"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7AE48847" w14:textId="77777777" w:rsidR="00A1757E" w:rsidRPr="00F7008B" w:rsidRDefault="00A1757E" w:rsidP="00A1757E">
            <w:pPr>
              <w:jc w:val="right"/>
              <w:rPr>
                <w:sz w:val="20"/>
                <w:szCs w:val="20"/>
                <w:lang w:eastAsia="en-CA"/>
              </w:rPr>
            </w:pPr>
            <w:r w:rsidRPr="00F7008B">
              <w:rPr>
                <w:sz w:val="20"/>
                <w:szCs w:val="20"/>
                <w:lang w:eastAsia="fr"/>
              </w:rPr>
              <w:t>78 643</w:t>
            </w:r>
          </w:p>
        </w:tc>
        <w:tc>
          <w:tcPr>
            <w:tcW w:w="1017" w:type="dxa"/>
            <w:tcBorders>
              <w:top w:val="nil"/>
              <w:left w:val="nil"/>
              <w:bottom w:val="single" w:sz="4" w:space="0" w:color="auto"/>
              <w:right w:val="single" w:sz="4" w:space="0" w:color="auto"/>
            </w:tcBorders>
            <w:shd w:val="clear" w:color="auto" w:fill="auto"/>
            <w:noWrap/>
            <w:hideMark/>
          </w:tcPr>
          <w:p w14:paraId="2C4D0EEB" w14:textId="77777777" w:rsidR="00A1757E" w:rsidRPr="00F7008B" w:rsidRDefault="00A1757E" w:rsidP="00A1757E">
            <w:pPr>
              <w:jc w:val="right"/>
              <w:rPr>
                <w:sz w:val="20"/>
                <w:szCs w:val="20"/>
                <w:lang w:eastAsia="en-CA"/>
              </w:rPr>
            </w:pPr>
            <w:r w:rsidRPr="00F7008B">
              <w:rPr>
                <w:sz w:val="20"/>
                <w:szCs w:val="20"/>
                <w:lang w:eastAsia="fr"/>
              </w:rPr>
              <w:t>43 427</w:t>
            </w:r>
          </w:p>
        </w:tc>
        <w:tc>
          <w:tcPr>
            <w:tcW w:w="1304" w:type="dxa"/>
            <w:tcBorders>
              <w:top w:val="nil"/>
              <w:left w:val="nil"/>
              <w:bottom w:val="single" w:sz="4" w:space="0" w:color="auto"/>
              <w:right w:val="single" w:sz="4" w:space="0" w:color="auto"/>
            </w:tcBorders>
            <w:shd w:val="clear" w:color="auto" w:fill="auto"/>
            <w:noWrap/>
            <w:hideMark/>
          </w:tcPr>
          <w:p w14:paraId="2342226B" w14:textId="77777777" w:rsidR="00A1757E" w:rsidRPr="00F7008B" w:rsidRDefault="00A1757E" w:rsidP="00A1757E">
            <w:pPr>
              <w:jc w:val="right"/>
              <w:rPr>
                <w:sz w:val="20"/>
                <w:szCs w:val="20"/>
                <w:lang w:eastAsia="en-CA"/>
              </w:rPr>
            </w:pPr>
            <w:r w:rsidRPr="00F7008B">
              <w:rPr>
                <w:sz w:val="20"/>
                <w:szCs w:val="20"/>
                <w:lang w:eastAsia="fr"/>
              </w:rPr>
              <w:t>55</w:t>
            </w:r>
          </w:p>
        </w:tc>
        <w:tc>
          <w:tcPr>
            <w:tcW w:w="1220" w:type="dxa"/>
            <w:tcBorders>
              <w:top w:val="nil"/>
              <w:left w:val="nil"/>
              <w:bottom w:val="single" w:sz="4" w:space="0" w:color="auto"/>
              <w:right w:val="single" w:sz="4" w:space="0" w:color="auto"/>
            </w:tcBorders>
            <w:shd w:val="clear" w:color="auto" w:fill="auto"/>
            <w:noWrap/>
            <w:hideMark/>
          </w:tcPr>
          <w:p w14:paraId="3B2F1C91"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1D05E41D"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3B8822AE" w14:textId="77777777" w:rsidR="00A1757E" w:rsidRPr="00F7008B" w:rsidRDefault="00A1757E" w:rsidP="00A1757E">
            <w:pPr>
              <w:jc w:val="left"/>
              <w:rPr>
                <w:sz w:val="20"/>
                <w:szCs w:val="20"/>
                <w:lang w:eastAsia="en-CA"/>
              </w:rPr>
            </w:pPr>
            <w:r w:rsidRPr="00F7008B">
              <w:rPr>
                <w:sz w:val="20"/>
                <w:szCs w:val="20"/>
                <w:lang w:eastAsia="fr"/>
              </w:rPr>
              <w:t>Eswatini</w:t>
            </w:r>
          </w:p>
        </w:tc>
        <w:tc>
          <w:tcPr>
            <w:tcW w:w="1475" w:type="dxa"/>
            <w:tcBorders>
              <w:top w:val="nil"/>
              <w:left w:val="nil"/>
              <w:bottom w:val="single" w:sz="4" w:space="0" w:color="auto"/>
              <w:right w:val="single" w:sz="4" w:space="0" w:color="auto"/>
            </w:tcBorders>
            <w:shd w:val="clear" w:color="auto" w:fill="auto"/>
            <w:noWrap/>
            <w:hideMark/>
          </w:tcPr>
          <w:p w14:paraId="70A7342A"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59892FFC"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7F02B2C8" w14:textId="77777777" w:rsidR="00A1757E" w:rsidRPr="00F7008B" w:rsidRDefault="00A1757E" w:rsidP="00A1757E">
            <w:pPr>
              <w:jc w:val="right"/>
              <w:rPr>
                <w:sz w:val="20"/>
                <w:szCs w:val="20"/>
                <w:lang w:eastAsia="en-CA"/>
              </w:rPr>
            </w:pPr>
            <w:r w:rsidRPr="00F7008B">
              <w:rPr>
                <w:sz w:val="20"/>
                <w:szCs w:val="20"/>
                <w:lang w:eastAsia="fr"/>
              </w:rPr>
              <w:t>10 000</w:t>
            </w:r>
          </w:p>
        </w:tc>
        <w:tc>
          <w:tcPr>
            <w:tcW w:w="1017" w:type="dxa"/>
            <w:tcBorders>
              <w:top w:val="nil"/>
              <w:left w:val="nil"/>
              <w:bottom w:val="single" w:sz="4" w:space="0" w:color="auto"/>
              <w:right w:val="single" w:sz="4" w:space="0" w:color="auto"/>
            </w:tcBorders>
            <w:shd w:val="clear" w:color="auto" w:fill="auto"/>
            <w:noWrap/>
            <w:hideMark/>
          </w:tcPr>
          <w:p w14:paraId="25919380"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5CD45E41"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5A30CBC3"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7861451E"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060CF213" w14:textId="77777777" w:rsidR="00A1757E" w:rsidRPr="00F7008B" w:rsidRDefault="00A1757E" w:rsidP="00A1757E">
            <w:pPr>
              <w:jc w:val="left"/>
              <w:rPr>
                <w:sz w:val="20"/>
                <w:szCs w:val="20"/>
                <w:lang w:eastAsia="en-CA"/>
              </w:rPr>
            </w:pPr>
            <w:proofErr w:type="spellStart"/>
            <w:r w:rsidRPr="00F7008B">
              <w:rPr>
                <w:sz w:val="20"/>
                <w:szCs w:val="20"/>
                <w:lang w:eastAsia="fr"/>
              </w:rPr>
              <w:t>Fidji</w:t>
            </w:r>
            <w:proofErr w:type="spellEnd"/>
          </w:p>
        </w:tc>
        <w:tc>
          <w:tcPr>
            <w:tcW w:w="1475" w:type="dxa"/>
            <w:tcBorders>
              <w:top w:val="nil"/>
              <w:left w:val="nil"/>
              <w:bottom w:val="single" w:sz="4" w:space="0" w:color="auto"/>
              <w:right w:val="single" w:sz="4" w:space="0" w:color="auto"/>
            </w:tcBorders>
            <w:shd w:val="clear" w:color="auto" w:fill="auto"/>
            <w:noWrap/>
            <w:hideMark/>
          </w:tcPr>
          <w:p w14:paraId="39AF6598"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18D955E2"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4C07486" w14:textId="77777777" w:rsidR="00A1757E" w:rsidRPr="00F7008B" w:rsidRDefault="00A1757E" w:rsidP="00A1757E">
            <w:pPr>
              <w:jc w:val="right"/>
              <w:rPr>
                <w:sz w:val="20"/>
                <w:szCs w:val="20"/>
                <w:lang w:eastAsia="en-CA"/>
              </w:rPr>
            </w:pPr>
            <w:r w:rsidRPr="00F7008B">
              <w:rPr>
                <w:sz w:val="20"/>
                <w:szCs w:val="20"/>
                <w:lang w:eastAsia="fr"/>
              </w:rPr>
              <w:t>38 391</w:t>
            </w:r>
          </w:p>
        </w:tc>
        <w:tc>
          <w:tcPr>
            <w:tcW w:w="1017" w:type="dxa"/>
            <w:tcBorders>
              <w:top w:val="nil"/>
              <w:left w:val="nil"/>
              <w:bottom w:val="single" w:sz="4" w:space="0" w:color="auto"/>
              <w:right w:val="single" w:sz="4" w:space="0" w:color="auto"/>
            </w:tcBorders>
            <w:shd w:val="clear" w:color="auto" w:fill="auto"/>
            <w:noWrap/>
            <w:hideMark/>
          </w:tcPr>
          <w:p w14:paraId="46432613" w14:textId="77777777" w:rsidR="00A1757E" w:rsidRPr="00F7008B" w:rsidRDefault="00A1757E" w:rsidP="00A1757E">
            <w:pPr>
              <w:jc w:val="right"/>
              <w:rPr>
                <w:sz w:val="20"/>
                <w:szCs w:val="20"/>
                <w:lang w:eastAsia="en-CA"/>
              </w:rPr>
            </w:pPr>
            <w:r w:rsidRPr="00F7008B">
              <w:rPr>
                <w:sz w:val="20"/>
                <w:szCs w:val="20"/>
                <w:lang w:eastAsia="fr"/>
              </w:rPr>
              <w:t>8 565</w:t>
            </w:r>
          </w:p>
        </w:tc>
        <w:tc>
          <w:tcPr>
            <w:tcW w:w="1304" w:type="dxa"/>
            <w:tcBorders>
              <w:top w:val="nil"/>
              <w:left w:val="nil"/>
              <w:bottom w:val="single" w:sz="4" w:space="0" w:color="auto"/>
              <w:right w:val="single" w:sz="4" w:space="0" w:color="auto"/>
            </w:tcBorders>
            <w:shd w:val="clear" w:color="auto" w:fill="auto"/>
            <w:noWrap/>
            <w:hideMark/>
          </w:tcPr>
          <w:p w14:paraId="1918883D" w14:textId="77777777" w:rsidR="00A1757E" w:rsidRPr="00F7008B" w:rsidRDefault="00A1757E" w:rsidP="00A1757E">
            <w:pPr>
              <w:jc w:val="right"/>
              <w:rPr>
                <w:sz w:val="20"/>
                <w:szCs w:val="20"/>
                <w:lang w:eastAsia="en-CA"/>
              </w:rPr>
            </w:pPr>
            <w:r w:rsidRPr="00F7008B">
              <w:rPr>
                <w:sz w:val="20"/>
                <w:szCs w:val="20"/>
                <w:lang w:eastAsia="fr"/>
              </w:rPr>
              <w:t>22</w:t>
            </w:r>
          </w:p>
        </w:tc>
        <w:tc>
          <w:tcPr>
            <w:tcW w:w="1220" w:type="dxa"/>
            <w:tcBorders>
              <w:top w:val="nil"/>
              <w:left w:val="nil"/>
              <w:bottom w:val="single" w:sz="4" w:space="0" w:color="auto"/>
              <w:right w:val="single" w:sz="4" w:space="0" w:color="auto"/>
            </w:tcBorders>
            <w:shd w:val="clear" w:color="auto" w:fill="auto"/>
            <w:noWrap/>
            <w:hideMark/>
          </w:tcPr>
          <w:p w14:paraId="5D2F3DC3" w14:textId="77777777" w:rsidR="00A1757E" w:rsidRPr="00F7008B" w:rsidRDefault="00A1757E" w:rsidP="00A1757E">
            <w:pPr>
              <w:jc w:val="right"/>
              <w:rPr>
                <w:sz w:val="20"/>
                <w:szCs w:val="20"/>
                <w:lang w:eastAsia="en-CA"/>
              </w:rPr>
            </w:pPr>
            <w:r w:rsidRPr="00F7008B">
              <w:rPr>
                <w:sz w:val="20"/>
                <w:szCs w:val="20"/>
                <w:lang w:eastAsia="fr"/>
              </w:rPr>
              <w:t>50</w:t>
            </w:r>
          </w:p>
        </w:tc>
      </w:tr>
      <w:tr w:rsidR="00A1757E" w:rsidRPr="00F7008B" w14:paraId="7CC33761"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46A58396" w14:textId="77777777" w:rsidR="00A1757E" w:rsidRPr="00F7008B" w:rsidRDefault="00A1757E" w:rsidP="00A1757E">
            <w:pPr>
              <w:jc w:val="left"/>
              <w:rPr>
                <w:sz w:val="20"/>
                <w:szCs w:val="20"/>
                <w:lang w:eastAsia="en-CA"/>
              </w:rPr>
            </w:pPr>
            <w:proofErr w:type="spellStart"/>
            <w:r w:rsidRPr="00F7008B">
              <w:rPr>
                <w:sz w:val="20"/>
                <w:szCs w:val="20"/>
                <w:lang w:eastAsia="fr"/>
              </w:rPr>
              <w:t>Géorgie</w:t>
            </w:r>
            <w:proofErr w:type="spellEnd"/>
          </w:p>
        </w:tc>
        <w:tc>
          <w:tcPr>
            <w:tcW w:w="1475" w:type="dxa"/>
            <w:tcBorders>
              <w:top w:val="nil"/>
              <w:left w:val="nil"/>
              <w:bottom w:val="single" w:sz="4" w:space="0" w:color="auto"/>
              <w:right w:val="single" w:sz="4" w:space="0" w:color="auto"/>
            </w:tcBorders>
            <w:shd w:val="clear" w:color="auto" w:fill="auto"/>
            <w:noWrap/>
            <w:hideMark/>
          </w:tcPr>
          <w:p w14:paraId="56B5FCB7" w14:textId="77777777" w:rsidR="00A1757E" w:rsidRPr="00F7008B" w:rsidRDefault="00A1757E" w:rsidP="00A1757E">
            <w:pPr>
              <w:jc w:val="right"/>
              <w:rPr>
                <w:sz w:val="20"/>
                <w:szCs w:val="20"/>
                <w:lang w:eastAsia="en-CA"/>
              </w:rPr>
            </w:pPr>
            <w:r w:rsidRPr="00F7008B">
              <w:rPr>
                <w:sz w:val="20"/>
                <w:szCs w:val="20"/>
                <w:lang w:eastAsia="fr"/>
              </w:rPr>
              <w:t>0,7</w:t>
            </w:r>
          </w:p>
        </w:tc>
        <w:tc>
          <w:tcPr>
            <w:tcW w:w="1230" w:type="dxa"/>
            <w:tcBorders>
              <w:top w:val="nil"/>
              <w:left w:val="nil"/>
              <w:bottom w:val="single" w:sz="4" w:space="0" w:color="auto"/>
              <w:right w:val="single" w:sz="4" w:space="0" w:color="auto"/>
            </w:tcBorders>
            <w:shd w:val="clear" w:color="auto" w:fill="auto"/>
            <w:noWrap/>
            <w:hideMark/>
          </w:tcPr>
          <w:p w14:paraId="1EACCF8D"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6A30A3E" w14:textId="77777777" w:rsidR="00A1757E" w:rsidRPr="00F7008B" w:rsidRDefault="00A1757E" w:rsidP="00A1757E">
            <w:pPr>
              <w:jc w:val="right"/>
              <w:rPr>
                <w:sz w:val="20"/>
                <w:szCs w:val="20"/>
                <w:lang w:eastAsia="en-CA"/>
              </w:rPr>
            </w:pPr>
            <w:r w:rsidRPr="00F7008B">
              <w:rPr>
                <w:sz w:val="20"/>
                <w:szCs w:val="20"/>
                <w:lang w:eastAsia="fr"/>
              </w:rPr>
              <w:t>72 547</w:t>
            </w:r>
          </w:p>
        </w:tc>
        <w:tc>
          <w:tcPr>
            <w:tcW w:w="1017" w:type="dxa"/>
            <w:tcBorders>
              <w:top w:val="nil"/>
              <w:left w:val="nil"/>
              <w:bottom w:val="single" w:sz="4" w:space="0" w:color="auto"/>
              <w:right w:val="single" w:sz="4" w:space="0" w:color="auto"/>
            </w:tcBorders>
            <w:shd w:val="clear" w:color="auto" w:fill="auto"/>
            <w:noWrap/>
            <w:hideMark/>
          </w:tcPr>
          <w:p w14:paraId="17CCEB4E" w14:textId="77777777" w:rsidR="00A1757E" w:rsidRPr="00F7008B" w:rsidRDefault="00A1757E" w:rsidP="00A1757E">
            <w:pPr>
              <w:jc w:val="right"/>
              <w:rPr>
                <w:sz w:val="20"/>
                <w:szCs w:val="20"/>
                <w:lang w:eastAsia="en-CA"/>
              </w:rPr>
            </w:pPr>
            <w:r w:rsidRPr="00F7008B">
              <w:rPr>
                <w:sz w:val="20"/>
                <w:szCs w:val="20"/>
                <w:lang w:eastAsia="fr"/>
              </w:rPr>
              <w:t>30 189</w:t>
            </w:r>
          </w:p>
        </w:tc>
        <w:tc>
          <w:tcPr>
            <w:tcW w:w="1304" w:type="dxa"/>
            <w:tcBorders>
              <w:top w:val="nil"/>
              <w:left w:val="nil"/>
              <w:bottom w:val="single" w:sz="4" w:space="0" w:color="auto"/>
              <w:right w:val="single" w:sz="4" w:space="0" w:color="auto"/>
            </w:tcBorders>
            <w:shd w:val="clear" w:color="auto" w:fill="auto"/>
            <w:noWrap/>
            <w:hideMark/>
          </w:tcPr>
          <w:p w14:paraId="2B6BCFB3" w14:textId="77777777" w:rsidR="00A1757E" w:rsidRPr="00F7008B" w:rsidRDefault="00A1757E" w:rsidP="00A1757E">
            <w:pPr>
              <w:jc w:val="right"/>
              <w:rPr>
                <w:sz w:val="20"/>
                <w:szCs w:val="20"/>
                <w:lang w:eastAsia="en-CA"/>
              </w:rPr>
            </w:pPr>
            <w:r w:rsidRPr="00F7008B">
              <w:rPr>
                <w:sz w:val="20"/>
                <w:szCs w:val="20"/>
                <w:lang w:eastAsia="fr"/>
              </w:rPr>
              <w:t>42</w:t>
            </w:r>
          </w:p>
        </w:tc>
        <w:tc>
          <w:tcPr>
            <w:tcW w:w="1220" w:type="dxa"/>
            <w:tcBorders>
              <w:top w:val="nil"/>
              <w:left w:val="nil"/>
              <w:bottom w:val="single" w:sz="4" w:space="0" w:color="auto"/>
              <w:right w:val="single" w:sz="4" w:space="0" w:color="auto"/>
            </w:tcBorders>
            <w:shd w:val="clear" w:color="auto" w:fill="auto"/>
            <w:noWrap/>
            <w:hideMark/>
          </w:tcPr>
          <w:p w14:paraId="620BE0FD"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27C16F5B"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68306C89" w14:textId="77777777" w:rsidR="00A1757E" w:rsidRPr="00F7008B" w:rsidRDefault="00A1757E" w:rsidP="00A1757E">
            <w:pPr>
              <w:jc w:val="left"/>
              <w:rPr>
                <w:sz w:val="20"/>
                <w:szCs w:val="20"/>
                <w:lang w:eastAsia="en-CA"/>
              </w:rPr>
            </w:pPr>
            <w:r w:rsidRPr="00F7008B">
              <w:rPr>
                <w:sz w:val="20"/>
                <w:szCs w:val="20"/>
                <w:lang w:eastAsia="fr"/>
              </w:rPr>
              <w:t>Ghana</w:t>
            </w:r>
          </w:p>
        </w:tc>
        <w:tc>
          <w:tcPr>
            <w:tcW w:w="1475" w:type="dxa"/>
            <w:tcBorders>
              <w:top w:val="nil"/>
              <w:left w:val="nil"/>
              <w:bottom w:val="single" w:sz="4" w:space="0" w:color="auto"/>
              <w:right w:val="single" w:sz="4" w:space="0" w:color="auto"/>
            </w:tcBorders>
            <w:shd w:val="clear" w:color="auto" w:fill="auto"/>
            <w:noWrap/>
            <w:hideMark/>
          </w:tcPr>
          <w:p w14:paraId="24C0BDFB" w14:textId="77777777" w:rsidR="00A1757E" w:rsidRPr="00F7008B" w:rsidRDefault="00A1757E" w:rsidP="00A1757E">
            <w:pPr>
              <w:jc w:val="right"/>
              <w:rPr>
                <w:sz w:val="20"/>
                <w:szCs w:val="20"/>
                <w:lang w:eastAsia="en-CA"/>
              </w:rPr>
            </w:pPr>
            <w:r w:rsidRPr="00F7008B">
              <w:rPr>
                <w:sz w:val="20"/>
                <w:szCs w:val="20"/>
                <w:lang w:eastAsia="fr"/>
              </w:rPr>
              <w:t>5,5</w:t>
            </w:r>
          </w:p>
        </w:tc>
        <w:tc>
          <w:tcPr>
            <w:tcW w:w="1230" w:type="dxa"/>
            <w:tcBorders>
              <w:top w:val="nil"/>
              <w:left w:val="nil"/>
              <w:bottom w:val="single" w:sz="4" w:space="0" w:color="auto"/>
              <w:right w:val="single" w:sz="4" w:space="0" w:color="auto"/>
            </w:tcBorders>
            <w:shd w:val="clear" w:color="auto" w:fill="auto"/>
            <w:noWrap/>
            <w:hideMark/>
          </w:tcPr>
          <w:p w14:paraId="1145037A"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FA32921" w14:textId="77777777" w:rsidR="00A1757E" w:rsidRPr="00F7008B" w:rsidRDefault="00A1757E" w:rsidP="00A1757E">
            <w:pPr>
              <w:jc w:val="right"/>
              <w:rPr>
                <w:sz w:val="20"/>
                <w:szCs w:val="20"/>
                <w:lang w:eastAsia="en-CA"/>
              </w:rPr>
            </w:pPr>
            <w:r w:rsidRPr="00F7008B">
              <w:rPr>
                <w:sz w:val="20"/>
                <w:szCs w:val="20"/>
                <w:lang w:eastAsia="fr"/>
              </w:rPr>
              <w:t>143 692</w:t>
            </w:r>
          </w:p>
        </w:tc>
        <w:tc>
          <w:tcPr>
            <w:tcW w:w="1017" w:type="dxa"/>
            <w:tcBorders>
              <w:top w:val="nil"/>
              <w:left w:val="nil"/>
              <w:bottom w:val="single" w:sz="4" w:space="0" w:color="auto"/>
              <w:right w:val="single" w:sz="4" w:space="0" w:color="auto"/>
            </w:tcBorders>
            <w:shd w:val="clear" w:color="auto" w:fill="auto"/>
            <w:noWrap/>
            <w:hideMark/>
          </w:tcPr>
          <w:p w14:paraId="516D873E" w14:textId="77777777" w:rsidR="00A1757E" w:rsidRPr="00F7008B" w:rsidRDefault="00A1757E" w:rsidP="00A1757E">
            <w:pPr>
              <w:jc w:val="right"/>
              <w:rPr>
                <w:sz w:val="20"/>
                <w:szCs w:val="20"/>
                <w:lang w:eastAsia="en-CA"/>
              </w:rPr>
            </w:pPr>
            <w:r w:rsidRPr="00F7008B">
              <w:rPr>
                <w:sz w:val="20"/>
                <w:szCs w:val="20"/>
                <w:lang w:eastAsia="fr"/>
              </w:rPr>
              <w:t>170 247</w:t>
            </w:r>
          </w:p>
        </w:tc>
        <w:tc>
          <w:tcPr>
            <w:tcW w:w="1304" w:type="dxa"/>
            <w:tcBorders>
              <w:top w:val="nil"/>
              <w:left w:val="nil"/>
              <w:bottom w:val="single" w:sz="4" w:space="0" w:color="auto"/>
              <w:right w:val="single" w:sz="4" w:space="0" w:color="auto"/>
            </w:tcBorders>
            <w:shd w:val="clear" w:color="auto" w:fill="auto"/>
            <w:noWrap/>
            <w:hideMark/>
          </w:tcPr>
          <w:p w14:paraId="71EA2E76" w14:textId="77777777" w:rsidR="00A1757E" w:rsidRPr="00F7008B" w:rsidRDefault="00A1757E" w:rsidP="00A1757E">
            <w:pPr>
              <w:jc w:val="right"/>
              <w:rPr>
                <w:sz w:val="20"/>
                <w:szCs w:val="20"/>
                <w:lang w:eastAsia="en-CA"/>
              </w:rPr>
            </w:pPr>
            <w:r w:rsidRPr="00F7008B">
              <w:rPr>
                <w:sz w:val="20"/>
                <w:szCs w:val="20"/>
                <w:lang w:eastAsia="fr"/>
              </w:rPr>
              <w:t>118</w:t>
            </w:r>
          </w:p>
        </w:tc>
        <w:tc>
          <w:tcPr>
            <w:tcW w:w="1220" w:type="dxa"/>
            <w:tcBorders>
              <w:top w:val="nil"/>
              <w:left w:val="nil"/>
              <w:bottom w:val="single" w:sz="4" w:space="0" w:color="auto"/>
              <w:right w:val="single" w:sz="4" w:space="0" w:color="auto"/>
            </w:tcBorders>
            <w:shd w:val="clear" w:color="auto" w:fill="auto"/>
            <w:noWrap/>
            <w:hideMark/>
          </w:tcPr>
          <w:p w14:paraId="40055602"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552F9E81"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42D9CDBA" w14:textId="77777777" w:rsidR="00A1757E" w:rsidRPr="00F7008B" w:rsidRDefault="00A1757E" w:rsidP="00A1757E">
            <w:pPr>
              <w:jc w:val="left"/>
              <w:rPr>
                <w:sz w:val="20"/>
                <w:szCs w:val="20"/>
                <w:lang w:eastAsia="en-CA"/>
              </w:rPr>
            </w:pPr>
            <w:r w:rsidRPr="00F7008B">
              <w:rPr>
                <w:sz w:val="20"/>
                <w:szCs w:val="20"/>
                <w:lang w:eastAsia="fr"/>
              </w:rPr>
              <w:t>Guyana</w:t>
            </w:r>
          </w:p>
        </w:tc>
        <w:tc>
          <w:tcPr>
            <w:tcW w:w="1475" w:type="dxa"/>
            <w:tcBorders>
              <w:top w:val="nil"/>
              <w:left w:val="nil"/>
              <w:bottom w:val="single" w:sz="4" w:space="0" w:color="auto"/>
              <w:right w:val="single" w:sz="4" w:space="0" w:color="auto"/>
            </w:tcBorders>
            <w:shd w:val="clear" w:color="auto" w:fill="auto"/>
            <w:noWrap/>
            <w:hideMark/>
          </w:tcPr>
          <w:p w14:paraId="38B61FFA"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DF597A2"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1C6E537" w14:textId="77777777" w:rsidR="00A1757E" w:rsidRPr="00F7008B" w:rsidRDefault="00A1757E" w:rsidP="00A1757E">
            <w:pPr>
              <w:jc w:val="right"/>
              <w:rPr>
                <w:sz w:val="20"/>
                <w:szCs w:val="20"/>
                <w:lang w:eastAsia="en-CA"/>
              </w:rPr>
            </w:pPr>
            <w:r w:rsidRPr="00F7008B">
              <w:rPr>
                <w:sz w:val="20"/>
                <w:szCs w:val="20"/>
                <w:lang w:eastAsia="fr"/>
              </w:rPr>
              <w:t>53 979</w:t>
            </w:r>
          </w:p>
        </w:tc>
        <w:tc>
          <w:tcPr>
            <w:tcW w:w="1017" w:type="dxa"/>
            <w:tcBorders>
              <w:top w:val="nil"/>
              <w:left w:val="nil"/>
              <w:bottom w:val="single" w:sz="4" w:space="0" w:color="auto"/>
              <w:right w:val="single" w:sz="4" w:space="0" w:color="auto"/>
            </w:tcBorders>
            <w:shd w:val="clear" w:color="auto" w:fill="auto"/>
            <w:noWrap/>
            <w:hideMark/>
          </w:tcPr>
          <w:p w14:paraId="16542DC6"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366CC0A6"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0527713B"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1367F41E" w14:textId="77777777" w:rsidTr="00781759">
        <w:trPr>
          <w:trHeight w:val="101"/>
        </w:trPr>
        <w:tc>
          <w:tcPr>
            <w:tcW w:w="2235" w:type="dxa"/>
            <w:tcBorders>
              <w:top w:val="nil"/>
              <w:left w:val="single" w:sz="4" w:space="0" w:color="auto"/>
              <w:bottom w:val="single" w:sz="4" w:space="0" w:color="auto"/>
              <w:right w:val="single" w:sz="4" w:space="0" w:color="auto"/>
            </w:tcBorders>
            <w:shd w:val="clear" w:color="auto" w:fill="auto"/>
            <w:noWrap/>
            <w:hideMark/>
          </w:tcPr>
          <w:p w14:paraId="1EE08BF0" w14:textId="77777777" w:rsidR="00A1757E" w:rsidRPr="00F7008B" w:rsidRDefault="00A1757E" w:rsidP="00A1757E">
            <w:pPr>
              <w:jc w:val="left"/>
              <w:rPr>
                <w:sz w:val="20"/>
                <w:szCs w:val="20"/>
                <w:lang w:eastAsia="en-CA"/>
              </w:rPr>
            </w:pPr>
            <w:proofErr w:type="spellStart"/>
            <w:r w:rsidRPr="00F7008B">
              <w:rPr>
                <w:sz w:val="20"/>
                <w:szCs w:val="20"/>
                <w:lang w:eastAsia="fr"/>
              </w:rPr>
              <w:t>Haïti</w:t>
            </w:r>
            <w:proofErr w:type="spellEnd"/>
          </w:p>
        </w:tc>
        <w:tc>
          <w:tcPr>
            <w:tcW w:w="1475" w:type="dxa"/>
            <w:tcBorders>
              <w:top w:val="nil"/>
              <w:left w:val="nil"/>
              <w:bottom w:val="single" w:sz="4" w:space="0" w:color="auto"/>
              <w:right w:val="single" w:sz="4" w:space="0" w:color="auto"/>
            </w:tcBorders>
            <w:shd w:val="clear" w:color="auto" w:fill="auto"/>
            <w:noWrap/>
            <w:hideMark/>
          </w:tcPr>
          <w:p w14:paraId="27653E32" w14:textId="77777777" w:rsidR="00A1757E" w:rsidRPr="00F7008B" w:rsidRDefault="00A1757E" w:rsidP="00A1757E">
            <w:pPr>
              <w:jc w:val="right"/>
              <w:rPr>
                <w:sz w:val="20"/>
                <w:szCs w:val="20"/>
                <w:lang w:eastAsia="en-CA"/>
              </w:rPr>
            </w:pPr>
            <w:r w:rsidRPr="00F7008B">
              <w:rPr>
                <w:sz w:val="20"/>
                <w:szCs w:val="20"/>
                <w:lang w:eastAsia="fr"/>
              </w:rPr>
              <w:t>0,2</w:t>
            </w:r>
          </w:p>
        </w:tc>
        <w:tc>
          <w:tcPr>
            <w:tcW w:w="1230" w:type="dxa"/>
            <w:tcBorders>
              <w:top w:val="nil"/>
              <w:left w:val="nil"/>
              <w:bottom w:val="single" w:sz="4" w:space="0" w:color="auto"/>
              <w:right w:val="single" w:sz="4" w:space="0" w:color="auto"/>
            </w:tcBorders>
            <w:shd w:val="clear" w:color="auto" w:fill="auto"/>
            <w:noWrap/>
            <w:hideMark/>
          </w:tcPr>
          <w:p w14:paraId="720FCCFE"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3381B64" w14:textId="77777777" w:rsidR="00A1757E" w:rsidRPr="00F7008B" w:rsidRDefault="00A1757E" w:rsidP="00A1757E">
            <w:pPr>
              <w:jc w:val="right"/>
              <w:rPr>
                <w:sz w:val="20"/>
                <w:szCs w:val="20"/>
                <w:lang w:eastAsia="en-CA"/>
              </w:rPr>
            </w:pPr>
            <w:r w:rsidRPr="00F7008B">
              <w:rPr>
                <w:sz w:val="20"/>
                <w:szCs w:val="20"/>
                <w:lang w:eastAsia="fr"/>
              </w:rPr>
              <w:t>57 261</w:t>
            </w:r>
          </w:p>
        </w:tc>
        <w:tc>
          <w:tcPr>
            <w:tcW w:w="1017" w:type="dxa"/>
            <w:tcBorders>
              <w:top w:val="nil"/>
              <w:left w:val="nil"/>
              <w:bottom w:val="single" w:sz="4" w:space="0" w:color="auto"/>
              <w:right w:val="single" w:sz="4" w:space="0" w:color="auto"/>
            </w:tcBorders>
            <w:shd w:val="clear" w:color="auto" w:fill="auto"/>
            <w:noWrap/>
            <w:hideMark/>
          </w:tcPr>
          <w:p w14:paraId="7A7FB38D" w14:textId="77777777" w:rsidR="00A1757E" w:rsidRPr="00F7008B" w:rsidRDefault="00A1757E" w:rsidP="00A1757E">
            <w:pPr>
              <w:jc w:val="right"/>
              <w:rPr>
                <w:sz w:val="20"/>
                <w:szCs w:val="20"/>
                <w:lang w:eastAsia="en-CA"/>
              </w:rPr>
            </w:pPr>
            <w:r w:rsidRPr="00F7008B">
              <w:rPr>
                <w:sz w:val="20"/>
                <w:szCs w:val="20"/>
                <w:lang w:eastAsia="fr"/>
              </w:rPr>
              <w:t>92 174</w:t>
            </w:r>
          </w:p>
        </w:tc>
        <w:tc>
          <w:tcPr>
            <w:tcW w:w="1304" w:type="dxa"/>
            <w:tcBorders>
              <w:top w:val="nil"/>
              <w:left w:val="nil"/>
              <w:bottom w:val="single" w:sz="4" w:space="0" w:color="auto"/>
              <w:right w:val="single" w:sz="4" w:space="0" w:color="auto"/>
            </w:tcBorders>
            <w:shd w:val="clear" w:color="auto" w:fill="auto"/>
            <w:noWrap/>
            <w:hideMark/>
          </w:tcPr>
          <w:p w14:paraId="10181B77" w14:textId="77777777" w:rsidR="00A1757E" w:rsidRPr="00F7008B" w:rsidRDefault="00A1757E" w:rsidP="00A1757E">
            <w:pPr>
              <w:jc w:val="right"/>
              <w:rPr>
                <w:sz w:val="20"/>
                <w:szCs w:val="20"/>
                <w:lang w:eastAsia="en-CA"/>
              </w:rPr>
            </w:pPr>
            <w:r w:rsidRPr="00F7008B">
              <w:rPr>
                <w:sz w:val="20"/>
                <w:szCs w:val="20"/>
                <w:lang w:eastAsia="fr"/>
              </w:rPr>
              <w:t>161</w:t>
            </w:r>
          </w:p>
        </w:tc>
        <w:tc>
          <w:tcPr>
            <w:tcW w:w="1220" w:type="dxa"/>
            <w:tcBorders>
              <w:top w:val="nil"/>
              <w:left w:val="nil"/>
              <w:bottom w:val="single" w:sz="4" w:space="0" w:color="auto"/>
              <w:right w:val="single" w:sz="4" w:space="0" w:color="auto"/>
            </w:tcBorders>
            <w:shd w:val="clear" w:color="auto" w:fill="auto"/>
            <w:noWrap/>
            <w:hideMark/>
          </w:tcPr>
          <w:p w14:paraId="07E265CC"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1AA7C96F"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160CCE6F" w14:textId="77777777" w:rsidR="00A1757E" w:rsidRPr="00F7008B" w:rsidRDefault="00A1757E" w:rsidP="00A1757E">
            <w:pPr>
              <w:jc w:val="left"/>
              <w:rPr>
                <w:sz w:val="20"/>
                <w:szCs w:val="20"/>
                <w:lang w:eastAsia="en-CA"/>
              </w:rPr>
            </w:pPr>
            <w:proofErr w:type="spellStart"/>
            <w:r w:rsidRPr="00F7008B">
              <w:rPr>
                <w:sz w:val="20"/>
                <w:szCs w:val="20"/>
                <w:lang w:eastAsia="fr"/>
              </w:rPr>
              <w:t>Inde</w:t>
            </w:r>
            <w:proofErr w:type="spellEnd"/>
          </w:p>
        </w:tc>
        <w:tc>
          <w:tcPr>
            <w:tcW w:w="1475" w:type="dxa"/>
            <w:tcBorders>
              <w:top w:val="nil"/>
              <w:left w:val="nil"/>
              <w:bottom w:val="single" w:sz="4" w:space="0" w:color="auto"/>
              <w:right w:val="single" w:sz="4" w:space="0" w:color="auto"/>
            </w:tcBorders>
            <w:shd w:val="clear" w:color="auto" w:fill="auto"/>
            <w:noWrap/>
            <w:hideMark/>
          </w:tcPr>
          <w:p w14:paraId="04584042" w14:textId="77777777" w:rsidR="00A1757E" w:rsidRPr="00F7008B" w:rsidRDefault="00A1757E" w:rsidP="00A1757E">
            <w:pPr>
              <w:jc w:val="right"/>
              <w:rPr>
                <w:sz w:val="20"/>
                <w:szCs w:val="20"/>
                <w:lang w:eastAsia="en-CA"/>
              </w:rPr>
            </w:pPr>
            <w:r w:rsidRPr="00F7008B">
              <w:rPr>
                <w:sz w:val="20"/>
                <w:szCs w:val="20"/>
                <w:lang w:eastAsia="fr"/>
              </w:rPr>
              <w:t>103,8</w:t>
            </w:r>
          </w:p>
        </w:tc>
        <w:tc>
          <w:tcPr>
            <w:tcW w:w="1230" w:type="dxa"/>
            <w:tcBorders>
              <w:top w:val="nil"/>
              <w:left w:val="nil"/>
              <w:bottom w:val="single" w:sz="4" w:space="0" w:color="auto"/>
              <w:right w:val="single" w:sz="4" w:space="0" w:color="auto"/>
            </w:tcBorders>
            <w:shd w:val="clear" w:color="auto" w:fill="auto"/>
            <w:noWrap/>
            <w:hideMark/>
          </w:tcPr>
          <w:p w14:paraId="48A5E5D7" w14:textId="77777777" w:rsidR="00A1757E" w:rsidRPr="00F7008B" w:rsidRDefault="00A1757E" w:rsidP="00A1757E">
            <w:pPr>
              <w:jc w:val="right"/>
              <w:rPr>
                <w:sz w:val="20"/>
                <w:szCs w:val="20"/>
                <w:lang w:eastAsia="en-CA"/>
              </w:rPr>
            </w:pPr>
            <w:r w:rsidRPr="00F7008B">
              <w:rPr>
                <w:sz w:val="20"/>
                <w:szCs w:val="20"/>
                <w:lang w:eastAsia="fr"/>
              </w:rPr>
              <w:t>100</w:t>
            </w:r>
          </w:p>
        </w:tc>
        <w:tc>
          <w:tcPr>
            <w:tcW w:w="1095" w:type="dxa"/>
            <w:tcBorders>
              <w:top w:val="nil"/>
              <w:left w:val="nil"/>
              <w:bottom w:val="single" w:sz="4" w:space="0" w:color="auto"/>
              <w:right w:val="single" w:sz="4" w:space="0" w:color="auto"/>
            </w:tcBorders>
            <w:shd w:val="clear" w:color="auto" w:fill="auto"/>
            <w:noWrap/>
            <w:hideMark/>
          </w:tcPr>
          <w:p w14:paraId="1F6F35FC" w14:textId="77777777" w:rsidR="00A1757E" w:rsidRPr="00F7008B" w:rsidRDefault="00A1757E" w:rsidP="00A1757E">
            <w:pPr>
              <w:jc w:val="right"/>
              <w:rPr>
                <w:sz w:val="20"/>
                <w:szCs w:val="20"/>
                <w:lang w:eastAsia="en-CA"/>
              </w:rPr>
            </w:pPr>
            <w:r w:rsidRPr="00F7008B">
              <w:rPr>
                <w:sz w:val="20"/>
                <w:szCs w:val="20"/>
                <w:lang w:eastAsia="fr"/>
              </w:rPr>
              <w:t>5 964 270</w:t>
            </w:r>
          </w:p>
        </w:tc>
        <w:tc>
          <w:tcPr>
            <w:tcW w:w="1017" w:type="dxa"/>
            <w:tcBorders>
              <w:top w:val="nil"/>
              <w:left w:val="nil"/>
              <w:bottom w:val="single" w:sz="4" w:space="0" w:color="auto"/>
              <w:right w:val="single" w:sz="4" w:space="0" w:color="auto"/>
            </w:tcBorders>
            <w:shd w:val="clear" w:color="auto" w:fill="auto"/>
            <w:noWrap/>
            <w:hideMark/>
          </w:tcPr>
          <w:p w14:paraId="0876C5F7" w14:textId="77777777" w:rsidR="00A1757E" w:rsidRPr="00F7008B" w:rsidRDefault="00A1757E" w:rsidP="00A1757E">
            <w:pPr>
              <w:jc w:val="right"/>
              <w:rPr>
                <w:sz w:val="20"/>
                <w:szCs w:val="20"/>
                <w:lang w:eastAsia="en-CA"/>
              </w:rPr>
            </w:pPr>
            <w:r w:rsidRPr="00F7008B">
              <w:rPr>
                <w:sz w:val="20"/>
                <w:szCs w:val="20"/>
                <w:lang w:eastAsia="fr"/>
              </w:rPr>
              <w:t>5 834 391</w:t>
            </w:r>
          </w:p>
        </w:tc>
        <w:tc>
          <w:tcPr>
            <w:tcW w:w="1304" w:type="dxa"/>
            <w:tcBorders>
              <w:top w:val="nil"/>
              <w:left w:val="nil"/>
              <w:bottom w:val="single" w:sz="4" w:space="0" w:color="auto"/>
              <w:right w:val="single" w:sz="4" w:space="0" w:color="auto"/>
            </w:tcBorders>
            <w:shd w:val="clear" w:color="auto" w:fill="auto"/>
            <w:noWrap/>
            <w:hideMark/>
          </w:tcPr>
          <w:p w14:paraId="4F9537CC" w14:textId="77777777" w:rsidR="00A1757E" w:rsidRPr="00F7008B" w:rsidRDefault="00A1757E" w:rsidP="00A1757E">
            <w:pPr>
              <w:jc w:val="right"/>
              <w:rPr>
                <w:sz w:val="20"/>
                <w:szCs w:val="20"/>
                <w:lang w:eastAsia="en-CA"/>
              </w:rPr>
            </w:pPr>
            <w:r w:rsidRPr="00F7008B">
              <w:rPr>
                <w:sz w:val="20"/>
                <w:szCs w:val="20"/>
                <w:lang w:eastAsia="fr"/>
              </w:rPr>
              <w:t>98</w:t>
            </w:r>
          </w:p>
        </w:tc>
        <w:tc>
          <w:tcPr>
            <w:tcW w:w="1220" w:type="dxa"/>
            <w:tcBorders>
              <w:top w:val="nil"/>
              <w:left w:val="nil"/>
              <w:bottom w:val="single" w:sz="4" w:space="0" w:color="auto"/>
              <w:right w:val="single" w:sz="4" w:space="0" w:color="auto"/>
            </w:tcBorders>
            <w:shd w:val="clear" w:color="auto" w:fill="auto"/>
            <w:noWrap/>
            <w:hideMark/>
          </w:tcPr>
          <w:p w14:paraId="2A8A6740" w14:textId="77777777" w:rsidR="00A1757E" w:rsidRPr="00F7008B" w:rsidRDefault="00A1757E" w:rsidP="00A1757E">
            <w:pPr>
              <w:jc w:val="right"/>
              <w:rPr>
                <w:sz w:val="20"/>
                <w:szCs w:val="20"/>
                <w:lang w:eastAsia="en-CA"/>
              </w:rPr>
            </w:pPr>
            <w:r w:rsidRPr="00F7008B">
              <w:rPr>
                <w:sz w:val="20"/>
                <w:szCs w:val="20"/>
                <w:lang w:eastAsia="fr"/>
              </w:rPr>
              <w:t>67</w:t>
            </w:r>
          </w:p>
        </w:tc>
      </w:tr>
      <w:tr w:rsidR="00A1757E" w:rsidRPr="00F7008B" w14:paraId="6DF3133A"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31E7703B" w14:textId="77777777" w:rsidR="00A1757E" w:rsidRPr="00F7008B" w:rsidRDefault="00A1757E" w:rsidP="00A1757E">
            <w:pPr>
              <w:jc w:val="left"/>
              <w:rPr>
                <w:sz w:val="20"/>
                <w:szCs w:val="20"/>
                <w:lang w:eastAsia="en-CA"/>
              </w:rPr>
            </w:pPr>
            <w:proofErr w:type="spellStart"/>
            <w:r w:rsidRPr="00F7008B">
              <w:rPr>
                <w:sz w:val="20"/>
                <w:szCs w:val="20"/>
                <w:lang w:eastAsia="fr"/>
              </w:rPr>
              <w:t>Indonésie</w:t>
            </w:r>
            <w:proofErr w:type="spellEnd"/>
          </w:p>
        </w:tc>
        <w:tc>
          <w:tcPr>
            <w:tcW w:w="1475" w:type="dxa"/>
            <w:tcBorders>
              <w:top w:val="nil"/>
              <w:left w:val="nil"/>
              <w:bottom w:val="single" w:sz="4" w:space="0" w:color="auto"/>
              <w:right w:val="single" w:sz="4" w:space="0" w:color="auto"/>
            </w:tcBorders>
            <w:shd w:val="clear" w:color="auto" w:fill="auto"/>
            <w:noWrap/>
            <w:hideMark/>
          </w:tcPr>
          <w:p w14:paraId="16C95729"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45217D8F"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30DAC399" w14:textId="77777777" w:rsidR="00A1757E" w:rsidRPr="00F7008B" w:rsidRDefault="00A1757E" w:rsidP="00A1757E">
            <w:pPr>
              <w:jc w:val="right"/>
              <w:rPr>
                <w:sz w:val="20"/>
                <w:szCs w:val="20"/>
                <w:lang w:eastAsia="en-CA"/>
              </w:rPr>
            </w:pPr>
            <w:r w:rsidRPr="00F7008B">
              <w:rPr>
                <w:sz w:val="20"/>
                <w:szCs w:val="20"/>
                <w:lang w:eastAsia="fr"/>
              </w:rPr>
              <w:t>1 284 496</w:t>
            </w:r>
          </w:p>
        </w:tc>
        <w:tc>
          <w:tcPr>
            <w:tcW w:w="1017" w:type="dxa"/>
            <w:tcBorders>
              <w:top w:val="nil"/>
              <w:left w:val="nil"/>
              <w:bottom w:val="single" w:sz="4" w:space="0" w:color="auto"/>
              <w:right w:val="single" w:sz="4" w:space="0" w:color="auto"/>
            </w:tcBorders>
            <w:shd w:val="clear" w:color="auto" w:fill="auto"/>
            <w:noWrap/>
            <w:hideMark/>
          </w:tcPr>
          <w:p w14:paraId="538E8698" w14:textId="77777777" w:rsidR="00A1757E" w:rsidRPr="00F7008B" w:rsidRDefault="00A1757E" w:rsidP="00A1757E">
            <w:pPr>
              <w:jc w:val="right"/>
              <w:rPr>
                <w:sz w:val="20"/>
                <w:szCs w:val="20"/>
                <w:lang w:eastAsia="en-CA"/>
              </w:rPr>
            </w:pPr>
            <w:r w:rsidRPr="00F7008B">
              <w:rPr>
                <w:sz w:val="20"/>
                <w:szCs w:val="20"/>
                <w:lang w:eastAsia="fr"/>
              </w:rPr>
              <w:t>515 582</w:t>
            </w:r>
          </w:p>
        </w:tc>
        <w:tc>
          <w:tcPr>
            <w:tcW w:w="1304" w:type="dxa"/>
            <w:tcBorders>
              <w:top w:val="nil"/>
              <w:left w:val="nil"/>
              <w:bottom w:val="single" w:sz="4" w:space="0" w:color="auto"/>
              <w:right w:val="single" w:sz="4" w:space="0" w:color="auto"/>
            </w:tcBorders>
            <w:shd w:val="clear" w:color="auto" w:fill="auto"/>
            <w:noWrap/>
            <w:hideMark/>
          </w:tcPr>
          <w:p w14:paraId="1DCE5009" w14:textId="77777777" w:rsidR="00A1757E" w:rsidRPr="00F7008B" w:rsidRDefault="00A1757E" w:rsidP="00A1757E">
            <w:pPr>
              <w:jc w:val="right"/>
              <w:rPr>
                <w:sz w:val="20"/>
                <w:szCs w:val="20"/>
                <w:lang w:eastAsia="en-CA"/>
              </w:rPr>
            </w:pPr>
            <w:r w:rsidRPr="00F7008B">
              <w:rPr>
                <w:sz w:val="20"/>
                <w:szCs w:val="20"/>
                <w:lang w:eastAsia="fr"/>
              </w:rPr>
              <w:t>40</w:t>
            </w:r>
          </w:p>
        </w:tc>
        <w:tc>
          <w:tcPr>
            <w:tcW w:w="1220" w:type="dxa"/>
            <w:tcBorders>
              <w:top w:val="nil"/>
              <w:left w:val="nil"/>
              <w:bottom w:val="single" w:sz="4" w:space="0" w:color="auto"/>
              <w:right w:val="single" w:sz="4" w:space="0" w:color="auto"/>
            </w:tcBorders>
            <w:shd w:val="clear" w:color="auto" w:fill="auto"/>
            <w:noWrap/>
            <w:hideMark/>
          </w:tcPr>
          <w:p w14:paraId="0EE12271" w14:textId="77777777" w:rsidR="00A1757E" w:rsidRPr="00F7008B" w:rsidRDefault="00A1757E" w:rsidP="00A1757E">
            <w:pPr>
              <w:jc w:val="right"/>
              <w:rPr>
                <w:sz w:val="20"/>
                <w:szCs w:val="20"/>
                <w:lang w:eastAsia="en-CA"/>
              </w:rPr>
            </w:pPr>
            <w:r w:rsidRPr="00F7008B">
              <w:rPr>
                <w:sz w:val="20"/>
                <w:szCs w:val="20"/>
                <w:lang w:eastAsia="fr"/>
              </w:rPr>
              <w:t>50</w:t>
            </w:r>
          </w:p>
        </w:tc>
      </w:tr>
      <w:tr w:rsidR="00A1757E" w:rsidRPr="00F7008B" w14:paraId="0DE53A3A"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1359188" w14:textId="77777777" w:rsidR="00A1757E" w:rsidRPr="00F7008B" w:rsidRDefault="00A1757E" w:rsidP="00A1757E">
            <w:pPr>
              <w:jc w:val="left"/>
              <w:rPr>
                <w:sz w:val="20"/>
                <w:szCs w:val="20"/>
                <w:lang w:eastAsia="en-CA"/>
              </w:rPr>
            </w:pPr>
            <w:proofErr w:type="spellStart"/>
            <w:r w:rsidRPr="00F7008B">
              <w:rPr>
                <w:sz w:val="20"/>
                <w:szCs w:val="20"/>
                <w:lang w:eastAsia="fr"/>
              </w:rPr>
              <w:t>République</w:t>
            </w:r>
            <w:proofErr w:type="spellEnd"/>
            <w:r w:rsidRPr="00F7008B">
              <w:rPr>
                <w:sz w:val="20"/>
                <w:szCs w:val="20"/>
                <w:lang w:eastAsia="fr"/>
              </w:rPr>
              <w:t xml:space="preserve"> </w:t>
            </w:r>
            <w:proofErr w:type="spellStart"/>
            <w:r w:rsidRPr="00F7008B">
              <w:rPr>
                <w:sz w:val="20"/>
                <w:szCs w:val="20"/>
                <w:lang w:eastAsia="fr"/>
              </w:rPr>
              <w:t>islamique</w:t>
            </w:r>
            <w:proofErr w:type="spellEnd"/>
            <w:r w:rsidRPr="00F7008B">
              <w:rPr>
                <w:sz w:val="20"/>
                <w:szCs w:val="20"/>
                <w:lang w:eastAsia="fr"/>
              </w:rPr>
              <w:t xml:space="preserve"> </w:t>
            </w:r>
            <w:proofErr w:type="spellStart"/>
            <w:r w:rsidRPr="00F7008B">
              <w:rPr>
                <w:sz w:val="20"/>
                <w:szCs w:val="20"/>
                <w:lang w:eastAsia="fr"/>
              </w:rPr>
              <w:t>d’Iran</w:t>
            </w:r>
            <w:proofErr w:type="spellEnd"/>
          </w:p>
        </w:tc>
        <w:tc>
          <w:tcPr>
            <w:tcW w:w="1475" w:type="dxa"/>
            <w:tcBorders>
              <w:top w:val="nil"/>
              <w:left w:val="nil"/>
              <w:bottom w:val="single" w:sz="4" w:space="0" w:color="auto"/>
              <w:right w:val="single" w:sz="4" w:space="0" w:color="auto"/>
            </w:tcBorders>
            <w:shd w:val="clear" w:color="auto" w:fill="auto"/>
            <w:noWrap/>
            <w:hideMark/>
          </w:tcPr>
          <w:p w14:paraId="1F1CD2D1" w14:textId="77777777" w:rsidR="00A1757E" w:rsidRPr="00F7008B" w:rsidRDefault="00A1757E" w:rsidP="00A1757E">
            <w:pPr>
              <w:jc w:val="right"/>
              <w:rPr>
                <w:sz w:val="20"/>
                <w:szCs w:val="20"/>
                <w:lang w:eastAsia="en-CA"/>
              </w:rPr>
            </w:pPr>
            <w:r w:rsidRPr="00F7008B">
              <w:rPr>
                <w:sz w:val="20"/>
                <w:szCs w:val="20"/>
                <w:lang w:eastAsia="fr"/>
              </w:rPr>
              <w:t>17,2</w:t>
            </w:r>
          </w:p>
        </w:tc>
        <w:tc>
          <w:tcPr>
            <w:tcW w:w="1230" w:type="dxa"/>
            <w:tcBorders>
              <w:top w:val="nil"/>
              <w:left w:val="nil"/>
              <w:bottom w:val="single" w:sz="4" w:space="0" w:color="auto"/>
              <w:right w:val="single" w:sz="4" w:space="0" w:color="auto"/>
            </w:tcBorders>
            <w:shd w:val="clear" w:color="auto" w:fill="auto"/>
            <w:noWrap/>
            <w:hideMark/>
          </w:tcPr>
          <w:p w14:paraId="2FD06F8C"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A541C9B" w14:textId="77777777" w:rsidR="00A1757E" w:rsidRPr="00F7008B" w:rsidRDefault="00A1757E" w:rsidP="00A1757E">
            <w:pPr>
              <w:jc w:val="right"/>
              <w:rPr>
                <w:sz w:val="20"/>
                <w:szCs w:val="20"/>
                <w:lang w:eastAsia="en-CA"/>
              </w:rPr>
            </w:pPr>
            <w:r w:rsidRPr="00F7008B">
              <w:rPr>
                <w:sz w:val="20"/>
                <w:szCs w:val="20"/>
                <w:lang w:eastAsia="fr"/>
              </w:rPr>
              <w:t>1 101 245</w:t>
            </w:r>
          </w:p>
        </w:tc>
        <w:tc>
          <w:tcPr>
            <w:tcW w:w="1017" w:type="dxa"/>
            <w:tcBorders>
              <w:top w:val="nil"/>
              <w:left w:val="nil"/>
              <w:bottom w:val="single" w:sz="4" w:space="0" w:color="auto"/>
              <w:right w:val="single" w:sz="4" w:space="0" w:color="auto"/>
            </w:tcBorders>
            <w:shd w:val="clear" w:color="auto" w:fill="auto"/>
            <w:noWrap/>
            <w:hideMark/>
          </w:tcPr>
          <w:p w14:paraId="37DA62D7" w14:textId="77777777" w:rsidR="00A1757E" w:rsidRPr="00F7008B" w:rsidRDefault="00A1757E" w:rsidP="00A1757E">
            <w:pPr>
              <w:jc w:val="right"/>
              <w:rPr>
                <w:sz w:val="20"/>
                <w:szCs w:val="20"/>
                <w:lang w:eastAsia="en-CA"/>
              </w:rPr>
            </w:pPr>
            <w:r w:rsidRPr="00F7008B">
              <w:rPr>
                <w:sz w:val="20"/>
                <w:szCs w:val="20"/>
                <w:lang w:eastAsia="fr"/>
              </w:rPr>
              <w:t>684 040</w:t>
            </w:r>
          </w:p>
        </w:tc>
        <w:tc>
          <w:tcPr>
            <w:tcW w:w="1304" w:type="dxa"/>
            <w:tcBorders>
              <w:top w:val="nil"/>
              <w:left w:val="nil"/>
              <w:bottom w:val="single" w:sz="4" w:space="0" w:color="auto"/>
              <w:right w:val="single" w:sz="4" w:space="0" w:color="auto"/>
            </w:tcBorders>
            <w:shd w:val="clear" w:color="auto" w:fill="auto"/>
            <w:noWrap/>
            <w:hideMark/>
          </w:tcPr>
          <w:p w14:paraId="500EA799" w14:textId="77777777" w:rsidR="00A1757E" w:rsidRPr="00F7008B" w:rsidRDefault="00A1757E" w:rsidP="00A1757E">
            <w:pPr>
              <w:jc w:val="right"/>
              <w:rPr>
                <w:sz w:val="20"/>
                <w:szCs w:val="20"/>
                <w:lang w:eastAsia="en-CA"/>
              </w:rPr>
            </w:pPr>
            <w:r w:rsidRPr="00F7008B">
              <w:rPr>
                <w:sz w:val="20"/>
                <w:szCs w:val="20"/>
                <w:lang w:eastAsia="fr"/>
              </w:rPr>
              <w:t>62</w:t>
            </w:r>
          </w:p>
        </w:tc>
        <w:tc>
          <w:tcPr>
            <w:tcW w:w="1220" w:type="dxa"/>
            <w:tcBorders>
              <w:top w:val="nil"/>
              <w:left w:val="nil"/>
              <w:bottom w:val="single" w:sz="4" w:space="0" w:color="auto"/>
              <w:right w:val="single" w:sz="4" w:space="0" w:color="auto"/>
            </w:tcBorders>
            <w:shd w:val="clear" w:color="auto" w:fill="auto"/>
            <w:noWrap/>
            <w:hideMark/>
          </w:tcPr>
          <w:p w14:paraId="5D407C16"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53EC5CBD"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DF77B91" w14:textId="77777777" w:rsidR="00A1757E" w:rsidRPr="00F7008B" w:rsidRDefault="00A1757E" w:rsidP="00A1757E">
            <w:pPr>
              <w:jc w:val="left"/>
              <w:rPr>
                <w:sz w:val="20"/>
                <w:szCs w:val="20"/>
                <w:lang w:eastAsia="en-CA"/>
              </w:rPr>
            </w:pPr>
            <w:proofErr w:type="spellStart"/>
            <w:r w:rsidRPr="00F7008B">
              <w:rPr>
                <w:sz w:val="20"/>
                <w:szCs w:val="20"/>
                <w:lang w:eastAsia="fr"/>
              </w:rPr>
              <w:t>Jamaïque</w:t>
            </w:r>
            <w:proofErr w:type="spellEnd"/>
          </w:p>
        </w:tc>
        <w:tc>
          <w:tcPr>
            <w:tcW w:w="1475" w:type="dxa"/>
            <w:tcBorders>
              <w:top w:val="nil"/>
              <w:left w:val="nil"/>
              <w:bottom w:val="single" w:sz="4" w:space="0" w:color="auto"/>
              <w:right w:val="single" w:sz="4" w:space="0" w:color="auto"/>
            </w:tcBorders>
            <w:shd w:val="clear" w:color="auto" w:fill="auto"/>
            <w:noWrap/>
            <w:hideMark/>
          </w:tcPr>
          <w:p w14:paraId="0A4C41DF"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2A87B379"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32FCE9EC" w14:textId="77777777" w:rsidR="00A1757E" w:rsidRPr="00F7008B" w:rsidRDefault="00A1757E" w:rsidP="00A1757E">
            <w:pPr>
              <w:jc w:val="right"/>
              <w:rPr>
                <w:sz w:val="20"/>
                <w:szCs w:val="20"/>
                <w:lang w:eastAsia="en-CA"/>
              </w:rPr>
            </w:pPr>
            <w:r w:rsidRPr="00F7008B">
              <w:rPr>
                <w:sz w:val="20"/>
                <w:szCs w:val="20"/>
                <w:lang w:eastAsia="fr"/>
              </w:rPr>
              <w:t>45 407</w:t>
            </w:r>
          </w:p>
        </w:tc>
        <w:tc>
          <w:tcPr>
            <w:tcW w:w="1017" w:type="dxa"/>
            <w:tcBorders>
              <w:top w:val="nil"/>
              <w:left w:val="nil"/>
              <w:bottom w:val="single" w:sz="4" w:space="0" w:color="auto"/>
              <w:right w:val="single" w:sz="4" w:space="0" w:color="auto"/>
            </w:tcBorders>
            <w:shd w:val="clear" w:color="auto" w:fill="auto"/>
            <w:noWrap/>
            <w:hideMark/>
          </w:tcPr>
          <w:p w14:paraId="2BA6C8B8" w14:textId="77777777" w:rsidR="00A1757E" w:rsidRPr="00F7008B" w:rsidRDefault="00A1757E" w:rsidP="00A1757E">
            <w:pPr>
              <w:jc w:val="right"/>
              <w:rPr>
                <w:sz w:val="20"/>
                <w:szCs w:val="20"/>
                <w:lang w:eastAsia="en-CA"/>
              </w:rPr>
            </w:pPr>
            <w:r w:rsidRPr="00F7008B">
              <w:rPr>
                <w:sz w:val="20"/>
                <w:szCs w:val="20"/>
                <w:lang w:eastAsia="fr"/>
              </w:rPr>
              <w:t>18 211</w:t>
            </w:r>
          </w:p>
        </w:tc>
        <w:tc>
          <w:tcPr>
            <w:tcW w:w="1304" w:type="dxa"/>
            <w:tcBorders>
              <w:top w:val="nil"/>
              <w:left w:val="nil"/>
              <w:bottom w:val="single" w:sz="4" w:space="0" w:color="auto"/>
              <w:right w:val="single" w:sz="4" w:space="0" w:color="auto"/>
            </w:tcBorders>
            <w:shd w:val="clear" w:color="auto" w:fill="auto"/>
            <w:noWrap/>
            <w:hideMark/>
          </w:tcPr>
          <w:p w14:paraId="386F0759" w14:textId="77777777" w:rsidR="00A1757E" w:rsidRPr="00F7008B" w:rsidRDefault="00A1757E" w:rsidP="00A1757E">
            <w:pPr>
              <w:jc w:val="right"/>
              <w:rPr>
                <w:sz w:val="20"/>
                <w:szCs w:val="20"/>
                <w:lang w:eastAsia="en-CA"/>
              </w:rPr>
            </w:pPr>
            <w:r w:rsidRPr="00F7008B">
              <w:rPr>
                <w:sz w:val="20"/>
                <w:szCs w:val="20"/>
                <w:lang w:eastAsia="fr"/>
              </w:rPr>
              <w:t>40</w:t>
            </w:r>
          </w:p>
        </w:tc>
        <w:tc>
          <w:tcPr>
            <w:tcW w:w="1220" w:type="dxa"/>
            <w:tcBorders>
              <w:top w:val="nil"/>
              <w:left w:val="nil"/>
              <w:bottom w:val="single" w:sz="4" w:space="0" w:color="auto"/>
              <w:right w:val="single" w:sz="4" w:space="0" w:color="auto"/>
            </w:tcBorders>
            <w:shd w:val="clear" w:color="auto" w:fill="auto"/>
            <w:noWrap/>
            <w:hideMark/>
          </w:tcPr>
          <w:p w14:paraId="1679A645"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120BE065"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DAE96ED" w14:textId="77777777" w:rsidR="00A1757E" w:rsidRPr="00F7008B" w:rsidRDefault="00A1757E" w:rsidP="00A1757E">
            <w:pPr>
              <w:jc w:val="left"/>
              <w:rPr>
                <w:sz w:val="20"/>
                <w:szCs w:val="20"/>
                <w:lang w:eastAsia="en-CA"/>
              </w:rPr>
            </w:pPr>
            <w:proofErr w:type="spellStart"/>
            <w:r w:rsidRPr="00F7008B">
              <w:rPr>
                <w:sz w:val="20"/>
                <w:szCs w:val="20"/>
                <w:lang w:eastAsia="fr"/>
              </w:rPr>
              <w:t>Kirghizistan</w:t>
            </w:r>
            <w:proofErr w:type="spellEnd"/>
          </w:p>
        </w:tc>
        <w:tc>
          <w:tcPr>
            <w:tcW w:w="1475" w:type="dxa"/>
            <w:tcBorders>
              <w:top w:val="nil"/>
              <w:left w:val="nil"/>
              <w:bottom w:val="single" w:sz="4" w:space="0" w:color="auto"/>
              <w:right w:val="single" w:sz="4" w:space="0" w:color="auto"/>
            </w:tcBorders>
            <w:shd w:val="clear" w:color="auto" w:fill="auto"/>
            <w:noWrap/>
            <w:hideMark/>
          </w:tcPr>
          <w:p w14:paraId="1DE0DAE4" w14:textId="77777777" w:rsidR="00A1757E" w:rsidRPr="00F7008B" w:rsidRDefault="00A1757E" w:rsidP="00A1757E">
            <w:pPr>
              <w:jc w:val="right"/>
              <w:rPr>
                <w:sz w:val="20"/>
                <w:szCs w:val="20"/>
                <w:lang w:eastAsia="en-CA"/>
              </w:rPr>
            </w:pPr>
            <w:r w:rsidRPr="00F7008B">
              <w:rPr>
                <w:sz w:val="20"/>
                <w:szCs w:val="20"/>
                <w:lang w:eastAsia="fr"/>
              </w:rPr>
              <w:t>0,5</w:t>
            </w:r>
          </w:p>
        </w:tc>
        <w:tc>
          <w:tcPr>
            <w:tcW w:w="1230" w:type="dxa"/>
            <w:tcBorders>
              <w:top w:val="nil"/>
              <w:left w:val="nil"/>
              <w:bottom w:val="single" w:sz="4" w:space="0" w:color="auto"/>
              <w:right w:val="single" w:sz="4" w:space="0" w:color="auto"/>
            </w:tcBorders>
            <w:shd w:val="clear" w:color="auto" w:fill="auto"/>
            <w:noWrap/>
            <w:hideMark/>
          </w:tcPr>
          <w:p w14:paraId="563A19AB" w14:textId="77777777" w:rsidR="00A1757E" w:rsidRPr="00F7008B" w:rsidRDefault="00A1757E" w:rsidP="00A1757E">
            <w:pPr>
              <w:jc w:val="right"/>
              <w:rPr>
                <w:sz w:val="20"/>
                <w:szCs w:val="20"/>
                <w:lang w:eastAsia="en-CA"/>
              </w:rPr>
            </w:pPr>
            <w:r w:rsidRPr="00F7008B">
              <w:rPr>
                <w:sz w:val="20"/>
                <w:szCs w:val="20"/>
                <w:lang w:eastAsia="fr"/>
              </w:rPr>
              <w:t>100</w:t>
            </w:r>
          </w:p>
        </w:tc>
        <w:tc>
          <w:tcPr>
            <w:tcW w:w="1095" w:type="dxa"/>
            <w:tcBorders>
              <w:top w:val="nil"/>
              <w:left w:val="nil"/>
              <w:bottom w:val="single" w:sz="4" w:space="0" w:color="auto"/>
              <w:right w:val="single" w:sz="4" w:space="0" w:color="auto"/>
            </w:tcBorders>
            <w:shd w:val="clear" w:color="auto" w:fill="auto"/>
            <w:noWrap/>
            <w:hideMark/>
          </w:tcPr>
          <w:p w14:paraId="0DF7A1D8" w14:textId="77777777" w:rsidR="00A1757E" w:rsidRPr="00F7008B" w:rsidRDefault="00A1757E" w:rsidP="00A1757E">
            <w:pPr>
              <w:jc w:val="right"/>
              <w:rPr>
                <w:sz w:val="20"/>
                <w:szCs w:val="20"/>
                <w:lang w:eastAsia="en-CA"/>
              </w:rPr>
            </w:pPr>
            <w:r w:rsidRPr="00F7008B">
              <w:rPr>
                <w:sz w:val="20"/>
                <w:szCs w:val="20"/>
                <w:lang w:eastAsia="fr"/>
              </w:rPr>
              <w:t>31 371</w:t>
            </w:r>
          </w:p>
        </w:tc>
        <w:tc>
          <w:tcPr>
            <w:tcW w:w="1017" w:type="dxa"/>
            <w:tcBorders>
              <w:top w:val="nil"/>
              <w:left w:val="nil"/>
              <w:bottom w:val="single" w:sz="4" w:space="0" w:color="auto"/>
              <w:right w:val="single" w:sz="4" w:space="0" w:color="auto"/>
            </w:tcBorders>
            <w:shd w:val="clear" w:color="auto" w:fill="auto"/>
            <w:noWrap/>
            <w:hideMark/>
          </w:tcPr>
          <w:p w14:paraId="7008A472" w14:textId="77777777" w:rsidR="00A1757E" w:rsidRPr="00F7008B" w:rsidRDefault="00A1757E" w:rsidP="00A1757E">
            <w:pPr>
              <w:jc w:val="right"/>
              <w:rPr>
                <w:sz w:val="20"/>
                <w:szCs w:val="20"/>
                <w:lang w:eastAsia="en-CA"/>
              </w:rPr>
            </w:pPr>
            <w:r w:rsidRPr="00F7008B">
              <w:rPr>
                <w:sz w:val="20"/>
                <w:szCs w:val="20"/>
                <w:lang w:eastAsia="fr"/>
              </w:rPr>
              <w:t>11 576</w:t>
            </w:r>
          </w:p>
        </w:tc>
        <w:tc>
          <w:tcPr>
            <w:tcW w:w="1304" w:type="dxa"/>
            <w:tcBorders>
              <w:top w:val="nil"/>
              <w:left w:val="nil"/>
              <w:bottom w:val="single" w:sz="4" w:space="0" w:color="auto"/>
              <w:right w:val="single" w:sz="4" w:space="0" w:color="auto"/>
            </w:tcBorders>
            <w:shd w:val="clear" w:color="auto" w:fill="auto"/>
            <w:noWrap/>
            <w:hideMark/>
          </w:tcPr>
          <w:p w14:paraId="1699A679" w14:textId="77777777" w:rsidR="00A1757E" w:rsidRPr="00F7008B" w:rsidRDefault="00A1757E" w:rsidP="00A1757E">
            <w:pPr>
              <w:jc w:val="right"/>
              <w:rPr>
                <w:sz w:val="20"/>
                <w:szCs w:val="20"/>
                <w:lang w:eastAsia="en-CA"/>
              </w:rPr>
            </w:pPr>
            <w:r w:rsidRPr="00F7008B">
              <w:rPr>
                <w:sz w:val="20"/>
                <w:szCs w:val="20"/>
                <w:lang w:eastAsia="fr"/>
              </w:rPr>
              <w:t>37</w:t>
            </w:r>
          </w:p>
        </w:tc>
        <w:tc>
          <w:tcPr>
            <w:tcW w:w="1220" w:type="dxa"/>
            <w:tcBorders>
              <w:top w:val="nil"/>
              <w:left w:val="nil"/>
              <w:bottom w:val="single" w:sz="4" w:space="0" w:color="auto"/>
              <w:right w:val="single" w:sz="4" w:space="0" w:color="auto"/>
            </w:tcBorders>
            <w:shd w:val="clear" w:color="auto" w:fill="auto"/>
            <w:noWrap/>
            <w:hideMark/>
          </w:tcPr>
          <w:p w14:paraId="1F942994"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6BB68EAB"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6CAC3D0F" w14:textId="77777777" w:rsidR="00A1757E" w:rsidRPr="00F7008B" w:rsidRDefault="00A1757E" w:rsidP="00A1757E">
            <w:pPr>
              <w:jc w:val="left"/>
              <w:rPr>
                <w:sz w:val="20"/>
                <w:szCs w:val="20"/>
                <w:lang w:eastAsia="en-CA"/>
              </w:rPr>
            </w:pPr>
            <w:proofErr w:type="spellStart"/>
            <w:r w:rsidRPr="00F7008B">
              <w:rPr>
                <w:sz w:val="20"/>
                <w:szCs w:val="20"/>
                <w:lang w:eastAsia="fr"/>
              </w:rPr>
              <w:t>Liban</w:t>
            </w:r>
            <w:proofErr w:type="spellEnd"/>
          </w:p>
        </w:tc>
        <w:tc>
          <w:tcPr>
            <w:tcW w:w="1475" w:type="dxa"/>
            <w:tcBorders>
              <w:top w:val="nil"/>
              <w:left w:val="nil"/>
              <w:bottom w:val="single" w:sz="4" w:space="0" w:color="auto"/>
              <w:right w:val="single" w:sz="4" w:space="0" w:color="auto"/>
            </w:tcBorders>
            <w:shd w:val="clear" w:color="auto" w:fill="auto"/>
            <w:noWrap/>
            <w:hideMark/>
          </w:tcPr>
          <w:p w14:paraId="26AF5566" w14:textId="77777777" w:rsidR="00A1757E" w:rsidRPr="00F7008B" w:rsidRDefault="00A1757E" w:rsidP="00A1757E">
            <w:pPr>
              <w:jc w:val="right"/>
              <w:rPr>
                <w:sz w:val="20"/>
                <w:szCs w:val="20"/>
                <w:lang w:eastAsia="en-CA"/>
              </w:rPr>
            </w:pPr>
            <w:r w:rsidRPr="00F7008B">
              <w:rPr>
                <w:sz w:val="20"/>
                <w:szCs w:val="20"/>
                <w:lang w:eastAsia="fr"/>
              </w:rPr>
              <w:t>6,3</w:t>
            </w:r>
          </w:p>
        </w:tc>
        <w:tc>
          <w:tcPr>
            <w:tcW w:w="1230" w:type="dxa"/>
            <w:tcBorders>
              <w:top w:val="nil"/>
              <w:left w:val="nil"/>
              <w:bottom w:val="single" w:sz="4" w:space="0" w:color="auto"/>
              <w:right w:val="single" w:sz="4" w:space="0" w:color="auto"/>
            </w:tcBorders>
            <w:shd w:val="clear" w:color="auto" w:fill="auto"/>
            <w:noWrap/>
            <w:hideMark/>
          </w:tcPr>
          <w:p w14:paraId="2F6BE1BA"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8BF74D6" w14:textId="77777777" w:rsidR="00A1757E" w:rsidRPr="00F7008B" w:rsidRDefault="00A1757E" w:rsidP="00A1757E">
            <w:pPr>
              <w:jc w:val="right"/>
              <w:rPr>
                <w:sz w:val="20"/>
                <w:szCs w:val="20"/>
                <w:lang w:eastAsia="en-CA"/>
              </w:rPr>
            </w:pPr>
            <w:r w:rsidRPr="00F7008B">
              <w:rPr>
                <w:sz w:val="20"/>
                <w:szCs w:val="20"/>
                <w:lang w:eastAsia="fr"/>
              </w:rPr>
              <w:t>249 550</w:t>
            </w:r>
          </w:p>
        </w:tc>
        <w:tc>
          <w:tcPr>
            <w:tcW w:w="1017" w:type="dxa"/>
            <w:tcBorders>
              <w:top w:val="nil"/>
              <w:left w:val="nil"/>
              <w:bottom w:val="single" w:sz="4" w:space="0" w:color="auto"/>
              <w:right w:val="single" w:sz="4" w:space="0" w:color="auto"/>
            </w:tcBorders>
            <w:shd w:val="clear" w:color="auto" w:fill="auto"/>
            <w:noWrap/>
            <w:hideMark/>
          </w:tcPr>
          <w:p w14:paraId="43F20E88" w14:textId="77777777" w:rsidR="00A1757E" w:rsidRPr="00F7008B" w:rsidRDefault="00A1757E" w:rsidP="00A1757E">
            <w:pPr>
              <w:jc w:val="right"/>
              <w:rPr>
                <w:sz w:val="20"/>
                <w:szCs w:val="20"/>
                <w:lang w:eastAsia="en-CA"/>
              </w:rPr>
            </w:pPr>
            <w:r w:rsidRPr="00F7008B">
              <w:rPr>
                <w:sz w:val="20"/>
                <w:szCs w:val="20"/>
                <w:lang w:eastAsia="fr"/>
              </w:rPr>
              <w:t>420 074</w:t>
            </w:r>
          </w:p>
        </w:tc>
        <w:tc>
          <w:tcPr>
            <w:tcW w:w="1304" w:type="dxa"/>
            <w:tcBorders>
              <w:top w:val="nil"/>
              <w:left w:val="nil"/>
              <w:bottom w:val="single" w:sz="4" w:space="0" w:color="auto"/>
              <w:right w:val="single" w:sz="4" w:space="0" w:color="auto"/>
            </w:tcBorders>
            <w:shd w:val="clear" w:color="auto" w:fill="auto"/>
            <w:noWrap/>
            <w:hideMark/>
          </w:tcPr>
          <w:p w14:paraId="38245A9D" w14:textId="77777777" w:rsidR="00A1757E" w:rsidRPr="00F7008B" w:rsidRDefault="00A1757E" w:rsidP="00A1757E">
            <w:pPr>
              <w:jc w:val="right"/>
              <w:rPr>
                <w:sz w:val="20"/>
                <w:szCs w:val="20"/>
                <w:lang w:eastAsia="en-CA"/>
              </w:rPr>
            </w:pPr>
            <w:r w:rsidRPr="00F7008B">
              <w:rPr>
                <w:sz w:val="20"/>
                <w:szCs w:val="20"/>
                <w:lang w:eastAsia="fr"/>
              </w:rPr>
              <w:t>168</w:t>
            </w:r>
          </w:p>
        </w:tc>
        <w:tc>
          <w:tcPr>
            <w:tcW w:w="1220" w:type="dxa"/>
            <w:tcBorders>
              <w:top w:val="nil"/>
              <w:left w:val="nil"/>
              <w:bottom w:val="single" w:sz="4" w:space="0" w:color="auto"/>
              <w:right w:val="single" w:sz="4" w:space="0" w:color="auto"/>
            </w:tcBorders>
            <w:shd w:val="clear" w:color="auto" w:fill="auto"/>
            <w:noWrap/>
            <w:hideMark/>
          </w:tcPr>
          <w:p w14:paraId="65B4FF64"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4236A099"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558C332D" w14:textId="77777777" w:rsidR="00A1757E" w:rsidRPr="00F7008B" w:rsidRDefault="00A1757E" w:rsidP="00A1757E">
            <w:pPr>
              <w:jc w:val="left"/>
              <w:rPr>
                <w:sz w:val="20"/>
                <w:szCs w:val="20"/>
                <w:lang w:eastAsia="en-CA"/>
              </w:rPr>
            </w:pPr>
            <w:proofErr w:type="spellStart"/>
            <w:r w:rsidRPr="00F7008B">
              <w:rPr>
                <w:sz w:val="20"/>
                <w:szCs w:val="20"/>
                <w:lang w:eastAsia="fr"/>
              </w:rPr>
              <w:t>Malaisie</w:t>
            </w:r>
            <w:proofErr w:type="spellEnd"/>
          </w:p>
        </w:tc>
        <w:tc>
          <w:tcPr>
            <w:tcW w:w="1475" w:type="dxa"/>
            <w:tcBorders>
              <w:top w:val="nil"/>
              <w:left w:val="nil"/>
              <w:bottom w:val="single" w:sz="4" w:space="0" w:color="auto"/>
              <w:right w:val="single" w:sz="4" w:space="0" w:color="auto"/>
            </w:tcBorders>
            <w:shd w:val="clear" w:color="auto" w:fill="auto"/>
            <w:noWrap/>
            <w:hideMark/>
          </w:tcPr>
          <w:p w14:paraId="7E942554" w14:textId="77777777" w:rsidR="00A1757E" w:rsidRPr="00F7008B" w:rsidRDefault="00A1757E" w:rsidP="00A1757E">
            <w:pPr>
              <w:jc w:val="right"/>
              <w:rPr>
                <w:sz w:val="20"/>
                <w:szCs w:val="20"/>
                <w:lang w:eastAsia="en-CA"/>
              </w:rPr>
            </w:pPr>
            <w:r w:rsidRPr="00F7008B">
              <w:rPr>
                <w:sz w:val="20"/>
                <w:szCs w:val="20"/>
                <w:lang w:eastAsia="fr"/>
              </w:rPr>
              <w:t>10,0</w:t>
            </w:r>
          </w:p>
        </w:tc>
        <w:tc>
          <w:tcPr>
            <w:tcW w:w="1230" w:type="dxa"/>
            <w:tcBorders>
              <w:top w:val="nil"/>
              <w:left w:val="nil"/>
              <w:bottom w:val="single" w:sz="4" w:space="0" w:color="auto"/>
              <w:right w:val="single" w:sz="4" w:space="0" w:color="auto"/>
            </w:tcBorders>
            <w:shd w:val="clear" w:color="auto" w:fill="auto"/>
            <w:noWrap/>
            <w:hideMark/>
          </w:tcPr>
          <w:p w14:paraId="1468FB82"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A856499" w14:textId="77777777" w:rsidR="00A1757E" w:rsidRPr="00F7008B" w:rsidRDefault="00A1757E" w:rsidP="00A1757E">
            <w:pPr>
              <w:jc w:val="right"/>
              <w:rPr>
                <w:sz w:val="20"/>
                <w:szCs w:val="20"/>
                <w:lang w:eastAsia="en-CA"/>
              </w:rPr>
            </w:pPr>
            <w:r w:rsidRPr="00F7008B">
              <w:rPr>
                <w:sz w:val="20"/>
                <w:szCs w:val="20"/>
                <w:lang w:eastAsia="fr"/>
              </w:rPr>
              <w:t>634 368</w:t>
            </w:r>
          </w:p>
        </w:tc>
        <w:tc>
          <w:tcPr>
            <w:tcW w:w="1017" w:type="dxa"/>
            <w:tcBorders>
              <w:top w:val="nil"/>
              <w:left w:val="nil"/>
              <w:bottom w:val="single" w:sz="4" w:space="0" w:color="auto"/>
              <w:right w:val="single" w:sz="4" w:space="0" w:color="auto"/>
            </w:tcBorders>
            <w:shd w:val="clear" w:color="auto" w:fill="auto"/>
            <w:noWrap/>
            <w:hideMark/>
          </w:tcPr>
          <w:p w14:paraId="0A71082B" w14:textId="77777777" w:rsidR="00A1757E" w:rsidRPr="00F7008B" w:rsidRDefault="00A1757E" w:rsidP="00A1757E">
            <w:pPr>
              <w:jc w:val="right"/>
              <w:rPr>
                <w:sz w:val="20"/>
                <w:szCs w:val="20"/>
                <w:lang w:eastAsia="en-CA"/>
              </w:rPr>
            </w:pPr>
            <w:r w:rsidRPr="00F7008B">
              <w:rPr>
                <w:sz w:val="20"/>
                <w:szCs w:val="20"/>
                <w:lang w:eastAsia="fr"/>
              </w:rPr>
              <w:t>834 646</w:t>
            </w:r>
          </w:p>
        </w:tc>
        <w:tc>
          <w:tcPr>
            <w:tcW w:w="1304" w:type="dxa"/>
            <w:tcBorders>
              <w:top w:val="nil"/>
              <w:left w:val="nil"/>
              <w:bottom w:val="single" w:sz="4" w:space="0" w:color="auto"/>
              <w:right w:val="single" w:sz="4" w:space="0" w:color="auto"/>
            </w:tcBorders>
            <w:shd w:val="clear" w:color="auto" w:fill="auto"/>
            <w:noWrap/>
            <w:hideMark/>
          </w:tcPr>
          <w:p w14:paraId="2D531125" w14:textId="77777777" w:rsidR="00A1757E" w:rsidRPr="00F7008B" w:rsidRDefault="00A1757E" w:rsidP="00A1757E">
            <w:pPr>
              <w:jc w:val="right"/>
              <w:rPr>
                <w:sz w:val="20"/>
                <w:szCs w:val="20"/>
                <w:lang w:eastAsia="en-CA"/>
              </w:rPr>
            </w:pPr>
            <w:r w:rsidRPr="00F7008B">
              <w:rPr>
                <w:sz w:val="20"/>
                <w:szCs w:val="20"/>
                <w:lang w:eastAsia="fr"/>
              </w:rPr>
              <w:t>132</w:t>
            </w:r>
          </w:p>
        </w:tc>
        <w:tc>
          <w:tcPr>
            <w:tcW w:w="1220" w:type="dxa"/>
            <w:tcBorders>
              <w:top w:val="nil"/>
              <w:left w:val="nil"/>
              <w:bottom w:val="single" w:sz="4" w:space="0" w:color="auto"/>
              <w:right w:val="single" w:sz="4" w:space="0" w:color="auto"/>
            </w:tcBorders>
            <w:shd w:val="clear" w:color="auto" w:fill="auto"/>
            <w:noWrap/>
            <w:hideMark/>
          </w:tcPr>
          <w:p w14:paraId="66C582C5"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33CF2B6C"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44BBF00A" w14:textId="77777777" w:rsidR="00A1757E" w:rsidRPr="00F7008B" w:rsidRDefault="00A1757E" w:rsidP="00A1757E">
            <w:pPr>
              <w:jc w:val="left"/>
              <w:rPr>
                <w:sz w:val="20"/>
                <w:szCs w:val="20"/>
                <w:lang w:eastAsia="en-CA"/>
              </w:rPr>
            </w:pPr>
            <w:r w:rsidRPr="00F7008B">
              <w:rPr>
                <w:sz w:val="20"/>
                <w:szCs w:val="20"/>
                <w:lang w:eastAsia="fr"/>
              </w:rPr>
              <w:t>Maldives</w:t>
            </w:r>
          </w:p>
        </w:tc>
        <w:tc>
          <w:tcPr>
            <w:tcW w:w="1475" w:type="dxa"/>
            <w:tcBorders>
              <w:top w:val="nil"/>
              <w:left w:val="nil"/>
              <w:bottom w:val="single" w:sz="4" w:space="0" w:color="auto"/>
              <w:right w:val="single" w:sz="4" w:space="0" w:color="auto"/>
            </w:tcBorders>
            <w:shd w:val="clear" w:color="auto" w:fill="auto"/>
            <w:noWrap/>
            <w:hideMark/>
          </w:tcPr>
          <w:p w14:paraId="78F47D08"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566D8E19"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3F12807" w14:textId="77777777" w:rsidR="00A1757E" w:rsidRPr="00F7008B" w:rsidRDefault="00A1757E" w:rsidP="00A1757E">
            <w:pPr>
              <w:jc w:val="right"/>
              <w:rPr>
                <w:sz w:val="20"/>
                <w:szCs w:val="20"/>
                <w:lang w:eastAsia="en-CA"/>
              </w:rPr>
            </w:pPr>
            <w:r w:rsidRPr="00F7008B">
              <w:rPr>
                <w:sz w:val="20"/>
                <w:szCs w:val="20"/>
                <w:lang w:eastAsia="fr"/>
              </w:rPr>
              <w:t>9 887</w:t>
            </w:r>
          </w:p>
        </w:tc>
        <w:tc>
          <w:tcPr>
            <w:tcW w:w="1017" w:type="dxa"/>
            <w:tcBorders>
              <w:top w:val="nil"/>
              <w:left w:val="nil"/>
              <w:bottom w:val="single" w:sz="4" w:space="0" w:color="auto"/>
              <w:right w:val="single" w:sz="4" w:space="0" w:color="auto"/>
            </w:tcBorders>
            <w:shd w:val="clear" w:color="auto" w:fill="auto"/>
            <w:noWrap/>
            <w:hideMark/>
          </w:tcPr>
          <w:p w14:paraId="1599714F" w14:textId="77777777" w:rsidR="00A1757E" w:rsidRPr="00F7008B" w:rsidRDefault="00A1757E" w:rsidP="00A1757E">
            <w:pPr>
              <w:jc w:val="right"/>
              <w:rPr>
                <w:sz w:val="20"/>
                <w:szCs w:val="20"/>
                <w:lang w:eastAsia="en-CA"/>
              </w:rPr>
            </w:pPr>
            <w:r w:rsidRPr="00F7008B">
              <w:rPr>
                <w:sz w:val="20"/>
                <w:szCs w:val="20"/>
                <w:lang w:eastAsia="fr"/>
              </w:rPr>
              <w:t>12 593</w:t>
            </w:r>
          </w:p>
        </w:tc>
        <w:tc>
          <w:tcPr>
            <w:tcW w:w="1304" w:type="dxa"/>
            <w:tcBorders>
              <w:top w:val="nil"/>
              <w:left w:val="nil"/>
              <w:bottom w:val="single" w:sz="4" w:space="0" w:color="auto"/>
              <w:right w:val="single" w:sz="4" w:space="0" w:color="auto"/>
            </w:tcBorders>
            <w:shd w:val="clear" w:color="auto" w:fill="auto"/>
            <w:noWrap/>
            <w:hideMark/>
          </w:tcPr>
          <w:p w14:paraId="3A9C923B" w14:textId="77777777" w:rsidR="00A1757E" w:rsidRPr="00F7008B" w:rsidRDefault="00A1757E" w:rsidP="00A1757E">
            <w:pPr>
              <w:jc w:val="right"/>
              <w:rPr>
                <w:sz w:val="20"/>
                <w:szCs w:val="20"/>
                <w:lang w:eastAsia="en-CA"/>
              </w:rPr>
            </w:pPr>
            <w:r w:rsidRPr="00F7008B">
              <w:rPr>
                <w:sz w:val="20"/>
                <w:szCs w:val="20"/>
                <w:lang w:eastAsia="fr"/>
              </w:rPr>
              <w:t>127</w:t>
            </w:r>
          </w:p>
        </w:tc>
        <w:tc>
          <w:tcPr>
            <w:tcW w:w="1220" w:type="dxa"/>
            <w:tcBorders>
              <w:top w:val="nil"/>
              <w:left w:val="nil"/>
              <w:bottom w:val="single" w:sz="4" w:space="0" w:color="auto"/>
              <w:right w:val="single" w:sz="4" w:space="0" w:color="auto"/>
            </w:tcBorders>
            <w:shd w:val="clear" w:color="auto" w:fill="auto"/>
            <w:noWrap/>
            <w:hideMark/>
          </w:tcPr>
          <w:p w14:paraId="23A2B38F"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5CDAF0C2"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DC1AA19" w14:textId="77777777" w:rsidR="00A1757E" w:rsidRPr="00F7008B" w:rsidRDefault="00A1757E" w:rsidP="00A1757E">
            <w:pPr>
              <w:jc w:val="left"/>
              <w:rPr>
                <w:sz w:val="20"/>
                <w:szCs w:val="20"/>
                <w:lang w:eastAsia="en-CA"/>
              </w:rPr>
            </w:pPr>
            <w:r w:rsidRPr="00F7008B">
              <w:rPr>
                <w:sz w:val="20"/>
                <w:szCs w:val="20"/>
                <w:lang w:eastAsia="fr"/>
              </w:rPr>
              <w:t>Mali</w:t>
            </w:r>
          </w:p>
        </w:tc>
        <w:tc>
          <w:tcPr>
            <w:tcW w:w="1475" w:type="dxa"/>
            <w:tcBorders>
              <w:top w:val="nil"/>
              <w:left w:val="nil"/>
              <w:bottom w:val="single" w:sz="4" w:space="0" w:color="auto"/>
              <w:right w:val="single" w:sz="4" w:space="0" w:color="auto"/>
            </w:tcBorders>
            <w:shd w:val="clear" w:color="auto" w:fill="auto"/>
            <w:noWrap/>
            <w:hideMark/>
          </w:tcPr>
          <w:p w14:paraId="79A74F14"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2291B5D8"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AF9D172" w14:textId="77777777" w:rsidR="00A1757E" w:rsidRPr="00F7008B" w:rsidRDefault="00A1757E" w:rsidP="00A1757E">
            <w:pPr>
              <w:jc w:val="right"/>
              <w:rPr>
                <w:sz w:val="20"/>
                <w:szCs w:val="20"/>
                <w:lang w:eastAsia="en-CA"/>
              </w:rPr>
            </w:pPr>
            <w:r w:rsidRPr="00F7008B">
              <w:rPr>
                <w:sz w:val="20"/>
                <w:szCs w:val="20"/>
                <w:lang w:eastAsia="fr"/>
              </w:rPr>
              <w:t>19 875</w:t>
            </w:r>
          </w:p>
        </w:tc>
        <w:tc>
          <w:tcPr>
            <w:tcW w:w="1017" w:type="dxa"/>
            <w:tcBorders>
              <w:top w:val="nil"/>
              <w:left w:val="nil"/>
              <w:bottom w:val="single" w:sz="4" w:space="0" w:color="auto"/>
              <w:right w:val="single" w:sz="4" w:space="0" w:color="auto"/>
            </w:tcBorders>
            <w:shd w:val="clear" w:color="auto" w:fill="auto"/>
            <w:noWrap/>
            <w:hideMark/>
          </w:tcPr>
          <w:p w14:paraId="6CE4E22C"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23C59112"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6D5B2658"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4296D007" w14:textId="77777777" w:rsidTr="00781759">
        <w:trPr>
          <w:trHeight w:val="65"/>
        </w:trPr>
        <w:tc>
          <w:tcPr>
            <w:tcW w:w="2235" w:type="dxa"/>
            <w:tcBorders>
              <w:top w:val="nil"/>
              <w:left w:val="single" w:sz="4" w:space="0" w:color="auto"/>
              <w:bottom w:val="single" w:sz="4" w:space="0" w:color="auto"/>
              <w:right w:val="single" w:sz="4" w:space="0" w:color="auto"/>
            </w:tcBorders>
            <w:shd w:val="clear" w:color="auto" w:fill="auto"/>
            <w:noWrap/>
            <w:hideMark/>
          </w:tcPr>
          <w:p w14:paraId="565326CE" w14:textId="77777777" w:rsidR="00A1757E" w:rsidRPr="00F7008B" w:rsidRDefault="00A1757E" w:rsidP="00A1757E">
            <w:pPr>
              <w:jc w:val="left"/>
              <w:rPr>
                <w:sz w:val="20"/>
                <w:szCs w:val="20"/>
                <w:lang w:eastAsia="en-CA"/>
              </w:rPr>
            </w:pPr>
            <w:proofErr w:type="spellStart"/>
            <w:r w:rsidRPr="00F7008B">
              <w:rPr>
                <w:sz w:val="20"/>
                <w:szCs w:val="20"/>
                <w:lang w:eastAsia="fr"/>
              </w:rPr>
              <w:t>Mauritanie</w:t>
            </w:r>
            <w:proofErr w:type="spellEnd"/>
          </w:p>
        </w:tc>
        <w:tc>
          <w:tcPr>
            <w:tcW w:w="1475" w:type="dxa"/>
            <w:tcBorders>
              <w:top w:val="nil"/>
              <w:left w:val="nil"/>
              <w:bottom w:val="single" w:sz="4" w:space="0" w:color="auto"/>
              <w:right w:val="single" w:sz="4" w:space="0" w:color="auto"/>
            </w:tcBorders>
            <w:shd w:val="clear" w:color="auto" w:fill="auto"/>
            <w:noWrap/>
            <w:hideMark/>
          </w:tcPr>
          <w:p w14:paraId="4F048EFE"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7CEE7E29"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46AED91" w14:textId="77777777" w:rsidR="00A1757E" w:rsidRPr="00F7008B" w:rsidRDefault="00A1757E" w:rsidP="00A1757E">
            <w:pPr>
              <w:jc w:val="right"/>
              <w:rPr>
                <w:sz w:val="20"/>
                <w:szCs w:val="20"/>
                <w:lang w:eastAsia="en-CA"/>
              </w:rPr>
            </w:pPr>
            <w:r w:rsidRPr="00F7008B">
              <w:rPr>
                <w:sz w:val="20"/>
                <w:szCs w:val="20"/>
                <w:lang w:eastAsia="fr"/>
              </w:rPr>
              <w:t>31 500</w:t>
            </w:r>
          </w:p>
        </w:tc>
        <w:tc>
          <w:tcPr>
            <w:tcW w:w="1017" w:type="dxa"/>
            <w:tcBorders>
              <w:top w:val="nil"/>
              <w:left w:val="nil"/>
              <w:bottom w:val="single" w:sz="4" w:space="0" w:color="auto"/>
              <w:right w:val="single" w:sz="4" w:space="0" w:color="auto"/>
            </w:tcBorders>
            <w:shd w:val="clear" w:color="auto" w:fill="auto"/>
            <w:noWrap/>
            <w:hideMark/>
          </w:tcPr>
          <w:p w14:paraId="7528CB7C"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39133EE5"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3260B1EE"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08171B4A"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EB76AD8" w14:textId="77777777" w:rsidR="00A1757E" w:rsidRPr="00F7008B" w:rsidRDefault="00A1757E" w:rsidP="00A1757E">
            <w:pPr>
              <w:jc w:val="left"/>
              <w:rPr>
                <w:sz w:val="20"/>
                <w:szCs w:val="20"/>
                <w:lang w:eastAsia="en-CA"/>
              </w:rPr>
            </w:pPr>
            <w:r w:rsidRPr="00F7008B">
              <w:rPr>
                <w:sz w:val="20"/>
                <w:szCs w:val="20"/>
                <w:lang w:eastAsia="fr"/>
              </w:rPr>
              <w:t>Mexico</w:t>
            </w:r>
          </w:p>
        </w:tc>
        <w:tc>
          <w:tcPr>
            <w:tcW w:w="1475" w:type="dxa"/>
            <w:tcBorders>
              <w:top w:val="nil"/>
              <w:left w:val="nil"/>
              <w:bottom w:val="single" w:sz="4" w:space="0" w:color="auto"/>
              <w:right w:val="single" w:sz="4" w:space="0" w:color="auto"/>
            </w:tcBorders>
            <w:shd w:val="clear" w:color="auto" w:fill="auto"/>
            <w:noWrap/>
            <w:hideMark/>
          </w:tcPr>
          <w:p w14:paraId="4D8AB330" w14:textId="6878A87C" w:rsidR="00A1757E" w:rsidRPr="00F7008B" w:rsidRDefault="0072197A" w:rsidP="00A1757E">
            <w:pPr>
              <w:jc w:val="right"/>
              <w:rPr>
                <w:sz w:val="20"/>
                <w:szCs w:val="20"/>
                <w:lang w:eastAsia="en-CA"/>
              </w:rPr>
            </w:pPr>
            <w:r w:rsidRPr="00F7008B">
              <w:rPr>
                <w:sz w:val="20"/>
                <w:szCs w:val="20"/>
                <w:lang w:eastAsia="fr"/>
              </w:rPr>
              <w:t>70,1</w:t>
            </w:r>
          </w:p>
        </w:tc>
        <w:tc>
          <w:tcPr>
            <w:tcW w:w="1230" w:type="dxa"/>
            <w:tcBorders>
              <w:top w:val="nil"/>
              <w:left w:val="nil"/>
              <w:bottom w:val="single" w:sz="4" w:space="0" w:color="auto"/>
              <w:right w:val="single" w:sz="4" w:space="0" w:color="auto"/>
            </w:tcBorders>
            <w:shd w:val="clear" w:color="auto" w:fill="auto"/>
            <w:noWrap/>
            <w:hideMark/>
          </w:tcPr>
          <w:p w14:paraId="5D0926A8"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31CDC4A" w14:textId="77777777" w:rsidR="00A1757E" w:rsidRPr="00F7008B" w:rsidRDefault="00A1757E" w:rsidP="00A1757E">
            <w:pPr>
              <w:jc w:val="right"/>
              <w:rPr>
                <w:sz w:val="20"/>
                <w:szCs w:val="20"/>
                <w:lang w:eastAsia="en-CA"/>
              </w:rPr>
            </w:pPr>
            <w:r w:rsidRPr="00F7008B">
              <w:rPr>
                <w:sz w:val="20"/>
                <w:szCs w:val="20"/>
                <w:lang w:eastAsia="fr"/>
              </w:rPr>
              <w:t>1 352 236</w:t>
            </w:r>
          </w:p>
        </w:tc>
        <w:tc>
          <w:tcPr>
            <w:tcW w:w="1017" w:type="dxa"/>
            <w:tcBorders>
              <w:top w:val="nil"/>
              <w:left w:val="nil"/>
              <w:bottom w:val="single" w:sz="4" w:space="0" w:color="auto"/>
              <w:right w:val="single" w:sz="4" w:space="0" w:color="auto"/>
            </w:tcBorders>
            <w:shd w:val="clear" w:color="auto" w:fill="auto"/>
            <w:noWrap/>
            <w:hideMark/>
          </w:tcPr>
          <w:p w14:paraId="453BD3E1" w14:textId="77777777" w:rsidR="00A1757E" w:rsidRPr="00F7008B" w:rsidRDefault="00A1757E" w:rsidP="00A1757E">
            <w:pPr>
              <w:jc w:val="right"/>
              <w:rPr>
                <w:sz w:val="20"/>
                <w:szCs w:val="20"/>
                <w:lang w:eastAsia="en-CA"/>
              </w:rPr>
            </w:pPr>
            <w:r w:rsidRPr="00F7008B">
              <w:rPr>
                <w:sz w:val="20"/>
                <w:szCs w:val="20"/>
                <w:lang w:eastAsia="fr"/>
              </w:rPr>
              <w:t>631 763</w:t>
            </w:r>
          </w:p>
        </w:tc>
        <w:tc>
          <w:tcPr>
            <w:tcW w:w="1304" w:type="dxa"/>
            <w:tcBorders>
              <w:top w:val="nil"/>
              <w:left w:val="nil"/>
              <w:bottom w:val="single" w:sz="4" w:space="0" w:color="auto"/>
              <w:right w:val="single" w:sz="4" w:space="0" w:color="auto"/>
            </w:tcBorders>
            <w:shd w:val="clear" w:color="auto" w:fill="auto"/>
            <w:noWrap/>
            <w:hideMark/>
          </w:tcPr>
          <w:p w14:paraId="233C4624" w14:textId="77777777" w:rsidR="00A1757E" w:rsidRPr="00F7008B" w:rsidRDefault="00A1757E" w:rsidP="00A1757E">
            <w:pPr>
              <w:jc w:val="right"/>
              <w:rPr>
                <w:sz w:val="20"/>
                <w:szCs w:val="20"/>
                <w:lang w:eastAsia="en-CA"/>
              </w:rPr>
            </w:pPr>
            <w:r w:rsidRPr="00F7008B">
              <w:rPr>
                <w:sz w:val="20"/>
                <w:szCs w:val="20"/>
                <w:lang w:eastAsia="fr"/>
              </w:rPr>
              <w:t>47</w:t>
            </w:r>
          </w:p>
        </w:tc>
        <w:tc>
          <w:tcPr>
            <w:tcW w:w="1220" w:type="dxa"/>
            <w:tcBorders>
              <w:top w:val="nil"/>
              <w:left w:val="nil"/>
              <w:bottom w:val="single" w:sz="4" w:space="0" w:color="auto"/>
              <w:right w:val="single" w:sz="4" w:space="0" w:color="auto"/>
            </w:tcBorders>
            <w:shd w:val="clear" w:color="auto" w:fill="auto"/>
            <w:noWrap/>
            <w:hideMark/>
          </w:tcPr>
          <w:p w14:paraId="5A5BA007"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1BD18A0F"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797EAB30" w14:textId="77777777" w:rsidR="00A1757E" w:rsidRPr="00F7008B" w:rsidRDefault="00A1757E" w:rsidP="00A1757E">
            <w:pPr>
              <w:jc w:val="left"/>
              <w:rPr>
                <w:sz w:val="20"/>
                <w:szCs w:val="20"/>
                <w:lang w:eastAsia="en-CA"/>
              </w:rPr>
            </w:pPr>
            <w:r w:rsidRPr="00F7008B">
              <w:rPr>
                <w:sz w:val="20"/>
                <w:szCs w:val="20"/>
                <w:lang w:eastAsia="fr"/>
              </w:rPr>
              <w:t>Mozambique</w:t>
            </w:r>
          </w:p>
        </w:tc>
        <w:tc>
          <w:tcPr>
            <w:tcW w:w="1475" w:type="dxa"/>
            <w:tcBorders>
              <w:top w:val="nil"/>
              <w:left w:val="nil"/>
              <w:bottom w:val="single" w:sz="4" w:space="0" w:color="auto"/>
              <w:right w:val="single" w:sz="4" w:space="0" w:color="auto"/>
            </w:tcBorders>
            <w:shd w:val="clear" w:color="auto" w:fill="auto"/>
            <w:noWrap/>
            <w:hideMark/>
          </w:tcPr>
          <w:p w14:paraId="0B7A5151"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6E8E5415"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653CAAA7" w14:textId="77777777" w:rsidR="00A1757E" w:rsidRPr="00F7008B" w:rsidRDefault="00A1757E" w:rsidP="00A1757E">
            <w:pPr>
              <w:jc w:val="right"/>
              <w:rPr>
                <w:sz w:val="20"/>
                <w:szCs w:val="20"/>
                <w:lang w:eastAsia="en-CA"/>
              </w:rPr>
            </w:pPr>
            <w:r w:rsidRPr="00F7008B">
              <w:rPr>
                <w:sz w:val="20"/>
                <w:szCs w:val="20"/>
                <w:lang w:eastAsia="fr"/>
              </w:rPr>
              <w:t>10 000</w:t>
            </w:r>
          </w:p>
        </w:tc>
        <w:tc>
          <w:tcPr>
            <w:tcW w:w="1017" w:type="dxa"/>
            <w:tcBorders>
              <w:top w:val="nil"/>
              <w:left w:val="nil"/>
              <w:bottom w:val="single" w:sz="4" w:space="0" w:color="auto"/>
              <w:right w:val="single" w:sz="4" w:space="0" w:color="auto"/>
            </w:tcBorders>
            <w:shd w:val="clear" w:color="auto" w:fill="auto"/>
            <w:noWrap/>
            <w:hideMark/>
          </w:tcPr>
          <w:p w14:paraId="636BC0C7"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37CF72A7"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2C6E3AC6"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7903EA0E" w14:textId="77777777" w:rsidTr="00781759">
        <w:trPr>
          <w:trHeight w:val="60"/>
        </w:trPr>
        <w:tc>
          <w:tcPr>
            <w:tcW w:w="2235" w:type="dxa"/>
            <w:tcBorders>
              <w:top w:val="nil"/>
              <w:left w:val="single" w:sz="4" w:space="0" w:color="auto"/>
              <w:bottom w:val="single" w:sz="4" w:space="0" w:color="auto"/>
              <w:right w:val="single" w:sz="4" w:space="0" w:color="auto"/>
            </w:tcBorders>
            <w:shd w:val="clear" w:color="auto" w:fill="auto"/>
            <w:noWrap/>
            <w:hideMark/>
          </w:tcPr>
          <w:p w14:paraId="50AA29E7" w14:textId="77777777" w:rsidR="00A1757E" w:rsidRPr="00F7008B" w:rsidRDefault="00A1757E" w:rsidP="00A1757E">
            <w:pPr>
              <w:jc w:val="left"/>
              <w:rPr>
                <w:sz w:val="20"/>
                <w:szCs w:val="20"/>
                <w:lang w:eastAsia="en-CA"/>
              </w:rPr>
            </w:pPr>
            <w:proofErr w:type="spellStart"/>
            <w:r w:rsidRPr="00F7008B">
              <w:rPr>
                <w:sz w:val="20"/>
                <w:szCs w:val="20"/>
                <w:lang w:eastAsia="fr"/>
              </w:rPr>
              <w:t>Népal</w:t>
            </w:r>
            <w:proofErr w:type="spellEnd"/>
          </w:p>
        </w:tc>
        <w:tc>
          <w:tcPr>
            <w:tcW w:w="1475" w:type="dxa"/>
            <w:tcBorders>
              <w:top w:val="nil"/>
              <w:left w:val="nil"/>
              <w:bottom w:val="single" w:sz="4" w:space="0" w:color="auto"/>
              <w:right w:val="single" w:sz="4" w:space="0" w:color="auto"/>
            </w:tcBorders>
            <w:shd w:val="clear" w:color="auto" w:fill="auto"/>
            <w:noWrap/>
            <w:hideMark/>
          </w:tcPr>
          <w:p w14:paraId="2B16758F"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17A8C558"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0A78501" w14:textId="77777777" w:rsidR="00A1757E" w:rsidRPr="00F7008B" w:rsidRDefault="00A1757E" w:rsidP="00A1757E">
            <w:pPr>
              <w:jc w:val="right"/>
              <w:rPr>
                <w:sz w:val="20"/>
                <w:szCs w:val="20"/>
                <w:lang w:eastAsia="en-CA"/>
              </w:rPr>
            </w:pPr>
            <w:r w:rsidRPr="00F7008B">
              <w:rPr>
                <w:sz w:val="20"/>
                <w:szCs w:val="20"/>
                <w:lang w:eastAsia="fr"/>
              </w:rPr>
              <w:t>8 179</w:t>
            </w:r>
          </w:p>
        </w:tc>
        <w:tc>
          <w:tcPr>
            <w:tcW w:w="1017" w:type="dxa"/>
            <w:tcBorders>
              <w:top w:val="nil"/>
              <w:left w:val="nil"/>
              <w:bottom w:val="single" w:sz="4" w:space="0" w:color="auto"/>
              <w:right w:val="single" w:sz="4" w:space="0" w:color="auto"/>
            </w:tcBorders>
            <w:shd w:val="clear" w:color="auto" w:fill="auto"/>
            <w:noWrap/>
            <w:hideMark/>
          </w:tcPr>
          <w:p w14:paraId="75A64E80" w14:textId="77777777" w:rsidR="00A1757E" w:rsidRPr="00F7008B" w:rsidRDefault="00A1757E" w:rsidP="00A1757E">
            <w:pPr>
              <w:jc w:val="right"/>
              <w:rPr>
                <w:sz w:val="20"/>
                <w:szCs w:val="20"/>
                <w:lang w:eastAsia="en-CA"/>
              </w:rPr>
            </w:pPr>
            <w:r w:rsidRPr="00F7008B">
              <w:rPr>
                <w:sz w:val="20"/>
                <w:szCs w:val="20"/>
                <w:lang w:eastAsia="fr"/>
              </w:rPr>
              <w:t>9 000</w:t>
            </w:r>
          </w:p>
        </w:tc>
        <w:tc>
          <w:tcPr>
            <w:tcW w:w="1304" w:type="dxa"/>
            <w:tcBorders>
              <w:top w:val="nil"/>
              <w:left w:val="nil"/>
              <w:bottom w:val="single" w:sz="4" w:space="0" w:color="auto"/>
              <w:right w:val="single" w:sz="4" w:space="0" w:color="auto"/>
            </w:tcBorders>
            <w:shd w:val="clear" w:color="auto" w:fill="auto"/>
            <w:noWrap/>
            <w:hideMark/>
          </w:tcPr>
          <w:p w14:paraId="081E8E39" w14:textId="77777777" w:rsidR="00A1757E" w:rsidRPr="00F7008B" w:rsidRDefault="00A1757E" w:rsidP="00A1757E">
            <w:pPr>
              <w:jc w:val="right"/>
              <w:rPr>
                <w:sz w:val="20"/>
                <w:szCs w:val="20"/>
                <w:lang w:eastAsia="en-CA"/>
              </w:rPr>
            </w:pPr>
            <w:r w:rsidRPr="00F7008B">
              <w:rPr>
                <w:sz w:val="20"/>
                <w:szCs w:val="20"/>
                <w:lang w:eastAsia="fr"/>
              </w:rPr>
              <w:t>110</w:t>
            </w:r>
          </w:p>
        </w:tc>
        <w:tc>
          <w:tcPr>
            <w:tcW w:w="1220" w:type="dxa"/>
            <w:tcBorders>
              <w:top w:val="nil"/>
              <w:left w:val="nil"/>
              <w:bottom w:val="single" w:sz="4" w:space="0" w:color="auto"/>
              <w:right w:val="single" w:sz="4" w:space="0" w:color="auto"/>
            </w:tcBorders>
            <w:shd w:val="clear" w:color="auto" w:fill="auto"/>
            <w:noWrap/>
            <w:hideMark/>
          </w:tcPr>
          <w:p w14:paraId="1742CECA"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5544158D"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63710A6" w14:textId="77777777" w:rsidR="00A1757E" w:rsidRPr="00F7008B" w:rsidRDefault="00A1757E" w:rsidP="00A1757E">
            <w:pPr>
              <w:jc w:val="left"/>
              <w:rPr>
                <w:sz w:val="20"/>
                <w:szCs w:val="20"/>
                <w:lang w:eastAsia="en-CA"/>
              </w:rPr>
            </w:pPr>
            <w:proofErr w:type="spellStart"/>
            <w:r w:rsidRPr="00F7008B">
              <w:rPr>
                <w:sz w:val="20"/>
                <w:szCs w:val="20"/>
                <w:lang w:eastAsia="fr"/>
              </w:rPr>
              <w:t>Nigéria</w:t>
            </w:r>
            <w:proofErr w:type="spellEnd"/>
          </w:p>
        </w:tc>
        <w:tc>
          <w:tcPr>
            <w:tcW w:w="1475" w:type="dxa"/>
            <w:tcBorders>
              <w:top w:val="nil"/>
              <w:left w:val="nil"/>
              <w:bottom w:val="single" w:sz="4" w:space="0" w:color="auto"/>
              <w:right w:val="single" w:sz="4" w:space="0" w:color="auto"/>
            </w:tcBorders>
            <w:shd w:val="clear" w:color="auto" w:fill="auto"/>
            <w:noWrap/>
            <w:hideMark/>
          </w:tcPr>
          <w:p w14:paraId="298689FF" w14:textId="77777777" w:rsidR="00A1757E" w:rsidRPr="00F7008B" w:rsidRDefault="00A1757E" w:rsidP="00A1757E">
            <w:pPr>
              <w:jc w:val="right"/>
              <w:rPr>
                <w:sz w:val="20"/>
                <w:szCs w:val="20"/>
                <w:lang w:eastAsia="en-CA"/>
              </w:rPr>
            </w:pPr>
            <w:r w:rsidRPr="00F7008B">
              <w:rPr>
                <w:sz w:val="20"/>
                <w:szCs w:val="20"/>
                <w:lang w:eastAsia="fr"/>
              </w:rPr>
              <w:t>5,0</w:t>
            </w:r>
          </w:p>
        </w:tc>
        <w:tc>
          <w:tcPr>
            <w:tcW w:w="1230" w:type="dxa"/>
            <w:tcBorders>
              <w:top w:val="nil"/>
              <w:left w:val="nil"/>
              <w:bottom w:val="single" w:sz="4" w:space="0" w:color="auto"/>
              <w:right w:val="single" w:sz="4" w:space="0" w:color="auto"/>
            </w:tcBorders>
            <w:shd w:val="clear" w:color="auto" w:fill="auto"/>
            <w:noWrap/>
            <w:hideMark/>
          </w:tcPr>
          <w:p w14:paraId="2968BF60" w14:textId="77777777" w:rsidR="00A1757E" w:rsidRPr="00F7008B" w:rsidRDefault="00A1757E" w:rsidP="00A1757E">
            <w:pPr>
              <w:jc w:val="right"/>
              <w:rPr>
                <w:sz w:val="20"/>
                <w:szCs w:val="20"/>
                <w:lang w:eastAsia="en-CA"/>
              </w:rPr>
            </w:pPr>
            <w:r w:rsidRPr="00F7008B">
              <w:rPr>
                <w:sz w:val="20"/>
                <w:szCs w:val="20"/>
                <w:lang w:eastAsia="fr"/>
              </w:rPr>
              <w:t>11</w:t>
            </w:r>
          </w:p>
        </w:tc>
        <w:tc>
          <w:tcPr>
            <w:tcW w:w="1095" w:type="dxa"/>
            <w:tcBorders>
              <w:top w:val="nil"/>
              <w:left w:val="nil"/>
              <w:bottom w:val="single" w:sz="4" w:space="0" w:color="auto"/>
              <w:right w:val="single" w:sz="4" w:space="0" w:color="auto"/>
            </w:tcBorders>
            <w:shd w:val="clear" w:color="auto" w:fill="auto"/>
            <w:noWrap/>
            <w:hideMark/>
          </w:tcPr>
          <w:p w14:paraId="32828125" w14:textId="77777777" w:rsidR="00A1757E" w:rsidRPr="00F7008B" w:rsidRDefault="00A1757E" w:rsidP="00A1757E">
            <w:pPr>
              <w:jc w:val="right"/>
              <w:rPr>
                <w:sz w:val="20"/>
                <w:szCs w:val="20"/>
                <w:lang w:eastAsia="en-CA"/>
              </w:rPr>
            </w:pPr>
            <w:r w:rsidRPr="00F7008B">
              <w:rPr>
                <w:sz w:val="20"/>
                <w:szCs w:val="20"/>
                <w:lang w:eastAsia="fr"/>
              </w:rPr>
              <w:t>952 954</w:t>
            </w:r>
          </w:p>
        </w:tc>
        <w:tc>
          <w:tcPr>
            <w:tcW w:w="1017" w:type="dxa"/>
            <w:tcBorders>
              <w:top w:val="nil"/>
              <w:left w:val="nil"/>
              <w:bottom w:val="single" w:sz="4" w:space="0" w:color="auto"/>
              <w:right w:val="single" w:sz="4" w:space="0" w:color="auto"/>
            </w:tcBorders>
            <w:shd w:val="clear" w:color="auto" w:fill="auto"/>
            <w:noWrap/>
            <w:hideMark/>
          </w:tcPr>
          <w:p w14:paraId="53A135EB" w14:textId="77777777" w:rsidR="00A1757E" w:rsidRPr="00F7008B" w:rsidRDefault="00A1757E" w:rsidP="00A1757E">
            <w:pPr>
              <w:jc w:val="right"/>
              <w:rPr>
                <w:sz w:val="20"/>
                <w:szCs w:val="20"/>
                <w:lang w:eastAsia="en-CA"/>
              </w:rPr>
            </w:pPr>
            <w:r w:rsidRPr="00F7008B">
              <w:rPr>
                <w:sz w:val="20"/>
                <w:szCs w:val="20"/>
                <w:lang w:eastAsia="fr"/>
              </w:rPr>
              <w:t>660 512</w:t>
            </w:r>
          </w:p>
        </w:tc>
        <w:tc>
          <w:tcPr>
            <w:tcW w:w="1304" w:type="dxa"/>
            <w:tcBorders>
              <w:top w:val="nil"/>
              <w:left w:val="nil"/>
              <w:bottom w:val="single" w:sz="4" w:space="0" w:color="auto"/>
              <w:right w:val="single" w:sz="4" w:space="0" w:color="auto"/>
            </w:tcBorders>
            <w:shd w:val="clear" w:color="auto" w:fill="auto"/>
            <w:noWrap/>
            <w:hideMark/>
          </w:tcPr>
          <w:p w14:paraId="6A9E4B2A" w14:textId="77777777" w:rsidR="00A1757E" w:rsidRPr="00F7008B" w:rsidRDefault="00A1757E" w:rsidP="00A1757E">
            <w:pPr>
              <w:jc w:val="right"/>
              <w:rPr>
                <w:sz w:val="20"/>
                <w:szCs w:val="20"/>
                <w:lang w:eastAsia="en-CA"/>
              </w:rPr>
            </w:pPr>
            <w:r w:rsidRPr="00F7008B">
              <w:rPr>
                <w:sz w:val="20"/>
                <w:szCs w:val="20"/>
                <w:lang w:eastAsia="fr"/>
              </w:rPr>
              <w:t>69</w:t>
            </w:r>
          </w:p>
        </w:tc>
        <w:tc>
          <w:tcPr>
            <w:tcW w:w="1220" w:type="dxa"/>
            <w:tcBorders>
              <w:top w:val="nil"/>
              <w:left w:val="nil"/>
              <w:bottom w:val="single" w:sz="4" w:space="0" w:color="auto"/>
              <w:right w:val="single" w:sz="4" w:space="0" w:color="auto"/>
            </w:tcBorders>
            <w:shd w:val="clear" w:color="auto" w:fill="auto"/>
            <w:noWrap/>
            <w:hideMark/>
          </w:tcPr>
          <w:p w14:paraId="55B67F72" w14:textId="77777777" w:rsidR="00A1757E" w:rsidRPr="00F7008B" w:rsidRDefault="00A1757E" w:rsidP="00A1757E">
            <w:pPr>
              <w:jc w:val="right"/>
              <w:rPr>
                <w:sz w:val="20"/>
                <w:szCs w:val="20"/>
                <w:lang w:eastAsia="en-CA"/>
              </w:rPr>
            </w:pPr>
            <w:r w:rsidRPr="00F7008B">
              <w:rPr>
                <w:sz w:val="20"/>
                <w:szCs w:val="20"/>
                <w:lang w:eastAsia="fr"/>
              </w:rPr>
              <w:t>25</w:t>
            </w:r>
          </w:p>
        </w:tc>
      </w:tr>
      <w:tr w:rsidR="00A1757E" w:rsidRPr="00F7008B" w14:paraId="64D19668"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FFB9399" w14:textId="77777777" w:rsidR="00A1757E" w:rsidRPr="00F7008B" w:rsidRDefault="00A1757E" w:rsidP="00A1757E">
            <w:pPr>
              <w:jc w:val="left"/>
              <w:rPr>
                <w:sz w:val="20"/>
                <w:szCs w:val="20"/>
                <w:lang w:eastAsia="en-CA"/>
              </w:rPr>
            </w:pPr>
            <w:r w:rsidRPr="00F7008B">
              <w:rPr>
                <w:sz w:val="20"/>
                <w:szCs w:val="20"/>
                <w:lang w:eastAsia="fr"/>
              </w:rPr>
              <w:t>Pakistan</w:t>
            </w:r>
          </w:p>
        </w:tc>
        <w:tc>
          <w:tcPr>
            <w:tcW w:w="1475" w:type="dxa"/>
            <w:tcBorders>
              <w:top w:val="nil"/>
              <w:left w:val="nil"/>
              <w:bottom w:val="single" w:sz="4" w:space="0" w:color="auto"/>
              <w:right w:val="single" w:sz="4" w:space="0" w:color="auto"/>
            </w:tcBorders>
            <w:shd w:val="clear" w:color="auto" w:fill="auto"/>
            <w:noWrap/>
            <w:hideMark/>
          </w:tcPr>
          <w:p w14:paraId="615A1219"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577527CA"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44846100" w14:textId="77777777" w:rsidR="00A1757E" w:rsidRPr="00F7008B" w:rsidRDefault="00A1757E" w:rsidP="00A1757E">
            <w:pPr>
              <w:jc w:val="right"/>
              <w:rPr>
                <w:sz w:val="20"/>
                <w:szCs w:val="20"/>
                <w:lang w:eastAsia="en-CA"/>
              </w:rPr>
            </w:pPr>
            <w:r w:rsidRPr="00F7008B">
              <w:rPr>
                <w:sz w:val="20"/>
                <w:szCs w:val="20"/>
                <w:lang w:eastAsia="fr"/>
              </w:rPr>
              <w:t>84 324</w:t>
            </w:r>
          </w:p>
        </w:tc>
        <w:tc>
          <w:tcPr>
            <w:tcW w:w="1017" w:type="dxa"/>
            <w:tcBorders>
              <w:top w:val="nil"/>
              <w:left w:val="nil"/>
              <w:bottom w:val="single" w:sz="4" w:space="0" w:color="auto"/>
              <w:right w:val="single" w:sz="4" w:space="0" w:color="auto"/>
            </w:tcBorders>
            <w:shd w:val="clear" w:color="auto" w:fill="auto"/>
            <w:noWrap/>
            <w:hideMark/>
          </w:tcPr>
          <w:p w14:paraId="258A1711" w14:textId="77777777" w:rsidR="00A1757E" w:rsidRPr="00F7008B" w:rsidRDefault="00A1757E" w:rsidP="00A1757E">
            <w:pPr>
              <w:jc w:val="right"/>
              <w:rPr>
                <w:sz w:val="20"/>
                <w:szCs w:val="20"/>
                <w:lang w:eastAsia="en-CA"/>
              </w:rPr>
            </w:pPr>
            <w:r w:rsidRPr="00F7008B">
              <w:rPr>
                <w:sz w:val="20"/>
                <w:szCs w:val="20"/>
                <w:lang w:eastAsia="fr"/>
              </w:rPr>
              <w:t>166 380</w:t>
            </w:r>
          </w:p>
        </w:tc>
        <w:tc>
          <w:tcPr>
            <w:tcW w:w="1304" w:type="dxa"/>
            <w:tcBorders>
              <w:top w:val="nil"/>
              <w:left w:val="nil"/>
              <w:bottom w:val="single" w:sz="4" w:space="0" w:color="auto"/>
              <w:right w:val="single" w:sz="4" w:space="0" w:color="auto"/>
            </w:tcBorders>
            <w:shd w:val="clear" w:color="auto" w:fill="auto"/>
            <w:noWrap/>
            <w:hideMark/>
          </w:tcPr>
          <w:p w14:paraId="3DA3A764" w14:textId="77777777" w:rsidR="00A1757E" w:rsidRPr="00F7008B" w:rsidRDefault="00A1757E" w:rsidP="00A1757E">
            <w:pPr>
              <w:jc w:val="right"/>
              <w:rPr>
                <w:sz w:val="20"/>
                <w:szCs w:val="20"/>
                <w:lang w:eastAsia="en-CA"/>
              </w:rPr>
            </w:pPr>
            <w:r w:rsidRPr="00F7008B">
              <w:rPr>
                <w:sz w:val="20"/>
                <w:szCs w:val="20"/>
                <w:lang w:eastAsia="fr"/>
              </w:rPr>
              <w:t>197</w:t>
            </w:r>
          </w:p>
        </w:tc>
        <w:tc>
          <w:tcPr>
            <w:tcW w:w="1220" w:type="dxa"/>
            <w:tcBorders>
              <w:top w:val="nil"/>
              <w:left w:val="nil"/>
              <w:bottom w:val="single" w:sz="4" w:space="0" w:color="auto"/>
              <w:right w:val="single" w:sz="4" w:space="0" w:color="auto"/>
            </w:tcBorders>
            <w:shd w:val="clear" w:color="auto" w:fill="auto"/>
            <w:noWrap/>
            <w:hideMark/>
          </w:tcPr>
          <w:p w14:paraId="4A59745B"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2CCB5961"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5783FB55" w14:textId="77777777" w:rsidR="00A1757E" w:rsidRPr="00F7008B" w:rsidRDefault="00A1757E" w:rsidP="00A1757E">
            <w:pPr>
              <w:jc w:val="left"/>
              <w:rPr>
                <w:sz w:val="20"/>
                <w:szCs w:val="20"/>
                <w:lang w:eastAsia="en-CA"/>
              </w:rPr>
            </w:pPr>
            <w:r w:rsidRPr="00F7008B">
              <w:rPr>
                <w:sz w:val="20"/>
                <w:szCs w:val="20"/>
                <w:lang w:eastAsia="fr"/>
              </w:rPr>
              <w:lastRenderedPageBreak/>
              <w:t>Panama</w:t>
            </w:r>
          </w:p>
        </w:tc>
        <w:tc>
          <w:tcPr>
            <w:tcW w:w="1475" w:type="dxa"/>
            <w:tcBorders>
              <w:top w:val="nil"/>
              <w:left w:val="nil"/>
              <w:bottom w:val="single" w:sz="4" w:space="0" w:color="auto"/>
              <w:right w:val="single" w:sz="4" w:space="0" w:color="auto"/>
            </w:tcBorders>
            <w:shd w:val="clear" w:color="auto" w:fill="auto"/>
            <w:noWrap/>
            <w:hideMark/>
          </w:tcPr>
          <w:p w14:paraId="7D4DC6C3" w14:textId="77777777" w:rsidR="00A1757E" w:rsidRPr="00F7008B" w:rsidRDefault="00A1757E" w:rsidP="00A1757E">
            <w:pPr>
              <w:jc w:val="right"/>
              <w:rPr>
                <w:sz w:val="20"/>
                <w:szCs w:val="20"/>
                <w:lang w:eastAsia="en-CA"/>
              </w:rPr>
            </w:pPr>
            <w:r w:rsidRPr="00F7008B">
              <w:rPr>
                <w:sz w:val="20"/>
                <w:szCs w:val="20"/>
                <w:lang w:eastAsia="fr"/>
              </w:rPr>
              <w:t>1,4</w:t>
            </w:r>
          </w:p>
        </w:tc>
        <w:tc>
          <w:tcPr>
            <w:tcW w:w="1230" w:type="dxa"/>
            <w:tcBorders>
              <w:top w:val="nil"/>
              <w:left w:val="nil"/>
              <w:bottom w:val="single" w:sz="4" w:space="0" w:color="auto"/>
              <w:right w:val="single" w:sz="4" w:space="0" w:color="auto"/>
            </w:tcBorders>
            <w:shd w:val="clear" w:color="auto" w:fill="auto"/>
            <w:noWrap/>
            <w:hideMark/>
          </w:tcPr>
          <w:p w14:paraId="2BCF33B5" w14:textId="77777777" w:rsidR="00A1757E" w:rsidRPr="00F7008B" w:rsidRDefault="00A1757E" w:rsidP="00A1757E">
            <w:pPr>
              <w:jc w:val="right"/>
              <w:rPr>
                <w:sz w:val="20"/>
                <w:szCs w:val="20"/>
                <w:lang w:eastAsia="en-CA"/>
              </w:rPr>
            </w:pPr>
            <w:r w:rsidRPr="00F7008B">
              <w:rPr>
                <w:sz w:val="20"/>
                <w:szCs w:val="20"/>
                <w:lang w:eastAsia="fr"/>
              </w:rPr>
              <w:t>16</w:t>
            </w:r>
          </w:p>
        </w:tc>
        <w:tc>
          <w:tcPr>
            <w:tcW w:w="1095" w:type="dxa"/>
            <w:tcBorders>
              <w:top w:val="nil"/>
              <w:left w:val="nil"/>
              <w:bottom w:val="single" w:sz="4" w:space="0" w:color="auto"/>
              <w:right w:val="single" w:sz="4" w:space="0" w:color="auto"/>
            </w:tcBorders>
            <w:shd w:val="clear" w:color="auto" w:fill="auto"/>
            <w:noWrap/>
            <w:hideMark/>
          </w:tcPr>
          <w:p w14:paraId="46FF6CD0" w14:textId="77777777" w:rsidR="00A1757E" w:rsidRPr="00F7008B" w:rsidRDefault="00A1757E" w:rsidP="00A1757E">
            <w:pPr>
              <w:jc w:val="right"/>
              <w:rPr>
                <w:sz w:val="20"/>
                <w:szCs w:val="20"/>
                <w:lang w:eastAsia="en-CA"/>
              </w:rPr>
            </w:pPr>
            <w:r w:rsidRPr="00F7008B">
              <w:rPr>
                <w:sz w:val="20"/>
                <w:szCs w:val="20"/>
                <w:lang w:eastAsia="fr"/>
              </w:rPr>
              <w:t>302 710</w:t>
            </w:r>
          </w:p>
        </w:tc>
        <w:tc>
          <w:tcPr>
            <w:tcW w:w="1017" w:type="dxa"/>
            <w:tcBorders>
              <w:top w:val="nil"/>
              <w:left w:val="nil"/>
              <w:bottom w:val="single" w:sz="4" w:space="0" w:color="auto"/>
              <w:right w:val="single" w:sz="4" w:space="0" w:color="auto"/>
            </w:tcBorders>
            <w:shd w:val="clear" w:color="auto" w:fill="auto"/>
            <w:noWrap/>
            <w:hideMark/>
          </w:tcPr>
          <w:p w14:paraId="4FFE3B08" w14:textId="77777777" w:rsidR="00A1757E" w:rsidRPr="00F7008B" w:rsidRDefault="00A1757E" w:rsidP="00A1757E">
            <w:pPr>
              <w:jc w:val="right"/>
              <w:rPr>
                <w:sz w:val="20"/>
                <w:szCs w:val="20"/>
                <w:lang w:eastAsia="en-CA"/>
              </w:rPr>
            </w:pPr>
            <w:r w:rsidRPr="00F7008B">
              <w:rPr>
                <w:sz w:val="20"/>
                <w:szCs w:val="20"/>
                <w:lang w:eastAsia="fr"/>
              </w:rPr>
              <w:t>248 251</w:t>
            </w:r>
          </w:p>
        </w:tc>
        <w:tc>
          <w:tcPr>
            <w:tcW w:w="1304" w:type="dxa"/>
            <w:tcBorders>
              <w:top w:val="nil"/>
              <w:left w:val="nil"/>
              <w:bottom w:val="single" w:sz="4" w:space="0" w:color="auto"/>
              <w:right w:val="single" w:sz="4" w:space="0" w:color="auto"/>
            </w:tcBorders>
            <w:shd w:val="clear" w:color="auto" w:fill="auto"/>
            <w:noWrap/>
            <w:hideMark/>
          </w:tcPr>
          <w:p w14:paraId="672B8915" w14:textId="77777777" w:rsidR="00A1757E" w:rsidRPr="00F7008B" w:rsidRDefault="00A1757E" w:rsidP="00A1757E">
            <w:pPr>
              <w:jc w:val="right"/>
              <w:rPr>
                <w:sz w:val="20"/>
                <w:szCs w:val="20"/>
                <w:lang w:eastAsia="en-CA"/>
              </w:rPr>
            </w:pPr>
            <w:r w:rsidRPr="00F7008B">
              <w:rPr>
                <w:sz w:val="20"/>
                <w:szCs w:val="20"/>
                <w:lang w:eastAsia="fr"/>
              </w:rPr>
              <w:t>82</w:t>
            </w:r>
          </w:p>
        </w:tc>
        <w:tc>
          <w:tcPr>
            <w:tcW w:w="1220" w:type="dxa"/>
            <w:tcBorders>
              <w:top w:val="nil"/>
              <w:left w:val="nil"/>
              <w:bottom w:val="single" w:sz="4" w:space="0" w:color="auto"/>
              <w:right w:val="single" w:sz="4" w:space="0" w:color="auto"/>
            </w:tcBorders>
            <w:shd w:val="clear" w:color="auto" w:fill="auto"/>
            <w:noWrap/>
            <w:hideMark/>
          </w:tcPr>
          <w:p w14:paraId="0C36C90B" w14:textId="77777777" w:rsidR="00A1757E" w:rsidRPr="00F7008B" w:rsidRDefault="00A1757E" w:rsidP="00A1757E">
            <w:pPr>
              <w:jc w:val="right"/>
              <w:rPr>
                <w:sz w:val="20"/>
                <w:szCs w:val="20"/>
                <w:lang w:eastAsia="en-CA"/>
              </w:rPr>
            </w:pPr>
            <w:r w:rsidRPr="00F7008B">
              <w:rPr>
                <w:sz w:val="20"/>
                <w:szCs w:val="20"/>
                <w:lang w:eastAsia="fr"/>
              </w:rPr>
              <w:t>0</w:t>
            </w:r>
          </w:p>
        </w:tc>
      </w:tr>
      <w:tr w:rsidR="00A1757E" w:rsidRPr="00F7008B" w14:paraId="380B3C45" w14:textId="77777777" w:rsidTr="00781759">
        <w:trPr>
          <w:trHeight w:val="89"/>
        </w:trPr>
        <w:tc>
          <w:tcPr>
            <w:tcW w:w="2235" w:type="dxa"/>
            <w:tcBorders>
              <w:top w:val="nil"/>
              <w:left w:val="single" w:sz="4" w:space="0" w:color="auto"/>
              <w:bottom w:val="single" w:sz="4" w:space="0" w:color="auto"/>
              <w:right w:val="single" w:sz="4" w:space="0" w:color="auto"/>
            </w:tcBorders>
            <w:shd w:val="clear" w:color="auto" w:fill="auto"/>
            <w:noWrap/>
            <w:hideMark/>
          </w:tcPr>
          <w:p w14:paraId="1030A26D" w14:textId="77777777" w:rsidR="00A1757E" w:rsidRPr="00F7008B" w:rsidRDefault="00A1757E" w:rsidP="00A1757E">
            <w:pPr>
              <w:jc w:val="left"/>
              <w:rPr>
                <w:sz w:val="20"/>
                <w:szCs w:val="20"/>
                <w:lang w:eastAsia="en-CA"/>
              </w:rPr>
            </w:pPr>
            <w:r w:rsidRPr="00F7008B">
              <w:rPr>
                <w:sz w:val="20"/>
                <w:szCs w:val="20"/>
                <w:lang w:eastAsia="fr"/>
              </w:rPr>
              <w:t>Paraguay</w:t>
            </w:r>
          </w:p>
        </w:tc>
        <w:tc>
          <w:tcPr>
            <w:tcW w:w="1475" w:type="dxa"/>
            <w:tcBorders>
              <w:top w:val="nil"/>
              <w:left w:val="nil"/>
              <w:bottom w:val="single" w:sz="4" w:space="0" w:color="auto"/>
              <w:right w:val="single" w:sz="4" w:space="0" w:color="auto"/>
            </w:tcBorders>
            <w:shd w:val="clear" w:color="auto" w:fill="auto"/>
            <w:noWrap/>
            <w:hideMark/>
          </w:tcPr>
          <w:p w14:paraId="34D3EE50"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416A4E2D"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2645E965" w14:textId="77777777" w:rsidR="00A1757E" w:rsidRPr="00F7008B" w:rsidRDefault="00A1757E" w:rsidP="00A1757E">
            <w:pPr>
              <w:jc w:val="right"/>
              <w:rPr>
                <w:sz w:val="20"/>
                <w:szCs w:val="20"/>
                <w:lang w:eastAsia="en-CA"/>
              </w:rPr>
            </w:pPr>
            <w:r w:rsidRPr="00F7008B">
              <w:rPr>
                <w:sz w:val="20"/>
                <w:szCs w:val="20"/>
                <w:lang w:eastAsia="fr"/>
              </w:rPr>
              <w:t>22 321</w:t>
            </w:r>
          </w:p>
        </w:tc>
        <w:tc>
          <w:tcPr>
            <w:tcW w:w="1017" w:type="dxa"/>
            <w:tcBorders>
              <w:top w:val="nil"/>
              <w:left w:val="nil"/>
              <w:bottom w:val="single" w:sz="4" w:space="0" w:color="auto"/>
              <w:right w:val="single" w:sz="4" w:space="0" w:color="auto"/>
            </w:tcBorders>
            <w:shd w:val="clear" w:color="auto" w:fill="auto"/>
            <w:noWrap/>
            <w:hideMark/>
          </w:tcPr>
          <w:p w14:paraId="63178162" w14:textId="77777777" w:rsidR="00A1757E" w:rsidRPr="00F7008B" w:rsidRDefault="00A1757E" w:rsidP="00A1757E">
            <w:pPr>
              <w:jc w:val="right"/>
              <w:rPr>
                <w:sz w:val="20"/>
                <w:szCs w:val="20"/>
                <w:lang w:eastAsia="en-CA"/>
              </w:rPr>
            </w:pPr>
            <w:r w:rsidRPr="00F7008B">
              <w:rPr>
                <w:sz w:val="20"/>
                <w:szCs w:val="20"/>
                <w:lang w:eastAsia="fr"/>
              </w:rPr>
              <w:t>3 280</w:t>
            </w:r>
          </w:p>
        </w:tc>
        <w:tc>
          <w:tcPr>
            <w:tcW w:w="1304" w:type="dxa"/>
            <w:tcBorders>
              <w:top w:val="nil"/>
              <w:left w:val="nil"/>
              <w:bottom w:val="single" w:sz="4" w:space="0" w:color="auto"/>
              <w:right w:val="single" w:sz="4" w:space="0" w:color="auto"/>
            </w:tcBorders>
            <w:shd w:val="clear" w:color="auto" w:fill="auto"/>
            <w:noWrap/>
            <w:hideMark/>
          </w:tcPr>
          <w:p w14:paraId="17CB8790" w14:textId="77777777" w:rsidR="00A1757E" w:rsidRPr="00F7008B" w:rsidRDefault="00A1757E" w:rsidP="00A1757E">
            <w:pPr>
              <w:jc w:val="right"/>
              <w:rPr>
                <w:sz w:val="20"/>
                <w:szCs w:val="20"/>
                <w:lang w:eastAsia="en-CA"/>
              </w:rPr>
            </w:pPr>
            <w:r w:rsidRPr="00F7008B">
              <w:rPr>
                <w:sz w:val="20"/>
                <w:szCs w:val="20"/>
                <w:lang w:eastAsia="fr"/>
              </w:rPr>
              <w:t>15</w:t>
            </w:r>
          </w:p>
        </w:tc>
        <w:tc>
          <w:tcPr>
            <w:tcW w:w="1220" w:type="dxa"/>
            <w:tcBorders>
              <w:top w:val="nil"/>
              <w:left w:val="nil"/>
              <w:bottom w:val="single" w:sz="4" w:space="0" w:color="auto"/>
              <w:right w:val="single" w:sz="4" w:space="0" w:color="auto"/>
            </w:tcBorders>
            <w:shd w:val="clear" w:color="auto" w:fill="auto"/>
            <w:noWrap/>
            <w:hideMark/>
          </w:tcPr>
          <w:p w14:paraId="761C558F"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4BBDC331"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2213FD82" w14:textId="77777777" w:rsidR="00A1757E" w:rsidRPr="00F7008B" w:rsidRDefault="00A1757E" w:rsidP="00A1757E">
            <w:pPr>
              <w:jc w:val="left"/>
              <w:rPr>
                <w:sz w:val="20"/>
                <w:szCs w:val="20"/>
                <w:lang w:eastAsia="en-CA"/>
              </w:rPr>
            </w:pPr>
            <w:proofErr w:type="spellStart"/>
            <w:r w:rsidRPr="00F7008B">
              <w:rPr>
                <w:sz w:val="20"/>
                <w:szCs w:val="20"/>
                <w:lang w:eastAsia="fr"/>
              </w:rPr>
              <w:t>Pérou</w:t>
            </w:r>
            <w:proofErr w:type="spellEnd"/>
          </w:p>
        </w:tc>
        <w:tc>
          <w:tcPr>
            <w:tcW w:w="1475" w:type="dxa"/>
            <w:tcBorders>
              <w:top w:val="nil"/>
              <w:left w:val="nil"/>
              <w:bottom w:val="single" w:sz="4" w:space="0" w:color="auto"/>
              <w:right w:val="single" w:sz="4" w:space="0" w:color="auto"/>
            </w:tcBorders>
            <w:shd w:val="clear" w:color="auto" w:fill="auto"/>
            <w:noWrap/>
            <w:hideMark/>
          </w:tcPr>
          <w:p w14:paraId="73F120EA"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0488B629"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0BC0EDD5" w14:textId="77777777" w:rsidR="00A1757E" w:rsidRPr="00F7008B" w:rsidRDefault="00A1757E" w:rsidP="00A1757E">
            <w:pPr>
              <w:jc w:val="right"/>
              <w:rPr>
                <w:sz w:val="20"/>
                <w:szCs w:val="20"/>
                <w:lang w:eastAsia="en-CA"/>
              </w:rPr>
            </w:pPr>
            <w:r w:rsidRPr="00F7008B">
              <w:rPr>
                <w:sz w:val="20"/>
                <w:szCs w:val="20"/>
                <w:lang w:eastAsia="fr"/>
              </w:rPr>
              <w:t>73 975</w:t>
            </w:r>
          </w:p>
        </w:tc>
        <w:tc>
          <w:tcPr>
            <w:tcW w:w="1017" w:type="dxa"/>
            <w:tcBorders>
              <w:top w:val="nil"/>
              <w:left w:val="nil"/>
              <w:bottom w:val="single" w:sz="4" w:space="0" w:color="auto"/>
              <w:right w:val="single" w:sz="4" w:space="0" w:color="auto"/>
            </w:tcBorders>
            <w:shd w:val="clear" w:color="auto" w:fill="auto"/>
            <w:noWrap/>
            <w:hideMark/>
          </w:tcPr>
          <w:p w14:paraId="0370BAEE" w14:textId="77777777" w:rsidR="00A1757E" w:rsidRPr="00F7008B" w:rsidRDefault="00A1757E" w:rsidP="00A1757E">
            <w:pPr>
              <w:jc w:val="right"/>
              <w:rPr>
                <w:sz w:val="20"/>
                <w:szCs w:val="20"/>
                <w:lang w:eastAsia="en-CA"/>
              </w:rPr>
            </w:pPr>
            <w:r w:rsidRPr="00F7008B">
              <w:rPr>
                <w:sz w:val="20"/>
                <w:szCs w:val="20"/>
                <w:lang w:eastAsia="fr"/>
              </w:rPr>
              <w:t>231 576</w:t>
            </w:r>
          </w:p>
        </w:tc>
        <w:tc>
          <w:tcPr>
            <w:tcW w:w="1304" w:type="dxa"/>
            <w:tcBorders>
              <w:top w:val="nil"/>
              <w:left w:val="nil"/>
              <w:bottom w:val="single" w:sz="4" w:space="0" w:color="auto"/>
              <w:right w:val="single" w:sz="4" w:space="0" w:color="auto"/>
            </w:tcBorders>
            <w:shd w:val="clear" w:color="auto" w:fill="auto"/>
            <w:noWrap/>
            <w:hideMark/>
          </w:tcPr>
          <w:p w14:paraId="16BFF8EE" w14:textId="77777777" w:rsidR="00A1757E" w:rsidRPr="00F7008B" w:rsidRDefault="00A1757E" w:rsidP="00A1757E">
            <w:pPr>
              <w:jc w:val="right"/>
              <w:rPr>
                <w:sz w:val="20"/>
                <w:szCs w:val="20"/>
                <w:lang w:eastAsia="en-CA"/>
              </w:rPr>
            </w:pPr>
            <w:r w:rsidRPr="00F7008B">
              <w:rPr>
                <w:sz w:val="20"/>
                <w:szCs w:val="20"/>
                <w:lang w:eastAsia="fr"/>
              </w:rPr>
              <w:t>313</w:t>
            </w:r>
          </w:p>
        </w:tc>
        <w:tc>
          <w:tcPr>
            <w:tcW w:w="1220" w:type="dxa"/>
            <w:tcBorders>
              <w:top w:val="nil"/>
              <w:left w:val="nil"/>
              <w:bottom w:val="single" w:sz="4" w:space="0" w:color="auto"/>
              <w:right w:val="single" w:sz="4" w:space="0" w:color="auto"/>
            </w:tcBorders>
            <w:shd w:val="clear" w:color="auto" w:fill="auto"/>
            <w:noWrap/>
            <w:hideMark/>
          </w:tcPr>
          <w:p w14:paraId="5DBD8C57"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327DBFAE"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49F6039F" w14:textId="77777777" w:rsidR="00A1757E" w:rsidRPr="00F7008B" w:rsidRDefault="00A1757E" w:rsidP="00A1757E">
            <w:pPr>
              <w:jc w:val="left"/>
              <w:rPr>
                <w:sz w:val="20"/>
                <w:szCs w:val="20"/>
                <w:lang w:eastAsia="en-CA"/>
              </w:rPr>
            </w:pPr>
            <w:proofErr w:type="spellStart"/>
            <w:r w:rsidRPr="00F7008B">
              <w:rPr>
                <w:sz w:val="20"/>
                <w:szCs w:val="20"/>
                <w:lang w:eastAsia="fr"/>
              </w:rPr>
              <w:t>République</w:t>
            </w:r>
            <w:proofErr w:type="spellEnd"/>
            <w:r w:rsidRPr="00F7008B">
              <w:rPr>
                <w:sz w:val="20"/>
                <w:szCs w:val="20"/>
                <w:lang w:eastAsia="fr"/>
              </w:rPr>
              <w:t xml:space="preserve"> de Moldova</w:t>
            </w:r>
          </w:p>
        </w:tc>
        <w:tc>
          <w:tcPr>
            <w:tcW w:w="1475" w:type="dxa"/>
            <w:tcBorders>
              <w:top w:val="nil"/>
              <w:left w:val="nil"/>
              <w:bottom w:val="single" w:sz="4" w:space="0" w:color="auto"/>
              <w:right w:val="single" w:sz="4" w:space="0" w:color="auto"/>
            </w:tcBorders>
            <w:shd w:val="clear" w:color="auto" w:fill="auto"/>
            <w:noWrap/>
            <w:hideMark/>
          </w:tcPr>
          <w:p w14:paraId="7DF5B5E9"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5650B2F7"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70EE895D" w14:textId="77777777" w:rsidR="00A1757E" w:rsidRPr="00F7008B" w:rsidRDefault="00A1757E" w:rsidP="00A1757E">
            <w:pPr>
              <w:jc w:val="right"/>
              <w:rPr>
                <w:sz w:val="20"/>
                <w:szCs w:val="20"/>
                <w:lang w:eastAsia="en-CA"/>
              </w:rPr>
            </w:pPr>
            <w:r w:rsidRPr="00F7008B">
              <w:rPr>
                <w:sz w:val="20"/>
                <w:szCs w:val="20"/>
                <w:lang w:eastAsia="fr"/>
              </w:rPr>
              <w:t>46 359</w:t>
            </w:r>
          </w:p>
        </w:tc>
        <w:tc>
          <w:tcPr>
            <w:tcW w:w="1017" w:type="dxa"/>
            <w:tcBorders>
              <w:top w:val="nil"/>
              <w:left w:val="nil"/>
              <w:bottom w:val="single" w:sz="4" w:space="0" w:color="auto"/>
              <w:right w:val="single" w:sz="4" w:space="0" w:color="auto"/>
            </w:tcBorders>
            <w:shd w:val="clear" w:color="auto" w:fill="auto"/>
            <w:noWrap/>
            <w:hideMark/>
          </w:tcPr>
          <w:p w14:paraId="0A18BA9C" w14:textId="77777777" w:rsidR="00A1757E" w:rsidRPr="00F7008B" w:rsidRDefault="00A1757E" w:rsidP="00A1757E">
            <w:pPr>
              <w:jc w:val="right"/>
              <w:rPr>
                <w:sz w:val="20"/>
                <w:szCs w:val="20"/>
                <w:lang w:eastAsia="en-CA"/>
              </w:rPr>
            </w:pPr>
            <w:r w:rsidRPr="00F7008B">
              <w:rPr>
                <w:sz w:val="20"/>
                <w:szCs w:val="20"/>
                <w:lang w:eastAsia="fr"/>
              </w:rPr>
              <w:t>50 072</w:t>
            </w:r>
          </w:p>
        </w:tc>
        <w:tc>
          <w:tcPr>
            <w:tcW w:w="1304" w:type="dxa"/>
            <w:tcBorders>
              <w:top w:val="nil"/>
              <w:left w:val="nil"/>
              <w:bottom w:val="single" w:sz="4" w:space="0" w:color="auto"/>
              <w:right w:val="single" w:sz="4" w:space="0" w:color="auto"/>
            </w:tcBorders>
            <w:shd w:val="clear" w:color="auto" w:fill="auto"/>
            <w:noWrap/>
            <w:hideMark/>
          </w:tcPr>
          <w:p w14:paraId="71BBB608" w14:textId="77777777" w:rsidR="00A1757E" w:rsidRPr="00F7008B" w:rsidRDefault="00A1757E" w:rsidP="00A1757E">
            <w:pPr>
              <w:jc w:val="right"/>
              <w:rPr>
                <w:sz w:val="20"/>
                <w:szCs w:val="20"/>
                <w:lang w:eastAsia="en-CA"/>
              </w:rPr>
            </w:pPr>
            <w:r w:rsidRPr="00F7008B">
              <w:rPr>
                <w:sz w:val="20"/>
                <w:szCs w:val="20"/>
                <w:lang w:eastAsia="fr"/>
              </w:rPr>
              <w:t>108</w:t>
            </w:r>
          </w:p>
        </w:tc>
        <w:tc>
          <w:tcPr>
            <w:tcW w:w="1220" w:type="dxa"/>
            <w:tcBorders>
              <w:top w:val="nil"/>
              <w:left w:val="nil"/>
              <w:bottom w:val="single" w:sz="4" w:space="0" w:color="auto"/>
              <w:right w:val="single" w:sz="4" w:space="0" w:color="auto"/>
            </w:tcBorders>
            <w:shd w:val="clear" w:color="auto" w:fill="auto"/>
            <w:noWrap/>
            <w:hideMark/>
          </w:tcPr>
          <w:p w14:paraId="4943360F"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1922E332"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1D2F5513" w14:textId="77777777" w:rsidR="00A1757E" w:rsidRPr="00F7008B" w:rsidRDefault="00A1757E" w:rsidP="00A1757E">
            <w:pPr>
              <w:jc w:val="left"/>
              <w:rPr>
                <w:sz w:val="20"/>
                <w:szCs w:val="20"/>
                <w:lang w:eastAsia="en-CA"/>
              </w:rPr>
            </w:pPr>
            <w:r w:rsidRPr="00F7008B">
              <w:rPr>
                <w:sz w:val="20"/>
                <w:szCs w:val="20"/>
                <w:lang w:eastAsia="fr"/>
              </w:rPr>
              <w:t>Saint-Kitts-et-Nevis</w:t>
            </w:r>
          </w:p>
        </w:tc>
        <w:tc>
          <w:tcPr>
            <w:tcW w:w="1475" w:type="dxa"/>
            <w:tcBorders>
              <w:top w:val="nil"/>
              <w:left w:val="nil"/>
              <w:bottom w:val="single" w:sz="4" w:space="0" w:color="auto"/>
              <w:right w:val="single" w:sz="4" w:space="0" w:color="auto"/>
            </w:tcBorders>
            <w:shd w:val="clear" w:color="auto" w:fill="auto"/>
            <w:noWrap/>
            <w:hideMark/>
          </w:tcPr>
          <w:p w14:paraId="3BDF6BBB"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0534B6C2"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253F170" w14:textId="77777777" w:rsidR="00A1757E" w:rsidRPr="00F7008B" w:rsidRDefault="00A1757E" w:rsidP="00A1757E">
            <w:pPr>
              <w:jc w:val="right"/>
              <w:rPr>
                <w:sz w:val="20"/>
                <w:szCs w:val="20"/>
                <w:lang w:eastAsia="en-CA"/>
              </w:rPr>
            </w:pPr>
            <w:r w:rsidRPr="00F7008B">
              <w:rPr>
                <w:sz w:val="20"/>
                <w:szCs w:val="20"/>
                <w:lang w:eastAsia="fr"/>
              </w:rPr>
              <w:t>40</w:t>
            </w:r>
          </w:p>
        </w:tc>
        <w:tc>
          <w:tcPr>
            <w:tcW w:w="1017" w:type="dxa"/>
            <w:tcBorders>
              <w:top w:val="nil"/>
              <w:left w:val="nil"/>
              <w:bottom w:val="single" w:sz="4" w:space="0" w:color="auto"/>
              <w:right w:val="single" w:sz="4" w:space="0" w:color="auto"/>
            </w:tcBorders>
            <w:shd w:val="clear" w:color="auto" w:fill="auto"/>
            <w:noWrap/>
            <w:hideMark/>
          </w:tcPr>
          <w:p w14:paraId="79624208"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498C1FC5"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1FABB3F1"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44C10872"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6A72A2F1" w14:textId="77777777" w:rsidR="00A1757E" w:rsidRPr="00F7008B" w:rsidRDefault="00A1757E" w:rsidP="00A1757E">
            <w:pPr>
              <w:jc w:val="left"/>
              <w:rPr>
                <w:sz w:val="20"/>
                <w:szCs w:val="20"/>
                <w:lang w:eastAsia="en-CA"/>
              </w:rPr>
            </w:pPr>
            <w:r w:rsidRPr="00F7008B">
              <w:rPr>
                <w:sz w:val="20"/>
                <w:szCs w:val="20"/>
                <w:lang w:eastAsia="fr"/>
              </w:rPr>
              <w:t>Sri Lanka</w:t>
            </w:r>
          </w:p>
        </w:tc>
        <w:tc>
          <w:tcPr>
            <w:tcW w:w="1475" w:type="dxa"/>
            <w:tcBorders>
              <w:top w:val="nil"/>
              <w:left w:val="nil"/>
              <w:bottom w:val="single" w:sz="4" w:space="0" w:color="auto"/>
              <w:right w:val="single" w:sz="4" w:space="0" w:color="auto"/>
            </w:tcBorders>
            <w:shd w:val="clear" w:color="auto" w:fill="auto"/>
            <w:noWrap/>
            <w:hideMark/>
          </w:tcPr>
          <w:p w14:paraId="4AE1F714"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59D099F3"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32AED765" w14:textId="77777777" w:rsidR="00A1757E" w:rsidRPr="00F7008B" w:rsidRDefault="00A1757E" w:rsidP="00A1757E">
            <w:pPr>
              <w:jc w:val="right"/>
              <w:rPr>
                <w:sz w:val="20"/>
                <w:szCs w:val="20"/>
                <w:lang w:eastAsia="en-CA"/>
              </w:rPr>
            </w:pPr>
            <w:r w:rsidRPr="00F7008B">
              <w:rPr>
                <w:sz w:val="20"/>
                <w:szCs w:val="20"/>
                <w:lang w:eastAsia="fr"/>
              </w:rPr>
              <w:t>63 050</w:t>
            </w:r>
          </w:p>
        </w:tc>
        <w:tc>
          <w:tcPr>
            <w:tcW w:w="1017" w:type="dxa"/>
            <w:tcBorders>
              <w:top w:val="nil"/>
              <w:left w:val="nil"/>
              <w:bottom w:val="single" w:sz="4" w:space="0" w:color="auto"/>
              <w:right w:val="single" w:sz="4" w:space="0" w:color="auto"/>
            </w:tcBorders>
            <w:shd w:val="clear" w:color="auto" w:fill="auto"/>
            <w:noWrap/>
            <w:hideMark/>
          </w:tcPr>
          <w:p w14:paraId="788A088B" w14:textId="77777777" w:rsidR="00A1757E" w:rsidRPr="00F7008B" w:rsidRDefault="00A1757E" w:rsidP="00A1757E">
            <w:pPr>
              <w:jc w:val="right"/>
              <w:rPr>
                <w:sz w:val="20"/>
                <w:szCs w:val="20"/>
                <w:lang w:eastAsia="en-CA"/>
              </w:rPr>
            </w:pPr>
            <w:r w:rsidRPr="00F7008B">
              <w:rPr>
                <w:sz w:val="20"/>
                <w:szCs w:val="20"/>
                <w:lang w:eastAsia="fr"/>
              </w:rPr>
              <w:t>94 493</w:t>
            </w:r>
          </w:p>
        </w:tc>
        <w:tc>
          <w:tcPr>
            <w:tcW w:w="1304" w:type="dxa"/>
            <w:tcBorders>
              <w:top w:val="nil"/>
              <w:left w:val="nil"/>
              <w:bottom w:val="single" w:sz="4" w:space="0" w:color="auto"/>
              <w:right w:val="single" w:sz="4" w:space="0" w:color="auto"/>
            </w:tcBorders>
            <w:shd w:val="clear" w:color="auto" w:fill="auto"/>
            <w:noWrap/>
            <w:hideMark/>
          </w:tcPr>
          <w:p w14:paraId="6276A7F1" w14:textId="77777777" w:rsidR="00A1757E" w:rsidRPr="00F7008B" w:rsidRDefault="00A1757E" w:rsidP="00A1757E">
            <w:pPr>
              <w:jc w:val="right"/>
              <w:rPr>
                <w:sz w:val="20"/>
                <w:szCs w:val="20"/>
                <w:lang w:eastAsia="en-CA"/>
              </w:rPr>
            </w:pPr>
            <w:r w:rsidRPr="00F7008B">
              <w:rPr>
                <w:sz w:val="20"/>
                <w:szCs w:val="20"/>
                <w:lang w:eastAsia="fr"/>
              </w:rPr>
              <w:t>150</w:t>
            </w:r>
          </w:p>
        </w:tc>
        <w:tc>
          <w:tcPr>
            <w:tcW w:w="1220" w:type="dxa"/>
            <w:tcBorders>
              <w:top w:val="nil"/>
              <w:left w:val="nil"/>
              <w:bottom w:val="single" w:sz="4" w:space="0" w:color="auto"/>
              <w:right w:val="single" w:sz="4" w:space="0" w:color="auto"/>
            </w:tcBorders>
            <w:shd w:val="clear" w:color="auto" w:fill="auto"/>
            <w:noWrap/>
            <w:hideMark/>
          </w:tcPr>
          <w:p w14:paraId="7D15B4AB"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67043D59"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3C6DCEDD" w14:textId="53F95B30" w:rsidR="00A1757E" w:rsidRPr="00F7008B" w:rsidRDefault="00F7008B" w:rsidP="00A1757E">
            <w:pPr>
              <w:jc w:val="left"/>
              <w:rPr>
                <w:sz w:val="20"/>
                <w:szCs w:val="20"/>
                <w:lang w:eastAsia="en-CA"/>
              </w:rPr>
            </w:pPr>
            <w:r>
              <w:rPr>
                <w:sz w:val="20"/>
                <w:szCs w:val="20"/>
                <w:lang w:eastAsia="fr"/>
              </w:rPr>
              <w:t>Timor-Leste</w:t>
            </w:r>
          </w:p>
        </w:tc>
        <w:tc>
          <w:tcPr>
            <w:tcW w:w="1475" w:type="dxa"/>
            <w:tcBorders>
              <w:top w:val="nil"/>
              <w:left w:val="nil"/>
              <w:bottom w:val="single" w:sz="4" w:space="0" w:color="auto"/>
              <w:right w:val="single" w:sz="4" w:space="0" w:color="auto"/>
            </w:tcBorders>
            <w:shd w:val="clear" w:color="auto" w:fill="auto"/>
            <w:noWrap/>
            <w:hideMark/>
          </w:tcPr>
          <w:p w14:paraId="5BA5B8C5"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7FAE3827"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59AD2129" w14:textId="77777777" w:rsidR="00A1757E" w:rsidRPr="00F7008B" w:rsidRDefault="00A1757E" w:rsidP="00A1757E">
            <w:pPr>
              <w:jc w:val="right"/>
              <w:rPr>
                <w:sz w:val="20"/>
                <w:szCs w:val="20"/>
                <w:lang w:eastAsia="en-CA"/>
              </w:rPr>
            </w:pPr>
            <w:r w:rsidRPr="00F7008B">
              <w:rPr>
                <w:sz w:val="20"/>
                <w:szCs w:val="20"/>
                <w:lang w:eastAsia="fr"/>
              </w:rPr>
              <w:t>18 321</w:t>
            </w:r>
          </w:p>
        </w:tc>
        <w:tc>
          <w:tcPr>
            <w:tcW w:w="1017" w:type="dxa"/>
            <w:tcBorders>
              <w:top w:val="nil"/>
              <w:left w:val="nil"/>
              <w:bottom w:val="single" w:sz="4" w:space="0" w:color="auto"/>
              <w:right w:val="single" w:sz="4" w:space="0" w:color="auto"/>
            </w:tcBorders>
            <w:shd w:val="clear" w:color="auto" w:fill="auto"/>
            <w:noWrap/>
            <w:hideMark/>
          </w:tcPr>
          <w:p w14:paraId="61DDF86F" w14:textId="77777777" w:rsidR="00A1757E" w:rsidRPr="00F7008B" w:rsidRDefault="00A1757E" w:rsidP="00A1757E">
            <w:pPr>
              <w:jc w:val="right"/>
              <w:rPr>
                <w:sz w:val="20"/>
                <w:szCs w:val="20"/>
                <w:lang w:eastAsia="en-CA"/>
              </w:rPr>
            </w:pPr>
            <w:r w:rsidRPr="00F7008B">
              <w:rPr>
                <w:sz w:val="20"/>
                <w:szCs w:val="20"/>
                <w:lang w:eastAsia="fr"/>
              </w:rPr>
              <w:t>0</w:t>
            </w:r>
          </w:p>
        </w:tc>
        <w:tc>
          <w:tcPr>
            <w:tcW w:w="1304" w:type="dxa"/>
            <w:tcBorders>
              <w:top w:val="nil"/>
              <w:left w:val="nil"/>
              <w:bottom w:val="single" w:sz="4" w:space="0" w:color="auto"/>
              <w:right w:val="single" w:sz="4" w:space="0" w:color="auto"/>
            </w:tcBorders>
            <w:shd w:val="clear" w:color="auto" w:fill="auto"/>
            <w:noWrap/>
            <w:hideMark/>
          </w:tcPr>
          <w:p w14:paraId="1B90B2A9" w14:textId="77777777" w:rsidR="00A1757E" w:rsidRPr="00F7008B" w:rsidRDefault="00A1757E" w:rsidP="00A1757E">
            <w:pPr>
              <w:jc w:val="right"/>
              <w:rPr>
                <w:sz w:val="20"/>
                <w:szCs w:val="20"/>
                <w:lang w:eastAsia="en-CA"/>
              </w:rPr>
            </w:pPr>
            <w:r w:rsidRPr="00F7008B">
              <w:rPr>
                <w:sz w:val="20"/>
                <w:szCs w:val="20"/>
                <w:lang w:eastAsia="fr"/>
              </w:rPr>
              <w:t>0</w:t>
            </w:r>
          </w:p>
        </w:tc>
        <w:tc>
          <w:tcPr>
            <w:tcW w:w="1220" w:type="dxa"/>
            <w:tcBorders>
              <w:top w:val="nil"/>
              <w:left w:val="nil"/>
              <w:bottom w:val="single" w:sz="4" w:space="0" w:color="auto"/>
              <w:right w:val="single" w:sz="4" w:space="0" w:color="auto"/>
            </w:tcBorders>
            <w:shd w:val="clear" w:color="auto" w:fill="auto"/>
            <w:noWrap/>
            <w:hideMark/>
          </w:tcPr>
          <w:p w14:paraId="1922CC4C"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276CD975"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28B272F3" w14:textId="77777777" w:rsidR="00A1757E" w:rsidRPr="00F7008B" w:rsidRDefault="00A1757E" w:rsidP="00A1757E">
            <w:pPr>
              <w:jc w:val="left"/>
              <w:rPr>
                <w:sz w:val="20"/>
                <w:szCs w:val="20"/>
                <w:lang w:eastAsia="en-CA"/>
              </w:rPr>
            </w:pPr>
            <w:proofErr w:type="spellStart"/>
            <w:r w:rsidRPr="00F7008B">
              <w:rPr>
                <w:sz w:val="20"/>
                <w:szCs w:val="20"/>
                <w:lang w:eastAsia="fr"/>
              </w:rPr>
              <w:t>Trinité</w:t>
            </w:r>
            <w:proofErr w:type="spellEnd"/>
            <w:r w:rsidRPr="00F7008B">
              <w:rPr>
                <w:sz w:val="20"/>
                <w:szCs w:val="20"/>
                <w:lang w:eastAsia="fr"/>
              </w:rPr>
              <w:t>-et-Tobago</w:t>
            </w:r>
          </w:p>
        </w:tc>
        <w:tc>
          <w:tcPr>
            <w:tcW w:w="1475" w:type="dxa"/>
            <w:tcBorders>
              <w:top w:val="nil"/>
              <w:left w:val="nil"/>
              <w:bottom w:val="single" w:sz="4" w:space="0" w:color="auto"/>
              <w:right w:val="single" w:sz="4" w:space="0" w:color="auto"/>
            </w:tcBorders>
            <w:shd w:val="clear" w:color="auto" w:fill="auto"/>
            <w:noWrap/>
            <w:hideMark/>
          </w:tcPr>
          <w:p w14:paraId="60F0922B" w14:textId="77777777" w:rsidR="00A1757E" w:rsidRPr="00F7008B" w:rsidRDefault="00A1757E" w:rsidP="00A1757E">
            <w:pPr>
              <w:jc w:val="right"/>
              <w:rPr>
                <w:sz w:val="20"/>
                <w:szCs w:val="20"/>
                <w:lang w:eastAsia="en-CA"/>
              </w:rPr>
            </w:pPr>
            <w:r w:rsidRPr="00F7008B">
              <w:rPr>
                <w:sz w:val="20"/>
                <w:szCs w:val="20"/>
                <w:lang w:eastAsia="fr"/>
              </w:rPr>
              <w:t>7,2</w:t>
            </w:r>
          </w:p>
        </w:tc>
        <w:tc>
          <w:tcPr>
            <w:tcW w:w="1230" w:type="dxa"/>
            <w:tcBorders>
              <w:top w:val="nil"/>
              <w:left w:val="nil"/>
              <w:bottom w:val="single" w:sz="4" w:space="0" w:color="auto"/>
              <w:right w:val="single" w:sz="4" w:space="0" w:color="auto"/>
            </w:tcBorders>
            <w:shd w:val="clear" w:color="auto" w:fill="auto"/>
            <w:noWrap/>
            <w:hideMark/>
          </w:tcPr>
          <w:p w14:paraId="082456D0"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75231F35" w14:textId="77777777" w:rsidR="00A1757E" w:rsidRPr="00F7008B" w:rsidRDefault="00A1757E" w:rsidP="00A1757E">
            <w:pPr>
              <w:jc w:val="right"/>
              <w:rPr>
                <w:sz w:val="20"/>
                <w:szCs w:val="20"/>
                <w:lang w:eastAsia="en-CA"/>
              </w:rPr>
            </w:pPr>
            <w:r w:rsidRPr="00F7008B">
              <w:rPr>
                <w:sz w:val="20"/>
                <w:szCs w:val="20"/>
                <w:lang w:eastAsia="fr"/>
              </w:rPr>
              <w:t>135 972</w:t>
            </w:r>
          </w:p>
        </w:tc>
        <w:tc>
          <w:tcPr>
            <w:tcW w:w="1017" w:type="dxa"/>
            <w:tcBorders>
              <w:top w:val="nil"/>
              <w:left w:val="nil"/>
              <w:bottom w:val="single" w:sz="4" w:space="0" w:color="auto"/>
              <w:right w:val="single" w:sz="4" w:space="0" w:color="auto"/>
            </w:tcBorders>
            <w:shd w:val="clear" w:color="auto" w:fill="auto"/>
            <w:noWrap/>
            <w:hideMark/>
          </w:tcPr>
          <w:p w14:paraId="5F71368D" w14:textId="77777777" w:rsidR="00A1757E" w:rsidRPr="00F7008B" w:rsidRDefault="00A1757E" w:rsidP="00A1757E">
            <w:pPr>
              <w:jc w:val="right"/>
              <w:rPr>
                <w:sz w:val="20"/>
                <w:szCs w:val="20"/>
                <w:lang w:eastAsia="en-CA"/>
              </w:rPr>
            </w:pPr>
            <w:r w:rsidRPr="00F7008B">
              <w:rPr>
                <w:sz w:val="20"/>
                <w:szCs w:val="20"/>
                <w:lang w:eastAsia="fr"/>
              </w:rPr>
              <w:t>141 914</w:t>
            </w:r>
          </w:p>
        </w:tc>
        <w:tc>
          <w:tcPr>
            <w:tcW w:w="1304" w:type="dxa"/>
            <w:tcBorders>
              <w:top w:val="nil"/>
              <w:left w:val="nil"/>
              <w:bottom w:val="single" w:sz="4" w:space="0" w:color="auto"/>
              <w:right w:val="single" w:sz="4" w:space="0" w:color="auto"/>
            </w:tcBorders>
            <w:shd w:val="clear" w:color="auto" w:fill="auto"/>
            <w:noWrap/>
            <w:hideMark/>
          </w:tcPr>
          <w:p w14:paraId="1546BAA2" w14:textId="77777777" w:rsidR="00A1757E" w:rsidRPr="00F7008B" w:rsidRDefault="00A1757E" w:rsidP="00A1757E">
            <w:pPr>
              <w:jc w:val="right"/>
              <w:rPr>
                <w:sz w:val="20"/>
                <w:szCs w:val="20"/>
                <w:lang w:eastAsia="en-CA"/>
              </w:rPr>
            </w:pPr>
            <w:r w:rsidRPr="00F7008B">
              <w:rPr>
                <w:sz w:val="20"/>
                <w:szCs w:val="20"/>
                <w:lang w:eastAsia="fr"/>
              </w:rPr>
              <w:t>104</w:t>
            </w:r>
          </w:p>
        </w:tc>
        <w:tc>
          <w:tcPr>
            <w:tcW w:w="1220" w:type="dxa"/>
            <w:tcBorders>
              <w:top w:val="nil"/>
              <w:left w:val="nil"/>
              <w:bottom w:val="single" w:sz="4" w:space="0" w:color="auto"/>
              <w:right w:val="single" w:sz="4" w:space="0" w:color="auto"/>
            </w:tcBorders>
            <w:shd w:val="clear" w:color="auto" w:fill="auto"/>
            <w:noWrap/>
            <w:hideMark/>
          </w:tcPr>
          <w:p w14:paraId="5572928C"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053E0528"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15DF13C1" w14:textId="77777777" w:rsidR="00A1757E" w:rsidRPr="00F7008B" w:rsidRDefault="00A1757E" w:rsidP="00A1757E">
            <w:pPr>
              <w:jc w:val="left"/>
              <w:rPr>
                <w:sz w:val="20"/>
                <w:szCs w:val="20"/>
                <w:lang w:eastAsia="en-CA"/>
              </w:rPr>
            </w:pPr>
            <w:r w:rsidRPr="00F7008B">
              <w:rPr>
                <w:sz w:val="20"/>
                <w:szCs w:val="20"/>
                <w:lang w:eastAsia="fr"/>
              </w:rPr>
              <w:t>Uruguay</w:t>
            </w:r>
          </w:p>
        </w:tc>
        <w:tc>
          <w:tcPr>
            <w:tcW w:w="1475" w:type="dxa"/>
            <w:tcBorders>
              <w:top w:val="nil"/>
              <w:left w:val="nil"/>
              <w:bottom w:val="single" w:sz="4" w:space="0" w:color="auto"/>
              <w:right w:val="single" w:sz="4" w:space="0" w:color="auto"/>
            </w:tcBorders>
            <w:shd w:val="clear" w:color="auto" w:fill="auto"/>
            <w:noWrap/>
            <w:hideMark/>
          </w:tcPr>
          <w:p w14:paraId="2A059A12" w14:textId="77777777" w:rsidR="00A1757E" w:rsidRPr="00F7008B" w:rsidRDefault="00A1757E" w:rsidP="00A1757E">
            <w:pPr>
              <w:jc w:val="right"/>
              <w:rPr>
                <w:sz w:val="20"/>
                <w:szCs w:val="20"/>
                <w:lang w:eastAsia="en-CA"/>
              </w:rPr>
            </w:pPr>
            <w:r w:rsidRPr="00F7008B">
              <w:rPr>
                <w:sz w:val="20"/>
                <w:szCs w:val="20"/>
                <w:lang w:eastAsia="fr"/>
              </w:rPr>
              <w:t>1,0</w:t>
            </w:r>
          </w:p>
        </w:tc>
        <w:tc>
          <w:tcPr>
            <w:tcW w:w="1230" w:type="dxa"/>
            <w:tcBorders>
              <w:top w:val="nil"/>
              <w:left w:val="nil"/>
              <w:bottom w:val="single" w:sz="4" w:space="0" w:color="auto"/>
              <w:right w:val="single" w:sz="4" w:space="0" w:color="auto"/>
            </w:tcBorders>
            <w:shd w:val="clear" w:color="auto" w:fill="auto"/>
            <w:noWrap/>
            <w:hideMark/>
          </w:tcPr>
          <w:p w14:paraId="33F47EE7" w14:textId="77777777" w:rsidR="00A1757E" w:rsidRPr="00F7008B" w:rsidRDefault="00A1757E" w:rsidP="00A1757E">
            <w:pPr>
              <w:jc w:val="right"/>
              <w:rPr>
                <w:sz w:val="20"/>
                <w:szCs w:val="20"/>
                <w:lang w:eastAsia="en-CA"/>
              </w:rPr>
            </w:pPr>
            <w:r w:rsidRPr="00F7008B">
              <w:rPr>
                <w:sz w:val="20"/>
                <w:szCs w:val="20"/>
                <w:lang w:eastAsia="fr"/>
              </w:rPr>
              <w:t>100</w:t>
            </w:r>
          </w:p>
        </w:tc>
        <w:tc>
          <w:tcPr>
            <w:tcW w:w="1095" w:type="dxa"/>
            <w:tcBorders>
              <w:top w:val="nil"/>
              <w:left w:val="nil"/>
              <w:bottom w:val="single" w:sz="4" w:space="0" w:color="auto"/>
              <w:right w:val="single" w:sz="4" w:space="0" w:color="auto"/>
            </w:tcBorders>
            <w:shd w:val="clear" w:color="auto" w:fill="auto"/>
            <w:noWrap/>
            <w:hideMark/>
          </w:tcPr>
          <w:p w14:paraId="45B54001" w14:textId="77777777" w:rsidR="00A1757E" w:rsidRPr="00F7008B" w:rsidRDefault="00A1757E" w:rsidP="00A1757E">
            <w:pPr>
              <w:jc w:val="right"/>
              <w:rPr>
                <w:sz w:val="20"/>
                <w:szCs w:val="20"/>
                <w:lang w:eastAsia="en-CA"/>
              </w:rPr>
            </w:pPr>
            <w:r w:rsidRPr="00F7008B">
              <w:rPr>
                <w:sz w:val="20"/>
                <w:szCs w:val="20"/>
                <w:lang w:eastAsia="fr"/>
              </w:rPr>
              <w:t>308 885</w:t>
            </w:r>
          </w:p>
        </w:tc>
        <w:tc>
          <w:tcPr>
            <w:tcW w:w="1017" w:type="dxa"/>
            <w:tcBorders>
              <w:top w:val="nil"/>
              <w:left w:val="nil"/>
              <w:bottom w:val="single" w:sz="4" w:space="0" w:color="auto"/>
              <w:right w:val="single" w:sz="4" w:space="0" w:color="auto"/>
            </w:tcBorders>
            <w:shd w:val="clear" w:color="auto" w:fill="auto"/>
            <w:noWrap/>
            <w:hideMark/>
          </w:tcPr>
          <w:p w14:paraId="55654945" w14:textId="77777777" w:rsidR="00A1757E" w:rsidRPr="00F7008B" w:rsidRDefault="00A1757E" w:rsidP="00A1757E">
            <w:pPr>
              <w:jc w:val="right"/>
              <w:rPr>
                <w:sz w:val="20"/>
                <w:szCs w:val="20"/>
                <w:lang w:eastAsia="en-CA"/>
              </w:rPr>
            </w:pPr>
            <w:r w:rsidRPr="00F7008B">
              <w:rPr>
                <w:sz w:val="20"/>
                <w:szCs w:val="20"/>
                <w:lang w:eastAsia="fr"/>
              </w:rPr>
              <w:t>319 339</w:t>
            </w:r>
          </w:p>
        </w:tc>
        <w:tc>
          <w:tcPr>
            <w:tcW w:w="1304" w:type="dxa"/>
            <w:tcBorders>
              <w:top w:val="nil"/>
              <w:left w:val="nil"/>
              <w:bottom w:val="single" w:sz="4" w:space="0" w:color="auto"/>
              <w:right w:val="single" w:sz="4" w:space="0" w:color="auto"/>
            </w:tcBorders>
            <w:shd w:val="clear" w:color="auto" w:fill="auto"/>
            <w:noWrap/>
            <w:hideMark/>
          </w:tcPr>
          <w:p w14:paraId="29B8ACEA" w14:textId="77777777" w:rsidR="00A1757E" w:rsidRPr="00F7008B" w:rsidRDefault="00A1757E" w:rsidP="00A1757E">
            <w:pPr>
              <w:jc w:val="right"/>
              <w:rPr>
                <w:sz w:val="20"/>
                <w:szCs w:val="20"/>
                <w:lang w:eastAsia="en-CA"/>
              </w:rPr>
            </w:pPr>
            <w:r w:rsidRPr="00F7008B">
              <w:rPr>
                <w:sz w:val="20"/>
                <w:szCs w:val="20"/>
                <w:lang w:eastAsia="fr"/>
              </w:rPr>
              <w:t>103</w:t>
            </w:r>
          </w:p>
        </w:tc>
        <w:tc>
          <w:tcPr>
            <w:tcW w:w="1220" w:type="dxa"/>
            <w:tcBorders>
              <w:top w:val="nil"/>
              <w:left w:val="nil"/>
              <w:bottom w:val="single" w:sz="4" w:space="0" w:color="auto"/>
              <w:right w:val="single" w:sz="4" w:space="0" w:color="auto"/>
            </w:tcBorders>
            <w:shd w:val="clear" w:color="auto" w:fill="auto"/>
            <w:noWrap/>
            <w:hideMark/>
          </w:tcPr>
          <w:p w14:paraId="2CCE6679" w14:textId="77777777" w:rsidR="00A1757E" w:rsidRPr="00F7008B" w:rsidRDefault="00A1757E" w:rsidP="00A1757E">
            <w:pPr>
              <w:jc w:val="right"/>
              <w:rPr>
                <w:sz w:val="20"/>
                <w:szCs w:val="20"/>
                <w:lang w:eastAsia="en-CA"/>
              </w:rPr>
            </w:pPr>
            <w:r w:rsidRPr="00F7008B">
              <w:rPr>
                <w:sz w:val="20"/>
                <w:szCs w:val="20"/>
                <w:lang w:eastAsia="fr"/>
              </w:rPr>
              <w:t>100</w:t>
            </w:r>
          </w:p>
        </w:tc>
      </w:tr>
      <w:tr w:rsidR="00A1757E" w:rsidRPr="00F7008B" w14:paraId="4B31DEA1" w14:textId="77777777" w:rsidTr="00781759">
        <w:trPr>
          <w:trHeight w:val="264"/>
        </w:trPr>
        <w:tc>
          <w:tcPr>
            <w:tcW w:w="2235" w:type="dxa"/>
            <w:tcBorders>
              <w:top w:val="nil"/>
              <w:left w:val="single" w:sz="4" w:space="0" w:color="auto"/>
              <w:bottom w:val="single" w:sz="4" w:space="0" w:color="auto"/>
              <w:right w:val="single" w:sz="4" w:space="0" w:color="auto"/>
            </w:tcBorders>
            <w:shd w:val="clear" w:color="auto" w:fill="auto"/>
            <w:noWrap/>
            <w:hideMark/>
          </w:tcPr>
          <w:p w14:paraId="375870CD" w14:textId="77777777" w:rsidR="00A1757E" w:rsidRPr="00F7008B" w:rsidRDefault="00A1757E" w:rsidP="00A1757E">
            <w:pPr>
              <w:jc w:val="left"/>
              <w:rPr>
                <w:sz w:val="20"/>
                <w:szCs w:val="20"/>
                <w:lang w:eastAsia="en-CA"/>
              </w:rPr>
            </w:pPr>
            <w:proofErr w:type="spellStart"/>
            <w:r w:rsidRPr="00F7008B">
              <w:rPr>
                <w:sz w:val="20"/>
                <w:szCs w:val="20"/>
                <w:lang w:eastAsia="fr"/>
              </w:rPr>
              <w:t>République</w:t>
            </w:r>
            <w:proofErr w:type="spellEnd"/>
            <w:r w:rsidRPr="00F7008B">
              <w:rPr>
                <w:sz w:val="20"/>
                <w:szCs w:val="20"/>
                <w:lang w:eastAsia="fr"/>
              </w:rPr>
              <w:t xml:space="preserve"> </w:t>
            </w:r>
            <w:proofErr w:type="spellStart"/>
            <w:r w:rsidRPr="00F7008B">
              <w:rPr>
                <w:sz w:val="20"/>
                <w:szCs w:val="20"/>
                <w:lang w:eastAsia="fr"/>
              </w:rPr>
              <w:t>bolivarienne</w:t>
            </w:r>
            <w:proofErr w:type="spellEnd"/>
            <w:r w:rsidRPr="00F7008B">
              <w:rPr>
                <w:sz w:val="20"/>
                <w:szCs w:val="20"/>
                <w:lang w:eastAsia="fr"/>
              </w:rPr>
              <w:t xml:space="preserve"> du Venezuela</w:t>
            </w:r>
          </w:p>
        </w:tc>
        <w:tc>
          <w:tcPr>
            <w:tcW w:w="1475" w:type="dxa"/>
            <w:tcBorders>
              <w:top w:val="nil"/>
              <w:left w:val="nil"/>
              <w:bottom w:val="single" w:sz="4" w:space="0" w:color="auto"/>
              <w:right w:val="single" w:sz="4" w:space="0" w:color="auto"/>
            </w:tcBorders>
            <w:shd w:val="clear" w:color="auto" w:fill="auto"/>
            <w:noWrap/>
            <w:hideMark/>
          </w:tcPr>
          <w:p w14:paraId="56EC34D3"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3EB36003"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0277395F" w14:textId="77777777" w:rsidR="00A1757E" w:rsidRPr="00F7008B" w:rsidRDefault="00A1757E" w:rsidP="00A1757E">
            <w:pPr>
              <w:jc w:val="right"/>
              <w:rPr>
                <w:sz w:val="20"/>
                <w:szCs w:val="20"/>
                <w:lang w:eastAsia="en-CA"/>
              </w:rPr>
            </w:pPr>
            <w:r w:rsidRPr="00F7008B">
              <w:rPr>
                <w:sz w:val="20"/>
                <w:szCs w:val="20"/>
                <w:lang w:eastAsia="fr"/>
              </w:rPr>
              <w:t>123 480</w:t>
            </w:r>
          </w:p>
        </w:tc>
        <w:tc>
          <w:tcPr>
            <w:tcW w:w="1017" w:type="dxa"/>
            <w:tcBorders>
              <w:top w:val="nil"/>
              <w:left w:val="nil"/>
              <w:bottom w:val="single" w:sz="4" w:space="0" w:color="auto"/>
              <w:right w:val="single" w:sz="4" w:space="0" w:color="auto"/>
            </w:tcBorders>
            <w:shd w:val="clear" w:color="auto" w:fill="auto"/>
            <w:noWrap/>
            <w:hideMark/>
          </w:tcPr>
          <w:p w14:paraId="32E0A2AA" w14:textId="77777777" w:rsidR="00A1757E" w:rsidRPr="00F7008B" w:rsidRDefault="00A1757E" w:rsidP="00A1757E">
            <w:pPr>
              <w:jc w:val="right"/>
              <w:rPr>
                <w:sz w:val="20"/>
                <w:szCs w:val="20"/>
                <w:lang w:eastAsia="en-CA"/>
              </w:rPr>
            </w:pPr>
            <w:r w:rsidRPr="00F7008B">
              <w:rPr>
                <w:sz w:val="20"/>
                <w:szCs w:val="20"/>
                <w:lang w:eastAsia="fr"/>
              </w:rPr>
              <w:t>50 404</w:t>
            </w:r>
          </w:p>
        </w:tc>
        <w:tc>
          <w:tcPr>
            <w:tcW w:w="1304" w:type="dxa"/>
            <w:tcBorders>
              <w:top w:val="nil"/>
              <w:left w:val="nil"/>
              <w:bottom w:val="single" w:sz="4" w:space="0" w:color="auto"/>
              <w:right w:val="single" w:sz="4" w:space="0" w:color="auto"/>
            </w:tcBorders>
            <w:shd w:val="clear" w:color="auto" w:fill="auto"/>
            <w:noWrap/>
            <w:hideMark/>
          </w:tcPr>
          <w:p w14:paraId="6ECD3397" w14:textId="77777777" w:rsidR="00A1757E" w:rsidRPr="00F7008B" w:rsidRDefault="00A1757E" w:rsidP="00A1757E">
            <w:pPr>
              <w:jc w:val="right"/>
              <w:rPr>
                <w:sz w:val="20"/>
                <w:szCs w:val="20"/>
                <w:lang w:eastAsia="en-CA"/>
              </w:rPr>
            </w:pPr>
            <w:r w:rsidRPr="00F7008B">
              <w:rPr>
                <w:sz w:val="20"/>
                <w:szCs w:val="20"/>
                <w:lang w:eastAsia="fr"/>
              </w:rPr>
              <w:t>41</w:t>
            </w:r>
          </w:p>
        </w:tc>
        <w:tc>
          <w:tcPr>
            <w:tcW w:w="1220" w:type="dxa"/>
            <w:tcBorders>
              <w:top w:val="nil"/>
              <w:left w:val="nil"/>
              <w:bottom w:val="single" w:sz="4" w:space="0" w:color="auto"/>
              <w:right w:val="single" w:sz="4" w:space="0" w:color="auto"/>
            </w:tcBorders>
            <w:shd w:val="clear" w:color="auto" w:fill="auto"/>
            <w:noWrap/>
            <w:hideMark/>
          </w:tcPr>
          <w:p w14:paraId="514124E9"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692BD491"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5336941D" w14:textId="77777777" w:rsidR="00A1757E" w:rsidRPr="00F7008B" w:rsidRDefault="00A1757E" w:rsidP="00A1757E">
            <w:pPr>
              <w:jc w:val="left"/>
              <w:rPr>
                <w:sz w:val="20"/>
                <w:szCs w:val="20"/>
                <w:lang w:eastAsia="en-CA"/>
              </w:rPr>
            </w:pPr>
            <w:r w:rsidRPr="00F7008B">
              <w:rPr>
                <w:sz w:val="20"/>
                <w:szCs w:val="20"/>
                <w:lang w:eastAsia="fr"/>
              </w:rPr>
              <w:t>Zimbabwe</w:t>
            </w:r>
          </w:p>
        </w:tc>
        <w:tc>
          <w:tcPr>
            <w:tcW w:w="1475" w:type="dxa"/>
            <w:tcBorders>
              <w:top w:val="nil"/>
              <w:left w:val="nil"/>
              <w:bottom w:val="single" w:sz="4" w:space="0" w:color="auto"/>
              <w:right w:val="single" w:sz="4" w:space="0" w:color="auto"/>
            </w:tcBorders>
            <w:shd w:val="clear" w:color="auto" w:fill="auto"/>
            <w:noWrap/>
            <w:hideMark/>
          </w:tcPr>
          <w:p w14:paraId="6FDCFD44" w14:textId="77777777" w:rsidR="00A1757E" w:rsidRPr="00F7008B" w:rsidRDefault="00A1757E" w:rsidP="00A1757E">
            <w:pPr>
              <w:jc w:val="right"/>
              <w:rPr>
                <w:sz w:val="20"/>
                <w:szCs w:val="20"/>
                <w:lang w:eastAsia="en-CA"/>
              </w:rPr>
            </w:pPr>
            <w:r w:rsidRPr="00F7008B">
              <w:rPr>
                <w:sz w:val="20"/>
                <w:szCs w:val="20"/>
                <w:lang w:eastAsia="fr"/>
              </w:rPr>
              <w:t>0,0</w:t>
            </w:r>
          </w:p>
        </w:tc>
        <w:tc>
          <w:tcPr>
            <w:tcW w:w="1230" w:type="dxa"/>
            <w:tcBorders>
              <w:top w:val="nil"/>
              <w:left w:val="nil"/>
              <w:bottom w:val="single" w:sz="4" w:space="0" w:color="auto"/>
              <w:right w:val="single" w:sz="4" w:space="0" w:color="auto"/>
            </w:tcBorders>
            <w:shd w:val="clear" w:color="auto" w:fill="auto"/>
            <w:noWrap/>
            <w:hideMark/>
          </w:tcPr>
          <w:p w14:paraId="0BED06A7" w14:textId="77777777" w:rsidR="00A1757E" w:rsidRPr="00F7008B" w:rsidRDefault="00A1757E" w:rsidP="00A1757E">
            <w:pPr>
              <w:jc w:val="left"/>
              <w:rPr>
                <w:sz w:val="20"/>
                <w:szCs w:val="20"/>
                <w:lang w:eastAsia="en-CA"/>
              </w:rPr>
            </w:pPr>
            <w:r w:rsidRPr="00F7008B">
              <w:rPr>
                <w:sz w:val="20"/>
                <w:szCs w:val="20"/>
                <w:lang w:eastAsia="fr"/>
              </w:rPr>
              <w:t> </w:t>
            </w:r>
          </w:p>
        </w:tc>
        <w:tc>
          <w:tcPr>
            <w:tcW w:w="1095" w:type="dxa"/>
            <w:tcBorders>
              <w:top w:val="nil"/>
              <w:left w:val="nil"/>
              <w:bottom w:val="single" w:sz="4" w:space="0" w:color="auto"/>
              <w:right w:val="single" w:sz="4" w:space="0" w:color="auto"/>
            </w:tcBorders>
            <w:shd w:val="clear" w:color="auto" w:fill="auto"/>
            <w:noWrap/>
            <w:hideMark/>
          </w:tcPr>
          <w:p w14:paraId="1F24EC58" w14:textId="77777777" w:rsidR="00A1757E" w:rsidRPr="00F7008B" w:rsidRDefault="00A1757E" w:rsidP="00A1757E">
            <w:pPr>
              <w:jc w:val="right"/>
              <w:rPr>
                <w:sz w:val="20"/>
                <w:szCs w:val="20"/>
                <w:lang w:eastAsia="en-CA"/>
              </w:rPr>
            </w:pPr>
            <w:r w:rsidRPr="00F7008B">
              <w:rPr>
                <w:sz w:val="20"/>
                <w:szCs w:val="20"/>
                <w:lang w:eastAsia="fr"/>
              </w:rPr>
              <w:t>118 086</w:t>
            </w:r>
          </w:p>
        </w:tc>
        <w:tc>
          <w:tcPr>
            <w:tcW w:w="1017" w:type="dxa"/>
            <w:tcBorders>
              <w:top w:val="nil"/>
              <w:left w:val="nil"/>
              <w:bottom w:val="single" w:sz="4" w:space="0" w:color="auto"/>
              <w:right w:val="single" w:sz="4" w:space="0" w:color="auto"/>
            </w:tcBorders>
            <w:shd w:val="clear" w:color="auto" w:fill="auto"/>
            <w:noWrap/>
            <w:hideMark/>
          </w:tcPr>
          <w:p w14:paraId="668B9DDE" w14:textId="77777777" w:rsidR="00A1757E" w:rsidRPr="00F7008B" w:rsidRDefault="00A1757E" w:rsidP="00A1757E">
            <w:pPr>
              <w:jc w:val="right"/>
              <w:rPr>
                <w:sz w:val="20"/>
                <w:szCs w:val="20"/>
                <w:lang w:eastAsia="en-CA"/>
              </w:rPr>
            </w:pPr>
            <w:r w:rsidRPr="00F7008B">
              <w:rPr>
                <w:sz w:val="20"/>
                <w:szCs w:val="20"/>
                <w:lang w:eastAsia="fr"/>
              </w:rPr>
              <w:t>8 003</w:t>
            </w:r>
          </w:p>
        </w:tc>
        <w:tc>
          <w:tcPr>
            <w:tcW w:w="1304" w:type="dxa"/>
            <w:tcBorders>
              <w:top w:val="nil"/>
              <w:left w:val="nil"/>
              <w:bottom w:val="single" w:sz="4" w:space="0" w:color="auto"/>
              <w:right w:val="single" w:sz="4" w:space="0" w:color="auto"/>
            </w:tcBorders>
            <w:shd w:val="clear" w:color="auto" w:fill="auto"/>
            <w:noWrap/>
            <w:hideMark/>
          </w:tcPr>
          <w:p w14:paraId="15344CCE" w14:textId="77777777" w:rsidR="00A1757E" w:rsidRPr="00F7008B" w:rsidRDefault="00A1757E" w:rsidP="00A1757E">
            <w:pPr>
              <w:jc w:val="right"/>
              <w:rPr>
                <w:sz w:val="20"/>
                <w:szCs w:val="20"/>
                <w:lang w:eastAsia="en-CA"/>
              </w:rPr>
            </w:pPr>
            <w:r w:rsidRPr="00F7008B">
              <w:rPr>
                <w:sz w:val="20"/>
                <w:szCs w:val="20"/>
                <w:lang w:eastAsia="fr"/>
              </w:rPr>
              <w:t>7</w:t>
            </w:r>
          </w:p>
        </w:tc>
        <w:tc>
          <w:tcPr>
            <w:tcW w:w="1220" w:type="dxa"/>
            <w:tcBorders>
              <w:top w:val="nil"/>
              <w:left w:val="nil"/>
              <w:bottom w:val="single" w:sz="4" w:space="0" w:color="auto"/>
              <w:right w:val="single" w:sz="4" w:space="0" w:color="auto"/>
            </w:tcBorders>
            <w:shd w:val="clear" w:color="auto" w:fill="auto"/>
            <w:noWrap/>
            <w:hideMark/>
          </w:tcPr>
          <w:p w14:paraId="127337AE" w14:textId="77777777" w:rsidR="00A1757E" w:rsidRPr="00F7008B" w:rsidRDefault="00A1757E" w:rsidP="00A1757E">
            <w:pPr>
              <w:jc w:val="left"/>
              <w:rPr>
                <w:sz w:val="20"/>
                <w:szCs w:val="20"/>
                <w:lang w:eastAsia="en-CA"/>
              </w:rPr>
            </w:pPr>
            <w:r w:rsidRPr="00F7008B">
              <w:rPr>
                <w:sz w:val="20"/>
                <w:szCs w:val="20"/>
                <w:lang w:eastAsia="fr"/>
              </w:rPr>
              <w:t> </w:t>
            </w:r>
          </w:p>
        </w:tc>
      </w:tr>
      <w:tr w:rsidR="00A1757E" w:rsidRPr="00F7008B" w14:paraId="1FA1290A" w14:textId="77777777" w:rsidTr="00781759">
        <w:trPr>
          <w:trHeight w:val="58"/>
        </w:trPr>
        <w:tc>
          <w:tcPr>
            <w:tcW w:w="2235" w:type="dxa"/>
            <w:tcBorders>
              <w:top w:val="nil"/>
              <w:left w:val="single" w:sz="4" w:space="0" w:color="auto"/>
              <w:bottom w:val="single" w:sz="4" w:space="0" w:color="auto"/>
              <w:right w:val="single" w:sz="4" w:space="0" w:color="auto"/>
            </w:tcBorders>
            <w:shd w:val="clear" w:color="auto" w:fill="auto"/>
            <w:noWrap/>
            <w:hideMark/>
          </w:tcPr>
          <w:p w14:paraId="5186AE05" w14:textId="77777777" w:rsidR="00A1757E" w:rsidRPr="00F7008B" w:rsidRDefault="00A1757E" w:rsidP="00A1757E">
            <w:pPr>
              <w:jc w:val="left"/>
              <w:rPr>
                <w:b/>
                <w:bCs/>
                <w:sz w:val="20"/>
                <w:szCs w:val="20"/>
                <w:lang w:eastAsia="en-CA"/>
              </w:rPr>
            </w:pPr>
            <w:r w:rsidRPr="00F7008B">
              <w:rPr>
                <w:b/>
                <w:bCs/>
                <w:sz w:val="20"/>
                <w:szCs w:val="20"/>
                <w:lang w:eastAsia="fr"/>
              </w:rPr>
              <w:t xml:space="preserve">Total </w:t>
            </w:r>
            <w:proofErr w:type="spellStart"/>
            <w:r w:rsidRPr="00F7008B">
              <w:rPr>
                <w:b/>
                <w:bCs/>
                <w:sz w:val="20"/>
                <w:szCs w:val="20"/>
                <w:lang w:eastAsia="fr"/>
              </w:rPr>
              <w:t>général</w:t>
            </w:r>
            <w:proofErr w:type="spellEnd"/>
          </w:p>
        </w:tc>
        <w:tc>
          <w:tcPr>
            <w:tcW w:w="1475" w:type="dxa"/>
            <w:tcBorders>
              <w:top w:val="nil"/>
              <w:left w:val="nil"/>
              <w:bottom w:val="single" w:sz="4" w:space="0" w:color="auto"/>
              <w:right w:val="single" w:sz="4" w:space="0" w:color="auto"/>
            </w:tcBorders>
            <w:shd w:val="clear" w:color="auto" w:fill="auto"/>
            <w:noWrap/>
            <w:hideMark/>
          </w:tcPr>
          <w:p w14:paraId="36CECC82" w14:textId="2468B1B5" w:rsidR="00A1757E" w:rsidRPr="00F7008B" w:rsidRDefault="0072197A" w:rsidP="00A1757E">
            <w:pPr>
              <w:jc w:val="right"/>
              <w:rPr>
                <w:b/>
                <w:bCs/>
                <w:sz w:val="20"/>
                <w:szCs w:val="20"/>
                <w:lang w:eastAsia="en-CA"/>
              </w:rPr>
            </w:pPr>
            <w:r w:rsidRPr="00F7008B">
              <w:rPr>
                <w:b/>
                <w:bCs/>
                <w:sz w:val="20"/>
                <w:szCs w:val="20"/>
                <w:lang w:eastAsia="fr"/>
              </w:rPr>
              <w:t>418,1</w:t>
            </w:r>
          </w:p>
        </w:tc>
        <w:tc>
          <w:tcPr>
            <w:tcW w:w="1230" w:type="dxa"/>
            <w:tcBorders>
              <w:top w:val="nil"/>
              <w:left w:val="nil"/>
              <w:bottom w:val="single" w:sz="4" w:space="0" w:color="auto"/>
              <w:right w:val="single" w:sz="4" w:space="0" w:color="auto"/>
            </w:tcBorders>
            <w:shd w:val="clear" w:color="auto" w:fill="auto"/>
            <w:noWrap/>
            <w:hideMark/>
          </w:tcPr>
          <w:p w14:paraId="36887723" w14:textId="77777777" w:rsidR="00A1757E" w:rsidRPr="00F7008B" w:rsidRDefault="00A1757E" w:rsidP="00A1757E">
            <w:pPr>
              <w:jc w:val="right"/>
              <w:rPr>
                <w:b/>
                <w:bCs/>
                <w:sz w:val="20"/>
                <w:szCs w:val="20"/>
                <w:lang w:eastAsia="en-CA"/>
              </w:rPr>
            </w:pPr>
            <w:r w:rsidRPr="00F7008B">
              <w:rPr>
                <w:b/>
                <w:bCs/>
                <w:sz w:val="20"/>
                <w:szCs w:val="20"/>
                <w:lang w:eastAsia="fr"/>
              </w:rPr>
              <w:t>58</w:t>
            </w:r>
          </w:p>
        </w:tc>
        <w:tc>
          <w:tcPr>
            <w:tcW w:w="1095" w:type="dxa"/>
            <w:tcBorders>
              <w:top w:val="nil"/>
              <w:left w:val="nil"/>
              <w:bottom w:val="single" w:sz="4" w:space="0" w:color="auto"/>
              <w:right w:val="single" w:sz="4" w:space="0" w:color="auto"/>
            </w:tcBorders>
            <w:shd w:val="clear" w:color="auto" w:fill="auto"/>
            <w:noWrap/>
            <w:hideMark/>
          </w:tcPr>
          <w:p w14:paraId="2C4F4060" w14:textId="77777777" w:rsidR="00A1757E" w:rsidRPr="00F7008B" w:rsidRDefault="00A1757E" w:rsidP="00A1757E">
            <w:pPr>
              <w:jc w:val="right"/>
              <w:rPr>
                <w:b/>
                <w:bCs/>
                <w:sz w:val="20"/>
                <w:szCs w:val="20"/>
                <w:lang w:eastAsia="en-CA"/>
              </w:rPr>
            </w:pPr>
            <w:r w:rsidRPr="00F7008B">
              <w:rPr>
                <w:b/>
                <w:bCs/>
                <w:sz w:val="20"/>
                <w:szCs w:val="20"/>
                <w:lang w:eastAsia="fr"/>
              </w:rPr>
              <w:t>21 908 805</w:t>
            </w:r>
          </w:p>
        </w:tc>
        <w:tc>
          <w:tcPr>
            <w:tcW w:w="1017" w:type="dxa"/>
            <w:tcBorders>
              <w:top w:val="nil"/>
              <w:left w:val="nil"/>
              <w:bottom w:val="single" w:sz="4" w:space="0" w:color="auto"/>
              <w:right w:val="single" w:sz="4" w:space="0" w:color="auto"/>
            </w:tcBorders>
            <w:shd w:val="clear" w:color="auto" w:fill="auto"/>
            <w:noWrap/>
            <w:hideMark/>
          </w:tcPr>
          <w:p w14:paraId="7765615D" w14:textId="77777777" w:rsidR="00A1757E" w:rsidRPr="00F7008B" w:rsidRDefault="00A1757E" w:rsidP="00A1757E">
            <w:pPr>
              <w:jc w:val="right"/>
              <w:rPr>
                <w:b/>
                <w:bCs/>
                <w:sz w:val="20"/>
                <w:szCs w:val="20"/>
                <w:lang w:eastAsia="en-CA"/>
              </w:rPr>
            </w:pPr>
            <w:r w:rsidRPr="00F7008B">
              <w:rPr>
                <w:b/>
                <w:bCs/>
                <w:sz w:val="20"/>
                <w:szCs w:val="20"/>
                <w:lang w:eastAsia="fr"/>
              </w:rPr>
              <w:t>27 698 120</w:t>
            </w:r>
          </w:p>
        </w:tc>
        <w:tc>
          <w:tcPr>
            <w:tcW w:w="1304" w:type="dxa"/>
            <w:tcBorders>
              <w:top w:val="nil"/>
              <w:left w:val="nil"/>
              <w:bottom w:val="single" w:sz="4" w:space="0" w:color="auto"/>
              <w:right w:val="single" w:sz="4" w:space="0" w:color="auto"/>
            </w:tcBorders>
            <w:shd w:val="clear" w:color="auto" w:fill="auto"/>
            <w:noWrap/>
            <w:hideMark/>
          </w:tcPr>
          <w:p w14:paraId="0755195C" w14:textId="77777777" w:rsidR="00A1757E" w:rsidRPr="00F7008B" w:rsidRDefault="00A1757E" w:rsidP="00A1757E">
            <w:pPr>
              <w:jc w:val="right"/>
              <w:rPr>
                <w:b/>
                <w:bCs/>
                <w:sz w:val="20"/>
                <w:szCs w:val="20"/>
                <w:lang w:eastAsia="en-CA"/>
              </w:rPr>
            </w:pPr>
            <w:r w:rsidRPr="00F7008B">
              <w:rPr>
                <w:b/>
                <w:bCs/>
                <w:sz w:val="20"/>
                <w:szCs w:val="20"/>
                <w:lang w:eastAsia="fr"/>
              </w:rPr>
              <w:t>126</w:t>
            </w:r>
          </w:p>
        </w:tc>
        <w:tc>
          <w:tcPr>
            <w:tcW w:w="1220" w:type="dxa"/>
            <w:tcBorders>
              <w:top w:val="nil"/>
              <w:left w:val="nil"/>
              <w:bottom w:val="single" w:sz="4" w:space="0" w:color="auto"/>
              <w:right w:val="single" w:sz="4" w:space="0" w:color="auto"/>
            </w:tcBorders>
            <w:shd w:val="clear" w:color="auto" w:fill="auto"/>
            <w:noWrap/>
            <w:hideMark/>
          </w:tcPr>
          <w:p w14:paraId="66BA998A" w14:textId="77777777" w:rsidR="00A1757E" w:rsidRPr="00F7008B" w:rsidRDefault="00A1757E" w:rsidP="00A1757E">
            <w:pPr>
              <w:jc w:val="right"/>
              <w:rPr>
                <w:b/>
                <w:bCs/>
                <w:sz w:val="20"/>
                <w:szCs w:val="20"/>
                <w:lang w:eastAsia="en-CA"/>
              </w:rPr>
            </w:pPr>
            <w:r w:rsidRPr="00F7008B">
              <w:rPr>
                <w:b/>
                <w:bCs/>
                <w:sz w:val="20"/>
                <w:szCs w:val="20"/>
                <w:lang w:eastAsia="fr"/>
              </w:rPr>
              <w:t>51</w:t>
            </w:r>
          </w:p>
        </w:tc>
      </w:tr>
    </w:tbl>
    <w:p w14:paraId="04B01950" w14:textId="41367EBE" w:rsidR="00E52ADD" w:rsidRPr="00822BBF" w:rsidRDefault="00E52ADD" w:rsidP="00E52ADD">
      <w:pPr>
        <w:pStyle w:val="Title1"/>
        <w:keepNext/>
        <w:jc w:val="both"/>
        <w:rPr>
          <w:b w:val="0"/>
          <w:caps w:val="0"/>
          <w:sz w:val="19"/>
          <w:szCs w:val="19"/>
          <w:lang w:val="fr-FR"/>
        </w:rPr>
      </w:pPr>
      <w:r w:rsidRPr="00F7008B">
        <w:rPr>
          <w:b w:val="0"/>
          <w:caps w:val="0"/>
          <w:sz w:val="19"/>
          <w:szCs w:val="19"/>
          <w:lang w:val="fr"/>
        </w:rPr>
        <w:t xml:space="preserve">* 70,1 </w:t>
      </w:r>
      <w:proofErr w:type="spellStart"/>
      <w:r w:rsidRPr="00F7008B">
        <w:rPr>
          <w:b w:val="0"/>
          <w:caps w:val="0"/>
          <w:sz w:val="19"/>
          <w:szCs w:val="19"/>
          <w:lang w:val="fr"/>
        </w:rPr>
        <w:t>tm</w:t>
      </w:r>
      <w:proofErr w:type="spellEnd"/>
      <w:r w:rsidRPr="00F7008B">
        <w:rPr>
          <w:b w:val="0"/>
          <w:caps w:val="0"/>
          <w:sz w:val="19"/>
          <w:szCs w:val="19"/>
          <w:lang w:val="fr"/>
        </w:rPr>
        <w:t xml:space="preserve"> (100 243 </w:t>
      </w:r>
      <w:proofErr w:type="spellStart"/>
      <w:r w:rsidRPr="00F7008B">
        <w:rPr>
          <w:b w:val="0"/>
          <w:caps w:val="0"/>
          <w:sz w:val="19"/>
          <w:szCs w:val="19"/>
          <w:lang w:val="fr"/>
        </w:rPr>
        <w:t>tm</w:t>
      </w:r>
      <w:proofErr w:type="spellEnd"/>
      <w:r w:rsidRPr="00F7008B">
        <w:rPr>
          <w:b w:val="0"/>
          <w:caps w:val="0"/>
          <w:sz w:val="19"/>
          <w:szCs w:val="19"/>
          <w:lang w:val="fr"/>
        </w:rPr>
        <w:t xml:space="preserve"> CO</w:t>
      </w:r>
      <w:r w:rsidRPr="00F7008B">
        <w:rPr>
          <w:b w:val="0"/>
          <w:caps w:val="0"/>
          <w:sz w:val="19"/>
          <w:szCs w:val="19"/>
          <w:vertAlign w:val="subscript"/>
          <w:lang w:val="fr"/>
        </w:rPr>
        <w:t>2</w:t>
      </w:r>
      <w:r w:rsidR="00F2646A">
        <w:rPr>
          <w:b w:val="0"/>
          <w:caps w:val="0"/>
          <w:sz w:val="19"/>
          <w:szCs w:val="19"/>
          <w:lang w:val="fr"/>
        </w:rPr>
        <w:t xml:space="preserve">-éq.) </w:t>
      </w:r>
      <w:r w:rsidR="000C6BEA">
        <w:rPr>
          <w:b w:val="0"/>
          <w:caps w:val="0"/>
          <w:sz w:val="19"/>
          <w:szCs w:val="19"/>
          <w:lang w:val="fr"/>
        </w:rPr>
        <w:t>ont été éliminées en</w:t>
      </w:r>
      <w:r w:rsidR="00F2646A">
        <w:rPr>
          <w:b w:val="0"/>
          <w:caps w:val="0"/>
          <w:sz w:val="19"/>
          <w:szCs w:val="19"/>
          <w:lang w:val="fr"/>
        </w:rPr>
        <w:t xml:space="preserve"> 2020 </w:t>
      </w:r>
      <w:r w:rsidR="000C6BEA">
        <w:rPr>
          <w:b w:val="0"/>
          <w:caps w:val="0"/>
          <w:sz w:val="19"/>
          <w:szCs w:val="19"/>
          <w:lang w:val="fr"/>
        </w:rPr>
        <w:t>dans le cadre de</w:t>
      </w:r>
      <w:r w:rsidR="00F2646A">
        <w:rPr>
          <w:b w:val="0"/>
          <w:caps w:val="0"/>
          <w:sz w:val="19"/>
          <w:szCs w:val="19"/>
          <w:lang w:val="fr"/>
        </w:rPr>
        <w:t xml:space="preserve"> projets liés aux</w:t>
      </w:r>
      <w:r w:rsidRPr="00F7008B">
        <w:rPr>
          <w:b w:val="0"/>
          <w:caps w:val="0"/>
          <w:sz w:val="19"/>
          <w:szCs w:val="19"/>
          <w:lang w:val="fr"/>
        </w:rPr>
        <w:t xml:space="preserve"> HFC.</w:t>
      </w:r>
    </w:p>
    <w:p w14:paraId="72C7B9C6" w14:textId="77777777" w:rsidR="00E52ADD" w:rsidRPr="00822BBF" w:rsidRDefault="00E52ADD" w:rsidP="00E52ADD">
      <w:pPr>
        <w:pStyle w:val="Title1"/>
        <w:keepNext/>
        <w:jc w:val="both"/>
        <w:rPr>
          <w:caps w:val="0"/>
          <w:lang w:val="fr-FR"/>
        </w:rPr>
      </w:pPr>
    </w:p>
    <w:p w14:paraId="732EC51B" w14:textId="77777777" w:rsidR="00E52ADD" w:rsidRPr="00822BBF" w:rsidRDefault="00E52ADD" w:rsidP="00E52ADD">
      <w:pPr>
        <w:pStyle w:val="Heading1"/>
        <w:tabs>
          <w:tab w:val="clear" w:pos="0"/>
        </w:tabs>
        <w:rPr>
          <w:lang w:val="fr-FR"/>
        </w:rPr>
      </w:pPr>
      <w:r w:rsidRPr="00822BBF">
        <w:rPr>
          <w:lang w:val="fr-FR"/>
        </w:rPr>
        <w:t>Le tableau 5 présente un résumé des projets liés aux HFC approuvés au titre des contributions régulières.</w:t>
      </w:r>
    </w:p>
    <w:p w14:paraId="644C9777" w14:textId="77777777" w:rsidR="00E52ADD" w:rsidRPr="00822BBF" w:rsidRDefault="00E52ADD" w:rsidP="00E52ADD">
      <w:pPr>
        <w:rPr>
          <w:b/>
          <w:lang w:val="fr-FR"/>
        </w:rPr>
      </w:pPr>
      <w:r w:rsidRPr="00822BBF">
        <w:rPr>
          <w:b/>
          <w:lang w:val="fr-FR"/>
        </w:rPr>
        <w:t>Tableau 5. Projets liés aux HFC approuvés au titre des contributions régulières</w:t>
      </w:r>
    </w:p>
    <w:tbl>
      <w:tblPr>
        <w:tblW w:w="9540" w:type="dxa"/>
        <w:tblInd w:w="-5" w:type="dxa"/>
        <w:tblLayout w:type="fixed"/>
        <w:tblLook w:val="04A0" w:firstRow="1" w:lastRow="0" w:firstColumn="1" w:lastColumn="0" w:noHBand="0" w:noVBand="1"/>
      </w:tblPr>
      <w:tblGrid>
        <w:gridCol w:w="1890"/>
        <w:gridCol w:w="1120"/>
        <w:gridCol w:w="1120"/>
        <w:gridCol w:w="1120"/>
        <w:gridCol w:w="1072"/>
        <w:gridCol w:w="1073"/>
        <w:gridCol w:w="1072"/>
        <w:gridCol w:w="1073"/>
      </w:tblGrid>
      <w:tr w:rsidR="007400FC" w:rsidRPr="00F7008B" w14:paraId="58BAC21E" w14:textId="77777777" w:rsidTr="00BE03E3">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9768" w14:textId="77777777" w:rsidR="007400FC" w:rsidRPr="00F7008B" w:rsidRDefault="007400FC" w:rsidP="007400FC">
            <w:pPr>
              <w:jc w:val="left"/>
              <w:rPr>
                <w:b/>
                <w:bCs/>
                <w:sz w:val="19"/>
                <w:szCs w:val="19"/>
                <w:lang w:eastAsia="en-CA"/>
              </w:rPr>
            </w:pPr>
            <w:r w:rsidRPr="00F7008B">
              <w:rPr>
                <w:b/>
                <w:bCs/>
                <w:sz w:val="19"/>
                <w:szCs w:val="19"/>
                <w:lang w:eastAsia="fr"/>
              </w:rPr>
              <w:t>Type</w:t>
            </w: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CC4F30" w14:textId="77777777" w:rsidR="007400FC" w:rsidRPr="00F7008B" w:rsidRDefault="007400FC" w:rsidP="007400FC">
            <w:pPr>
              <w:jc w:val="center"/>
              <w:rPr>
                <w:b/>
                <w:bCs/>
                <w:sz w:val="19"/>
                <w:szCs w:val="19"/>
                <w:lang w:eastAsia="en-CA"/>
              </w:rPr>
            </w:pPr>
            <w:proofErr w:type="spellStart"/>
            <w:r w:rsidRPr="00F7008B">
              <w:rPr>
                <w:b/>
                <w:bCs/>
                <w:sz w:val="19"/>
                <w:szCs w:val="19"/>
                <w:lang w:eastAsia="fr"/>
              </w:rPr>
              <w:t>Nombre</w:t>
            </w:r>
            <w:proofErr w:type="spellEnd"/>
            <w:r w:rsidRPr="00F7008B">
              <w:rPr>
                <w:b/>
                <w:bCs/>
                <w:sz w:val="19"/>
                <w:szCs w:val="19"/>
                <w:lang w:eastAsia="fr"/>
              </w:rPr>
              <w:t xml:space="preserve"> de </w:t>
            </w:r>
            <w:proofErr w:type="spellStart"/>
            <w:r w:rsidRPr="00F7008B">
              <w:rPr>
                <w:b/>
                <w:bCs/>
                <w:sz w:val="19"/>
                <w:szCs w:val="19"/>
                <w:lang w:eastAsia="fr"/>
              </w:rPr>
              <w:t>projets</w:t>
            </w:r>
            <w:proofErr w:type="spellEnd"/>
          </w:p>
        </w:tc>
        <w:tc>
          <w:tcPr>
            <w:tcW w:w="42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06DF8C" w14:textId="77777777" w:rsidR="007400FC" w:rsidRPr="00F7008B" w:rsidRDefault="007400FC" w:rsidP="007400FC">
            <w:pPr>
              <w:jc w:val="center"/>
              <w:rPr>
                <w:b/>
                <w:bCs/>
                <w:sz w:val="19"/>
                <w:szCs w:val="19"/>
                <w:lang w:eastAsia="en-CA"/>
              </w:rPr>
            </w:pPr>
            <w:proofErr w:type="spellStart"/>
            <w:r w:rsidRPr="00F7008B">
              <w:rPr>
                <w:b/>
                <w:bCs/>
                <w:sz w:val="19"/>
                <w:szCs w:val="19"/>
                <w:lang w:eastAsia="fr"/>
              </w:rPr>
              <w:t>Financement</w:t>
            </w:r>
            <w:proofErr w:type="spellEnd"/>
            <w:r w:rsidRPr="00F7008B">
              <w:rPr>
                <w:b/>
                <w:bCs/>
                <w:sz w:val="19"/>
                <w:szCs w:val="19"/>
                <w:lang w:eastAsia="fr"/>
              </w:rPr>
              <w:t xml:space="preserve"> ($ US)*</w:t>
            </w:r>
          </w:p>
        </w:tc>
      </w:tr>
      <w:tr w:rsidR="007D709D" w:rsidRPr="00F7008B" w14:paraId="78B2D52E" w14:textId="77777777" w:rsidTr="00BE03E3">
        <w:tc>
          <w:tcPr>
            <w:tcW w:w="1890" w:type="dxa"/>
            <w:vMerge/>
            <w:tcBorders>
              <w:top w:val="single" w:sz="4" w:space="0" w:color="auto"/>
              <w:left w:val="single" w:sz="4" w:space="0" w:color="auto"/>
              <w:bottom w:val="single" w:sz="4" w:space="0" w:color="auto"/>
              <w:right w:val="single" w:sz="4" w:space="0" w:color="auto"/>
            </w:tcBorders>
            <w:vAlign w:val="center"/>
            <w:hideMark/>
          </w:tcPr>
          <w:p w14:paraId="0FB5E4F3" w14:textId="77777777" w:rsidR="007400FC" w:rsidRPr="00F7008B" w:rsidRDefault="007400FC" w:rsidP="007400FC">
            <w:pPr>
              <w:jc w:val="left"/>
              <w:rPr>
                <w:b/>
                <w:bCs/>
                <w:sz w:val="19"/>
                <w:szCs w:val="19"/>
                <w:lang w:eastAsia="en-CA"/>
              </w:rPr>
            </w:pP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1CEEE8" w14:textId="77777777" w:rsidR="007400FC" w:rsidRPr="00F7008B" w:rsidRDefault="007400FC" w:rsidP="007400FC">
            <w:pPr>
              <w:jc w:val="center"/>
              <w:rPr>
                <w:b/>
                <w:bCs/>
                <w:sz w:val="19"/>
                <w:szCs w:val="19"/>
                <w:lang w:eastAsia="en-CA"/>
              </w:rPr>
            </w:pPr>
            <w:r w:rsidRPr="00F7008B">
              <w:rPr>
                <w:b/>
                <w:bCs/>
                <w:sz w:val="19"/>
                <w:szCs w:val="19"/>
                <w:lang w:val="fr" w:eastAsia="fr"/>
              </w:rPr>
              <w:t>Approuvé</w:t>
            </w: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1060FB4" w14:textId="77777777" w:rsidR="007400FC" w:rsidRPr="00F7008B" w:rsidRDefault="007400FC" w:rsidP="007400FC">
            <w:pPr>
              <w:jc w:val="center"/>
              <w:rPr>
                <w:b/>
                <w:bCs/>
                <w:sz w:val="19"/>
                <w:szCs w:val="19"/>
                <w:lang w:eastAsia="en-CA"/>
              </w:rPr>
            </w:pPr>
            <w:r w:rsidRPr="00F7008B">
              <w:rPr>
                <w:b/>
                <w:bCs/>
                <w:sz w:val="19"/>
                <w:szCs w:val="19"/>
                <w:lang w:val="fr" w:eastAsia="fr"/>
              </w:rPr>
              <w:t>Terminé</w:t>
            </w:r>
          </w:p>
        </w:tc>
        <w:tc>
          <w:tcPr>
            <w:tcW w:w="112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0952290" w14:textId="77777777" w:rsidR="007400FC" w:rsidRPr="00F7008B" w:rsidRDefault="007400FC" w:rsidP="007400FC">
            <w:pPr>
              <w:jc w:val="center"/>
              <w:rPr>
                <w:b/>
                <w:bCs/>
                <w:sz w:val="19"/>
                <w:szCs w:val="19"/>
                <w:lang w:eastAsia="en-CA"/>
              </w:rPr>
            </w:pPr>
            <w:r w:rsidRPr="00F7008B">
              <w:rPr>
                <w:b/>
                <w:bCs/>
                <w:sz w:val="19"/>
                <w:szCs w:val="19"/>
                <w:lang w:val="fr" w:eastAsia="fr"/>
              </w:rPr>
              <w:t>% d’achèvement</w:t>
            </w: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5BD4AA" w14:textId="77777777" w:rsidR="007400FC" w:rsidRPr="00F7008B" w:rsidRDefault="007400FC" w:rsidP="007400FC">
            <w:pPr>
              <w:jc w:val="center"/>
              <w:rPr>
                <w:b/>
                <w:bCs/>
                <w:sz w:val="19"/>
                <w:szCs w:val="19"/>
                <w:lang w:eastAsia="en-CA"/>
              </w:rPr>
            </w:pPr>
            <w:r w:rsidRPr="00F7008B">
              <w:rPr>
                <w:b/>
                <w:bCs/>
                <w:sz w:val="19"/>
                <w:szCs w:val="19"/>
                <w:lang w:val="fr" w:eastAsia="fr"/>
              </w:rPr>
              <w:t>Approuvé</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FA67B4" w14:textId="77777777" w:rsidR="007400FC" w:rsidRPr="00F7008B" w:rsidRDefault="007400FC" w:rsidP="007400FC">
            <w:pPr>
              <w:jc w:val="center"/>
              <w:rPr>
                <w:b/>
                <w:bCs/>
                <w:sz w:val="19"/>
                <w:szCs w:val="19"/>
                <w:lang w:eastAsia="en-CA"/>
              </w:rPr>
            </w:pPr>
            <w:r w:rsidRPr="00F7008B">
              <w:rPr>
                <w:b/>
                <w:bCs/>
                <w:sz w:val="19"/>
                <w:szCs w:val="19"/>
                <w:lang w:val="fr" w:eastAsia="fr"/>
              </w:rPr>
              <w:t>Décaissé</w:t>
            </w:r>
          </w:p>
        </w:tc>
        <w:tc>
          <w:tcPr>
            <w:tcW w:w="1072"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695E73" w14:textId="77777777" w:rsidR="007400FC" w:rsidRPr="00F7008B" w:rsidRDefault="007400FC" w:rsidP="007400FC">
            <w:pPr>
              <w:jc w:val="center"/>
              <w:rPr>
                <w:b/>
                <w:bCs/>
                <w:sz w:val="19"/>
                <w:szCs w:val="19"/>
                <w:lang w:eastAsia="en-CA"/>
              </w:rPr>
            </w:pPr>
            <w:r w:rsidRPr="00F7008B">
              <w:rPr>
                <w:b/>
                <w:bCs/>
                <w:sz w:val="19"/>
                <w:szCs w:val="19"/>
                <w:lang w:val="fr" w:eastAsia="fr"/>
              </w:rPr>
              <w:t>Solde</w:t>
            </w:r>
          </w:p>
        </w:tc>
        <w:tc>
          <w:tcPr>
            <w:tcW w:w="107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593780" w14:textId="77777777" w:rsidR="007400FC" w:rsidRPr="00F7008B" w:rsidRDefault="007400FC" w:rsidP="007400FC">
            <w:pPr>
              <w:jc w:val="center"/>
              <w:rPr>
                <w:b/>
                <w:bCs/>
                <w:sz w:val="19"/>
                <w:szCs w:val="19"/>
                <w:lang w:eastAsia="en-CA"/>
              </w:rPr>
            </w:pPr>
            <w:r w:rsidRPr="00F7008B">
              <w:rPr>
                <w:b/>
                <w:bCs/>
                <w:sz w:val="19"/>
                <w:szCs w:val="19"/>
                <w:lang w:val="fr" w:eastAsia="fr"/>
              </w:rPr>
              <w:t>% de décaissement</w:t>
            </w:r>
          </w:p>
        </w:tc>
      </w:tr>
      <w:tr w:rsidR="007D709D" w:rsidRPr="00F7008B" w14:paraId="4211620B" w14:textId="77777777" w:rsidTr="00BE03E3">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7FA941F0" w14:textId="77777777" w:rsidR="007400FC" w:rsidRPr="00F7008B" w:rsidRDefault="007400FC" w:rsidP="007400FC">
            <w:pPr>
              <w:jc w:val="left"/>
              <w:rPr>
                <w:sz w:val="19"/>
                <w:szCs w:val="19"/>
                <w:lang w:eastAsia="en-CA"/>
              </w:rPr>
            </w:pPr>
            <w:proofErr w:type="spellStart"/>
            <w:r w:rsidRPr="00F7008B">
              <w:rPr>
                <w:sz w:val="19"/>
                <w:szCs w:val="19"/>
                <w:lang w:eastAsia="fr"/>
              </w:rPr>
              <w:t>Investissement</w:t>
            </w:r>
            <w:proofErr w:type="spellEnd"/>
            <w:r w:rsidRPr="00F7008B">
              <w:rPr>
                <w:sz w:val="19"/>
                <w:szCs w:val="19"/>
                <w:lang w:eastAsia="fr"/>
              </w:rPr>
              <w:t>**</w:t>
            </w:r>
          </w:p>
        </w:tc>
        <w:tc>
          <w:tcPr>
            <w:tcW w:w="1120" w:type="dxa"/>
            <w:tcBorders>
              <w:top w:val="nil"/>
              <w:left w:val="nil"/>
              <w:bottom w:val="single" w:sz="4" w:space="0" w:color="auto"/>
              <w:right w:val="single" w:sz="4" w:space="0" w:color="auto"/>
            </w:tcBorders>
            <w:shd w:val="clear" w:color="auto" w:fill="auto"/>
            <w:noWrap/>
            <w:vAlign w:val="center"/>
            <w:hideMark/>
          </w:tcPr>
          <w:p w14:paraId="1B539AB0" w14:textId="77777777" w:rsidR="007400FC" w:rsidRPr="00F7008B" w:rsidRDefault="007400FC" w:rsidP="007400FC">
            <w:pPr>
              <w:jc w:val="right"/>
              <w:rPr>
                <w:sz w:val="19"/>
                <w:szCs w:val="19"/>
                <w:lang w:eastAsia="en-CA"/>
              </w:rPr>
            </w:pPr>
            <w:r w:rsidRPr="00F7008B">
              <w:rPr>
                <w:sz w:val="19"/>
                <w:szCs w:val="19"/>
                <w:lang w:eastAsia="fr"/>
              </w:rPr>
              <w:t>2</w:t>
            </w:r>
          </w:p>
        </w:tc>
        <w:tc>
          <w:tcPr>
            <w:tcW w:w="1120" w:type="dxa"/>
            <w:tcBorders>
              <w:top w:val="nil"/>
              <w:left w:val="nil"/>
              <w:bottom w:val="single" w:sz="4" w:space="0" w:color="auto"/>
              <w:right w:val="single" w:sz="4" w:space="0" w:color="auto"/>
            </w:tcBorders>
            <w:shd w:val="clear" w:color="auto" w:fill="auto"/>
            <w:noWrap/>
            <w:vAlign w:val="center"/>
            <w:hideMark/>
          </w:tcPr>
          <w:p w14:paraId="71620735" w14:textId="77777777" w:rsidR="007400FC" w:rsidRPr="00F7008B" w:rsidRDefault="007400FC" w:rsidP="007400FC">
            <w:pPr>
              <w:jc w:val="right"/>
              <w:rPr>
                <w:sz w:val="19"/>
                <w:szCs w:val="19"/>
                <w:lang w:eastAsia="en-CA"/>
              </w:rPr>
            </w:pPr>
            <w:r w:rsidRPr="00F7008B">
              <w:rPr>
                <w:sz w:val="19"/>
                <w:szCs w:val="19"/>
                <w:lang w:eastAsia="fr"/>
              </w:rPr>
              <w:t>2</w:t>
            </w:r>
          </w:p>
        </w:tc>
        <w:tc>
          <w:tcPr>
            <w:tcW w:w="1120" w:type="dxa"/>
            <w:tcBorders>
              <w:top w:val="nil"/>
              <w:left w:val="nil"/>
              <w:bottom w:val="single" w:sz="4" w:space="0" w:color="auto"/>
              <w:right w:val="single" w:sz="4" w:space="0" w:color="auto"/>
            </w:tcBorders>
            <w:shd w:val="clear" w:color="auto" w:fill="auto"/>
            <w:noWrap/>
            <w:vAlign w:val="center"/>
            <w:hideMark/>
          </w:tcPr>
          <w:p w14:paraId="58BB8213" w14:textId="77777777" w:rsidR="007400FC" w:rsidRPr="00F7008B" w:rsidRDefault="007400FC" w:rsidP="007400FC">
            <w:pPr>
              <w:jc w:val="right"/>
              <w:rPr>
                <w:sz w:val="19"/>
                <w:szCs w:val="19"/>
                <w:lang w:eastAsia="en-CA"/>
              </w:rPr>
            </w:pPr>
            <w:r w:rsidRPr="00F7008B">
              <w:rPr>
                <w:sz w:val="19"/>
                <w:szCs w:val="19"/>
                <w:lang w:eastAsia="fr"/>
              </w:rPr>
              <w:t>67</w:t>
            </w:r>
          </w:p>
        </w:tc>
        <w:tc>
          <w:tcPr>
            <w:tcW w:w="1072" w:type="dxa"/>
            <w:tcBorders>
              <w:top w:val="nil"/>
              <w:left w:val="nil"/>
              <w:bottom w:val="single" w:sz="4" w:space="0" w:color="auto"/>
              <w:right w:val="single" w:sz="4" w:space="0" w:color="auto"/>
            </w:tcBorders>
            <w:shd w:val="clear" w:color="auto" w:fill="auto"/>
            <w:noWrap/>
            <w:vAlign w:val="center"/>
            <w:hideMark/>
          </w:tcPr>
          <w:p w14:paraId="2C79FCA1" w14:textId="77777777" w:rsidR="007400FC" w:rsidRPr="00F7008B" w:rsidRDefault="007400FC" w:rsidP="007400FC">
            <w:pPr>
              <w:jc w:val="right"/>
              <w:rPr>
                <w:sz w:val="19"/>
                <w:szCs w:val="19"/>
                <w:lang w:eastAsia="en-CA"/>
              </w:rPr>
            </w:pPr>
            <w:r w:rsidRPr="00F7008B">
              <w:rPr>
                <w:sz w:val="19"/>
                <w:szCs w:val="19"/>
                <w:lang w:eastAsia="fr"/>
              </w:rPr>
              <w:t>2 491 791</w:t>
            </w:r>
          </w:p>
        </w:tc>
        <w:tc>
          <w:tcPr>
            <w:tcW w:w="1073" w:type="dxa"/>
            <w:tcBorders>
              <w:top w:val="nil"/>
              <w:left w:val="nil"/>
              <w:bottom w:val="single" w:sz="4" w:space="0" w:color="auto"/>
              <w:right w:val="single" w:sz="4" w:space="0" w:color="auto"/>
            </w:tcBorders>
            <w:shd w:val="clear" w:color="auto" w:fill="auto"/>
            <w:noWrap/>
            <w:vAlign w:val="center"/>
            <w:hideMark/>
          </w:tcPr>
          <w:p w14:paraId="5EDD6B47" w14:textId="78E92ABD" w:rsidR="007400FC" w:rsidRPr="00F7008B" w:rsidRDefault="007400FC" w:rsidP="007400FC">
            <w:pPr>
              <w:jc w:val="right"/>
              <w:rPr>
                <w:sz w:val="19"/>
                <w:szCs w:val="19"/>
                <w:lang w:eastAsia="en-CA"/>
              </w:rPr>
            </w:pPr>
            <w:r w:rsidRPr="00F7008B">
              <w:rPr>
                <w:sz w:val="19"/>
                <w:szCs w:val="19"/>
                <w:lang w:eastAsia="fr"/>
              </w:rPr>
              <w:t>2 073 141</w:t>
            </w:r>
          </w:p>
        </w:tc>
        <w:tc>
          <w:tcPr>
            <w:tcW w:w="1072" w:type="dxa"/>
            <w:tcBorders>
              <w:top w:val="nil"/>
              <w:left w:val="nil"/>
              <w:bottom w:val="single" w:sz="4" w:space="0" w:color="auto"/>
              <w:right w:val="single" w:sz="4" w:space="0" w:color="auto"/>
            </w:tcBorders>
            <w:shd w:val="clear" w:color="auto" w:fill="auto"/>
            <w:noWrap/>
            <w:vAlign w:val="center"/>
            <w:hideMark/>
          </w:tcPr>
          <w:p w14:paraId="6F6964DF" w14:textId="77777777" w:rsidR="007400FC" w:rsidRPr="00F7008B" w:rsidRDefault="007400FC" w:rsidP="007400FC">
            <w:pPr>
              <w:jc w:val="right"/>
              <w:rPr>
                <w:sz w:val="19"/>
                <w:szCs w:val="19"/>
                <w:lang w:eastAsia="en-CA"/>
              </w:rPr>
            </w:pPr>
            <w:r w:rsidRPr="00F7008B">
              <w:rPr>
                <w:sz w:val="19"/>
                <w:szCs w:val="19"/>
                <w:lang w:eastAsia="fr"/>
              </w:rPr>
              <w:t>418 650</w:t>
            </w:r>
          </w:p>
        </w:tc>
        <w:tc>
          <w:tcPr>
            <w:tcW w:w="1073" w:type="dxa"/>
            <w:tcBorders>
              <w:top w:val="nil"/>
              <w:left w:val="nil"/>
              <w:bottom w:val="single" w:sz="4" w:space="0" w:color="auto"/>
              <w:right w:val="single" w:sz="4" w:space="0" w:color="auto"/>
            </w:tcBorders>
            <w:shd w:val="clear" w:color="auto" w:fill="auto"/>
            <w:noWrap/>
            <w:vAlign w:val="center"/>
            <w:hideMark/>
          </w:tcPr>
          <w:p w14:paraId="394FB64C" w14:textId="77777777" w:rsidR="007400FC" w:rsidRPr="00F7008B" w:rsidRDefault="007400FC" w:rsidP="007400FC">
            <w:pPr>
              <w:jc w:val="right"/>
              <w:rPr>
                <w:sz w:val="19"/>
                <w:szCs w:val="19"/>
                <w:lang w:eastAsia="en-CA"/>
              </w:rPr>
            </w:pPr>
            <w:r w:rsidRPr="00F7008B">
              <w:rPr>
                <w:sz w:val="19"/>
                <w:szCs w:val="19"/>
                <w:lang w:eastAsia="fr"/>
              </w:rPr>
              <w:t>83</w:t>
            </w:r>
          </w:p>
        </w:tc>
      </w:tr>
      <w:tr w:rsidR="007D709D" w:rsidRPr="00F7008B" w14:paraId="31A38DAA" w14:textId="77777777" w:rsidTr="00BE03E3">
        <w:tc>
          <w:tcPr>
            <w:tcW w:w="1890" w:type="dxa"/>
            <w:tcBorders>
              <w:top w:val="nil"/>
              <w:left w:val="single" w:sz="4" w:space="0" w:color="auto"/>
              <w:bottom w:val="single" w:sz="4" w:space="0" w:color="auto"/>
              <w:right w:val="single" w:sz="4" w:space="0" w:color="auto"/>
            </w:tcBorders>
            <w:shd w:val="clear" w:color="auto" w:fill="auto"/>
            <w:vAlign w:val="center"/>
            <w:hideMark/>
          </w:tcPr>
          <w:p w14:paraId="2FEB1112" w14:textId="77777777" w:rsidR="007400FC" w:rsidRPr="00822BBF" w:rsidRDefault="007400FC" w:rsidP="007400FC">
            <w:pPr>
              <w:jc w:val="left"/>
              <w:rPr>
                <w:sz w:val="19"/>
                <w:szCs w:val="19"/>
                <w:lang w:val="fr-FR" w:eastAsia="en-CA"/>
              </w:rPr>
            </w:pPr>
            <w:r w:rsidRPr="00822BBF">
              <w:rPr>
                <w:sz w:val="19"/>
                <w:szCs w:val="19"/>
                <w:lang w:val="fr-FR" w:eastAsia="fr"/>
              </w:rPr>
              <w:t>Assistance technique - Activités de facilitation</w:t>
            </w:r>
          </w:p>
        </w:tc>
        <w:tc>
          <w:tcPr>
            <w:tcW w:w="1120" w:type="dxa"/>
            <w:tcBorders>
              <w:top w:val="nil"/>
              <w:left w:val="nil"/>
              <w:bottom w:val="single" w:sz="4" w:space="0" w:color="auto"/>
              <w:right w:val="single" w:sz="4" w:space="0" w:color="auto"/>
            </w:tcBorders>
            <w:shd w:val="clear" w:color="auto" w:fill="auto"/>
            <w:noWrap/>
            <w:vAlign w:val="center"/>
            <w:hideMark/>
          </w:tcPr>
          <w:p w14:paraId="67FAA78B" w14:textId="77777777" w:rsidR="007400FC" w:rsidRPr="00F7008B" w:rsidRDefault="007400FC" w:rsidP="007400FC">
            <w:pPr>
              <w:jc w:val="right"/>
              <w:rPr>
                <w:sz w:val="19"/>
                <w:szCs w:val="19"/>
                <w:lang w:eastAsia="en-CA"/>
              </w:rPr>
            </w:pPr>
            <w:r w:rsidRPr="00F7008B">
              <w:rPr>
                <w:sz w:val="19"/>
                <w:szCs w:val="19"/>
                <w:lang w:eastAsia="fr"/>
              </w:rPr>
              <w:t>8</w:t>
            </w:r>
          </w:p>
        </w:tc>
        <w:tc>
          <w:tcPr>
            <w:tcW w:w="1120" w:type="dxa"/>
            <w:tcBorders>
              <w:top w:val="nil"/>
              <w:left w:val="nil"/>
              <w:bottom w:val="single" w:sz="4" w:space="0" w:color="auto"/>
              <w:right w:val="single" w:sz="4" w:space="0" w:color="auto"/>
            </w:tcBorders>
            <w:shd w:val="clear" w:color="auto" w:fill="auto"/>
            <w:vAlign w:val="center"/>
            <w:hideMark/>
          </w:tcPr>
          <w:p w14:paraId="15FA6EB1" w14:textId="77777777" w:rsidR="007400FC" w:rsidRPr="00F7008B" w:rsidRDefault="007400FC" w:rsidP="007400FC">
            <w:pPr>
              <w:jc w:val="right"/>
              <w:rPr>
                <w:sz w:val="19"/>
                <w:szCs w:val="19"/>
                <w:lang w:eastAsia="en-CA"/>
              </w:rPr>
            </w:pPr>
            <w:r w:rsidRPr="00F7008B">
              <w:rPr>
                <w:sz w:val="19"/>
                <w:szCs w:val="19"/>
                <w:lang w:eastAsia="fr"/>
              </w:rPr>
              <w:t>0</w:t>
            </w:r>
          </w:p>
        </w:tc>
        <w:tc>
          <w:tcPr>
            <w:tcW w:w="1120" w:type="dxa"/>
            <w:tcBorders>
              <w:top w:val="nil"/>
              <w:left w:val="nil"/>
              <w:bottom w:val="single" w:sz="4" w:space="0" w:color="auto"/>
              <w:right w:val="single" w:sz="4" w:space="0" w:color="auto"/>
            </w:tcBorders>
            <w:shd w:val="clear" w:color="auto" w:fill="auto"/>
            <w:noWrap/>
            <w:vAlign w:val="center"/>
            <w:hideMark/>
          </w:tcPr>
          <w:p w14:paraId="4375450E" w14:textId="77777777" w:rsidR="007400FC" w:rsidRPr="00F7008B" w:rsidRDefault="007400FC" w:rsidP="007400FC">
            <w:pPr>
              <w:jc w:val="right"/>
              <w:rPr>
                <w:sz w:val="19"/>
                <w:szCs w:val="19"/>
                <w:lang w:eastAsia="en-CA"/>
              </w:rPr>
            </w:pPr>
            <w:r w:rsidRPr="00F7008B">
              <w:rPr>
                <w:sz w:val="19"/>
                <w:szCs w:val="19"/>
                <w:lang w:eastAsia="fr"/>
              </w:rPr>
              <w:t>0</w:t>
            </w:r>
          </w:p>
        </w:tc>
        <w:tc>
          <w:tcPr>
            <w:tcW w:w="1072" w:type="dxa"/>
            <w:tcBorders>
              <w:top w:val="nil"/>
              <w:left w:val="nil"/>
              <w:bottom w:val="single" w:sz="4" w:space="0" w:color="auto"/>
              <w:right w:val="single" w:sz="4" w:space="0" w:color="auto"/>
            </w:tcBorders>
            <w:shd w:val="clear" w:color="auto" w:fill="auto"/>
            <w:vAlign w:val="center"/>
            <w:hideMark/>
          </w:tcPr>
          <w:p w14:paraId="04E7123D" w14:textId="77777777" w:rsidR="007400FC" w:rsidRPr="00F7008B" w:rsidRDefault="007400FC" w:rsidP="007400FC">
            <w:pPr>
              <w:jc w:val="right"/>
              <w:rPr>
                <w:sz w:val="19"/>
                <w:szCs w:val="19"/>
                <w:lang w:eastAsia="en-CA"/>
              </w:rPr>
            </w:pPr>
            <w:r w:rsidRPr="00F7008B">
              <w:rPr>
                <w:sz w:val="19"/>
                <w:szCs w:val="19"/>
                <w:lang w:eastAsia="fr"/>
              </w:rPr>
              <w:t>644 000</w:t>
            </w:r>
          </w:p>
        </w:tc>
        <w:tc>
          <w:tcPr>
            <w:tcW w:w="1073" w:type="dxa"/>
            <w:tcBorders>
              <w:top w:val="nil"/>
              <w:left w:val="nil"/>
              <w:bottom w:val="single" w:sz="4" w:space="0" w:color="auto"/>
              <w:right w:val="single" w:sz="4" w:space="0" w:color="auto"/>
            </w:tcBorders>
            <w:shd w:val="clear" w:color="auto" w:fill="auto"/>
            <w:vAlign w:val="center"/>
            <w:hideMark/>
          </w:tcPr>
          <w:p w14:paraId="2FB37412" w14:textId="77777777" w:rsidR="007400FC" w:rsidRPr="00F7008B" w:rsidRDefault="007400FC" w:rsidP="007400FC">
            <w:pPr>
              <w:jc w:val="right"/>
              <w:rPr>
                <w:sz w:val="19"/>
                <w:szCs w:val="19"/>
                <w:lang w:eastAsia="en-CA"/>
              </w:rPr>
            </w:pPr>
            <w:r w:rsidRPr="00F7008B">
              <w:rPr>
                <w:sz w:val="19"/>
                <w:szCs w:val="19"/>
                <w:lang w:eastAsia="fr"/>
              </w:rPr>
              <w:t>171 405</w:t>
            </w:r>
          </w:p>
        </w:tc>
        <w:tc>
          <w:tcPr>
            <w:tcW w:w="1072" w:type="dxa"/>
            <w:tcBorders>
              <w:top w:val="nil"/>
              <w:left w:val="nil"/>
              <w:bottom w:val="single" w:sz="4" w:space="0" w:color="auto"/>
              <w:right w:val="single" w:sz="4" w:space="0" w:color="auto"/>
            </w:tcBorders>
            <w:shd w:val="clear" w:color="auto" w:fill="auto"/>
            <w:vAlign w:val="center"/>
            <w:hideMark/>
          </w:tcPr>
          <w:p w14:paraId="12789C13" w14:textId="77777777" w:rsidR="007400FC" w:rsidRPr="00F7008B" w:rsidRDefault="007400FC" w:rsidP="007400FC">
            <w:pPr>
              <w:jc w:val="right"/>
              <w:rPr>
                <w:sz w:val="19"/>
                <w:szCs w:val="19"/>
                <w:lang w:eastAsia="en-CA"/>
              </w:rPr>
            </w:pPr>
            <w:r w:rsidRPr="00F7008B">
              <w:rPr>
                <w:sz w:val="19"/>
                <w:szCs w:val="19"/>
                <w:lang w:eastAsia="fr"/>
              </w:rPr>
              <w:t>472 595</w:t>
            </w:r>
          </w:p>
        </w:tc>
        <w:tc>
          <w:tcPr>
            <w:tcW w:w="1073" w:type="dxa"/>
            <w:tcBorders>
              <w:top w:val="nil"/>
              <w:left w:val="nil"/>
              <w:bottom w:val="single" w:sz="4" w:space="0" w:color="auto"/>
              <w:right w:val="single" w:sz="4" w:space="0" w:color="auto"/>
            </w:tcBorders>
            <w:shd w:val="clear" w:color="auto" w:fill="auto"/>
            <w:noWrap/>
            <w:vAlign w:val="center"/>
            <w:hideMark/>
          </w:tcPr>
          <w:p w14:paraId="38084DF5" w14:textId="77777777" w:rsidR="007400FC" w:rsidRPr="00F7008B" w:rsidRDefault="007400FC" w:rsidP="007400FC">
            <w:pPr>
              <w:jc w:val="right"/>
              <w:rPr>
                <w:sz w:val="19"/>
                <w:szCs w:val="19"/>
                <w:lang w:eastAsia="en-CA"/>
              </w:rPr>
            </w:pPr>
            <w:r w:rsidRPr="00F7008B">
              <w:rPr>
                <w:sz w:val="19"/>
                <w:szCs w:val="19"/>
                <w:lang w:eastAsia="fr"/>
              </w:rPr>
              <w:t>27</w:t>
            </w:r>
          </w:p>
        </w:tc>
      </w:tr>
      <w:tr w:rsidR="007D709D" w:rsidRPr="00F7008B" w14:paraId="1D244E22" w14:textId="77777777" w:rsidTr="00BE03E3">
        <w:tc>
          <w:tcPr>
            <w:tcW w:w="1890" w:type="dxa"/>
            <w:tcBorders>
              <w:top w:val="nil"/>
              <w:left w:val="single" w:sz="4" w:space="0" w:color="auto"/>
              <w:bottom w:val="single" w:sz="4" w:space="0" w:color="auto"/>
              <w:right w:val="single" w:sz="4" w:space="0" w:color="auto"/>
            </w:tcBorders>
            <w:shd w:val="clear" w:color="auto" w:fill="auto"/>
            <w:vAlign w:val="center"/>
            <w:hideMark/>
          </w:tcPr>
          <w:p w14:paraId="6A7E8E8B" w14:textId="77777777" w:rsidR="007400FC" w:rsidRPr="00F7008B" w:rsidRDefault="007400FC" w:rsidP="007400FC">
            <w:pPr>
              <w:jc w:val="left"/>
              <w:rPr>
                <w:b/>
                <w:bCs/>
                <w:sz w:val="19"/>
                <w:szCs w:val="19"/>
                <w:lang w:eastAsia="en-CA"/>
              </w:rPr>
            </w:pPr>
            <w:r w:rsidRPr="00F7008B">
              <w:rPr>
                <w:b/>
                <w:bCs/>
                <w:sz w:val="19"/>
                <w:szCs w:val="19"/>
                <w:lang w:eastAsia="fr"/>
              </w:rPr>
              <w:t>Total</w:t>
            </w:r>
          </w:p>
        </w:tc>
        <w:tc>
          <w:tcPr>
            <w:tcW w:w="1120" w:type="dxa"/>
            <w:tcBorders>
              <w:top w:val="nil"/>
              <w:left w:val="nil"/>
              <w:bottom w:val="single" w:sz="4" w:space="0" w:color="auto"/>
              <w:right w:val="single" w:sz="4" w:space="0" w:color="auto"/>
            </w:tcBorders>
            <w:shd w:val="clear" w:color="auto" w:fill="auto"/>
            <w:noWrap/>
            <w:vAlign w:val="center"/>
            <w:hideMark/>
          </w:tcPr>
          <w:p w14:paraId="142F57E5" w14:textId="77777777" w:rsidR="007400FC" w:rsidRPr="00F7008B" w:rsidRDefault="007400FC" w:rsidP="007400FC">
            <w:pPr>
              <w:jc w:val="right"/>
              <w:rPr>
                <w:b/>
                <w:bCs/>
                <w:sz w:val="19"/>
                <w:szCs w:val="19"/>
                <w:lang w:eastAsia="en-CA"/>
              </w:rPr>
            </w:pPr>
            <w:r w:rsidRPr="00F7008B">
              <w:rPr>
                <w:b/>
                <w:bCs/>
                <w:sz w:val="19"/>
                <w:szCs w:val="19"/>
                <w:lang w:eastAsia="fr"/>
              </w:rPr>
              <w:t>11</w:t>
            </w:r>
          </w:p>
        </w:tc>
        <w:tc>
          <w:tcPr>
            <w:tcW w:w="1120" w:type="dxa"/>
            <w:tcBorders>
              <w:top w:val="nil"/>
              <w:left w:val="nil"/>
              <w:bottom w:val="single" w:sz="4" w:space="0" w:color="auto"/>
              <w:right w:val="single" w:sz="4" w:space="0" w:color="auto"/>
            </w:tcBorders>
            <w:shd w:val="clear" w:color="auto" w:fill="auto"/>
            <w:vAlign w:val="center"/>
            <w:hideMark/>
          </w:tcPr>
          <w:p w14:paraId="774BA728" w14:textId="77777777" w:rsidR="007400FC" w:rsidRPr="00F7008B" w:rsidRDefault="007400FC" w:rsidP="007400FC">
            <w:pPr>
              <w:jc w:val="right"/>
              <w:rPr>
                <w:b/>
                <w:bCs/>
                <w:sz w:val="19"/>
                <w:szCs w:val="19"/>
                <w:lang w:eastAsia="en-CA"/>
              </w:rPr>
            </w:pPr>
            <w:r w:rsidRPr="00F7008B">
              <w:rPr>
                <w:b/>
                <w:bCs/>
                <w:sz w:val="19"/>
                <w:szCs w:val="19"/>
                <w:lang w:eastAsia="fr"/>
              </w:rPr>
              <w:t>2</w:t>
            </w:r>
          </w:p>
        </w:tc>
        <w:tc>
          <w:tcPr>
            <w:tcW w:w="1120" w:type="dxa"/>
            <w:tcBorders>
              <w:top w:val="nil"/>
              <w:left w:val="nil"/>
              <w:bottom w:val="single" w:sz="4" w:space="0" w:color="auto"/>
              <w:right w:val="single" w:sz="4" w:space="0" w:color="auto"/>
            </w:tcBorders>
            <w:shd w:val="clear" w:color="auto" w:fill="auto"/>
            <w:noWrap/>
            <w:vAlign w:val="center"/>
            <w:hideMark/>
          </w:tcPr>
          <w:p w14:paraId="2C58A7DD" w14:textId="77777777" w:rsidR="007400FC" w:rsidRPr="00F7008B" w:rsidRDefault="007400FC" w:rsidP="007400FC">
            <w:pPr>
              <w:jc w:val="right"/>
              <w:rPr>
                <w:b/>
                <w:bCs/>
                <w:sz w:val="19"/>
                <w:szCs w:val="19"/>
                <w:lang w:eastAsia="en-CA"/>
              </w:rPr>
            </w:pPr>
            <w:r w:rsidRPr="00F7008B">
              <w:rPr>
                <w:b/>
                <w:bCs/>
                <w:sz w:val="19"/>
                <w:szCs w:val="19"/>
                <w:lang w:eastAsia="fr"/>
              </w:rPr>
              <w:t>18</w:t>
            </w:r>
          </w:p>
        </w:tc>
        <w:tc>
          <w:tcPr>
            <w:tcW w:w="1072" w:type="dxa"/>
            <w:tcBorders>
              <w:top w:val="nil"/>
              <w:left w:val="nil"/>
              <w:bottom w:val="single" w:sz="4" w:space="0" w:color="auto"/>
              <w:right w:val="single" w:sz="4" w:space="0" w:color="auto"/>
            </w:tcBorders>
            <w:shd w:val="clear" w:color="auto" w:fill="auto"/>
            <w:vAlign w:val="center"/>
            <w:hideMark/>
          </w:tcPr>
          <w:p w14:paraId="602C865A" w14:textId="77777777" w:rsidR="007400FC" w:rsidRPr="00F7008B" w:rsidRDefault="007400FC" w:rsidP="007400FC">
            <w:pPr>
              <w:jc w:val="right"/>
              <w:rPr>
                <w:b/>
                <w:bCs/>
                <w:sz w:val="19"/>
                <w:szCs w:val="19"/>
                <w:lang w:eastAsia="en-CA"/>
              </w:rPr>
            </w:pPr>
            <w:r w:rsidRPr="00F7008B">
              <w:rPr>
                <w:b/>
                <w:bCs/>
                <w:sz w:val="19"/>
                <w:szCs w:val="19"/>
                <w:lang w:eastAsia="fr"/>
              </w:rPr>
              <w:t>3 135 791</w:t>
            </w:r>
          </w:p>
        </w:tc>
        <w:tc>
          <w:tcPr>
            <w:tcW w:w="1073" w:type="dxa"/>
            <w:tcBorders>
              <w:top w:val="nil"/>
              <w:left w:val="nil"/>
              <w:bottom w:val="single" w:sz="4" w:space="0" w:color="auto"/>
              <w:right w:val="single" w:sz="4" w:space="0" w:color="auto"/>
            </w:tcBorders>
            <w:shd w:val="clear" w:color="auto" w:fill="auto"/>
            <w:vAlign w:val="center"/>
            <w:hideMark/>
          </w:tcPr>
          <w:p w14:paraId="272B05F6" w14:textId="77777777" w:rsidR="007400FC" w:rsidRPr="00F7008B" w:rsidRDefault="007400FC" w:rsidP="007400FC">
            <w:pPr>
              <w:jc w:val="right"/>
              <w:rPr>
                <w:b/>
                <w:bCs/>
                <w:sz w:val="19"/>
                <w:szCs w:val="19"/>
                <w:lang w:eastAsia="en-CA"/>
              </w:rPr>
            </w:pPr>
            <w:r w:rsidRPr="00F7008B">
              <w:rPr>
                <w:b/>
                <w:bCs/>
                <w:sz w:val="19"/>
                <w:szCs w:val="19"/>
                <w:lang w:eastAsia="fr"/>
              </w:rPr>
              <w:t>2 244 546</w:t>
            </w:r>
          </w:p>
        </w:tc>
        <w:tc>
          <w:tcPr>
            <w:tcW w:w="1072" w:type="dxa"/>
            <w:tcBorders>
              <w:top w:val="nil"/>
              <w:left w:val="nil"/>
              <w:bottom w:val="single" w:sz="4" w:space="0" w:color="auto"/>
              <w:right w:val="single" w:sz="4" w:space="0" w:color="auto"/>
            </w:tcBorders>
            <w:shd w:val="clear" w:color="auto" w:fill="auto"/>
            <w:vAlign w:val="center"/>
            <w:hideMark/>
          </w:tcPr>
          <w:p w14:paraId="38906AFC" w14:textId="77777777" w:rsidR="007400FC" w:rsidRPr="00F7008B" w:rsidRDefault="007400FC" w:rsidP="007400FC">
            <w:pPr>
              <w:jc w:val="right"/>
              <w:rPr>
                <w:b/>
                <w:bCs/>
                <w:sz w:val="19"/>
                <w:szCs w:val="19"/>
                <w:lang w:eastAsia="en-CA"/>
              </w:rPr>
            </w:pPr>
            <w:r w:rsidRPr="00F7008B">
              <w:rPr>
                <w:b/>
                <w:bCs/>
                <w:sz w:val="19"/>
                <w:szCs w:val="19"/>
                <w:lang w:eastAsia="fr"/>
              </w:rPr>
              <w:t>891 245</w:t>
            </w:r>
          </w:p>
        </w:tc>
        <w:tc>
          <w:tcPr>
            <w:tcW w:w="1073" w:type="dxa"/>
            <w:tcBorders>
              <w:top w:val="nil"/>
              <w:left w:val="nil"/>
              <w:bottom w:val="single" w:sz="4" w:space="0" w:color="auto"/>
              <w:right w:val="single" w:sz="4" w:space="0" w:color="auto"/>
            </w:tcBorders>
            <w:shd w:val="clear" w:color="auto" w:fill="auto"/>
            <w:noWrap/>
            <w:vAlign w:val="center"/>
            <w:hideMark/>
          </w:tcPr>
          <w:p w14:paraId="17651D5E" w14:textId="77777777" w:rsidR="007400FC" w:rsidRPr="00F7008B" w:rsidRDefault="007400FC" w:rsidP="007400FC">
            <w:pPr>
              <w:jc w:val="right"/>
              <w:rPr>
                <w:b/>
                <w:bCs/>
                <w:sz w:val="19"/>
                <w:szCs w:val="19"/>
                <w:lang w:eastAsia="en-CA"/>
              </w:rPr>
            </w:pPr>
            <w:r w:rsidRPr="00F7008B">
              <w:rPr>
                <w:b/>
                <w:bCs/>
                <w:sz w:val="19"/>
                <w:szCs w:val="19"/>
                <w:lang w:eastAsia="fr"/>
              </w:rPr>
              <w:t>72</w:t>
            </w:r>
          </w:p>
        </w:tc>
      </w:tr>
    </w:tbl>
    <w:p w14:paraId="14D61D8F" w14:textId="18EA2407" w:rsidR="00E52ADD" w:rsidRPr="00822BBF" w:rsidRDefault="00E52ADD" w:rsidP="00E52ADD">
      <w:pPr>
        <w:rPr>
          <w:sz w:val="19"/>
          <w:szCs w:val="19"/>
          <w:lang w:val="fr-FR"/>
        </w:rPr>
      </w:pPr>
      <w:r w:rsidRPr="00822BBF">
        <w:rPr>
          <w:sz w:val="19"/>
          <w:szCs w:val="19"/>
          <w:lang w:val="fr-FR"/>
        </w:rPr>
        <w:t xml:space="preserve">* À l'exclusion des coûts d'appui d'agence. </w:t>
      </w:r>
    </w:p>
    <w:p w14:paraId="7538BB0E" w14:textId="4EF3D4FD" w:rsidR="00E52ADD" w:rsidRPr="00822BBF" w:rsidRDefault="00E52ADD" w:rsidP="00E52ADD">
      <w:pPr>
        <w:rPr>
          <w:sz w:val="19"/>
          <w:szCs w:val="19"/>
          <w:lang w:val="fr-FR"/>
        </w:rPr>
      </w:pPr>
      <w:r w:rsidRPr="00822BBF">
        <w:rPr>
          <w:sz w:val="19"/>
          <w:szCs w:val="19"/>
          <w:lang w:val="fr-FR"/>
        </w:rPr>
        <w:t xml:space="preserve">** 142,8 </w:t>
      </w:r>
      <w:proofErr w:type="spellStart"/>
      <w:r w:rsidRPr="00822BBF">
        <w:rPr>
          <w:sz w:val="19"/>
          <w:szCs w:val="19"/>
          <w:lang w:val="fr-FR"/>
        </w:rPr>
        <w:t>tm</w:t>
      </w:r>
      <w:proofErr w:type="spellEnd"/>
      <w:r w:rsidRPr="00822BBF">
        <w:rPr>
          <w:sz w:val="19"/>
          <w:szCs w:val="19"/>
          <w:lang w:val="fr-FR"/>
        </w:rPr>
        <w:t xml:space="preserve"> (240 094 </w:t>
      </w:r>
      <w:proofErr w:type="spellStart"/>
      <w:r w:rsidRPr="00822BBF">
        <w:rPr>
          <w:sz w:val="19"/>
          <w:szCs w:val="19"/>
          <w:lang w:val="fr-FR"/>
        </w:rPr>
        <w:t>tm</w:t>
      </w:r>
      <w:proofErr w:type="spellEnd"/>
      <w:r w:rsidRPr="00822BBF">
        <w:rPr>
          <w:sz w:val="19"/>
          <w:szCs w:val="19"/>
          <w:lang w:val="fr-FR"/>
        </w:rPr>
        <w:t xml:space="preserve"> CO</w:t>
      </w:r>
      <w:r w:rsidRPr="00822BBF">
        <w:rPr>
          <w:sz w:val="19"/>
          <w:szCs w:val="19"/>
          <w:vertAlign w:val="subscript"/>
          <w:lang w:val="fr-FR"/>
        </w:rPr>
        <w:t>2</w:t>
      </w:r>
      <w:r w:rsidR="00F2646A" w:rsidRPr="00822BBF">
        <w:rPr>
          <w:sz w:val="19"/>
          <w:szCs w:val="19"/>
          <w:lang w:val="fr-FR"/>
        </w:rPr>
        <w:t>-éq.) ont</w:t>
      </w:r>
      <w:r w:rsidRPr="00822BBF">
        <w:rPr>
          <w:sz w:val="19"/>
          <w:szCs w:val="19"/>
          <w:lang w:val="fr-FR"/>
        </w:rPr>
        <w:t xml:space="preserve"> été </w:t>
      </w:r>
      <w:r w:rsidRPr="00781759">
        <w:rPr>
          <w:sz w:val="19"/>
          <w:szCs w:val="19"/>
          <w:lang w:val="fr-FR"/>
        </w:rPr>
        <w:t>approuvé</w:t>
      </w:r>
      <w:r w:rsidR="00F2646A" w:rsidRPr="00781759">
        <w:rPr>
          <w:sz w:val="19"/>
          <w:szCs w:val="19"/>
          <w:lang w:val="fr-FR"/>
        </w:rPr>
        <w:t>es</w:t>
      </w:r>
      <w:r w:rsidRPr="00781759">
        <w:rPr>
          <w:sz w:val="19"/>
          <w:szCs w:val="19"/>
          <w:lang w:val="fr-FR"/>
        </w:rPr>
        <w:t xml:space="preserve"> </w:t>
      </w:r>
      <w:r w:rsidR="00F2646A" w:rsidRPr="00781759">
        <w:rPr>
          <w:sz w:val="19"/>
          <w:szCs w:val="19"/>
          <w:lang w:val="fr-FR"/>
        </w:rPr>
        <w:t>d</w:t>
      </w:r>
      <w:r w:rsidR="00F2646A" w:rsidRPr="00822BBF">
        <w:rPr>
          <w:sz w:val="19"/>
          <w:szCs w:val="19"/>
          <w:lang w:val="fr-FR"/>
        </w:rPr>
        <w:t>ans le cadre de</w:t>
      </w:r>
      <w:r w:rsidRPr="00822BBF">
        <w:rPr>
          <w:sz w:val="19"/>
          <w:szCs w:val="19"/>
          <w:lang w:val="fr-FR"/>
        </w:rPr>
        <w:t xml:space="preserve"> projets d'investissement.</w:t>
      </w:r>
    </w:p>
    <w:p w14:paraId="1C6D0C90" w14:textId="77777777" w:rsidR="00E52ADD" w:rsidRPr="00822BBF" w:rsidRDefault="00E52ADD" w:rsidP="00E52ADD">
      <w:pPr>
        <w:rPr>
          <w:sz w:val="20"/>
          <w:szCs w:val="20"/>
          <w:lang w:val="fr-FR"/>
        </w:rPr>
      </w:pPr>
    </w:p>
    <w:p w14:paraId="1E87A92F" w14:textId="63A12FCC" w:rsidR="00E52ADD" w:rsidRPr="00822BBF" w:rsidRDefault="00E52ADD" w:rsidP="00E52ADD">
      <w:pPr>
        <w:pStyle w:val="Heading1"/>
        <w:tabs>
          <w:tab w:val="clear" w:pos="0"/>
        </w:tabs>
        <w:rPr>
          <w:lang w:val="fr-FR"/>
        </w:rPr>
      </w:pPr>
      <w:r w:rsidRPr="00822BBF">
        <w:rPr>
          <w:lang w:val="fr-FR"/>
        </w:rPr>
        <w:t>Il existe actuellement 11 projets liés aux HFC (dont trois projets d'investissement et huit activités habilitantes). Sur les 11 projets, deux projets d'investissement ont été achevés et neuf suivent leur cours. L'ajournement de l'échéance de huit activités habilitantes a été approuvé ; ces activités en cours sont à divers stades de mise en œuvre.</w:t>
      </w:r>
    </w:p>
    <w:p w14:paraId="557244BE" w14:textId="0B627103" w:rsidR="00E52ADD" w:rsidRPr="00F7008B" w:rsidRDefault="004E02F8" w:rsidP="00E52ADD">
      <w:pPr>
        <w:pStyle w:val="Heading1"/>
        <w:tabs>
          <w:tab w:val="clear" w:pos="0"/>
        </w:tabs>
      </w:pPr>
      <w:r w:rsidRPr="00822BBF">
        <w:rPr>
          <w:lang w:val="fr-FR"/>
        </w:rPr>
        <w:t>L'ajournement de l'échéance du projet d'investissement en cours résiduel a été approuvé à la 87</w:t>
      </w:r>
      <w:r w:rsidRPr="00822BBF">
        <w:rPr>
          <w:vertAlign w:val="superscript"/>
          <w:lang w:val="fr-FR"/>
        </w:rPr>
        <w:t>e</w:t>
      </w:r>
      <w:r w:rsidR="000C6BEA" w:rsidRPr="00822BBF">
        <w:rPr>
          <w:lang w:val="fr-FR"/>
        </w:rPr>
        <w:t> </w:t>
      </w:r>
      <w:r w:rsidRPr="00822BBF">
        <w:rPr>
          <w:lang w:val="fr-FR"/>
        </w:rPr>
        <w:t xml:space="preserve">réunion. </w:t>
      </w:r>
      <w:r w:rsidRPr="00F7008B">
        <w:t xml:space="preserve">Le </w:t>
      </w:r>
      <w:proofErr w:type="spellStart"/>
      <w:r w:rsidRPr="00F7008B">
        <w:t>projet</w:t>
      </w:r>
      <w:proofErr w:type="spellEnd"/>
      <w:r w:rsidRPr="00F7008B">
        <w:t xml:space="preserve"> </w:t>
      </w:r>
      <w:proofErr w:type="spellStart"/>
      <w:r w:rsidRPr="00F7008B">
        <w:t>devrait</w:t>
      </w:r>
      <w:proofErr w:type="spellEnd"/>
      <w:r w:rsidRPr="00F7008B">
        <w:t xml:space="preserve"> </w:t>
      </w:r>
      <w:proofErr w:type="spellStart"/>
      <w:r w:rsidRPr="00F7008B">
        <w:t>être</w:t>
      </w:r>
      <w:proofErr w:type="spellEnd"/>
      <w:r w:rsidRPr="00F7008B">
        <w:t xml:space="preserve"> </w:t>
      </w:r>
      <w:proofErr w:type="spellStart"/>
      <w:r w:rsidRPr="00F7008B">
        <w:t>achevé</w:t>
      </w:r>
      <w:proofErr w:type="spellEnd"/>
      <w:r w:rsidRPr="00F7008B">
        <w:t xml:space="preserve"> </w:t>
      </w:r>
      <w:proofErr w:type="spellStart"/>
      <w:r w:rsidRPr="00F7008B">
        <w:t>en</w:t>
      </w:r>
      <w:proofErr w:type="spellEnd"/>
      <w:r w:rsidRPr="00F7008B">
        <w:t xml:space="preserve"> 2022. </w:t>
      </w:r>
    </w:p>
    <w:p w14:paraId="1BC4109B" w14:textId="1969FA27" w:rsidR="00E52ADD" w:rsidRPr="00822BBF" w:rsidRDefault="00E52ADD" w:rsidP="004E02F8">
      <w:pPr>
        <w:pStyle w:val="Heading1"/>
        <w:rPr>
          <w:lang w:val="fr-FR"/>
        </w:rPr>
      </w:pPr>
      <w:r w:rsidRPr="00822BBF">
        <w:rPr>
          <w:lang w:val="fr-FR"/>
        </w:rPr>
        <w:t xml:space="preserve">Sur </w:t>
      </w:r>
      <w:r w:rsidR="000C6BEA" w:rsidRPr="00822BBF">
        <w:rPr>
          <w:lang w:val="fr-FR"/>
        </w:rPr>
        <w:t>un</w:t>
      </w:r>
      <w:r w:rsidRPr="00822BBF">
        <w:rPr>
          <w:lang w:val="fr-FR"/>
        </w:rPr>
        <w:t xml:space="preserve"> financement </w:t>
      </w:r>
      <w:r w:rsidR="000C6BEA" w:rsidRPr="00822BBF">
        <w:rPr>
          <w:lang w:val="fr-FR"/>
        </w:rPr>
        <w:t>cumulé</w:t>
      </w:r>
      <w:r w:rsidRPr="00822BBF">
        <w:rPr>
          <w:lang w:val="fr-FR"/>
        </w:rPr>
        <w:t xml:space="preserve"> total approuvé de 3 135 791 $US (à l'exclusion des coûts d'appui d'agence), 2 244 546 $US ont été décaissés, ce qui représente un taux de décaissement de 72 %.</w:t>
      </w:r>
    </w:p>
    <w:p w14:paraId="4BBDCD25" w14:textId="6DB221EA" w:rsidR="00E52ADD" w:rsidRPr="00822BBF" w:rsidRDefault="000C6BEA" w:rsidP="00E52ADD">
      <w:pPr>
        <w:pStyle w:val="Heading1"/>
        <w:keepNext/>
        <w:keepLines/>
        <w:numPr>
          <w:ilvl w:val="0"/>
          <w:numId w:val="0"/>
        </w:numPr>
        <w:ind w:left="1418" w:hanging="1418"/>
        <w:rPr>
          <w:rFonts w:ascii="Times New Roman Bold" w:hAnsi="Times New Roman Bold"/>
          <w:caps/>
          <w:szCs w:val="28"/>
          <w:lang w:val="fr-FR"/>
        </w:rPr>
      </w:pPr>
      <w:r w:rsidRPr="00822BBF">
        <w:rPr>
          <w:rFonts w:ascii="Times New Roman Bold" w:hAnsi="Times New Roman Bold"/>
          <w:b/>
          <w:caps/>
          <w:szCs w:val="28"/>
          <w:lang w:val="fr-FR"/>
        </w:rPr>
        <w:t xml:space="preserve">Partie </w:t>
      </w:r>
      <w:proofErr w:type="gramStart"/>
      <w:r w:rsidRPr="00822BBF">
        <w:rPr>
          <w:rFonts w:ascii="Times New Roman Bold" w:hAnsi="Times New Roman Bold"/>
          <w:b/>
          <w:caps/>
          <w:szCs w:val="28"/>
          <w:lang w:val="fr-FR"/>
        </w:rPr>
        <w:t>II:</w:t>
      </w:r>
      <w:proofErr w:type="gramEnd"/>
      <w:r w:rsidRPr="00822BBF">
        <w:rPr>
          <w:rFonts w:ascii="Times New Roman Bold" w:hAnsi="Times New Roman Bold"/>
          <w:b/>
          <w:caps/>
          <w:szCs w:val="28"/>
          <w:lang w:val="fr-FR"/>
        </w:rPr>
        <w:tab/>
      </w:r>
      <w:r w:rsidR="00E52ADD" w:rsidRPr="00822BBF">
        <w:rPr>
          <w:rFonts w:ascii="Times New Roman Bold" w:hAnsi="Times New Roman Bold"/>
          <w:b/>
          <w:caps/>
          <w:szCs w:val="28"/>
          <w:lang w:val="fr-FR"/>
        </w:rPr>
        <w:t>Projets approuvés dans le cadre des contributions volontaires supplémentaires en vue d’un soutien au démarrage rapide de la réduction progressive des HFC</w:t>
      </w:r>
    </w:p>
    <w:p w14:paraId="4B73DF2E" w14:textId="77777777" w:rsidR="00E52ADD" w:rsidRPr="00822BBF" w:rsidRDefault="00E52ADD" w:rsidP="00696730">
      <w:pPr>
        <w:pStyle w:val="Heading1"/>
        <w:spacing w:after="960"/>
        <w:rPr>
          <w:lang w:val="fr-FR"/>
        </w:rPr>
      </w:pPr>
      <w:r w:rsidRPr="00822BBF">
        <w:rPr>
          <w:lang w:val="fr-FR"/>
        </w:rPr>
        <w:t xml:space="preserve">Au 31 décembre 2020, le Comité exécutif avait approuvé 18 projets concernant les HFC dans le cadre des contributions volontaires supplémentaires, pour un montant total de 6 051 258 $US (hors coûts d’appui d’agence). Un récapitulatif de l’état d’avancement de ces projets est présenté dans le tableau 6. </w:t>
      </w:r>
    </w:p>
    <w:p w14:paraId="3745C047" w14:textId="77777777" w:rsidR="00E52ADD" w:rsidRPr="00822BBF" w:rsidRDefault="00E52ADD" w:rsidP="00696730">
      <w:pPr>
        <w:pStyle w:val="Heading1"/>
        <w:keepNext/>
        <w:keepLines/>
        <w:widowControl w:val="0"/>
        <w:numPr>
          <w:ilvl w:val="0"/>
          <w:numId w:val="0"/>
        </w:numPr>
        <w:spacing w:after="0"/>
        <w:rPr>
          <w:b/>
          <w:lang w:val="fr-FR"/>
        </w:rPr>
      </w:pPr>
      <w:r w:rsidRPr="00822BBF">
        <w:rPr>
          <w:b/>
          <w:lang w:val="fr-FR"/>
        </w:rPr>
        <w:lastRenderedPageBreak/>
        <w:t>Tableau 6. Statut des projets approuvés liés aux HFC à la fin 2020</w:t>
      </w:r>
    </w:p>
    <w:tbl>
      <w:tblPr>
        <w:tblW w:w="9360" w:type="dxa"/>
        <w:tblInd w:w="-5" w:type="dxa"/>
        <w:tblLayout w:type="fixed"/>
        <w:tblLook w:val="04A0" w:firstRow="1" w:lastRow="0" w:firstColumn="1" w:lastColumn="0" w:noHBand="0" w:noVBand="1"/>
      </w:tblPr>
      <w:tblGrid>
        <w:gridCol w:w="1620"/>
        <w:gridCol w:w="1140"/>
        <w:gridCol w:w="1140"/>
        <w:gridCol w:w="1140"/>
        <w:gridCol w:w="1080"/>
        <w:gridCol w:w="1080"/>
        <w:gridCol w:w="1080"/>
        <w:gridCol w:w="1080"/>
      </w:tblGrid>
      <w:tr w:rsidR="00A64001" w:rsidRPr="00F7008B" w14:paraId="1098C08B" w14:textId="77777777" w:rsidTr="007C0D29">
        <w:trPr>
          <w:trHeight w:val="146"/>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9" w:type="dxa"/>
              <w:right w:w="0" w:type="dxa"/>
            </w:tcMar>
            <w:vAlign w:val="center"/>
            <w:hideMark/>
          </w:tcPr>
          <w:p w14:paraId="09EE3219" w14:textId="77777777" w:rsidR="00A64001" w:rsidRPr="00F7008B" w:rsidRDefault="00A64001" w:rsidP="00696730">
            <w:pPr>
              <w:keepNext/>
              <w:keepLines/>
              <w:widowControl w:val="0"/>
              <w:jc w:val="left"/>
              <w:rPr>
                <w:b/>
                <w:bCs/>
                <w:sz w:val="19"/>
                <w:szCs w:val="19"/>
                <w:lang w:eastAsia="en-CA"/>
              </w:rPr>
            </w:pPr>
            <w:r w:rsidRPr="00F7008B">
              <w:rPr>
                <w:b/>
                <w:bCs/>
                <w:sz w:val="19"/>
                <w:szCs w:val="19"/>
                <w:lang w:eastAsia="fr"/>
              </w:rPr>
              <w:t>Type</w:t>
            </w:r>
          </w:p>
        </w:tc>
        <w:tc>
          <w:tcPr>
            <w:tcW w:w="34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049571" w14:textId="77777777" w:rsidR="00A64001" w:rsidRPr="00F7008B" w:rsidRDefault="00A64001" w:rsidP="00696730">
            <w:pPr>
              <w:keepNext/>
              <w:keepLines/>
              <w:widowControl w:val="0"/>
              <w:jc w:val="left"/>
              <w:rPr>
                <w:b/>
                <w:bCs/>
                <w:sz w:val="19"/>
                <w:szCs w:val="19"/>
                <w:lang w:eastAsia="en-CA"/>
              </w:rPr>
            </w:pPr>
            <w:proofErr w:type="spellStart"/>
            <w:r w:rsidRPr="00F7008B">
              <w:rPr>
                <w:b/>
                <w:bCs/>
                <w:sz w:val="19"/>
                <w:szCs w:val="19"/>
                <w:lang w:eastAsia="fr"/>
              </w:rPr>
              <w:t>Nombre</w:t>
            </w:r>
            <w:proofErr w:type="spellEnd"/>
            <w:r w:rsidRPr="00F7008B">
              <w:rPr>
                <w:b/>
                <w:bCs/>
                <w:sz w:val="19"/>
                <w:szCs w:val="19"/>
                <w:lang w:eastAsia="fr"/>
              </w:rPr>
              <w:t xml:space="preserve"> de </w:t>
            </w:r>
            <w:proofErr w:type="spellStart"/>
            <w:r w:rsidRPr="00F7008B">
              <w:rPr>
                <w:b/>
                <w:bCs/>
                <w:sz w:val="19"/>
                <w:szCs w:val="19"/>
                <w:lang w:eastAsia="fr"/>
              </w:rPr>
              <w:t>projets</w:t>
            </w:r>
            <w:proofErr w:type="spellEnd"/>
          </w:p>
        </w:tc>
        <w:tc>
          <w:tcPr>
            <w:tcW w:w="43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E5D7E8" w14:textId="77777777" w:rsidR="00A64001" w:rsidRPr="00F7008B" w:rsidRDefault="00A64001" w:rsidP="00696730">
            <w:pPr>
              <w:keepNext/>
              <w:keepLines/>
              <w:widowControl w:val="0"/>
              <w:jc w:val="left"/>
              <w:rPr>
                <w:b/>
                <w:bCs/>
                <w:sz w:val="19"/>
                <w:szCs w:val="19"/>
                <w:lang w:eastAsia="en-CA"/>
              </w:rPr>
            </w:pPr>
            <w:proofErr w:type="spellStart"/>
            <w:r w:rsidRPr="00F7008B">
              <w:rPr>
                <w:b/>
                <w:bCs/>
                <w:sz w:val="19"/>
                <w:szCs w:val="19"/>
                <w:lang w:eastAsia="fr"/>
              </w:rPr>
              <w:t>Financement</w:t>
            </w:r>
            <w:proofErr w:type="spellEnd"/>
            <w:r w:rsidRPr="00F7008B">
              <w:rPr>
                <w:b/>
                <w:bCs/>
                <w:sz w:val="19"/>
                <w:szCs w:val="19"/>
                <w:lang w:eastAsia="fr"/>
              </w:rPr>
              <w:t xml:space="preserve"> ($ US)*</w:t>
            </w:r>
          </w:p>
        </w:tc>
      </w:tr>
      <w:tr w:rsidR="007D709D" w:rsidRPr="00F7008B" w14:paraId="4F9676C9" w14:textId="77777777" w:rsidTr="007C0D29">
        <w:trPr>
          <w:trHeight w:val="150"/>
        </w:trPr>
        <w:tc>
          <w:tcPr>
            <w:tcW w:w="1620" w:type="dxa"/>
            <w:vMerge/>
            <w:tcBorders>
              <w:top w:val="single" w:sz="4" w:space="0" w:color="auto"/>
              <w:left w:val="single" w:sz="4" w:space="0" w:color="auto"/>
              <w:bottom w:val="single" w:sz="4" w:space="0" w:color="auto"/>
              <w:right w:val="single" w:sz="4" w:space="0" w:color="auto"/>
            </w:tcBorders>
            <w:tcMar>
              <w:left w:w="29" w:type="dxa"/>
              <w:right w:w="0" w:type="dxa"/>
            </w:tcMar>
            <w:vAlign w:val="center"/>
            <w:hideMark/>
          </w:tcPr>
          <w:p w14:paraId="4F1F3F21" w14:textId="77777777" w:rsidR="00A64001" w:rsidRPr="00F7008B" w:rsidRDefault="00A64001" w:rsidP="00696730">
            <w:pPr>
              <w:jc w:val="left"/>
              <w:rPr>
                <w:b/>
                <w:bCs/>
                <w:sz w:val="19"/>
                <w:szCs w:val="19"/>
                <w:lang w:eastAsia="en-CA"/>
              </w:rPr>
            </w:pP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CC5BC63" w14:textId="77777777" w:rsidR="00A64001" w:rsidRPr="00F7008B" w:rsidRDefault="00A64001" w:rsidP="00696730">
            <w:pPr>
              <w:jc w:val="center"/>
              <w:rPr>
                <w:b/>
                <w:bCs/>
                <w:sz w:val="19"/>
                <w:szCs w:val="19"/>
                <w:lang w:eastAsia="en-CA"/>
              </w:rPr>
            </w:pPr>
            <w:r w:rsidRPr="00F7008B">
              <w:rPr>
                <w:b/>
                <w:bCs/>
                <w:sz w:val="19"/>
                <w:szCs w:val="19"/>
                <w:lang w:val="fr" w:eastAsia="fr"/>
              </w:rPr>
              <w:t>Approuvé</w:t>
            </w: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8D91547" w14:textId="77777777" w:rsidR="00A64001" w:rsidRPr="00F7008B" w:rsidRDefault="00A64001" w:rsidP="00696730">
            <w:pPr>
              <w:jc w:val="center"/>
              <w:rPr>
                <w:b/>
                <w:bCs/>
                <w:sz w:val="19"/>
                <w:szCs w:val="19"/>
                <w:lang w:eastAsia="en-CA"/>
              </w:rPr>
            </w:pPr>
            <w:r w:rsidRPr="00F7008B">
              <w:rPr>
                <w:b/>
                <w:bCs/>
                <w:sz w:val="19"/>
                <w:szCs w:val="19"/>
                <w:lang w:val="fr" w:eastAsia="fr"/>
              </w:rPr>
              <w:t>Terminé</w:t>
            </w:r>
          </w:p>
        </w:tc>
        <w:tc>
          <w:tcPr>
            <w:tcW w:w="114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B12339D" w14:textId="08BDBCAB" w:rsidR="00A64001" w:rsidRPr="00F7008B" w:rsidRDefault="00A64001" w:rsidP="00696730">
            <w:pPr>
              <w:jc w:val="center"/>
              <w:rPr>
                <w:b/>
                <w:bCs/>
                <w:sz w:val="19"/>
                <w:szCs w:val="19"/>
                <w:lang w:eastAsia="en-CA"/>
              </w:rPr>
            </w:pPr>
            <w:r w:rsidRPr="00F7008B">
              <w:rPr>
                <w:b/>
                <w:bCs/>
                <w:sz w:val="19"/>
                <w:szCs w:val="19"/>
                <w:lang w:val="fr" w:eastAsia="fr"/>
              </w:rPr>
              <w:t>% d’achèvement</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52DA51" w14:textId="77777777" w:rsidR="00A64001" w:rsidRPr="00F7008B" w:rsidRDefault="00A64001" w:rsidP="00696730">
            <w:pPr>
              <w:jc w:val="center"/>
              <w:rPr>
                <w:b/>
                <w:bCs/>
                <w:sz w:val="19"/>
                <w:szCs w:val="19"/>
                <w:lang w:eastAsia="en-CA"/>
              </w:rPr>
            </w:pPr>
            <w:r w:rsidRPr="00F7008B">
              <w:rPr>
                <w:b/>
                <w:bCs/>
                <w:sz w:val="19"/>
                <w:szCs w:val="19"/>
                <w:lang w:val="fr" w:eastAsia="fr"/>
              </w:rPr>
              <w:t>Approuvé</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8E0574" w14:textId="77777777" w:rsidR="00A64001" w:rsidRPr="00F7008B" w:rsidRDefault="00A64001" w:rsidP="00696730">
            <w:pPr>
              <w:jc w:val="center"/>
              <w:rPr>
                <w:b/>
                <w:bCs/>
                <w:sz w:val="19"/>
                <w:szCs w:val="19"/>
                <w:lang w:eastAsia="en-CA"/>
              </w:rPr>
            </w:pPr>
            <w:r w:rsidRPr="00F7008B">
              <w:rPr>
                <w:b/>
                <w:bCs/>
                <w:sz w:val="19"/>
                <w:szCs w:val="19"/>
                <w:lang w:val="fr" w:eastAsia="fr"/>
              </w:rPr>
              <w:t>Décaissé</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741D89" w14:textId="77777777" w:rsidR="00A64001" w:rsidRPr="00F7008B" w:rsidRDefault="00A64001" w:rsidP="00696730">
            <w:pPr>
              <w:jc w:val="center"/>
              <w:rPr>
                <w:b/>
                <w:bCs/>
                <w:sz w:val="19"/>
                <w:szCs w:val="19"/>
                <w:lang w:eastAsia="en-CA"/>
              </w:rPr>
            </w:pPr>
            <w:r w:rsidRPr="00F7008B">
              <w:rPr>
                <w:b/>
                <w:bCs/>
                <w:sz w:val="19"/>
                <w:szCs w:val="19"/>
                <w:lang w:val="fr" w:eastAsia="fr"/>
              </w:rPr>
              <w:t>Solde</w:t>
            </w:r>
          </w:p>
        </w:tc>
        <w:tc>
          <w:tcPr>
            <w:tcW w:w="1080"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9E0E46" w14:textId="71FBA0F1" w:rsidR="00A64001" w:rsidRPr="00F7008B" w:rsidRDefault="00A64001" w:rsidP="00696730">
            <w:pPr>
              <w:jc w:val="center"/>
              <w:rPr>
                <w:b/>
                <w:bCs/>
                <w:sz w:val="19"/>
                <w:szCs w:val="19"/>
                <w:lang w:eastAsia="en-CA"/>
              </w:rPr>
            </w:pPr>
            <w:r w:rsidRPr="00F7008B">
              <w:rPr>
                <w:b/>
                <w:bCs/>
                <w:sz w:val="19"/>
                <w:szCs w:val="19"/>
                <w:lang w:val="fr" w:eastAsia="fr"/>
              </w:rPr>
              <w:t>% de décaissement</w:t>
            </w:r>
          </w:p>
        </w:tc>
      </w:tr>
      <w:tr w:rsidR="007D709D" w:rsidRPr="00F7008B" w14:paraId="709A5AA6"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A57D150" w14:textId="77777777" w:rsidR="00A64001" w:rsidRPr="00F7008B" w:rsidRDefault="00A64001" w:rsidP="00696730">
            <w:pPr>
              <w:jc w:val="left"/>
              <w:rPr>
                <w:sz w:val="19"/>
                <w:szCs w:val="19"/>
                <w:lang w:eastAsia="en-CA"/>
              </w:rPr>
            </w:pPr>
            <w:proofErr w:type="spellStart"/>
            <w:r w:rsidRPr="00F7008B">
              <w:rPr>
                <w:sz w:val="19"/>
                <w:szCs w:val="19"/>
                <w:lang w:eastAsia="fr"/>
              </w:rPr>
              <w:t>Investissement</w:t>
            </w:r>
            <w:proofErr w:type="spellEnd"/>
            <w:r w:rsidRPr="00F7008B">
              <w:rPr>
                <w:sz w:val="19"/>
                <w:szCs w:val="19"/>
                <w:lang w:eastAsia="fr"/>
              </w:rPr>
              <w:t>**</w:t>
            </w:r>
          </w:p>
        </w:tc>
        <w:tc>
          <w:tcPr>
            <w:tcW w:w="1140" w:type="dxa"/>
            <w:tcBorders>
              <w:top w:val="nil"/>
              <w:left w:val="nil"/>
              <w:bottom w:val="single" w:sz="4" w:space="0" w:color="auto"/>
              <w:right w:val="single" w:sz="4" w:space="0" w:color="auto"/>
            </w:tcBorders>
            <w:shd w:val="clear" w:color="auto" w:fill="auto"/>
            <w:noWrap/>
            <w:hideMark/>
          </w:tcPr>
          <w:p w14:paraId="7605D129" w14:textId="77777777" w:rsidR="00A64001" w:rsidRPr="00F7008B" w:rsidRDefault="00A64001" w:rsidP="00696730">
            <w:pPr>
              <w:jc w:val="right"/>
              <w:rPr>
                <w:sz w:val="19"/>
                <w:szCs w:val="19"/>
                <w:lang w:eastAsia="en-CA"/>
              </w:rPr>
            </w:pPr>
            <w:r w:rsidRPr="00F7008B">
              <w:rPr>
                <w:sz w:val="19"/>
                <w:szCs w:val="19"/>
                <w:lang w:eastAsia="fr"/>
              </w:rPr>
              <w:t>2</w:t>
            </w:r>
          </w:p>
        </w:tc>
        <w:tc>
          <w:tcPr>
            <w:tcW w:w="1140" w:type="dxa"/>
            <w:tcBorders>
              <w:top w:val="nil"/>
              <w:left w:val="nil"/>
              <w:bottom w:val="single" w:sz="4" w:space="0" w:color="auto"/>
              <w:right w:val="single" w:sz="4" w:space="0" w:color="auto"/>
            </w:tcBorders>
            <w:shd w:val="clear" w:color="auto" w:fill="auto"/>
            <w:noWrap/>
            <w:hideMark/>
          </w:tcPr>
          <w:p w14:paraId="58360FB3" w14:textId="77777777" w:rsidR="00A64001" w:rsidRPr="00F7008B" w:rsidRDefault="00A64001" w:rsidP="00696730">
            <w:pPr>
              <w:jc w:val="right"/>
              <w:rPr>
                <w:sz w:val="19"/>
                <w:szCs w:val="19"/>
                <w:lang w:eastAsia="en-CA"/>
              </w:rPr>
            </w:pPr>
            <w:r w:rsidRPr="00F7008B">
              <w:rPr>
                <w:sz w:val="19"/>
                <w:szCs w:val="19"/>
                <w:lang w:eastAsia="fr"/>
              </w:rPr>
              <w:t>1</w:t>
            </w:r>
          </w:p>
        </w:tc>
        <w:tc>
          <w:tcPr>
            <w:tcW w:w="1140" w:type="dxa"/>
            <w:tcBorders>
              <w:top w:val="nil"/>
              <w:left w:val="nil"/>
              <w:bottom w:val="single" w:sz="4" w:space="0" w:color="auto"/>
              <w:right w:val="single" w:sz="4" w:space="0" w:color="auto"/>
            </w:tcBorders>
            <w:shd w:val="clear" w:color="auto" w:fill="auto"/>
            <w:noWrap/>
            <w:hideMark/>
          </w:tcPr>
          <w:p w14:paraId="2D051EF8" w14:textId="77777777" w:rsidR="00A64001" w:rsidRPr="00F7008B" w:rsidRDefault="00A64001" w:rsidP="00696730">
            <w:pPr>
              <w:jc w:val="right"/>
              <w:rPr>
                <w:sz w:val="19"/>
                <w:szCs w:val="19"/>
                <w:lang w:eastAsia="en-CA"/>
              </w:rPr>
            </w:pPr>
            <w:r w:rsidRPr="00F7008B">
              <w:rPr>
                <w:sz w:val="19"/>
                <w:szCs w:val="19"/>
                <w:lang w:eastAsia="fr"/>
              </w:rPr>
              <w:t>50</w:t>
            </w:r>
          </w:p>
        </w:tc>
        <w:tc>
          <w:tcPr>
            <w:tcW w:w="1080" w:type="dxa"/>
            <w:tcBorders>
              <w:top w:val="nil"/>
              <w:left w:val="nil"/>
              <w:bottom w:val="single" w:sz="4" w:space="0" w:color="auto"/>
              <w:right w:val="single" w:sz="4" w:space="0" w:color="auto"/>
            </w:tcBorders>
            <w:shd w:val="clear" w:color="auto" w:fill="auto"/>
            <w:noWrap/>
            <w:hideMark/>
          </w:tcPr>
          <w:p w14:paraId="3881DADF" w14:textId="77777777" w:rsidR="00A64001" w:rsidRPr="00F7008B" w:rsidRDefault="00A64001" w:rsidP="00696730">
            <w:pPr>
              <w:jc w:val="right"/>
              <w:rPr>
                <w:sz w:val="19"/>
                <w:szCs w:val="19"/>
                <w:lang w:eastAsia="en-CA"/>
              </w:rPr>
            </w:pPr>
            <w:r w:rsidRPr="00F7008B">
              <w:rPr>
                <w:sz w:val="19"/>
                <w:szCs w:val="19"/>
                <w:lang w:eastAsia="fr"/>
              </w:rPr>
              <w:t>4 406 610</w:t>
            </w:r>
          </w:p>
        </w:tc>
        <w:tc>
          <w:tcPr>
            <w:tcW w:w="1080" w:type="dxa"/>
            <w:tcBorders>
              <w:top w:val="nil"/>
              <w:left w:val="nil"/>
              <w:bottom w:val="single" w:sz="4" w:space="0" w:color="auto"/>
              <w:right w:val="single" w:sz="4" w:space="0" w:color="auto"/>
            </w:tcBorders>
            <w:shd w:val="clear" w:color="auto" w:fill="auto"/>
            <w:noWrap/>
            <w:hideMark/>
          </w:tcPr>
          <w:p w14:paraId="68B6817D" w14:textId="77777777" w:rsidR="00A64001" w:rsidRPr="00F7008B" w:rsidRDefault="00A64001" w:rsidP="00696730">
            <w:pPr>
              <w:jc w:val="right"/>
              <w:rPr>
                <w:sz w:val="19"/>
                <w:szCs w:val="19"/>
                <w:lang w:eastAsia="en-CA"/>
              </w:rPr>
            </w:pPr>
            <w:r w:rsidRPr="00F7008B">
              <w:rPr>
                <w:sz w:val="19"/>
                <w:szCs w:val="19"/>
                <w:lang w:eastAsia="fr"/>
              </w:rPr>
              <w:t>4 150 023</w:t>
            </w:r>
          </w:p>
        </w:tc>
        <w:tc>
          <w:tcPr>
            <w:tcW w:w="1080" w:type="dxa"/>
            <w:tcBorders>
              <w:top w:val="nil"/>
              <w:left w:val="nil"/>
              <w:bottom w:val="single" w:sz="4" w:space="0" w:color="auto"/>
              <w:right w:val="single" w:sz="4" w:space="0" w:color="auto"/>
            </w:tcBorders>
            <w:shd w:val="clear" w:color="auto" w:fill="auto"/>
            <w:noWrap/>
            <w:hideMark/>
          </w:tcPr>
          <w:p w14:paraId="3C928881" w14:textId="77777777" w:rsidR="00A64001" w:rsidRPr="00F7008B" w:rsidRDefault="00A64001" w:rsidP="00696730">
            <w:pPr>
              <w:jc w:val="right"/>
              <w:rPr>
                <w:sz w:val="19"/>
                <w:szCs w:val="19"/>
                <w:lang w:eastAsia="en-CA"/>
              </w:rPr>
            </w:pPr>
            <w:r w:rsidRPr="00F7008B">
              <w:rPr>
                <w:sz w:val="19"/>
                <w:szCs w:val="19"/>
                <w:lang w:eastAsia="fr"/>
              </w:rPr>
              <w:t>256 587</w:t>
            </w:r>
          </w:p>
        </w:tc>
        <w:tc>
          <w:tcPr>
            <w:tcW w:w="1080" w:type="dxa"/>
            <w:tcBorders>
              <w:top w:val="nil"/>
              <w:left w:val="nil"/>
              <w:bottom w:val="single" w:sz="4" w:space="0" w:color="auto"/>
              <w:right w:val="single" w:sz="4" w:space="0" w:color="auto"/>
            </w:tcBorders>
            <w:shd w:val="clear" w:color="auto" w:fill="auto"/>
            <w:noWrap/>
            <w:hideMark/>
          </w:tcPr>
          <w:p w14:paraId="5C8B8C83" w14:textId="77777777" w:rsidR="00A64001" w:rsidRPr="00F7008B" w:rsidRDefault="00A64001" w:rsidP="00696730">
            <w:pPr>
              <w:jc w:val="right"/>
              <w:rPr>
                <w:sz w:val="19"/>
                <w:szCs w:val="19"/>
                <w:lang w:eastAsia="en-CA"/>
              </w:rPr>
            </w:pPr>
            <w:r w:rsidRPr="00F7008B">
              <w:rPr>
                <w:sz w:val="19"/>
                <w:szCs w:val="19"/>
                <w:lang w:eastAsia="fr"/>
              </w:rPr>
              <w:t>94</w:t>
            </w:r>
          </w:p>
        </w:tc>
      </w:tr>
      <w:tr w:rsidR="007D709D" w:rsidRPr="00F7008B" w14:paraId="6BAE1AE8"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6C948312" w14:textId="77777777" w:rsidR="00A64001" w:rsidRPr="00F7008B" w:rsidRDefault="00A64001" w:rsidP="00A64001">
            <w:pPr>
              <w:jc w:val="left"/>
              <w:rPr>
                <w:sz w:val="19"/>
                <w:szCs w:val="19"/>
                <w:lang w:eastAsia="en-CA"/>
              </w:rPr>
            </w:pPr>
            <w:proofErr w:type="spellStart"/>
            <w:r w:rsidRPr="00F7008B">
              <w:rPr>
                <w:sz w:val="19"/>
                <w:szCs w:val="19"/>
                <w:lang w:eastAsia="fr"/>
              </w:rPr>
              <w:t>Préparation</w:t>
            </w:r>
            <w:proofErr w:type="spellEnd"/>
            <w:r w:rsidRPr="00F7008B">
              <w:rPr>
                <w:sz w:val="19"/>
                <w:szCs w:val="19"/>
                <w:lang w:eastAsia="fr"/>
              </w:rPr>
              <w:t xml:space="preserve"> de </w:t>
            </w:r>
            <w:proofErr w:type="spellStart"/>
            <w:r w:rsidRPr="00F7008B">
              <w:rPr>
                <w:sz w:val="19"/>
                <w:szCs w:val="19"/>
                <w:lang w:eastAsia="fr"/>
              </w:rPr>
              <w:t>projets</w:t>
            </w:r>
            <w:proofErr w:type="spellEnd"/>
          </w:p>
        </w:tc>
        <w:tc>
          <w:tcPr>
            <w:tcW w:w="1140" w:type="dxa"/>
            <w:tcBorders>
              <w:top w:val="nil"/>
              <w:left w:val="nil"/>
              <w:bottom w:val="single" w:sz="4" w:space="0" w:color="auto"/>
              <w:right w:val="single" w:sz="4" w:space="0" w:color="auto"/>
            </w:tcBorders>
            <w:shd w:val="clear" w:color="auto" w:fill="auto"/>
            <w:noWrap/>
            <w:hideMark/>
          </w:tcPr>
          <w:p w14:paraId="1875319E" w14:textId="77777777" w:rsidR="00A64001" w:rsidRPr="00F7008B" w:rsidRDefault="00A64001" w:rsidP="00A64001">
            <w:pPr>
              <w:jc w:val="right"/>
              <w:rPr>
                <w:sz w:val="19"/>
                <w:szCs w:val="19"/>
                <w:lang w:eastAsia="en-CA"/>
              </w:rPr>
            </w:pPr>
            <w:r w:rsidRPr="00F7008B">
              <w:rPr>
                <w:sz w:val="19"/>
                <w:szCs w:val="19"/>
                <w:lang w:eastAsia="fr"/>
              </w:rPr>
              <w:t>5</w:t>
            </w:r>
          </w:p>
        </w:tc>
        <w:tc>
          <w:tcPr>
            <w:tcW w:w="1140" w:type="dxa"/>
            <w:tcBorders>
              <w:top w:val="nil"/>
              <w:left w:val="nil"/>
              <w:bottom w:val="single" w:sz="4" w:space="0" w:color="auto"/>
              <w:right w:val="single" w:sz="4" w:space="0" w:color="auto"/>
            </w:tcBorders>
            <w:shd w:val="clear" w:color="auto" w:fill="auto"/>
            <w:noWrap/>
            <w:hideMark/>
          </w:tcPr>
          <w:p w14:paraId="62FD3969" w14:textId="77777777" w:rsidR="00A64001" w:rsidRPr="00F7008B" w:rsidRDefault="00A64001" w:rsidP="00A64001">
            <w:pPr>
              <w:jc w:val="right"/>
              <w:rPr>
                <w:sz w:val="19"/>
                <w:szCs w:val="19"/>
                <w:lang w:eastAsia="en-CA"/>
              </w:rPr>
            </w:pPr>
            <w:r w:rsidRPr="00F7008B">
              <w:rPr>
                <w:sz w:val="19"/>
                <w:szCs w:val="19"/>
                <w:lang w:eastAsia="fr"/>
              </w:rPr>
              <w:t>5</w:t>
            </w:r>
          </w:p>
        </w:tc>
        <w:tc>
          <w:tcPr>
            <w:tcW w:w="1140" w:type="dxa"/>
            <w:tcBorders>
              <w:top w:val="nil"/>
              <w:left w:val="nil"/>
              <w:bottom w:val="single" w:sz="4" w:space="0" w:color="auto"/>
              <w:right w:val="single" w:sz="4" w:space="0" w:color="auto"/>
            </w:tcBorders>
            <w:shd w:val="clear" w:color="auto" w:fill="auto"/>
            <w:noWrap/>
            <w:hideMark/>
          </w:tcPr>
          <w:p w14:paraId="27906822" w14:textId="77777777" w:rsidR="00A64001" w:rsidRPr="00F7008B" w:rsidRDefault="00A64001" w:rsidP="00A64001">
            <w:pPr>
              <w:jc w:val="right"/>
              <w:rPr>
                <w:sz w:val="19"/>
                <w:szCs w:val="19"/>
                <w:lang w:eastAsia="en-CA"/>
              </w:rPr>
            </w:pPr>
            <w:r w:rsidRPr="00F7008B">
              <w:rPr>
                <w:sz w:val="19"/>
                <w:szCs w:val="19"/>
                <w:lang w:eastAsia="fr"/>
              </w:rPr>
              <w:t>100</w:t>
            </w:r>
          </w:p>
        </w:tc>
        <w:tc>
          <w:tcPr>
            <w:tcW w:w="1080" w:type="dxa"/>
            <w:tcBorders>
              <w:top w:val="nil"/>
              <w:left w:val="nil"/>
              <w:bottom w:val="single" w:sz="4" w:space="0" w:color="auto"/>
              <w:right w:val="single" w:sz="4" w:space="0" w:color="auto"/>
            </w:tcBorders>
            <w:shd w:val="clear" w:color="auto" w:fill="auto"/>
            <w:noWrap/>
            <w:hideMark/>
          </w:tcPr>
          <w:p w14:paraId="69F7A4E9" w14:textId="77777777" w:rsidR="00A64001" w:rsidRPr="00F7008B" w:rsidRDefault="00A64001" w:rsidP="00A64001">
            <w:pPr>
              <w:jc w:val="right"/>
              <w:rPr>
                <w:sz w:val="19"/>
                <w:szCs w:val="19"/>
                <w:lang w:eastAsia="en-CA"/>
              </w:rPr>
            </w:pPr>
            <w:r w:rsidRPr="00F7008B">
              <w:rPr>
                <w:sz w:val="19"/>
                <w:szCs w:val="19"/>
                <w:lang w:eastAsia="fr"/>
              </w:rPr>
              <w:t>124 066</w:t>
            </w:r>
          </w:p>
        </w:tc>
        <w:tc>
          <w:tcPr>
            <w:tcW w:w="1080" w:type="dxa"/>
            <w:tcBorders>
              <w:top w:val="nil"/>
              <w:left w:val="nil"/>
              <w:bottom w:val="single" w:sz="4" w:space="0" w:color="auto"/>
              <w:right w:val="single" w:sz="4" w:space="0" w:color="auto"/>
            </w:tcBorders>
            <w:shd w:val="clear" w:color="auto" w:fill="auto"/>
            <w:noWrap/>
            <w:hideMark/>
          </w:tcPr>
          <w:p w14:paraId="5C7E6033" w14:textId="77777777" w:rsidR="00A64001" w:rsidRPr="00F7008B" w:rsidRDefault="00A64001" w:rsidP="00A64001">
            <w:pPr>
              <w:jc w:val="right"/>
              <w:rPr>
                <w:sz w:val="19"/>
                <w:szCs w:val="19"/>
                <w:lang w:eastAsia="en-CA"/>
              </w:rPr>
            </w:pPr>
            <w:r w:rsidRPr="00F7008B">
              <w:rPr>
                <w:sz w:val="19"/>
                <w:szCs w:val="19"/>
                <w:lang w:eastAsia="fr"/>
              </w:rPr>
              <w:t>83 511</w:t>
            </w:r>
          </w:p>
        </w:tc>
        <w:tc>
          <w:tcPr>
            <w:tcW w:w="1080" w:type="dxa"/>
            <w:tcBorders>
              <w:top w:val="nil"/>
              <w:left w:val="nil"/>
              <w:bottom w:val="single" w:sz="4" w:space="0" w:color="auto"/>
              <w:right w:val="single" w:sz="4" w:space="0" w:color="auto"/>
            </w:tcBorders>
            <w:shd w:val="clear" w:color="auto" w:fill="auto"/>
            <w:noWrap/>
            <w:hideMark/>
          </w:tcPr>
          <w:p w14:paraId="773D7165" w14:textId="77777777" w:rsidR="00A64001" w:rsidRPr="00F7008B" w:rsidRDefault="00A64001" w:rsidP="00A64001">
            <w:pPr>
              <w:jc w:val="right"/>
              <w:rPr>
                <w:sz w:val="19"/>
                <w:szCs w:val="19"/>
                <w:lang w:eastAsia="en-CA"/>
              </w:rPr>
            </w:pPr>
            <w:r w:rsidRPr="00F7008B">
              <w:rPr>
                <w:sz w:val="19"/>
                <w:szCs w:val="19"/>
                <w:lang w:eastAsia="fr"/>
              </w:rPr>
              <w:t>40 555</w:t>
            </w:r>
          </w:p>
        </w:tc>
        <w:tc>
          <w:tcPr>
            <w:tcW w:w="1080" w:type="dxa"/>
            <w:tcBorders>
              <w:top w:val="nil"/>
              <w:left w:val="nil"/>
              <w:bottom w:val="single" w:sz="4" w:space="0" w:color="auto"/>
              <w:right w:val="single" w:sz="4" w:space="0" w:color="auto"/>
            </w:tcBorders>
            <w:shd w:val="clear" w:color="auto" w:fill="auto"/>
            <w:noWrap/>
            <w:hideMark/>
          </w:tcPr>
          <w:p w14:paraId="0B342CFA" w14:textId="77777777" w:rsidR="00A64001" w:rsidRPr="00F7008B" w:rsidRDefault="00A64001" w:rsidP="00A64001">
            <w:pPr>
              <w:jc w:val="right"/>
              <w:rPr>
                <w:sz w:val="19"/>
                <w:szCs w:val="19"/>
                <w:lang w:eastAsia="en-CA"/>
              </w:rPr>
            </w:pPr>
            <w:r w:rsidRPr="00F7008B">
              <w:rPr>
                <w:sz w:val="19"/>
                <w:szCs w:val="19"/>
                <w:lang w:eastAsia="fr"/>
              </w:rPr>
              <w:t>67</w:t>
            </w:r>
          </w:p>
        </w:tc>
      </w:tr>
      <w:tr w:rsidR="007D709D" w:rsidRPr="00F7008B" w14:paraId="3EC6195F" w14:textId="77777777" w:rsidTr="007C0D29">
        <w:trPr>
          <w:trHeight w:val="264"/>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114B16F1" w14:textId="7D9FC3C2" w:rsidR="00A64001" w:rsidRPr="00822BBF" w:rsidRDefault="00A64001" w:rsidP="00A64001">
            <w:pPr>
              <w:jc w:val="left"/>
              <w:rPr>
                <w:sz w:val="19"/>
                <w:szCs w:val="19"/>
                <w:lang w:val="fr-FR" w:eastAsia="en-CA"/>
              </w:rPr>
            </w:pPr>
            <w:r w:rsidRPr="00822BBF">
              <w:rPr>
                <w:sz w:val="19"/>
                <w:szCs w:val="19"/>
                <w:lang w:val="fr-FR" w:eastAsia="fr"/>
              </w:rPr>
              <w:t xml:space="preserve">Assistance technique </w:t>
            </w:r>
            <w:r w:rsidR="00F2646A" w:rsidRPr="00822BBF">
              <w:rPr>
                <w:sz w:val="19"/>
                <w:szCs w:val="19"/>
                <w:lang w:val="fr-FR" w:eastAsia="fr"/>
              </w:rPr>
              <w:t>–</w:t>
            </w:r>
            <w:r w:rsidRPr="00822BBF">
              <w:rPr>
                <w:sz w:val="19"/>
                <w:szCs w:val="19"/>
                <w:lang w:val="fr-FR" w:eastAsia="fr"/>
              </w:rPr>
              <w:t xml:space="preserve"> Activités de facilitation</w:t>
            </w:r>
          </w:p>
        </w:tc>
        <w:tc>
          <w:tcPr>
            <w:tcW w:w="1140" w:type="dxa"/>
            <w:tcBorders>
              <w:top w:val="nil"/>
              <w:left w:val="nil"/>
              <w:bottom w:val="single" w:sz="4" w:space="0" w:color="auto"/>
              <w:right w:val="single" w:sz="4" w:space="0" w:color="auto"/>
            </w:tcBorders>
            <w:shd w:val="clear" w:color="auto" w:fill="auto"/>
            <w:noWrap/>
            <w:hideMark/>
          </w:tcPr>
          <w:p w14:paraId="08BBDB52" w14:textId="77777777" w:rsidR="00A64001" w:rsidRPr="00F7008B" w:rsidRDefault="00A64001" w:rsidP="00A64001">
            <w:pPr>
              <w:jc w:val="right"/>
              <w:rPr>
                <w:sz w:val="19"/>
                <w:szCs w:val="19"/>
                <w:lang w:eastAsia="en-CA"/>
              </w:rPr>
            </w:pPr>
            <w:r w:rsidRPr="00F7008B">
              <w:rPr>
                <w:sz w:val="19"/>
                <w:szCs w:val="19"/>
                <w:lang w:eastAsia="fr"/>
              </w:rPr>
              <w:t>11</w:t>
            </w:r>
          </w:p>
        </w:tc>
        <w:tc>
          <w:tcPr>
            <w:tcW w:w="1140" w:type="dxa"/>
            <w:tcBorders>
              <w:top w:val="nil"/>
              <w:left w:val="nil"/>
              <w:bottom w:val="single" w:sz="4" w:space="0" w:color="auto"/>
              <w:right w:val="single" w:sz="4" w:space="0" w:color="auto"/>
            </w:tcBorders>
            <w:shd w:val="clear" w:color="auto" w:fill="auto"/>
            <w:noWrap/>
            <w:hideMark/>
          </w:tcPr>
          <w:p w14:paraId="29D97C02" w14:textId="77777777" w:rsidR="00A64001" w:rsidRPr="00F7008B" w:rsidRDefault="00A64001" w:rsidP="00A64001">
            <w:pPr>
              <w:jc w:val="right"/>
              <w:rPr>
                <w:sz w:val="19"/>
                <w:szCs w:val="19"/>
                <w:lang w:eastAsia="en-CA"/>
              </w:rPr>
            </w:pPr>
            <w:r w:rsidRPr="00F7008B">
              <w:rPr>
                <w:sz w:val="19"/>
                <w:szCs w:val="19"/>
                <w:lang w:eastAsia="fr"/>
              </w:rPr>
              <w:t>4</w:t>
            </w:r>
          </w:p>
        </w:tc>
        <w:tc>
          <w:tcPr>
            <w:tcW w:w="1140" w:type="dxa"/>
            <w:tcBorders>
              <w:top w:val="nil"/>
              <w:left w:val="nil"/>
              <w:bottom w:val="single" w:sz="4" w:space="0" w:color="auto"/>
              <w:right w:val="single" w:sz="4" w:space="0" w:color="auto"/>
            </w:tcBorders>
            <w:shd w:val="clear" w:color="auto" w:fill="auto"/>
            <w:noWrap/>
            <w:hideMark/>
          </w:tcPr>
          <w:p w14:paraId="17771A71" w14:textId="77777777" w:rsidR="00A64001" w:rsidRPr="00F7008B" w:rsidRDefault="00A64001" w:rsidP="00A64001">
            <w:pPr>
              <w:jc w:val="right"/>
              <w:rPr>
                <w:sz w:val="19"/>
                <w:szCs w:val="19"/>
                <w:lang w:eastAsia="en-CA"/>
              </w:rPr>
            </w:pPr>
            <w:r w:rsidRPr="00F7008B">
              <w:rPr>
                <w:sz w:val="19"/>
                <w:szCs w:val="19"/>
                <w:lang w:eastAsia="fr"/>
              </w:rPr>
              <w:t>36</w:t>
            </w:r>
          </w:p>
        </w:tc>
        <w:tc>
          <w:tcPr>
            <w:tcW w:w="1080" w:type="dxa"/>
            <w:tcBorders>
              <w:top w:val="nil"/>
              <w:left w:val="nil"/>
              <w:bottom w:val="single" w:sz="4" w:space="0" w:color="auto"/>
              <w:right w:val="single" w:sz="4" w:space="0" w:color="auto"/>
            </w:tcBorders>
            <w:shd w:val="clear" w:color="auto" w:fill="auto"/>
            <w:noWrap/>
            <w:hideMark/>
          </w:tcPr>
          <w:p w14:paraId="4F3E1FFD" w14:textId="77777777" w:rsidR="00A64001" w:rsidRPr="00F7008B" w:rsidRDefault="00A64001" w:rsidP="00A64001">
            <w:pPr>
              <w:jc w:val="right"/>
              <w:rPr>
                <w:sz w:val="19"/>
                <w:szCs w:val="19"/>
                <w:lang w:eastAsia="en-CA"/>
              </w:rPr>
            </w:pPr>
            <w:r w:rsidRPr="00F7008B">
              <w:rPr>
                <w:sz w:val="19"/>
                <w:szCs w:val="19"/>
                <w:lang w:eastAsia="fr"/>
              </w:rPr>
              <w:t>1 520 582</w:t>
            </w:r>
          </w:p>
        </w:tc>
        <w:tc>
          <w:tcPr>
            <w:tcW w:w="1080" w:type="dxa"/>
            <w:tcBorders>
              <w:top w:val="nil"/>
              <w:left w:val="nil"/>
              <w:bottom w:val="single" w:sz="4" w:space="0" w:color="auto"/>
              <w:right w:val="single" w:sz="4" w:space="0" w:color="auto"/>
            </w:tcBorders>
            <w:shd w:val="clear" w:color="auto" w:fill="auto"/>
            <w:noWrap/>
            <w:hideMark/>
          </w:tcPr>
          <w:p w14:paraId="1D5E1CEE" w14:textId="77777777" w:rsidR="00A64001" w:rsidRPr="00F7008B" w:rsidRDefault="00A64001" w:rsidP="00A64001">
            <w:pPr>
              <w:jc w:val="right"/>
              <w:rPr>
                <w:sz w:val="19"/>
                <w:szCs w:val="19"/>
                <w:lang w:eastAsia="en-CA"/>
              </w:rPr>
            </w:pPr>
            <w:r w:rsidRPr="00F7008B">
              <w:rPr>
                <w:sz w:val="19"/>
                <w:szCs w:val="19"/>
                <w:lang w:eastAsia="fr"/>
              </w:rPr>
              <w:t>1 309 290</w:t>
            </w:r>
          </w:p>
        </w:tc>
        <w:tc>
          <w:tcPr>
            <w:tcW w:w="1080" w:type="dxa"/>
            <w:tcBorders>
              <w:top w:val="nil"/>
              <w:left w:val="nil"/>
              <w:bottom w:val="single" w:sz="4" w:space="0" w:color="auto"/>
              <w:right w:val="single" w:sz="4" w:space="0" w:color="auto"/>
            </w:tcBorders>
            <w:shd w:val="clear" w:color="auto" w:fill="auto"/>
            <w:noWrap/>
            <w:hideMark/>
          </w:tcPr>
          <w:p w14:paraId="3E889F24" w14:textId="77777777" w:rsidR="00A64001" w:rsidRPr="00F7008B" w:rsidRDefault="00A64001" w:rsidP="00A64001">
            <w:pPr>
              <w:jc w:val="right"/>
              <w:rPr>
                <w:sz w:val="19"/>
                <w:szCs w:val="19"/>
                <w:lang w:eastAsia="en-CA"/>
              </w:rPr>
            </w:pPr>
            <w:r w:rsidRPr="00F7008B">
              <w:rPr>
                <w:sz w:val="19"/>
                <w:szCs w:val="19"/>
                <w:lang w:eastAsia="fr"/>
              </w:rPr>
              <w:t>211 292</w:t>
            </w:r>
          </w:p>
        </w:tc>
        <w:tc>
          <w:tcPr>
            <w:tcW w:w="1080" w:type="dxa"/>
            <w:tcBorders>
              <w:top w:val="nil"/>
              <w:left w:val="nil"/>
              <w:bottom w:val="single" w:sz="4" w:space="0" w:color="auto"/>
              <w:right w:val="single" w:sz="4" w:space="0" w:color="auto"/>
            </w:tcBorders>
            <w:shd w:val="clear" w:color="auto" w:fill="auto"/>
            <w:noWrap/>
            <w:hideMark/>
          </w:tcPr>
          <w:p w14:paraId="1A4E0943" w14:textId="77777777" w:rsidR="00A64001" w:rsidRPr="00F7008B" w:rsidRDefault="00A64001">
            <w:pPr>
              <w:jc w:val="right"/>
              <w:rPr>
                <w:sz w:val="19"/>
                <w:szCs w:val="19"/>
                <w:lang w:eastAsia="en-CA"/>
              </w:rPr>
            </w:pPr>
            <w:r w:rsidRPr="00F7008B">
              <w:rPr>
                <w:sz w:val="19"/>
                <w:szCs w:val="19"/>
                <w:lang w:eastAsia="fr"/>
              </w:rPr>
              <w:t>86</w:t>
            </w:r>
          </w:p>
        </w:tc>
      </w:tr>
      <w:tr w:rsidR="007D709D" w:rsidRPr="00F7008B" w14:paraId="56AF6049" w14:textId="77777777" w:rsidTr="007C0D29">
        <w:trPr>
          <w:trHeight w:val="58"/>
        </w:trPr>
        <w:tc>
          <w:tcPr>
            <w:tcW w:w="1620" w:type="dxa"/>
            <w:tcBorders>
              <w:top w:val="nil"/>
              <w:left w:val="single" w:sz="4" w:space="0" w:color="auto"/>
              <w:bottom w:val="single" w:sz="4" w:space="0" w:color="auto"/>
              <w:right w:val="single" w:sz="4" w:space="0" w:color="auto"/>
            </w:tcBorders>
            <w:shd w:val="clear" w:color="auto" w:fill="auto"/>
            <w:noWrap/>
            <w:tcMar>
              <w:left w:w="29" w:type="dxa"/>
              <w:right w:w="0" w:type="dxa"/>
            </w:tcMar>
            <w:hideMark/>
          </w:tcPr>
          <w:p w14:paraId="50C816AB" w14:textId="77777777" w:rsidR="00A64001" w:rsidRPr="00F7008B" w:rsidRDefault="00A64001" w:rsidP="00A64001">
            <w:pPr>
              <w:jc w:val="left"/>
              <w:rPr>
                <w:b/>
                <w:bCs/>
                <w:sz w:val="19"/>
                <w:szCs w:val="19"/>
                <w:lang w:eastAsia="en-CA"/>
              </w:rPr>
            </w:pPr>
            <w:r w:rsidRPr="00F7008B">
              <w:rPr>
                <w:b/>
                <w:bCs/>
                <w:sz w:val="19"/>
                <w:szCs w:val="19"/>
                <w:lang w:eastAsia="fr"/>
              </w:rPr>
              <w:t>Total</w:t>
            </w:r>
          </w:p>
        </w:tc>
        <w:tc>
          <w:tcPr>
            <w:tcW w:w="1140" w:type="dxa"/>
            <w:tcBorders>
              <w:top w:val="nil"/>
              <w:left w:val="nil"/>
              <w:bottom w:val="single" w:sz="4" w:space="0" w:color="auto"/>
              <w:right w:val="single" w:sz="4" w:space="0" w:color="auto"/>
            </w:tcBorders>
            <w:shd w:val="clear" w:color="auto" w:fill="auto"/>
            <w:noWrap/>
            <w:hideMark/>
          </w:tcPr>
          <w:p w14:paraId="271A9110" w14:textId="77777777" w:rsidR="00A64001" w:rsidRPr="00F7008B" w:rsidRDefault="00A64001" w:rsidP="00A64001">
            <w:pPr>
              <w:jc w:val="right"/>
              <w:rPr>
                <w:b/>
                <w:bCs/>
                <w:sz w:val="19"/>
                <w:szCs w:val="19"/>
                <w:lang w:eastAsia="en-CA"/>
              </w:rPr>
            </w:pPr>
            <w:r w:rsidRPr="00F7008B">
              <w:rPr>
                <w:b/>
                <w:bCs/>
                <w:sz w:val="19"/>
                <w:szCs w:val="19"/>
                <w:lang w:eastAsia="fr"/>
              </w:rPr>
              <w:t>18</w:t>
            </w:r>
          </w:p>
        </w:tc>
        <w:tc>
          <w:tcPr>
            <w:tcW w:w="1140" w:type="dxa"/>
            <w:tcBorders>
              <w:top w:val="nil"/>
              <w:left w:val="nil"/>
              <w:bottom w:val="single" w:sz="4" w:space="0" w:color="auto"/>
              <w:right w:val="single" w:sz="4" w:space="0" w:color="auto"/>
            </w:tcBorders>
            <w:shd w:val="clear" w:color="auto" w:fill="auto"/>
            <w:noWrap/>
            <w:hideMark/>
          </w:tcPr>
          <w:p w14:paraId="413BDEB7" w14:textId="77777777" w:rsidR="00A64001" w:rsidRPr="00F7008B" w:rsidRDefault="00A64001" w:rsidP="00A64001">
            <w:pPr>
              <w:jc w:val="right"/>
              <w:rPr>
                <w:b/>
                <w:bCs/>
                <w:sz w:val="19"/>
                <w:szCs w:val="19"/>
                <w:lang w:eastAsia="en-CA"/>
              </w:rPr>
            </w:pPr>
            <w:r w:rsidRPr="00F7008B">
              <w:rPr>
                <w:b/>
                <w:bCs/>
                <w:sz w:val="19"/>
                <w:szCs w:val="19"/>
                <w:lang w:eastAsia="fr"/>
              </w:rPr>
              <w:t>10</w:t>
            </w:r>
          </w:p>
        </w:tc>
        <w:tc>
          <w:tcPr>
            <w:tcW w:w="1140" w:type="dxa"/>
            <w:tcBorders>
              <w:top w:val="nil"/>
              <w:left w:val="nil"/>
              <w:bottom w:val="single" w:sz="4" w:space="0" w:color="auto"/>
              <w:right w:val="single" w:sz="4" w:space="0" w:color="auto"/>
            </w:tcBorders>
            <w:shd w:val="clear" w:color="auto" w:fill="auto"/>
            <w:noWrap/>
            <w:hideMark/>
          </w:tcPr>
          <w:p w14:paraId="30DBEC65" w14:textId="77777777" w:rsidR="00A64001" w:rsidRPr="00F7008B" w:rsidRDefault="00A64001" w:rsidP="00A64001">
            <w:pPr>
              <w:jc w:val="right"/>
              <w:rPr>
                <w:b/>
                <w:sz w:val="19"/>
                <w:szCs w:val="19"/>
                <w:lang w:eastAsia="en-CA"/>
              </w:rPr>
            </w:pPr>
            <w:r w:rsidRPr="00F7008B">
              <w:rPr>
                <w:b/>
                <w:sz w:val="19"/>
                <w:szCs w:val="19"/>
                <w:lang w:eastAsia="fr"/>
              </w:rPr>
              <w:t>56</w:t>
            </w:r>
          </w:p>
        </w:tc>
        <w:tc>
          <w:tcPr>
            <w:tcW w:w="1080" w:type="dxa"/>
            <w:tcBorders>
              <w:top w:val="nil"/>
              <w:left w:val="nil"/>
              <w:bottom w:val="single" w:sz="4" w:space="0" w:color="auto"/>
              <w:right w:val="single" w:sz="4" w:space="0" w:color="auto"/>
            </w:tcBorders>
            <w:shd w:val="clear" w:color="auto" w:fill="auto"/>
            <w:noWrap/>
            <w:hideMark/>
          </w:tcPr>
          <w:p w14:paraId="0008B756" w14:textId="77777777" w:rsidR="00A64001" w:rsidRPr="00F7008B" w:rsidRDefault="00A64001" w:rsidP="00A64001">
            <w:pPr>
              <w:jc w:val="right"/>
              <w:rPr>
                <w:b/>
                <w:bCs/>
                <w:sz w:val="19"/>
                <w:szCs w:val="19"/>
                <w:lang w:eastAsia="en-CA"/>
              </w:rPr>
            </w:pPr>
            <w:r w:rsidRPr="00F7008B">
              <w:rPr>
                <w:b/>
                <w:bCs/>
                <w:sz w:val="19"/>
                <w:szCs w:val="19"/>
                <w:lang w:eastAsia="fr"/>
              </w:rPr>
              <w:t>6 051 258</w:t>
            </w:r>
          </w:p>
        </w:tc>
        <w:tc>
          <w:tcPr>
            <w:tcW w:w="1080" w:type="dxa"/>
            <w:tcBorders>
              <w:top w:val="nil"/>
              <w:left w:val="nil"/>
              <w:bottom w:val="single" w:sz="4" w:space="0" w:color="auto"/>
              <w:right w:val="single" w:sz="4" w:space="0" w:color="auto"/>
            </w:tcBorders>
            <w:shd w:val="clear" w:color="auto" w:fill="auto"/>
            <w:noWrap/>
            <w:hideMark/>
          </w:tcPr>
          <w:p w14:paraId="696E0D25" w14:textId="77777777" w:rsidR="00A64001" w:rsidRPr="00F7008B" w:rsidRDefault="00A64001" w:rsidP="00A64001">
            <w:pPr>
              <w:jc w:val="right"/>
              <w:rPr>
                <w:b/>
                <w:bCs/>
                <w:sz w:val="19"/>
                <w:szCs w:val="19"/>
                <w:lang w:eastAsia="en-CA"/>
              </w:rPr>
            </w:pPr>
            <w:r w:rsidRPr="00F7008B">
              <w:rPr>
                <w:b/>
                <w:bCs/>
                <w:sz w:val="19"/>
                <w:szCs w:val="19"/>
                <w:lang w:eastAsia="fr"/>
              </w:rPr>
              <w:t>5 542 824</w:t>
            </w:r>
          </w:p>
        </w:tc>
        <w:tc>
          <w:tcPr>
            <w:tcW w:w="1080" w:type="dxa"/>
            <w:tcBorders>
              <w:top w:val="nil"/>
              <w:left w:val="nil"/>
              <w:bottom w:val="single" w:sz="4" w:space="0" w:color="auto"/>
              <w:right w:val="single" w:sz="4" w:space="0" w:color="auto"/>
            </w:tcBorders>
            <w:shd w:val="clear" w:color="auto" w:fill="auto"/>
            <w:noWrap/>
            <w:hideMark/>
          </w:tcPr>
          <w:p w14:paraId="3DFB3968" w14:textId="77777777" w:rsidR="00A64001" w:rsidRPr="00F7008B" w:rsidRDefault="00A64001" w:rsidP="00A64001">
            <w:pPr>
              <w:jc w:val="right"/>
              <w:rPr>
                <w:b/>
                <w:bCs/>
                <w:sz w:val="19"/>
                <w:szCs w:val="19"/>
                <w:lang w:eastAsia="en-CA"/>
              </w:rPr>
            </w:pPr>
            <w:r w:rsidRPr="00F7008B">
              <w:rPr>
                <w:b/>
                <w:bCs/>
                <w:sz w:val="19"/>
                <w:szCs w:val="19"/>
                <w:lang w:eastAsia="fr"/>
              </w:rPr>
              <w:t>508 434</w:t>
            </w:r>
          </w:p>
        </w:tc>
        <w:tc>
          <w:tcPr>
            <w:tcW w:w="1080" w:type="dxa"/>
            <w:tcBorders>
              <w:top w:val="nil"/>
              <w:left w:val="nil"/>
              <w:bottom w:val="single" w:sz="4" w:space="0" w:color="auto"/>
              <w:right w:val="single" w:sz="4" w:space="0" w:color="auto"/>
            </w:tcBorders>
            <w:shd w:val="clear" w:color="auto" w:fill="auto"/>
            <w:noWrap/>
            <w:hideMark/>
          </w:tcPr>
          <w:p w14:paraId="69D620A6" w14:textId="77777777" w:rsidR="00A64001" w:rsidRPr="00F7008B" w:rsidRDefault="00A64001" w:rsidP="00A64001">
            <w:pPr>
              <w:jc w:val="right"/>
              <w:rPr>
                <w:b/>
                <w:sz w:val="19"/>
                <w:szCs w:val="19"/>
                <w:lang w:eastAsia="en-CA"/>
              </w:rPr>
            </w:pPr>
            <w:r w:rsidRPr="00F7008B">
              <w:rPr>
                <w:b/>
                <w:sz w:val="19"/>
                <w:szCs w:val="19"/>
                <w:lang w:eastAsia="fr"/>
              </w:rPr>
              <w:t>92</w:t>
            </w:r>
          </w:p>
        </w:tc>
      </w:tr>
    </w:tbl>
    <w:p w14:paraId="210DC483" w14:textId="0B0BFD53" w:rsidR="00E52ADD" w:rsidRPr="00822BBF" w:rsidRDefault="00F2646A" w:rsidP="00E52ADD">
      <w:pPr>
        <w:pStyle w:val="Title1"/>
        <w:jc w:val="both"/>
        <w:rPr>
          <w:b w:val="0"/>
          <w:caps w:val="0"/>
          <w:sz w:val="19"/>
          <w:szCs w:val="19"/>
          <w:lang w:val="fr-FR"/>
        </w:rPr>
      </w:pPr>
      <w:r>
        <w:rPr>
          <w:b w:val="0"/>
          <w:caps w:val="0"/>
          <w:sz w:val="19"/>
          <w:szCs w:val="19"/>
          <w:lang w:val="fr"/>
        </w:rPr>
        <w:t>*</w:t>
      </w:r>
      <w:r w:rsidR="00E52ADD" w:rsidRPr="00F7008B">
        <w:rPr>
          <w:b w:val="0"/>
          <w:caps w:val="0"/>
          <w:sz w:val="19"/>
          <w:szCs w:val="19"/>
          <w:lang w:val="fr"/>
        </w:rPr>
        <w:t>À l'exclusion des coûts d'appui d'agence.</w:t>
      </w:r>
    </w:p>
    <w:p w14:paraId="443B7412" w14:textId="067010C8" w:rsidR="00015AC2" w:rsidRPr="00822BBF" w:rsidRDefault="00015AC2" w:rsidP="00015AC2">
      <w:pPr>
        <w:pStyle w:val="Title1"/>
        <w:jc w:val="both"/>
        <w:rPr>
          <w:b w:val="0"/>
          <w:caps w:val="0"/>
          <w:sz w:val="19"/>
          <w:szCs w:val="19"/>
          <w:lang w:val="fr-FR"/>
        </w:rPr>
      </w:pPr>
      <w:r w:rsidRPr="00F7008B">
        <w:rPr>
          <w:b w:val="0"/>
          <w:caps w:val="0"/>
          <w:sz w:val="19"/>
          <w:szCs w:val="19"/>
          <w:lang w:val="fr"/>
        </w:rPr>
        <w:t xml:space="preserve">** 330,6 </w:t>
      </w:r>
      <w:proofErr w:type="spellStart"/>
      <w:r w:rsidRPr="00F7008B">
        <w:rPr>
          <w:b w:val="0"/>
          <w:caps w:val="0"/>
          <w:sz w:val="19"/>
          <w:szCs w:val="19"/>
          <w:lang w:val="fr"/>
        </w:rPr>
        <w:t>tm</w:t>
      </w:r>
      <w:proofErr w:type="spellEnd"/>
      <w:r w:rsidRPr="00F7008B">
        <w:rPr>
          <w:b w:val="0"/>
          <w:caps w:val="0"/>
          <w:sz w:val="19"/>
          <w:szCs w:val="19"/>
          <w:lang w:val="fr"/>
        </w:rPr>
        <w:t xml:space="preserve"> (432 801 </w:t>
      </w:r>
      <w:proofErr w:type="spellStart"/>
      <w:r w:rsidRPr="00F7008B">
        <w:rPr>
          <w:b w:val="0"/>
          <w:caps w:val="0"/>
          <w:sz w:val="19"/>
          <w:szCs w:val="19"/>
          <w:lang w:val="fr"/>
        </w:rPr>
        <w:t>tm</w:t>
      </w:r>
      <w:proofErr w:type="spellEnd"/>
      <w:r w:rsidRPr="00F7008B">
        <w:rPr>
          <w:b w:val="0"/>
          <w:caps w:val="0"/>
          <w:sz w:val="19"/>
          <w:szCs w:val="19"/>
          <w:lang w:val="fr"/>
        </w:rPr>
        <w:t xml:space="preserve"> CO</w:t>
      </w:r>
      <w:r w:rsidRPr="00F7008B">
        <w:rPr>
          <w:b w:val="0"/>
          <w:caps w:val="0"/>
          <w:sz w:val="19"/>
          <w:szCs w:val="19"/>
          <w:vertAlign w:val="subscript"/>
          <w:lang w:val="fr"/>
        </w:rPr>
        <w:t>2</w:t>
      </w:r>
      <w:r w:rsidRPr="00F7008B">
        <w:rPr>
          <w:b w:val="0"/>
          <w:caps w:val="0"/>
          <w:sz w:val="19"/>
          <w:szCs w:val="19"/>
          <w:lang w:val="fr"/>
        </w:rPr>
        <w:t xml:space="preserve">-éq.) sur 480,6 </w:t>
      </w:r>
      <w:proofErr w:type="spellStart"/>
      <w:r w:rsidRPr="00F7008B">
        <w:rPr>
          <w:b w:val="0"/>
          <w:caps w:val="0"/>
          <w:sz w:val="19"/>
          <w:szCs w:val="19"/>
          <w:lang w:val="fr"/>
        </w:rPr>
        <w:t>tm</w:t>
      </w:r>
      <w:proofErr w:type="spellEnd"/>
      <w:r w:rsidRPr="00F7008B">
        <w:rPr>
          <w:b w:val="0"/>
          <w:caps w:val="0"/>
          <w:sz w:val="19"/>
          <w:szCs w:val="19"/>
          <w:lang w:val="fr"/>
        </w:rPr>
        <w:t xml:space="preserve"> (587 301 </w:t>
      </w:r>
      <w:proofErr w:type="spellStart"/>
      <w:r w:rsidRPr="00F7008B">
        <w:rPr>
          <w:b w:val="0"/>
          <w:caps w:val="0"/>
          <w:sz w:val="19"/>
          <w:szCs w:val="19"/>
          <w:lang w:val="fr"/>
        </w:rPr>
        <w:t>tm</w:t>
      </w:r>
      <w:proofErr w:type="spellEnd"/>
      <w:r w:rsidRPr="00F7008B">
        <w:rPr>
          <w:b w:val="0"/>
          <w:caps w:val="0"/>
          <w:sz w:val="19"/>
          <w:szCs w:val="19"/>
          <w:lang w:val="fr"/>
        </w:rPr>
        <w:t xml:space="preserve"> CO</w:t>
      </w:r>
      <w:r w:rsidRPr="00F7008B">
        <w:rPr>
          <w:b w:val="0"/>
          <w:caps w:val="0"/>
          <w:sz w:val="19"/>
          <w:szCs w:val="19"/>
          <w:vertAlign w:val="subscript"/>
          <w:lang w:val="fr"/>
        </w:rPr>
        <w:t>2</w:t>
      </w:r>
      <w:r w:rsidR="00F2646A">
        <w:rPr>
          <w:b w:val="0"/>
          <w:caps w:val="0"/>
          <w:sz w:val="19"/>
          <w:szCs w:val="19"/>
          <w:lang w:val="fr"/>
        </w:rPr>
        <w:t xml:space="preserve"> -</w:t>
      </w:r>
      <w:proofErr w:type="spellStart"/>
      <w:r w:rsidR="00F2646A">
        <w:rPr>
          <w:b w:val="0"/>
          <w:caps w:val="0"/>
          <w:sz w:val="19"/>
          <w:szCs w:val="19"/>
          <w:lang w:val="fr"/>
        </w:rPr>
        <w:t>éq</w:t>
      </w:r>
      <w:proofErr w:type="spellEnd"/>
      <w:r w:rsidR="00F2646A">
        <w:rPr>
          <w:b w:val="0"/>
          <w:caps w:val="0"/>
          <w:sz w:val="19"/>
          <w:szCs w:val="19"/>
          <w:lang w:val="fr"/>
        </w:rPr>
        <w:t>.) de HFC ont</w:t>
      </w:r>
      <w:r w:rsidRPr="00F7008B">
        <w:rPr>
          <w:b w:val="0"/>
          <w:caps w:val="0"/>
          <w:sz w:val="19"/>
          <w:szCs w:val="19"/>
          <w:lang w:val="fr"/>
        </w:rPr>
        <w:t xml:space="preserve"> été éliminé</w:t>
      </w:r>
      <w:r w:rsidR="00F2646A">
        <w:rPr>
          <w:b w:val="0"/>
          <w:caps w:val="0"/>
          <w:sz w:val="19"/>
          <w:szCs w:val="19"/>
          <w:lang w:val="fr"/>
        </w:rPr>
        <w:t>es</w:t>
      </w:r>
      <w:r w:rsidRPr="00F7008B">
        <w:rPr>
          <w:b w:val="0"/>
          <w:caps w:val="0"/>
          <w:sz w:val="19"/>
          <w:szCs w:val="19"/>
          <w:lang w:val="fr"/>
        </w:rPr>
        <w:t>.</w:t>
      </w:r>
    </w:p>
    <w:p w14:paraId="4A57B64C" w14:textId="77777777" w:rsidR="00015AC2" w:rsidRPr="00822BBF" w:rsidRDefault="00015AC2" w:rsidP="00E52ADD">
      <w:pPr>
        <w:pStyle w:val="Title1"/>
        <w:jc w:val="both"/>
        <w:rPr>
          <w:b w:val="0"/>
          <w:caps w:val="0"/>
          <w:sz w:val="19"/>
          <w:szCs w:val="19"/>
          <w:lang w:val="fr-FR"/>
        </w:rPr>
      </w:pPr>
    </w:p>
    <w:p w14:paraId="1CF796F4" w14:textId="77777777" w:rsidR="00E52ADD" w:rsidRPr="00822BBF" w:rsidRDefault="00E52ADD" w:rsidP="00E52ADD">
      <w:pPr>
        <w:pStyle w:val="Title1"/>
        <w:jc w:val="both"/>
        <w:rPr>
          <w:b w:val="0"/>
          <w:caps w:val="0"/>
          <w:sz w:val="19"/>
          <w:szCs w:val="19"/>
          <w:lang w:val="fr-FR"/>
        </w:rPr>
      </w:pPr>
    </w:p>
    <w:p w14:paraId="6166C629" w14:textId="5F97C761" w:rsidR="00E52ADD" w:rsidRPr="00822BBF" w:rsidRDefault="00E52ADD" w:rsidP="00E52ADD">
      <w:pPr>
        <w:pStyle w:val="Heading1"/>
        <w:tabs>
          <w:tab w:val="clear" w:pos="0"/>
        </w:tabs>
        <w:rPr>
          <w:lang w:val="fr-FR"/>
        </w:rPr>
      </w:pPr>
      <w:r w:rsidRPr="00822BBF">
        <w:rPr>
          <w:lang w:val="fr-FR"/>
        </w:rPr>
        <w:t xml:space="preserve">À la fin 2020, sur les 18 projets approuvés, dix projets avaient été menés à terme, dont un projet d'investissement, quatre activités habilitantes et cinq activités de préparation, </w:t>
      </w:r>
      <w:r w:rsidR="000C6BEA" w:rsidRPr="00822BBF">
        <w:rPr>
          <w:lang w:val="fr-FR"/>
        </w:rPr>
        <w:t xml:space="preserve">les </w:t>
      </w:r>
      <w:r w:rsidRPr="00822BBF">
        <w:rPr>
          <w:lang w:val="fr-FR"/>
        </w:rPr>
        <w:t>huit projets</w:t>
      </w:r>
      <w:r w:rsidR="000C6BEA" w:rsidRPr="00822BBF">
        <w:rPr>
          <w:lang w:val="fr-FR"/>
        </w:rPr>
        <w:t xml:space="preserve"> restants</w:t>
      </w:r>
      <w:r w:rsidRPr="00822BBF">
        <w:rPr>
          <w:lang w:val="fr-FR"/>
        </w:rPr>
        <w:t xml:space="preserve"> suivant leur cours. L'ajournement de l'échéance des sept activités habilitantes en cours a été approuvé ; ces activités sont à divers stades de mise en œuvre.</w:t>
      </w:r>
    </w:p>
    <w:p w14:paraId="3ECD0396" w14:textId="77777777" w:rsidR="00E52ADD" w:rsidRPr="00822BBF" w:rsidRDefault="00E52ADD" w:rsidP="00E52ADD">
      <w:pPr>
        <w:pStyle w:val="Heading1"/>
        <w:tabs>
          <w:tab w:val="clear" w:pos="0"/>
        </w:tabs>
        <w:rPr>
          <w:lang w:val="fr-FR"/>
        </w:rPr>
      </w:pPr>
      <w:r w:rsidRPr="00822BBF">
        <w:rPr>
          <w:lang w:val="fr-FR"/>
        </w:rPr>
        <w:t>Le projet d'investissement en cours résiduel, qui a été approuvé à la 82</w:t>
      </w:r>
      <w:r w:rsidRPr="00822BBF">
        <w:rPr>
          <w:vertAlign w:val="superscript"/>
          <w:lang w:val="fr-FR"/>
        </w:rPr>
        <w:t>e</w:t>
      </w:r>
      <w:r w:rsidRPr="00822BBF">
        <w:rPr>
          <w:lang w:val="fr-FR"/>
        </w:rPr>
        <w:t xml:space="preserve"> réunion, devrait être mené à terme en 2021, 80 % des fonds approuvés étant décaissés. </w:t>
      </w:r>
    </w:p>
    <w:p w14:paraId="5A0F7286" w14:textId="77777777" w:rsidR="00E52ADD" w:rsidRPr="00822BBF" w:rsidRDefault="00E52ADD" w:rsidP="009148F7">
      <w:pPr>
        <w:pStyle w:val="Heading1"/>
        <w:rPr>
          <w:lang w:val="fr-FR"/>
        </w:rPr>
      </w:pPr>
      <w:r w:rsidRPr="00822BBF">
        <w:rPr>
          <w:lang w:val="fr-FR"/>
        </w:rPr>
        <w:t>Sur le financement accumulé total approuvé de 6 051 258 $US, 5 542 824 $US ont été décaissés, ce qui représente un taux de décaissement de 92 %.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52ADD" w:rsidRPr="0056042B" w14:paraId="257AA260" w14:textId="77777777" w:rsidTr="001C0110">
        <w:tc>
          <w:tcPr>
            <w:tcW w:w="1871" w:type="dxa"/>
          </w:tcPr>
          <w:p w14:paraId="1DA96123" w14:textId="77777777" w:rsidR="00E52ADD" w:rsidRPr="00822BBF" w:rsidRDefault="00E52ADD" w:rsidP="001C0110">
            <w:pPr>
              <w:rPr>
                <w:lang w:val="fr-FR"/>
              </w:rPr>
            </w:pPr>
          </w:p>
        </w:tc>
        <w:tc>
          <w:tcPr>
            <w:tcW w:w="1872" w:type="dxa"/>
          </w:tcPr>
          <w:p w14:paraId="0600491F" w14:textId="77777777" w:rsidR="00E52ADD" w:rsidRPr="00822BBF" w:rsidRDefault="00E52ADD" w:rsidP="001C0110">
            <w:pPr>
              <w:rPr>
                <w:lang w:val="fr-FR"/>
              </w:rPr>
            </w:pPr>
          </w:p>
        </w:tc>
        <w:tc>
          <w:tcPr>
            <w:tcW w:w="1872" w:type="dxa"/>
            <w:tcBorders>
              <w:bottom w:val="single" w:sz="4" w:space="0" w:color="auto"/>
            </w:tcBorders>
          </w:tcPr>
          <w:p w14:paraId="5401CFBA" w14:textId="77777777" w:rsidR="00E52ADD" w:rsidRPr="00822BBF" w:rsidRDefault="00E52ADD" w:rsidP="001C0110">
            <w:pPr>
              <w:rPr>
                <w:lang w:val="fr-FR"/>
              </w:rPr>
            </w:pPr>
          </w:p>
        </w:tc>
        <w:tc>
          <w:tcPr>
            <w:tcW w:w="1872" w:type="dxa"/>
          </w:tcPr>
          <w:p w14:paraId="648AE584" w14:textId="77777777" w:rsidR="00E52ADD" w:rsidRPr="00822BBF" w:rsidRDefault="00E52ADD" w:rsidP="001C0110">
            <w:pPr>
              <w:rPr>
                <w:lang w:val="fr-FR"/>
              </w:rPr>
            </w:pPr>
          </w:p>
        </w:tc>
        <w:tc>
          <w:tcPr>
            <w:tcW w:w="1873" w:type="dxa"/>
          </w:tcPr>
          <w:p w14:paraId="3F93D5B7" w14:textId="77777777" w:rsidR="00E52ADD" w:rsidRPr="00822BBF" w:rsidRDefault="00E52ADD" w:rsidP="001C0110">
            <w:pPr>
              <w:rPr>
                <w:lang w:val="fr-FR"/>
              </w:rPr>
            </w:pPr>
          </w:p>
        </w:tc>
      </w:tr>
    </w:tbl>
    <w:p w14:paraId="6CB40EFE" w14:textId="77777777" w:rsidR="00E52ADD" w:rsidRPr="00822BBF" w:rsidRDefault="00E52ADD" w:rsidP="00E52ADD">
      <w:pPr>
        <w:rPr>
          <w:lang w:val="fr-FR"/>
        </w:rPr>
      </w:pPr>
    </w:p>
    <w:p w14:paraId="52B02979" w14:textId="77777777" w:rsidR="00C15867" w:rsidRPr="00822BBF" w:rsidRDefault="00C15867" w:rsidP="00857077">
      <w:pPr>
        <w:jc w:val="left"/>
        <w:rPr>
          <w:lang w:val="fr-FR"/>
        </w:rPr>
      </w:pPr>
    </w:p>
    <w:sectPr w:rsidR="00C15867" w:rsidRPr="00822BBF" w:rsidSect="00613327">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634D" w14:textId="77777777" w:rsidR="00D1489E" w:rsidRDefault="00D1489E" w:rsidP="004A504B">
      <w:r>
        <w:separator/>
      </w:r>
    </w:p>
  </w:endnote>
  <w:endnote w:type="continuationSeparator" w:id="0">
    <w:p w14:paraId="3C6D8BF2" w14:textId="77777777" w:rsidR="00D1489E" w:rsidRDefault="00D1489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1EF0" w14:textId="477CAFE9" w:rsidR="000C6BEA" w:rsidRPr="0033525D" w:rsidRDefault="000C6BEA">
    <w:pPr>
      <w:jc w:val="center"/>
    </w:pPr>
    <w:r>
      <w:fldChar w:fldCharType="begin"/>
    </w:r>
    <w:r>
      <w:instrText xml:space="preserve"> PAGE </w:instrText>
    </w:r>
    <w:r>
      <w:fldChar w:fldCharType="separate"/>
    </w:r>
    <w:r w:rsidR="0056042B">
      <w:rPr>
        <w:noProof/>
      </w:rPr>
      <w:t>6</w:t>
    </w:r>
    <w:r>
      <w:rPr>
        <w:noProof/>
      </w:rPr>
      <w:fldChar w:fldCharType="end"/>
    </w:r>
  </w:p>
  <w:p w14:paraId="4CC3BCB8" w14:textId="77777777" w:rsidR="000C6BEA" w:rsidRDefault="000C6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DC10" w14:textId="674A807E" w:rsidR="000C6BEA" w:rsidRPr="0033525D" w:rsidRDefault="000C6BEA">
    <w:pPr>
      <w:jc w:val="center"/>
    </w:pPr>
    <w:r>
      <w:fldChar w:fldCharType="begin"/>
    </w:r>
    <w:r>
      <w:instrText xml:space="preserve"> PAGE </w:instrText>
    </w:r>
    <w:r>
      <w:fldChar w:fldCharType="separate"/>
    </w:r>
    <w:r w:rsidR="0056042B">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6760" w14:textId="77777777" w:rsidR="000C6BEA" w:rsidRPr="00822BBF" w:rsidRDefault="000C6BEA"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822BBF">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14:paraId="6471A3AA" w14:textId="77777777" w:rsidR="000C6BEA" w:rsidRPr="00822BBF" w:rsidRDefault="000C6BEA"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9869"/>
      <w:docPartObj>
        <w:docPartGallery w:val="Page Numbers (Bottom of Page)"/>
        <w:docPartUnique/>
      </w:docPartObj>
    </w:sdtPr>
    <w:sdtEndPr>
      <w:rPr>
        <w:noProof/>
      </w:rPr>
    </w:sdtEndPr>
    <w:sdtContent>
      <w:p w14:paraId="46B3ED5B" w14:textId="2C7B28EA" w:rsidR="000C6BEA" w:rsidRDefault="000C6BEA">
        <w:pPr>
          <w:pStyle w:val="Footer"/>
          <w:jc w:val="center"/>
        </w:pPr>
        <w:r>
          <w:fldChar w:fldCharType="begin"/>
        </w:r>
        <w:r>
          <w:instrText xml:space="preserve"> PAGE   \* MERGEFORMAT </w:instrText>
        </w:r>
        <w:r>
          <w:fldChar w:fldCharType="separate"/>
        </w:r>
        <w:r w:rsidR="0056042B">
          <w:rPr>
            <w:noProof/>
          </w:rPr>
          <w:t>2</w:t>
        </w:r>
        <w:r>
          <w:rPr>
            <w:noProof/>
          </w:rPr>
          <w:fldChar w:fldCharType="end"/>
        </w:r>
      </w:p>
    </w:sdtContent>
  </w:sdt>
  <w:p w14:paraId="7FA4D9F3" w14:textId="22698F87" w:rsidR="000C6BEA" w:rsidRPr="0033525D" w:rsidRDefault="000C6BEA">
    <w:pP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5971"/>
      <w:docPartObj>
        <w:docPartGallery w:val="Page Numbers (Bottom of Page)"/>
        <w:docPartUnique/>
      </w:docPartObj>
    </w:sdtPr>
    <w:sdtEndPr>
      <w:rPr>
        <w:noProof/>
      </w:rPr>
    </w:sdtEndPr>
    <w:sdtContent>
      <w:p w14:paraId="0938DB70" w14:textId="117A23FA" w:rsidR="000C6BEA" w:rsidRDefault="000C6B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3613B3A" w14:textId="37EC8F0E" w:rsidR="000C6BEA" w:rsidRPr="0033525D" w:rsidRDefault="000C6BEA">
    <w:pPr>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12018"/>
      <w:docPartObj>
        <w:docPartGallery w:val="Page Numbers (Bottom of Page)"/>
        <w:docPartUnique/>
      </w:docPartObj>
    </w:sdtPr>
    <w:sdtEndPr>
      <w:rPr>
        <w:noProof/>
      </w:rPr>
    </w:sdtEndPr>
    <w:sdtContent>
      <w:p w14:paraId="645510B4" w14:textId="1BE48B70" w:rsidR="000C6BEA" w:rsidRDefault="000C6BEA">
        <w:pPr>
          <w:pStyle w:val="Footer"/>
          <w:jc w:val="center"/>
        </w:pPr>
        <w:r>
          <w:fldChar w:fldCharType="begin"/>
        </w:r>
        <w:r>
          <w:instrText xml:space="preserve"> PAGE   \* MERGEFORMAT </w:instrText>
        </w:r>
        <w:r>
          <w:fldChar w:fldCharType="separate"/>
        </w:r>
        <w:r w:rsidR="0056042B">
          <w:rPr>
            <w:noProof/>
          </w:rPr>
          <w:t>1</w:t>
        </w:r>
        <w:r>
          <w:rPr>
            <w:noProof/>
          </w:rPr>
          <w:fldChar w:fldCharType="end"/>
        </w:r>
      </w:p>
    </w:sdtContent>
  </w:sdt>
  <w:p w14:paraId="2E6EBB35" w14:textId="77777777" w:rsidR="000C6BEA" w:rsidRPr="007E7443" w:rsidRDefault="000C6BEA" w:rsidP="001C0110">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70509"/>
      <w:docPartObj>
        <w:docPartGallery w:val="Page Numbers (Bottom of Page)"/>
        <w:docPartUnique/>
      </w:docPartObj>
    </w:sdtPr>
    <w:sdtEndPr>
      <w:rPr>
        <w:noProof/>
      </w:rPr>
    </w:sdtEndPr>
    <w:sdtContent>
      <w:p w14:paraId="24D3FFD2" w14:textId="170ECE23" w:rsidR="000C6BEA" w:rsidRDefault="000C6BEA">
        <w:pPr>
          <w:pStyle w:val="Footer"/>
          <w:jc w:val="center"/>
        </w:pPr>
        <w:r>
          <w:fldChar w:fldCharType="begin"/>
        </w:r>
        <w:r>
          <w:instrText xml:space="preserve"> PAGE   \* MERGEFORMAT </w:instrText>
        </w:r>
        <w:r>
          <w:fldChar w:fldCharType="separate"/>
        </w:r>
        <w:r w:rsidR="0056042B">
          <w:rPr>
            <w:noProof/>
          </w:rPr>
          <w:t>4</w:t>
        </w:r>
        <w:r>
          <w:rPr>
            <w:noProof/>
          </w:rPr>
          <w:fldChar w:fldCharType="end"/>
        </w:r>
      </w:p>
    </w:sdtContent>
  </w:sdt>
  <w:p w14:paraId="052C8101" w14:textId="02EEF906" w:rsidR="000C6BEA" w:rsidRPr="0033525D" w:rsidRDefault="000C6BEA">
    <w:pPr>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5142"/>
      <w:docPartObj>
        <w:docPartGallery w:val="Page Numbers (Bottom of Page)"/>
        <w:docPartUnique/>
      </w:docPartObj>
    </w:sdtPr>
    <w:sdtEndPr>
      <w:rPr>
        <w:noProof/>
      </w:rPr>
    </w:sdtEndPr>
    <w:sdtContent>
      <w:p w14:paraId="5507A0BB" w14:textId="598A9FCF" w:rsidR="000C6BEA" w:rsidRDefault="000C6BEA">
        <w:pPr>
          <w:pStyle w:val="Footer"/>
          <w:jc w:val="center"/>
        </w:pPr>
        <w:r>
          <w:fldChar w:fldCharType="begin"/>
        </w:r>
        <w:r>
          <w:instrText xml:space="preserve"> PAGE   \* MERGEFORMAT </w:instrText>
        </w:r>
        <w:r>
          <w:fldChar w:fldCharType="separate"/>
        </w:r>
        <w:r w:rsidR="0056042B">
          <w:rPr>
            <w:noProof/>
          </w:rPr>
          <w:t>5</w:t>
        </w:r>
        <w:r>
          <w:rPr>
            <w:noProof/>
          </w:rPr>
          <w:fldChar w:fldCharType="end"/>
        </w:r>
      </w:p>
    </w:sdtContent>
  </w:sdt>
  <w:p w14:paraId="02D4556B" w14:textId="7006EEE4" w:rsidR="000C6BEA" w:rsidRPr="0033525D" w:rsidRDefault="000C6BEA">
    <w:pPr>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4280"/>
      <w:docPartObj>
        <w:docPartGallery w:val="Page Numbers (Bottom of Page)"/>
        <w:docPartUnique/>
      </w:docPartObj>
    </w:sdtPr>
    <w:sdtEndPr>
      <w:rPr>
        <w:noProof/>
      </w:rPr>
    </w:sdtEndPr>
    <w:sdtContent>
      <w:p w14:paraId="59E1F0A7" w14:textId="432D57B3" w:rsidR="000C6BEA" w:rsidRDefault="000C6BEA">
        <w:pPr>
          <w:pStyle w:val="Footer"/>
          <w:jc w:val="center"/>
        </w:pPr>
        <w:r>
          <w:fldChar w:fldCharType="begin"/>
        </w:r>
        <w:r>
          <w:instrText xml:space="preserve"> PAGE   \* MERGEFORMAT </w:instrText>
        </w:r>
        <w:r>
          <w:fldChar w:fldCharType="separate"/>
        </w:r>
        <w:r w:rsidR="0056042B">
          <w:rPr>
            <w:noProof/>
          </w:rPr>
          <w:t>1</w:t>
        </w:r>
        <w:r>
          <w:rPr>
            <w:noProof/>
          </w:rPr>
          <w:fldChar w:fldCharType="end"/>
        </w:r>
      </w:p>
    </w:sdtContent>
  </w:sdt>
  <w:p w14:paraId="03FEA2A1" w14:textId="77777777" w:rsidR="000C6BEA" w:rsidRPr="00666814" w:rsidRDefault="000C6BEA" w:rsidP="006668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4EE1C" w14:textId="77777777" w:rsidR="00D1489E" w:rsidRDefault="00D1489E" w:rsidP="004A504B">
      <w:r>
        <w:separator/>
      </w:r>
    </w:p>
  </w:footnote>
  <w:footnote w:type="continuationSeparator" w:id="0">
    <w:p w14:paraId="22A5CF93" w14:textId="77777777" w:rsidR="00D1489E" w:rsidRDefault="00D1489E" w:rsidP="004A504B">
      <w:r>
        <w:continuationSeparator/>
      </w:r>
    </w:p>
  </w:footnote>
  <w:footnote w:id="1">
    <w:p w14:paraId="21C29F60" w14:textId="77777777" w:rsidR="000C6BEA" w:rsidRPr="00822BBF" w:rsidRDefault="000C6BEA">
      <w:pPr>
        <w:pStyle w:val="FootnoteText"/>
        <w:rPr>
          <w:lang w:val="fr-FR"/>
        </w:rPr>
      </w:pPr>
      <w:r w:rsidRPr="005150A5">
        <w:rPr>
          <w:rStyle w:val="FootnoteReference"/>
        </w:rPr>
        <w:footnoteRef/>
      </w:r>
      <w:r w:rsidRPr="00822BBF">
        <w:rPr>
          <w:lang w:val="fr-FR"/>
        </w:rPr>
        <w:t xml:space="preserve"> Des réunions en ligne et un processus d'approbation intersessions auront lieu en novembre et décembre 2021 en raison de la maladie à coronavirus (COVID-19).</w:t>
      </w:r>
    </w:p>
  </w:footnote>
  <w:footnote w:id="2">
    <w:p w14:paraId="4268E74A" w14:textId="77777777" w:rsidR="000C6BEA" w:rsidRPr="00822BBF" w:rsidRDefault="000C6BEA" w:rsidP="00E52ADD">
      <w:pPr>
        <w:pStyle w:val="FootnoteText"/>
        <w:rPr>
          <w:lang w:val="fr-FR"/>
        </w:rPr>
      </w:pPr>
      <w:r w:rsidRPr="005150A5">
        <w:rPr>
          <w:rStyle w:val="FootnoteReference"/>
        </w:rPr>
        <w:footnoteRef/>
      </w:r>
      <w:r w:rsidRPr="00822BBF">
        <w:rPr>
          <w:lang w:val="fr-FR"/>
        </w:rPr>
        <w:t xml:space="preserve"> Le rapport périodique est joint au présent document. Les données ont été intégrées dans la base de données du rapport périodique global qui est disponible sur demande.</w:t>
      </w:r>
    </w:p>
  </w:footnote>
  <w:footnote w:id="3">
    <w:p w14:paraId="4D7DCB50" w14:textId="35258214" w:rsidR="000C6BEA" w:rsidRDefault="000C6BEA" w:rsidP="00E52ADD">
      <w:pPr>
        <w:pStyle w:val="FootnoteText"/>
        <w:rPr>
          <w:lang w:val="fr-FR"/>
        </w:rPr>
      </w:pPr>
      <w:r w:rsidRPr="005150A5">
        <w:rPr>
          <w:rStyle w:val="FootnoteReference"/>
        </w:rPr>
        <w:footnoteRef/>
      </w:r>
      <w:r w:rsidRPr="00822BBF">
        <w:rPr>
          <w:lang w:val="fr-FR"/>
        </w:rPr>
        <w:t xml:space="preserve"> Conformément à la décision 84/12(a)(iv), la mesure des HFC en </w:t>
      </w:r>
      <w:proofErr w:type="spellStart"/>
      <w:r w:rsidRPr="00822BBF">
        <w:rPr>
          <w:lang w:val="fr-FR"/>
        </w:rPr>
        <w:t>tm</w:t>
      </w:r>
      <w:proofErr w:type="spellEnd"/>
      <w:r w:rsidRPr="00822BBF">
        <w:rPr>
          <w:lang w:val="fr-FR"/>
        </w:rPr>
        <w:t xml:space="preserve"> CO</w:t>
      </w:r>
      <w:r w:rsidRPr="00822BBF">
        <w:rPr>
          <w:vertAlign w:val="subscript"/>
          <w:lang w:val="fr-FR"/>
        </w:rPr>
        <w:t>2</w:t>
      </w:r>
      <w:r w:rsidRPr="00822BBF">
        <w:rPr>
          <w:lang w:val="fr-FR"/>
        </w:rPr>
        <w:t>-éq fait partie des rapports d'avancement soumis à la 88</w:t>
      </w:r>
      <w:r w:rsidRPr="00822BBF">
        <w:rPr>
          <w:vertAlign w:val="superscript"/>
          <w:lang w:val="fr-FR"/>
        </w:rPr>
        <w:t>e</w:t>
      </w:r>
      <w:r w:rsidRPr="00822BBF">
        <w:rPr>
          <w:lang w:val="fr-FR"/>
        </w:rPr>
        <w:t xml:space="preserve"> réunion.</w:t>
      </w:r>
    </w:p>
    <w:p w14:paraId="7AFC06BD" w14:textId="77777777" w:rsidR="000310D1" w:rsidRPr="00822BBF" w:rsidRDefault="000310D1" w:rsidP="00E52ADD">
      <w:pPr>
        <w:pStyle w:val="FootnoteText"/>
        <w:rPr>
          <w:lang w:val="fr-FR"/>
        </w:rPr>
      </w:pPr>
    </w:p>
  </w:footnote>
  <w:footnote w:id="4">
    <w:p w14:paraId="6DED9633" w14:textId="77777777" w:rsidR="000C6BEA" w:rsidRPr="00822BBF" w:rsidRDefault="000C6BEA" w:rsidP="00E52ADD">
      <w:pPr>
        <w:pStyle w:val="FootnoteText"/>
        <w:rPr>
          <w:lang w:val="fr-FR"/>
        </w:rPr>
      </w:pPr>
      <w:r w:rsidRPr="005150A5">
        <w:rPr>
          <w:rStyle w:val="FootnoteReference"/>
          <w:lang w:val="fr"/>
        </w:rPr>
        <w:footnoteRef/>
      </w:r>
      <w:r w:rsidRPr="005150A5">
        <w:rPr>
          <w:lang w:val="fr"/>
        </w:rPr>
        <w:t xml:space="preserve"> Les projets en cours sont tous des projets qui étaient en cours de mise en œuvre au 31 décembre 2020. Parmi les principaux indicateurs d’évolution figurent :  le pourcentage des fonds décaissés et le pourcentage de projets qui ont commencé à décaisser les fonds ; les financements qu'il est prévu de décaisser d’ici la fin de l’année en pourcentage du financement approuvé ; la durée moyenne de retard prévu dans la mise en œuvre ; et les informations fournies dans la colonne des remarques de la base de données des rapports périodiques.</w:t>
      </w:r>
    </w:p>
  </w:footnote>
  <w:footnote w:id="5">
    <w:p w14:paraId="4EA81012" w14:textId="01DA4E5B" w:rsidR="000C6BEA" w:rsidRPr="00822BBF" w:rsidRDefault="000C6BEA" w:rsidP="00E52ADD">
      <w:pPr>
        <w:pStyle w:val="FootnoteText"/>
        <w:rPr>
          <w:lang w:val="fr-FR"/>
        </w:rPr>
      </w:pPr>
      <w:r w:rsidRPr="00DD7B54">
        <w:rPr>
          <w:rStyle w:val="FootnoteReference"/>
        </w:rPr>
        <w:footnoteRef/>
      </w:r>
      <w:r w:rsidRPr="00822BBF">
        <w:rPr>
          <w:lang w:val="fr-FR"/>
        </w:rPr>
        <w:t xml:space="preserve"> Conformément à la décision 84/12(b), un rapport d'avancement détaillé donnant un aperçu des objectifs, de l'état de mise en œuvre, des principales conclusions et des enseignements tirés, des quantités de HFC éliminées le cas échéant, du niveau des fonds approuvés et décaissés et des défis dans l'achèvement des projets et des activités figure dans le rapport périodique consolidé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/88/12).</w:t>
      </w:r>
    </w:p>
  </w:footnote>
  <w:footnote w:id="6">
    <w:p w14:paraId="39BFB4E7" w14:textId="62A19FFD" w:rsidR="000C6BEA" w:rsidRPr="00822BBF" w:rsidRDefault="000C6BEA" w:rsidP="00F2646A">
      <w:pPr>
        <w:pStyle w:val="Title1"/>
        <w:keepNext/>
        <w:jc w:val="both"/>
        <w:rPr>
          <w:b w:val="0"/>
          <w:caps w:val="0"/>
          <w:sz w:val="19"/>
          <w:szCs w:val="19"/>
          <w:lang w:val="fr-FR"/>
        </w:rPr>
      </w:pPr>
      <w:r w:rsidRPr="00F7008B">
        <w:rPr>
          <w:rStyle w:val="FootnoteReference"/>
          <w:b w:val="0"/>
        </w:rPr>
        <w:footnoteRef/>
      </w:r>
      <w:r w:rsidRPr="00F7008B">
        <w:rPr>
          <w:b w:val="0"/>
          <w:caps w:val="0"/>
          <w:sz w:val="19"/>
          <w:szCs w:val="19"/>
          <w:lang w:val="fr"/>
        </w:rPr>
        <w:t xml:space="preserve">Y compris 70,1 </w:t>
      </w:r>
      <w:proofErr w:type="spellStart"/>
      <w:r w:rsidRPr="00F7008B">
        <w:rPr>
          <w:b w:val="0"/>
          <w:caps w:val="0"/>
          <w:sz w:val="19"/>
          <w:szCs w:val="19"/>
          <w:lang w:val="fr"/>
        </w:rPr>
        <w:t>tm</w:t>
      </w:r>
      <w:proofErr w:type="spellEnd"/>
      <w:r w:rsidRPr="00F7008B">
        <w:rPr>
          <w:b w:val="0"/>
          <w:caps w:val="0"/>
          <w:sz w:val="19"/>
          <w:szCs w:val="19"/>
          <w:lang w:val="fr"/>
        </w:rPr>
        <w:t xml:space="preserve"> (100 243 </w:t>
      </w:r>
      <w:proofErr w:type="spellStart"/>
      <w:r w:rsidRPr="00F7008B">
        <w:rPr>
          <w:b w:val="0"/>
          <w:caps w:val="0"/>
          <w:sz w:val="19"/>
          <w:szCs w:val="19"/>
          <w:lang w:val="fr"/>
        </w:rPr>
        <w:t>tm</w:t>
      </w:r>
      <w:proofErr w:type="spellEnd"/>
      <w:r w:rsidRPr="00F7008B">
        <w:rPr>
          <w:b w:val="0"/>
          <w:caps w:val="0"/>
          <w:sz w:val="19"/>
          <w:szCs w:val="19"/>
          <w:lang w:val="fr"/>
        </w:rPr>
        <w:t xml:space="preserve"> </w:t>
      </w:r>
      <w:r>
        <w:rPr>
          <w:b w:val="0"/>
          <w:caps w:val="0"/>
          <w:sz w:val="19"/>
          <w:szCs w:val="19"/>
          <w:lang w:val="fr"/>
        </w:rPr>
        <w:t>CO</w:t>
      </w:r>
      <w:r w:rsidRPr="00E1301A">
        <w:rPr>
          <w:b w:val="0"/>
          <w:caps w:val="0"/>
          <w:sz w:val="19"/>
          <w:szCs w:val="19"/>
          <w:vertAlign w:val="subscript"/>
          <w:lang w:val="fr"/>
        </w:rPr>
        <w:t>2</w:t>
      </w:r>
      <w:r>
        <w:rPr>
          <w:b w:val="0"/>
          <w:caps w:val="0"/>
          <w:sz w:val="19"/>
          <w:szCs w:val="19"/>
          <w:lang w:val="fr"/>
        </w:rPr>
        <w:t>-éq</w:t>
      </w:r>
      <w:r w:rsidRPr="00F7008B">
        <w:rPr>
          <w:b w:val="0"/>
          <w:caps w:val="0"/>
          <w:sz w:val="19"/>
          <w:szCs w:val="19"/>
          <w:vertAlign w:val="subscript"/>
          <w:lang w:val="fr"/>
        </w:rPr>
        <w:t>)</w:t>
      </w:r>
      <w:r w:rsidRPr="00F7008B">
        <w:rPr>
          <w:b w:val="0"/>
          <w:caps w:val="0"/>
          <w:sz w:val="19"/>
          <w:szCs w:val="19"/>
          <w:lang w:val="fr"/>
        </w:rPr>
        <w:t xml:space="preserve"> </w:t>
      </w:r>
      <w:r>
        <w:rPr>
          <w:b w:val="0"/>
          <w:caps w:val="0"/>
          <w:sz w:val="19"/>
          <w:szCs w:val="19"/>
          <w:lang w:val="fr"/>
        </w:rPr>
        <w:t>de</w:t>
      </w:r>
      <w:r w:rsidRPr="00F7008B">
        <w:rPr>
          <w:b w:val="0"/>
          <w:caps w:val="0"/>
          <w:sz w:val="19"/>
          <w:szCs w:val="19"/>
          <w:lang w:val="fr"/>
        </w:rPr>
        <w:t xml:space="preserve"> HFC</w:t>
      </w:r>
      <w:r>
        <w:rPr>
          <w:b w:val="0"/>
          <w:caps w:val="0"/>
          <w:sz w:val="19"/>
          <w:szCs w:val="19"/>
          <w:lang w:val="fr"/>
        </w:rPr>
        <w:t xml:space="preserve"> éliminées suite à des projets menés en 2020</w:t>
      </w:r>
      <w:r w:rsidRPr="00F7008B">
        <w:rPr>
          <w:b w:val="0"/>
          <w:caps w:val="0"/>
          <w:sz w:val="19"/>
          <w:szCs w:val="19"/>
          <w:lang w:val="fr"/>
        </w:rPr>
        <w:t>.</w:t>
      </w:r>
    </w:p>
    <w:p w14:paraId="0A8BD564" w14:textId="77777777" w:rsidR="000C6BEA" w:rsidRPr="00822BBF" w:rsidRDefault="000C6BEA" w:rsidP="00F2646A">
      <w:pPr>
        <w:pStyle w:val="FootnoteText"/>
        <w:rPr>
          <w:lang w:val="fr-FR"/>
        </w:rPr>
      </w:pPr>
    </w:p>
  </w:footnote>
  <w:footnote w:id="7">
    <w:p w14:paraId="40D7FC74" w14:textId="1BDC9ABF" w:rsidR="000C6BEA" w:rsidRPr="00822BBF" w:rsidRDefault="000C6BEA" w:rsidP="00E1301A">
      <w:pPr>
        <w:pStyle w:val="FootnoteText"/>
        <w:rPr>
          <w:lang w:val="fr-FR"/>
        </w:rPr>
      </w:pPr>
      <w:r w:rsidRPr="00F7008B">
        <w:rPr>
          <w:rStyle w:val="FootnoteReference"/>
        </w:rPr>
        <w:footnoteRef/>
      </w:r>
      <w:r w:rsidRPr="00822BBF">
        <w:rPr>
          <w:lang w:val="fr-FR"/>
        </w:rPr>
        <w:t xml:space="preserve"> Y compris 167,8 </w:t>
      </w:r>
      <w:proofErr w:type="spellStart"/>
      <w:r w:rsidRPr="00822BBF">
        <w:rPr>
          <w:lang w:val="fr-FR"/>
        </w:rPr>
        <w:t>tm</w:t>
      </w:r>
      <w:proofErr w:type="spellEnd"/>
      <w:r w:rsidRPr="00822BBF">
        <w:rPr>
          <w:lang w:val="fr-FR"/>
        </w:rPr>
        <w:t xml:space="preserve"> par suite de projets d’investissement liés aux HFC. La rentabilité en CO</w:t>
      </w:r>
      <w:r w:rsidRPr="00822BBF">
        <w:rPr>
          <w:vertAlign w:val="subscript"/>
          <w:lang w:val="fr-FR"/>
        </w:rPr>
        <w:t>2</w:t>
      </w:r>
      <w:r w:rsidRPr="00822BBF">
        <w:rPr>
          <w:lang w:val="fr-FR"/>
        </w:rPr>
        <w:t xml:space="preserve">-éq. n'a pas été calculée en raison du faible nombre de projets approuvés. </w:t>
      </w:r>
    </w:p>
  </w:footnote>
  <w:footnote w:id="8">
    <w:p w14:paraId="460BD28C" w14:textId="4FD42882" w:rsidR="000C6BEA" w:rsidRPr="00822BBF" w:rsidRDefault="000C6BEA" w:rsidP="00E52ADD">
      <w:pPr>
        <w:pStyle w:val="FootnoteText"/>
        <w:rPr>
          <w:lang w:val="fr-FR"/>
        </w:rPr>
      </w:pPr>
      <w:r w:rsidRPr="005150A5">
        <w:rPr>
          <w:rStyle w:val="FootnoteReference"/>
        </w:rPr>
        <w:footnoteRef/>
      </w:r>
      <w:r w:rsidRPr="00822BBF">
        <w:rPr>
          <w:lang w:val="fr-FR"/>
        </w:rPr>
        <w:t xml:space="preserve"> Le rapport coût-efficacité plus élevé pour les projets en cours est en grande partie dû aux valeurs inférieures de PAO des </w:t>
      </w:r>
      <w:r w:rsidR="00696730" w:rsidRPr="00822BBF">
        <w:rPr>
          <w:lang w:val="fr-FR"/>
        </w:rPr>
        <w:t>HCFC, mais</w:t>
      </w:r>
      <w:r w:rsidRPr="00822BBF">
        <w:rPr>
          <w:lang w:val="fr-FR"/>
        </w:rPr>
        <w:t xml:space="preserve"> aussi aux moyens d'attribution de l'élimination adoptés par les agences.</w:t>
      </w:r>
    </w:p>
  </w:footnote>
  <w:footnote w:id="9">
    <w:p w14:paraId="4E990BE4" w14:textId="31D46939" w:rsidR="000C6BEA" w:rsidRPr="00822BBF" w:rsidRDefault="000C6BEA" w:rsidP="00E52ADD">
      <w:pPr>
        <w:pStyle w:val="FootnoteText"/>
        <w:rPr>
          <w:lang w:val="fr-FR"/>
        </w:rPr>
      </w:pPr>
      <w:r w:rsidRPr="005150A5">
        <w:rPr>
          <w:rStyle w:val="FootnoteReference"/>
        </w:rPr>
        <w:footnoteRef/>
      </w:r>
      <w:r w:rsidRPr="00822BBF">
        <w:rPr>
          <w:lang w:val="fr-FR"/>
        </w:rPr>
        <w:t xml:space="preserve"> Projets approuvés sur 18 mois avec un décaissement inférieur à 1 %, ou projets qui n'avaient pas été achevés 12</w:t>
      </w:r>
      <w:r w:rsidR="00822BBF">
        <w:rPr>
          <w:lang w:val="fr-FR"/>
        </w:rPr>
        <w:t> </w:t>
      </w:r>
      <w:r w:rsidRPr="00822BBF">
        <w:rPr>
          <w:lang w:val="fr-FR"/>
        </w:rPr>
        <w:t xml:space="preserve">mois après la date d'achèvement proposée dans le rapport d'avancement (décision 22/61) (les projets de démonstration, les préparations de projet et les </w:t>
      </w:r>
      <w:r w:rsidR="00822BBF" w:rsidRPr="00822BBF">
        <w:rPr>
          <w:lang w:val="fr-FR"/>
        </w:rPr>
        <w:t>projets</w:t>
      </w:r>
      <w:r w:rsidRPr="00822BBF">
        <w:rPr>
          <w:lang w:val="fr-FR"/>
        </w:rPr>
        <w:t xml:space="preserve"> de renforcement institutionnel ne sont pas soumis à ces procédures). </w:t>
      </w:r>
    </w:p>
  </w:footnote>
  <w:footnote w:id="10">
    <w:p w14:paraId="606A0B29" w14:textId="7DC798B5" w:rsidR="000C6BEA" w:rsidRPr="00822BBF" w:rsidRDefault="000C6BEA">
      <w:pPr>
        <w:pStyle w:val="FootnoteText"/>
        <w:rPr>
          <w:lang w:val="fr-FR"/>
        </w:rPr>
      </w:pPr>
      <w:r w:rsidRPr="00DD7B54">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/88/36</w:t>
      </w:r>
    </w:p>
  </w:footnote>
  <w:footnote w:id="11">
    <w:p w14:paraId="5F3AFBDC" w14:textId="6D3A42AD"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/88/39</w:t>
      </w:r>
    </w:p>
  </w:footnote>
  <w:footnote w:id="12">
    <w:p w14:paraId="5EDD3A37" w14:textId="6F1CC87A"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/88/42</w:t>
      </w:r>
    </w:p>
  </w:footnote>
  <w:footnote w:id="13">
    <w:p w14:paraId="680F3B33" w14:textId="3E43E43C"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/88/43</w:t>
      </w:r>
    </w:p>
  </w:footnote>
  <w:footnote w:id="14">
    <w:p w14:paraId="2B5F10F5" w14:textId="4D97ABA3"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/88/44</w:t>
      </w:r>
    </w:p>
  </w:footnote>
  <w:footnote w:id="15">
    <w:p w14:paraId="791A6363" w14:textId="4EA05DE3"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/88/45</w:t>
      </w:r>
    </w:p>
  </w:footnote>
  <w:footnote w:id="16">
    <w:p w14:paraId="0463CBBF" w14:textId="793EA6DA"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/88/47</w:t>
      </w:r>
    </w:p>
  </w:footnote>
  <w:footnote w:id="17">
    <w:p w14:paraId="038C1EC1" w14:textId="7393EDC8"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/88/49</w:t>
      </w:r>
    </w:p>
  </w:footnote>
  <w:footnote w:id="18">
    <w:p w14:paraId="318486B7" w14:textId="0D1603C7"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/88/50</w:t>
      </w:r>
    </w:p>
  </w:footnote>
  <w:footnote w:id="19">
    <w:p w14:paraId="3985AD2A" w14:textId="221080D0"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/88/51</w:t>
      </w:r>
    </w:p>
  </w:footnote>
  <w:footnote w:id="20">
    <w:p w14:paraId="4430E196" w14:textId="209B8EFC"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/88/53</w:t>
      </w:r>
    </w:p>
  </w:footnote>
  <w:footnote w:id="21">
    <w:p w14:paraId="224B1FCB" w14:textId="0AC91B0A"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/88/56</w:t>
      </w:r>
    </w:p>
  </w:footnote>
  <w:footnote w:id="22">
    <w:p w14:paraId="370F8297" w14:textId="601EF8AA"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/88/61</w:t>
      </w:r>
    </w:p>
  </w:footnote>
  <w:footnote w:id="23">
    <w:p w14:paraId="6911BE82" w14:textId="1F368E24" w:rsidR="000C6BEA" w:rsidRPr="00822BBF" w:rsidRDefault="000C6BEA">
      <w:pPr>
        <w:pStyle w:val="FootnoteText"/>
        <w:rPr>
          <w:lang w:val="fr-FR"/>
        </w:rPr>
      </w:pPr>
      <w:r w:rsidRPr="005150A5">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/88/65</w:t>
      </w:r>
    </w:p>
  </w:footnote>
  <w:footnote w:id="24">
    <w:p w14:paraId="40215806" w14:textId="5C24ADBC" w:rsidR="000C6BEA" w:rsidRPr="00822BBF" w:rsidRDefault="000C6BEA">
      <w:pPr>
        <w:pStyle w:val="FootnoteText"/>
        <w:rPr>
          <w:lang w:val="fr-FR"/>
        </w:rPr>
      </w:pPr>
      <w:r>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/88/18</w:t>
      </w:r>
    </w:p>
  </w:footnote>
  <w:footnote w:id="25">
    <w:p w14:paraId="11421DCB" w14:textId="2D30744F" w:rsidR="000C6BEA" w:rsidRPr="00822BBF" w:rsidRDefault="000C6BEA">
      <w:pPr>
        <w:pStyle w:val="FootnoteText"/>
        <w:rPr>
          <w:lang w:val="fr-FR"/>
        </w:rPr>
      </w:pPr>
      <w:r>
        <w:rPr>
          <w:rStyle w:val="FootnoteReference"/>
        </w:rPr>
        <w:footnoteRef/>
      </w:r>
      <w:r w:rsidRPr="00822BBF">
        <w:rPr>
          <w:lang w:val="fr-FR"/>
        </w:rPr>
        <w:t xml:space="preserve"> 21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/88/21</w:t>
      </w:r>
    </w:p>
  </w:footnote>
  <w:footnote w:id="26">
    <w:p w14:paraId="1FF90650" w14:textId="64D4445F" w:rsidR="000C6BEA" w:rsidRPr="00822BBF" w:rsidRDefault="000C6BEA" w:rsidP="00AA5A3E">
      <w:pPr>
        <w:pStyle w:val="FootnoteText"/>
        <w:rPr>
          <w:lang w:val="fr-FR"/>
        </w:rPr>
      </w:pPr>
      <w:r w:rsidRPr="005150A5">
        <w:rPr>
          <w:rStyle w:val="FootnoteReference"/>
        </w:rPr>
        <w:footnoteRef/>
      </w:r>
      <w:r w:rsidRPr="00822BBF">
        <w:rPr>
          <w:lang w:val="fr-FR"/>
        </w:rPr>
        <w:t xml:space="preserve"> Toute demande de prolongation devra être présentée pour approbation par le Comité exécutif avant la date d’achèvement du projet, en prenant note qu’aucun nouvel engagement ne sera pris avant que la prolongation n’ait été approuvée.</w:t>
      </w:r>
    </w:p>
  </w:footnote>
  <w:footnote w:id="27">
    <w:p w14:paraId="15EE16C2" w14:textId="64B05DA8" w:rsidR="000C6BEA" w:rsidRPr="00822BBF" w:rsidRDefault="000C6BEA">
      <w:pPr>
        <w:pStyle w:val="FootnoteText"/>
        <w:rPr>
          <w:lang w:val="fr-FR"/>
        </w:rPr>
      </w:pPr>
      <w:r>
        <w:rPr>
          <w:rStyle w:val="FootnoteReference"/>
        </w:rPr>
        <w:footnoteRef/>
      </w:r>
      <w:r w:rsidRPr="00822BBF">
        <w:rPr>
          <w:lang w:val="fr-FR"/>
        </w:rPr>
        <w:t xml:space="preserve"> UNEP/</w:t>
      </w:r>
      <w:proofErr w:type="spellStart"/>
      <w:r w:rsidRPr="00822BBF">
        <w:rPr>
          <w:lang w:val="fr-FR"/>
        </w:rPr>
        <w:t>OzL.Pro</w:t>
      </w:r>
      <w:proofErr w:type="spellEnd"/>
      <w:r w:rsidRPr="00822BBF">
        <w:rPr>
          <w:lang w:val="fr-FR"/>
        </w:rPr>
        <w:t>/</w:t>
      </w:r>
      <w:proofErr w:type="spellStart"/>
      <w:r w:rsidRPr="00822BBF">
        <w:rPr>
          <w:lang w:val="fr-FR"/>
        </w:rPr>
        <w:t>ExCom</w:t>
      </w:r>
      <w:proofErr w:type="spellEnd"/>
      <w:r w:rsidRPr="00822BBF">
        <w:rPr>
          <w:lang w:val="fr-FR"/>
        </w:rPr>
        <w:t>/88/18</w:t>
      </w:r>
    </w:p>
  </w:footnote>
  <w:footnote w:id="28">
    <w:p w14:paraId="583FAFDD" w14:textId="77777777" w:rsidR="000C6BEA" w:rsidRPr="00822BBF" w:rsidRDefault="000C6BEA" w:rsidP="00504DF1">
      <w:pPr>
        <w:pStyle w:val="FootnoteText"/>
        <w:rPr>
          <w:lang w:val="fr-FR"/>
        </w:rPr>
      </w:pPr>
      <w:r w:rsidRPr="005150A5">
        <w:rPr>
          <w:rStyle w:val="FootnoteReference"/>
        </w:rPr>
        <w:footnoteRef/>
      </w:r>
      <w:r w:rsidRPr="00822BBF">
        <w:rPr>
          <w:lang w:val="fr-FR"/>
        </w:rPr>
        <w:t xml:space="preserve"> Toute demande de prolongation devra être présentée pour approbation par le Comité exécutif avant la date d’achèvement du projet, en prenant note qu’aucun nouvel engagement ne sera pris avant que la prolongation n’ait été approuvée.</w:t>
      </w:r>
    </w:p>
  </w:footnote>
  <w:footnote w:id="29">
    <w:p w14:paraId="2F73DDA4" w14:textId="1282E34D" w:rsidR="000C6BEA" w:rsidRPr="00822BBF" w:rsidRDefault="000C6BEA" w:rsidP="00E52ADD">
      <w:pPr>
        <w:pStyle w:val="FootnoteText"/>
        <w:rPr>
          <w:lang w:val="fr-FR"/>
        </w:rPr>
      </w:pPr>
      <w:r w:rsidRPr="005150A5">
        <w:rPr>
          <w:rStyle w:val="FootnoteReference"/>
        </w:rPr>
        <w:footnoteRef/>
      </w:r>
      <w:r w:rsidRPr="00822BBF">
        <w:rPr>
          <w:lang w:val="fr-FR"/>
        </w:rPr>
        <w:t xml:space="preserve"> Les données sont présentées en fonction de l’année d’approbation du projet par le Comité exécutif. Il traite toutes les approbations (projets d’investissement et de non-investissement) de la même manière (c’est-à-dire qu’un projet d’investissement ou une tranche de financement </w:t>
      </w:r>
      <w:r w:rsidR="00696730" w:rsidRPr="00822BBF">
        <w:rPr>
          <w:lang w:val="fr-FR"/>
        </w:rPr>
        <w:t>d’une APA</w:t>
      </w:r>
      <w:r w:rsidRPr="00822BBF">
        <w:rPr>
          <w:lang w:val="fr-FR"/>
        </w:rPr>
        <w:t xml:space="preserve"> d’un million de $ US sont considérés comme un projet, de la même manière que la préparation d’un programme national de 30 000 $ US). Les indicateurs clés de la synthèse annuelle sont les suivants : le pourcentage de projets achevés, les PAO éliminés et le pourcentage de fonds décaissés. Il existe trois types de décaissements : pendant la mise en œuvre, après la mise en œuvre et pour les projets à financement rétroactif.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E026" w14:textId="10CF46D2" w:rsidR="000C6BEA" w:rsidRPr="0033525D" w:rsidRDefault="001D0C1A" w:rsidP="001C0110">
    <w:r>
      <w:fldChar w:fldCharType="begin"/>
    </w:r>
    <w:r>
      <w:instrText xml:space="preserve"> DOCPROPERTY "Document number"  \* MERGEFORMAT </w:instrText>
    </w:r>
    <w:r>
      <w:fldChar w:fldCharType="separate"/>
    </w:r>
    <w:r w:rsidR="00822BBF">
      <w:t>UNEP/</w:t>
    </w:r>
    <w:proofErr w:type="spellStart"/>
    <w:r w:rsidR="00822BBF">
      <w:t>OzL.Pro</w:t>
    </w:r>
    <w:proofErr w:type="spellEnd"/>
    <w:r w:rsidR="00822BBF">
      <w:t>/</w:t>
    </w:r>
    <w:proofErr w:type="spellStart"/>
    <w:r w:rsidR="00822BBF">
      <w:t>ExCom</w:t>
    </w:r>
    <w:proofErr w:type="spellEnd"/>
    <w:r w:rsidR="00822BBF">
      <w:t>/88/14</w:t>
    </w:r>
    <w:r>
      <w:fldChar w:fldCharType="end"/>
    </w:r>
  </w:p>
  <w:p w14:paraId="484EEEB7" w14:textId="77777777" w:rsidR="000C6BEA" w:rsidRPr="0033525D" w:rsidRDefault="000C6BEA"/>
  <w:p w14:paraId="1728C550" w14:textId="77777777" w:rsidR="000C6BEA" w:rsidRPr="0033525D" w:rsidRDefault="000C6B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9622" w14:textId="5C787C49" w:rsidR="000C6BEA" w:rsidRPr="0033525D" w:rsidRDefault="001D0C1A" w:rsidP="001C0110">
    <w:pPr>
      <w:jc w:val="right"/>
    </w:pPr>
    <w:r>
      <w:fldChar w:fldCharType="begin"/>
    </w:r>
    <w:r>
      <w:instrText xml:space="preserve"> DOCPROPERTY "Document number"  \* MERGEFORMAT </w:instrText>
    </w:r>
    <w:r>
      <w:fldChar w:fldCharType="separate"/>
    </w:r>
    <w:r w:rsidR="00822BBF">
      <w:t>UNEP/</w:t>
    </w:r>
    <w:proofErr w:type="spellStart"/>
    <w:r w:rsidR="00822BBF">
      <w:t>OzL.Pro</w:t>
    </w:r>
    <w:proofErr w:type="spellEnd"/>
    <w:r w:rsidR="00822BBF">
      <w:t>/</w:t>
    </w:r>
    <w:proofErr w:type="spellStart"/>
    <w:r w:rsidR="00822BBF">
      <w:t>ExCom</w:t>
    </w:r>
    <w:proofErr w:type="spellEnd"/>
    <w:r w:rsidR="00822BBF">
      <w:t>/88/14</w:t>
    </w:r>
    <w:r>
      <w:fldChar w:fldCharType="end"/>
    </w:r>
  </w:p>
  <w:p w14:paraId="38749189" w14:textId="77777777" w:rsidR="000C6BEA" w:rsidRPr="0033525D" w:rsidRDefault="000C6BEA"/>
  <w:p w14:paraId="6AFFFFEC" w14:textId="77777777" w:rsidR="000C6BEA" w:rsidRPr="0033525D" w:rsidRDefault="000C6B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0077" w14:textId="591A09EE" w:rsidR="000C6BEA" w:rsidRDefault="001D0C1A">
    <w:r>
      <w:fldChar w:fldCharType="begin"/>
    </w:r>
    <w:r>
      <w:instrText xml:space="preserve"> DOCPROPERTY "Document number"  \* MERGEFORMAT </w:instrText>
    </w:r>
    <w:r>
      <w:fldChar w:fldCharType="separate"/>
    </w:r>
    <w:r w:rsidR="00696730">
      <w:t>UNEP/</w:t>
    </w:r>
    <w:proofErr w:type="spellStart"/>
    <w:r w:rsidR="00696730">
      <w:t>OzL.Pro</w:t>
    </w:r>
    <w:proofErr w:type="spellEnd"/>
    <w:r w:rsidR="00696730">
      <w:t>/</w:t>
    </w:r>
    <w:proofErr w:type="spellStart"/>
    <w:r w:rsidR="00696730">
      <w:t>ExCom</w:t>
    </w:r>
    <w:proofErr w:type="spellEnd"/>
    <w:r w:rsidR="00696730">
      <w:t>/88/14</w:t>
    </w:r>
    <w:r>
      <w:fldChar w:fldCharType="end"/>
    </w:r>
  </w:p>
  <w:p w14:paraId="35288F4D" w14:textId="77777777" w:rsidR="000C6BEA" w:rsidRPr="0033525D" w:rsidRDefault="000C6BEA">
    <w:r>
      <w:t>Annexe I</w:t>
    </w:r>
  </w:p>
  <w:p w14:paraId="700E4E0B" w14:textId="77777777" w:rsidR="000C6BEA" w:rsidRDefault="000C6BEA"/>
  <w:p w14:paraId="6FD4EA5D" w14:textId="77777777" w:rsidR="000C6BEA" w:rsidRPr="0033525D" w:rsidRDefault="000C6B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A5E3" w14:textId="7AE74E3F" w:rsidR="000C6BEA" w:rsidRDefault="001D0C1A">
    <w:pPr>
      <w:jc w:val="right"/>
    </w:pPr>
    <w:r>
      <w:fldChar w:fldCharType="begin"/>
    </w:r>
    <w:r>
      <w:instrText xml:space="preserve"> DOCPROPERTY "Document number"  \* MERGEFORMAT </w:instrText>
    </w:r>
    <w:r>
      <w:fldChar w:fldCharType="separate"/>
    </w:r>
    <w:r w:rsidR="000C6BEA">
      <w:t>UNEP/</w:t>
    </w:r>
    <w:proofErr w:type="spellStart"/>
    <w:r w:rsidR="000C6BEA">
      <w:t>OzL.Pro</w:t>
    </w:r>
    <w:proofErr w:type="spellEnd"/>
    <w:r w:rsidR="000C6BEA">
      <w:t>/</w:t>
    </w:r>
    <w:proofErr w:type="spellStart"/>
    <w:r w:rsidR="000C6BEA">
      <w:t>ExCom</w:t>
    </w:r>
    <w:proofErr w:type="spellEnd"/>
    <w:r w:rsidR="000C6BEA">
      <w:t>/88/14</w:t>
    </w:r>
    <w:r>
      <w:fldChar w:fldCharType="end"/>
    </w:r>
  </w:p>
  <w:p w14:paraId="09BDBA1A" w14:textId="77777777" w:rsidR="000C6BEA" w:rsidRPr="0033525D" w:rsidRDefault="000C6BEA" w:rsidP="001C0110">
    <w:pPr>
      <w:jc w:val="right"/>
    </w:pPr>
    <w:r>
      <w:t>Annexe I</w:t>
    </w:r>
  </w:p>
  <w:p w14:paraId="4E99399B" w14:textId="77777777" w:rsidR="000C6BEA" w:rsidRDefault="000C6BEA">
    <w:pPr>
      <w:pStyle w:val="Header"/>
    </w:pPr>
  </w:p>
  <w:p w14:paraId="6743D80E" w14:textId="77777777" w:rsidR="000C6BEA" w:rsidRPr="0033525D" w:rsidRDefault="000C6BE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3575" w14:textId="4BBEB25F" w:rsidR="000C6BEA" w:rsidRPr="0033525D" w:rsidRDefault="001D0C1A" w:rsidP="001C0110">
    <w:pPr>
      <w:jc w:val="right"/>
    </w:pPr>
    <w:r>
      <w:fldChar w:fldCharType="begin"/>
    </w:r>
    <w:r>
      <w:instrText xml:space="preserve"> DOCPROPERTY "Document number"  \* MERGEFORMAT </w:instrText>
    </w:r>
    <w:r>
      <w:fldChar w:fldCharType="separate"/>
    </w:r>
    <w:r w:rsidR="00696730">
      <w:t>UNEP/</w:t>
    </w:r>
    <w:proofErr w:type="spellStart"/>
    <w:r w:rsidR="00696730">
      <w:t>OzL.Pro</w:t>
    </w:r>
    <w:proofErr w:type="spellEnd"/>
    <w:r w:rsidR="00696730">
      <w:t>/</w:t>
    </w:r>
    <w:proofErr w:type="spellStart"/>
    <w:r w:rsidR="00696730">
      <w:t>ExCom</w:t>
    </w:r>
    <w:proofErr w:type="spellEnd"/>
    <w:r w:rsidR="00696730">
      <w:t>/88/14</w:t>
    </w:r>
    <w:r>
      <w:fldChar w:fldCharType="end"/>
    </w:r>
  </w:p>
  <w:p w14:paraId="31548D51" w14:textId="77777777" w:rsidR="000C6BEA" w:rsidRDefault="000C6BEA" w:rsidP="001C0110">
    <w:pPr>
      <w:pStyle w:val="Header"/>
      <w:jc w:val="right"/>
    </w:pPr>
    <w:r>
      <w:t>Annexe I</w:t>
    </w:r>
  </w:p>
  <w:p w14:paraId="13BE1EAA" w14:textId="77777777" w:rsidR="000C6BEA" w:rsidRDefault="000C6BEA" w:rsidP="001C0110">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A236" w14:textId="26C75F4E" w:rsidR="000C6BEA" w:rsidRPr="0033525D" w:rsidRDefault="001D0C1A">
    <w:r>
      <w:fldChar w:fldCharType="begin"/>
    </w:r>
    <w:r>
      <w:instrText xml:space="preserve"> DOCPROPERTY "Document number"  \* MERGEFORMAT </w:instrText>
    </w:r>
    <w:r>
      <w:fldChar w:fldCharType="separate"/>
    </w:r>
    <w:r w:rsidR="00696730">
      <w:t>UNEP/</w:t>
    </w:r>
    <w:proofErr w:type="spellStart"/>
    <w:r w:rsidR="00696730">
      <w:t>OzL.Pro</w:t>
    </w:r>
    <w:proofErr w:type="spellEnd"/>
    <w:r w:rsidR="00696730">
      <w:t>/</w:t>
    </w:r>
    <w:proofErr w:type="spellStart"/>
    <w:r w:rsidR="00696730">
      <w:t>ExCom</w:t>
    </w:r>
    <w:proofErr w:type="spellEnd"/>
    <w:r w:rsidR="00696730">
      <w:t>/88/14</w:t>
    </w:r>
    <w:r>
      <w:fldChar w:fldCharType="end"/>
    </w:r>
  </w:p>
  <w:p w14:paraId="1AE1C4A4" w14:textId="39565B20" w:rsidR="000C6BEA" w:rsidRPr="0033525D" w:rsidRDefault="000C6BEA">
    <w:r>
      <w:t>Annexe II</w:t>
    </w:r>
  </w:p>
  <w:p w14:paraId="624184F1" w14:textId="77777777" w:rsidR="000C6BEA" w:rsidRPr="0033525D" w:rsidRDefault="000C6BE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1A6F" w14:textId="7757108C" w:rsidR="000C6BEA" w:rsidRPr="0033525D" w:rsidRDefault="001D0C1A">
    <w:pPr>
      <w:jc w:val="right"/>
    </w:pPr>
    <w:r>
      <w:fldChar w:fldCharType="begin"/>
    </w:r>
    <w:r>
      <w:instrText xml:space="preserve"> DOCPROPERTY "Document number"  \* MERGEFORMAT </w:instrText>
    </w:r>
    <w:r>
      <w:fldChar w:fldCharType="separate"/>
    </w:r>
    <w:r w:rsidR="00696730">
      <w:t>UNEP/</w:t>
    </w:r>
    <w:proofErr w:type="spellStart"/>
    <w:r w:rsidR="00696730">
      <w:t>OzL.Pro</w:t>
    </w:r>
    <w:proofErr w:type="spellEnd"/>
    <w:r w:rsidR="00696730">
      <w:t>/</w:t>
    </w:r>
    <w:proofErr w:type="spellStart"/>
    <w:r w:rsidR="00696730">
      <w:t>ExCom</w:t>
    </w:r>
    <w:proofErr w:type="spellEnd"/>
    <w:r w:rsidR="00696730">
      <w:t>/88/14</w:t>
    </w:r>
    <w:r>
      <w:fldChar w:fldCharType="end"/>
    </w:r>
  </w:p>
  <w:p w14:paraId="317AEDA4" w14:textId="5AFF9020" w:rsidR="000C6BEA" w:rsidRPr="0033525D" w:rsidRDefault="000C6BEA" w:rsidP="00666814">
    <w:pPr>
      <w:jc w:val="right"/>
    </w:pPr>
    <w:r>
      <w:t>Annexe II</w:t>
    </w:r>
  </w:p>
  <w:p w14:paraId="53FB73D6" w14:textId="77777777" w:rsidR="000C6BEA" w:rsidRPr="0033525D" w:rsidRDefault="000C6BE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F8FC" w14:textId="0E0D9254" w:rsidR="000C6BEA" w:rsidRPr="0033525D" w:rsidRDefault="001D0C1A" w:rsidP="001C0110">
    <w:pPr>
      <w:jc w:val="right"/>
    </w:pPr>
    <w:r>
      <w:fldChar w:fldCharType="begin"/>
    </w:r>
    <w:r>
      <w:instrText xml:space="preserve"> DOCPROPERTY "Document number"  \* MERGEFORMAT </w:instrText>
    </w:r>
    <w:r>
      <w:fldChar w:fldCharType="separate"/>
    </w:r>
    <w:r w:rsidR="00696730">
      <w:t>UNEP/</w:t>
    </w:r>
    <w:proofErr w:type="spellStart"/>
    <w:r w:rsidR="00696730">
      <w:t>OzL.Pro</w:t>
    </w:r>
    <w:proofErr w:type="spellEnd"/>
    <w:r w:rsidR="00696730">
      <w:t>/</w:t>
    </w:r>
    <w:proofErr w:type="spellStart"/>
    <w:r w:rsidR="00696730">
      <w:t>ExCom</w:t>
    </w:r>
    <w:proofErr w:type="spellEnd"/>
    <w:r w:rsidR="00696730">
      <w:t>/88/14</w:t>
    </w:r>
    <w:r>
      <w:fldChar w:fldCharType="end"/>
    </w:r>
  </w:p>
  <w:p w14:paraId="6D729C22" w14:textId="091B0A13" w:rsidR="000C6BEA" w:rsidRDefault="000C6BEA" w:rsidP="001C0110">
    <w:pPr>
      <w:pStyle w:val="Header"/>
      <w:jc w:val="right"/>
    </w:pPr>
    <w:r>
      <w:t>Annexe II</w:t>
    </w:r>
  </w:p>
  <w:p w14:paraId="60DCBFB8" w14:textId="77777777" w:rsidR="000C6BEA" w:rsidRDefault="000C6BEA" w:rsidP="001C011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CC1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98F0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0BF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2AB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087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0E44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566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66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E48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AC0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40645FA"/>
    <w:multiLevelType w:val="hybridMultilevel"/>
    <w:tmpl w:val="90CEC7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Arial"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Arial"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Arial"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24CC5F7B"/>
    <w:multiLevelType w:val="hybridMultilevel"/>
    <w:tmpl w:val="7480B00E"/>
    <w:lvl w:ilvl="0" w:tplc="FE02445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5229AC"/>
    <w:multiLevelType w:val="hybridMultilevel"/>
    <w:tmpl w:val="C3308846"/>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219F3"/>
    <w:multiLevelType w:val="multilevel"/>
    <w:tmpl w:val="CF325E98"/>
    <w:lvl w:ilvl="0">
      <w:start w:val="1"/>
      <w:numFmt w:val="bullet"/>
      <w:lvlText w:val=""/>
      <w:lvlJc w:val="left"/>
      <w:pPr>
        <w:tabs>
          <w:tab w:val="num" w:pos="720"/>
        </w:tabs>
        <w:ind w:left="720" w:firstLine="0"/>
      </w:pPr>
      <w:rPr>
        <w:rFonts w:ascii="Symbol" w:hAnsi="Symbol" w:hint="default"/>
        <w:b w:val="0"/>
      </w:rPr>
    </w:lvl>
    <w:lvl w:ilvl="1">
      <w:start w:val="1"/>
      <w:numFmt w:val="lowerLetter"/>
      <w:lvlText w:val="(%2)"/>
      <w:lvlJc w:val="left"/>
      <w:pPr>
        <w:tabs>
          <w:tab w:val="num" w:pos="720"/>
        </w:tabs>
        <w:ind w:left="2160" w:hanging="720"/>
      </w:pPr>
    </w:lvl>
    <w:lvl w:ilvl="2">
      <w:start w:val="1"/>
      <w:numFmt w:val="lowerRoman"/>
      <w:lvlText w:val="(%3)"/>
      <w:lvlJc w:val="left"/>
      <w:pPr>
        <w:tabs>
          <w:tab w:val="num" w:pos="720"/>
        </w:tabs>
        <w:ind w:left="2880" w:hanging="720"/>
      </w:pPr>
    </w:lvl>
    <w:lvl w:ilvl="3">
      <w:start w:val="1"/>
      <w:numFmt w:val="lowerLetter"/>
      <w:lvlText w:val="%4)"/>
      <w:lvlJc w:val="left"/>
      <w:pPr>
        <w:tabs>
          <w:tab w:val="num" w:pos="720"/>
        </w:tabs>
        <w:ind w:left="3586" w:hanging="706"/>
      </w:pPr>
    </w:lvl>
    <w:lvl w:ilvl="4">
      <w:start w:val="1"/>
      <w:numFmt w:val="decimal"/>
      <w:lvlText w:val="(%5)"/>
      <w:lvlJc w:val="left"/>
      <w:pPr>
        <w:tabs>
          <w:tab w:val="num" w:pos="720"/>
        </w:tabs>
        <w:ind w:left="4291" w:hanging="705"/>
      </w:pPr>
    </w:lvl>
    <w:lvl w:ilvl="5">
      <w:start w:val="1"/>
      <w:numFmt w:val="lowerLetter"/>
      <w:lvlText w:val="(%6)"/>
      <w:lvlJc w:val="left"/>
      <w:pPr>
        <w:tabs>
          <w:tab w:val="num" w:pos="720"/>
        </w:tabs>
        <w:ind w:left="5011" w:hanging="720"/>
      </w:pPr>
    </w:lvl>
    <w:lvl w:ilvl="6">
      <w:start w:val="1"/>
      <w:numFmt w:val="lowerRoman"/>
      <w:lvlText w:val="(%7)"/>
      <w:lvlJc w:val="left"/>
      <w:pPr>
        <w:tabs>
          <w:tab w:val="num" w:pos="720"/>
        </w:tabs>
        <w:ind w:left="5717" w:hanging="706"/>
      </w:pPr>
    </w:lvl>
    <w:lvl w:ilvl="7">
      <w:start w:val="1"/>
      <w:numFmt w:val="lowerLetter"/>
      <w:lvlText w:val="(%8)"/>
      <w:lvlJc w:val="left"/>
      <w:pPr>
        <w:tabs>
          <w:tab w:val="num" w:pos="720"/>
        </w:tabs>
        <w:ind w:left="6422" w:hanging="705"/>
      </w:pPr>
    </w:lvl>
    <w:lvl w:ilvl="8">
      <w:start w:val="1"/>
      <w:numFmt w:val="lowerRoman"/>
      <w:lvlText w:val="(%9)"/>
      <w:lvlJc w:val="left"/>
      <w:pPr>
        <w:tabs>
          <w:tab w:val="num" w:pos="720"/>
        </w:tabs>
        <w:ind w:left="7128" w:hanging="706"/>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54676A1"/>
    <w:multiLevelType w:val="hybridMultilevel"/>
    <w:tmpl w:val="7AFA253E"/>
    <w:lvl w:ilvl="0" w:tplc="79620F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3DFF2E9D"/>
    <w:multiLevelType w:val="hybridMultilevel"/>
    <w:tmpl w:val="E564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415C"/>
    <w:multiLevelType w:val="singleLevel"/>
    <w:tmpl w:val="04090001"/>
    <w:lvl w:ilvl="0">
      <w:start w:val="1"/>
      <w:numFmt w:val="bullet"/>
      <w:lvlText w:val=""/>
      <w:lvlJc w:val="left"/>
      <w:pPr>
        <w:tabs>
          <w:tab w:val="num" w:pos="360"/>
        </w:tabs>
        <w:ind w:left="360" w:hanging="360"/>
      </w:pPr>
      <w:rPr>
        <w:rFonts w:ascii="Symbol" w:hAnsi="Symbol" w:cs="Courier New" w:hint="default"/>
      </w:rPr>
    </w:lvl>
  </w:abstractNum>
  <w:abstractNum w:abstractNumId="20" w15:restartNumberingAfterBreak="0">
    <w:nsid w:val="414F23EA"/>
    <w:multiLevelType w:val="hybridMultilevel"/>
    <w:tmpl w:val="26804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15EE6"/>
    <w:multiLevelType w:val="hybridMultilevel"/>
    <w:tmpl w:val="85CC5508"/>
    <w:lvl w:ilvl="0" w:tplc="806E8D8A">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6293731"/>
    <w:multiLevelType w:val="hybridMultilevel"/>
    <w:tmpl w:val="32C4F1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Tahoma"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Tahoma"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Tahoma" w:hint="default"/>
      </w:rPr>
    </w:lvl>
  </w:abstractNum>
  <w:abstractNum w:abstractNumId="26" w15:restartNumberingAfterBreak="0">
    <w:nsid w:val="5D8B73B8"/>
    <w:multiLevelType w:val="hybridMultilevel"/>
    <w:tmpl w:val="B60A3D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E8F52DD"/>
    <w:multiLevelType w:val="hybridMultilevel"/>
    <w:tmpl w:val="7430B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3F32ABA"/>
    <w:multiLevelType w:val="hybridMultilevel"/>
    <w:tmpl w:val="D6E4A5DA"/>
    <w:lvl w:ilvl="0" w:tplc="DE308B48">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CA0A9E"/>
    <w:multiLevelType w:val="hybridMultilevel"/>
    <w:tmpl w:val="055CE76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1" w15:restartNumberingAfterBreak="0">
    <w:nsid w:val="7EBF4C61"/>
    <w:multiLevelType w:val="hybridMultilevel"/>
    <w:tmpl w:val="13423C78"/>
    <w:lvl w:ilvl="0" w:tplc="AC2A420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1"/>
  </w:num>
  <w:num w:numId="18">
    <w:abstractNumId w:val="23"/>
  </w:num>
  <w:num w:numId="19">
    <w:abstractNumId w:val="30"/>
  </w:num>
  <w:num w:numId="20">
    <w:abstractNumId w:val="16"/>
  </w:num>
  <w:num w:numId="21">
    <w:abstractNumId w:val="22"/>
  </w:num>
  <w:num w:numId="22">
    <w:abstractNumId w:val="19"/>
  </w:num>
  <w:num w:numId="23">
    <w:abstractNumId w:val="25"/>
  </w:num>
  <w:num w:numId="24">
    <w:abstractNumId w:val="11"/>
  </w:num>
  <w:num w:numId="25">
    <w:abstractNumId w:val="15"/>
  </w:num>
  <w:num w:numId="26">
    <w:abstractNumId w:val="26"/>
  </w:num>
  <w:num w:numId="27">
    <w:abstractNumId w:val="16"/>
    <w:lvlOverride w:ilvl="0">
      <w:startOverride w:val="1"/>
    </w:lvlOverride>
  </w:num>
  <w:num w:numId="28">
    <w:abstractNumId w:val="16"/>
    <w:lvlOverride w:ilvl="0">
      <w:startOverride w:val="1"/>
    </w:lvlOverride>
  </w:num>
  <w:num w:numId="29">
    <w:abstractNumId w:val="27"/>
  </w:num>
  <w:num w:numId="30">
    <w:abstractNumId w:val="24"/>
  </w:num>
  <w:num w:numId="31">
    <w:abstractNumId w:val="31"/>
  </w:num>
  <w:num w:numId="32">
    <w:abstractNumId w:val="17"/>
  </w:num>
  <w:num w:numId="33">
    <w:abstractNumId w:val="2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2"/>
  </w:num>
  <w:num w:numId="43">
    <w:abstractNumId w:val="28"/>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6" w:nlCheck="1" w:checkStyle="0"/>
  <w:activeWritingStyle w:appName="MSWord" w:lang="en-CA"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FR" w:vendorID="64" w:dllVersion="131078" w:nlCheck="1" w:checkStyle="0"/>
  <w:activeWritingStyle w:appName="MSWord" w:lang="en-CA" w:vendorID="64" w:dllVersion="131078" w:nlCheck="1" w:checkStyle="0"/>
  <w:activeWritingStyle w:appName="MSWord" w:lang="fr-CA" w:vendorID="64" w:dllVersion="131078" w:nlCheck="1" w:checkStyle="0"/>
  <w:activeWritingStyle w:appName="MSWord" w:lang="es-ES_tradnl"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E52ADD"/>
    <w:rsid w:val="00000FED"/>
    <w:rsid w:val="0000434E"/>
    <w:rsid w:val="00015AC2"/>
    <w:rsid w:val="000211A9"/>
    <w:rsid w:val="000266B0"/>
    <w:rsid w:val="000310D1"/>
    <w:rsid w:val="00031260"/>
    <w:rsid w:val="00036203"/>
    <w:rsid w:val="0003681A"/>
    <w:rsid w:val="000372B7"/>
    <w:rsid w:val="00050F6E"/>
    <w:rsid w:val="00061EC2"/>
    <w:rsid w:val="00066CE8"/>
    <w:rsid w:val="00080ED0"/>
    <w:rsid w:val="00085B8F"/>
    <w:rsid w:val="00090481"/>
    <w:rsid w:val="000A3826"/>
    <w:rsid w:val="000A6C26"/>
    <w:rsid w:val="000B7F98"/>
    <w:rsid w:val="000C6BEA"/>
    <w:rsid w:val="000D52A4"/>
    <w:rsid w:val="000E07BC"/>
    <w:rsid w:val="000F030E"/>
    <w:rsid w:val="000F1CD4"/>
    <w:rsid w:val="000F4103"/>
    <w:rsid w:val="000F47F2"/>
    <w:rsid w:val="000F70A7"/>
    <w:rsid w:val="00113CCA"/>
    <w:rsid w:val="00122F25"/>
    <w:rsid w:val="00135980"/>
    <w:rsid w:val="00164719"/>
    <w:rsid w:val="00166FC4"/>
    <w:rsid w:val="0016738E"/>
    <w:rsid w:val="001677AC"/>
    <w:rsid w:val="00170683"/>
    <w:rsid w:val="0017694D"/>
    <w:rsid w:val="001804EA"/>
    <w:rsid w:val="00190A61"/>
    <w:rsid w:val="00196830"/>
    <w:rsid w:val="001A2215"/>
    <w:rsid w:val="001A3342"/>
    <w:rsid w:val="001A3E3D"/>
    <w:rsid w:val="001A7049"/>
    <w:rsid w:val="001B0C5F"/>
    <w:rsid w:val="001B1E40"/>
    <w:rsid w:val="001C0110"/>
    <w:rsid w:val="001C764E"/>
    <w:rsid w:val="001D0C1A"/>
    <w:rsid w:val="001E0BC6"/>
    <w:rsid w:val="001E1052"/>
    <w:rsid w:val="001E1E4C"/>
    <w:rsid w:val="001E21B1"/>
    <w:rsid w:val="001E2F93"/>
    <w:rsid w:val="001E4554"/>
    <w:rsid w:val="001E61E5"/>
    <w:rsid w:val="001F2159"/>
    <w:rsid w:val="001F30A6"/>
    <w:rsid w:val="00200B89"/>
    <w:rsid w:val="00206502"/>
    <w:rsid w:val="00210B8B"/>
    <w:rsid w:val="00214863"/>
    <w:rsid w:val="002156B4"/>
    <w:rsid w:val="00224FCD"/>
    <w:rsid w:val="00253222"/>
    <w:rsid w:val="0025497F"/>
    <w:rsid w:val="00255CB9"/>
    <w:rsid w:val="00262847"/>
    <w:rsid w:val="00281BB2"/>
    <w:rsid w:val="00292795"/>
    <w:rsid w:val="002A6138"/>
    <w:rsid w:val="002B254E"/>
    <w:rsid w:val="002B72E9"/>
    <w:rsid w:val="002B73E4"/>
    <w:rsid w:val="002B7C37"/>
    <w:rsid w:val="002C7998"/>
    <w:rsid w:val="002D6153"/>
    <w:rsid w:val="002E293E"/>
    <w:rsid w:val="002F1617"/>
    <w:rsid w:val="002F1E53"/>
    <w:rsid w:val="002F2CAA"/>
    <w:rsid w:val="0030052C"/>
    <w:rsid w:val="00306469"/>
    <w:rsid w:val="00323B54"/>
    <w:rsid w:val="003306E1"/>
    <w:rsid w:val="003320E4"/>
    <w:rsid w:val="0033525D"/>
    <w:rsid w:val="00337E82"/>
    <w:rsid w:val="003414F3"/>
    <w:rsid w:val="00345AF4"/>
    <w:rsid w:val="0035613E"/>
    <w:rsid w:val="0036286C"/>
    <w:rsid w:val="00363EE9"/>
    <w:rsid w:val="00373F62"/>
    <w:rsid w:val="00376128"/>
    <w:rsid w:val="0037742E"/>
    <w:rsid w:val="00377D56"/>
    <w:rsid w:val="0038245A"/>
    <w:rsid w:val="003840E6"/>
    <w:rsid w:val="00385CFC"/>
    <w:rsid w:val="0039337A"/>
    <w:rsid w:val="003A3189"/>
    <w:rsid w:val="003A3CA7"/>
    <w:rsid w:val="003A46BF"/>
    <w:rsid w:val="003B33BD"/>
    <w:rsid w:val="003B569D"/>
    <w:rsid w:val="003C3C0E"/>
    <w:rsid w:val="003C6CFC"/>
    <w:rsid w:val="003D42A6"/>
    <w:rsid w:val="003D4F21"/>
    <w:rsid w:val="003D4FAC"/>
    <w:rsid w:val="003E60C5"/>
    <w:rsid w:val="003E7906"/>
    <w:rsid w:val="003F3C50"/>
    <w:rsid w:val="003F7ED2"/>
    <w:rsid w:val="00406A6A"/>
    <w:rsid w:val="00406B22"/>
    <w:rsid w:val="0042113F"/>
    <w:rsid w:val="00421196"/>
    <w:rsid w:val="004328A7"/>
    <w:rsid w:val="00434C74"/>
    <w:rsid w:val="00444BB9"/>
    <w:rsid w:val="004534DE"/>
    <w:rsid w:val="00456D2F"/>
    <w:rsid w:val="00456EB4"/>
    <w:rsid w:val="004718F3"/>
    <w:rsid w:val="00475040"/>
    <w:rsid w:val="00485679"/>
    <w:rsid w:val="00490313"/>
    <w:rsid w:val="00493D40"/>
    <w:rsid w:val="004967B6"/>
    <w:rsid w:val="004A26BC"/>
    <w:rsid w:val="004A2724"/>
    <w:rsid w:val="004A3A8F"/>
    <w:rsid w:val="004A3D86"/>
    <w:rsid w:val="004A504B"/>
    <w:rsid w:val="004A6140"/>
    <w:rsid w:val="004A6911"/>
    <w:rsid w:val="004B54E0"/>
    <w:rsid w:val="004B7384"/>
    <w:rsid w:val="004C4269"/>
    <w:rsid w:val="004D6236"/>
    <w:rsid w:val="004D7F90"/>
    <w:rsid w:val="004E02F8"/>
    <w:rsid w:val="004E4DBB"/>
    <w:rsid w:val="004E4E41"/>
    <w:rsid w:val="004E7F9C"/>
    <w:rsid w:val="004F30CB"/>
    <w:rsid w:val="004F3493"/>
    <w:rsid w:val="004F5143"/>
    <w:rsid w:val="00504DF1"/>
    <w:rsid w:val="00512B09"/>
    <w:rsid w:val="00514D39"/>
    <w:rsid w:val="005150A5"/>
    <w:rsid w:val="005220ED"/>
    <w:rsid w:val="00533796"/>
    <w:rsid w:val="00537343"/>
    <w:rsid w:val="00550FE9"/>
    <w:rsid w:val="005514B9"/>
    <w:rsid w:val="00552C48"/>
    <w:rsid w:val="00555D75"/>
    <w:rsid w:val="0056042B"/>
    <w:rsid w:val="00560DF0"/>
    <w:rsid w:val="005632A0"/>
    <w:rsid w:val="0056759C"/>
    <w:rsid w:val="005822EF"/>
    <w:rsid w:val="00583126"/>
    <w:rsid w:val="0059513E"/>
    <w:rsid w:val="005A6AA4"/>
    <w:rsid w:val="005A6D9F"/>
    <w:rsid w:val="005B48FF"/>
    <w:rsid w:val="005D363F"/>
    <w:rsid w:val="005D76D2"/>
    <w:rsid w:val="005E1537"/>
    <w:rsid w:val="005E7765"/>
    <w:rsid w:val="005F392F"/>
    <w:rsid w:val="005F474A"/>
    <w:rsid w:val="00601E72"/>
    <w:rsid w:val="00603BEB"/>
    <w:rsid w:val="00604C15"/>
    <w:rsid w:val="00611045"/>
    <w:rsid w:val="00613327"/>
    <w:rsid w:val="006158D5"/>
    <w:rsid w:val="00623D31"/>
    <w:rsid w:val="00625D83"/>
    <w:rsid w:val="0065119B"/>
    <w:rsid w:val="006537BE"/>
    <w:rsid w:val="006623E7"/>
    <w:rsid w:val="00662B80"/>
    <w:rsid w:val="0066613D"/>
    <w:rsid w:val="00666814"/>
    <w:rsid w:val="00670F6C"/>
    <w:rsid w:val="00673D10"/>
    <w:rsid w:val="006852C7"/>
    <w:rsid w:val="006852CE"/>
    <w:rsid w:val="00692D14"/>
    <w:rsid w:val="00696730"/>
    <w:rsid w:val="006A1F1C"/>
    <w:rsid w:val="006B0822"/>
    <w:rsid w:val="006B65C7"/>
    <w:rsid w:val="006C1727"/>
    <w:rsid w:val="006C32FD"/>
    <w:rsid w:val="006C3837"/>
    <w:rsid w:val="006C39CE"/>
    <w:rsid w:val="006D0FCC"/>
    <w:rsid w:val="006D21F5"/>
    <w:rsid w:val="006D71F6"/>
    <w:rsid w:val="006E126D"/>
    <w:rsid w:val="006E1FC3"/>
    <w:rsid w:val="006F728E"/>
    <w:rsid w:val="0070161F"/>
    <w:rsid w:val="00704CE9"/>
    <w:rsid w:val="0070616B"/>
    <w:rsid w:val="00706295"/>
    <w:rsid w:val="00706FDA"/>
    <w:rsid w:val="00711F9A"/>
    <w:rsid w:val="007130D2"/>
    <w:rsid w:val="00713810"/>
    <w:rsid w:val="0072197A"/>
    <w:rsid w:val="007303A5"/>
    <w:rsid w:val="00730B3E"/>
    <w:rsid w:val="007318DD"/>
    <w:rsid w:val="00732909"/>
    <w:rsid w:val="0073420B"/>
    <w:rsid w:val="007400FC"/>
    <w:rsid w:val="0074760E"/>
    <w:rsid w:val="00754ABA"/>
    <w:rsid w:val="007553CB"/>
    <w:rsid w:val="00756F81"/>
    <w:rsid w:val="00781759"/>
    <w:rsid w:val="00782B0D"/>
    <w:rsid w:val="007A1546"/>
    <w:rsid w:val="007A228C"/>
    <w:rsid w:val="007A368E"/>
    <w:rsid w:val="007A5868"/>
    <w:rsid w:val="007B04CE"/>
    <w:rsid w:val="007B41BC"/>
    <w:rsid w:val="007B6871"/>
    <w:rsid w:val="007B7A2F"/>
    <w:rsid w:val="007C0D29"/>
    <w:rsid w:val="007C3D33"/>
    <w:rsid w:val="007D294A"/>
    <w:rsid w:val="007D47D2"/>
    <w:rsid w:val="007D6EC0"/>
    <w:rsid w:val="007D709D"/>
    <w:rsid w:val="007D7E1D"/>
    <w:rsid w:val="007F31D7"/>
    <w:rsid w:val="007F6312"/>
    <w:rsid w:val="00822BBF"/>
    <w:rsid w:val="00831979"/>
    <w:rsid w:val="00844A00"/>
    <w:rsid w:val="00851352"/>
    <w:rsid w:val="00857077"/>
    <w:rsid w:val="00863230"/>
    <w:rsid w:val="00865BD0"/>
    <w:rsid w:val="008717D8"/>
    <w:rsid w:val="0087215C"/>
    <w:rsid w:val="00875D25"/>
    <w:rsid w:val="00876699"/>
    <w:rsid w:val="00880E35"/>
    <w:rsid w:val="008875FE"/>
    <w:rsid w:val="00887F8E"/>
    <w:rsid w:val="00894733"/>
    <w:rsid w:val="00896234"/>
    <w:rsid w:val="00897E43"/>
    <w:rsid w:val="008B37F5"/>
    <w:rsid w:val="008B473C"/>
    <w:rsid w:val="008C5738"/>
    <w:rsid w:val="008C7EAD"/>
    <w:rsid w:val="008D0CFE"/>
    <w:rsid w:val="008D6152"/>
    <w:rsid w:val="008D61C9"/>
    <w:rsid w:val="008E7BA9"/>
    <w:rsid w:val="008F0F81"/>
    <w:rsid w:val="008F27BF"/>
    <w:rsid w:val="008F76B9"/>
    <w:rsid w:val="00901847"/>
    <w:rsid w:val="00902135"/>
    <w:rsid w:val="009142EC"/>
    <w:rsid w:val="009148F7"/>
    <w:rsid w:val="009154C3"/>
    <w:rsid w:val="00923540"/>
    <w:rsid w:val="0092361D"/>
    <w:rsid w:val="00926767"/>
    <w:rsid w:val="00927352"/>
    <w:rsid w:val="009361D5"/>
    <w:rsid w:val="009428A4"/>
    <w:rsid w:val="009440C5"/>
    <w:rsid w:val="00955FBB"/>
    <w:rsid w:val="00961C5B"/>
    <w:rsid w:val="009659F4"/>
    <w:rsid w:val="00970D60"/>
    <w:rsid w:val="00986E2A"/>
    <w:rsid w:val="0099390E"/>
    <w:rsid w:val="009960E5"/>
    <w:rsid w:val="009A7ADC"/>
    <w:rsid w:val="009B0D30"/>
    <w:rsid w:val="009B1CBF"/>
    <w:rsid w:val="009C19B7"/>
    <w:rsid w:val="009C5ABB"/>
    <w:rsid w:val="009D7C51"/>
    <w:rsid w:val="009E07EB"/>
    <w:rsid w:val="009E196C"/>
    <w:rsid w:val="009F36BF"/>
    <w:rsid w:val="00A111B6"/>
    <w:rsid w:val="00A1757E"/>
    <w:rsid w:val="00A24580"/>
    <w:rsid w:val="00A26D27"/>
    <w:rsid w:val="00A376EE"/>
    <w:rsid w:val="00A42A99"/>
    <w:rsid w:val="00A5151A"/>
    <w:rsid w:val="00A57E0A"/>
    <w:rsid w:val="00A62A54"/>
    <w:rsid w:val="00A64001"/>
    <w:rsid w:val="00A66BC2"/>
    <w:rsid w:val="00A716E8"/>
    <w:rsid w:val="00A74F45"/>
    <w:rsid w:val="00A823F6"/>
    <w:rsid w:val="00A8719E"/>
    <w:rsid w:val="00A9611D"/>
    <w:rsid w:val="00AA0A89"/>
    <w:rsid w:val="00AA5A3E"/>
    <w:rsid w:val="00AA6429"/>
    <w:rsid w:val="00AC01AA"/>
    <w:rsid w:val="00AC4F72"/>
    <w:rsid w:val="00AC5741"/>
    <w:rsid w:val="00AD23E6"/>
    <w:rsid w:val="00AD49BB"/>
    <w:rsid w:val="00AE3492"/>
    <w:rsid w:val="00AE7724"/>
    <w:rsid w:val="00AF741A"/>
    <w:rsid w:val="00B01ADB"/>
    <w:rsid w:val="00B04161"/>
    <w:rsid w:val="00B056F9"/>
    <w:rsid w:val="00B11E3D"/>
    <w:rsid w:val="00B17E82"/>
    <w:rsid w:val="00B24337"/>
    <w:rsid w:val="00B4575A"/>
    <w:rsid w:val="00B536B4"/>
    <w:rsid w:val="00B575BA"/>
    <w:rsid w:val="00B71608"/>
    <w:rsid w:val="00B72F0B"/>
    <w:rsid w:val="00B76429"/>
    <w:rsid w:val="00B803E0"/>
    <w:rsid w:val="00B82ABC"/>
    <w:rsid w:val="00B86471"/>
    <w:rsid w:val="00B93FAE"/>
    <w:rsid w:val="00B956D4"/>
    <w:rsid w:val="00B97446"/>
    <w:rsid w:val="00BA7432"/>
    <w:rsid w:val="00BB08FE"/>
    <w:rsid w:val="00BB2764"/>
    <w:rsid w:val="00BC1AA0"/>
    <w:rsid w:val="00BC2495"/>
    <w:rsid w:val="00BC6489"/>
    <w:rsid w:val="00BC7EB9"/>
    <w:rsid w:val="00BD2643"/>
    <w:rsid w:val="00BD56B1"/>
    <w:rsid w:val="00BD6558"/>
    <w:rsid w:val="00BE03E3"/>
    <w:rsid w:val="00BE484F"/>
    <w:rsid w:val="00BF2F76"/>
    <w:rsid w:val="00BF3022"/>
    <w:rsid w:val="00BF3214"/>
    <w:rsid w:val="00BF5573"/>
    <w:rsid w:val="00C03CE5"/>
    <w:rsid w:val="00C14194"/>
    <w:rsid w:val="00C15867"/>
    <w:rsid w:val="00C2296D"/>
    <w:rsid w:val="00C23155"/>
    <w:rsid w:val="00C26D73"/>
    <w:rsid w:val="00C31AF1"/>
    <w:rsid w:val="00C3507C"/>
    <w:rsid w:val="00C40C41"/>
    <w:rsid w:val="00C45885"/>
    <w:rsid w:val="00C50F22"/>
    <w:rsid w:val="00C57971"/>
    <w:rsid w:val="00C65BD7"/>
    <w:rsid w:val="00C7561A"/>
    <w:rsid w:val="00C76BA4"/>
    <w:rsid w:val="00C83880"/>
    <w:rsid w:val="00C83A48"/>
    <w:rsid w:val="00C85865"/>
    <w:rsid w:val="00C85E85"/>
    <w:rsid w:val="00C86604"/>
    <w:rsid w:val="00C90477"/>
    <w:rsid w:val="00C954FD"/>
    <w:rsid w:val="00CA2EAE"/>
    <w:rsid w:val="00CA4AC1"/>
    <w:rsid w:val="00CB0316"/>
    <w:rsid w:val="00CB0B11"/>
    <w:rsid w:val="00CB426A"/>
    <w:rsid w:val="00CB5354"/>
    <w:rsid w:val="00CC3C9E"/>
    <w:rsid w:val="00CC5F5F"/>
    <w:rsid w:val="00CC6A14"/>
    <w:rsid w:val="00CC70A3"/>
    <w:rsid w:val="00CC7559"/>
    <w:rsid w:val="00CD4442"/>
    <w:rsid w:val="00CD53C3"/>
    <w:rsid w:val="00CD574E"/>
    <w:rsid w:val="00CE0DB7"/>
    <w:rsid w:val="00CE1CE9"/>
    <w:rsid w:val="00CE4C22"/>
    <w:rsid w:val="00CE76E5"/>
    <w:rsid w:val="00CF1E87"/>
    <w:rsid w:val="00CF41EC"/>
    <w:rsid w:val="00CF5D04"/>
    <w:rsid w:val="00D00D95"/>
    <w:rsid w:val="00D0345B"/>
    <w:rsid w:val="00D04DE4"/>
    <w:rsid w:val="00D063F1"/>
    <w:rsid w:val="00D1489E"/>
    <w:rsid w:val="00D14F22"/>
    <w:rsid w:val="00D4741C"/>
    <w:rsid w:val="00D51005"/>
    <w:rsid w:val="00D5493A"/>
    <w:rsid w:val="00D570E9"/>
    <w:rsid w:val="00D57918"/>
    <w:rsid w:val="00D651DD"/>
    <w:rsid w:val="00D73DC6"/>
    <w:rsid w:val="00D74C1A"/>
    <w:rsid w:val="00D754C1"/>
    <w:rsid w:val="00D77393"/>
    <w:rsid w:val="00D77A35"/>
    <w:rsid w:val="00D81B3E"/>
    <w:rsid w:val="00D862E6"/>
    <w:rsid w:val="00D90C70"/>
    <w:rsid w:val="00D90E49"/>
    <w:rsid w:val="00D95E8F"/>
    <w:rsid w:val="00D96ADE"/>
    <w:rsid w:val="00DA0CE2"/>
    <w:rsid w:val="00DB3604"/>
    <w:rsid w:val="00DC6A10"/>
    <w:rsid w:val="00DD7B54"/>
    <w:rsid w:val="00DE657E"/>
    <w:rsid w:val="00DE68AA"/>
    <w:rsid w:val="00DE78ED"/>
    <w:rsid w:val="00DF4704"/>
    <w:rsid w:val="00E00245"/>
    <w:rsid w:val="00E024AA"/>
    <w:rsid w:val="00E024F0"/>
    <w:rsid w:val="00E07A68"/>
    <w:rsid w:val="00E1301A"/>
    <w:rsid w:val="00E15C77"/>
    <w:rsid w:val="00E250F1"/>
    <w:rsid w:val="00E3381C"/>
    <w:rsid w:val="00E3550D"/>
    <w:rsid w:val="00E367FB"/>
    <w:rsid w:val="00E52838"/>
    <w:rsid w:val="00E52ADD"/>
    <w:rsid w:val="00E614E0"/>
    <w:rsid w:val="00E73F7F"/>
    <w:rsid w:val="00E80C1B"/>
    <w:rsid w:val="00E85409"/>
    <w:rsid w:val="00E86D19"/>
    <w:rsid w:val="00EA3902"/>
    <w:rsid w:val="00EA429F"/>
    <w:rsid w:val="00EA4F9E"/>
    <w:rsid w:val="00EA63CA"/>
    <w:rsid w:val="00EA6D3B"/>
    <w:rsid w:val="00EB00AD"/>
    <w:rsid w:val="00EB136C"/>
    <w:rsid w:val="00EB480E"/>
    <w:rsid w:val="00EB5EC6"/>
    <w:rsid w:val="00EB7FC9"/>
    <w:rsid w:val="00EC0CCA"/>
    <w:rsid w:val="00EC7D0F"/>
    <w:rsid w:val="00ED27E8"/>
    <w:rsid w:val="00ED5798"/>
    <w:rsid w:val="00ED7137"/>
    <w:rsid w:val="00EE217D"/>
    <w:rsid w:val="00EF06EA"/>
    <w:rsid w:val="00F03C8A"/>
    <w:rsid w:val="00F21088"/>
    <w:rsid w:val="00F23298"/>
    <w:rsid w:val="00F2646A"/>
    <w:rsid w:val="00F327E7"/>
    <w:rsid w:val="00F35746"/>
    <w:rsid w:val="00F447C7"/>
    <w:rsid w:val="00F44CB5"/>
    <w:rsid w:val="00F459B4"/>
    <w:rsid w:val="00F5211B"/>
    <w:rsid w:val="00F554A9"/>
    <w:rsid w:val="00F658A2"/>
    <w:rsid w:val="00F7008B"/>
    <w:rsid w:val="00F716FD"/>
    <w:rsid w:val="00F74F81"/>
    <w:rsid w:val="00F80355"/>
    <w:rsid w:val="00F87C43"/>
    <w:rsid w:val="00F90B70"/>
    <w:rsid w:val="00FA18A9"/>
    <w:rsid w:val="00FA5722"/>
    <w:rsid w:val="00FB0C81"/>
    <w:rsid w:val="00FB0EC7"/>
    <w:rsid w:val="00FB36D5"/>
    <w:rsid w:val="00FC1CCD"/>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D7DB6"/>
  <w15:docId w15:val="{184969B9-77E6-4459-BB6C-1C43EB6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link w:val="Heading3Char"/>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paragraph" w:styleId="FootnoteText">
    <w:name w:val="footnote text"/>
    <w:aliases w:val="Fußnotentextf, Char1, Char1 Char Char,Char1,Char1 Char Char"/>
    <w:basedOn w:val="Normal"/>
    <w:link w:val="FootnoteTextChar"/>
    <w:uiPriority w:val="99"/>
    <w:unhideWhenUsed/>
    <w:qFormat/>
    <w:rsid w:val="006E126D"/>
    <w:rPr>
      <w:sz w:val="20"/>
      <w:szCs w:val="20"/>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
    <w:basedOn w:val="DefaultParagraphFont"/>
    <w:uiPriority w:val="99"/>
    <w:unhideWhenUsed/>
    <w:rsid w:val="006E126D"/>
    <w:rPr>
      <w:vertAlign w:val="superscript"/>
    </w:rPr>
  </w:style>
  <w:style w:type="character" w:styleId="PageNumber">
    <w:name w:val="page number"/>
    <w:basedOn w:val="DefaultParagraphFont"/>
    <w:uiPriority w:val="99"/>
    <w:rsid w:val="00E52ADD"/>
    <w:rPr>
      <w:sz w:val="22"/>
      <w:szCs w:val="22"/>
    </w:rPr>
  </w:style>
  <w:style w:type="paragraph" w:styleId="BodyText">
    <w:name w:val="Body Text"/>
    <w:basedOn w:val="Normal"/>
    <w:link w:val="BodyTextChar"/>
    <w:uiPriority w:val="99"/>
    <w:semiHidden/>
    <w:rsid w:val="00E52ADD"/>
    <w:pPr>
      <w:spacing w:after="120"/>
    </w:pPr>
    <w:rPr>
      <w:lang w:val="en-GB"/>
    </w:rPr>
  </w:style>
  <w:style w:type="character" w:customStyle="1" w:styleId="BodyTextChar">
    <w:name w:val="Body Text Char"/>
    <w:basedOn w:val="DefaultParagraphFont"/>
    <w:link w:val="BodyText"/>
    <w:uiPriority w:val="99"/>
    <w:semiHidden/>
    <w:rsid w:val="00E52ADD"/>
    <w:rPr>
      <w:sz w:val="22"/>
      <w:szCs w:val="22"/>
      <w:lang w:val="en-GB"/>
    </w:rPr>
  </w:style>
  <w:style w:type="paragraph" w:styleId="BodyText2">
    <w:name w:val="Body Text 2"/>
    <w:basedOn w:val="Normal"/>
    <w:link w:val="BodyText2Char"/>
    <w:uiPriority w:val="99"/>
    <w:semiHidden/>
    <w:rsid w:val="00E52ADD"/>
    <w:pPr>
      <w:spacing w:after="120" w:line="480" w:lineRule="auto"/>
    </w:pPr>
    <w:rPr>
      <w:lang w:val="en-GB"/>
    </w:rPr>
  </w:style>
  <w:style w:type="character" w:customStyle="1" w:styleId="BodyText2Char">
    <w:name w:val="Body Text 2 Char"/>
    <w:basedOn w:val="DefaultParagraphFont"/>
    <w:link w:val="BodyText2"/>
    <w:uiPriority w:val="99"/>
    <w:semiHidden/>
    <w:rsid w:val="00E52ADD"/>
    <w:rPr>
      <w:sz w:val="22"/>
      <w:szCs w:val="22"/>
      <w:lang w:val="en-GB"/>
    </w:rPr>
  </w:style>
  <w:style w:type="paragraph" w:styleId="BodyTextFirstIndent">
    <w:name w:val="Body Text First Indent"/>
    <w:basedOn w:val="BodyText"/>
    <w:link w:val="BodyTextFirstIndentChar"/>
    <w:uiPriority w:val="99"/>
    <w:semiHidden/>
    <w:rsid w:val="00E52ADD"/>
    <w:pPr>
      <w:ind w:firstLine="210"/>
    </w:pPr>
  </w:style>
  <w:style w:type="character" w:customStyle="1" w:styleId="BodyTextFirstIndentChar">
    <w:name w:val="Body Text First Indent Char"/>
    <w:basedOn w:val="BodyTextChar"/>
    <w:link w:val="BodyTextFirstIndent"/>
    <w:uiPriority w:val="99"/>
    <w:semiHidden/>
    <w:rsid w:val="00E52ADD"/>
    <w:rPr>
      <w:sz w:val="22"/>
      <w:szCs w:val="22"/>
      <w:lang w:val="en-GB"/>
    </w:rPr>
  </w:style>
  <w:style w:type="paragraph" w:styleId="BodyTextIndent">
    <w:name w:val="Body Text Indent"/>
    <w:basedOn w:val="Normal"/>
    <w:link w:val="BodyTextIndentChar"/>
    <w:uiPriority w:val="99"/>
    <w:semiHidden/>
    <w:rsid w:val="00E52ADD"/>
    <w:pPr>
      <w:spacing w:after="120"/>
      <w:ind w:left="360"/>
    </w:pPr>
    <w:rPr>
      <w:lang w:val="en-GB"/>
    </w:rPr>
  </w:style>
  <w:style w:type="character" w:customStyle="1" w:styleId="BodyTextIndentChar">
    <w:name w:val="Body Text Indent Char"/>
    <w:basedOn w:val="DefaultParagraphFont"/>
    <w:link w:val="BodyTextIndent"/>
    <w:uiPriority w:val="99"/>
    <w:semiHidden/>
    <w:rsid w:val="00E52ADD"/>
    <w:rPr>
      <w:sz w:val="22"/>
      <w:szCs w:val="22"/>
      <w:lang w:val="en-GB"/>
    </w:rPr>
  </w:style>
  <w:style w:type="paragraph" w:styleId="BodyTextFirstIndent2">
    <w:name w:val="Body Text First Indent 2"/>
    <w:basedOn w:val="BodyTextIndent"/>
    <w:link w:val="BodyTextFirstIndent2Char"/>
    <w:uiPriority w:val="99"/>
    <w:semiHidden/>
    <w:rsid w:val="00E52ADD"/>
    <w:pPr>
      <w:ind w:firstLine="210"/>
    </w:pPr>
  </w:style>
  <w:style w:type="character" w:customStyle="1" w:styleId="BodyTextFirstIndent2Char">
    <w:name w:val="Body Text First Indent 2 Char"/>
    <w:basedOn w:val="BodyTextIndentChar"/>
    <w:link w:val="BodyTextFirstIndent2"/>
    <w:uiPriority w:val="99"/>
    <w:semiHidden/>
    <w:rsid w:val="00E52ADD"/>
    <w:rPr>
      <w:sz w:val="22"/>
      <w:szCs w:val="22"/>
      <w:lang w:val="en-GB"/>
    </w:rPr>
  </w:style>
  <w:style w:type="paragraph" w:styleId="BodyTextIndent2">
    <w:name w:val="Body Text Indent 2"/>
    <w:basedOn w:val="Normal"/>
    <w:link w:val="BodyTextIndent2Char"/>
    <w:uiPriority w:val="99"/>
    <w:semiHidden/>
    <w:rsid w:val="00E52ADD"/>
    <w:pPr>
      <w:spacing w:after="120" w:line="480" w:lineRule="auto"/>
      <w:ind w:left="360"/>
    </w:pPr>
    <w:rPr>
      <w:lang w:val="en-GB"/>
    </w:rPr>
  </w:style>
  <w:style w:type="character" w:customStyle="1" w:styleId="BodyTextIndent2Char">
    <w:name w:val="Body Text Indent 2 Char"/>
    <w:basedOn w:val="DefaultParagraphFont"/>
    <w:link w:val="BodyTextIndent2"/>
    <w:uiPriority w:val="99"/>
    <w:semiHidden/>
    <w:rsid w:val="00E52ADD"/>
    <w:rPr>
      <w:sz w:val="22"/>
      <w:szCs w:val="22"/>
      <w:lang w:val="en-GB"/>
    </w:rPr>
  </w:style>
  <w:style w:type="paragraph" w:styleId="Closing">
    <w:name w:val="Closing"/>
    <w:basedOn w:val="Normal"/>
    <w:link w:val="ClosingChar"/>
    <w:uiPriority w:val="99"/>
    <w:semiHidden/>
    <w:rsid w:val="00E52ADD"/>
    <w:pPr>
      <w:ind w:left="4320"/>
    </w:pPr>
    <w:rPr>
      <w:lang w:val="en-GB"/>
    </w:rPr>
  </w:style>
  <w:style w:type="character" w:customStyle="1" w:styleId="ClosingChar">
    <w:name w:val="Closing Char"/>
    <w:basedOn w:val="DefaultParagraphFont"/>
    <w:link w:val="Closing"/>
    <w:uiPriority w:val="99"/>
    <w:semiHidden/>
    <w:rsid w:val="00E52ADD"/>
    <w:rPr>
      <w:sz w:val="22"/>
      <w:szCs w:val="22"/>
      <w:lang w:val="en-GB"/>
    </w:rPr>
  </w:style>
  <w:style w:type="paragraph" w:styleId="E-mailSignature">
    <w:name w:val="E-mail Signature"/>
    <w:basedOn w:val="Normal"/>
    <w:link w:val="E-mailSignatureChar"/>
    <w:uiPriority w:val="99"/>
    <w:semiHidden/>
    <w:rsid w:val="00E52ADD"/>
    <w:rPr>
      <w:lang w:val="en-GB"/>
    </w:rPr>
  </w:style>
  <w:style w:type="character" w:customStyle="1" w:styleId="E-mailSignatureChar">
    <w:name w:val="E-mail Signature Char"/>
    <w:basedOn w:val="DefaultParagraphFont"/>
    <w:link w:val="E-mailSignature"/>
    <w:uiPriority w:val="99"/>
    <w:semiHidden/>
    <w:rsid w:val="00E52ADD"/>
    <w:rPr>
      <w:sz w:val="22"/>
      <w:szCs w:val="22"/>
      <w:lang w:val="en-GB"/>
    </w:rPr>
  </w:style>
  <w:style w:type="character" w:styleId="Emphasis">
    <w:name w:val="Emphasis"/>
    <w:basedOn w:val="DefaultParagraphFont"/>
    <w:uiPriority w:val="99"/>
    <w:qFormat/>
    <w:rsid w:val="00E52ADD"/>
    <w:rPr>
      <w:i/>
      <w:iCs/>
    </w:rPr>
  </w:style>
  <w:style w:type="paragraph" w:styleId="EnvelopeAddress">
    <w:name w:val="envelope address"/>
    <w:basedOn w:val="Normal"/>
    <w:uiPriority w:val="99"/>
    <w:semiHidden/>
    <w:rsid w:val="00E52ADD"/>
    <w:pPr>
      <w:framePr w:w="7920" w:h="1980" w:hRule="exact" w:hSpace="180" w:wrap="auto" w:hAnchor="page" w:xAlign="center" w:yAlign="bottom"/>
      <w:ind w:left="2880"/>
    </w:pPr>
    <w:rPr>
      <w:rFonts w:ascii="Arial" w:hAnsi="Arial" w:cs="Arial"/>
      <w:szCs w:val="24"/>
      <w:lang w:val="en-GB"/>
    </w:rPr>
  </w:style>
  <w:style w:type="paragraph" w:styleId="EnvelopeReturn">
    <w:name w:val="envelope return"/>
    <w:basedOn w:val="Normal"/>
    <w:uiPriority w:val="99"/>
    <w:semiHidden/>
    <w:rsid w:val="00E52ADD"/>
    <w:rPr>
      <w:rFonts w:ascii="Arial" w:hAnsi="Arial" w:cs="Arial"/>
      <w:sz w:val="20"/>
      <w:lang w:val="en-GB"/>
    </w:rPr>
  </w:style>
  <w:style w:type="character" w:styleId="FollowedHyperlink">
    <w:name w:val="FollowedHyperlink"/>
    <w:basedOn w:val="DefaultParagraphFont"/>
    <w:uiPriority w:val="99"/>
    <w:semiHidden/>
    <w:rsid w:val="00E52ADD"/>
    <w:rPr>
      <w:color w:val="800080"/>
      <w:u w:val="single"/>
    </w:rPr>
  </w:style>
  <w:style w:type="character" w:styleId="HTMLAcronym">
    <w:name w:val="HTML Acronym"/>
    <w:basedOn w:val="DefaultParagraphFont"/>
    <w:uiPriority w:val="99"/>
    <w:semiHidden/>
    <w:rsid w:val="00E52ADD"/>
  </w:style>
  <w:style w:type="paragraph" w:styleId="HTMLAddress">
    <w:name w:val="HTML Address"/>
    <w:basedOn w:val="Normal"/>
    <w:link w:val="HTMLAddressChar"/>
    <w:uiPriority w:val="99"/>
    <w:semiHidden/>
    <w:rsid w:val="00E52ADD"/>
    <w:rPr>
      <w:i/>
      <w:iCs/>
      <w:lang w:val="en-GB"/>
    </w:rPr>
  </w:style>
  <w:style w:type="character" w:customStyle="1" w:styleId="HTMLAddressChar">
    <w:name w:val="HTML Address Char"/>
    <w:basedOn w:val="DefaultParagraphFont"/>
    <w:link w:val="HTMLAddress"/>
    <w:uiPriority w:val="99"/>
    <w:semiHidden/>
    <w:rsid w:val="00E52ADD"/>
    <w:rPr>
      <w:i/>
      <w:iCs/>
      <w:sz w:val="22"/>
      <w:szCs w:val="22"/>
      <w:lang w:val="en-GB"/>
    </w:rPr>
  </w:style>
  <w:style w:type="character" w:styleId="HTMLCite">
    <w:name w:val="HTML Cite"/>
    <w:basedOn w:val="DefaultParagraphFont"/>
    <w:uiPriority w:val="99"/>
    <w:semiHidden/>
    <w:rsid w:val="00E52ADD"/>
    <w:rPr>
      <w:i/>
      <w:iCs/>
    </w:rPr>
  </w:style>
  <w:style w:type="character" w:styleId="HTMLCode">
    <w:name w:val="HTML Code"/>
    <w:basedOn w:val="DefaultParagraphFont"/>
    <w:uiPriority w:val="99"/>
    <w:semiHidden/>
    <w:rsid w:val="00E52ADD"/>
    <w:rPr>
      <w:rFonts w:ascii="Courier New" w:hAnsi="Courier New" w:cs="Courier New"/>
      <w:sz w:val="20"/>
      <w:szCs w:val="20"/>
    </w:rPr>
  </w:style>
  <w:style w:type="character" w:styleId="HTMLDefinition">
    <w:name w:val="HTML Definition"/>
    <w:basedOn w:val="DefaultParagraphFont"/>
    <w:uiPriority w:val="99"/>
    <w:semiHidden/>
    <w:rsid w:val="00E52ADD"/>
    <w:rPr>
      <w:i/>
      <w:iCs/>
    </w:rPr>
  </w:style>
  <w:style w:type="character" w:styleId="HTMLKeyboard">
    <w:name w:val="HTML Keyboard"/>
    <w:basedOn w:val="DefaultParagraphFont"/>
    <w:uiPriority w:val="99"/>
    <w:semiHidden/>
    <w:rsid w:val="00E52ADD"/>
    <w:rPr>
      <w:rFonts w:ascii="Courier New" w:hAnsi="Courier New" w:cs="Courier New"/>
      <w:sz w:val="20"/>
      <w:szCs w:val="20"/>
    </w:rPr>
  </w:style>
  <w:style w:type="paragraph" w:styleId="HTMLPreformatted">
    <w:name w:val="HTML Preformatted"/>
    <w:basedOn w:val="Normal"/>
    <w:link w:val="HTMLPreformattedChar"/>
    <w:uiPriority w:val="99"/>
    <w:semiHidden/>
    <w:rsid w:val="00E52ADD"/>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E52ADD"/>
    <w:rPr>
      <w:rFonts w:ascii="Courier New" w:hAnsi="Courier New" w:cs="Courier New"/>
      <w:szCs w:val="22"/>
      <w:lang w:val="en-GB"/>
    </w:rPr>
  </w:style>
  <w:style w:type="character" w:styleId="HTMLSample">
    <w:name w:val="HTML Sample"/>
    <w:basedOn w:val="DefaultParagraphFont"/>
    <w:uiPriority w:val="99"/>
    <w:semiHidden/>
    <w:rsid w:val="00E52ADD"/>
    <w:rPr>
      <w:rFonts w:ascii="Courier New" w:hAnsi="Courier New" w:cs="Courier New"/>
    </w:rPr>
  </w:style>
  <w:style w:type="character" w:styleId="HTMLTypewriter">
    <w:name w:val="HTML Typewriter"/>
    <w:basedOn w:val="DefaultParagraphFont"/>
    <w:uiPriority w:val="99"/>
    <w:semiHidden/>
    <w:rsid w:val="00E52ADD"/>
    <w:rPr>
      <w:rFonts w:ascii="Courier New" w:hAnsi="Courier New" w:cs="Courier New"/>
      <w:sz w:val="20"/>
      <w:szCs w:val="20"/>
    </w:rPr>
  </w:style>
  <w:style w:type="character" w:styleId="HTMLVariable">
    <w:name w:val="HTML Variable"/>
    <w:basedOn w:val="DefaultParagraphFont"/>
    <w:uiPriority w:val="99"/>
    <w:semiHidden/>
    <w:rsid w:val="00E52ADD"/>
    <w:rPr>
      <w:i/>
      <w:iCs/>
    </w:rPr>
  </w:style>
  <w:style w:type="character" w:styleId="Hyperlink">
    <w:name w:val="Hyperlink"/>
    <w:basedOn w:val="DefaultParagraphFont"/>
    <w:uiPriority w:val="99"/>
    <w:semiHidden/>
    <w:rsid w:val="00E52ADD"/>
    <w:rPr>
      <w:color w:val="0000FF"/>
      <w:u w:val="single"/>
    </w:rPr>
  </w:style>
  <w:style w:type="character" w:styleId="LineNumber">
    <w:name w:val="line number"/>
    <w:basedOn w:val="DefaultParagraphFont"/>
    <w:uiPriority w:val="99"/>
    <w:semiHidden/>
    <w:rsid w:val="00E52ADD"/>
  </w:style>
  <w:style w:type="paragraph" w:styleId="List">
    <w:name w:val="List"/>
    <w:basedOn w:val="Normal"/>
    <w:uiPriority w:val="99"/>
    <w:semiHidden/>
    <w:rsid w:val="00E52ADD"/>
    <w:pPr>
      <w:ind w:left="360" w:hanging="360"/>
    </w:pPr>
    <w:rPr>
      <w:lang w:val="en-GB"/>
    </w:rPr>
  </w:style>
  <w:style w:type="paragraph" w:styleId="List2">
    <w:name w:val="List 2"/>
    <w:basedOn w:val="Normal"/>
    <w:uiPriority w:val="99"/>
    <w:semiHidden/>
    <w:rsid w:val="00E52ADD"/>
    <w:pPr>
      <w:ind w:left="720" w:hanging="360"/>
    </w:pPr>
    <w:rPr>
      <w:lang w:val="en-GB"/>
    </w:rPr>
  </w:style>
  <w:style w:type="paragraph" w:styleId="List3">
    <w:name w:val="List 3"/>
    <w:basedOn w:val="Normal"/>
    <w:uiPriority w:val="99"/>
    <w:semiHidden/>
    <w:rsid w:val="00E52ADD"/>
    <w:pPr>
      <w:ind w:left="1080" w:hanging="360"/>
    </w:pPr>
    <w:rPr>
      <w:lang w:val="en-GB"/>
    </w:rPr>
  </w:style>
  <w:style w:type="paragraph" w:styleId="List4">
    <w:name w:val="List 4"/>
    <w:basedOn w:val="Normal"/>
    <w:uiPriority w:val="99"/>
    <w:semiHidden/>
    <w:rsid w:val="00E52ADD"/>
    <w:pPr>
      <w:ind w:left="1440" w:hanging="360"/>
    </w:pPr>
    <w:rPr>
      <w:lang w:val="en-GB"/>
    </w:rPr>
  </w:style>
  <w:style w:type="paragraph" w:styleId="List5">
    <w:name w:val="List 5"/>
    <w:basedOn w:val="Normal"/>
    <w:uiPriority w:val="99"/>
    <w:semiHidden/>
    <w:rsid w:val="00E52ADD"/>
    <w:pPr>
      <w:ind w:left="1800" w:hanging="360"/>
    </w:pPr>
    <w:rPr>
      <w:lang w:val="en-GB"/>
    </w:rPr>
  </w:style>
  <w:style w:type="paragraph" w:styleId="ListBullet">
    <w:name w:val="List Bullet"/>
    <w:basedOn w:val="Normal"/>
    <w:autoRedefine/>
    <w:uiPriority w:val="99"/>
    <w:semiHidden/>
    <w:rsid w:val="00E52ADD"/>
    <w:pPr>
      <w:tabs>
        <w:tab w:val="num" w:pos="360"/>
      </w:tabs>
      <w:ind w:left="360" w:hanging="360"/>
    </w:pPr>
    <w:rPr>
      <w:lang w:val="en-GB"/>
    </w:rPr>
  </w:style>
  <w:style w:type="paragraph" w:styleId="ListBullet2">
    <w:name w:val="List Bullet 2"/>
    <w:basedOn w:val="Normal"/>
    <w:autoRedefine/>
    <w:uiPriority w:val="99"/>
    <w:semiHidden/>
    <w:rsid w:val="00E52ADD"/>
    <w:pPr>
      <w:tabs>
        <w:tab w:val="num" w:pos="720"/>
      </w:tabs>
      <w:ind w:left="720" w:hanging="360"/>
    </w:pPr>
    <w:rPr>
      <w:lang w:val="en-GB"/>
    </w:rPr>
  </w:style>
  <w:style w:type="paragraph" w:styleId="ListBullet3">
    <w:name w:val="List Bullet 3"/>
    <w:basedOn w:val="Normal"/>
    <w:autoRedefine/>
    <w:uiPriority w:val="99"/>
    <w:semiHidden/>
    <w:rsid w:val="00E52ADD"/>
    <w:pPr>
      <w:tabs>
        <w:tab w:val="num" w:pos="1080"/>
      </w:tabs>
      <w:ind w:left="1080" w:hanging="360"/>
    </w:pPr>
    <w:rPr>
      <w:lang w:val="en-GB"/>
    </w:rPr>
  </w:style>
  <w:style w:type="paragraph" w:styleId="ListBullet4">
    <w:name w:val="List Bullet 4"/>
    <w:basedOn w:val="Normal"/>
    <w:autoRedefine/>
    <w:uiPriority w:val="99"/>
    <w:semiHidden/>
    <w:rsid w:val="00E52ADD"/>
    <w:pPr>
      <w:tabs>
        <w:tab w:val="num" w:pos="1440"/>
      </w:tabs>
      <w:ind w:left="1440" w:hanging="360"/>
    </w:pPr>
    <w:rPr>
      <w:lang w:val="en-GB"/>
    </w:rPr>
  </w:style>
  <w:style w:type="paragraph" w:styleId="ListBullet5">
    <w:name w:val="List Bullet 5"/>
    <w:basedOn w:val="Normal"/>
    <w:autoRedefine/>
    <w:uiPriority w:val="99"/>
    <w:semiHidden/>
    <w:rsid w:val="00E52ADD"/>
    <w:pPr>
      <w:tabs>
        <w:tab w:val="num" w:pos="1800"/>
      </w:tabs>
      <w:ind w:left="1800" w:hanging="360"/>
    </w:pPr>
    <w:rPr>
      <w:lang w:val="en-GB"/>
    </w:rPr>
  </w:style>
  <w:style w:type="paragraph" w:styleId="ListContinue">
    <w:name w:val="List Continue"/>
    <w:basedOn w:val="Normal"/>
    <w:uiPriority w:val="99"/>
    <w:semiHidden/>
    <w:rsid w:val="00E52ADD"/>
    <w:pPr>
      <w:spacing w:after="120"/>
      <w:ind w:left="360"/>
    </w:pPr>
    <w:rPr>
      <w:lang w:val="en-GB"/>
    </w:rPr>
  </w:style>
  <w:style w:type="paragraph" w:styleId="ListContinue2">
    <w:name w:val="List Continue 2"/>
    <w:basedOn w:val="Normal"/>
    <w:uiPriority w:val="99"/>
    <w:semiHidden/>
    <w:rsid w:val="00E52ADD"/>
    <w:pPr>
      <w:spacing w:after="120"/>
      <w:ind w:left="720"/>
    </w:pPr>
    <w:rPr>
      <w:lang w:val="en-GB"/>
    </w:rPr>
  </w:style>
  <w:style w:type="paragraph" w:styleId="ListContinue3">
    <w:name w:val="List Continue 3"/>
    <w:basedOn w:val="Normal"/>
    <w:uiPriority w:val="99"/>
    <w:semiHidden/>
    <w:rsid w:val="00E52ADD"/>
    <w:pPr>
      <w:spacing w:after="120"/>
      <w:ind w:left="1080"/>
    </w:pPr>
    <w:rPr>
      <w:lang w:val="en-GB"/>
    </w:rPr>
  </w:style>
  <w:style w:type="paragraph" w:styleId="ListContinue4">
    <w:name w:val="List Continue 4"/>
    <w:basedOn w:val="Normal"/>
    <w:uiPriority w:val="99"/>
    <w:semiHidden/>
    <w:rsid w:val="00E52ADD"/>
    <w:pPr>
      <w:spacing w:after="120"/>
      <w:ind w:left="1440"/>
    </w:pPr>
    <w:rPr>
      <w:lang w:val="en-GB"/>
    </w:rPr>
  </w:style>
  <w:style w:type="paragraph" w:styleId="ListContinue5">
    <w:name w:val="List Continue 5"/>
    <w:basedOn w:val="Normal"/>
    <w:uiPriority w:val="99"/>
    <w:semiHidden/>
    <w:rsid w:val="00E52ADD"/>
    <w:pPr>
      <w:spacing w:after="120"/>
      <w:ind w:left="1800"/>
    </w:pPr>
    <w:rPr>
      <w:lang w:val="en-GB"/>
    </w:rPr>
  </w:style>
  <w:style w:type="paragraph" w:styleId="ListNumber">
    <w:name w:val="List Number"/>
    <w:basedOn w:val="Normal"/>
    <w:uiPriority w:val="99"/>
    <w:semiHidden/>
    <w:rsid w:val="00E52ADD"/>
    <w:pPr>
      <w:tabs>
        <w:tab w:val="num" w:pos="360"/>
      </w:tabs>
      <w:ind w:left="360" w:hanging="360"/>
    </w:pPr>
    <w:rPr>
      <w:lang w:val="en-GB"/>
    </w:rPr>
  </w:style>
  <w:style w:type="paragraph" w:styleId="ListNumber2">
    <w:name w:val="List Number 2"/>
    <w:basedOn w:val="Normal"/>
    <w:uiPriority w:val="99"/>
    <w:semiHidden/>
    <w:rsid w:val="00E52ADD"/>
    <w:pPr>
      <w:tabs>
        <w:tab w:val="num" w:pos="720"/>
      </w:tabs>
      <w:ind w:left="720" w:hanging="360"/>
    </w:pPr>
    <w:rPr>
      <w:lang w:val="en-GB"/>
    </w:rPr>
  </w:style>
  <w:style w:type="paragraph" w:styleId="ListNumber3">
    <w:name w:val="List Number 3"/>
    <w:basedOn w:val="Normal"/>
    <w:uiPriority w:val="99"/>
    <w:semiHidden/>
    <w:rsid w:val="00E52ADD"/>
    <w:pPr>
      <w:tabs>
        <w:tab w:val="num" w:pos="1080"/>
      </w:tabs>
      <w:ind w:left="1080" w:hanging="360"/>
    </w:pPr>
    <w:rPr>
      <w:lang w:val="en-GB"/>
    </w:rPr>
  </w:style>
  <w:style w:type="paragraph" w:styleId="ListNumber4">
    <w:name w:val="List Number 4"/>
    <w:basedOn w:val="Normal"/>
    <w:uiPriority w:val="99"/>
    <w:semiHidden/>
    <w:rsid w:val="00E52ADD"/>
    <w:pPr>
      <w:tabs>
        <w:tab w:val="num" w:pos="1440"/>
      </w:tabs>
      <w:ind w:left="1440" w:hanging="360"/>
    </w:pPr>
    <w:rPr>
      <w:lang w:val="en-GB"/>
    </w:rPr>
  </w:style>
  <w:style w:type="paragraph" w:styleId="ListNumber5">
    <w:name w:val="List Number 5"/>
    <w:basedOn w:val="Normal"/>
    <w:uiPriority w:val="99"/>
    <w:semiHidden/>
    <w:rsid w:val="00E52ADD"/>
    <w:pPr>
      <w:tabs>
        <w:tab w:val="num" w:pos="1800"/>
      </w:tabs>
      <w:ind w:left="1800" w:hanging="360"/>
    </w:pPr>
    <w:rPr>
      <w:lang w:val="en-GB"/>
    </w:rPr>
  </w:style>
  <w:style w:type="paragraph" w:styleId="MessageHeader">
    <w:name w:val="Message Header"/>
    <w:basedOn w:val="Normal"/>
    <w:link w:val="MessageHeaderChar"/>
    <w:uiPriority w:val="99"/>
    <w:semiHidden/>
    <w:rsid w:val="00E52A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GB"/>
    </w:rPr>
  </w:style>
  <w:style w:type="character" w:customStyle="1" w:styleId="MessageHeaderChar">
    <w:name w:val="Message Header Char"/>
    <w:basedOn w:val="DefaultParagraphFont"/>
    <w:link w:val="MessageHeader"/>
    <w:uiPriority w:val="99"/>
    <w:semiHidden/>
    <w:rsid w:val="00E52ADD"/>
    <w:rPr>
      <w:rFonts w:ascii="Arial" w:hAnsi="Arial" w:cs="Arial"/>
      <w:sz w:val="22"/>
      <w:szCs w:val="24"/>
      <w:shd w:val="pct20" w:color="auto" w:fill="auto"/>
      <w:lang w:val="en-GB"/>
    </w:rPr>
  </w:style>
  <w:style w:type="paragraph" w:styleId="NormalWeb">
    <w:name w:val="Normal (Web)"/>
    <w:basedOn w:val="Normal"/>
    <w:uiPriority w:val="99"/>
    <w:semiHidden/>
    <w:rsid w:val="00E52ADD"/>
    <w:rPr>
      <w:szCs w:val="24"/>
      <w:lang w:val="en-GB"/>
    </w:rPr>
  </w:style>
  <w:style w:type="paragraph" w:styleId="NormalIndent">
    <w:name w:val="Normal Indent"/>
    <w:basedOn w:val="Normal"/>
    <w:uiPriority w:val="99"/>
    <w:semiHidden/>
    <w:rsid w:val="00E52ADD"/>
    <w:pPr>
      <w:ind w:left="720"/>
    </w:pPr>
    <w:rPr>
      <w:lang w:val="en-GB"/>
    </w:rPr>
  </w:style>
  <w:style w:type="paragraph" w:styleId="NoteHeading">
    <w:name w:val="Note Heading"/>
    <w:basedOn w:val="Normal"/>
    <w:next w:val="Normal"/>
    <w:link w:val="NoteHeadingChar"/>
    <w:uiPriority w:val="99"/>
    <w:semiHidden/>
    <w:rsid w:val="00E52ADD"/>
    <w:rPr>
      <w:lang w:val="en-GB"/>
    </w:rPr>
  </w:style>
  <w:style w:type="character" w:customStyle="1" w:styleId="NoteHeadingChar">
    <w:name w:val="Note Heading Char"/>
    <w:basedOn w:val="DefaultParagraphFont"/>
    <w:link w:val="NoteHeading"/>
    <w:uiPriority w:val="99"/>
    <w:semiHidden/>
    <w:rsid w:val="00E52ADD"/>
    <w:rPr>
      <w:sz w:val="22"/>
      <w:szCs w:val="22"/>
      <w:lang w:val="en-GB"/>
    </w:rPr>
  </w:style>
  <w:style w:type="paragraph" w:styleId="Salutation">
    <w:name w:val="Salutation"/>
    <w:basedOn w:val="Normal"/>
    <w:next w:val="Normal"/>
    <w:link w:val="SalutationChar"/>
    <w:uiPriority w:val="99"/>
    <w:semiHidden/>
    <w:rsid w:val="00E52ADD"/>
    <w:rPr>
      <w:lang w:val="en-GB"/>
    </w:rPr>
  </w:style>
  <w:style w:type="character" w:customStyle="1" w:styleId="SalutationChar">
    <w:name w:val="Salutation Char"/>
    <w:basedOn w:val="DefaultParagraphFont"/>
    <w:link w:val="Salutation"/>
    <w:uiPriority w:val="99"/>
    <w:semiHidden/>
    <w:rsid w:val="00E52ADD"/>
    <w:rPr>
      <w:sz w:val="22"/>
      <w:szCs w:val="22"/>
      <w:lang w:val="en-GB"/>
    </w:rPr>
  </w:style>
  <w:style w:type="paragraph" w:styleId="Signature">
    <w:name w:val="Signature"/>
    <w:basedOn w:val="Normal"/>
    <w:link w:val="SignatureChar"/>
    <w:uiPriority w:val="99"/>
    <w:semiHidden/>
    <w:rsid w:val="00E52ADD"/>
    <w:pPr>
      <w:ind w:left="4320"/>
    </w:pPr>
    <w:rPr>
      <w:lang w:val="en-GB"/>
    </w:rPr>
  </w:style>
  <w:style w:type="character" w:customStyle="1" w:styleId="SignatureChar">
    <w:name w:val="Signature Char"/>
    <w:basedOn w:val="DefaultParagraphFont"/>
    <w:link w:val="Signature"/>
    <w:uiPriority w:val="99"/>
    <w:semiHidden/>
    <w:rsid w:val="00E52ADD"/>
    <w:rPr>
      <w:sz w:val="22"/>
      <w:szCs w:val="22"/>
      <w:lang w:val="en-GB"/>
    </w:rPr>
  </w:style>
  <w:style w:type="character" w:styleId="Strong">
    <w:name w:val="Strong"/>
    <w:basedOn w:val="DefaultParagraphFont"/>
    <w:uiPriority w:val="99"/>
    <w:qFormat/>
    <w:rsid w:val="00E52ADD"/>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52ADD"/>
    <w:rPr>
      <w:sz w:val="22"/>
      <w:szCs w:val="22"/>
      <w:lang w:val="en-CA"/>
    </w:rPr>
  </w:style>
  <w:style w:type="character" w:customStyle="1" w:styleId="Heading3Char">
    <w:name w:val="Heading 3 Char"/>
    <w:aliases w:val="Char Char,Heading 3 Char1 Char1,Heading 3 Char Char Char1,Char Char Char Char1,Char Char1 Char1,Heading 3 Char1 Char Char,Heading 3 Char Char Char Char,Char Char Char Char Char,Char Char1 Char Char,Heading 3 Char2 Char,Char Char2 Char"/>
    <w:basedOn w:val="DefaultParagraphFont"/>
    <w:link w:val="Heading3"/>
    <w:rsid w:val="00E52ADD"/>
    <w:rPr>
      <w:sz w:val="22"/>
      <w:szCs w:val="22"/>
      <w:lang w:val="en-CA"/>
    </w:rPr>
  </w:style>
  <w:style w:type="character" w:customStyle="1" w:styleId="Heading4Char">
    <w:name w:val="Heading 4 Char"/>
    <w:aliases w:val="Heading 11 Char,para 4 Char,Título 41 Char,heading 4 Char,Heading 41 Char"/>
    <w:basedOn w:val="DefaultParagraphFont"/>
    <w:link w:val="Heading4"/>
    <w:rsid w:val="00E52ADD"/>
    <w:rPr>
      <w:sz w:val="22"/>
      <w:szCs w:val="22"/>
      <w:lang w:val="en-CA"/>
    </w:rPr>
  </w:style>
  <w:style w:type="character" w:customStyle="1" w:styleId="Heading5Char">
    <w:name w:val="Heading 5 Char"/>
    <w:basedOn w:val="DefaultParagraphFont"/>
    <w:link w:val="Heading5"/>
    <w:rsid w:val="00E52ADD"/>
    <w:rPr>
      <w:sz w:val="22"/>
      <w:szCs w:val="22"/>
      <w:lang w:val="en-CA"/>
    </w:rPr>
  </w:style>
  <w:style w:type="character" w:customStyle="1" w:styleId="Heading6Char">
    <w:name w:val="Heading 6 Char"/>
    <w:basedOn w:val="DefaultParagraphFont"/>
    <w:link w:val="Heading6"/>
    <w:rsid w:val="00E52ADD"/>
    <w:rPr>
      <w:rFonts w:ascii="Arial" w:hAnsi="Arial"/>
      <w:i/>
      <w:sz w:val="22"/>
      <w:szCs w:val="22"/>
      <w:lang w:val="en-CA"/>
    </w:rPr>
  </w:style>
  <w:style w:type="character" w:customStyle="1" w:styleId="Heading7Char">
    <w:name w:val="Heading 7 Char"/>
    <w:basedOn w:val="DefaultParagraphFont"/>
    <w:link w:val="Heading7"/>
    <w:rsid w:val="00E52ADD"/>
    <w:rPr>
      <w:rFonts w:ascii="Arial" w:hAnsi="Arial"/>
      <w:sz w:val="22"/>
      <w:szCs w:val="22"/>
      <w:lang w:val="en-CA"/>
    </w:rPr>
  </w:style>
  <w:style w:type="character" w:customStyle="1" w:styleId="Heading8Char">
    <w:name w:val="Heading 8 Char"/>
    <w:basedOn w:val="DefaultParagraphFont"/>
    <w:link w:val="Heading8"/>
    <w:uiPriority w:val="99"/>
    <w:rsid w:val="00E52ADD"/>
    <w:rPr>
      <w:b/>
      <w:sz w:val="22"/>
      <w:szCs w:val="22"/>
      <w:lang w:val="en-CA"/>
    </w:rPr>
  </w:style>
  <w:style w:type="character" w:customStyle="1" w:styleId="Heading9Char">
    <w:name w:val="Heading 9 Char"/>
    <w:basedOn w:val="DefaultParagraphFont"/>
    <w:link w:val="Heading9"/>
    <w:rsid w:val="00E52ADD"/>
    <w:rPr>
      <w:rFonts w:ascii="Arial" w:hAnsi="Arial"/>
      <w:i/>
      <w:sz w:val="18"/>
      <w:szCs w:val="22"/>
      <w:lang w:val="en-CA"/>
    </w:rPr>
  </w:style>
  <w:style w:type="character" w:customStyle="1" w:styleId="HeaderChar">
    <w:name w:val="Header Char"/>
    <w:basedOn w:val="DefaultParagraphFont"/>
    <w:link w:val="Header"/>
    <w:rsid w:val="00E52ADD"/>
    <w:rPr>
      <w:sz w:val="22"/>
      <w:szCs w:val="22"/>
      <w:lang w:val="en-CA"/>
    </w:rPr>
  </w:style>
  <w:style w:type="character" w:customStyle="1" w:styleId="FooterChar">
    <w:name w:val="Footer Char"/>
    <w:basedOn w:val="DefaultParagraphFont"/>
    <w:link w:val="Footer"/>
    <w:uiPriority w:val="99"/>
    <w:rsid w:val="00E52ADD"/>
    <w:rPr>
      <w:sz w:val="22"/>
      <w:szCs w:val="22"/>
      <w:lang w:val="en-CA"/>
    </w:rPr>
  </w:style>
  <w:style w:type="character" w:customStyle="1" w:styleId="BodyText3Char">
    <w:name w:val="Body Text 3 Char"/>
    <w:basedOn w:val="DefaultParagraphFont"/>
    <w:link w:val="BodyText3"/>
    <w:uiPriority w:val="99"/>
    <w:semiHidden/>
    <w:rsid w:val="00E52ADD"/>
    <w:rPr>
      <w:sz w:val="16"/>
      <w:szCs w:val="16"/>
      <w:lang w:val="en-CA"/>
    </w:rPr>
  </w:style>
  <w:style w:type="character" w:customStyle="1" w:styleId="BodyText2Char1">
    <w:name w:val="Body Text 2 Char1"/>
    <w:basedOn w:val="DefaultParagraphFont"/>
    <w:uiPriority w:val="99"/>
    <w:semiHidden/>
    <w:rsid w:val="00E52ADD"/>
    <w:rPr>
      <w:lang w:val="en-GB"/>
    </w:rPr>
  </w:style>
  <w:style w:type="character" w:customStyle="1" w:styleId="BodyText2Char2">
    <w:name w:val="Body Text 2 Char2"/>
    <w:basedOn w:val="DefaultParagraphFont"/>
    <w:uiPriority w:val="99"/>
    <w:semiHidden/>
    <w:rsid w:val="00E52ADD"/>
    <w:rPr>
      <w:lang w:val="en-GB"/>
    </w:rPr>
  </w:style>
  <w:style w:type="character" w:customStyle="1" w:styleId="BodyTextIndent3Char">
    <w:name w:val="Body Text Indent 3 Char"/>
    <w:basedOn w:val="DefaultParagraphFont"/>
    <w:link w:val="BodyTextIndent3"/>
    <w:uiPriority w:val="99"/>
    <w:semiHidden/>
    <w:rsid w:val="00E52ADD"/>
    <w:rPr>
      <w:sz w:val="16"/>
      <w:szCs w:val="16"/>
      <w:lang w:val="en-CA"/>
    </w:rPr>
  </w:style>
  <w:style w:type="character" w:customStyle="1" w:styleId="PlainTextChar">
    <w:name w:val="Plain Text Char"/>
    <w:basedOn w:val="DefaultParagraphFont"/>
    <w:link w:val="PlainText"/>
    <w:uiPriority w:val="99"/>
    <w:semiHidden/>
    <w:rsid w:val="00E52ADD"/>
    <w:rPr>
      <w:rFonts w:ascii="Courier New" w:hAnsi="Courier New" w:cs="Courier New"/>
      <w:szCs w:val="22"/>
      <w:lang w:val="en-CA"/>
    </w:rPr>
  </w:style>
  <w:style w:type="character" w:customStyle="1" w:styleId="SubtitleChar">
    <w:name w:val="Subtitle Char"/>
    <w:basedOn w:val="DefaultParagraphFont"/>
    <w:link w:val="Subtitle"/>
    <w:uiPriority w:val="99"/>
    <w:rsid w:val="00E52ADD"/>
    <w:rPr>
      <w:rFonts w:ascii="Arial" w:hAnsi="Arial" w:cs="Arial"/>
      <w:sz w:val="22"/>
      <w:szCs w:val="22"/>
      <w:lang w:val="en-CA"/>
    </w:rPr>
  </w:style>
  <w:style w:type="character" w:customStyle="1" w:styleId="TitleChar">
    <w:name w:val="Title Char"/>
    <w:basedOn w:val="DefaultParagraphFont"/>
    <w:link w:val="Title"/>
    <w:uiPriority w:val="99"/>
    <w:rsid w:val="00E52ADD"/>
    <w:rPr>
      <w:rFonts w:ascii="Arial" w:hAnsi="Arial" w:cs="Arial"/>
      <w:b/>
      <w:bCs/>
      <w:kern w:val="28"/>
      <w:sz w:val="22"/>
      <w:szCs w:val="22"/>
      <w:lang w:val="en-CA"/>
    </w:rPr>
  </w:style>
  <w:style w:type="character" w:customStyle="1" w:styleId="DateChar">
    <w:name w:val="Date Char"/>
    <w:basedOn w:val="DefaultParagraphFont"/>
    <w:link w:val="Date"/>
    <w:uiPriority w:val="99"/>
    <w:rsid w:val="00E52ADD"/>
    <w:rPr>
      <w:sz w:val="22"/>
      <w:szCs w:val="22"/>
      <w:lang w:val="en-CA"/>
    </w:rPr>
  </w:style>
  <w:style w:type="paragraph" w:customStyle="1" w:styleId="Heading">
    <w:name w:val="Heading"/>
    <w:basedOn w:val="Header"/>
    <w:next w:val="Header"/>
    <w:rsid w:val="00E52ADD"/>
    <w:pPr>
      <w:tabs>
        <w:tab w:val="clear" w:pos="4320"/>
        <w:tab w:val="clear" w:pos="8640"/>
      </w:tabs>
    </w:pPr>
    <w:rPr>
      <w:b/>
      <w:bCs/>
      <w:sz w:val="24"/>
      <w:szCs w:val="24"/>
      <w:u w:val="single"/>
      <w:lang w:val="en-GB"/>
    </w:rPr>
  </w:style>
  <w:style w:type="paragraph" w:customStyle="1" w:styleId="Bullet2">
    <w:name w:val="Bullet 2"/>
    <w:basedOn w:val="Normal"/>
    <w:uiPriority w:val="99"/>
    <w:rsid w:val="00E52ADD"/>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styleId="ListParagraph">
    <w:name w:val="List Paragraph"/>
    <w:basedOn w:val="Normal"/>
    <w:uiPriority w:val="99"/>
    <w:qFormat/>
    <w:rsid w:val="00E52ADD"/>
    <w:pPr>
      <w:ind w:left="720"/>
      <w:contextualSpacing/>
      <w:jc w:val="left"/>
    </w:pPr>
    <w:rPr>
      <w:sz w:val="24"/>
      <w:szCs w:val="24"/>
      <w:lang w:val="en-US"/>
    </w:rPr>
  </w:style>
  <w:style w:type="paragraph" w:customStyle="1" w:styleId="xl73">
    <w:name w:val="xl73"/>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4">
    <w:name w:val="xl7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5">
    <w:name w:val="xl75"/>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6">
    <w:name w:val="xl76"/>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77">
    <w:name w:val="xl77"/>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8">
    <w:name w:val="xl78"/>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9">
    <w:name w:val="xl79"/>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US"/>
    </w:rPr>
  </w:style>
  <w:style w:type="paragraph" w:customStyle="1" w:styleId="xl80">
    <w:name w:val="xl80"/>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1">
    <w:name w:val="xl81"/>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2">
    <w:name w:val="xl8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3">
    <w:name w:val="xl83"/>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84">
    <w:name w:val="xl8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n-US"/>
    </w:rPr>
  </w:style>
  <w:style w:type="paragraph" w:customStyle="1" w:styleId="xl85">
    <w:name w:val="xl85"/>
    <w:basedOn w:val="Normal"/>
    <w:rsid w:val="00E52ADD"/>
    <w:pPr>
      <w:spacing w:before="100" w:beforeAutospacing="1" w:after="100" w:afterAutospacing="1"/>
      <w:jc w:val="left"/>
    </w:pPr>
    <w:rPr>
      <w:sz w:val="16"/>
      <w:szCs w:val="16"/>
      <w:lang w:val="en-US"/>
    </w:rPr>
  </w:style>
  <w:style w:type="paragraph" w:customStyle="1" w:styleId="xl86">
    <w:name w:val="xl86"/>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7">
    <w:name w:val="xl87"/>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88">
    <w:name w:val="xl88"/>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89">
    <w:name w:val="xl89"/>
    <w:basedOn w:val="Normal"/>
    <w:rsid w:val="00E52ADD"/>
    <w:pPr>
      <w:spacing w:before="100" w:beforeAutospacing="1" w:after="100" w:afterAutospacing="1"/>
      <w:jc w:val="left"/>
    </w:pPr>
    <w:rPr>
      <w:sz w:val="16"/>
      <w:szCs w:val="16"/>
      <w:lang w:val="en-US"/>
    </w:rPr>
  </w:style>
  <w:style w:type="paragraph" w:customStyle="1" w:styleId="xl90">
    <w:name w:val="xl90"/>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91">
    <w:name w:val="xl91"/>
    <w:basedOn w:val="Normal"/>
    <w:rsid w:val="00E52ADD"/>
    <w:pPr>
      <w:spacing w:before="100" w:beforeAutospacing="1" w:after="100" w:afterAutospacing="1"/>
      <w:jc w:val="left"/>
    </w:pPr>
    <w:rPr>
      <w:sz w:val="16"/>
      <w:szCs w:val="16"/>
      <w:lang w:val="en-US"/>
    </w:rPr>
  </w:style>
  <w:style w:type="paragraph" w:customStyle="1" w:styleId="xl92">
    <w:name w:val="xl9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n-US"/>
    </w:rPr>
  </w:style>
  <w:style w:type="paragraph" w:customStyle="1" w:styleId="xl72">
    <w:name w:val="xl72"/>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eastAsia="en-CA"/>
    </w:rPr>
  </w:style>
  <w:style w:type="paragraph" w:customStyle="1" w:styleId="xl70">
    <w:name w:val="xl70"/>
    <w:basedOn w:val="Normal"/>
    <w:rsid w:val="00E52ADD"/>
    <w:pPr>
      <w:spacing w:before="100" w:beforeAutospacing="1" w:after="100" w:afterAutospacing="1"/>
      <w:jc w:val="center"/>
      <w:textAlignment w:val="top"/>
    </w:pPr>
    <w:rPr>
      <w:b/>
      <w:bCs/>
      <w:sz w:val="16"/>
      <w:szCs w:val="16"/>
      <w:lang w:eastAsia="en-CA"/>
    </w:rPr>
  </w:style>
  <w:style w:type="paragraph" w:customStyle="1" w:styleId="xl71">
    <w:name w:val="xl71"/>
    <w:basedOn w:val="Normal"/>
    <w:rsid w:val="00E52ADD"/>
    <w:pPr>
      <w:spacing w:before="100" w:beforeAutospacing="1" w:after="100" w:afterAutospacing="1"/>
      <w:jc w:val="left"/>
    </w:pPr>
    <w:rPr>
      <w:sz w:val="16"/>
      <w:szCs w:val="16"/>
      <w:lang w:eastAsia="en-CA"/>
    </w:rPr>
  </w:style>
  <w:style w:type="paragraph" w:customStyle="1" w:styleId="xl93">
    <w:name w:val="xl93"/>
    <w:basedOn w:val="Normal"/>
    <w:rsid w:val="00E52ADD"/>
    <w:pPr>
      <w:spacing w:before="100" w:beforeAutospacing="1" w:after="100" w:afterAutospacing="1"/>
      <w:jc w:val="left"/>
    </w:pPr>
    <w:rPr>
      <w:b/>
      <w:bCs/>
      <w:sz w:val="24"/>
      <w:szCs w:val="24"/>
      <w:lang w:eastAsia="en-CA"/>
    </w:rPr>
  </w:style>
  <w:style w:type="paragraph" w:customStyle="1" w:styleId="a--">
    <w:name w:val="a-(-)"/>
    <w:basedOn w:val="Normal"/>
    <w:rsid w:val="00E52ADD"/>
    <w:pPr>
      <w:tabs>
        <w:tab w:val="left" w:pos="-720"/>
        <w:tab w:val="left" w:pos="0"/>
        <w:tab w:val="left" w:pos="720"/>
        <w:tab w:val="left" w:pos="1440"/>
        <w:tab w:val="left" w:pos="2160"/>
        <w:tab w:val="left" w:pos="2880"/>
        <w:tab w:val="left" w:pos="3600"/>
      </w:tabs>
      <w:suppressAutoHyphens/>
    </w:pPr>
    <w:rPr>
      <w:b/>
      <w:bCs/>
      <w:sz w:val="24"/>
      <w:szCs w:val="24"/>
      <w:lang w:val="en-GB" w:eastAsia="fr-FR"/>
    </w:rPr>
  </w:style>
  <w:style w:type="numbering" w:customStyle="1" w:styleId="NoList1">
    <w:name w:val="No List1"/>
    <w:next w:val="NoList"/>
    <w:uiPriority w:val="99"/>
    <w:semiHidden/>
    <w:unhideWhenUsed/>
    <w:rsid w:val="00E52ADD"/>
  </w:style>
  <w:style w:type="paragraph" w:customStyle="1" w:styleId="xl94">
    <w:name w:val="xl94"/>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US"/>
    </w:rPr>
  </w:style>
  <w:style w:type="paragraph" w:customStyle="1" w:styleId="xl95">
    <w:name w:val="xl95"/>
    <w:basedOn w:val="Normal"/>
    <w:rsid w:val="00E52A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US"/>
    </w:rPr>
  </w:style>
  <w:style w:type="paragraph" w:customStyle="1" w:styleId="xl96">
    <w:name w:val="xl96"/>
    <w:basedOn w:val="Normal"/>
    <w:rsid w:val="00E52ADD"/>
    <w:pPr>
      <w:spacing w:before="100" w:beforeAutospacing="1" w:after="100" w:afterAutospacing="1"/>
      <w:jc w:val="left"/>
      <w:textAlignment w:val="top"/>
    </w:pPr>
    <w:rPr>
      <w:sz w:val="24"/>
      <w:szCs w:val="24"/>
      <w:lang w:val="en-US"/>
    </w:rPr>
  </w:style>
  <w:style w:type="paragraph" w:styleId="Revision">
    <w:name w:val="Revision"/>
    <w:hidden/>
    <w:uiPriority w:val="99"/>
    <w:semiHidden/>
    <w:rsid w:val="00E52ADD"/>
    <w:rPr>
      <w:sz w:val="22"/>
      <w:szCs w:val="22"/>
      <w:lang w:val="en-GB"/>
    </w:rPr>
  </w:style>
  <w:style w:type="paragraph" w:styleId="EndnoteText">
    <w:name w:val="endnote text"/>
    <w:basedOn w:val="Normal"/>
    <w:link w:val="EndnoteTextChar"/>
    <w:uiPriority w:val="99"/>
    <w:semiHidden/>
    <w:unhideWhenUsed/>
    <w:rsid w:val="00E367FB"/>
    <w:rPr>
      <w:sz w:val="20"/>
      <w:szCs w:val="20"/>
    </w:rPr>
  </w:style>
  <w:style w:type="character" w:customStyle="1" w:styleId="EndnoteTextChar">
    <w:name w:val="Endnote Text Char"/>
    <w:basedOn w:val="DefaultParagraphFont"/>
    <w:link w:val="EndnoteText"/>
    <w:uiPriority w:val="99"/>
    <w:semiHidden/>
    <w:rsid w:val="00E367FB"/>
    <w:rPr>
      <w:lang w:val="en-CA"/>
    </w:rPr>
  </w:style>
  <w:style w:type="character" w:styleId="EndnoteReference">
    <w:name w:val="endnote reference"/>
    <w:basedOn w:val="DefaultParagraphFont"/>
    <w:uiPriority w:val="99"/>
    <w:semiHidden/>
    <w:unhideWhenUsed/>
    <w:rsid w:val="00E36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074">
      <w:bodyDiv w:val="1"/>
      <w:marLeft w:val="0"/>
      <w:marRight w:val="0"/>
      <w:marTop w:val="0"/>
      <w:marBottom w:val="0"/>
      <w:divBdr>
        <w:top w:val="none" w:sz="0" w:space="0" w:color="auto"/>
        <w:left w:val="none" w:sz="0" w:space="0" w:color="auto"/>
        <w:bottom w:val="none" w:sz="0" w:space="0" w:color="auto"/>
        <w:right w:val="none" w:sz="0" w:space="0" w:color="auto"/>
      </w:divBdr>
    </w:div>
    <w:div w:id="205800133">
      <w:bodyDiv w:val="1"/>
      <w:marLeft w:val="0"/>
      <w:marRight w:val="0"/>
      <w:marTop w:val="0"/>
      <w:marBottom w:val="0"/>
      <w:divBdr>
        <w:top w:val="none" w:sz="0" w:space="0" w:color="auto"/>
        <w:left w:val="none" w:sz="0" w:space="0" w:color="auto"/>
        <w:bottom w:val="none" w:sz="0" w:space="0" w:color="auto"/>
        <w:right w:val="none" w:sz="0" w:space="0" w:color="auto"/>
      </w:divBdr>
    </w:div>
    <w:div w:id="397827042">
      <w:bodyDiv w:val="1"/>
      <w:marLeft w:val="0"/>
      <w:marRight w:val="0"/>
      <w:marTop w:val="0"/>
      <w:marBottom w:val="0"/>
      <w:divBdr>
        <w:top w:val="none" w:sz="0" w:space="0" w:color="auto"/>
        <w:left w:val="none" w:sz="0" w:space="0" w:color="auto"/>
        <w:bottom w:val="none" w:sz="0" w:space="0" w:color="auto"/>
        <w:right w:val="none" w:sz="0" w:space="0" w:color="auto"/>
      </w:divBdr>
    </w:div>
    <w:div w:id="489175738">
      <w:bodyDiv w:val="1"/>
      <w:marLeft w:val="0"/>
      <w:marRight w:val="0"/>
      <w:marTop w:val="0"/>
      <w:marBottom w:val="0"/>
      <w:divBdr>
        <w:top w:val="none" w:sz="0" w:space="0" w:color="auto"/>
        <w:left w:val="none" w:sz="0" w:space="0" w:color="auto"/>
        <w:bottom w:val="none" w:sz="0" w:space="0" w:color="auto"/>
        <w:right w:val="none" w:sz="0" w:space="0" w:color="auto"/>
      </w:divBdr>
    </w:div>
    <w:div w:id="684594595">
      <w:bodyDiv w:val="1"/>
      <w:marLeft w:val="0"/>
      <w:marRight w:val="0"/>
      <w:marTop w:val="0"/>
      <w:marBottom w:val="0"/>
      <w:divBdr>
        <w:top w:val="none" w:sz="0" w:space="0" w:color="auto"/>
        <w:left w:val="none" w:sz="0" w:space="0" w:color="auto"/>
        <w:bottom w:val="none" w:sz="0" w:space="0" w:color="auto"/>
        <w:right w:val="none" w:sz="0" w:space="0" w:color="auto"/>
      </w:divBdr>
    </w:div>
    <w:div w:id="1017737834">
      <w:bodyDiv w:val="1"/>
      <w:marLeft w:val="0"/>
      <w:marRight w:val="0"/>
      <w:marTop w:val="0"/>
      <w:marBottom w:val="0"/>
      <w:divBdr>
        <w:top w:val="none" w:sz="0" w:space="0" w:color="auto"/>
        <w:left w:val="none" w:sz="0" w:space="0" w:color="auto"/>
        <w:bottom w:val="none" w:sz="0" w:space="0" w:color="auto"/>
        <w:right w:val="none" w:sz="0" w:space="0" w:color="auto"/>
      </w:divBdr>
    </w:div>
    <w:div w:id="1109355996">
      <w:bodyDiv w:val="1"/>
      <w:marLeft w:val="0"/>
      <w:marRight w:val="0"/>
      <w:marTop w:val="0"/>
      <w:marBottom w:val="0"/>
      <w:divBdr>
        <w:top w:val="none" w:sz="0" w:space="0" w:color="auto"/>
        <w:left w:val="none" w:sz="0" w:space="0" w:color="auto"/>
        <w:bottom w:val="none" w:sz="0" w:space="0" w:color="auto"/>
        <w:right w:val="none" w:sz="0" w:space="0" w:color="auto"/>
      </w:divBdr>
    </w:div>
    <w:div w:id="1344749055">
      <w:bodyDiv w:val="1"/>
      <w:marLeft w:val="0"/>
      <w:marRight w:val="0"/>
      <w:marTop w:val="0"/>
      <w:marBottom w:val="0"/>
      <w:divBdr>
        <w:top w:val="none" w:sz="0" w:space="0" w:color="auto"/>
        <w:left w:val="none" w:sz="0" w:space="0" w:color="auto"/>
        <w:bottom w:val="none" w:sz="0" w:space="0" w:color="auto"/>
        <w:right w:val="none" w:sz="0" w:space="0" w:color="auto"/>
      </w:divBdr>
    </w:div>
    <w:div w:id="183877025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UNEP/OzL.Pro/ExCom/88/14</Document_x0020_Number>
  </documentManagement>
</p:properties>
</file>

<file path=customXml/itemProps1.xml><?xml version="1.0" encoding="utf-8"?>
<ds:datastoreItem xmlns:ds="http://schemas.openxmlformats.org/officeDocument/2006/customXml" ds:itemID="{382285D2-5B21-4768-B219-D0C3D55875E3}"/>
</file>

<file path=customXml/itemProps2.xml><?xml version="1.0" encoding="utf-8"?>
<ds:datastoreItem xmlns:ds="http://schemas.openxmlformats.org/officeDocument/2006/customXml" ds:itemID="{9D4F51B1-DA1C-485B-A1FF-81445A1341CF}"/>
</file>

<file path=customXml/itemProps3.xml><?xml version="1.0" encoding="utf-8"?>
<ds:datastoreItem xmlns:ds="http://schemas.openxmlformats.org/officeDocument/2006/customXml" ds:itemID="{112B9F5D-402A-405D-B63B-6EA8887E6CA3}"/>
</file>

<file path=customXml/itemProps4.xml><?xml version="1.0" encoding="utf-8"?>
<ds:datastoreItem xmlns:ds="http://schemas.openxmlformats.org/officeDocument/2006/customXml" ds:itemID="{DCBF7A3C-BBEF-4000-8837-5857167BAF63}"/>
</file>

<file path=docProps/app.xml><?xml version="1.0" encoding="utf-8"?>
<Properties xmlns="http://schemas.openxmlformats.org/officeDocument/2006/extended-properties" xmlns:vt="http://schemas.openxmlformats.org/officeDocument/2006/docPropsVTypes">
  <Template>Eec88G</Template>
  <TotalTime>3</TotalTime>
  <Pages>13</Pages>
  <Words>4822</Words>
  <Characters>22791</Characters>
  <Application>Microsoft Office Word</Application>
  <DocSecurity>0</DocSecurity>
  <Lines>189</Lines>
  <Paragraphs>55</Paragraphs>
  <ScaleCrop>false</ScaleCrop>
  <HeadingPairs>
    <vt:vector size="2" baseType="variant">
      <vt:variant>
        <vt:lpstr>Title</vt:lpstr>
      </vt:variant>
      <vt:variant>
        <vt:i4>1</vt:i4>
      </vt:variant>
    </vt:vector>
  </HeadingPairs>
  <TitlesOfParts>
    <vt:vector size="1" baseType="lpstr">
      <vt:lpstr>Rapport périodique du PNUD au 31 décembre 2020</vt:lpstr>
    </vt:vector>
  </TitlesOfParts>
  <Company>UNMFS</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périodique du PNUD au 31 décembre 2020</dc:title>
  <dc:subject/>
  <dc:creator>Laura Duong</dc:creator>
  <cp:keywords/>
  <dc:description/>
  <cp:lastModifiedBy>HBE</cp:lastModifiedBy>
  <cp:revision>5</cp:revision>
  <cp:lastPrinted>2001-05-26T16:40:00Z</cp:lastPrinted>
  <dcterms:created xsi:type="dcterms:W3CDTF">2021-10-21T02:17:00Z</dcterms:created>
  <dcterms:modified xsi:type="dcterms:W3CDTF">2021-11-14T05:02:00Z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UNEP/OzL.Pro/ExCom/88/14</vt:lpwstr>
  </property>
  <property fmtid="{D5CDD505-2E9C-101B-9397-08002B2CF9AE}" pid="3" name="Revision date">
    <vt:lpwstr>18/10/2021</vt:lpwstr>
  </property>
  <property fmtid="{D5CDD505-2E9C-101B-9397-08002B2CF9AE}" pid="4" name="ContentTypeId">
    <vt:lpwstr>0x01010009F56DB39A5B9F46AA87ED0A960035E8</vt:lpwstr>
  </property>
</Properties>
</file>