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97"/>
        <w:gridCol w:w="4573"/>
        <w:gridCol w:w="3247"/>
      </w:tblGrid>
      <w:tr w:rsidR="00441083" w14:paraId="3BF08161" w14:textId="77777777" w:rsidTr="00591EB1">
        <w:trPr>
          <w:trHeight w:val="624"/>
        </w:trPr>
        <w:tc>
          <w:tcPr>
            <w:tcW w:w="6470" w:type="dxa"/>
            <w:gridSpan w:val="2"/>
            <w:tcBorders>
              <w:bottom w:val="single" w:sz="18" w:space="0" w:color="auto"/>
            </w:tcBorders>
          </w:tcPr>
          <w:p w14:paraId="534259D8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rFonts w:ascii="Univers" w:hAnsi="Univers"/>
                <w:b/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>NATIONS</w:t>
            </w:r>
          </w:p>
          <w:p w14:paraId="337DA18A" w14:textId="77777777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rPr>
                <w:sz w:val="28"/>
                <w:szCs w:val="28"/>
              </w:rPr>
            </w:pPr>
            <w:r>
              <w:rPr>
                <w:rFonts w:ascii="Univers" w:hAnsi="Univers"/>
                <w:b/>
                <w:sz w:val="28"/>
                <w:szCs w:val="28"/>
              </w:rPr>
              <w:t xml:space="preserve">UNIES </w:t>
            </w:r>
          </w:p>
        </w:tc>
        <w:tc>
          <w:tcPr>
            <w:tcW w:w="3247" w:type="dxa"/>
            <w:tcBorders>
              <w:bottom w:val="single" w:sz="18" w:space="0" w:color="auto"/>
            </w:tcBorders>
          </w:tcPr>
          <w:p w14:paraId="75AAFE73" w14:textId="77777777" w:rsidR="00441083" w:rsidRDefault="00E60D9C">
            <w:pPr>
              <w:tabs>
                <w:tab w:val="left" w:pos="3010"/>
              </w:tabs>
              <w:jc w:val="center"/>
              <w:rPr>
                <w:sz w:val="52"/>
                <w:szCs w:val="52"/>
              </w:rPr>
            </w:pPr>
            <w:r>
              <w:rPr>
                <w:rFonts w:ascii="Univers Bold" w:hAnsi="Univers Bold"/>
                <w:b/>
                <w:sz w:val="72"/>
                <w:lang w:val="fr-CA"/>
              </w:rPr>
              <w:t xml:space="preserve">          EP</w:t>
            </w:r>
          </w:p>
        </w:tc>
      </w:tr>
      <w:tr w:rsidR="00441083" w:rsidRPr="00251722" w14:paraId="2D54058A" w14:textId="77777777" w:rsidTr="00591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7"/>
        </w:trPr>
        <w:tc>
          <w:tcPr>
            <w:tcW w:w="189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14A04CF8" w14:textId="6475250E" w:rsidR="00441083" w:rsidRDefault="00591EB1">
            <w:pPr>
              <w:spacing w:before="12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0D71C7A5" wp14:editId="7DEA27E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767715</wp:posOffset>
                  </wp:positionV>
                  <wp:extent cx="800100" cy="705485"/>
                  <wp:effectExtent l="0" t="0" r="0" b="0"/>
                  <wp:wrapNone/>
                  <wp:docPr id="2" name="Picture 2" descr="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0" allowOverlap="1" wp14:anchorId="0F90969D" wp14:editId="21C1346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36195</wp:posOffset>
                  </wp:positionV>
                  <wp:extent cx="760809" cy="6762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09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73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EC99E11" w14:textId="77777777" w:rsidR="005B51D5" w:rsidRDefault="005B51D5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</w:p>
          <w:p w14:paraId="2130C5C6" w14:textId="0B0B625F" w:rsidR="00441083" w:rsidRDefault="00E60D9C">
            <w:pPr>
              <w:tabs>
                <w:tab w:val="left" w:pos="680"/>
                <w:tab w:val="left" w:pos="1360"/>
                <w:tab w:val="left" w:pos="2041"/>
                <w:tab w:val="left" w:pos="2721"/>
                <w:tab w:val="left" w:pos="3402"/>
                <w:tab w:val="left" w:pos="4082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uppressAutoHyphens/>
              <w:jc w:val="left"/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Programme des</w:t>
            </w:r>
          </w:p>
          <w:p w14:paraId="671FFEDD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r>
              <w:rPr>
                <w:rFonts w:ascii="Univers" w:hAnsi="Univers"/>
                <w:b/>
                <w:sz w:val="32"/>
                <w:lang w:val="fr-CA"/>
              </w:rPr>
              <w:t>Nations Unies pour</w:t>
            </w:r>
          </w:p>
          <w:p w14:paraId="51815E7E" w14:textId="77777777" w:rsidR="00441083" w:rsidRDefault="00E60D9C">
            <w:pPr>
              <w:rPr>
                <w:rFonts w:ascii="Univers" w:hAnsi="Univers"/>
                <w:b/>
                <w:sz w:val="32"/>
                <w:lang w:val="fr-CA"/>
              </w:rPr>
            </w:pPr>
            <w:proofErr w:type="gramStart"/>
            <w:r>
              <w:rPr>
                <w:rFonts w:ascii="Univers" w:hAnsi="Univers"/>
                <w:b/>
                <w:sz w:val="32"/>
                <w:lang w:val="fr-CA"/>
              </w:rPr>
              <w:t>l’environnement</w:t>
            </w:r>
            <w:proofErr w:type="gramEnd"/>
          </w:p>
          <w:p w14:paraId="6B12EB6D" w14:textId="77777777" w:rsidR="00441083" w:rsidRDefault="00E60D9C">
            <w:pPr>
              <w:spacing w:before="720"/>
              <w:ind w:left="158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1372B75" w14:textId="77777777" w:rsidR="005B51D5" w:rsidRDefault="005B51D5">
            <w:pPr>
              <w:rPr>
                <w:lang w:val="fr-FR"/>
              </w:rPr>
            </w:pPr>
          </w:p>
          <w:p w14:paraId="2B63C9E6" w14:textId="18885525" w:rsidR="00441083" w:rsidRPr="00DD3433" w:rsidRDefault="00E60D9C">
            <w:pPr>
              <w:rPr>
                <w:lang w:val="fr-FR"/>
              </w:rPr>
            </w:pPr>
            <w:proofErr w:type="spellStart"/>
            <w:r w:rsidRPr="00DD3433">
              <w:rPr>
                <w:lang w:val="fr-FR"/>
              </w:rPr>
              <w:t>Distr</w:t>
            </w:r>
            <w:proofErr w:type="spellEnd"/>
            <w:r w:rsidRPr="00DD3433">
              <w:rPr>
                <w:lang w:val="fr-FR"/>
              </w:rPr>
              <w:t>.</w:t>
            </w:r>
          </w:p>
          <w:p w14:paraId="2E45361A" w14:textId="77777777" w:rsidR="00441083" w:rsidRPr="00DD3433" w:rsidRDefault="00E60D9C" w:rsidP="00DD3433">
            <w:pPr>
              <w:rPr>
                <w:lang w:val="fr-FR"/>
              </w:rPr>
            </w:pPr>
            <w:r w:rsidRPr="00DD3433">
              <w:rPr>
                <w:lang w:val="fr-FR"/>
              </w:rPr>
              <w:t>G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N</w:t>
            </w:r>
            <w:r w:rsidR="00DD3433" w:rsidRPr="00DD3433">
              <w:rPr>
                <w:lang w:val="fr-FR"/>
              </w:rPr>
              <w:t>É</w:t>
            </w:r>
            <w:r w:rsidRPr="00DD3433">
              <w:rPr>
                <w:lang w:val="fr-FR"/>
              </w:rPr>
              <w:t>RAL</w:t>
            </w:r>
            <w:r w:rsidR="00FF3CF1" w:rsidRPr="00DD3433">
              <w:rPr>
                <w:lang w:val="fr-FR"/>
              </w:rPr>
              <w:t>E</w:t>
            </w:r>
          </w:p>
          <w:p w14:paraId="30394A1B" w14:textId="77777777" w:rsidR="00441083" w:rsidRPr="00DD3433" w:rsidRDefault="00441083">
            <w:pPr>
              <w:rPr>
                <w:lang w:val="fr-FR"/>
              </w:rPr>
            </w:pPr>
          </w:p>
          <w:p w14:paraId="73DEAADB" w14:textId="214AD073" w:rsidR="00251722" w:rsidRPr="005B51D5" w:rsidRDefault="00251722" w:rsidP="00C9547D">
            <w:pPr>
              <w:rPr>
                <w:lang w:val="fr-CA"/>
              </w:rPr>
            </w:pPr>
            <w:r>
              <w:fldChar w:fldCharType="begin"/>
            </w:r>
            <w:r w:rsidRPr="00251722">
              <w:rPr>
                <w:lang w:val="fr-FR"/>
              </w:rPr>
              <w:instrText xml:space="preserve"> DOCPROPERTY "Document number"  \* MERGEFORMAT </w:instrText>
            </w:r>
            <w:r>
              <w:fldChar w:fldCharType="separate"/>
            </w:r>
            <w:r w:rsidR="00591EB1">
              <w:rPr>
                <w:lang w:val="fr-FR"/>
              </w:rPr>
              <w:t>UNEP/</w:t>
            </w:r>
            <w:proofErr w:type="spellStart"/>
            <w:r w:rsidR="00591EB1">
              <w:rPr>
                <w:lang w:val="fr-FR"/>
              </w:rPr>
              <w:t>OzL.Pro</w:t>
            </w:r>
            <w:proofErr w:type="spellEnd"/>
            <w:r w:rsidR="00591EB1">
              <w:rPr>
                <w:lang w:val="fr-FR"/>
              </w:rPr>
              <w:t>/</w:t>
            </w:r>
            <w:proofErr w:type="spellStart"/>
            <w:r w:rsidR="00591EB1">
              <w:rPr>
                <w:lang w:val="fr-FR"/>
              </w:rPr>
              <w:t>ExCom</w:t>
            </w:r>
            <w:proofErr w:type="spellEnd"/>
            <w:r w:rsidR="00591EB1">
              <w:rPr>
                <w:lang w:val="fr-FR"/>
              </w:rPr>
              <w:t>/88/6</w:t>
            </w:r>
            <w:r>
              <w:fldChar w:fldCharType="end"/>
            </w:r>
          </w:p>
          <w:p w14:paraId="4CCACC2E" w14:textId="03912FAD" w:rsidR="002F0B57" w:rsidRPr="00251722" w:rsidRDefault="002F0B57" w:rsidP="00C9547D">
            <w:pPr>
              <w:rPr>
                <w:lang w:val="fr-FR"/>
              </w:rPr>
            </w:pPr>
            <w:r>
              <w:fldChar w:fldCharType="begin"/>
            </w:r>
            <w:r w:rsidRPr="00251722">
              <w:rPr>
                <w:lang w:val="fr-FR"/>
              </w:rPr>
              <w:instrText xml:space="preserve"> DOCPROPERTY "Revision date" \@ "d MMMM YYYY"  \* MERGEFORMAT </w:instrText>
            </w:r>
            <w:r>
              <w:fldChar w:fldCharType="separate"/>
            </w:r>
            <w:r w:rsidR="00C72AAC" w:rsidRPr="00251722">
              <w:rPr>
                <w:lang w:val="fr-FR"/>
              </w:rPr>
              <w:t>8 novembre</w:t>
            </w:r>
            <w:r w:rsidR="00B43F82" w:rsidRPr="00251722">
              <w:rPr>
                <w:lang w:val="fr-FR"/>
              </w:rPr>
              <w:t xml:space="preserve"> 2021</w:t>
            </w:r>
            <w:r>
              <w:fldChar w:fldCharType="end"/>
            </w:r>
          </w:p>
          <w:p w14:paraId="1B07E21F" w14:textId="77777777" w:rsidR="00441083" w:rsidRDefault="00FC5578">
            <w:pPr>
              <w:rPr>
                <w:caps/>
                <w:lang w:val="fr-FR"/>
              </w:rPr>
            </w:pPr>
            <w:r w:rsidRPr="00251722">
              <w:rPr>
                <w:caps/>
                <w:lang w:val="fr-FR"/>
              </w:rPr>
              <w:br/>
            </w:r>
            <w:r w:rsidR="00E60D9C">
              <w:rPr>
                <w:caps/>
                <w:lang w:val="fr-FR"/>
              </w:rPr>
              <w:t>FRANÇAIS</w:t>
            </w:r>
          </w:p>
          <w:p w14:paraId="187A77D6" w14:textId="77777777" w:rsidR="00441083" w:rsidRPr="00702256" w:rsidRDefault="00E60D9C">
            <w:pPr>
              <w:rPr>
                <w:lang w:val="fr-CA"/>
              </w:rPr>
            </w:pPr>
            <w:r w:rsidRPr="00702256">
              <w:rPr>
                <w:lang w:val="fr-CA"/>
              </w:rPr>
              <w:t xml:space="preserve">ORIGINAL: </w:t>
            </w:r>
            <w:r w:rsidR="0091161A" w:rsidRPr="00702256">
              <w:rPr>
                <w:lang w:val="fr-CA"/>
              </w:rPr>
              <w:t>ANGLAIS</w:t>
            </w:r>
          </w:p>
        </w:tc>
      </w:tr>
    </w:tbl>
    <w:p w14:paraId="48416F14" w14:textId="77777777" w:rsidR="00441083" w:rsidRDefault="00E60D9C" w:rsidP="009F6617">
      <w:pPr>
        <w:jc w:val="left"/>
        <w:rPr>
          <w:lang w:val="fr-CA"/>
        </w:rPr>
      </w:pPr>
      <w:r>
        <w:rPr>
          <w:lang w:val="fr-CA"/>
        </w:rPr>
        <w:t>COMIT</w:t>
      </w:r>
      <w:r w:rsidR="00DD3433">
        <w:rPr>
          <w:lang w:val="fr-CA"/>
        </w:rPr>
        <w:t>É</w:t>
      </w:r>
      <w:r>
        <w:rPr>
          <w:lang w:val="fr-CA"/>
        </w:rPr>
        <w:t xml:space="preserve"> EX</w:t>
      </w:r>
      <w:r w:rsidR="00DD3433">
        <w:rPr>
          <w:lang w:val="fr-CA"/>
        </w:rPr>
        <w:t xml:space="preserve">ÉCUTIF </w:t>
      </w:r>
      <w:r w:rsidR="00DD3433">
        <w:rPr>
          <w:lang w:val="fr-CA"/>
        </w:rPr>
        <w:br/>
        <w:t xml:space="preserve">  DU FONDS MULTILATÉ</w:t>
      </w:r>
      <w:r>
        <w:rPr>
          <w:lang w:val="fr-CA"/>
        </w:rPr>
        <w:t xml:space="preserve">RAL AUX FINS </w:t>
      </w:r>
      <w:r>
        <w:rPr>
          <w:lang w:val="fr-CA"/>
        </w:rPr>
        <w:br/>
        <w:t xml:space="preserve">  D’APPLICATION DU PROTOCOLE DE MONTR</w:t>
      </w:r>
      <w:r w:rsidR="00DD3433">
        <w:rPr>
          <w:lang w:val="fr-CA"/>
        </w:rPr>
        <w:t>É</w:t>
      </w:r>
      <w:r>
        <w:rPr>
          <w:lang w:val="fr-CA"/>
        </w:rPr>
        <w:t>AL</w:t>
      </w:r>
      <w:r>
        <w:rPr>
          <w:lang w:val="fr-CA"/>
        </w:rPr>
        <w:br/>
      </w:r>
      <w:r w:rsidR="00E54871">
        <w:rPr>
          <w:lang w:val="fr-CA"/>
        </w:rPr>
        <w:t>Quatre</w:t>
      </w:r>
      <w:r>
        <w:rPr>
          <w:lang w:val="fr-CA"/>
        </w:rPr>
        <w:t>-</w:t>
      </w:r>
      <w:r w:rsidR="00E54871">
        <w:rPr>
          <w:lang w:val="fr-CA"/>
        </w:rPr>
        <w:t>vingt</w:t>
      </w:r>
      <w:r w:rsidR="00AE63D8">
        <w:rPr>
          <w:lang w:val="fr-CA"/>
        </w:rPr>
        <w:t>-</w:t>
      </w:r>
      <w:r w:rsidR="009F6617">
        <w:rPr>
          <w:lang w:val="fr-CA"/>
        </w:rPr>
        <w:t>huit</w:t>
      </w:r>
      <w:r w:rsidR="004C2C87">
        <w:rPr>
          <w:lang w:val="fr-CA"/>
        </w:rPr>
        <w:t>i</w:t>
      </w:r>
      <w:r w:rsidR="00E54871">
        <w:rPr>
          <w:lang w:val="fr-CA"/>
        </w:rPr>
        <w:t>ème</w:t>
      </w:r>
      <w:r w:rsidR="00FC5578" w:rsidRPr="00FC5578">
        <w:rPr>
          <w:lang w:val="fr-CA"/>
        </w:rPr>
        <w:t xml:space="preserve"> </w:t>
      </w:r>
      <w:r>
        <w:rPr>
          <w:lang w:val="fr-CA"/>
        </w:rPr>
        <w:t>réunion</w:t>
      </w:r>
    </w:p>
    <w:p w14:paraId="114F3B18" w14:textId="77777777" w:rsidR="00441083" w:rsidRDefault="00E54871" w:rsidP="009F6617">
      <w:pPr>
        <w:jc w:val="left"/>
        <w:rPr>
          <w:lang w:val="fr-CA"/>
        </w:rPr>
      </w:pPr>
      <w:r>
        <w:rPr>
          <w:lang w:val="fr-CA"/>
        </w:rPr>
        <w:t>Montr</w:t>
      </w:r>
      <w:r w:rsidRPr="009F6617">
        <w:rPr>
          <w:lang w:val="fr-CA"/>
        </w:rPr>
        <w:t>é</w:t>
      </w:r>
      <w:r>
        <w:rPr>
          <w:lang w:val="fr-CA"/>
        </w:rPr>
        <w:t>al,</w:t>
      </w:r>
      <w:r w:rsidR="00FC5578">
        <w:rPr>
          <w:lang w:val="fr-CA"/>
        </w:rPr>
        <w:t xml:space="preserve"> </w:t>
      </w:r>
      <w:r w:rsidR="009F6617">
        <w:rPr>
          <w:lang w:val="fr-CA"/>
        </w:rPr>
        <w:t>15</w:t>
      </w:r>
      <w:r w:rsidR="00AC013C">
        <w:rPr>
          <w:lang w:val="fr-CA"/>
        </w:rPr>
        <w:t xml:space="preserve"> </w:t>
      </w:r>
      <w:r w:rsidR="00E60D9C">
        <w:rPr>
          <w:lang w:val="fr-CA"/>
        </w:rPr>
        <w:t xml:space="preserve">– </w:t>
      </w:r>
      <w:r w:rsidR="009F6617">
        <w:rPr>
          <w:lang w:val="fr-CA"/>
        </w:rPr>
        <w:t>19 novembre</w:t>
      </w:r>
      <w:r w:rsidR="004C2C87">
        <w:rPr>
          <w:lang w:val="fr-CA"/>
        </w:rPr>
        <w:t xml:space="preserve"> 20</w:t>
      </w:r>
      <w:r w:rsidR="002C06D4">
        <w:rPr>
          <w:lang w:val="fr-CA"/>
        </w:rPr>
        <w:t>2</w:t>
      </w:r>
      <w:r w:rsidR="004C2C87">
        <w:rPr>
          <w:lang w:val="fr-CA"/>
        </w:rPr>
        <w:t>1</w:t>
      </w:r>
      <w:r w:rsidR="002C06D4">
        <w:rPr>
          <w:rStyle w:val="FootnoteReference"/>
          <w:lang w:val="fr-CA"/>
        </w:rPr>
        <w:footnoteReference w:id="1"/>
      </w:r>
    </w:p>
    <w:p w14:paraId="390DD8AE" w14:textId="647CE62E" w:rsidR="00441083" w:rsidRDefault="00441083" w:rsidP="0022042A">
      <w:pPr>
        <w:pStyle w:val="Title1"/>
        <w:jc w:val="both"/>
        <w:rPr>
          <w:lang w:val="fr-FR"/>
        </w:rPr>
      </w:pPr>
    </w:p>
    <w:p w14:paraId="26975CD0" w14:textId="77777777" w:rsidR="005B51D5" w:rsidRDefault="005B51D5" w:rsidP="0022042A">
      <w:pPr>
        <w:pStyle w:val="Title1"/>
        <w:jc w:val="both"/>
        <w:rPr>
          <w:lang w:val="fr-FR"/>
        </w:rPr>
      </w:pPr>
    </w:p>
    <w:p w14:paraId="633E6F8A" w14:textId="77777777" w:rsidR="00441083" w:rsidRDefault="00441083">
      <w:pPr>
        <w:pStyle w:val="Title1"/>
        <w:rPr>
          <w:lang w:val="fr-FR"/>
        </w:rPr>
      </w:pPr>
    </w:p>
    <w:p w14:paraId="1A49CEFE" w14:textId="3F95E5E0" w:rsidR="0022042A" w:rsidRDefault="00251722" w:rsidP="00251722">
      <w:pPr>
        <w:spacing w:after="24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RAPPROCHEMENT DES COMPTES DE 2020</w:t>
      </w:r>
    </w:p>
    <w:p w14:paraId="74A0A846" w14:textId="77777777" w:rsidR="005B51D5" w:rsidRDefault="005B51D5" w:rsidP="00251722">
      <w:pPr>
        <w:spacing w:after="240"/>
        <w:jc w:val="center"/>
        <w:rPr>
          <w:lang w:val="fr-CA"/>
        </w:rPr>
      </w:pPr>
    </w:p>
    <w:p w14:paraId="70FA6315" w14:textId="41CC55AA" w:rsidR="00C72AAC" w:rsidRDefault="00C72AAC" w:rsidP="00251722">
      <w:pPr>
        <w:pStyle w:val="StyleHeading1Para1Heading1CharHeading1Char3CharHeadin"/>
        <w:numPr>
          <w:ilvl w:val="0"/>
          <w:numId w:val="1"/>
        </w:numPr>
        <w:tabs>
          <w:tab w:val="clear" w:pos="0"/>
          <w:tab w:val="clear" w:pos="720"/>
          <w:tab w:val="left" w:pos="567"/>
        </w:tabs>
        <w:rPr>
          <w:lang w:val="fr-CA"/>
        </w:rPr>
      </w:pPr>
      <w:r>
        <w:rPr>
          <w:lang w:val="fr-CA"/>
        </w:rPr>
        <w:t xml:space="preserve">Le présent document a été préparé en collaboration avec le Trésorier et les agences d’exécution (AE) </w:t>
      </w:r>
      <w:r w:rsidR="00CE6044">
        <w:rPr>
          <w:lang w:val="fr-CA"/>
        </w:rPr>
        <w:t xml:space="preserve">pour donner suite </w:t>
      </w:r>
      <w:r>
        <w:rPr>
          <w:lang w:val="fr-CA"/>
        </w:rPr>
        <w:t>à la décision 38/9(d)</w:t>
      </w:r>
      <w:r>
        <w:rPr>
          <w:rStyle w:val="FootnoteReference"/>
          <w:lang w:val="fr-CA"/>
        </w:rPr>
        <w:footnoteReference w:id="2"/>
      </w:r>
      <w:r>
        <w:rPr>
          <w:lang w:val="fr-CA"/>
        </w:rPr>
        <w:t>.  Il présente le rapprochement des revenus inscrits dans les comptes finaux de 2020</w:t>
      </w:r>
      <w:r w:rsidR="00072BEB">
        <w:rPr>
          <w:lang w:val="fr-CA"/>
        </w:rPr>
        <w:t>,</w:t>
      </w:r>
      <w:r>
        <w:rPr>
          <w:lang w:val="fr-CA"/>
        </w:rPr>
        <w:t xml:space="preserve"> avec les données financières </w:t>
      </w:r>
      <w:r w:rsidR="00202115">
        <w:rPr>
          <w:lang w:val="fr-CA"/>
        </w:rPr>
        <w:t>du</w:t>
      </w:r>
      <w:r>
        <w:rPr>
          <w:lang w:val="fr-CA"/>
        </w:rPr>
        <w:t xml:space="preserve"> rapport périodique de 2020 (rapport périodique) des AE et l’</w:t>
      </w:r>
      <w:r w:rsidR="00CE6044">
        <w:rPr>
          <w:lang w:val="fr-CA"/>
        </w:rPr>
        <w:t>I</w:t>
      </w:r>
      <w:r>
        <w:rPr>
          <w:lang w:val="fr-CA"/>
        </w:rPr>
        <w:t>nventaire des projets approuvés du Secrétariat (</w:t>
      </w:r>
      <w:r w:rsidR="00F61DD5">
        <w:rPr>
          <w:lang w:val="fr-CA"/>
        </w:rPr>
        <w:t>I</w:t>
      </w:r>
      <w:r>
        <w:rPr>
          <w:lang w:val="fr-CA"/>
        </w:rPr>
        <w:t xml:space="preserve">nventaire);les dépenses </w:t>
      </w:r>
      <w:r w:rsidR="00202115">
        <w:rPr>
          <w:lang w:val="fr-CA"/>
        </w:rPr>
        <w:t>déclarées</w:t>
      </w:r>
      <w:r>
        <w:rPr>
          <w:lang w:val="fr-CA"/>
        </w:rPr>
        <w:t xml:space="preserve"> dans les comptes finaux de 2020 et dans les rapports périodiques; et </w:t>
      </w:r>
      <w:r w:rsidR="00202115">
        <w:rPr>
          <w:lang w:val="fr-CA"/>
        </w:rPr>
        <w:t>d</w:t>
      </w:r>
      <w:r>
        <w:rPr>
          <w:lang w:val="fr-CA"/>
        </w:rPr>
        <w:t>e</w:t>
      </w:r>
      <w:r w:rsidR="00202115">
        <w:rPr>
          <w:lang w:val="fr-CA"/>
        </w:rPr>
        <w:t>s</w:t>
      </w:r>
      <w:r>
        <w:rPr>
          <w:lang w:val="fr-CA"/>
        </w:rPr>
        <w:t xml:space="preserve"> recommandation</w:t>
      </w:r>
      <w:r w:rsidR="00202115">
        <w:rPr>
          <w:lang w:val="fr-CA"/>
        </w:rPr>
        <w:t>s</w:t>
      </w:r>
      <w:r>
        <w:rPr>
          <w:lang w:val="fr-CA"/>
        </w:rPr>
        <w:t>.</w:t>
      </w:r>
    </w:p>
    <w:p w14:paraId="1DE5E028" w14:textId="34D26A1D" w:rsidR="00F61DD5" w:rsidRPr="00F61DD5" w:rsidRDefault="00F61DD5" w:rsidP="00251722">
      <w:pPr>
        <w:pStyle w:val="StyleHeading1Para1Heading1CharHeading1Char3CharHeadin"/>
        <w:tabs>
          <w:tab w:val="clear" w:pos="720"/>
          <w:tab w:val="left" w:pos="567"/>
        </w:tabs>
        <w:rPr>
          <w:b/>
          <w:bCs/>
          <w:lang w:val="fr-CA"/>
        </w:rPr>
      </w:pPr>
      <w:r>
        <w:rPr>
          <w:b/>
          <w:bCs/>
          <w:lang w:val="fr-CA"/>
        </w:rPr>
        <w:t>Rapprochement des revenus</w:t>
      </w:r>
    </w:p>
    <w:p w14:paraId="125E0ED6" w14:textId="4C41AC11" w:rsidR="00441083" w:rsidRDefault="00F61DD5" w:rsidP="00F61DD5">
      <w:pPr>
        <w:pStyle w:val="StyleHeading1Para1Heading1CharHeading1Char3CharHeadin"/>
        <w:numPr>
          <w:ilvl w:val="0"/>
          <w:numId w:val="1"/>
        </w:numPr>
        <w:tabs>
          <w:tab w:val="clear" w:pos="0"/>
          <w:tab w:val="clear" w:pos="720"/>
          <w:tab w:val="left" w:pos="567"/>
        </w:tabs>
        <w:rPr>
          <w:lang w:val="fr-CA"/>
        </w:rPr>
      </w:pPr>
      <w:r>
        <w:rPr>
          <w:lang w:val="fr-CA"/>
        </w:rPr>
        <w:t>Des écarts ont été constatés entre les rapports périodiques de 2020 et l’Inventaire</w:t>
      </w:r>
      <w:r w:rsidR="00C76F59">
        <w:rPr>
          <w:lang w:val="fr-CA"/>
        </w:rPr>
        <w:t xml:space="preserve">, </w:t>
      </w:r>
      <w:r>
        <w:rPr>
          <w:lang w:val="fr-CA"/>
        </w:rPr>
        <w:t xml:space="preserve">sauf pour l’ONUDI, </w:t>
      </w:r>
      <w:r w:rsidR="00221898">
        <w:rPr>
          <w:lang w:val="fr-CA"/>
        </w:rPr>
        <w:t xml:space="preserve">comme </w:t>
      </w:r>
      <w:r>
        <w:rPr>
          <w:lang w:val="fr-CA"/>
        </w:rPr>
        <w:t>l’indiqu</w:t>
      </w:r>
      <w:r w:rsidR="00221898">
        <w:rPr>
          <w:lang w:val="fr-CA"/>
        </w:rPr>
        <w:t>e</w:t>
      </w:r>
      <w:r>
        <w:rPr>
          <w:lang w:val="fr-CA"/>
        </w:rPr>
        <w:t xml:space="preserve"> le tableau 1.</w:t>
      </w:r>
    </w:p>
    <w:p w14:paraId="3B70CF1B" w14:textId="628AAA09" w:rsidR="0022042A" w:rsidRPr="0022042A" w:rsidRDefault="0022042A" w:rsidP="0022042A">
      <w:pPr>
        <w:rPr>
          <w:b/>
          <w:bCs/>
          <w:sz w:val="21"/>
          <w:szCs w:val="21"/>
          <w:lang w:val="fr-CA"/>
        </w:rPr>
      </w:pPr>
      <w:r w:rsidRPr="00C76F59">
        <w:rPr>
          <w:b/>
          <w:sz w:val="21"/>
          <w:szCs w:val="21"/>
          <w:lang w:val="fr-CA"/>
        </w:rPr>
        <w:t>Tableau 1</w:t>
      </w:r>
      <w:r w:rsidRPr="00C76F59">
        <w:rPr>
          <w:b/>
          <w:bCs/>
          <w:sz w:val="21"/>
          <w:szCs w:val="21"/>
          <w:lang w:val="fr-CA"/>
        </w:rPr>
        <w:t xml:space="preserve">. </w:t>
      </w:r>
      <w:r w:rsidRPr="0022042A">
        <w:rPr>
          <w:b/>
          <w:bCs/>
          <w:sz w:val="21"/>
          <w:szCs w:val="21"/>
          <w:lang w:val="fr-CA"/>
        </w:rPr>
        <w:t>Écarts entre les rapports périodiques de 2020 et l’Inventaire ($US)*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22042A" w:rsidRPr="00EE3DD2" w14:paraId="63B4EA29" w14:textId="77777777" w:rsidTr="002917C7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3BD" w14:textId="2451899D" w:rsidR="0022042A" w:rsidRPr="00EE3DD2" w:rsidRDefault="0022042A" w:rsidP="002917C7">
            <w:pPr>
              <w:jc w:val="left"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proofErr w:type="spellStart"/>
            <w:r w:rsidRPr="00EE3DD2">
              <w:rPr>
                <w:b/>
                <w:bCs/>
                <w:color w:val="000000"/>
                <w:sz w:val="21"/>
                <w:szCs w:val="21"/>
                <w:lang w:eastAsia="en-CA"/>
              </w:rPr>
              <w:t>Agenc</w:t>
            </w:r>
            <w:r>
              <w:rPr>
                <w:b/>
                <w:bCs/>
                <w:color w:val="000000"/>
                <w:sz w:val="21"/>
                <w:szCs w:val="21"/>
                <w:lang w:eastAsia="en-CA"/>
              </w:rPr>
              <w:t>e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6E0F" w14:textId="2B34C28A" w:rsidR="0022042A" w:rsidRPr="00EE3DD2" w:rsidRDefault="0022042A" w:rsidP="002917C7">
            <w:pPr>
              <w:jc w:val="center"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en-CA"/>
              </w:rPr>
              <w:t xml:space="preserve">Rapport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en-CA"/>
              </w:rPr>
              <w:t>périodique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0DCA" w14:textId="63A889C5" w:rsidR="0022042A" w:rsidRPr="00EE3DD2" w:rsidRDefault="0022042A" w:rsidP="002917C7">
            <w:pPr>
              <w:jc w:val="center"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proofErr w:type="spellStart"/>
            <w:r w:rsidRPr="00EE3DD2">
              <w:rPr>
                <w:b/>
                <w:bCs/>
                <w:color w:val="000000"/>
                <w:sz w:val="21"/>
                <w:szCs w:val="21"/>
                <w:lang w:eastAsia="en-CA"/>
              </w:rPr>
              <w:t>Invent</w:t>
            </w:r>
            <w:r>
              <w:rPr>
                <w:b/>
                <w:bCs/>
                <w:color w:val="000000"/>
                <w:sz w:val="21"/>
                <w:szCs w:val="21"/>
                <w:lang w:eastAsia="en-CA"/>
              </w:rPr>
              <w:t>aire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E24" w14:textId="2B382BBC" w:rsidR="0022042A" w:rsidRPr="00EE3DD2" w:rsidRDefault="0022042A" w:rsidP="002917C7">
            <w:pPr>
              <w:jc w:val="center"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proofErr w:type="spellStart"/>
            <w:r w:rsidRPr="00EE3DD2">
              <w:rPr>
                <w:b/>
                <w:bCs/>
                <w:color w:val="000000"/>
                <w:sz w:val="21"/>
                <w:szCs w:val="21"/>
                <w:lang w:eastAsia="en-CA"/>
              </w:rPr>
              <w:t>Diff</w:t>
            </w:r>
            <w:r>
              <w:rPr>
                <w:b/>
                <w:bCs/>
                <w:color w:val="000000"/>
                <w:sz w:val="21"/>
                <w:szCs w:val="21"/>
                <w:lang w:eastAsia="en-CA"/>
              </w:rPr>
              <w:t>é</w:t>
            </w:r>
            <w:r w:rsidRPr="00EE3DD2">
              <w:rPr>
                <w:b/>
                <w:bCs/>
                <w:color w:val="000000"/>
                <w:sz w:val="21"/>
                <w:szCs w:val="21"/>
                <w:lang w:eastAsia="en-CA"/>
              </w:rPr>
              <w:t>rence</w:t>
            </w:r>
            <w:proofErr w:type="spellEnd"/>
          </w:p>
        </w:tc>
      </w:tr>
      <w:tr w:rsidR="0022042A" w:rsidRPr="00087296" w14:paraId="12A0C204" w14:textId="77777777" w:rsidTr="002917C7"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13FE" w14:textId="71ABC0AE" w:rsidR="0022042A" w:rsidRPr="00087296" w:rsidRDefault="0022042A" w:rsidP="002917C7">
            <w:pPr>
              <w:rPr>
                <w:color w:val="000000"/>
                <w:sz w:val="21"/>
                <w:szCs w:val="21"/>
                <w:lang w:val="en-CA" w:eastAsia="en-CA"/>
              </w:rPr>
            </w:pPr>
            <w:r w:rsidRPr="00087296">
              <w:rPr>
                <w:color w:val="000000"/>
                <w:sz w:val="21"/>
                <w:szCs w:val="21"/>
                <w:lang w:eastAsia="en-CA"/>
              </w:rPr>
              <w:t>P</w:t>
            </w:r>
            <w:r>
              <w:rPr>
                <w:color w:val="000000"/>
                <w:sz w:val="21"/>
                <w:szCs w:val="21"/>
                <w:lang w:eastAsia="en-CA"/>
              </w:rPr>
              <w:t>NUD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3573BCBC" w14:textId="40DF9819" w:rsidR="0022042A" w:rsidRPr="00087296" w:rsidRDefault="0022042A" w:rsidP="002917C7">
            <w:pPr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978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980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478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341C3A62" w14:textId="64F26BAF" w:rsidR="0022042A" w:rsidRPr="00087296" w:rsidRDefault="0022042A" w:rsidP="002917C7">
            <w:pPr>
              <w:jc w:val="right"/>
              <w:rPr>
                <w:color w:val="000000"/>
                <w:sz w:val="21"/>
                <w:szCs w:val="21"/>
                <w:lang w:val="en-CA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978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973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732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39F8A362" w14:textId="1D88BED4" w:rsidR="0022042A" w:rsidRPr="00087296" w:rsidRDefault="0022042A" w:rsidP="002917C7">
            <w:pPr>
              <w:jc w:val="right"/>
              <w:rPr>
                <w:rFonts w:eastAsiaTheme="minorHAns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(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746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)</w:t>
            </w:r>
          </w:p>
        </w:tc>
      </w:tr>
      <w:tr w:rsidR="0022042A" w:rsidRPr="00087296" w14:paraId="17B5769A" w14:textId="77777777" w:rsidTr="002917C7"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02" w14:textId="61EF1420" w:rsidR="0022042A" w:rsidRPr="00087296" w:rsidRDefault="0022042A" w:rsidP="002917C7">
            <w:pPr>
              <w:rPr>
                <w:color w:val="000000"/>
                <w:sz w:val="21"/>
                <w:szCs w:val="21"/>
                <w:lang w:val="en-CA" w:eastAsia="en-CA"/>
              </w:rPr>
            </w:pPr>
            <w:r w:rsidRPr="00087296">
              <w:rPr>
                <w:color w:val="000000"/>
                <w:sz w:val="21"/>
                <w:szCs w:val="21"/>
                <w:lang w:eastAsia="en-CA"/>
              </w:rPr>
              <w:t>P</w:t>
            </w:r>
            <w:r>
              <w:rPr>
                <w:color w:val="000000"/>
                <w:sz w:val="21"/>
                <w:szCs w:val="21"/>
                <w:lang w:eastAsia="en-CA"/>
              </w:rPr>
              <w:t>NUE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7934C24C" w14:textId="50712C35" w:rsidR="0022042A" w:rsidRPr="00087296" w:rsidRDefault="0022042A" w:rsidP="002917C7">
            <w:pPr>
              <w:jc w:val="right"/>
              <w:rPr>
                <w:color w:val="000000"/>
                <w:sz w:val="21"/>
                <w:szCs w:val="21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376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218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780EDA10" w14:textId="580500B1" w:rsidR="0022042A" w:rsidRPr="00087296" w:rsidRDefault="0022042A" w:rsidP="002917C7">
            <w:pPr>
              <w:jc w:val="right"/>
              <w:rPr>
                <w:color w:val="000000"/>
                <w:sz w:val="21"/>
                <w:szCs w:val="21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376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213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665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6CD08CC6" w14:textId="7F1B8701" w:rsidR="0022042A" w:rsidRPr="00087296" w:rsidRDefault="0022042A" w:rsidP="002917C7">
            <w:pPr>
              <w:jc w:val="right"/>
              <w:rPr>
                <w:rFonts w:eastAsiaTheme="minorHAnsi"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(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4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723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)</w:t>
            </w:r>
          </w:p>
        </w:tc>
      </w:tr>
      <w:tr w:rsidR="0022042A" w:rsidRPr="00EE3DD2" w14:paraId="22A7A3BF" w14:textId="77777777" w:rsidTr="002917C7"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B05D" w14:textId="777E7B3F" w:rsidR="0022042A" w:rsidRPr="00087296" w:rsidRDefault="0022042A" w:rsidP="002917C7">
            <w:pPr>
              <w:rPr>
                <w:color w:val="000000"/>
                <w:sz w:val="21"/>
                <w:szCs w:val="21"/>
                <w:lang w:val="en-CA" w:eastAsia="en-CA"/>
              </w:rPr>
            </w:pPr>
            <w:r w:rsidRPr="00087296">
              <w:rPr>
                <w:color w:val="000000"/>
                <w:sz w:val="21"/>
                <w:szCs w:val="21"/>
                <w:lang w:eastAsia="en-CA"/>
              </w:rPr>
              <w:t>O</w:t>
            </w:r>
            <w:r>
              <w:rPr>
                <w:color w:val="000000"/>
                <w:sz w:val="21"/>
                <w:szCs w:val="21"/>
                <w:lang w:eastAsia="en-CA"/>
              </w:rPr>
              <w:t>NUDI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67E19F06" w14:textId="15ACAC23" w:rsidR="0022042A" w:rsidRPr="00087296" w:rsidRDefault="0022042A" w:rsidP="002917C7">
            <w:pPr>
              <w:jc w:val="right"/>
              <w:rPr>
                <w:color w:val="000000"/>
                <w:sz w:val="21"/>
                <w:szCs w:val="21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966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764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559E8EB5" w14:textId="206735E7" w:rsidR="0022042A" w:rsidRPr="00087296" w:rsidRDefault="0022042A" w:rsidP="002917C7">
            <w:pPr>
              <w:jc w:val="right"/>
              <w:rPr>
                <w:color w:val="000000"/>
                <w:sz w:val="21"/>
                <w:szCs w:val="21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966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764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3ED59450" w14:textId="77777777" w:rsidR="0022042A" w:rsidRPr="00087296" w:rsidRDefault="0022042A" w:rsidP="002917C7">
            <w:pPr>
              <w:jc w:val="right"/>
              <w:rPr>
                <w:rFonts w:eastAsiaTheme="minorHAnsi"/>
                <w:color w:val="000000"/>
                <w:sz w:val="21"/>
                <w:szCs w:val="21"/>
                <w:lang w:eastAsia="en-CA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0</w:t>
            </w:r>
          </w:p>
        </w:tc>
      </w:tr>
      <w:tr w:rsidR="0022042A" w:rsidRPr="00EE3DD2" w14:paraId="576CD7E5" w14:textId="77777777" w:rsidTr="002917C7"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9255" w14:textId="0659CCCC" w:rsidR="0022042A" w:rsidRPr="00EE3DD2" w:rsidRDefault="0022042A" w:rsidP="002917C7">
            <w:pPr>
              <w:rPr>
                <w:color w:val="000000"/>
                <w:sz w:val="21"/>
                <w:szCs w:val="21"/>
                <w:lang w:val="en-CA" w:eastAsia="en-C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en-CA"/>
              </w:rPr>
              <w:t>Banque</w:t>
            </w:r>
            <w:proofErr w:type="spellEnd"/>
            <w:r>
              <w:rPr>
                <w:color w:val="000000"/>
                <w:sz w:val="21"/>
                <w:szCs w:val="21"/>
                <w:lang w:eastAsia="en-CA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en-CA"/>
              </w:rPr>
              <w:t>mondiale</w:t>
            </w:r>
            <w:proofErr w:type="spellEnd"/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32978658" w14:textId="4490346E" w:rsidR="0022042A" w:rsidRPr="00EE3DD2" w:rsidRDefault="0022042A" w:rsidP="002917C7">
            <w:pPr>
              <w:jc w:val="right"/>
              <w:rPr>
                <w:color w:val="000000"/>
                <w:sz w:val="21"/>
                <w:szCs w:val="21"/>
              </w:rPr>
            </w:pP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1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279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437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910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7A09B209" w14:textId="65D5C891" w:rsidR="0022042A" w:rsidRPr="00EE3DD2" w:rsidRDefault="0022042A" w:rsidP="002917C7">
            <w:pPr>
              <w:jc w:val="right"/>
              <w:rPr>
                <w:color w:val="000000"/>
                <w:sz w:val="21"/>
                <w:szCs w:val="21"/>
              </w:rPr>
            </w:pP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1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279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447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96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16" w:type="dxa"/>
            </w:tcMar>
            <w:vAlign w:val="bottom"/>
          </w:tcPr>
          <w:p w14:paraId="60FFFBD4" w14:textId="3B5F5337" w:rsidR="0022042A" w:rsidRPr="00EE3DD2" w:rsidRDefault="0022042A" w:rsidP="002917C7">
            <w:pPr>
              <w:jc w:val="right"/>
              <w:rPr>
                <w:rFonts w:eastAsiaTheme="minorHAnsi"/>
                <w:color w:val="000000"/>
                <w:sz w:val="21"/>
                <w:szCs w:val="21"/>
                <w:lang w:eastAsia="en-CA"/>
              </w:rPr>
            </w:pP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10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EE3DD2">
              <w:rPr>
                <w:rFonts w:ascii="Times New Romant" w:hAnsi="Times New Romant" w:cs="Calibri"/>
                <w:color w:val="000000"/>
                <w:sz w:val="21"/>
                <w:szCs w:val="21"/>
              </w:rPr>
              <w:t>055</w:t>
            </w:r>
          </w:p>
        </w:tc>
      </w:tr>
    </w:tbl>
    <w:p w14:paraId="2785C380" w14:textId="335F2304" w:rsidR="00F61DD5" w:rsidRDefault="0022042A" w:rsidP="0022042A">
      <w:pPr>
        <w:outlineLvl w:val="0"/>
        <w:rPr>
          <w:sz w:val="20"/>
          <w:szCs w:val="20"/>
          <w:lang w:val="fr-CA"/>
        </w:rPr>
      </w:pPr>
      <w:r w:rsidRPr="0022042A">
        <w:rPr>
          <w:sz w:val="20"/>
          <w:szCs w:val="20"/>
          <w:lang w:val="fr-CA"/>
        </w:rPr>
        <w:t>*Incluant les coûts d’appui d’agence</w:t>
      </w:r>
      <w:r>
        <w:rPr>
          <w:sz w:val="20"/>
          <w:szCs w:val="20"/>
          <w:lang w:val="fr-CA"/>
        </w:rPr>
        <w:t xml:space="preserve">. </w:t>
      </w:r>
    </w:p>
    <w:p w14:paraId="63CF0EF1" w14:textId="77777777" w:rsidR="0022042A" w:rsidRPr="0022042A" w:rsidRDefault="0022042A" w:rsidP="0022042A">
      <w:pPr>
        <w:outlineLvl w:val="0"/>
        <w:rPr>
          <w:sz w:val="20"/>
          <w:szCs w:val="20"/>
          <w:lang w:val="fr-CA"/>
        </w:rPr>
      </w:pPr>
    </w:p>
    <w:p w14:paraId="4CD0E913" w14:textId="3BBFF648" w:rsidR="00F61DD5" w:rsidRDefault="0022042A" w:rsidP="00F61DD5">
      <w:pPr>
        <w:pStyle w:val="StyleHeading1Para1Heading1CharHeading1Char3CharHeadin"/>
        <w:numPr>
          <w:ilvl w:val="0"/>
          <w:numId w:val="1"/>
        </w:numPr>
        <w:tabs>
          <w:tab w:val="clear" w:pos="0"/>
          <w:tab w:val="clear" w:pos="720"/>
          <w:tab w:val="left" w:pos="567"/>
        </w:tabs>
        <w:rPr>
          <w:lang w:val="fr-CA"/>
        </w:rPr>
      </w:pPr>
      <w:r>
        <w:rPr>
          <w:lang w:val="fr-CA"/>
        </w:rPr>
        <w:t xml:space="preserve">Le PNUD a expliqué </w:t>
      </w:r>
      <w:r w:rsidR="00CE6044">
        <w:rPr>
          <w:lang w:val="fr-CA"/>
        </w:rPr>
        <w:t xml:space="preserve">que </w:t>
      </w:r>
      <w:r>
        <w:rPr>
          <w:lang w:val="fr-CA"/>
        </w:rPr>
        <w:t>la différence de 6 74</w:t>
      </w:r>
      <w:r w:rsidR="00221898">
        <w:rPr>
          <w:lang w:val="fr-CA"/>
        </w:rPr>
        <w:t>6</w:t>
      </w:r>
      <w:r>
        <w:rPr>
          <w:lang w:val="fr-CA"/>
        </w:rPr>
        <w:t xml:space="preserve"> $US </w:t>
      </w:r>
      <w:r w:rsidR="00CE6044">
        <w:rPr>
          <w:lang w:val="fr-CA"/>
        </w:rPr>
        <w:t>était due à une</w:t>
      </w:r>
      <w:r>
        <w:rPr>
          <w:lang w:val="fr-CA"/>
        </w:rPr>
        <w:t xml:space="preserve"> pénalité</w:t>
      </w:r>
      <w:r w:rsidR="00072BEB">
        <w:rPr>
          <w:lang w:val="fr-CA"/>
        </w:rPr>
        <w:t xml:space="preserve"> </w:t>
      </w:r>
      <w:r>
        <w:rPr>
          <w:lang w:val="fr-CA"/>
        </w:rPr>
        <w:t>appliquée à un projet (SRL/PHA/86/INV/58) approuvé à la 86</w:t>
      </w:r>
      <w:r w:rsidRPr="0022042A">
        <w:rPr>
          <w:vertAlign w:val="superscript"/>
          <w:lang w:val="fr-CA"/>
        </w:rPr>
        <w:t>e</w:t>
      </w:r>
      <w:r>
        <w:rPr>
          <w:lang w:val="fr-CA"/>
        </w:rPr>
        <w:t xml:space="preserve"> réunion</w:t>
      </w:r>
      <w:r w:rsidR="00221898">
        <w:rPr>
          <w:lang w:val="fr-CA"/>
        </w:rPr>
        <w:t xml:space="preserve"> et qu’elle serait</w:t>
      </w:r>
      <w:r>
        <w:rPr>
          <w:lang w:val="fr-CA"/>
        </w:rPr>
        <w:t xml:space="preserve"> </w:t>
      </w:r>
      <w:r w:rsidR="00072BEB">
        <w:rPr>
          <w:lang w:val="fr-CA"/>
        </w:rPr>
        <w:t>corrig</w:t>
      </w:r>
      <w:r>
        <w:rPr>
          <w:lang w:val="fr-CA"/>
        </w:rPr>
        <w:t xml:space="preserve">ée par le PNUD dans son rapport périodique de 2021, tandis que le solde de 6 $US représentait une différence d’arrondi. </w:t>
      </w:r>
    </w:p>
    <w:p w14:paraId="4757A38B" w14:textId="7359E1B0" w:rsidR="00F61DD5" w:rsidRDefault="0022042A" w:rsidP="00F61DD5">
      <w:pPr>
        <w:pStyle w:val="StyleHeading1Para1Heading1CharHeading1Char3CharHeadin"/>
        <w:numPr>
          <w:ilvl w:val="0"/>
          <w:numId w:val="1"/>
        </w:numPr>
        <w:tabs>
          <w:tab w:val="clear" w:pos="0"/>
          <w:tab w:val="clear" w:pos="720"/>
          <w:tab w:val="left" w:pos="567"/>
        </w:tabs>
        <w:rPr>
          <w:lang w:val="fr-CA"/>
        </w:rPr>
      </w:pPr>
      <w:r>
        <w:rPr>
          <w:lang w:val="fr-CA"/>
        </w:rPr>
        <w:lastRenderedPageBreak/>
        <w:t xml:space="preserve">Le PNUE a expliqué </w:t>
      </w:r>
      <w:r w:rsidR="00CE6044">
        <w:rPr>
          <w:lang w:val="fr-CA"/>
        </w:rPr>
        <w:t xml:space="preserve">que </w:t>
      </w:r>
      <w:r>
        <w:rPr>
          <w:lang w:val="fr-CA"/>
        </w:rPr>
        <w:t xml:space="preserve">la différence de 4 723 $US </w:t>
      </w:r>
      <w:r w:rsidR="00CE6044">
        <w:rPr>
          <w:lang w:val="fr-CA"/>
        </w:rPr>
        <w:t>était due à</w:t>
      </w:r>
      <w:r>
        <w:rPr>
          <w:lang w:val="fr-CA"/>
        </w:rPr>
        <w:t xml:space="preserve"> une pénalité appliquée à un projet (SRL/</w:t>
      </w:r>
      <w:r w:rsidR="00CE6044">
        <w:rPr>
          <w:lang w:val="fr-CA"/>
        </w:rPr>
        <w:t>PHA/86/TAS/56) approuvé à la 86</w:t>
      </w:r>
      <w:r w:rsidR="00CE6044" w:rsidRPr="00CE6044">
        <w:rPr>
          <w:vertAlign w:val="superscript"/>
          <w:lang w:val="fr-CA"/>
        </w:rPr>
        <w:t>e</w:t>
      </w:r>
      <w:r w:rsidR="00CE6044">
        <w:rPr>
          <w:lang w:val="fr-CA"/>
        </w:rPr>
        <w:t xml:space="preserve"> réunion</w:t>
      </w:r>
      <w:r w:rsidR="00072BEB">
        <w:rPr>
          <w:lang w:val="fr-CA"/>
        </w:rPr>
        <w:t xml:space="preserve"> </w:t>
      </w:r>
      <w:r w:rsidR="00221898">
        <w:rPr>
          <w:lang w:val="fr-CA"/>
        </w:rPr>
        <w:t xml:space="preserve">et </w:t>
      </w:r>
      <w:r w:rsidR="00CE6044">
        <w:rPr>
          <w:lang w:val="fr-CA"/>
        </w:rPr>
        <w:t>qu</w:t>
      </w:r>
      <w:r w:rsidR="00221898">
        <w:rPr>
          <w:lang w:val="fr-CA"/>
        </w:rPr>
        <w:t>’elle</w:t>
      </w:r>
      <w:r w:rsidR="00CE6044">
        <w:rPr>
          <w:lang w:val="fr-CA"/>
        </w:rPr>
        <w:t xml:space="preserve"> </w:t>
      </w:r>
      <w:r w:rsidR="00221898">
        <w:rPr>
          <w:lang w:val="fr-CA"/>
        </w:rPr>
        <w:t>ser</w:t>
      </w:r>
      <w:r w:rsidR="00CE6044">
        <w:rPr>
          <w:lang w:val="fr-CA"/>
        </w:rPr>
        <w:t xml:space="preserve">ait </w:t>
      </w:r>
      <w:r w:rsidR="00072BEB">
        <w:rPr>
          <w:lang w:val="fr-CA"/>
        </w:rPr>
        <w:t>corrig</w:t>
      </w:r>
      <w:r w:rsidR="00CE6044">
        <w:rPr>
          <w:lang w:val="fr-CA"/>
        </w:rPr>
        <w:t>ée par le PNUE dans son rapport périodique de 2021.</w:t>
      </w:r>
    </w:p>
    <w:p w14:paraId="26588EFD" w14:textId="5518162C" w:rsidR="00CE6044" w:rsidRDefault="00CE6044" w:rsidP="00CE6044">
      <w:pPr>
        <w:pStyle w:val="StyleHeading1Para1Heading1CharHeading1Char3CharHeadin"/>
        <w:numPr>
          <w:ilvl w:val="0"/>
          <w:numId w:val="1"/>
        </w:numPr>
        <w:tabs>
          <w:tab w:val="clear" w:pos="0"/>
          <w:tab w:val="clear" w:pos="720"/>
          <w:tab w:val="left" w:pos="567"/>
        </w:tabs>
        <w:rPr>
          <w:lang w:val="fr-CA"/>
        </w:rPr>
      </w:pPr>
      <w:r>
        <w:rPr>
          <w:lang w:val="fr-CA"/>
        </w:rPr>
        <w:t xml:space="preserve">La différence de 10 055 $US </w:t>
      </w:r>
      <w:r w:rsidR="00072BEB">
        <w:rPr>
          <w:lang w:val="fr-CA"/>
        </w:rPr>
        <w:t>pour</w:t>
      </w:r>
      <w:r>
        <w:rPr>
          <w:lang w:val="fr-CA"/>
        </w:rPr>
        <w:t xml:space="preserve"> la Banque mondiale </w:t>
      </w:r>
      <w:r w:rsidR="00221898">
        <w:rPr>
          <w:lang w:val="fr-CA"/>
        </w:rPr>
        <w:t>est</w:t>
      </w:r>
      <w:r>
        <w:rPr>
          <w:lang w:val="fr-CA"/>
        </w:rPr>
        <w:t xml:space="preserve"> un élément de rapprochement qui sera </w:t>
      </w:r>
      <w:r w:rsidR="00072BEB">
        <w:rPr>
          <w:lang w:val="fr-CA"/>
        </w:rPr>
        <w:t>corrig</w:t>
      </w:r>
      <w:r>
        <w:rPr>
          <w:lang w:val="fr-CA"/>
        </w:rPr>
        <w:t>é par la Banque mondiale dans son rapport périodique.</w:t>
      </w:r>
    </w:p>
    <w:p w14:paraId="728E1C11" w14:textId="35AC31AB" w:rsidR="00CE6044" w:rsidRPr="00CE6044" w:rsidRDefault="00CE6044" w:rsidP="00CE6044">
      <w:pPr>
        <w:pStyle w:val="StyleHeading1Para1Heading1CharHeading1Char3CharHeadin"/>
        <w:tabs>
          <w:tab w:val="clear" w:pos="720"/>
          <w:tab w:val="left" w:pos="567"/>
        </w:tabs>
        <w:rPr>
          <w:u w:val="single"/>
          <w:lang w:val="fr-CA"/>
        </w:rPr>
      </w:pPr>
      <w:r>
        <w:rPr>
          <w:u w:val="single"/>
          <w:lang w:val="fr-CA"/>
        </w:rPr>
        <w:t>Approbations nettes et revenus dans les comptes finaux de 2020 et dans les rapports périodiques</w:t>
      </w:r>
    </w:p>
    <w:p w14:paraId="3D6D7984" w14:textId="2BDBA1CF" w:rsidR="00187533" w:rsidRDefault="00CE6044" w:rsidP="00CE6044">
      <w:pPr>
        <w:pStyle w:val="StyleHeading1Para1Heading1CharHeading1Char3CharHeadin"/>
        <w:numPr>
          <w:ilvl w:val="0"/>
          <w:numId w:val="1"/>
        </w:numPr>
        <w:tabs>
          <w:tab w:val="clear" w:pos="0"/>
          <w:tab w:val="clear" w:pos="720"/>
          <w:tab w:val="left" w:pos="567"/>
        </w:tabs>
        <w:rPr>
          <w:lang w:val="fr-CA"/>
        </w:rPr>
      </w:pPr>
      <w:r>
        <w:rPr>
          <w:lang w:val="fr-CA"/>
        </w:rPr>
        <w:t>Les différences dans les revenus, entre les rapports finaux de 2020 et les rapports périodiques, sont présentées dans le tableau 2.</w:t>
      </w:r>
    </w:p>
    <w:p w14:paraId="7A00311B" w14:textId="388B780C" w:rsidR="00073216" w:rsidRPr="00073216" w:rsidRDefault="00073216" w:rsidP="00073216">
      <w:pPr>
        <w:jc w:val="left"/>
        <w:rPr>
          <w:b/>
          <w:bCs/>
          <w:sz w:val="21"/>
          <w:szCs w:val="21"/>
          <w:lang w:val="fr-CA"/>
        </w:rPr>
      </w:pPr>
      <w:r w:rsidRPr="00C76F59">
        <w:rPr>
          <w:b/>
          <w:sz w:val="21"/>
          <w:szCs w:val="21"/>
          <w:lang w:val="fr-CA"/>
        </w:rPr>
        <w:t xml:space="preserve">Tableau 2. </w:t>
      </w:r>
      <w:r w:rsidRPr="00073216">
        <w:rPr>
          <w:b/>
          <w:sz w:val="21"/>
          <w:szCs w:val="21"/>
          <w:lang w:val="fr-CA"/>
        </w:rPr>
        <w:t>D</w:t>
      </w:r>
      <w:r w:rsidRPr="00073216">
        <w:rPr>
          <w:b/>
          <w:bCs/>
          <w:sz w:val="21"/>
          <w:szCs w:val="21"/>
          <w:lang w:val="fr-CA"/>
        </w:rPr>
        <w:t xml:space="preserve">ifférences dans les revenus entre comptes finaux de 2020 </w:t>
      </w:r>
      <w:r>
        <w:rPr>
          <w:b/>
          <w:bCs/>
          <w:sz w:val="21"/>
          <w:szCs w:val="21"/>
          <w:lang w:val="fr-CA"/>
        </w:rPr>
        <w:t xml:space="preserve">et rapports périodiques </w:t>
      </w:r>
      <w:r w:rsidRPr="00073216">
        <w:rPr>
          <w:b/>
          <w:bCs/>
          <w:sz w:val="21"/>
          <w:szCs w:val="21"/>
          <w:lang w:val="fr-CA"/>
        </w:rPr>
        <w:t>(</w:t>
      </w:r>
      <w:r>
        <w:rPr>
          <w:b/>
          <w:bCs/>
          <w:sz w:val="21"/>
          <w:szCs w:val="21"/>
          <w:lang w:val="fr-CA"/>
        </w:rPr>
        <w:t>$</w:t>
      </w:r>
      <w:r w:rsidRPr="00073216">
        <w:rPr>
          <w:b/>
          <w:bCs/>
          <w:sz w:val="21"/>
          <w:szCs w:val="21"/>
          <w:lang w:val="fr-CA"/>
        </w:rPr>
        <w:t>US)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197"/>
        <w:gridCol w:w="2481"/>
        <w:gridCol w:w="2339"/>
      </w:tblGrid>
      <w:tr w:rsidR="00073216" w:rsidRPr="00A321F8" w14:paraId="3D4E0E7A" w14:textId="77777777" w:rsidTr="00073216">
        <w:tc>
          <w:tcPr>
            <w:tcW w:w="2339" w:type="dxa"/>
            <w:shd w:val="clear" w:color="000000" w:fill="FFFFFF"/>
            <w:vAlign w:val="center"/>
            <w:hideMark/>
          </w:tcPr>
          <w:p w14:paraId="7468CC0C" w14:textId="0CA3D2AD" w:rsidR="00073216" w:rsidRPr="00A321F8" w:rsidRDefault="00073216" w:rsidP="002917C7">
            <w:pPr>
              <w:jc w:val="left"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proofErr w:type="spellStart"/>
            <w:r w:rsidRPr="00A321F8"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Agenc</w:t>
            </w:r>
            <w:r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e</w:t>
            </w:r>
            <w:proofErr w:type="spellEnd"/>
          </w:p>
        </w:tc>
        <w:tc>
          <w:tcPr>
            <w:tcW w:w="2197" w:type="dxa"/>
            <w:shd w:val="clear" w:color="000000" w:fill="FFFFFF"/>
            <w:vAlign w:val="center"/>
            <w:hideMark/>
          </w:tcPr>
          <w:p w14:paraId="7368D048" w14:textId="0374B6F2" w:rsidR="00073216" w:rsidRPr="00A321F8" w:rsidRDefault="00073216" w:rsidP="002917C7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 xml:space="preserve">Rapport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périodique</w:t>
            </w:r>
            <w:proofErr w:type="spellEnd"/>
            <w:r w:rsidRPr="00A321F8"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*</w:t>
            </w:r>
          </w:p>
        </w:tc>
        <w:tc>
          <w:tcPr>
            <w:tcW w:w="2481" w:type="dxa"/>
            <w:shd w:val="clear" w:color="000000" w:fill="FFFFFF"/>
            <w:vAlign w:val="center"/>
            <w:hideMark/>
          </w:tcPr>
          <w:p w14:paraId="170B57F7" w14:textId="37AF900C" w:rsidR="00073216" w:rsidRPr="00073216" w:rsidRDefault="00073216" w:rsidP="002917C7">
            <w:pPr>
              <w:jc w:val="center"/>
              <w:rPr>
                <w:b/>
                <w:bCs/>
                <w:color w:val="000000"/>
                <w:sz w:val="21"/>
                <w:szCs w:val="21"/>
                <w:lang w:val="fr-CA" w:eastAsia="en-CA"/>
              </w:rPr>
            </w:pPr>
            <w:r w:rsidRPr="00073216">
              <w:rPr>
                <w:b/>
                <w:bCs/>
                <w:color w:val="000000"/>
                <w:sz w:val="21"/>
                <w:szCs w:val="21"/>
                <w:lang w:val="fr-CA" w:eastAsia="en-CA"/>
              </w:rPr>
              <w:t>C</w:t>
            </w:r>
            <w:r>
              <w:rPr>
                <w:b/>
                <w:bCs/>
                <w:color w:val="000000"/>
                <w:sz w:val="21"/>
                <w:szCs w:val="21"/>
                <w:lang w:val="fr-CA" w:eastAsia="en-CA"/>
              </w:rPr>
              <w:t>o</w:t>
            </w:r>
            <w:r w:rsidRPr="00073216">
              <w:rPr>
                <w:b/>
                <w:bCs/>
                <w:color w:val="000000"/>
                <w:sz w:val="21"/>
                <w:szCs w:val="21"/>
                <w:lang w:val="fr-CA" w:eastAsia="en-CA"/>
              </w:rPr>
              <w:t>mptes finaux de 2020</w:t>
            </w:r>
          </w:p>
        </w:tc>
        <w:tc>
          <w:tcPr>
            <w:tcW w:w="2339" w:type="dxa"/>
            <w:shd w:val="clear" w:color="000000" w:fill="FFFFFF"/>
            <w:vAlign w:val="center"/>
            <w:hideMark/>
          </w:tcPr>
          <w:p w14:paraId="293A514F" w14:textId="0DF4F01E" w:rsidR="00073216" w:rsidRPr="00A321F8" w:rsidRDefault="00073216" w:rsidP="002917C7">
            <w:pPr>
              <w:jc w:val="center"/>
              <w:rPr>
                <w:b/>
                <w:bCs/>
                <w:color w:val="000000"/>
                <w:sz w:val="21"/>
                <w:szCs w:val="21"/>
                <w:lang w:val="en-CA" w:eastAsia="en-CA"/>
              </w:rPr>
            </w:pPr>
            <w:proofErr w:type="spellStart"/>
            <w:r w:rsidRPr="00A321F8"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Diff</w:t>
            </w:r>
            <w:r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é</w:t>
            </w:r>
            <w:r w:rsidRPr="00A321F8"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rence</w:t>
            </w:r>
            <w:proofErr w:type="spellEnd"/>
            <w:r w:rsidRPr="00A321F8">
              <w:rPr>
                <w:b/>
                <w:bCs/>
                <w:color w:val="000000"/>
                <w:sz w:val="21"/>
                <w:szCs w:val="21"/>
                <w:lang w:val="en-US" w:eastAsia="en-CA"/>
              </w:rPr>
              <w:t>**</w:t>
            </w:r>
          </w:p>
        </w:tc>
      </w:tr>
      <w:tr w:rsidR="00073216" w:rsidRPr="00087296" w14:paraId="41E01D91" w14:textId="77777777" w:rsidTr="00073216">
        <w:tc>
          <w:tcPr>
            <w:tcW w:w="2339" w:type="dxa"/>
            <w:shd w:val="clear" w:color="000000" w:fill="FFFFFF"/>
            <w:vAlign w:val="center"/>
            <w:hideMark/>
          </w:tcPr>
          <w:p w14:paraId="768E42CC" w14:textId="443AD5D4" w:rsidR="00073216" w:rsidRPr="00087296" w:rsidRDefault="00073216" w:rsidP="002917C7">
            <w:pPr>
              <w:jc w:val="left"/>
              <w:rPr>
                <w:color w:val="000000"/>
                <w:sz w:val="21"/>
                <w:szCs w:val="21"/>
                <w:lang w:val="en-CA" w:eastAsia="en-CA"/>
              </w:rPr>
            </w:pPr>
            <w:r w:rsidRPr="00087296">
              <w:rPr>
                <w:color w:val="000000"/>
                <w:sz w:val="21"/>
                <w:szCs w:val="21"/>
                <w:lang w:val="en-US" w:eastAsia="en-CA"/>
              </w:rPr>
              <w:t>P</w:t>
            </w:r>
            <w:r>
              <w:rPr>
                <w:color w:val="000000"/>
                <w:sz w:val="21"/>
                <w:szCs w:val="21"/>
                <w:lang w:val="en-US" w:eastAsia="en-CA"/>
              </w:rPr>
              <w:t>NUD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bottom"/>
          </w:tcPr>
          <w:p w14:paraId="4AA57C34" w14:textId="55D777DE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978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980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478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bottom"/>
          </w:tcPr>
          <w:p w14:paraId="499AA68A" w14:textId="393E027E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 w:rsidRPr="00087296">
              <w:rPr>
                <w:color w:val="000000"/>
                <w:sz w:val="21"/>
                <w:szCs w:val="21"/>
              </w:rPr>
              <w:t>984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color w:val="000000"/>
                <w:sz w:val="21"/>
                <w:szCs w:val="21"/>
              </w:rPr>
              <w:t>978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color w:val="000000"/>
                <w:sz w:val="21"/>
                <w:szCs w:val="21"/>
              </w:rPr>
              <w:t>464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</w:tcPr>
          <w:p w14:paraId="4CF3D931" w14:textId="27F87FB2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>
              <w:t>(</w:t>
            </w:r>
            <w:r w:rsidRPr="00087296">
              <w:t>5</w:t>
            </w:r>
            <w:r>
              <w:t xml:space="preserve"> </w:t>
            </w:r>
            <w:r w:rsidRPr="00087296">
              <w:t>997</w:t>
            </w:r>
            <w:r>
              <w:t xml:space="preserve"> </w:t>
            </w:r>
            <w:r w:rsidRPr="00087296">
              <w:t>986</w:t>
            </w:r>
            <w:r>
              <w:t>)</w:t>
            </w:r>
          </w:p>
        </w:tc>
      </w:tr>
      <w:tr w:rsidR="00073216" w:rsidRPr="00087296" w14:paraId="105C43F3" w14:textId="77777777" w:rsidTr="00073216">
        <w:tc>
          <w:tcPr>
            <w:tcW w:w="2339" w:type="dxa"/>
            <w:shd w:val="clear" w:color="000000" w:fill="FFFFFF"/>
            <w:vAlign w:val="center"/>
            <w:hideMark/>
          </w:tcPr>
          <w:p w14:paraId="4DDB2BAD" w14:textId="1335990E" w:rsidR="00073216" w:rsidRPr="00087296" w:rsidRDefault="00073216" w:rsidP="002917C7">
            <w:pPr>
              <w:jc w:val="left"/>
              <w:rPr>
                <w:color w:val="000000"/>
                <w:sz w:val="21"/>
                <w:szCs w:val="21"/>
                <w:lang w:val="en-CA" w:eastAsia="en-CA"/>
              </w:rPr>
            </w:pPr>
            <w:r w:rsidRPr="00087296">
              <w:rPr>
                <w:color w:val="000000"/>
                <w:sz w:val="21"/>
                <w:szCs w:val="21"/>
                <w:lang w:val="en-US" w:eastAsia="en-CA"/>
              </w:rPr>
              <w:t>P</w:t>
            </w:r>
            <w:r>
              <w:rPr>
                <w:color w:val="000000"/>
                <w:sz w:val="21"/>
                <w:szCs w:val="21"/>
                <w:lang w:val="en-US" w:eastAsia="en-CA"/>
              </w:rPr>
              <w:t>NUE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bottom"/>
          </w:tcPr>
          <w:p w14:paraId="6C276A2E" w14:textId="195B340B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376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218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388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</w:tcPr>
          <w:p w14:paraId="3F215ADA" w14:textId="5F2FE0E4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 w:rsidRPr="00087296">
              <w:rPr>
                <w:color w:val="000000"/>
                <w:sz w:val="21"/>
                <w:szCs w:val="21"/>
              </w:rPr>
              <w:t>386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color w:val="000000"/>
                <w:sz w:val="21"/>
                <w:szCs w:val="21"/>
              </w:rPr>
              <w:t>461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color w:val="000000"/>
                <w:sz w:val="21"/>
                <w:szCs w:val="21"/>
              </w:rPr>
              <w:t>492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</w:tcPr>
          <w:p w14:paraId="7DA725A6" w14:textId="6B56388A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>
              <w:t>(</w:t>
            </w:r>
            <w:r w:rsidRPr="00087296">
              <w:t>10</w:t>
            </w:r>
            <w:r>
              <w:t xml:space="preserve"> </w:t>
            </w:r>
            <w:r w:rsidRPr="00087296">
              <w:t>243</w:t>
            </w:r>
            <w:r>
              <w:t xml:space="preserve"> </w:t>
            </w:r>
            <w:r w:rsidRPr="00087296">
              <w:t>104</w:t>
            </w:r>
            <w:r>
              <w:t>)</w:t>
            </w:r>
          </w:p>
        </w:tc>
      </w:tr>
      <w:tr w:rsidR="00073216" w:rsidRPr="00A70418" w14:paraId="13FF4308" w14:textId="77777777" w:rsidTr="00073216">
        <w:tc>
          <w:tcPr>
            <w:tcW w:w="2339" w:type="dxa"/>
            <w:shd w:val="clear" w:color="000000" w:fill="FFFFFF"/>
            <w:vAlign w:val="center"/>
          </w:tcPr>
          <w:p w14:paraId="3EA77175" w14:textId="6E971821" w:rsidR="00073216" w:rsidRPr="00087296" w:rsidRDefault="00073216" w:rsidP="002917C7">
            <w:pPr>
              <w:jc w:val="left"/>
              <w:rPr>
                <w:color w:val="000000"/>
                <w:sz w:val="21"/>
                <w:szCs w:val="21"/>
                <w:lang w:val="en-CA" w:eastAsia="en-CA"/>
              </w:rPr>
            </w:pPr>
            <w:r w:rsidRPr="00087296">
              <w:rPr>
                <w:color w:val="000000"/>
                <w:sz w:val="21"/>
                <w:szCs w:val="21"/>
                <w:lang w:val="en-US" w:eastAsia="en-CA"/>
              </w:rPr>
              <w:t>O</w:t>
            </w:r>
            <w:r>
              <w:rPr>
                <w:color w:val="000000"/>
                <w:sz w:val="21"/>
                <w:szCs w:val="21"/>
                <w:lang w:val="en-US" w:eastAsia="en-CA"/>
              </w:rPr>
              <w:t>NUDI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bottom"/>
          </w:tcPr>
          <w:p w14:paraId="38B8677A" w14:textId="1ED52B3B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966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764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</w:tcPr>
          <w:p w14:paraId="15668239" w14:textId="2DE0423B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 w:rsidRPr="00087296">
              <w:rPr>
                <w:color w:val="000000"/>
                <w:sz w:val="21"/>
                <w:szCs w:val="21"/>
              </w:rPr>
              <w:t>972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color w:val="000000"/>
                <w:sz w:val="21"/>
                <w:szCs w:val="21"/>
              </w:rPr>
              <w:t>657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color w:val="000000"/>
                <w:sz w:val="21"/>
                <w:szCs w:val="21"/>
              </w:rPr>
              <w:t>473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bottom"/>
          </w:tcPr>
          <w:p w14:paraId="189E8273" w14:textId="37D6DB04" w:rsidR="00073216" w:rsidRPr="00087296" w:rsidRDefault="00073216" w:rsidP="002917C7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(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5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892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087296">
              <w:rPr>
                <w:rFonts w:ascii="Times New Romant" w:hAnsi="Times New Romant" w:cs="Calibri"/>
                <w:color w:val="000000"/>
                <w:sz w:val="21"/>
                <w:szCs w:val="21"/>
              </w:rPr>
              <w:t>874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)</w:t>
            </w:r>
          </w:p>
        </w:tc>
      </w:tr>
      <w:tr w:rsidR="00073216" w:rsidRPr="00A321F8" w14:paraId="1778CA00" w14:textId="77777777" w:rsidTr="00073216">
        <w:tc>
          <w:tcPr>
            <w:tcW w:w="2339" w:type="dxa"/>
            <w:shd w:val="clear" w:color="000000" w:fill="FFFFFF"/>
            <w:vAlign w:val="center"/>
            <w:hideMark/>
          </w:tcPr>
          <w:p w14:paraId="42BB47CC" w14:textId="54B6302C" w:rsidR="00073216" w:rsidRPr="00A321F8" w:rsidRDefault="00073216" w:rsidP="002917C7">
            <w:pPr>
              <w:jc w:val="left"/>
              <w:rPr>
                <w:color w:val="000000"/>
                <w:sz w:val="21"/>
                <w:szCs w:val="21"/>
                <w:lang w:val="en-CA" w:eastAsia="en-CA"/>
              </w:rPr>
            </w:pPr>
            <w:proofErr w:type="spellStart"/>
            <w:r>
              <w:rPr>
                <w:color w:val="000000"/>
                <w:sz w:val="21"/>
                <w:szCs w:val="21"/>
                <w:lang w:val="en-US" w:eastAsia="en-CA"/>
              </w:rPr>
              <w:t>Banque</w:t>
            </w:r>
            <w:proofErr w:type="spellEnd"/>
            <w:r>
              <w:rPr>
                <w:color w:val="000000"/>
                <w:sz w:val="21"/>
                <w:szCs w:val="21"/>
                <w:lang w:val="en-US" w:eastAsia="en-CA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val="en-US" w:eastAsia="en-CA"/>
              </w:rPr>
              <w:t>mondiale</w:t>
            </w:r>
            <w:proofErr w:type="spellEnd"/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bottom"/>
          </w:tcPr>
          <w:p w14:paraId="25BE384D" w14:textId="1D5D5007" w:rsidR="00073216" w:rsidRPr="00535132" w:rsidRDefault="00073216" w:rsidP="002917C7">
            <w:pPr>
              <w:jc w:val="right"/>
              <w:rPr>
                <w:sz w:val="21"/>
                <w:szCs w:val="21"/>
              </w:rPr>
            </w:pP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1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279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437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910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center"/>
          </w:tcPr>
          <w:p w14:paraId="0D8297A0" w14:textId="7E119ABB" w:rsidR="00073216" w:rsidRPr="00535132" w:rsidRDefault="00073216" w:rsidP="002917C7">
            <w:pPr>
              <w:jc w:val="right"/>
              <w:rPr>
                <w:sz w:val="21"/>
                <w:szCs w:val="21"/>
              </w:rPr>
            </w:pPr>
            <w:r w:rsidRPr="00535132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color w:val="000000"/>
                <w:sz w:val="21"/>
                <w:szCs w:val="21"/>
              </w:rPr>
              <w:t>296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color w:val="000000"/>
                <w:sz w:val="21"/>
                <w:szCs w:val="21"/>
              </w:rPr>
              <w:t>846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color w:val="000000"/>
                <w:sz w:val="21"/>
                <w:szCs w:val="21"/>
              </w:rPr>
              <w:t>681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73" w:type="dxa"/>
            </w:tcMar>
            <w:vAlign w:val="bottom"/>
          </w:tcPr>
          <w:p w14:paraId="65FF8AB2" w14:textId="4B9E7B36" w:rsidR="00073216" w:rsidRPr="00535132" w:rsidRDefault="00073216" w:rsidP="002917C7">
            <w:pPr>
              <w:jc w:val="right"/>
              <w:rPr>
                <w:sz w:val="21"/>
                <w:szCs w:val="21"/>
              </w:rPr>
            </w:pP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(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17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408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771</w:t>
            </w:r>
            <w:r>
              <w:rPr>
                <w:rFonts w:ascii="Times New Romant" w:hAnsi="Times New Romant" w:cs="Calibri"/>
                <w:color w:val="000000"/>
                <w:sz w:val="21"/>
                <w:szCs w:val="21"/>
              </w:rPr>
              <w:t>)</w:t>
            </w:r>
          </w:p>
        </w:tc>
      </w:tr>
    </w:tbl>
    <w:p w14:paraId="0FEA14BB" w14:textId="603B23E6" w:rsidR="00073216" w:rsidRPr="00073216" w:rsidRDefault="00073216" w:rsidP="00073216">
      <w:pPr>
        <w:rPr>
          <w:sz w:val="20"/>
          <w:lang w:val="fr-CA"/>
        </w:rPr>
      </w:pPr>
      <w:r w:rsidRPr="00073216">
        <w:rPr>
          <w:sz w:val="20"/>
          <w:lang w:val="fr-CA"/>
        </w:rPr>
        <w:t>(*) Inclu</w:t>
      </w:r>
      <w:r>
        <w:rPr>
          <w:sz w:val="20"/>
          <w:lang w:val="fr-CA"/>
        </w:rPr>
        <w:t>a</w:t>
      </w:r>
      <w:r w:rsidRPr="00073216">
        <w:rPr>
          <w:sz w:val="20"/>
          <w:lang w:val="fr-CA"/>
        </w:rPr>
        <w:t>nt les coûts d’appui d’agence.</w:t>
      </w:r>
    </w:p>
    <w:p w14:paraId="23DB4869" w14:textId="098504C2" w:rsidR="00187533" w:rsidRDefault="00073216" w:rsidP="00073216">
      <w:pPr>
        <w:rPr>
          <w:sz w:val="20"/>
          <w:lang w:val="fr-CA"/>
        </w:rPr>
      </w:pPr>
      <w:r>
        <w:rPr>
          <w:sz w:val="20"/>
          <w:lang w:val="fr-CA"/>
        </w:rPr>
        <w:t>(**) Un nombre positif indique des revenus supérieurs tandis qu’un nombre négatif signifie des revenus inférieurs</w:t>
      </w:r>
      <w:r w:rsidR="00221898">
        <w:rPr>
          <w:sz w:val="20"/>
          <w:lang w:val="fr-CA"/>
        </w:rPr>
        <w:t xml:space="preserve"> déclarés</w:t>
      </w:r>
      <w:r>
        <w:rPr>
          <w:sz w:val="20"/>
          <w:lang w:val="fr-CA"/>
        </w:rPr>
        <w:t xml:space="preserve"> dans les comptes des AE.</w:t>
      </w:r>
    </w:p>
    <w:p w14:paraId="0EB9D70C" w14:textId="77777777" w:rsidR="00073216" w:rsidRPr="00073216" w:rsidRDefault="00073216" w:rsidP="00073216">
      <w:pPr>
        <w:rPr>
          <w:sz w:val="20"/>
          <w:lang w:val="fr-CA"/>
        </w:rPr>
      </w:pPr>
    </w:p>
    <w:p w14:paraId="085591E8" w14:textId="6B467008" w:rsidR="00073216" w:rsidRDefault="00073216" w:rsidP="00073216">
      <w:pPr>
        <w:pStyle w:val="StyleHeading1Para1Heading1CharHeading1Char3CharHeadin"/>
        <w:numPr>
          <w:ilvl w:val="0"/>
          <w:numId w:val="1"/>
        </w:numPr>
        <w:tabs>
          <w:tab w:val="clear" w:pos="0"/>
          <w:tab w:val="clear" w:pos="720"/>
          <w:tab w:val="left" w:pos="567"/>
        </w:tabs>
        <w:rPr>
          <w:lang w:val="fr-CA"/>
        </w:rPr>
      </w:pPr>
      <w:r>
        <w:rPr>
          <w:lang w:val="fr-CA"/>
        </w:rPr>
        <w:t xml:space="preserve">Les explications fournies par les AE </w:t>
      </w:r>
      <w:r w:rsidR="00072BEB">
        <w:rPr>
          <w:lang w:val="fr-CA"/>
        </w:rPr>
        <w:t>concernant l</w:t>
      </w:r>
      <w:r>
        <w:rPr>
          <w:lang w:val="fr-CA"/>
        </w:rPr>
        <w:t xml:space="preserve">es </w:t>
      </w:r>
      <w:r w:rsidR="00F052C0">
        <w:rPr>
          <w:lang w:val="fr-CA"/>
        </w:rPr>
        <w:t>différence</w:t>
      </w:r>
      <w:r>
        <w:rPr>
          <w:lang w:val="fr-CA"/>
        </w:rPr>
        <w:t xml:space="preserve">s dans les revenus, entre les comptes finaux de 2020 et les rapports périodiques, </w:t>
      </w:r>
      <w:r w:rsidR="00F052C0">
        <w:rPr>
          <w:lang w:val="fr-CA"/>
        </w:rPr>
        <w:t>et</w:t>
      </w:r>
      <w:r>
        <w:rPr>
          <w:lang w:val="fr-CA"/>
        </w:rPr>
        <w:t xml:space="preserve"> les mesures à prendre sont présentées dans le tableau 3.</w:t>
      </w:r>
    </w:p>
    <w:p w14:paraId="6B45A8CD" w14:textId="624F5C82" w:rsidR="00291834" w:rsidRPr="00291834" w:rsidRDefault="00291834" w:rsidP="00291834">
      <w:pPr>
        <w:rPr>
          <w:b/>
          <w:bCs/>
          <w:sz w:val="21"/>
          <w:szCs w:val="21"/>
          <w:lang w:val="fr-CA"/>
        </w:rPr>
      </w:pPr>
      <w:r w:rsidRPr="00C76F59">
        <w:rPr>
          <w:b/>
          <w:sz w:val="21"/>
          <w:szCs w:val="21"/>
          <w:lang w:val="fr-CA"/>
        </w:rPr>
        <w:t xml:space="preserve">Table 3. </w:t>
      </w:r>
      <w:r w:rsidRPr="00291834">
        <w:rPr>
          <w:b/>
          <w:bCs/>
          <w:sz w:val="21"/>
          <w:szCs w:val="21"/>
          <w:lang w:val="fr-CA"/>
        </w:rPr>
        <w:t xml:space="preserve">Raisons des différences dans les revenus entre </w:t>
      </w:r>
      <w:r w:rsidR="000A18CA">
        <w:rPr>
          <w:b/>
          <w:bCs/>
          <w:sz w:val="21"/>
          <w:szCs w:val="21"/>
          <w:lang w:val="fr-CA"/>
        </w:rPr>
        <w:t xml:space="preserve">les </w:t>
      </w:r>
      <w:r w:rsidRPr="00291834">
        <w:rPr>
          <w:b/>
          <w:bCs/>
          <w:sz w:val="21"/>
          <w:szCs w:val="21"/>
          <w:lang w:val="fr-CA"/>
        </w:rPr>
        <w:t xml:space="preserve">comptes finaux de 2020 et </w:t>
      </w:r>
      <w:r w:rsidR="000A18CA">
        <w:rPr>
          <w:b/>
          <w:bCs/>
          <w:sz w:val="21"/>
          <w:szCs w:val="21"/>
          <w:lang w:val="fr-CA"/>
        </w:rPr>
        <w:t xml:space="preserve">les </w:t>
      </w:r>
      <w:r w:rsidRPr="00291834">
        <w:rPr>
          <w:b/>
          <w:bCs/>
          <w:sz w:val="21"/>
          <w:szCs w:val="21"/>
          <w:lang w:val="fr-CA"/>
        </w:rPr>
        <w:t>rapports périodiques ($US)</w:t>
      </w:r>
    </w:p>
    <w:tbl>
      <w:tblPr>
        <w:tblpPr w:leftFromText="180" w:rightFromText="180" w:vertAnchor="text" w:tblpX="-5" w:tblpY="1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111"/>
        <w:gridCol w:w="1237"/>
        <w:gridCol w:w="1237"/>
        <w:gridCol w:w="1238"/>
      </w:tblGrid>
      <w:tr w:rsidR="00291834" w:rsidRPr="00535132" w14:paraId="5815DACC" w14:textId="77777777" w:rsidTr="00591EB1">
        <w:trPr>
          <w:tblHeader/>
        </w:trPr>
        <w:tc>
          <w:tcPr>
            <w:tcW w:w="709" w:type="dxa"/>
            <w:tcMar>
              <w:left w:w="29" w:type="dxa"/>
              <w:right w:w="29" w:type="dxa"/>
            </w:tcMar>
          </w:tcPr>
          <w:p w14:paraId="6A69B86E" w14:textId="3D826F01" w:rsidR="00291834" w:rsidRPr="00535132" w:rsidRDefault="00291834" w:rsidP="00591EB1">
            <w:pPr>
              <w:widowControl w:val="0"/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b/>
                <w:sz w:val="21"/>
                <w:szCs w:val="21"/>
                <w:lang w:val="en-US"/>
              </w:rPr>
              <w:t>Ligne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74D54CD1" w14:textId="5C579901" w:rsidR="00291834" w:rsidRPr="00535132" w:rsidRDefault="00291834" w:rsidP="00591EB1">
            <w:pPr>
              <w:widowControl w:val="0"/>
              <w:jc w:val="center"/>
              <w:rPr>
                <w:b/>
                <w:sz w:val="21"/>
                <w:szCs w:val="21"/>
                <w:lang w:val="en-US"/>
              </w:rPr>
            </w:pPr>
            <w:r w:rsidRPr="00535132">
              <w:rPr>
                <w:b/>
                <w:sz w:val="21"/>
                <w:szCs w:val="21"/>
                <w:lang w:val="en-US"/>
              </w:rPr>
              <w:t>Expl</w:t>
            </w:r>
            <w:r>
              <w:rPr>
                <w:b/>
                <w:sz w:val="21"/>
                <w:szCs w:val="21"/>
                <w:lang w:val="en-US"/>
              </w:rPr>
              <w:t>ica</w:t>
            </w:r>
            <w:r w:rsidRPr="00535132">
              <w:rPr>
                <w:b/>
                <w:sz w:val="21"/>
                <w:szCs w:val="21"/>
                <w:lang w:val="en-US"/>
              </w:rPr>
              <w:t>tion</w:t>
            </w:r>
          </w:p>
        </w:tc>
        <w:tc>
          <w:tcPr>
            <w:tcW w:w="1111" w:type="dxa"/>
            <w:shd w:val="clear" w:color="auto" w:fill="auto"/>
            <w:tcMar>
              <w:left w:w="0" w:type="dxa"/>
              <w:right w:w="0" w:type="dxa"/>
            </w:tcMar>
          </w:tcPr>
          <w:p w14:paraId="35F0ED9B" w14:textId="06B35152" w:rsidR="00291834" w:rsidRPr="00206DB4" w:rsidRDefault="00291834" w:rsidP="00591EB1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06DB4"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P</w:t>
            </w:r>
            <w:r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NUD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0" w:type="dxa"/>
            </w:tcMar>
          </w:tcPr>
          <w:p w14:paraId="76D81A90" w14:textId="2A588DB2" w:rsidR="00291834" w:rsidRPr="00206DB4" w:rsidRDefault="00291834" w:rsidP="00591EB1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06DB4"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P</w:t>
            </w:r>
            <w:r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NUE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7FFC8C" w14:textId="5B58363B" w:rsidR="00291834" w:rsidRPr="00206DB4" w:rsidRDefault="00291834" w:rsidP="00591EB1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206DB4"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O</w:t>
            </w:r>
            <w:r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NUDI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0" w:type="dxa"/>
            </w:tcMar>
          </w:tcPr>
          <w:p w14:paraId="580878F9" w14:textId="3596428C" w:rsidR="00291834" w:rsidRPr="00535132" w:rsidRDefault="00291834" w:rsidP="00591EB1">
            <w:pPr>
              <w:widowControl w:val="0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Banque</w:t>
            </w:r>
            <w:proofErr w:type="spellEnd"/>
            <w:r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sz w:val="21"/>
                <w:szCs w:val="21"/>
                <w:lang w:eastAsia="ja-JP"/>
              </w:rPr>
              <w:t>mondiale</w:t>
            </w:r>
            <w:proofErr w:type="spellEnd"/>
          </w:p>
        </w:tc>
      </w:tr>
      <w:tr w:rsidR="00291834" w:rsidRPr="00535132" w14:paraId="5A414746" w14:textId="77777777" w:rsidTr="00591EB1">
        <w:tc>
          <w:tcPr>
            <w:tcW w:w="709" w:type="dxa"/>
            <w:shd w:val="clear" w:color="auto" w:fill="auto"/>
          </w:tcPr>
          <w:p w14:paraId="5977A4FE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E0178CB" w14:textId="2FFD99B6" w:rsidR="00291834" w:rsidRPr="00291834" w:rsidRDefault="00291834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291834">
              <w:rPr>
                <w:sz w:val="21"/>
                <w:szCs w:val="21"/>
                <w:lang w:val="fr-CA"/>
              </w:rPr>
              <w:t>Différence entre les comptes finaux et les rapports pé</w:t>
            </w:r>
            <w:r>
              <w:rPr>
                <w:sz w:val="21"/>
                <w:szCs w:val="21"/>
                <w:lang w:val="fr-CA"/>
              </w:rPr>
              <w:t xml:space="preserve">riodiques </w:t>
            </w:r>
          </w:p>
        </w:tc>
        <w:tc>
          <w:tcPr>
            <w:tcW w:w="1111" w:type="dxa"/>
            <w:shd w:val="clear" w:color="auto" w:fill="auto"/>
            <w:tcMar>
              <w:left w:w="0" w:type="dxa"/>
              <w:right w:w="58" w:type="dxa"/>
            </w:tcMar>
          </w:tcPr>
          <w:p w14:paraId="7983D963" w14:textId="00ECA564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color w:val="000000"/>
                <w:sz w:val="21"/>
                <w:szCs w:val="21"/>
              </w:rPr>
              <w:t>(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5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997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986</w:t>
            </w:r>
            <w:r w:rsidRPr="00206DB4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2379C68" w14:textId="1EB29B80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</w:rPr>
              <w:t>(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10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243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104</w:t>
            </w:r>
            <w:r w:rsidRPr="00206DB4">
              <w:rPr>
                <w:sz w:val="21"/>
                <w:szCs w:val="21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14:paraId="3A781BEC" w14:textId="548EC780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</w:rPr>
              <w:t>(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5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892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206DB4">
              <w:rPr>
                <w:rFonts w:ascii="Times New Romant" w:hAnsi="Times New Romant" w:cs="Calibri"/>
                <w:color w:val="000000"/>
                <w:sz w:val="21"/>
                <w:szCs w:val="21"/>
              </w:rPr>
              <w:t>874</w:t>
            </w:r>
            <w:r w:rsidRPr="00206DB4">
              <w:rPr>
                <w:sz w:val="21"/>
                <w:szCs w:val="21"/>
              </w:rPr>
              <w:t>)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2CD3F3EB" w14:textId="758E6175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  <w:r w:rsidRPr="00535132">
              <w:rPr>
                <w:color w:val="000000"/>
                <w:sz w:val="21"/>
                <w:szCs w:val="21"/>
              </w:rPr>
              <w:t>(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17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408</w:t>
            </w:r>
            <w:r w:rsidR="00C21E27">
              <w:rPr>
                <w:rFonts w:ascii="Times New Romant" w:hAnsi="Times New Romant" w:cs="Calibri"/>
                <w:color w:val="000000"/>
                <w:sz w:val="21"/>
                <w:szCs w:val="21"/>
              </w:rPr>
              <w:t xml:space="preserve"> </w:t>
            </w:r>
            <w:r w:rsidRPr="00535132">
              <w:rPr>
                <w:rFonts w:ascii="Times New Romant" w:hAnsi="Times New Romant" w:cs="Calibri"/>
                <w:color w:val="000000"/>
                <w:sz w:val="21"/>
                <w:szCs w:val="21"/>
              </w:rPr>
              <w:t>771</w:t>
            </w:r>
            <w:r w:rsidRPr="00535132">
              <w:rPr>
                <w:color w:val="000000"/>
                <w:sz w:val="21"/>
                <w:szCs w:val="21"/>
              </w:rPr>
              <w:t>)</w:t>
            </w:r>
          </w:p>
        </w:tc>
      </w:tr>
      <w:tr w:rsidR="00291834" w:rsidRPr="00535132" w14:paraId="5D905561" w14:textId="77777777" w:rsidTr="00591EB1">
        <w:tc>
          <w:tcPr>
            <w:tcW w:w="709" w:type="dxa"/>
            <w:shd w:val="clear" w:color="auto" w:fill="auto"/>
          </w:tcPr>
          <w:p w14:paraId="15583E85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756331FB" w14:textId="77777777" w:rsidR="00291834" w:rsidRPr="00535132" w:rsidRDefault="00291834" w:rsidP="00591EB1">
            <w:pPr>
              <w:widowControl w:val="0"/>
              <w:jc w:val="left"/>
              <w:rPr>
                <w:sz w:val="21"/>
                <w:szCs w:val="21"/>
              </w:rPr>
            </w:pPr>
          </w:p>
        </w:tc>
        <w:tc>
          <w:tcPr>
            <w:tcW w:w="1111" w:type="dxa"/>
            <w:shd w:val="clear" w:color="auto" w:fill="auto"/>
            <w:tcMar>
              <w:left w:w="0" w:type="dxa"/>
              <w:right w:w="58" w:type="dxa"/>
            </w:tcMar>
          </w:tcPr>
          <w:p w14:paraId="798156D4" w14:textId="77777777" w:rsidR="00291834" w:rsidRPr="00206DB4" w:rsidRDefault="00291834" w:rsidP="00591EB1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71ECEB8A" w14:textId="77777777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</w:tcPr>
          <w:p w14:paraId="2914F5F6" w14:textId="77777777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242C9657" w14:textId="77777777" w:rsidR="00291834" w:rsidRPr="00535132" w:rsidRDefault="00291834" w:rsidP="00591EB1">
            <w:pPr>
              <w:widowControl w:val="0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91834" w:rsidRPr="00535132" w14:paraId="5E4AE957" w14:textId="77777777" w:rsidTr="00591EB1">
        <w:tc>
          <w:tcPr>
            <w:tcW w:w="709" w:type="dxa"/>
          </w:tcPr>
          <w:p w14:paraId="052858E9" w14:textId="77777777" w:rsidR="00291834" w:rsidRPr="00535132" w:rsidRDefault="00291834" w:rsidP="00591EB1">
            <w:pPr>
              <w:widowControl w:val="0"/>
              <w:rPr>
                <w:rFonts w:eastAsia="MS Mincho"/>
                <w:sz w:val="21"/>
                <w:szCs w:val="21"/>
                <w:lang w:eastAsia="ja-JP"/>
              </w:rPr>
            </w:pPr>
            <w:r w:rsidRPr="00535132">
              <w:rPr>
                <w:rFonts w:eastAsia="MS Mincho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77E7A0FB" w14:textId="1671E9CF" w:rsidR="00291834" w:rsidRPr="00C76F59" w:rsidRDefault="00C76F59" w:rsidP="00591EB1">
            <w:pPr>
              <w:widowControl w:val="0"/>
              <w:jc w:val="left"/>
              <w:rPr>
                <w:sz w:val="21"/>
                <w:szCs w:val="21"/>
                <w:lang w:val="fr-CA" w:eastAsia="ja-JP"/>
              </w:rPr>
            </w:pPr>
            <w:r w:rsidRPr="00C76F59">
              <w:rPr>
                <w:sz w:val="21"/>
                <w:szCs w:val="21"/>
                <w:lang w:val="fr-CA" w:eastAsia="ja-JP"/>
              </w:rPr>
              <w:t xml:space="preserve">Contributions volontaires supplémentaires incluses dans les comptes finaux mais pas dans le rapport périodique (aucune mesure </w:t>
            </w:r>
            <w:r w:rsidR="000A18CA">
              <w:rPr>
                <w:sz w:val="21"/>
                <w:szCs w:val="21"/>
                <w:lang w:val="fr-CA" w:eastAsia="ja-JP"/>
              </w:rPr>
              <w:t>à prendre</w:t>
            </w:r>
            <w:r>
              <w:rPr>
                <w:sz w:val="21"/>
                <w:szCs w:val="21"/>
                <w:lang w:val="fr-CA" w:eastAsia="ja-JP"/>
              </w:rPr>
              <w:t>)</w:t>
            </w:r>
          </w:p>
        </w:tc>
        <w:tc>
          <w:tcPr>
            <w:tcW w:w="1111" w:type="dxa"/>
            <w:shd w:val="clear" w:color="auto" w:fill="auto"/>
            <w:tcMar>
              <w:left w:w="0" w:type="dxa"/>
              <w:right w:w="58" w:type="dxa"/>
            </w:tcMar>
          </w:tcPr>
          <w:p w14:paraId="0C17C22F" w14:textId="1CF7D7CF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535132">
              <w:rPr>
                <w:sz w:val="21"/>
                <w:szCs w:val="21"/>
                <w:lang w:val="en-US"/>
              </w:rPr>
              <w:t>(6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535132">
              <w:rPr>
                <w:sz w:val="21"/>
                <w:szCs w:val="21"/>
                <w:lang w:val="en-US"/>
              </w:rPr>
              <w:t>47</w:t>
            </w:r>
            <w:r>
              <w:rPr>
                <w:sz w:val="21"/>
                <w:szCs w:val="21"/>
                <w:lang w:val="en-US"/>
              </w:rPr>
              <w:t>4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847</w:t>
            </w:r>
            <w:r w:rsidRPr="00535132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6814870" w14:textId="400354E3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535132">
              <w:rPr>
                <w:sz w:val="21"/>
                <w:szCs w:val="21"/>
                <w:lang w:val="en-CA" w:eastAsia="en-CA"/>
              </w:rPr>
              <w:t>(8</w:t>
            </w:r>
            <w:r w:rsidR="00C21E27">
              <w:rPr>
                <w:sz w:val="21"/>
                <w:szCs w:val="21"/>
                <w:lang w:val="en-CA" w:eastAsia="en-CA"/>
              </w:rPr>
              <w:t xml:space="preserve"> </w:t>
            </w:r>
            <w:r w:rsidRPr="00535132">
              <w:rPr>
                <w:sz w:val="21"/>
                <w:szCs w:val="21"/>
                <w:lang w:val="en-CA" w:eastAsia="en-CA"/>
              </w:rPr>
              <w:t>935</w:t>
            </w:r>
            <w:r w:rsidR="00C21E27">
              <w:rPr>
                <w:sz w:val="21"/>
                <w:szCs w:val="21"/>
                <w:lang w:val="en-CA" w:eastAsia="en-CA"/>
              </w:rPr>
              <w:t xml:space="preserve"> </w:t>
            </w:r>
            <w:r w:rsidRPr="00535132">
              <w:rPr>
                <w:sz w:val="21"/>
                <w:szCs w:val="21"/>
                <w:lang w:val="en-CA" w:eastAsia="en-CA"/>
              </w:rPr>
              <w:t>570)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28C4AF7B" w14:textId="4E1F8D13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535132">
              <w:rPr>
                <w:sz w:val="21"/>
                <w:szCs w:val="21"/>
                <w:lang w:val="en-CA" w:eastAsia="en-CA"/>
              </w:rPr>
              <w:t>(8</w:t>
            </w:r>
            <w:r w:rsidR="00C21E27">
              <w:rPr>
                <w:sz w:val="21"/>
                <w:szCs w:val="21"/>
                <w:lang w:val="en-CA" w:eastAsia="en-CA"/>
              </w:rPr>
              <w:t xml:space="preserve"> </w:t>
            </w:r>
            <w:r w:rsidRPr="00535132">
              <w:rPr>
                <w:sz w:val="21"/>
                <w:szCs w:val="21"/>
                <w:lang w:val="en-CA" w:eastAsia="en-CA"/>
              </w:rPr>
              <w:t>651</w:t>
            </w:r>
            <w:r w:rsidR="00C21E27">
              <w:rPr>
                <w:sz w:val="21"/>
                <w:szCs w:val="21"/>
                <w:lang w:val="en-CA" w:eastAsia="en-CA"/>
              </w:rPr>
              <w:t xml:space="preserve"> </w:t>
            </w:r>
            <w:r w:rsidRPr="00535132">
              <w:rPr>
                <w:sz w:val="21"/>
                <w:szCs w:val="21"/>
                <w:lang w:val="en-CA" w:eastAsia="en-CA"/>
              </w:rPr>
              <w:t>123)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1C8CBD67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highlight w:val="yellow"/>
                <w:lang w:val="en-US"/>
              </w:rPr>
            </w:pPr>
          </w:p>
        </w:tc>
      </w:tr>
      <w:tr w:rsidR="00291834" w:rsidRPr="00535132" w14:paraId="046371CE" w14:textId="77777777" w:rsidTr="00591EB1">
        <w:tc>
          <w:tcPr>
            <w:tcW w:w="709" w:type="dxa"/>
          </w:tcPr>
          <w:p w14:paraId="7AE68F09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7A0A43B4" w14:textId="07374AF4" w:rsidR="00291834" w:rsidRPr="00C76F59" w:rsidRDefault="00C76F59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C76F59">
              <w:rPr>
                <w:sz w:val="21"/>
                <w:szCs w:val="21"/>
                <w:lang w:val="fr-CA"/>
              </w:rPr>
              <w:t xml:space="preserve">Intérêts finaux </w:t>
            </w:r>
            <w:r w:rsidR="005A4425">
              <w:rPr>
                <w:sz w:val="21"/>
                <w:szCs w:val="21"/>
                <w:lang w:val="fr-CA"/>
              </w:rPr>
              <w:t>accumulé</w:t>
            </w:r>
            <w:r w:rsidRPr="00C76F59">
              <w:rPr>
                <w:sz w:val="21"/>
                <w:szCs w:val="21"/>
                <w:lang w:val="fr-CA"/>
              </w:rPr>
              <w:t>s en 2020 et déjà déduits des approbations</w:t>
            </w:r>
            <w:r w:rsidR="00291834" w:rsidRPr="00C76F59">
              <w:rPr>
                <w:sz w:val="21"/>
                <w:szCs w:val="21"/>
                <w:lang w:val="fr-CA"/>
              </w:rPr>
              <w:t xml:space="preserve"> (</w:t>
            </w:r>
            <w:r>
              <w:rPr>
                <w:sz w:val="21"/>
                <w:szCs w:val="21"/>
                <w:lang w:val="fr-CA"/>
              </w:rPr>
              <w:t xml:space="preserve">aucune mesure </w:t>
            </w:r>
            <w:r w:rsidR="000A18CA">
              <w:rPr>
                <w:sz w:val="21"/>
                <w:szCs w:val="21"/>
                <w:lang w:val="fr-CA"/>
              </w:rPr>
              <w:t>à prendre</w:t>
            </w:r>
            <w:r w:rsidR="00291834" w:rsidRPr="00C76F59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76D43EE8" w14:textId="15730D36" w:rsidR="00291834" w:rsidRPr="00535132" w:rsidRDefault="00291834" w:rsidP="00591EB1">
            <w:pPr>
              <w:widowControl w:val="0"/>
              <w:jc w:val="right"/>
              <w:rPr>
                <w:rFonts w:eastAsia="MS Mincho"/>
                <w:sz w:val="21"/>
                <w:szCs w:val="21"/>
                <w:lang w:eastAsia="ja-JP"/>
              </w:rPr>
            </w:pPr>
            <w:r w:rsidRPr="00535132"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>540</w:t>
            </w:r>
            <w:r w:rsidR="00C21E27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734</w:t>
            </w:r>
            <w:r w:rsidRPr="0053513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477E477C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2894DF7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7880E879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</w:p>
        </w:tc>
      </w:tr>
      <w:tr w:rsidR="00291834" w:rsidRPr="00535132" w14:paraId="6CAE3014" w14:textId="77777777" w:rsidTr="00591EB1">
        <w:tc>
          <w:tcPr>
            <w:tcW w:w="709" w:type="dxa"/>
          </w:tcPr>
          <w:p w14:paraId="7611AB72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</w:tcPr>
          <w:p w14:paraId="1EEB3CC9" w14:textId="0A948C2C" w:rsidR="00291834" w:rsidRPr="005A4425" w:rsidRDefault="00C76F59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5A4425">
              <w:rPr>
                <w:sz w:val="21"/>
                <w:szCs w:val="21"/>
                <w:lang w:val="fr-CA"/>
              </w:rPr>
              <w:t xml:space="preserve">Intérêts cumulatifs pour le plan de gestion de l’élimination des </w:t>
            </w:r>
            <w:r w:rsidR="00291834" w:rsidRPr="005A4425">
              <w:rPr>
                <w:sz w:val="21"/>
                <w:szCs w:val="21"/>
                <w:lang w:val="fr-CA"/>
              </w:rPr>
              <w:t>HCFC (</w:t>
            </w:r>
            <w:r w:rsidRPr="005A4425">
              <w:rPr>
                <w:sz w:val="21"/>
                <w:szCs w:val="21"/>
                <w:lang w:val="fr-CA"/>
              </w:rPr>
              <w:t>PGE</w:t>
            </w:r>
            <w:r w:rsidR="00291834" w:rsidRPr="005A4425">
              <w:rPr>
                <w:sz w:val="21"/>
                <w:szCs w:val="21"/>
                <w:lang w:val="fr-CA"/>
              </w:rPr>
              <w:t xml:space="preserve">H) </w:t>
            </w:r>
            <w:r w:rsidRPr="005A4425">
              <w:rPr>
                <w:sz w:val="21"/>
                <w:szCs w:val="21"/>
                <w:lang w:val="fr-CA"/>
              </w:rPr>
              <w:t xml:space="preserve">de la Chine, inclus dans les comptes finaux et détenus par </w:t>
            </w:r>
            <w:r w:rsidR="005A4425" w:rsidRPr="005A4425">
              <w:rPr>
                <w:sz w:val="21"/>
                <w:szCs w:val="21"/>
                <w:lang w:val="fr-CA"/>
              </w:rPr>
              <w:t>la Chine</w:t>
            </w:r>
            <w:r w:rsidR="00072BEB">
              <w:rPr>
                <w:sz w:val="21"/>
                <w:szCs w:val="21"/>
                <w:lang w:val="fr-CA"/>
              </w:rPr>
              <w:t xml:space="preserve">, </w:t>
            </w:r>
            <w:r w:rsidR="005A4425" w:rsidRPr="005A4425">
              <w:rPr>
                <w:sz w:val="21"/>
                <w:szCs w:val="21"/>
                <w:lang w:val="fr-CA"/>
              </w:rPr>
              <w:t xml:space="preserve">et </w:t>
            </w:r>
            <w:r w:rsidR="005A4425">
              <w:rPr>
                <w:sz w:val="21"/>
                <w:szCs w:val="21"/>
                <w:lang w:val="fr-CA"/>
              </w:rPr>
              <w:t>déjà déduits des approbations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="005A4425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4187B4F9" w14:textId="5ADC4CCC" w:rsidR="00291834" w:rsidRPr="00535132" w:rsidRDefault="00291834" w:rsidP="00591EB1">
            <w:pPr>
              <w:widowControl w:val="0"/>
              <w:jc w:val="righ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>78</w:t>
            </w:r>
            <w:r w:rsidR="00C21E27"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>
              <w:rPr>
                <w:rFonts w:eastAsia="MS Mincho"/>
                <w:sz w:val="21"/>
                <w:szCs w:val="21"/>
                <w:lang w:eastAsia="ja-JP"/>
              </w:rPr>
              <w:t>251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E369904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F98D8C9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05C188EA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</w:p>
        </w:tc>
      </w:tr>
      <w:tr w:rsidR="00291834" w:rsidRPr="00535132" w14:paraId="4854C0F0" w14:textId="77777777" w:rsidTr="00591EB1">
        <w:tc>
          <w:tcPr>
            <w:tcW w:w="709" w:type="dxa"/>
          </w:tcPr>
          <w:p w14:paraId="71775C82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</w:tcPr>
          <w:p w14:paraId="0B24E123" w14:textId="44941959" w:rsidR="00291834" w:rsidRPr="005A4425" w:rsidRDefault="005A4425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5A4425">
              <w:rPr>
                <w:sz w:val="21"/>
                <w:szCs w:val="21"/>
                <w:lang w:val="fr-CA"/>
              </w:rPr>
              <w:t>Approbation conditionnelle pour le projet</w:t>
            </w:r>
            <w:r w:rsidR="00291834" w:rsidRPr="005A4425">
              <w:rPr>
                <w:sz w:val="21"/>
                <w:szCs w:val="21"/>
                <w:lang w:val="fr-CA"/>
              </w:rPr>
              <w:t xml:space="preserve"> </w:t>
            </w:r>
            <w:r w:rsidR="00291834" w:rsidRPr="005A4425">
              <w:rPr>
                <w:lang w:val="fr-CA"/>
              </w:rPr>
              <w:t>SRL/PHA/86/INV/58</w:t>
            </w:r>
            <w:r w:rsidR="00291834" w:rsidRPr="005A4425">
              <w:rPr>
                <w:sz w:val="21"/>
                <w:szCs w:val="21"/>
                <w:lang w:val="fr-CA"/>
              </w:rPr>
              <w:t xml:space="preserve"> (</w:t>
            </w:r>
            <w:r>
              <w:rPr>
                <w:sz w:val="21"/>
                <w:szCs w:val="21"/>
                <w:lang w:val="fr-CA"/>
              </w:rPr>
              <w:t xml:space="preserve">aucune </w:t>
            </w:r>
            <w:r w:rsidR="000A18CA">
              <w:rPr>
                <w:sz w:val="21"/>
                <w:szCs w:val="21"/>
                <w:lang w:val="fr-CA"/>
              </w:rPr>
              <w:t>mesure à prendre</w:t>
            </w:r>
            <w:r w:rsidR="00291834" w:rsidRPr="005A4425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20DDC393" w14:textId="5DD78BB8" w:rsidR="00291834" w:rsidRPr="00535132" w:rsidRDefault="00291834" w:rsidP="00591EB1">
            <w:pPr>
              <w:widowControl w:val="0"/>
              <w:jc w:val="righ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>231</w:t>
            </w:r>
            <w:r w:rsidR="00C21E27"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>
              <w:rPr>
                <w:rFonts w:eastAsia="MS Mincho"/>
                <w:sz w:val="21"/>
                <w:szCs w:val="21"/>
                <w:lang w:eastAsia="ja-JP"/>
              </w:rPr>
              <w:t>344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76A4994B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2399C99C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5DD826C8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</w:p>
        </w:tc>
      </w:tr>
      <w:tr w:rsidR="00291834" w:rsidRPr="00535132" w14:paraId="7FADB343" w14:textId="77777777" w:rsidTr="00591EB1">
        <w:tc>
          <w:tcPr>
            <w:tcW w:w="709" w:type="dxa"/>
          </w:tcPr>
          <w:p w14:paraId="767AA1CF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</w:tcPr>
          <w:p w14:paraId="599E6E3F" w14:textId="46DAF3E5" w:rsidR="00291834" w:rsidRPr="005A4425" w:rsidRDefault="005A4425" w:rsidP="00591EB1">
            <w:pPr>
              <w:widowControl w:val="0"/>
              <w:rPr>
                <w:sz w:val="21"/>
                <w:szCs w:val="21"/>
                <w:lang w:val="fr-CA"/>
              </w:rPr>
            </w:pPr>
            <w:r w:rsidRPr="005A4425">
              <w:rPr>
                <w:sz w:val="21"/>
                <w:szCs w:val="21"/>
                <w:lang w:val="fr-CA"/>
              </w:rPr>
              <w:t>Revenus d’intérêts p</w:t>
            </w:r>
            <w:r w:rsidR="000A18CA">
              <w:rPr>
                <w:sz w:val="21"/>
                <w:szCs w:val="21"/>
                <w:lang w:val="fr-CA"/>
              </w:rPr>
              <w:t xml:space="preserve">rovenant de </w:t>
            </w:r>
            <w:r w:rsidRPr="005A4425">
              <w:rPr>
                <w:sz w:val="21"/>
                <w:szCs w:val="21"/>
                <w:lang w:val="fr-CA"/>
              </w:rPr>
              <w:t xml:space="preserve">2020 et </w:t>
            </w:r>
            <w:r w:rsidR="000A18CA">
              <w:rPr>
                <w:sz w:val="21"/>
                <w:szCs w:val="21"/>
                <w:lang w:val="fr-CA"/>
              </w:rPr>
              <w:t>d</w:t>
            </w:r>
            <w:r w:rsidRPr="005A4425">
              <w:rPr>
                <w:sz w:val="21"/>
                <w:szCs w:val="21"/>
                <w:lang w:val="fr-CA"/>
              </w:rPr>
              <w:t xml:space="preserve">es années </w:t>
            </w:r>
            <w:r w:rsidR="000A18CA">
              <w:rPr>
                <w:sz w:val="21"/>
                <w:szCs w:val="21"/>
                <w:lang w:val="fr-CA"/>
              </w:rPr>
              <w:t>précédente</w:t>
            </w:r>
            <w:r w:rsidRPr="005A4425">
              <w:rPr>
                <w:sz w:val="21"/>
                <w:szCs w:val="21"/>
                <w:lang w:val="fr-CA"/>
              </w:rPr>
              <w:t>s (</w:t>
            </w:r>
            <w:r w:rsidR="009071D8">
              <w:rPr>
                <w:sz w:val="21"/>
                <w:szCs w:val="21"/>
                <w:lang w:val="fr-CA"/>
              </w:rPr>
              <w:t xml:space="preserve">le </w:t>
            </w:r>
            <w:r w:rsidRPr="005A4425">
              <w:rPr>
                <w:sz w:val="21"/>
                <w:szCs w:val="21"/>
                <w:lang w:val="fr-CA"/>
              </w:rPr>
              <w:t xml:space="preserve">Trésorier </w:t>
            </w:r>
            <w:r w:rsidR="00251722">
              <w:rPr>
                <w:sz w:val="21"/>
                <w:szCs w:val="21"/>
                <w:lang w:val="fr-CA"/>
              </w:rPr>
              <w:t>devra les</w:t>
            </w:r>
            <w:r w:rsidR="009071D8">
              <w:rPr>
                <w:sz w:val="21"/>
                <w:szCs w:val="21"/>
                <w:lang w:val="fr-CA"/>
              </w:rPr>
              <w:t xml:space="preserve"> déduire </w:t>
            </w:r>
            <w:r w:rsidRPr="005A4425">
              <w:rPr>
                <w:sz w:val="21"/>
                <w:szCs w:val="21"/>
                <w:lang w:val="fr-CA"/>
              </w:rPr>
              <w:t xml:space="preserve">des approbations </w:t>
            </w:r>
            <w:r w:rsidR="009071D8">
              <w:rPr>
                <w:sz w:val="21"/>
                <w:szCs w:val="21"/>
                <w:lang w:val="fr-CA"/>
              </w:rPr>
              <w:t>de</w:t>
            </w:r>
            <w:r w:rsidRPr="005A4425">
              <w:rPr>
                <w:sz w:val="21"/>
                <w:szCs w:val="21"/>
                <w:lang w:val="fr-CA"/>
              </w:rPr>
              <w:t xml:space="preserve"> la 8</w:t>
            </w:r>
            <w:r w:rsidR="000A18CA">
              <w:rPr>
                <w:sz w:val="21"/>
                <w:szCs w:val="21"/>
                <w:lang w:val="fr-CA"/>
              </w:rPr>
              <w:t>8</w:t>
            </w:r>
            <w:r w:rsidR="000A18CA" w:rsidRPr="000A18CA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="00251722">
              <w:rPr>
                <w:sz w:val="21"/>
                <w:szCs w:val="21"/>
                <w:lang w:val="fr-CA"/>
              </w:rPr>
              <w:t> </w:t>
            </w:r>
            <w:r w:rsidRPr="005A4425">
              <w:rPr>
                <w:sz w:val="21"/>
                <w:szCs w:val="21"/>
                <w:lang w:val="fr-CA"/>
              </w:rPr>
              <w:t>r</w:t>
            </w:r>
            <w:r>
              <w:rPr>
                <w:sz w:val="21"/>
                <w:szCs w:val="21"/>
                <w:lang w:val="fr-CA"/>
              </w:rPr>
              <w:t>éunion</w:t>
            </w:r>
            <w:r w:rsidR="00291834" w:rsidRPr="005A4425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2DF83E08" w14:textId="77777777" w:rsidR="00291834" w:rsidRPr="005A4425" w:rsidRDefault="00291834" w:rsidP="00591EB1">
            <w:pPr>
              <w:widowControl w:val="0"/>
              <w:jc w:val="right"/>
              <w:rPr>
                <w:rFonts w:eastAsia="MS Mincho"/>
                <w:sz w:val="21"/>
                <w:szCs w:val="21"/>
                <w:lang w:val="fr-CA" w:eastAsia="ja-JP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277075E6" w14:textId="4C3C7F7A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(1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080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630)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2067CCDA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492A87EF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</w:p>
        </w:tc>
      </w:tr>
      <w:tr w:rsidR="00291834" w:rsidRPr="00535132" w14:paraId="2C1672A0" w14:textId="77777777" w:rsidTr="00591EB1">
        <w:tc>
          <w:tcPr>
            <w:tcW w:w="709" w:type="dxa"/>
          </w:tcPr>
          <w:p w14:paraId="45C31091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</w:tcPr>
          <w:p w14:paraId="675F74FF" w14:textId="05393D3B" w:rsidR="00291834" w:rsidRPr="005A4425" w:rsidRDefault="00291834" w:rsidP="00591EB1">
            <w:pPr>
              <w:widowControl w:val="0"/>
              <w:spacing w:after="240"/>
              <w:jc w:val="left"/>
              <w:rPr>
                <w:sz w:val="21"/>
                <w:szCs w:val="21"/>
                <w:lang w:val="fr-CA"/>
              </w:rPr>
            </w:pPr>
            <w:r w:rsidRPr="005A4425">
              <w:rPr>
                <w:sz w:val="21"/>
                <w:szCs w:val="21"/>
                <w:lang w:val="fr-CA"/>
              </w:rPr>
              <w:t>F</w:t>
            </w:r>
            <w:r w:rsidR="00764412">
              <w:rPr>
                <w:sz w:val="21"/>
                <w:szCs w:val="21"/>
                <w:lang w:val="fr-CA"/>
              </w:rPr>
              <w:t xml:space="preserve">inancement </w:t>
            </w:r>
            <w:r w:rsidR="005A4425" w:rsidRPr="005A4425">
              <w:rPr>
                <w:sz w:val="21"/>
                <w:szCs w:val="21"/>
                <w:lang w:val="fr-CA"/>
              </w:rPr>
              <w:t xml:space="preserve">approuvé en 2020 mais </w:t>
            </w:r>
            <w:r w:rsidR="000A18CA">
              <w:rPr>
                <w:sz w:val="21"/>
                <w:szCs w:val="21"/>
                <w:lang w:val="fr-CA"/>
              </w:rPr>
              <w:t>inscrit</w:t>
            </w:r>
            <w:r w:rsidR="005A4425" w:rsidRPr="005A4425">
              <w:rPr>
                <w:sz w:val="21"/>
                <w:szCs w:val="21"/>
                <w:lang w:val="fr-CA"/>
              </w:rPr>
              <w:t xml:space="preserve"> en 2021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Pr="005A4425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5418512C" w14:textId="77777777" w:rsidR="00291834" w:rsidRPr="005A4425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43EEEC76" w14:textId="78D1B602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(226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904)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FF23ECA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4B5F8FA4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highlight w:val="yellow"/>
              </w:rPr>
            </w:pPr>
          </w:p>
        </w:tc>
      </w:tr>
      <w:tr w:rsidR="00291834" w:rsidRPr="00535132" w14:paraId="77E83F7F" w14:textId="77777777" w:rsidTr="00591EB1">
        <w:tc>
          <w:tcPr>
            <w:tcW w:w="709" w:type="dxa"/>
          </w:tcPr>
          <w:p w14:paraId="74383B1D" w14:textId="77777777" w:rsidR="00291834" w:rsidRPr="00535132" w:rsidRDefault="00291834" w:rsidP="00591EB1">
            <w:pPr>
              <w:keepNext/>
              <w:keepLines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noWrap/>
          </w:tcPr>
          <w:p w14:paraId="2C40C351" w14:textId="2FA4C8E9" w:rsidR="00291834" w:rsidRPr="005A4425" w:rsidRDefault="005A4425" w:rsidP="00591EB1">
            <w:pPr>
              <w:keepNext/>
              <w:keepLines/>
              <w:widowControl w:val="0"/>
              <w:spacing w:after="240"/>
              <w:jc w:val="left"/>
              <w:rPr>
                <w:sz w:val="21"/>
                <w:szCs w:val="21"/>
                <w:lang w:val="fr-CA"/>
              </w:rPr>
            </w:pPr>
            <w:r w:rsidRPr="005A4425">
              <w:rPr>
                <w:sz w:val="21"/>
                <w:szCs w:val="21"/>
                <w:lang w:val="fr-CA"/>
              </w:rPr>
              <w:t xml:space="preserve">Financement des coûts de base </w:t>
            </w:r>
            <w:r w:rsidR="000A18CA">
              <w:rPr>
                <w:sz w:val="21"/>
                <w:szCs w:val="21"/>
                <w:lang w:val="fr-CA"/>
              </w:rPr>
              <w:t>de 2021,</w:t>
            </w:r>
            <w:r>
              <w:rPr>
                <w:sz w:val="21"/>
                <w:szCs w:val="21"/>
                <w:lang w:val="fr-CA"/>
              </w:rPr>
              <w:t xml:space="preserve"> </w:t>
            </w:r>
            <w:r w:rsidRPr="005A4425">
              <w:rPr>
                <w:sz w:val="21"/>
                <w:szCs w:val="21"/>
                <w:lang w:val="fr-CA"/>
              </w:rPr>
              <w:t xml:space="preserve"> reflété </w:t>
            </w:r>
            <w:r w:rsidR="000A18CA">
              <w:rPr>
                <w:sz w:val="21"/>
                <w:szCs w:val="21"/>
                <w:lang w:val="fr-CA"/>
              </w:rPr>
              <w:t xml:space="preserve">dans les comptes de 2020 </w:t>
            </w:r>
            <w:r w:rsidRPr="005A4425">
              <w:rPr>
                <w:sz w:val="21"/>
                <w:szCs w:val="21"/>
                <w:lang w:val="fr-CA"/>
              </w:rPr>
              <w:t xml:space="preserve">comme revenu différé </w:t>
            </w:r>
            <w:r w:rsidR="00291834" w:rsidRPr="005A4425">
              <w:rPr>
                <w:sz w:val="21"/>
                <w:szCs w:val="21"/>
                <w:lang w:val="fr-CA"/>
              </w:rPr>
              <w:t>(O</w:t>
            </w:r>
            <w:r>
              <w:rPr>
                <w:sz w:val="21"/>
                <w:szCs w:val="21"/>
                <w:lang w:val="fr-CA"/>
              </w:rPr>
              <w:t>NUDI d</w:t>
            </w:r>
            <w:r w:rsidR="00940B6C">
              <w:rPr>
                <w:sz w:val="21"/>
                <w:szCs w:val="21"/>
                <w:lang w:val="fr-CA"/>
              </w:rPr>
              <w:t>evra</w:t>
            </w:r>
            <w:r>
              <w:rPr>
                <w:sz w:val="21"/>
                <w:szCs w:val="21"/>
                <w:lang w:val="fr-CA"/>
              </w:rPr>
              <w:t xml:space="preserve"> faire </w:t>
            </w:r>
            <w:r w:rsidR="000A18CA">
              <w:rPr>
                <w:sz w:val="21"/>
                <w:szCs w:val="21"/>
                <w:lang w:val="fr-CA"/>
              </w:rPr>
              <w:t>le r</w:t>
            </w:r>
            <w:r>
              <w:rPr>
                <w:sz w:val="21"/>
                <w:szCs w:val="21"/>
                <w:lang w:val="fr-CA"/>
              </w:rPr>
              <w:t>ajustement dans s</w:t>
            </w:r>
            <w:r w:rsidR="000A18CA">
              <w:rPr>
                <w:sz w:val="21"/>
                <w:szCs w:val="21"/>
                <w:lang w:val="fr-CA"/>
              </w:rPr>
              <w:t xml:space="preserve">es comptes de </w:t>
            </w:r>
            <w:r w:rsidR="00291834" w:rsidRPr="005A4425">
              <w:rPr>
                <w:sz w:val="21"/>
                <w:szCs w:val="21"/>
                <w:lang w:val="fr-CA"/>
              </w:rPr>
              <w:t>2021)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4B91D6F6" w14:textId="77777777" w:rsidR="00291834" w:rsidRPr="005A4425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4F081B8" w14:textId="77777777" w:rsidR="00291834" w:rsidRPr="005A4425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9AD4E55" w14:textId="29175B4E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535132">
              <w:rPr>
                <w:sz w:val="21"/>
                <w:szCs w:val="21"/>
                <w:lang w:val="en-US"/>
              </w:rPr>
              <w:t>2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535132">
              <w:rPr>
                <w:sz w:val="21"/>
                <w:szCs w:val="21"/>
                <w:lang w:val="en-US"/>
              </w:rPr>
              <w:t>022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535132"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58A2C83A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highlight w:val="yellow"/>
              </w:rPr>
            </w:pPr>
          </w:p>
        </w:tc>
      </w:tr>
      <w:tr w:rsidR="00291834" w:rsidRPr="00535132" w14:paraId="70484269" w14:textId="77777777" w:rsidTr="00591EB1">
        <w:tc>
          <w:tcPr>
            <w:tcW w:w="709" w:type="dxa"/>
          </w:tcPr>
          <w:p w14:paraId="23D8D097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</w:tcPr>
          <w:p w14:paraId="4FC70899" w14:textId="79EE5104" w:rsidR="00291834" w:rsidRPr="00940B6C" w:rsidRDefault="00940B6C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940B6C">
              <w:rPr>
                <w:sz w:val="21"/>
                <w:szCs w:val="21"/>
                <w:lang w:val="fr-CA"/>
              </w:rPr>
              <w:t xml:space="preserve">Subventions closes en 2020 et valeurs </w:t>
            </w:r>
            <w:r w:rsidR="009071D8">
              <w:rPr>
                <w:sz w:val="21"/>
                <w:szCs w:val="21"/>
                <w:lang w:val="fr-CA"/>
              </w:rPr>
              <w:t>r</w:t>
            </w:r>
            <w:r w:rsidRPr="00940B6C">
              <w:rPr>
                <w:sz w:val="21"/>
                <w:szCs w:val="21"/>
                <w:lang w:val="fr-CA"/>
              </w:rPr>
              <w:t>ajustées dans les comptes finaux mais pas reflétées dans le rapport périodique car les fonds ont été restitués en 2021 (ONUDI devra faire l</w:t>
            </w:r>
            <w:r w:rsidR="004209F5">
              <w:rPr>
                <w:sz w:val="21"/>
                <w:szCs w:val="21"/>
                <w:lang w:val="fr-CA"/>
              </w:rPr>
              <w:t>e r</w:t>
            </w:r>
            <w:r w:rsidRPr="00940B6C">
              <w:rPr>
                <w:sz w:val="21"/>
                <w:szCs w:val="21"/>
                <w:lang w:val="fr-CA"/>
              </w:rPr>
              <w:t>ajustement dans son rapport pér</w:t>
            </w:r>
            <w:r>
              <w:rPr>
                <w:sz w:val="21"/>
                <w:szCs w:val="21"/>
                <w:lang w:val="fr-CA"/>
              </w:rPr>
              <w:t xml:space="preserve">iodique de </w:t>
            </w:r>
            <w:r w:rsidR="00291834" w:rsidRPr="00940B6C">
              <w:rPr>
                <w:sz w:val="21"/>
                <w:szCs w:val="21"/>
                <w:lang w:val="fr-CA"/>
              </w:rPr>
              <w:t>2021)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21A1A3F6" w14:textId="77777777" w:rsidR="00291834" w:rsidRPr="00940B6C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11BC7B1" w14:textId="77777777" w:rsidR="00291834" w:rsidRPr="00940B6C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1C8BB67" w14:textId="4441603F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535132">
              <w:rPr>
                <w:sz w:val="21"/>
                <w:szCs w:val="21"/>
                <w:lang w:val="en-US"/>
              </w:rPr>
              <w:t>89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535132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7CCA19AF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highlight w:val="yellow"/>
              </w:rPr>
            </w:pPr>
          </w:p>
        </w:tc>
      </w:tr>
      <w:tr w:rsidR="00291834" w:rsidRPr="00535132" w14:paraId="06C1BBC9" w14:textId="77777777" w:rsidTr="00591EB1">
        <w:tc>
          <w:tcPr>
            <w:tcW w:w="709" w:type="dxa"/>
          </w:tcPr>
          <w:p w14:paraId="1F28AF75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</w:tcPr>
          <w:p w14:paraId="76DFD1F9" w14:textId="20BBC3F2" w:rsidR="00291834" w:rsidRPr="00940B6C" w:rsidRDefault="00291834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940B6C">
              <w:rPr>
                <w:sz w:val="21"/>
                <w:szCs w:val="21"/>
                <w:lang w:val="fr-CA"/>
              </w:rPr>
              <w:t>F</w:t>
            </w:r>
            <w:r w:rsidR="00940B6C" w:rsidRPr="00940B6C">
              <w:rPr>
                <w:sz w:val="21"/>
                <w:szCs w:val="21"/>
                <w:lang w:val="fr-CA"/>
              </w:rPr>
              <w:t xml:space="preserve">onds approuvés pour les </w:t>
            </w:r>
            <w:r w:rsidR="00251722" w:rsidRPr="00940B6C">
              <w:rPr>
                <w:sz w:val="21"/>
                <w:szCs w:val="21"/>
                <w:lang w:val="fr-CA"/>
              </w:rPr>
              <w:t>projets MEX</w:t>
            </w:r>
            <w:r w:rsidRPr="00940B6C">
              <w:rPr>
                <w:sz w:val="21"/>
                <w:szCs w:val="21"/>
                <w:lang w:val="fr-CA"/>
              </w:rPr>
              <w:t xml:space="preserve">/PRO/86/INV/194 </w:t>
            </w:r>
            <w:r w:rsidR="00940B6C" w:rsidRPr="00940B6C">
              <w:rPr>
                <w:sz w:val="21"/>
                <w:szCs w:val="21"/>
                <w:lang w:val="fr-CA"/>
              </w:rPr>
              <w:t xml:space="preserve">et </w:t>
            </w:r>
            <w:r w:rsidRPr="00940B6C">
              <w:rPr>
                <w:sz w:val="21"/>
                <w:szCs w:val="21"/>
                <w:lang w:val="fr-CA"/>
              </w:rPr>
              <w:t>SUD/REF/86/PRP/47</w:t>
            </w:r>
            <w:r w:rsidR="00940B6C" w:rsidRPr="00940B6C">
              <w:rPr>
                <w:sz w:val="21"/>
                <w:szCs w:val="21"/>
                <w:lang w:val="fr-CA"/>
              </w:rPr>
              <w:t xml:space="preserve"> durant le processus d’approbation intersessions prolongé</w:t>
            </w:r>
            <w:r w:rsidRPr="00940B6C">
              <w:rPr>
                <w:sz w:val="21"/>
                <w:szCs w:val="21"/>
                <w:lang w:val="fr-CA"/>
              </w:rPr>
              <w:t xml:space="preserve"> </w:t>
            </w:r>
            <w:r w:rsidR="00940B6C" w:rsidRPr="00940B6C">
              <w:rPr>
                <w:sz w:val="21"/>
                <w:szCs w:val="21"/>
                <w:lang w:val="fr-CA"/>
              </w:rPr>
              <w:t>pour la 8</w:t>
            </w:r>
            <w:r w:rsidR="004209F5">
              <w:rPr>
                <w:sz w:val="21"/>
                <w:szCs w:val="21"/>
                <w:lang w:val="fr-CA"/>
              </w:rPr>
              <w:t>6</w:t>
            </w:r>
            <w:r w:rsidR="004209F5" w:rsidRPr="004209F5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="00940B6C" w:rsidRPr="00940B6C">
              <w:rPr>
                <w:sz w:val="21"/>
                <w:szCs w:val="21"/>
                <w:lang w:val="fr-CA"/>
              </w:rPr>
              <w:t xml:space="preserve"> r</w:t>
            </w:r>
            <w:r w:rsidR="00940B6C">
              <w:rPr>
                <w:sz w:val="21"/>
                <w:szCs w:val="21"/>
                <w:lang w:val="fr-CA"/>
              </w:rPr>
              <w:t>é</w:t>
            </w:r>
            <w:r w:rsidR="00940B6C" w:rsidRPr="00940B6C">
              <w:rPr>
                <w:sz w:val="21"/>
                <w:szCs w:val="21"/>
                <w:lang w:val="fr-CA"/>
              </w:rPr>
              <w:t>union en avril 2021, et co</w:t>
            </w:r>
            <w:r w:rsidR="004209F5">
              <w:rPr>
                <w:sz w:val="21"/>
                <w:szCs w:val="21"/>
                <w:lang w:val="fr-CA"/>
              </w:rPr>
              <w:t xml:space="preserve">mptabilisés </w:t>
            </w:r>
            <w:r w:rsidR="00940B6C">
              <w:rPr>
                <w:sz w:val="21"/>
                <w:szCs w:val="21"/>
                <w:lang w:val="fr-CA"/>
              </w:rPr>
              <w:t>dans les comptes de</w:t>
            </w:r>
            <w:r w:rsidRPr="00940B6C">
              <w:rPr>
                <w:sz w:val="21"/>
                <w:szCs w:val="21"/>
                <w:lang w:val="fr-CA"/>
              </w:rPr>
              <w:t xml:space="preserve"> 2021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Pr="00940B6C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03873FB0" w14:textId="77777777" w:rsidR="00291834" w:rsidRPr="00940B6C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76A2EAB9" w14:textId="77777777" w:rsidR="00291834" w:rsidRPr="00940B6C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6313A65A" w14:textId="3BBFBB43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548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972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03E1C150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highlight w:val="yellow"/>
              </w:rPr>
            </w:pPr>
          </w:p>
        </w:tc>
      </w:tr>
      <w:tr w:rsidR="00291834" w:rsidRPr="00535132" w14:paraId="17C088F4" w14:textId="77777777" w:rsidTr="00591EB1">
        <w:tc>
          <w:tcPr>
            <w:tcW w:w="709" w:type="dxa"/>
          </w:tcPr>
          <w:p w14:paraId="514DB774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</w:tcPr>
          <w:p w14:paraId="2D83C824" w14:textId="7FEEBD1F" w:rsidR="00291834" w:rsidRPr="00940B6C" w:rsidRDefault="00291834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940B6C">
              <w:rPr>
                <w:sz w:val="21"/>
                <w:szCs w:val="21"/>
                <w:lang w:val="fr-CA"/>
              </w:rPr>
              <w:t>Int</w:t>
            </w:r>
            <w:r w:rsidR="00940B6C" w:rsidRPr="00940B6C">
              <w:rPr>
                <w:sz w:val="21"/>
                <w:szCs w:val="21"/>
                <w:lang w:val="fr-CA"/>
              </w:rPr>
              <w:t>érêts pour le PGEH pour la Chine</w:t>
            </w:r>
            <w:r w:rsidR="00764412">
              <w:rPr>
                <w:sz w:val="21"/>
                <w:szCs w:val="21"/>
                <w:lang w:val="fr-CA"/>
              </w:rPr>
              <w:t>,</w:t>
            </w:r>
            <w:r w:rsidR="00940B6C" w:rsidRPr="00940B6C">
              <w:rPr>
                <w:sz w:val="21"/>
                <w:szCs w:val="21"/>
                <w:lang w:val="fr-CA"/>
              </w:rPr>
              <w:t xml:space="preserve"> déduits dans les comptes de 2020 mais pas encore </w:t>
            </w:r>
            <w:r w:rsidR="004209F5">
              <w:rPr>
                <w:sz w:val="21"/>
                <w:szCs w:val="21"/>
                <w:lang w:val="fr-CA"/>
              </w:rPr>
              <w:t>retranché</w:t>
            </w:r>
            <w:r w:rsidR="00940B6C" w:rsidRPr="00940B6C">
              <w:rPr>
                <w:sz w:val="21"/>
                <w:szCs w:val="21"/>
                <w:lang w:val="fr-CA"/>
              </w:rPr>
              <w:t xml:space="preserve">s des approbations (le Trésorier </w:t>
            </w:r>
            <w:r w:rsidR="004209F5">
              <w:rPr>
                <w:sz w:val="21"/>
                <w:szCs w:val="21"/>
                <w:lang w:val="fr-CA"/>
              </w:rPr>
              <w:t>d</w:t>
            </w:r>
            <w:r w:rsidR="009071D8">
              <w:rPr>
                <w:sz w:val="21"/>
                <w:szCs w:val="21"/>
                <w:lang w:val="fr-CA"/>
              </w:rPr>
              <w:t>evra</w:t>
            </w:r>
            <w:r w:rsidR="004209F5">
              <w:rPr>
                <w:sz w:val="21"/>
                <w:szCs w:val="21"/>
                <w:lang w:val="fr-CA"/>
              </w:rPr>
              <w:t xml:space="preserve"> </w:t>
            </w:r>
            <w:r w:rsidR="00940B6C" w:rsidRPr="00940B6C">
              <w:rPr>
                <w:sz w:val="21"/>
                <w:szCs w:val="21"/>
                <w:lang w:val="fr-CA"/>
              </w:rPr>
              <w:t>les</w:t>
            </w:r>
            <w:r w:rsidR="004209F5">
              <w:rPr>
                <w:sz w:val="21"/>
                <w:szCs w:val="21"/>
                <w:lang w:val="fr-CA"/>
              </w:rPr>
              <w:t xml:space="preserve"> </w:t>
            </w:r>
            <w:r w:rsidR="00940B6C" w:rsidRPr="00940B6C">
              <w:rPr>
                <w:sz w:val="21"/>
                <w:szCs w:val="21"/>
                <w:lang w:val="fr-CA"/>
              </w:rPr>
              <w:t xml:space="preserve">déduire des approbations de la </w:t>
            </w:r>
            <w:r w:rsidR="00940B6C">
              <w:rPr>
                <w:sz w:val="21"/>
                <w:szCs w:val="21"/>
                <w:lang w:val="fr-CA"/>
              </w:rPr>
              <w:t>88</w:t>
            </w:r>
            <w:r w:rsidR="00940B6C" w:rsidRPr="00940B6C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="00940B6C">
              <w:rPr>
                <w:sz w:val="21"/>
                <w:szCs w:val="21"/>
                <w:lang w:val="fr-CA"/>
              </w:rPr>
              <w:t xml:space="preserve"> réunion)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33A1CF3E" w14:textId="77777777" w:rsidR="00291834" w:rsidRPr="00940B6C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61983FE8" w14:textId="77777777" w:rsidR="00291834" w:rsidRPr="00940B6C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28D8A4F0" w14:textId="51CFF4A9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85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020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1A3C561E" w14:textId="77777777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highlight w:val="yellow"/>
              </w:rPr>
            </w:pPr>
          </w:p>
        </w:tc>
      </w:tr>
      <w:tr w:rsidR="00291834" w:rsidRPr="00535132" w14:paraId="59C2FDF3" w14:textId="77777777" w:rsidTr="00591EB1">
        <w:tc>
          <w:tcPr>
            <w:tcW w:w="709" w:type="dxa"/>
          </w:tcPr>
          <w:p w14:paraId="5052BA21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10BB5464" w14:textId="134D8D79" w:rsidR="00291834" w:rsidRPr="0063040F" w:rsidRDefault="00940B6C" w:rsidP="00591EB1">
            <w:pPr>
              <w:widowControl w:val="0"/>
              <w:rPr>
                <w:sz w:val="21"/>
                <w:szCs w:val="21"/>
                <w:highlight w:val="yellow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 xml:space="preserve">Revenus d’investissement pour le </w:t>
            </w:r>
            <w:r w:rsidR="004209F5">
              <w:rPr>
                <w:sz w:val="21"/>
                <w:szCs w:val="21"/>
                <w:lang w:val="fr-CA"/>
              </w:rPr>
              <w:t>4</w:t>
            </w:r>
            <w:r w:rsidR="00251722" w:rsidRPr="004209F5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="00251722">
              <w:rPr>
                <w:sz w:val="21"/>
                <w:szCs w:val="21"/>
                <w:lang w:val="fr-CA"/>
              </w:rPr>
              <w:t> </w:t>
            </w:r>
            <w:r w:rsidR="00251722" w:rsidRPr="0063040F">
              <w:rPr>
                <w:sz w:val="21"/>
                <w:szCs w:val="21"/>
                <w:lang w:val="fr-CA"/>
              </w:rPr>
              <w:t>trimestre</w:t>
            </w:r>
            <w:r w:rsidRPr="0063040F">
              <w:rPr>
                <w:sz w:val="21"/>
                <w:szCs w:val="21"/>
                <w:lang w:val="fr-CA"/>
              </w:rPr>
              <w:t xml:space="preserve"> de 2018, 2019 et 2020</w:t>
            </w:r>
            <w:r w:rsidR="004209F5">
              <w:rPr>
                <w:sz w:val="21"/>
                <w:szCs w:val="21"/>
                <w:lang w:val="fr-CA"/>
              </w:rPr>
              <w:t>,</w:t>
            </w:r>
            <w:r w:rsidRPr="0063040F">
              <w:rPr>
                <w:sz w:val="21"/>
                <w:szCs w:val="21"/>
                <w:lang w:val="fr-CA"/>
              </w:rPr>
              <w:t xml:space="preserve"> déjà déduits des approbations de la 8</w:t>
            </w:r>
            <w:r w:rsidR="004209F5">
              <w:rPr>
                <w:sz w:val="21"/>
                <w:szCs w:val="21"/>
                <w:lang w:val="fr-CA"/>
              </w:rPr>
              <w:t>7</w:t>
            </w:r>
            <w:r w:rsidR="004209F5" w:rsidRPr="004209F5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Pr="0063040F">
              <w:rPr>
                <w:sz w:val="21"/>
                <w:szCs w:val="21"/>
                <w:lang w:val="fr-CA"/>
              </w:rPr>
              <w:t xml:space="preserve"> r</w:t>
            </w:r>
            <w:r w:rsidR="004209F5">
              <w:rPr>
                <w:sz w:val="21"/>
                <w:szCs w:val="21"/>
                <w:lang w:val="fr-CA"/>
              </w:rPr>
              <w:t>é</w:t>
            </w:r>
            <w:r w:rsidRPr="0063040F">
              <w:rPr>
                <w:sz w:val="21"/>
                <w:szCs w:val="21"/>
                <w:lang w:val="fr-CA"/>
              </w:rPr>
              <w:t>union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Pr="0063040F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7DA12FFB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2BBA9E1B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1503745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6D651427" w14:textId="63253381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</w:rPr>
              <w:t>(2</w:t>
            </w:r>
            <w:r w:rsidR="00C21E27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351</w:t>
            </w:r>
            <w:r w:rsidR="00C21E27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566)</w:t>
            </w:r>
          </w:p>
        </w:tc>
      </w:tr>
      <w:tr w:rsidR="00291834" w:rsidRPr="00535132" w14:paraId="46B7A3C7" w14:textId="77777777" w:rsidTr="00591EB1">
        <w:tc>
          <w:tcPr>
            <w:tcW w:w="709" w:type="dxa"/>
          </w:tcPr>
          <w:p w14:paraId="28952EC4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</w:tcPr>
          <w:p w14:paraId="7E2FE6B9" w14:textId="1FEA0A7D" w:rsidR="00291834" w:rsidRPr="0063040F" w:rsidRDefault="00940B6C" w:rsidP="00591EB1">
            <w:pPr>
              <w:widowControl w:val="0"/>
              <w:rPr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 xml:space="preserve">Intérêts pour le PGEH pour la Chine, déduits dans les comptes de 2020 mais pas encore </w:t>
            </w:r>
            <w:r w:rsidR="004209F5">
              <w:rPr>
                <w:sz w:val="21"/>
                <w:szCs w:val="21"/>
                <w:lang w:val="fr-CA"/>
              </w:rPr>
              <w:t>retranchés</w:t>
            </w:r>
            <w:r w:rsidRPr="0063040F">
              <w:rPr>
                <w:sz w:val="21"/>
                <w:szCs w:val="21"/>
                <w:lang w:val="fr-CA"/>
              </w:rPr>
              <w:t xml:space="preserve"> des approbations (le Trésorier d</w:t>
            </w:r>
            <w:r w:rsidR="009071D8">
              <w:rPr>
                <w:sz w:val="21"/>
                <w:szCs w:val="21"/>
                <w:lang w:val="fr-CA"/>
              </w:rPr>
              <w:t>evra</w:t>
            </w:r>
            <w:r w:rsidRPr="0063040F">
              <w:rPr>
                <w:sz w:val="21"/>
                <w:szCs w:val="21"/>
                <w:lang w:val="fr-CA"/>
              </w:rPr>
              <w:t xml:space="preserve"> les déduire des approbations de </w:t>
            </w:r>
            <w:r w:rsidR="004209F5">
              <w:rPr>
                <w:sz w:val="21"/>
                <w:szCs w:val="21"/>
                <w:lang w:val="fr-CA"/>
              </w:rPr>
              <w:t xml:space="preserve">la </w:t>
            </w:r>
            <w:r w:rsidRPr="0063040F">
              <w:rPr>
                <w:sz w:val="21"/>
                <w:szCs w:val="21"/>
                <w:lang w:val="fr-CA"/>
              </w:rPr>
              <w:t>8</w:t>
            </w:r>
            <w:r w:rsidR="004209F5">
              <w:rPr>
                <w:sz w:val="21"/>
                <w:szCs w:val="21"/>
                <w:lang w:val="fr-CA"/>
              </w:rPr>
              <w:t>8</w:t>
            </w:r>
            <w:r w:rsidR="004209F5" w:rsidRPr="004209F5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="004209F5">
              <w:rPr>
                <w:sz w:val="21"/>
                <w:szCs w:val="21"/>
                <w:lang w:val="fr-CA"/>
              </w:rPr>
              <w:t xml:space="preserve"> </w:t>
            </w:r>
            <w:r w:rsidRPr="0063040F">
              <w:rPr>
                <w:sz w:val="21"/>
                <w:szCs w:val="21"/>
                <w:lang w:val="fr-CA"/>
              </w:rPr>
              <w:t>r</w:t>
            </w:r>
            <w:r w:rsidR="004209F5">
              <w:rPr>
                <w:sz w:val="21"/>
                <w:szCs w:val="21"/>
                <w:lang w:val="fr-CA"/>
              </w:rPr>
              <w:t>é</w:t>
            </w:r>
            <w:r w:rsidRPr="0063040F">
              <w:rPr>
                <w:sz w:val="21"/>
                <w:szCs w:val="21"/>
                <w:lang w:val="fr-CA"/>
              </w:rPr>
              <w:t>union)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0EB33907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C9F71BA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BDA982D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6C0CEB9C" w14:textId="1BDB65C9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(22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119)</w:t>
            </w:r>
          </w:p>
        </w:tc>
      </w:tr>
      <w:tr w:rsidR="00291834" w:rsidRPr="0063498F" w14:paraId="3742C81E" w14:textId="77777777" w:rsidTr="00591EB1">
        <w:tc>
          <w:tcPr>
            <w:tcW w:w="709" w:type="dxa"/>
          </w:tcPr>
          <w:p w14:paraId="0E12D68C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</w:tcPr>
          <w:p w14:paraId="03BD76C1" w14:textId="23E143D8" w:rsidR="00291834" w:rsidRPr="009413D8" w:rsidRDefault="00940B6C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>Solde</w:t>
            </w:r>
            <w:r w:rsidR="004209F5">
              <w:rPr>
                <w:sz w:val="21"/>
                <w:szCs w:val="21"/>
                <w:lang w:val="fr-CA"/>
              </w:rPr>
              <w:t>s</w:t>
            </w:r>
            <w:r w:rsidRPr="009413D8">
              <w:rPr>
                <w:sz w:val="21"/>
                <w:szCs w:val="21"/>
                <w:lang w:val="fr-CA"/>
              </w:rPr>
              <w:t xml:space="preserve"> de cl</w:t>
            </w:r>
            <w:r w:rsidR="004209F5">
              <w:rPr>
                <w:sz w:val="21"/>
                <w:szCs w:val="21"/>
                <w:lang w:val="fr-CA"/>
              </w:rPr>
              <w:t>ô</w:t>
            </w:r>
            <w:r w:rsidRPr="009413D8">
              <w:rPr>
                <w:sz w:val="21"/>
                <w:szCs w:val="21"/>
                <w:lang w:val="fr-CA"/>
              </w:rPr>
              <w:t>ture</w:t>
            </w:r>
            <w:r w:rsidR="009071D8">
              <w:rPr>
                <w:sz w:val="21"/>
                <w:szCs w:val="21"/>
                <w:lang w:val="fr-CA"/>
              </w:rPr>
              <w:t>,</w:t>
            </w:r>
            <w:r w:rsidRPr="009413D8">
              <w:rPr>
                <w:sz w:val="21"/>
                <w:szCs w:val="21"/>
                <w:lang w:val="fr-CA"/>
              </w:rPr>
              <w:t xml:space="preserve"> provenant des projets 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CPR/PRO/57/INV/487 </w:t>
            </w:r>
            <w:r w:rsidRPr="009413D8">
              <w:rPr>
                <w:sz w:val="21"/>
                <w:szCs w:val="21"/>
                <w:lang w:val="fr-CA"/>
              </w:rPr>
              <w:t>et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 CPR/FOA/56/INV/478</w:t>
            </w:r>
            <w:r w:rsidR="004209F5">
              <w:rPr>
                <w:sz w:val="21"/>
                <w:szCs w:val="21"/>
                <w:lang w:val="fr-CA"/>
              </w:rPr>
              <w:t>,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 re</w:t>
            </w:r>
            <w:r w:rsidRPr="009413D8">
              <w:rPr>
                <w:sz w:val="21"/>
                <w:szCs w:val="21"/>
                <w:lang w:val="fr-CA"/>
              </w:rPr>
              <w:t>stitu</w:t>
            </w:r>
            <w:r w:rsidR="009413D8" w:rsidRPr="009413D8">
              <w:rPr>
                <w:sz w:val="21"/>
                <w:szCs w:val="21"/>
                <w:lang w:val="fr-CA"/>
              </w:rPr>
              <w:t>és par la Chine en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 2020 (</w:t>
            </w:r>
            <w:r w:rsidR="009413D8" w:rsidRPr="009413D8">
              <w:rPr>
                <w:sz w:val="21"/>
                <w:szCs w:val="21"/>
                <w:lang w:val="fr-CA"/>
              </w:rPr>
              <w:t xml:space="preserve">la </w:t>
            </w:r>
            <w:r w:rsidR="009413D8">
              <w:rPr>
                <w:sz w:val="21"/>
                <w:szCs w:val="21"/>
                <w:lang w:val="fr-CA"/>
              </w:rPr>
              <w:t xml:space="preserve">Banque mondiale </w:t>
            </w:r>
            <w:r w:rsidR="00251722">
              <w:rPr>
                <w:sz w:val="21"/>
                <w:szCs w:val="21"/>
                <w:lang w:val="fr-CA"/>
              </w:rPr>
              <w:t>devra faire</w:t>
            </w:r>
            <w:r w:rsidR="009413D8">
              <w:rPr>
                <w:sz w:val="21"/>
                <w:szCs w:val="21"/>
                <w:lang w:val="fr-CA"/>
              </w:rPr>
              <w:t xml:space="preserve"> l</w:t>
            </w:r>
            <w:r w:rsidR="004209F5">
              <w:rPr>
                <w:sz w:val="21"/>
                <w:szCs w:val="21"/>
                <w:lang w:val="fr-CA"/>
              </w:rPr>
              <w:t>e r</w:t>
            </w:r>
            <w:r w:rsidR="009413D8">
              <w:rPr>
                <w:sz w:val="21"/>
                <w:szCs w:val="21"/>
                <w:lang w:val="fr-CA"/>
              </w:rPr>
              <w:t>ajustement dans son rapport périodique de 2021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) 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16817EF1" w14:textId="77777777" w:rsidR="00291834" w:rsidRPr="009413D8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0EF9934" w14:textId="77777777" w:rsidR="00291834" w:rsidRPr="009413D8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2D51578" w14:textId="77777777" w:rsidR="00291834" w:rsidRPr="009413D8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43A54B33" w14:textId="09C72423" w:rsidR="00291834" w:rsidRPr="0063498F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  <w:r w:rsidRPr="0063498F">
              <w:rPr>
                <w:sz w:val="21"/>
                <w:szCs w:val="21"/>
              </w:rPr>
              <w:t>(3</w:t>
            </w:r>
            <w:r>
              <w:rPr>
                <w:sz w:val="21"/>
                <w:szCs w:val="21"/>
              </w:rPr>
              <w:t>1</w:t>
            </w:r>
            <w:r w:rsidRPr="0063498F">
              <w:rPr>
                <w:sz w:val="21"/>
                <w:szCs w:val="21"/>
              </w:rPr>
              <w:t>4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015</w:t>
            </w:r>
            <w:r w:rsidRPr="0063498F">
              <w:rPr>
                <w:sz w:val="21"/>
                <w:szCs w:val="21"/>
              </w:rPr>
              <w:t>)</w:t>
            </w:r>
          </w:p>
        </w:tc>
      </w:tr>
      <w:tr w:rsidR="00291834" w:rsidRPr="0063498F" w14:paraId="32176772" w14:textId="77777777" w:rsidTr="00591EB1">
        <w:tc>
          <w:tcPr>
            <w:tcW w:w="709" w:type="dxa"/>
          </w:tcPr>
          <w:p w14:paraId="1803F74D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</w:tcPr>
          <w:p w14:paraId="6B32F4A0" w14:textId="04DA536A" w:rsidR="00291834" w:rsidRPr="0063040F" w:rsidRDefault="0063040F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>Pénalité</w:t>
            </w:r>
            <w:r w:rsidR="009413D8" w:rsidRPr="0063040F">
              <w:rPr>
                <w:sz w:val="21"/>
                <w:szCs w:val="21"/>
                <w:lang w:val="fr-CA"/>
              </w:rPr>
              <w:t xml:space="preserve"> provenant du projet </w:t>
            </w:r>
            <w:r w:rsidR="00291834" w:rsidRPr="0063040F">
              <w:rPr>
                <w:sz w:val="21"/>
                <w:szCs w:val="21"/>
                <w:lang w:val="fr-CA"/>
              </w:rPr>
              <w:t xml:space="preserve">  CPR/PRO/75/INV/568</w:t>
            </w:r>
            <w:r w:rsidR="009413D8" w:rsidRPr="0063040F">
              <w:rPr>
                <w:sz w:val="21"/>
                <w:szCs w:val="21"/>
                <w:lang w:val="fr-CA"/>
              </w:rPr>
              <w:t>, déjà déduite des approbations de la 8</w:t>
            </w:r>
            <w:r w:rsidR="004209F5">
              <w:rPr>
                <w:sz w:val="21"/>
                <w:szCs w:val="21"/>
                <w:lang w:val="fr-CA"/>
              </w:rPr>
              <w:t>7</w:t>
            </w:r>
            <w:r w:rsidR="004209F5" w:rsidRPr="004209F5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="004209F5">
              <w:rPr>
                <w:sz w:val="21"/>
                <w:szCs w:val="21"/>
                <w:lang w:val="fr-CA"/>
              </w:rPr>
              <w:t xml:space="preserve"> </w:t>
            </w:r>
            <w:r w:rsidRPr="0063040F">
              <w:rPr>
                <w:sz w:val="21"/>
                <w:szCs w:val="21"/>
                <w:lang w:val="fr-CA"/>
              </w:rPr>
              <w:t>réunion</w:t>
            </w:r>
            <w:r w:rsidR="009413D8" w:rsidRPr="0063040F">
              <w:rPr>
                <w:sz w:val="21"/>
                <w:szCs w:val="21"/>
                <w:lang w:val="fr-CA"/>
              </w:rPr>
              <w:t xml:space="preserve">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="009413D8" w:rsidRPr="0063040F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1CDF8C0C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470C6DD1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42DDD360" w14:textId="77777777" w:rsidR="00291834" w:rsidRPr="0063040F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5302EBA8" w14:textId="2C1AB8F4" w:rsidR="00291834" w:rsidRPr="0063498F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  <w:r w:rsidRPr="0063498F">
              <w:rPr>
                <w:sz w:val="21"/>
                <w:szCs w:val="21"/>
              </w:rPr>
              <w:t>(133</w:t>
            </w:r>
            <w:r w:rsidR="00C21E27">
              <w:rPr>
                <w:sz w:val="21"/>
                <w:szCs w:val="21"/>
              </w:rPr>
              <w:t xml:space="preserve"> </w:t>
            </w:r>
            <w:r w:rsidRPr="0063498F">
              <w:rPr>
                <w:sz w:val="21"/>
                <w:szCs w:val="21"/>
              </w:rPr>
              <w:t>146)</w:t>
            </w:r>
          </w:p>
        </w:tc>
      </w:tr>
      <w:tr w:rsidR="00291834" w:rsidRPr="00535132" w14:paraId="7D148915" w14:textId="77777777" w:rsidTr="00591EB1">
        <w:tc>
          <w:tcPr>
            <w:tcW w:w="709" w:type="dxa"/>
          </w:tcPr>
          <w:p w14:paraId="46E84AF8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</w:tcPr>
          <w:p w14:paraId="5890DBAB" w14:textId="7E3A0EDB" w:rsidR="00291834" w:rsidRPr="009413D8" w:rsidRDefault="00291834" w:rsidP="00591EB1">
            <w:pPr>
              <w:widowControl w:val="0"/>
              <w:jc w:val="left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>F</w:t>
            </w:r>
            <w:r w:rsidR="009413D8" w:rsidRPr="009413D8">
              <w:rPr>
                <w:sz w:val="21"/>
                <w:szCs w:val="21"/>
                <w:lang w:val="fr-CA"/>
              </w:rPr>
              <w:t>o</w:t>
            </w:r>
            <w:r w:rsidRPr="009413D8">
              <w:rPr>
                <w:sz w:val="21"/>
                <w:szCs w:val="21"/>
                <w:lang w:val="fr-CA"/>
              </w:rPr>
              <w:t xml:space="preserve">nds </w:t>
            </w:r>
            <w:r w:rsidR="009413D8" w:rsidRPr="009413D8">
              <w:rPr>
                <w:sz w:val="21"/>
                <w:szCs w:val="21"/>
                <w:lang w:val="fr-CA"/>
              </w:rPr>
              <w:t xml:space="preserve">provenant du </w:t>
            </w:r>
            <w:r w:rsidR="00251722" w:rsidRPr="009413D8">
              <w:rPr>
                <w:sz w:val="21"/>
                <w:szCs w:val="21"/>
                <w:lang w:val="fr-CA"/>
              </w:rPr>
              <w:t>projet PHI</w:t>
            </w:r>
            <w:r w:rsidRPr="009413D8">
              <w:rPr>
                <w:sz w:val="21"/>
                <w:szCs w:val="21"/>
                <w:lang w:val="fr-CA"/>
              </w:rPr>
              <w:t>/SEV/80/TAS/01</w:t>
            </w:r>
            <w:r w:rsidR="004209F5">
              <w:rPr>
                <w:sz w:val="21"/>
                <w:szCs w:val="21"/>
                <w:lang w:val="fr-CA"/>
              </w:rPr>
              <w:t>,</w:t>
            </w:r>
            <w:r w:rsidRPr="009413D8">
              <w:rPr>
                <w:sz w:val="21"/>
                <w:szCs w:val="21"/>
                <w:lang w:val="fr-CA"/>
              </w:rPr>
              <w:t xml:space="preserve"> re</w:t>
            </w:r>
            <w:r w:rsidR="009413D8" w:rsidRPr="009413D8">
              <w:rPr>
                <w:sz w:val="21"/>
                <w:szCs w:val="21"/>
                <w:lang w:val="fr-CA"/>
              </w:rPr>
              <w:t>stitués en</w:t>
            </w:r>
            <w:r w:rsidRPr="009413D8">
              <w:rPr>
                <w:sz w:val="21"/>
                <w:szCs w:val="21"/>
                <w:lang w:val="fr-CA"/>
              </w:rPr>
              <w:t xml:space="preserve"> 2019 </w:t>
            </w:r>
            <w:r w:rsidR="009413D8" w:rsidRPr="009413D8">
              <w:rPr>
                <w:sz w:val="21"/>
                <w:szCs w:val="21"/>
                <w:lang w:val="fr-CA"/>
              </w:rPr>
              <w:t>mais pas reflétés dans les comptes de 2020 (la Banq</w:t>
            </w:r>
            <w:r w:rsidR="009413D8">
              <w:rPr>
                <w:sz w:val="21"/>
                <w:szCs w:val="21"/>
                <w:lang w:val="fr-CA"/>
              </w:rPr>
              <w:t>ue mondiale d</w:t>
            </w:r>
            <w:r w:rsidR="009071D8">
              <w:rPr>
                <w:sz w:val="21"/>
                <w:szCs w:val="21"/>
                <w:lang w:val="fr-CA"/>
              </w:rPr>
              <w:t>evra</w:t>
            </w:r>
            <w:r w:rsidR="009413D8">
              <w:rPr>
                <w:sz w:val="21"/>
                <w:szCs w:val="21"/>
                <w:lang w:val="fr-CA"/>
              </w:rPr>
              <w:t xml:space="preserve"> </w:t>
            </w:r>
            <w:r w:rsidR="004209F5">
              <w:rPr>
                <w:sz w:val="21"/>
                <w:szCs w:val="21"/>
                <w:lang w:val="fr-CA"/>
              </w:rPr>
              <w:t>faire le rajustement</w:t>
            </w:r>
            <w:r w:rsidR="009413D8">
              <w:rPr>
                <w:sz w:val="21"/>
                <w:szCs w:val="21"/>
                <w:lang w:val="fr-CA"/>
              </w:rPr>
              <w:t xml:space="preserve"> dans ses comptes de </w:t>
            </w:r>
            <w:r w:rsidRPr="009413D8">
              <w:rPr>
                <w:sz w:val="21"/>
                <w:szCs w:val="21"/>
                <w:lang w:val="fr-CA"/>
              </w:rPr>
              <w:t>2021)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48480537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DFCDD82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8CA857D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4C6FEE44" w14:textId="5D1B5A5D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  <w:lang w:val="en-US"/>
              </w:rPr>
              <w:t>(1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060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319)</w:t>
            </w:r>
          </w:p>
        </w:tc>
      </w:tr>
      <w:tr w:rsidR="00291834" w:rsidRPr="00535132" w14:paraId="65C49F0A" w14:textId="77777777" w:rsidTr="00591EB1">
        <w:tc>
          <w:tcPr>
            <w:tcW w:w="709" w:type="dxa"/>
          </w:tcPr>
          <w:p w14:paraId="17DBD76D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</w:tcPr>
          <w:p w14:paraId="67E4408B" w14:textId="4062849E" w:rsidR="00291834" w:rsidRPr="0063040F" w:rsidRDefault="00291834" w:rsidP="00591EB1">
            <w:pPr>
              <w:widowControl w:val="0"/>
              <w:rPr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>F</w:t>
            </w:r>
            <w:r w:rsidR="009413D8" w:rsidRPr="0063040F">
              <w:rPr>
                <w:sz w:val="21"/>
                <w:szCs w:val="21"/>
                <w:lang w:val="fr-CA"/>
              </w:rPr>
              <w:t>o</w:t>
            </w:r>
            <w:r w:rsidRPr="0063040F">
              <w:rPr>
                <w:sz w:val="21"/>
                <w:szCs w:val="21"/>
                <w:lang w:val="fr-CA"/>
              </w:rPr>
              <w:t>nds re</w:t>
            </w:r>
            <w:r w:rsidR="009413D8" w:rsidRPr="0063040F">
              <w:rPr>
                <w:sz w:val="21"/>
                <w:szCs w:val="21"/>
                <w:lang w:val="fr-CA"/>
              </w:rPr>
              <w:t xml:space="preserve">stitués </w:t>
            </w:r>
            <w:r w:rsidR="004209F5">
              <w:rPr>
                <w:sz w:val="21"/>
                <w:szCs w:val="21"/>
                <w:lang w:val="fr-CA"/>
              </w:rPr>
              <w:t xml:space="preserve">lors </w:t>
            </w:r>
            <w:r w:rsidR="009413D8" w:rsidRPr="0063040F">
              <w:rPr>
                <w:sz w:val="21"/>
                <w:szCs w:val="21"/>
                <w:lang w:val="fr-CA"/>
              </w:rPr>
              <w:t xml:space="preserve">de </w:t>
            </w:r>
            <w:r w:rsidR="0063040F" w:rsidRPr="0063040F">
              <w:rPr>
                <w:sz w:val="21"/>
                <w:szCs w:val="21"/>
                <w:lang w:val="fr-CA"/>
              </w:rPr>
              <w:t>réunions</w:t>
            </w:r>
            <w:r w:rsidR="009413D8" w:rsidRPr="0063040F">
              <w:rPr>
                <w:sz w:val="21"/>
                <w:szCs w:val="21"/>
                <w:lang w:val="fr-CA"/>
              </w:rPr>
              <w:t xml:space="preserve"> précédentes et déjà déduits des approbations de la 8</w:t>
            </w:r>
            <w:r w:rsidR="004209F5">
              <w:rPr>
                <w:sz w:val="21"/>
                <w:szCs w:val="21"/>
                <w:lang w:val="fr-CA"/>
              </w:rPr>
              <w:t>7</w:t>
            </w:r>
            <w:r w:rsidR="004209F5" w:rsidRPr="004209F5">
              <w:rPr>
                <w:sz w:val="21"/>
                <w:szCs w:val="21"/>
                <w:vertAlign w:val="superscript"/>
                <w:lang w:val="fr-CA"/>
              </w:rPr>
              <w:t>e</w:t>
            </w:r>
            <w:r w:rsidR="004209F5">
              <w:rPr>
                <w:sz w:val="21"/>
                <w:szCs w:val="21"/>
                <w:lang w:val="fr-CA"/>
              </w:rPr>
              <w:t xml:space="preserve"> </w:t>
            </w:r>
            <w:r w:rsidR="0063040F" w:rsidRPr="0063040F">
              <w:rPr>
                <w:sz w:val="21"/>
                <w:szCs w:val="21"/>
                <w:lang w:val="fr-CA"/>
              </w:rPr>
              <w:t>réunion</w:t>
            </w:r>
            <w:r w:rsidR="009413D8" w:rsidRPr="0063040F">
              <w:rPr>
                <w:sz w:val="21"/>
                <w:szCs w:val="21"/>
                <w:lang w:val="fr-CA"/>
              </w:rPr>
              <w:t xml:space="preserve"> (aucune </w:t>
            </w:r>
            <w:r w:rsidR="004209F5">
              <w:rPr>
                <w:sz w:val="21"/>
                <w:szCs w:val="21"/>
                <w:lang w:val="fr-CA"/>
              </w:rPr>
              <w:t>mesure à prendre</w:t>
            </w:r>
            <w:r w:rsidR="009413D8" w:rsidRPr="0063040F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3A8D0D6E" w14:textId="77777777" w:rsidR="00291834" w:rsidRPr="0063040F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049153E" w14:textId="77777777" w:rsidR="00291834" w:rsidRPr="0063040F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1EC0D506" w14:textId="77777777" w:rsidR="00291834" w:rsidRPr="0063040F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66B9176D" w14:textId="5EFDA22B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</w:rPr>
              <w:t>(654</w:t>
            </w:r>
            <w:r w:rsidR="00C21E27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593)</w:t>
            </w:r>
          </w:p>
        </w:tc>
      </w:tr>
      <w:tr w:rsidR="00291834" w:rsidRPr="00535132" w14:paraId="23A1BA52" w14:textId="77777777" w:rsidTr="00591EB1">
        <w:tc>
          <w:tcPr>
            <w:tcW w:w="709" w:type="dxa"/>
          </w:tcPr>
          <w:p w14:paraId="431638CB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</w:tcPr>
          <w:p w14:paraId="468DAEBE" w14:textId="5D568BC4" w:rsidR="00291834" w:rsidRPr="009413D8" w:rsidRDefault="009413D8" w:rsidP="00591EB1">
            <w:pPr>
              <w:widowControl w:val="0"/>
              <w:spacing w:after="240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 xml:space="preserve">Élément permanent de rapprochement de la contribution bilatérale du </w:t>
            </w:r>
            <w:r>
              <w:rPr>
                <w:sz w:val="21"/>
                <w:szCs w:val="21"/>
                <w:lang w:val="fr-CA"/>
              </w:rPr>
              <w:t xml:space="preserve">Japon </w:t>
            </w:r>
            <w:r w:rsidR="00291834" w:rsidRPr="009413D8">
              <w:rPr>
                <w:sz w:val="21"/>
                <w:szCs w:val="21"/>
                <w:lang w:val="fr-CA"/>
              </w:rPr>
              <w:lastRenderedPageBreak/>
              <w:t>(THA/PHA/68/TAS/158)*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4475978C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6E43BE9B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7F43DF7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2FF9F7BC" w14:textId="02A7AA0B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  <w:lang w:val="en-US"/>
              </w:rPr>
              <w:t>(342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350)</w:t>
            </w:r>
          </w:p>
        </w:tc>
      </w:tr>
      <w:tr w:rsidR="00291834" w:rsidRPr="00535132" w14:paraId="2EBF3A26" w14:textId="77777777" w:rsidTr="00591EB1">
        <w:tc>
          <w:tcPr>
            <w:tcW w:w="709" w:type="dxa"/>
          </w:tcPr>
          <w:p w14:paraId="0E759929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3827" w:type="dxa"/>
            <w:shd w:val="clear" w:color="auto" w:fill="auto"/>
            <w:noWrap/>
          </w:tcPr>
          <w:p w14:paraId="5081644E" w14:textId="0CCF7671" w:rsidR="00291834" w:rsidRPr="009413D8" w:rsidRDefault="009413D8" w:rsidP="00591EB1">
            <w:pPr>
              <w:widowControl w:val="0"/>
              <w:spacing w:after="240"/>
              <w:jc w:val="left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 xml:space="preserve">Élément permanent de rapprochement de la contribution bilatérale du </w:t>
            </w:r>
            <w:r>
              <w:rPr>
                <w:sz w:val="21"/>
                <w:szCs w:val="21"/>
                <w:lang w:val="fr-CA"/>
              </w:rPr>
              <w:t>Japon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 (VIE/PHA/76/TAS/71 </w:t>
            </w:r>
            <w:r>
              <w:rPr>
                <w:sz w:val="21"/>
                <w:szCs w:val="21"/>
                <w:lang w:val="fr-CA"/>
              </w:rPr>
              <w:t>et (</w:t>
            </w:r>
            <w:r w:rsidR="00291834" w:rsidRPr="009413D8">
              <w:rPr>
                <w:sz w:val="21"/>
                <w:szCs w:val="21"/>
                <w:lang w:val="fr-CA"/>
              </w:rPr>
              <w:t>VIE/PHA/84/INV/75)*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0EF1D6D6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6ECB82B1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1061ADED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0E5A06B0" w14:textId="434D52AB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</w:rPr>
              <w:t>(234</w:t>
            </w:r>
            <w:r w:rsidR="00C21E27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170)</w:t>
            </w:r>
          </w:p>
        </w:tc>
      </w:tr>
      <w:tr w:rsidR="00291834" w:rsidRPr="00535132" w14:paraId="72DFBB8F" w14:textId="77777777" w:rsidTr="00591EB1">
        <w:tc>
          <w:tcPr>
            <w:tcW w:w="709" w:type="dxa"/>
          </w:tcPr>
          <w:p w14:paraId="79267DB9" w14:textId="77777777" w:rsidR="00291834" w:rsidRPr="00535132" w:rsidRDefault="00291834" w:rsidP="00591EB1">
            <w:pPr>
              <w:keepNext/>
              <w:keepLines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</w:tcPr>
          <w:p w14:paraId="54B20BB5" w14:textId="2A2C8EC5" w:rsidR="00291834" w:rsidRPr="009413D8" w:rsidRDefault="009413D8" w:rsidP="00591EB1">
            <w:pPr>
              <w:keepNext/>
              <w:keepLines/>
              <w:widowControl w:val="0"/>
              <w:spacing w:after="240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 xml:space="preserve">Élément permanent de rapprochement de la contribution bilatérale de la </w:t>
            </w:r>
            <w:r>
              <w:rPr>
                <w:sz w:val="21"/>
                <w:szCs w:val="21"/>
                <w:lang w:val="fr-CA"/>
              </w:rPr>
              <w:t xml:space="preserve">Suède </w:t>
            </w:r>
            <w:r w:rsidR="00291834" w:rsidRPr="009413D8">
              <w:rPr>
                <w:sz w:val="21"/>
                <w:szCs w:val="21"/>
                <w:lang w:val="fr-CA"/>
              </w:rPr>
              <w:t>(THA/HAL/29/TAS/120)*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4D77EF00" w14:textId="77777777" w:rsidR="00291834" w:rsidRPr="009413D8" w:rsidRDefault="00291834" w:rsidP="00591EB1">
            <w:pPr>
              <w:keepNext/>
              <w:keepLines/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D18C173" w14:textId="77777777" w:rsidR="00291834" w:rsidRPr="009413D8" w:rsidRDefault="00291834" w:rsidP="00591EB1">
            <w:pPr>
              <w:keepNext/>
              <w:keepLines/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09C20237" w14:textId="77777777" w:rsidR="00291834" w:rsidRPr="009413D8" w:rsidRDefault="00291834" w:rsidP="00591EB1">
            <w:pPr>
              <w:keepNext/>
              <w:keepLines/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72DBBC9D" w14:textId="48DCCBFD" w:rsidR="00291834" w:rsidRPr="00206DB4" w:rsidRDefault="00291834" w:rsidP="00591EB1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</w:rPr>
              <w:t>(225</w:t>
            </w:r>
            <w:r w:rsidR="00C21E27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985)</w:t>
            </w:r>
          </w:p>
        </w:tc>
      </w:tr>
      <w:tr w:rsidR="00291834" w:rsidRPr="00535132" w14:paraId="5EBC43EA" w14:textId="77777777" w:rsidTr="00591EB1">
        <w:tc>
          <w:tcPr>
            <w:tcW w:w="709" w:type="dxa"/>
          </w:tcPr>
          <w:p w14:paraId="0C2B45C7" w14:textId="77777777" w:rsidR="00291834" w:rsidRPr="00535132" w:rsidRDefault="00291834" w:rsidP="00591EB1">
            <w:pPr>
              <w:keepNext/>
              <w:keepLines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</w:tcPr>
          <w:p w14:paraId="73209B43" w14:textId="41CBF28D" w:rsidR="00291834" w:rsidRPr="009413D8" w:rsidRDefault="009413D8" w:rsidP="00591EB1">
            <w:pPr>
              <w:keepNext/>
              <w:keepLines/>
              <w:widowControl w:val="0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 xml:space="preserve">Élément permanent de </w:t>
            </w:r>
            <w:r>
              <w:rPr>
                <w:sz w:val="21"/>
                <w:szCs w:val="21"/>
                <w:lang w:val="fr-CA"/>
              </w:rPr>
              <w:t xml:space="preserve">rapprochement de </w:t>
            </w:r>
            <w:r w:rsidRPr="009413D8">
              <w:rPr>
                <w:sz w:val="21"/>
                <w:szCs w:val="21"/>
                <w:lang w:val="fr-CA"/>
              </w:rPr>
              <w:t xml:space="preserve">la contribution bilatérale des États-Unis d’Amérique </w:t>
            </w:r>
            <w:r w:rsidR="00291834" w:rsidRPr="009413D8">
              <w:rPr>
                <w:sz w:val="21"/>
                <w:szCs w:val="21"/>
                <w:lang w:val="fr-CA"/>
              </w:rPr>
              <w:t>(CPR/PRO/44/INV/425)*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44F14D7B" w14:textId="77777777" w:rsidR="00291834" w:rsidRPr="009413D8" w:rsidRDefault="00291834" w:rsidP="00591EB1">
            <w:pPr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78363023" w14:textId="77777777" w:rsidR="00291834" w:rsidRPr="009413D8" w:rsidRDefault="00291834" w:rsidP="00591EB1">
            <w:pPr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1E1A15B" w14:textId="77777777" w:rsidR="00291834" w:rsidRPr="009413D8" w:rsidRDefault="00291834" w:rsidP="00591EB1">
            <w:pPr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57F7F69A" w14:textId="6DD201F9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  <w:lang w:val="en-US"/>
              </w:rPr>
              <w:t>(5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375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000)</w:t>
            </w:r>
          </w:p>
        </w:tc>
      </w:tr>
      <w:tr w:rsidR="00291834" w:rsidRPr="00535132" w14:paraId="0A23CF2D" w14:textId="77777777" w:rsidTr="00591EB1">
        <w:tc>
          <w:tcPr>
            <w:tcW w:w="709" w:type="dxa"/>
          </w:tcPr>
          <w:p w14:paraId="77865D44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</w:tcPr>
          <w:p w14:paraId="78B5042B" w14:textId="42704C9C" w:rsidR="00291834" w:rsidRPr="009413D8" w:rsidRDefault="009413D8" w:rsidP="00591EB1">
            <w:pPr>
              <w:widowControl w:val="0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>Élément permanent de rapprochement de la contribution bilatérale des États-Unis d’Amérique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 (CPR/PRO/47/INV/439)* 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536DD93C" w14:textId="77777777" w:rsidR="00291834" w:rsidRPr="009413D8" w:rsidRDefault="00291834" w:rsidP="00591EB1">
            <w:pPr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833B720" w14:textId="77777777" w:rsidR="00291834" w:rsidRPr="009413D8" w:rsidRDefault="00291834" w:rsidP="00591EB1">
            <w:pPr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330528C8" w14:textId="77777777" w:rsidR="00291834" w:rsidRPr="009413D8" w:rsidRDefault="00291834" w:rsidP="00591EB1">
            <w:pPr>
              <w:widowControl w:val="0"/>
              <w:jc w:val="right"/>
              <w:rPr>
                <w:b/>
                <w:i/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67FA588C" w14:textId="771287F8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  <w:lang w:val="en-US"/>
              </w:rPr>
              <w:t>(5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375</w:t>
            </w:r>
            <w:r w:rsidR="00C21E27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000)</w:t>
            </w:r>
          </w:p>
        </w:tc>
      </w:tr>
      <w:tr w:rsidR="00291834" w:rsidRPr="00535132" w14:paraId="6C907FB3" w14:textId="77777777" w:rsidTr="00591EB1">
        <w:tc>
          <w:tcPr>
            <w:tcW w:w="709" w:type="dxa"/>
          </w:tcPr>
          <w:p w14:paraId="1ACF9C6F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</w:tcPr>
          <w:p w14:paraId="29B112CF" w14:textId="6C3D20F2" w:rsidR="00291834" w:rsidRPr="009413D8" w:rsidRDefault="009413D8" w:rsidP="00591EB1">
            <w:pPr>
              <w:widowControl w:val="0"/>
              <w:rPr>
                <w:sz w:val="21"/>
                <w:szCs w:val="21"/>
                <w:lang w:val="fr-CA"/>
              </w:rPr>
            </w:pPr>
            <w:r w:rsidRPr="009413D8">
              <w:rPr>
                <w:sz w:val="21"/>
                <w:szCs w:val="21"/>
                <w:lang w:val="fr-CA"/>
              </w:rPr>
              <w:t>Élément permanent de rapprochement d</w:t>
            </w:r>
            <w:r>
              <w:rPr>
                <w:sz w:val="21"/>
                <w:szCs w:val="21"/>
                <w:lang w:val="fr-CA"/>
              </w:rPr>
              <w:t xml:space="preserve">u projet de refroidisseurs en </w:t>
            </w:r>
            <w:r w:rsidRPr="009413D8">
              <w:rPr>
                <w:sz w:val="21"/>
                <w:szCs w:val="21"/>
                <w:lang w:val="fr-CA"/>
              </w:rPr>
              <w:t>Thaïlande</w:t>
            </w:r>
            <w:r w:rsidR="00291834" w:rsidRPr="009413D8">
              <w:rPr>
                <w:sz w:val="21"/>
                <w:szCs w:val="21"/>
                <w:lang w:val="fr-CA"/>
              </w:rPr>
              <w:t xml:space="preserve">  (THA/REF/26/INV/104)*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092B69CB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61863502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74AC8AA1" w14:textId="77777777" w:rsidR="00291834" w:rsidRPr="009413D8" w:rsidRDefault="00291834" w:rsidP="00591EB1">
            <w:pPr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1A4F3AD3" w14:textId="4EF04288" w:rsidR="00291834" w:rsidRPr="00206DB4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206DB4">
              <w:rPr>
                <w:sz w:val="21"/>
                <w:szCs w:val="21"/>
              </w:rPr>
              <w:t>(1</w:t>
            </w:r>
            <w:r w:rsidR="00C21E27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198</w:t>
            </w:r>
            <w:r w:rsidR="00C21E27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946)</w:t>
            </w:r>
          </w:p>
        </w:tc>
      </w:tr>
      <w:tr w:rsidR="00291834" w:rsidRPr="00535132" w14:paraId="282763DF" w14:textId="77777777" w:rsidTr="00591EB1">
        <w:tc>
          <w:tcPr>
            <w:tcW w:w="709" w:type="dxa"/>
          </w:tcPr>
          <w:p w14:paraId="7E7FE811" w14:textId="77777777" w:rsidR="00291834" w:rsidRPr="00535132" w:rsidRDefault="00291834" w:rsidP="00591EB1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</w:tcPr>
          <w:p w14:paraId="0BF6BFB4" w14:textId="47C09246" w:rsidR="00291834" w:rsidRPr="00535132" w:rsidRDefault="00291834" w:rsidP="00591EB1">
            <w:pPr>
              <w:widowControl w:val="0"/>
              <w:jc w:val="left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Total (</w:t>
            </w:r>
            <w:proofErr w:type="spellStart"/>
            <w:r w:rsidR="009413D8">
              <w:rPr>
                <w:sz w:val="21"/>
                <w:szCs w:val="21"/>
              </w:rPr>
              <w:t>lignes</w:t>
            </w:r>
            <w:proofErr w:type="spellEnd"/>
            <w:r w:rsidRPr="00535132">
              <w:rPr>
                <w:sz w:val="21"/>
                <w:szCs w:val="21"/>
              </w:rPr>
              <w:t xml:space="preserve"> 2 </w:t>
            </w:r>
            <w:r w:rsidR="009413D8">
              <w:rPr>
                <w:sz w:val="21"/>
                <w:szCs w:val="21"/>
              </w:rPr>
              <w:t xml:space="preserve">à </w:t>
            </w:r>
            <w:r>
              <w:rPr>
                <w:sz w:val="21"/>
                <w:szCs w:val="21"/>
              </w:rPr>
              <w:t>22</w:t>
            </w:r>
            <w:r w:rsidRPr="00535132">
              <w:rPr>
                <w:sz w:val="21"/>
                <w:szCs w:val="21"/>
              </w:rPr>
              <w:t>)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142502AF" w14:textId="0E41382D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B324FF">
              <w:rPr>
                <w:color w:val="000000"/>
                <w:sz w:val="21"/>
                <w:szCs w:val="21"/>
              </w:rPr>
              <w:t>(5</w:t>
            </w:r>
            <w:r w:rsidR="00C21E27">
              <w:rPr>
                <w:color w:val="000000"/>
                <w:sz w:val="21"/>
                <w:szCs w:val="21"/>
              </w:rPr>
              <w:t xml:space="preserve"> </w:t>
            </w:r>
            <w:r w:rsidRPr="00B324FF">
              <w:rPr>
                <w:color w:val="000000"/>
                <w:sz w:val="21"/>
                <w:szCs w:val="21"/>
              </w:rPr>
              <w:t>997</w:t>
            </w:r>
            <w:r w:rsidR="00C21E27">
              <w:rPr>
                <w:color w:val="000000"/>
                <w:sz w:val="21"/>
                <w:szCs w:val="21"/>
              </w:rPr>
              <w:t xml:space="preserve"> </w:t>
            </w:r>
            <w:r w:rsidRPr="00B324FF">
              <w:rPr>
                <w:color w:val="000000"/>
                <w:sz w:val="21"/>
                <w:szCs w:val="21"/>
              </w:rPr>
              <w:t>986)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6AE4A014" w14:textId="3907D8E0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535132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10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243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104)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FDE1B6C" w14:textId="4184E444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</w:rPr>
            </w:pPr>
            <w:r w:rsidRPr="00535132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5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905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531</w:t>
            </w:r>
            <w:r w:rsidRPr="00535132">
              <w:rPr>
                <w:sz w:val="21"/>
                <w:szCs w:val="21"/>
              </w:rPr>
              <w:t>)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66CED752" w14:textId="7E2EA4B8" w:rsidR="00291834" w:rsidRPr="00535132" w:rsidRDefault="00291834" w:rsidP="00591EB1">
            <w:pPr>
              <w:widowControl w:val="0"/>
              <w:jc w:val="right"/>
              <w:rPr>
                <w:sz w:val="21"/>
                <w:szCs w:val="21"/>
                <w:lang w:val="en-US"/>
              </w:rPr>
            </w:pPr>
            <w:r w:rsidRPr="00535132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17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287</w:t>
            </w:r>
            <w:r w:rsidR="00C21E2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209</w:t>
            </w:r>
            <w:r w:rsidRPr="00535132">
              <w:rPr>
                <w:sz w:val="21"/>
                <w:szCs w:val="21"/>
              </w:rPr>
              <w:t>)</w:t>
            </w:r>
          </w:p>
        </w:tc>
      </w:tr>
      <w:tr w:rsidR="00291834" w:rsidRPr="00535132" w14:paraId="146AB666" w14:textId="77777777" w:rsidTr="00591EB1">
        <w:tc>
          <w:tcPr>
            <w:tcW w:w="709" w:type="dxa"/>
          </w:tcPr>
          <w:p w14:paraId="0A2F17E4" w14:textId="77777777" w:rsidR="00291834" w:rsidRPr="00535132" w:rsidRDefault="00291834" w:rsidP="00591EB1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535132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</w:tcPr>
          <w:p w14:paraId="4BB429F1" w14:textId="59F1204E" w:rsidR="00291834" w:rsidRPr="00535132" w:rsidRDefault="00291834" w:rsidP="00591EB1">
            <w:pPr>
              <w:pStyle w:val="Heading1"/>
              <w:widowControl w:val="0"/>
              <w:numPr>
                <w:ilvl w:val="0"/>
                <w:numId w:val="0"/>
              </w:numPr>
              <w:spacing w:after="0"/>
              <w:jc w:val="left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535132">
              <w:rPr>
                <w:b/>
                <w:sz w:val="21"/>
                <w:szCs w:val="21"/>
              </w:rPr>
              <w:t>Diff</w:t>
            </w:r>
            <w:r w:rsidR="009413D8">
              <w:rPr>
                <w:b/>
                <w:sz w:val="21"/>
                <w:szCs w:val="21"/>
              </w:rPr>
              <w:t>é</w:t>
            </w:r>
            <w:r w:rsidRPr="00535132">
              <w:rPr>
                <w:b/>
                <w:sz w:val="21"/>
                <w:szCs w:val="21"/>
              </w:rPr>
              <w:t>rence</w:t>
            </w:r>
            <w:proofErr w:type="spellEnd"/>
            <w:r w:rsidRPr="00535132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  <w:tcMar>
              <w:left w:w="0" w:type="dxa"/>
              <w:right w:w="58" w:type="dxa"/>
            </w:tcMar>
          </w:tcPr>
          <w:p w14:paraId="59B9F185" w14:textId="77777777" w:rsidR="00291834" w:rsidRPr="00535132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en-US"/>
              </w:rPr>
            </w:pPr>
            <w:r w:rsidRPr="00535132">
              <w:rPr>
                <w:b/>
                <w:sz w:val="21"/>
                <w:szCs w:val="21"/>
                <w:lang w:val="en-US"/>
              </w:rPr>
              <w:t>0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4D735588" w14:textId="77777777" w:rsidR="00291834" w:rsidRPr="00535132" w:rsidRDefault="00291834" w:rsidP="00591EB1">
            <w:pPr>
              <w:widowControl w:val="0"/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CA" w:eastAsia="en-CA"/>
              </w:rPr>
              <w:t>0</w:t>
            </w:r>
          </w:p>
        </w:tc>
        <w:tc>
          <w:tcPr>
            <w:tcW w:w="1237" w:type="dxa"/>
            <w:shd w:val="clear" w:color="auto" w:fill="auto"/>
            <w:tcMar>
              <w:left w:w="0" w:type="dxa"/>
              <w:right w:w="58" w:type="dxa"/>
            </w:tcMar>
          </w:tcPr>
          <w:p w14:paraId="5CA5108E" w14:textId="05B6028C" w:rsidR="00291834" w:rsidRPr="00206DB4" w:rsidRDefault="00291834" w:rsidP="00591EB1">
            <w:pPr>
              <w:widowControl w:val="0"/>
              <w:jc w:val="right"/>
              <w:rPr>
                <w:b/>
                <w:bCs/>
                <w:sz w:val="21"/>
                <w:szCs w:val="21"/>
                <w:lang w:val="en-US"/>
              </w:rPr>
            </w:pPr>
            <w:r w:rsidRPr="00206DB4">
              <w:rPr>
                <w:b/>
                <w:bCs/>
                <w:sz w:val="21"/>
                <w:szCs w:val="21"/>
                <w:lang w:val="en-US"/>
              </w:rPr>
              <w:t>12</w:t>
            </w:r>
            <w:r w:rsidR="00C21E27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b/>
                <w:bCs/>
                <w:sz w:val="21"/>
                <w:szCs w:val="21"/>
                <w:lang w:val="en-US"/>
              </w:rPr>
              <w:t>657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58" w:type="dxa"/>
            </w:tcMar>
          </w:tcPr>
          <w:p w14:paraId="437902BC" w14:textId="07B96B51" w:rsidR="00291834" w:rsidRPr="00206DB4" w:rsidRDefault="00291834" w:rsidP="00591EB1">
            <w:pPr>
              <w:widowControl w:val="0"/>
              <w:jc w:val="right"/>
              <w:rPr>
                <w:b/>
                <w:bCs/>
                <w:sz w:val="21"/>
                <w:szCs w:val="21"/>
                <w:lang w:val="en-US"/>
              </w:rPr>
            </w:pPr>
            <w:r w:rsidRPr="00206DB4">
              <w:rPr>
                <w:b/>
                <w:bCs/>
                <w:sz w:val="21"/>
                <w:szCs w:val="21"/>
                <w:lang w:val="en-US"/>
              </w:rPr>
              <w:t>(121</w:t>
            </w:r>
            <w:r w:rsidR="00C21E27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b/>
                <w:bCs/>
                <w:sz w:val="21"/>
                <w:szCs w:val="21"/>
                <w:lang w:val="en-US"/>
              </w:rPr>
              <w:t>562)</w:t>
            </w:r>
          </w:p>
        </w:tc>
      </w:tr>
    </w:tbl>
    <w:p w14:paraId="5CE42133" w14:textId="74BE3C59" w:rsidR="00291834" w:rsidRPr="0063040F" w:rsidRDefault="00291834" w:rsidP="00291834">
      <w:pPr>
        <w:outlineLvl w:val="0"/>
        <w:rPr>
          <w:sz w:val="20"/>
          <w:lang w:val="fr-CA"/>
        </w:rPr>
      </w:pPr>
      <w:r w:rsidRPr="00C21E27">
        <w:rPr>
          <w:sz w:val="20"/>
          <w:lang w:val="fr-CA"/>
        </w:rPr>
        <w:t xml:space="preserve">* </w:t>
      </w:r>
      <w:r w:rsidR="00C21E27" w:rsidRPr="00C21E27">
        <w:rPr>
          <w:sz w:val="20"/>
          <w:lang w:val="fr-CA"/>
        </w:rPr>
        <w:t xml:space="preserve">À clore </w:t>
      </w:r>
      <w:r w:rsidR="004209F5">
        <w:rPr>
          <w:sz w:val="20"/>
          <w:lang w:val="fr-CA"/>
        </w:rPr>
        <w:t>à</w:t>
      </w:r>
      <w:r w:rsidR="00C21E27" w:rsidRPr="00C21E27">
        <w:rPr>
          <w:sz w:val="20"/>
          <w:lang w:val="fr-CA"/>
        </w:rPr>
        <w:t xml:space="preserve"> l’achèvement des activités de la Banque mondiale au titre du Prot</w:t>
      </w:r>
      <w:r w:rsidR="00C21E27">
        <w:rPr>
          <w:sz w:val="20"/>
          <w:lang w:val="fr-CA"/>
        </w:rPr>
        <w:t>ocole de Montréal.</w:t>
      </w:r>
    </w:p>
    <w:p w14:paraId="36DA7992" w14:textId="77777777" w:rsidR="00291834" w:rsidRPr="0063040F" w:rsidRDefault="00291834" w:rsidP="00291834">
      <w:pPr>
        <w:rPr>
          <w:highlight w:val="yellow"/>
          <w:lang w:val="fr-CA"/>
        </w:rPr>
      </w:pPr>
    </w:p>
    <w:p w14:paraId="376C69C0" w14:textId="2A459AA6" w:rsidR="00C21E27" w:rsidRDefault="00C21E27" w:rsidP="00C21E27">
      <w:pPr>
        <w:pStyle w:val="Heading1"/>
        <w:tabs>
          <w:tab w:val="left" w:pos="567"/>
        </w:tabs>
        <w:rPr>
          <w:lang w:val="fr-CA"/>
        </w:rPr>
      </w:pPr>
      <w:r w:rsidRPr="00C21E27">
        <w:rPr>
          <w:lang w:val="fr-CA"/>
        </w:rPr>
        <w:t>D’après les explications fournies, l</w:t>
      </w:r>
      <w:r>
        <w:rPr>
          <w:lang w:val="fr-CA"/>
        </w:rPr>
        <w:t>es</w:t>
      </w:r>
      <w:r w:rsidRPr="00C21E27">
        <w:rPr>
          <w:lang w:val="fr-CA"/>
        </w:rPr>
        <w:t xml:space="preserve"> d</w:t>
      </w:r>
      <w:r>
        <w:rPr>
          <w:lang w:val="fr-CA"/>
        </w:rPr>
        <w:t xml:space="preserve">ifférences de 12 657 $US pour l’ONUDI et de 121 562 $US pour la Banque mondiale </w:t>
      </w:r>
      <w:r w:rsidR="009071D8">
        <w:rPr>
          <w:lang w:val="fr-CA"/>
        </w:rPr>
        <w:t>corre</w:t>
      </w:r>
      <w:r>
        <w:rPr>
          <w:lang w:val="fr-CA"/>
        </w:rPr>
        <w:t>s</w:t>
      </w:r>
      <w:r w:rsidR="009071D8">
        <w:rPr>
          <w:lang w:val="fr-CA"/>
        </w:rPr>
        <w:t>p</w:t>
      </w:r>
      <w:r>
        <w:rPr>
          <w:lang w:val="fr-CA"/>
        </w:rPr>
        <w:t>on</w:t>
      </w:r>
      <w:r w:rsidR="009071D8">
        <w:rPr>
          <w:lang w:val="fr-CA"/>
        </w:rPr>
        <w:t>den</w:t>
      </w:r>
      <w:r>
        <w:rPr>
          <w:lang w:val="fr-CA"/>
        </w:rPr>
        <w:t xml:space="preserve">t </w:t>
      </w:r>
      <w:r w:rsidR="009071D8">
        <w:rPr>
          <w:lang w:val="fr-CA"/>
        </w:rPr>
        <w:t xml:space="preserve">à </w:t>
      </w:r>
      <w:r>
        <w:rPr>
          <w:lang w:val="fr-CA"/>
        </w:rPr>
        <w:t>des éléments de rapprochement en suspens.</w:t>
      </w:r>
    </w:p>
    <w:p w14:paraId="344D76C7" w14:textId="39C4275C" w:rsidR="00C21E27" w:rsidRPr="00C21E27" w:rsidRDefault="00C21E27" w:rsidP="00591EB1">
      <w:pPr>
        <w:spacing w:after="240"/>
        <w:rPr>
          <w:b/>
          <w:bCs/>
          <w:lang w:val="fr-CA"/>
        </w:rPr>
      </w:pPr>
      <w:r>
        <w:rPr>
          <w:b/>
          <w:bCs/>
          <w:lang w:val="fr-CA"/>
        </w:rPr>
        <w:t>Dépenses déclarées dans les comptes finaux de 2020 et dans les rapports périodiques</w:t>
      </w:r>
    </w:p>
    <w:p w14:paraId="603FA65E" w14:textId="79692D99" w:rsidR="008470D2" w:rsidRDefault="00C21E27" w:rsidP="00C21E27">
      <w:pPr>
        <w:pStyle w:val="Heading1"/>
        <w:tabs>
          <w:tab w:val="left" w:pos="567"/>
        </w:tabs>
        <w:rPr>
          <w:lang w:val="fr-CA"/>
        </w:rPr>
      </w:pPr>
      <w:r>
        <w:rPr>
          <w:lang w:val="fr-CA"/>
        </w:rPr>
        <w:t>Le tableau 4 présente les différences entre les dépenses cumulatives</w:t>
      </w:r>
      <w:r w:rsidR="00764412">
        <w:rPr>
          <w:lang w:val="fr-CA"/>
        </w:rPr>
        <w:t>,</w:t>
      </w:r>
      <w:r w:rsidR="009071D8">
        <w:rPr>
          <w:lang w:val="fr-CA"/>
        </w:rPr>
        <w:t xml:space="preserve"> </w:t>
      </w:r>
      <w:r>
        <w:rPr>
          <w:lang w:val="fr-CA"/>
        </w:rPr>
        <w:t xml:space="preserve">déclarées </w:t>
      </w:r>
      <w:r w:rsidR="00764412">
        <w:rPr>
          <w:lang w:val="fr-CA"/>
        </w:rPr>
        <w:t>au</w:t>
      </w:r>
      <w:r>
        <w:rPr>
          <w:lang w:val="fr-CA"/>
        </w:rPr>
        <w:t xml:space="preserve"> Trésorier dans les comptes finaux de 2020</w:t>
      </w:r>
      <w:r w:rsidR="00764412">
        <w:rPr>
          <w:lang w:val="fr-CA"/>
        </w:rPr>
        <w:t>,</w:t>
      </w:r>
      <w:r>
        <w:rPr>
          <w:lang w:val="fr-CA"/>
        </w:rPr>
        <w:t xml:space="preserve"> et les fonds décaissés et engagés, tels que déclarés dans les rapports périodiques pour la période de 1991 à 2020.</w:t>
      </w:r>
    </w:p>
    <w:p w14:paraId="7A2A3DF6" w14:textId="70B7D477" w:rsidR="008470D2" w:rsidRPr="0074410A" w:rsidRDefault="008470D2" w:rsidP="008470D2">
      <w:pPr>
        <w:outlineLvl w:val="0"/>
        <w:rPr>
          <w:b/>
          <w:bCs/>
          <w:sz w:val="21"/>
          <w:szCs w:val="21"/>
          <w:lang w:val="fr-CA"/>
        </w:rPr>
      </w:pPr>
      <w:r w:rsidRPr="0063040F">
        <w:rPr>
          <w:b/>
          <w:sz w:val="21"/>
          <w:szCs w:val="21"/>
          <w:lang w:val="fr-CA"/>
        </w:rPr>
        <w:t xml:space="preserve">Table 4. </w:t>
      </w:r>
      <w:r w:rsidRPr="0074410A">
        <w:rPr>
          <w:b/>
          <w:bCs/>
          <w:sz w:val="21"/>
          <w:szCs w:val="21"/>
          <w:lang w:val="fr-CA"/>
        </w:rPr>
        <w:t>Différences dans les dépenses cumulatives</w:t>
      </w:r>
      <w:r w:rsidR="0074410A" w:rsidRPr="0074410A">
        <w:rPr>
          <w:b/>
          <w:bCs/>
          <w:sz w:val="21"/>
          <w:szCs w:val="21"/>
          <w:lang w:val="fr-CA"/>
        </w:rPr>
        <w:t xml:space="preserve">, entre les rapports périodiques et les comptes finaux de </w:t>
      </w:r>
      <w:r w:rsidR="0074410A">
        <w:rPr>
          <w:b/>
          <w:bCs/>
          <w:sz w:val="21"/>
          <w:szCs w:val="21"/>
          <w:lang w:val="fr-CA"/>
        </w:rPr>
        <w:t>2020 ($US)</w:t>
      </w:r>
      <w:r w:rsidRPr="0074410A">
        <w:rPr>
          <w:b/>
          <w:bCs/>
          <w:sz w:val="21"/>
          <w:szCs w:val="21"/>
          <w:lang w:val="fr-CA"/>
        </w:rPr>
        <w:t xml:space="preserve"> </w:t>
      </w:r>
    </w:p>
    <w:tbl>
      <w:tblPr>
        <w:tblW w:w="9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385"/>
        <w:gridCol w:w="1544"/>
        <w:gridCol w:w="1466"/>
        <w:gridCol w:w="1782"/>
        <w:gridCol w:w="1499"/>
      </w:tblGrid>
      <w:tr w:rsidR="0074410A" w:rsidRPr="008805FB" w14:paraId="3C3A9A3F" w14:textId="77777777" w:rsidTr="0074410A">
        <w:trPr>
          <w:tblHeader/>
        </w:trPr>
        <w:tc>
          <w:tcPr>
            <w:tcW w:w="1701" w:type="dxa"/>
            <w:vMerge w:val="restart"/>
            <w:vAlign w:val="center"/>
          </w:tcPr>
          <w:p w14:paraId="41980CA4" w14:textId="69027486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8805FB">
              <w:rPr>
                <w:b/>
                <w:bCs/>
                <w:sz w:val="21"/>
                <w:szCs w:val="21"/>
              </w:rPr>
              <w:t>Agenc</w:t>
            </w:r>
            <w:r w:rsidR="0074410A">
              <w:rPr>
                <w:b/>
                <w:bCs/>
                <w:sz w:val="21"/>
                <w:szCs w:val="21"/>
              </w:rPr>
              <w:t>e</w:t>
            </w:r>
            <w:proofErr w:type="spellEnd"/>
          </w:p>
        </w:tc>
        <w:tc>
          <w:tcPr>
            <w:tcW w:w="4395" w:type="dxa"/>
            <w:gridSpan w:val="3"/>
            <w:vAlign w:val="center"/>
          </w:tcPr>
          <w:p w14:paraId="0129B63D" w14:textId="0293CFC8" w:rsidR="008470D2" w:rsidRPr="008805FB" w:rsidRDefault="006A106C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Rapport </w:t>
            </w:r>
            <w:proofErr w:type="spellStart"/>
            <w:r>
              <w:rPr>
                <w:b/>
                <w:bCs/>
                <w:sz w:val="21"/>
                <w:szCs w:val="21"/>
              </w:rPr>
              <w:t>périodique</w:t>
            </w:r>
            <w:proofErr w:type="spellEnd"/>
            <w:r w:rsidR="008470D2" w:rsidRPr="008805FB">
              <w:rPr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1782" w:type="dxa"/>
            <w:vMerge w:val="restart"/>
            <w:vAlign w:val="center"/>
          </w:tcPr>
          <w:p w14:paraId="384100A7" w14:textId="45B77CEB" w:rsidR="008470D2" w:rsidRPr="0074410A" w:rsidRDefault="0074410A" w:rsidP="00D7179D">
            <w:pPr>
              <w:jc w:val="center"/>
              <w:rPr>
                <w:b/>
                <w:bCs/>
                <w:sz w:val="21"/>
                <w:szCs w:val="21"/>
                <w:lang w:val="fr-CA"/>
              </w:rPr>
            </w:pPr>
            <w:r w:rsidRPr="0074410A">
              <w:rPr>
                <w:b/>
                <w:bCs/>
                <w:sz w:val="21"/>
                <w:szCs w:val="21"/>
                <w:lang w:val="fr-CA"/>
              </w:rPr>
              <w:t>Dépenses c</w:t>
            </w:r>
            <w:r w:rsidR="008470D2" w:rsidRPr="0074410A">
              <w:rPr>
                <w:b/>
                <w:bCs/>
                <w:sz w:val="21"/>
                <w:szCs w:val="21"/>
                <w:lang w:val="fr-CA"/>
              </w:rPr>
              <w:t>umulative</w:t>
            </w:r>
            <w:r w:rsidRPr="0074410A">
              <w:rPr>
                <w:b/>
                <w:bCs/>
                <w:sz w:val="21"/>
                <w:szCs w:val="21"/>
                <w:lang w:val="fr-CA"/>
              </w:rPr>
              <w:t>s</w:t>
            </w:r>
            <w:r w:rsidR="008470D2" w:rsidRPr="0074410A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74410A">
              <w:rPr>
                <w:b/>
                <w:bCs/>
                <w:sz w:val="21"/>
                <w:szCs w:val="21"/>
                <w:lang w:val="fr-CA"/>
              </w:rPr>
              <w:t>pour les comp</w:t>
            </w:r>
            <w:r>
              <w:rPr>
                <w:b/>
                <w:bCs/>
                <w:sz w:val="21"/>
                <w:szCs w:val="21"/>
                <w:lang w:val="fr-CA"/>
              </w:rPr>
              <w:t>tes finaux de</w:t>
            </w:r>
            <w:r w:rsidR="008470D2" w:rsidRPr="0074410A">
              <w:rPr>
                <w:b/>
                <w:bCs/>
                <w:sz w:val="21"/>
                <w:szCs w:val="21"/>
                <w:lang w:val="fr-CA"/>
              </w:rPr>
              <w:t xml:space="preserve"> 2020 </w:t>
            </w:r>
          </w:p>
        </w:tc>
        <w:tc>
          <w:tcPr>
            <w:tcW w:w="1499" w:type="dxa"/>
            <w:vMerge w:val="restart"/>
            <w:vAlign w:val="center"/>
          </w:tcPr>
          <w:p w14:paraId="30C2CCE1" w14:textId="1AA70501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8805FB">
              <w:rPr>
                <w:b/>
                <w:bCs/>
                <w:sz w:val="21"/>
                <w:szCs w:val="21"/>
              </w:rPr>
              <w:t>Diff</w:t>
            </w:r>
            <w:r w:rsidR="0074410A">
              <w:rPr>
                <w:b/>
                <w:bCs/>
                <w:sz w:val="21"/>
                <w:szCs w:val="21"/>
              </w:rPr>
              <w:t>é</w:t>
            </w:r>
            <w:r w:rsidRPr="008805FB">
              <w:rPr>
                <w:b/>
                <w:bCs/>
                <w:sz w:val="21"/>
                <w:szCs w:val="21"/>
              </w:rPr>
              <w:t>rences</w:t>
            </w:r>
            <w:proofErr w:type="spellEnd"/>
            <w:r w:rsidRPr="008805FB">
              <w:rPr>
                <w:b/>
                <w:bCs/>
                <w:sz w:val="21"/>
                <w:szCs w:val="21"/>
              </w:rPr>
              <w:t>**</w:t>
            </w:r>
          </w:p>
        </w:tc>
      </w:tr>
      <w:tr w:rsidR="0074410A" w:rsidRPr="008805FB" w14:paraId="3E84D063" w14:textId="77777777" w:rsidTr="0074410A">
        <w:trPr>
          <w:tblHeader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F3C39CE" w14:textId="77777777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4826249" w14:textId="3CBA5A4D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proofErr w:type="spellStart"/>
            <w:r w:rsidRPr="008805FB">
              <w:rPr>
                <w:b/>
                <w:bCs/>
                <w:sz w:val="21"/>
                <w:szCs w:val="21"/>
              </w:rPr>
              <w:t>F</w:t>
            </w:r>
            <w:r w:rsidR="0074410A">
              <w:rPr>
                <w:b/>
                <w:bCs/>
                <w:sz w:val="21"/>
                <w:szCs w:val="21"/>
              </w:rPr>
              <w:t>o</w:t>
            </w:r>
            <w:r w:rsidRPr="008805FB">
              <w:rPr>
                <w:b/>
                <w:bCs/>
                <w:sz w:val="21"/>
                <w:szCs w:val="21"/>
              </w:rPr>
              <w:t>nds</w:t>
            </w:r>
            <w:proofErr w:type="spellEnd"/>
            <w:r w:rsidRPr="008805F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805FB">
              <w:rPr>
                <w:b/>
                <w:bCs/>
                <w:sz w:val="21"/>
                <w:szCs w:val="21"/>
              </w:rPr>
              <w:t>d</w:t>
            </w:r>
            <w:r w:rsidR="0074410A">
              <w:rPr>
                <w:b/>
                <w:bCs/>
                <w:sz w:val="21"/>
                <w:szCs w:val="21"/>
              </w:rPr>
              <w:t>écaissés</w:t>
            </w:r>
            <w:proofErr w:type="spellEnd"/>
          </w:p>
        </w:tc>
        <w:tc>
          <w:tcPr>
            <w:tcW w:w="154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9016B2E" w14:textId="5E583668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proofErr w:type="spellStart"/>
            <w:r w:rsidRPr="008805FB">
              <w:rPr>
                <w:b/>
                <w:bCs/>
                <w:sz w:val="21"/>
                <w:szCs w:val="21"/>
              </w:rPr>
              <w:t>F</w:t>
            </w:r>
            <w:r w:rsidR="0074410A">
              <w:rPr>
                <w:b/>
                <w:bCs/>
                <w:sz w:val="21"/>
                <w:szCs w:val="21"/>
              </w:rPr>
              <w:t>o</w:t>
            </w:r>
            <w:r w:rsidRPr="008805FB">
              <w:rPr>
                <w:b/>
                <w:bCs/>
                <w:sz w:val="21"/>
                <w:szCs w:val="21"/>
              </w:rPr>
              <w:t>nds</w:t>
            </w:r>
            <w:proofErr w:type="spellEnd"/>
            <w:r w:rsidRPr="008805F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74410A">
              <w:rPr>
                <w:b/>
                <w:bCs/>
                <w:sz w:val="21"/>
                <w:szCs w:val="21"/>
              </w:rPr>
              <w:t>engagés</w:t>
            </w:r>
            <w:proofErr w:type="spellEnd"/>
          </w:p>
        </w:tc>
        <w:tc>
          <w:tcPr>
            <w:tcW w:w="1466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6798354" w14:textId="0C4C4CC2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 w:rsidRPr="008805FB">
              <w:rPr>
                <w:b/>
                <w:bCs/>
                <w:sz w:val="21"/>
                <w:szCs w:val="21"/>
              </w:rPr>
              <w:t xml:space="preserve">Total </w:t>
            </w:r>
            <w:proofErr w:type="spellStart"/>
            <w:r w:rsidRPr="008805FB">
              <w:rPr>
                <w:b/>
                <w:bCs/>
                <w:sz w:val="21"/>
                <w:szCs w:val="21"/>
              </w:rPr>
              <w:t>cumulati</w:t>
            </w:r>
            <w:r w:rsidR="0074410A">
              <w:rPr>
                <w:b/>
                <w:bCs/>
                <w:sz w:val="21"/>
                <w:szCs w:val="21"/>
              </w:rPr>
              <w:t>f</w:t>
            </w:r>
            <w:proofErr w:type="spellEnd"/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EAFE928" w14:textId="77777777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D9093D9" w14:textId="77777777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</w:p>
        </w:tc>
      </w:tr>
      <w:tr w:rsidR="0074410A" w:rsidRPr="008805FB" w14:paraId="4398F064" w14:textId="77777777" w:rsidTr="0074410A">
        <w:trPr>
          <w:tblHeader/>
        </w:trPr>
        <w:tc>
          <w:tcPr>
            <w:tcW w:w="1701" w:type="dxa"/>
          </w:tcPr>
          <w:p w14:paraId="083B36AB" w14:textId="77777777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8805FB">
              <w:rPr>
                <w:b/>
                <w:bCs/>
                <w:sz w:val="21"/>
                <w:szCs w:val="21"/>
              </w:rPr>
              <w:t>(1)</w:t>
            </w:r>
          </w:p>
        </w:tc>
        <w:tc>
          <w:tcPr>
            <w:tcW w:w="1385" w:type="dxa"/>
          </w:tcPr>
          <w:p w14:paraId="62ACE349" w14:textId="77777777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8805FB">
              <w:rPr>
                <w:b/>
                <w:bCs/>
                <w:sz w:val="21"/>
                <w:szCs w:val="21"/>
              </w:rPr>
              <w:t>(2)</w:t>
            </w:r>
          </w:p>
        </w:tc>
        <w:tc>
          <w:tcPr>
            <w:tcW w:w="1544" w:type="dxa"/>
          </w:tcPr>
          <w:p w14:paraId="1D9844F5" w14:textId="77777777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8805FB">
              <w:rPr>
                <w:b/>
                <w:bCs/>
                <w:sz w:val="21"/>
                <w:szCs w:val="21"/>
              </w:rPr>
              <w:t>(3)</w:t>
            </w:r>
          </w:p>
        </w:tc>
        <w:tc>
          <w:tcPr>
            <w:tcW w:w="1466" w:type="dxa"/>
          </w:tcPr>
          <w:p w14:paraId="759A31E2" w14:textId="310E473E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8805FB">
              <w:rPr>
                <w:b/>
                <w:bCs/>
                <w:sz w:val="21"/>
                <w:szCs w:val="21"/>
              </w:rPr>
              <w:t>(</w:t>
            </w:r>
            <w:r w:rsidR="00251722" w:rsidRPr="008805FB">
              <w:rPr>
                <w:b/>
                <w:bCs/>
                <w:sz w:val="21"/>
                <w:szCs w:val="21"/>
              </w:rPr>
              <w:t>4) =</w:t>
            </w:r>
            <w:r w:rsidRPr="008805FB">
              <w:rPr>
                <w:b/>
                <w:bCs/>
                <w:sz w:val="21"/>
                <w:szCs w:val="21"/>
              </w:rPr>
              <w:t xml:space="preserve"> (2)+(3)</w:t>
            </w:r>
          </w:p>
        </w:tc>
        <w:tc>
          <w:tcPr>
            <w:tcW w:w="1782" w:type="dxa"/>
          </w:tcPr>
          <w:p w14:paraId="3778A4DC" w14:textId="77777777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8805FB">
              <w:rPr>
                <w:b/>
                <w:bCs/>
                <w:sz w:val="21"/>
                <w:szCs w:val="21"/>
              </w:rPr>
              <w:t>(5)</w:t>
            </w:r>
          </w:p>
        </w:tc>
        <w:tc>
          <w:tcPr>
            <w:tcW w:w="1499" w:type="dxa"/>
          </w:tcPr>
          <w:p w14:paraId="2A596C35" w14:textId="6946C884" w:rsidR="008470D2" w:rsidRPr="008805FB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8805FB">
              <w:rPr>
                <w:b/>
                <w:bCs/>
                <w:sz w:val="21"/>
                <w:szCs w:val="21"/>
              </w:rPr>
              <w:t>(</w:t>
            </w:r>
            <w:r w:rsidR="00251722" w:rsidRPr="008805FB">
              <w:rPr>
                <w:b/>
                <w:bCs/>
                <w:sz w:val="21"/>
                <w:szCs w:val="21"/>
              </w:rPr>
              <w:t>6) =</w:t>
            </w:r>
            <w:r w:rsidRPr="008805FB">
              <w:rPr>
                <w:b/>
                <w:bCs/>
                <w:sz w:val="21"/>
                <w:szCs w:val="21"/>
              </w:rPr>
              <w:t xml:space="preserve"> (4)-(5)</w:t>
            </w:r>
          </w:p>
        </w:tc>
      </w:tr>
      <w:tr w:rsidR="0074410A" w:rsidRPr="00206DB4" w14:paraId="2B207EAD" w14:textId="77777777" w:rsidTr="0074410A">
        <w:tc>
          <w:tcPr>
            <w:tcW w:w="1701" w:type="dxa"/>
            <w:vAlign w:val="center"/>
          </w:tcPr>
          <w:p w14:paraId="5D4AFC93" w14:textId="6F5A980C" w:rsidR="008470D2" w:rsidRPr="00206DB4" w:rsidRDefault="008470D2" w:rsidP="00D7179D">
            <w:pPr>
              <w:rPr>
                <w:color w:val="000000"/>
                <w:sz w:val="21"/>
                <w:szCs w:val="21"/>
              </w:rPr>
            </w:pPr>
            <w:r w:rsidRPr="00206DB4">
              <w:rPr>
                <w:color w:val="000000"/>
                <w:sz w:val="21"/>
                <w:szCs w:val="21"/>
              </w:rPr>
              <w:t>P</w:t>
            </w:r>
            <w:r w:rsidR="0074410A">
              <w:rPr>
                <w:color w:val="000000"/>
                <w:sz w:val="21"/>
                <w:szCs w:val="21"/>
              </w:rPr>
              <w:t>NUD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81D9" w14:textId="0A61D68E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907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282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31A1" w14:textId="2542846B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3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005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D87D" w14:textId="3AC6DDD1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910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288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593" w14:textId="39BE5A7B" w:rsidR="008470D2" w:rsidRPr="00206DB4" w:rsidRDefault="008470D2" w:rsidP="00D7179D">
            <w:pPr>
              <w:jc w:val="right"/>
              <w:rPr>
                <w:sz w:val="21"/>
                <w:szCs w:val="21"/>
                <w:lang w:val="en-CA"/>
              </w:rPr>
            </w:pPr>
            <w:r w:rsidRPr="00206DB4">
              <w:rPr>
                <w:color w:val="000000"/>
                <w:sz w:val="20"/>
                <w:szCs w:val="20"/>
              </w:rPr>
              <w:t>912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406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CACA" w14:textId="0B4BE8B6" w:rsidR="008470D2" w:rsidRPr="00206DB4" w:rsidRDefault="008470D2" w:rsidP="00D7179D">
            <w:pPr>
              <w:jc w:val="right"/>
              <w:rPr>
                <w:color w:val="000000"/>
                <w:sz w:val="21"/>
                <w:szCs w:val="21"/>
                <w:lang w:val="en-CA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206DB4">
              <w:rPr>
                <w:color w:val="000000"/>
                <w:sz w:val="20"/>
                <w:szCs w:val="20"/>
              </w:rPr>
              <w:t>2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118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59)</w:t>
            </w:r>
          </w:p>
        </w:tc>
      </w:tr>
      <w:tr w:rsidR="0074410A" w:rsidRPr="00206DB4" w14:paraId="30E666B3" w14:textId="77777777" w:rsidTr="0074410A">
        <w:tc>
          <w:tcPr>
            <w:tcW w:w="1701" w:type="dxa"/>
            <w:vAlign w:val="center"/>
          </w:tcPr>
          <w:p w14:paraId="18A87DC7" w14:textId="66B95B1B" w:rsidR="008470D2" w:rsidRPr="00206DB4" w:rsidRDefault="008470D2" w:rsidP="00D7179D">
            <w:pPr>
              <w:rPr>
                <w:color w:val="000000"/>
                <w:sz w:val="21"/>
                <w:szCs w:val="21"/>
              </w:rPr>
            </w:pPr>
            <w:r w:rsidRPr="00206DB4">
              <w:rPr>
                <w:color w:val="000000"/>
                <w:sz w:val="21"/>
                <w:szCs w:val="21"/>
              </w:rPr>
              <w:t>P</w:t>
            </w:r>
            <w:r w:rsidR="0074410A">
              <w:rPr>
                <w:color w:val="000000"/>
                <w:sz w:val="21"/>
                <w:szCs w:val="21"/>
              </w:rPr>
              <w:t>NUE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0759" w14:textId="0B3C6639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326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440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A2D2" w14:textId="1430D4B3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20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214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22B0" w14:textId="620CBE93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346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655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8FF4" w14:textId="1B464432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333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067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7191" w14:textId="36F52426" w:rsidR="008470D2" w:rsidRPr="00206DB4" w:rsidRDefault="008470D2" w:rsidP="00D7179D">
            <w:pPr>
              <w:jc w:val="right"/>
              <w:rPr>
                <w:color w:val="000000"/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13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58</w:t>
            </w:r>
            <w:r w:rsidR="0074410A">
              <w:rPr>
                <w:color w:val="000000"/>
                <w:sz w:val="20"/>
                <w:szCs w:val="20"/>
              </w:rPr>
              <w:t xml:space="preserve">7 </w:t>
            </w:r>
            <w:r w:rsidRPr="00206DB4">
              <w:rPr>
                <w:color w:val="000000"/>
                <w:sz w:val="20"/>
                <w:szCs w:val="20"/>
              </w:rPr>
              <w:t>922</w:t>
            </w:r>
          </w:p>
        </w:tc>
      </w:tr>
      <w:tr w:rsidR="0074410A" w:rsidRPr="008805FB" w14:paraId="71E57F0A" w14:textId="77777777" w:rsidTr="0074410A">
        <w:tc>
          <w:tcPr>
            <w:tcW w:w="1701" w:type="dxa"/>
            <w:vAlign w:val="center"/>
          </w:tcPr>
          <w:p w14:paraId="11FE9C26" w14:textId="42685C62" w:rsidR="008470D2" w:rsidRPr="00206DB4" w:rsidRDefault="008470D2" w:rsidP="00D7179D">
            <w:pPr>
              <w:rPr>
                <w:color w:val="000000"/>
                <w:sz w:val="21"/>
                <w:szCs w:val="21"/>
              </w:rPr>
            </w:pPr>
            <w:r w:rsidRPr="00206DB4">
              <w:rPr>
                <w:color w:val="000000"/>
                <w:sz w:val="21"/>
                <w:szCs w:val="21"/>
              </w:rPr>
              <w:t>O</w:t>
            </w:r>
            <w:r w:rsidR="0074410A">
              <w:rPr>
                <w:color w:val="000000"/>
                <w:sz w:val="21"/>
                <w:szCs w:val="21"/>
              </w:rPr>
              <w:t>NUDI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8D8" w14:textId="1ED30091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865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646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D028" w14:textId="6D08BCB1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54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256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5D21" w14:textId="4AB40417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919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903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A996" w14:textId="79739B7A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863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656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6DE" w14:textId="4396B827" w:rsidR="008470D2" w:rsidRPr="00206DB4" w:rsidRDefault="008470D2" w:rsidP="00D7179D">
            <w:pPr>
              <w:jc w:val="right"/>
              <w:rPr>
                <w:color w:val="000000"/>
                <w:sz w:val="21"/>
                <w:szCs w:val="21"/>
              </w:rPr>
            </w:pPr>
            <w:r w:rsidRPr="00206DB4">
              <w:rPr>
                <w:color w:val="000000"/>
                <w:sz w:val="20"/>
                <w:szCs w:val="20"/>
              </w:rPr>
              <w:t>56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 w:rsidRPr="00206DB4">
              <w:rPr>
                <w:color w:val="000000"/>
                <w:sz w:val="20"/>
                <w:szCs w:val="20"/>
              </w:rPr>
              <w:t>24</w:t>
            </w:r>
            <w:r w:rsidR="0074410A">
              <w:rPr>
                <w:color w:val="000000"/>
                <w:sz w:val="20"/>
                <w:szCs w:val="20"/>
              </w:rPr>
              <w:t xml:space="preserve">6 </w:t>
            </w:r>
            <w:r w:rsidRPr="00206DB4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74410A" w:rsidRPr="008805FB" w14:paraId="5DE662C9" w14:textId="77777777" w:rsidTr="0074410A">
        <w:tc>
          <w:tcPr>
            <w:tcW w:w="1701" w:type="dxa"/>
            <w:shd w:val="clear" w:color="auto" w:fill="auto"/>
            <w:vAlign w:val="center"/>
          </w:tcPr>
          <w:p w14:paraId="0C478BE9" w14:textId="71BDE63A" w:rsidR="008470D2" w:rsidRPr="008805FB" w:rsidRDefault="0074410A" w:rsidP="00D7179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Banque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mondiale</w:t>
            </w:r>
            <w:proofErr w:type="spellEnd"/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2510" w14:textId="124A7AD6" w:rsidR="008470D2" w:rsidRPr="008805FB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265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B23A" w14:textId="2691ECDC" w:rsidR="008470D2" w:rsidRPr="008805FB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874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5A0" w14:textId="5D68D728" w:rsidR="008470D2" w:rsidRPr="008805FB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278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994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3AB2" w14:textId="0C73DDBA" w:rsidR="008470D2" w:rsidRPr="008805FB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267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642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BB1E" w14:textId="78998E18" w:rsidR="008470D2" w:rsidRPr="008805FB" w:rsidRDefault="008470D2" w:rsidP="00D7179D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441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35</w:t>
            </w:r>
            <w:r w:rsidR="0074410A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301</w:t>
            </w:r>
          </w:p>
        </w:tc>
      </w:tr>
    </w:tbl>
    <w:p w14:paraId="6A68A0A5" w14:textId="54513951" w:rsidR="008470D2" w:rsidRDefault="008470D2" w:rsidP="008470D2">
      <w:pPr>
        <w:rPr>
          <w:sz w:val="20"/>
          <w:szCs w:val="20"/>
          <w:lang w:val="fr-CA"/>
        </w:rPr>
      </w:pPr>
      <w:r w:rsidRPr="0074410A">
        <w:rPr>
          <w:sz w:val="20"/>
          <w:lang w:val="fr-CA"/>
        </w:rPr>
        <w:t>(*)</w:t>
      </w:r>
      <w:r w:rsidRPr="0074410A">
        <w:rPr>
          <w:sz w:val="20"/>
          <w:szCs w:val="20"/>
          <w:lang w:val="fr-CA"/>
        </w:rPr>
        <w:t xml:space="preserve"> Inclu</w:t>
      </w:r>
      <w:r w:rsidR="0074410A" w:rsidRPr="0074410A">
        <w:rPr>
          <w:sz w:val="20"/>
          <w:szCs w:val="20"/>
          <w:lang w:val="fr-CA"/>
        </w:rPr>
        <w:t>ant les coût d’appui d’agence</w:t>
      </w:r>
      <w:r w:rsidRPr="0074410A">
        <w:rPr>
          <w:sz w:val="20"/>
          <w:szCs w:val="20"/>
          <w:lang w:val="fr-CA"/>
        </w:rPr>
        <w:t>.</w:t>
      </w:r>
    </w:p>
    <w:p w14:paraId="59B37676" w14:textId="0354A0E9" w:rsidR="007D3541" w:rsidRDefault="007D3541" w:rsidP="007D3541">
      <w:pPr>
        <w:rPr>
          <w:sz w:val="20"/>
          <w:lang w:val="fr-CA"/>
        </w:rPr>
      </w:pPr>
      <w:r>
        <w:rPr>
          <w:sz w:val="20"/>
          <w:lang w:val="fr-CA"/>
        </w:rPr>
        <w:t xml:space="preserve">(**) Un nombre positif indique des dépenses supérieures tandis qu’un nombre négatif signifie </w:t>
      </w:r>
      <w:r w:rsidR="00764412">
        <w:rPr>
          <w:sz w:val="20"/>
          <w:lang w:val="fr-CA"/>
        </w:rPr>
        <w:t>de</w:t>
      </w:r>
      <w:r>
        <w:rPr>
          <w:sz w:val="20"/>
          <w:lang w:val="fr-CA"/>
        </w:rPr>
        <w:t xml:space="preserve">s dépenses </w:t>
      </w:r>
      <w:r w:rsidR="000F1A07">
        <w:rPr>
          <w:sz w:val="20"/>
          <w:lang w:val="fr-CA"/>
        </w:rPr>
        <w:t>déclarées dans le rapport périodique</w:t>
      </w:r>
      <w:r w:rsidR="00764412">
        <w:rPr>
          <w:sz w:val="20"/>
          <w:lang w:val="fr-CA"/>
        </w:rPr>
        <w:t>,</w:t>
      </w:r>
      <w:r w:rsidR="000F1A07">
        <w:rPr>
          <w:sz w:val="20"/>
          <w:lang w:val="fr-CA"/>
        </w:rPr>
        <w:t xml:space="preserve"> </w:t>
      </w:r>
      <w:r>
        <w:rPr>
          <w:sz w:val="20"/>
          <w:lang w:val="fr-CA"/>
        </w:rPr>
        <w:t>inférieures</w:t>
      </w:r>
      <w:r w:rsidR="000F1A07">
        <w:rPr>
          <w:sz w:val="20"/>
          <w:lang w:val="fr-CA"/>
        </w:rPr>
        <w:t xml:space="preserve"> à celles indiquées dans les</w:t>
      </w:r>
      <w:r>
        <w:rPr>
          <w:sz w:val="20"/>
          <w:lang w:val="fr-CA"/>
        </w:rPr>
        <w:t xml:space="preserve"> comptes.</w:t>
      </w:r>
    </w:p>
    <w:p w14:paraId="371C637E" w14:textId="77777777" w:rsidR="008470D2" w:rsidRPr="0074410A" w:rsidRDefault="008470D2" w:rsidP="008470D2">
      <w:pPr>
        <w:rPr>
          <w:sz w:val="20"/>
          <w:lang w:val="fr-CA"/>
        </w:rPr>
      </w:pPr>
    </w:p>
    <w:p w14:paraId="3B37057B" w14:textId="533DD832" w:rsidR="007D3541" w:rsidRDefault="0074410A" w:rsidP="007D3541">
      <w:pPr>
        <w:pStyle w:val="Heading1"/>
        <w:rPr>
          <w:lang w:val="fr-CA"/>
        </w:rPr>
      </w:pPr>
      <w:r w:rsidRPr="0074410A">
        <w:rPr>
          <w:lang w:val="fr-CA"/>
        </w:rPr>
        <w:t>L’explication des diff</w:t>
      </w:r>
      <w:r>
        <w:rPr>
          <w:lang w:val="fr-CA"/>
        </w:rPr>
        <w:t>é</w:t>
      </w:r>
      <w:r w:rsidRPr="0074410A">
        <w:rPr>
          <w:lang w:val="fr-CA"/>
        </w:rPr>
        <w:t xml:space="preserve">rences fournie par les AE concernées et les mesures </w:t>
      </w:r>
      <w:r w:rsidR="007D3541">
        <w:rPr>
          <w:lang w:val="fr-CA"/>
        </w:rPr>
        <w:t xml:space="preserve">à prendre </w:t>
      </w:r>
      <w:r w:rsidRPr="0074410A">
        <w:rPr>
          <w:lang w:val="fr-CA"/>
        </w:rPr>
        <w:t>s</w:t>
      </w:r>
      <w:r>
        <w:rPr>
          <w:lang w:val="fr-CA"/>
        </w:rPr>
        <w:t>ont présentées dans le tableau</w:t>
      </w:r>
      <w:r w:rsidR="008470D2" w:rsidRPr="0074410A">
        <w:rPr>
          <w:lang w:val="fr-CA"/>
        </w:rPr>
        <w:t> 5.</w:t>
      </w:r>
    </w:p>
    <w:p w14:paraId="3FE58434" w14:textId="2F8ED4B3" w:rsidR="008470D2" w:rsidRPr="003D3A9A" w:rsidRDefault="008470D2" w:rsidP="003D3A9A">
      <w:pPr>
        <w:rPr>
          <w:b/>
          <w:bCs/>
          <w:sz w:val="21"/>
          <w:szCs w:val="21"/>
          <w:lang w:val="fr-CA"/>
        </w:rPr>
      </w:pPr>
      <w:r w:rsidRPr="0063040F">
        <w:rPr>
          <w:b/>
          <w:sz w:val="21"/>
          <w:szCs w:val="21"/>
          <w:lang w:val="fr-CA"/>
        </w:rPr>
        <w:t xml:space="preserve">Table 5. </w:t>
      </w:r>
      <w:r w:rsidR="0074410A" w:rsidRPr="00291834">
        <w:rPr>
          <w:b/>
          <w:bCs/>
          <w:sz w:val="21"/>
          <w:szCs w:val="21"/>
          <w:lang w:val="fr-CA"/>
        </w:rPr>
        <w:t xml:space="preserve">Raisons des différences dans les </w:t>
      </w:r>
      <w:r w:rsidR="0074410A">
        <w:rPr>
          <w:b/>
          <w:bCs/>
          <w:sz w:val="21"/>
          <w:szCs w:val="21"/>
          <w:lang w:val="fr-CA"/>
        </w:rPr>
        <w:t>dépenses entre les rapports périodiques et</w:t>
      </w:r>
      <w:r w:rsidR="0074410A" w:rsidRPr="00291834">
        <w:rPr>
          <w:b/>
          <w:bCs/>
          <w:sz w:val="21"/>
          <w:szCs w:val="21"/>
          <w:lang w:val="fr-CA"/>
        </w:rPr>
        <w:t xml:space="preserve"> les comptes finaux de 2020 ($US)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795"/>
        <w:gridCol w:w="1316"/>
        <w:gridCol w:w="1417"/>
        <w:gridCol w:w="1276"/>
        <w:gridCol w:w="1705"/>
      </w:tblGrid>
      <w:tr w:rsidR="008470D2" w:rsidRPr="00975119" w14:paraId="0CCF7D92" w14:textId="77777777" w:rsidTr="003D3A9A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</w:tcPr>
          <w:p w14:paraId="630D9176" w14:textId="0F35DADA" w:rsidR="008470D2" w:rsidRPr="00975119" w:rsidRDefault="003D3A9A" w:rsidP="00D7179D">
            <w:pPr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lastRenderedPageBreak/>
              <w:t>Ligne</w:t>
            </w:r>
            <w:proofErr w:type="spellEnd"/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1A923C27" w14:textId="70FCC87B" w:rsidR="008470D2" w:rsidRPr="00975119" w:rsidRDefault="008470D2" w:rsidP="00D7179D">
            <w:pPr>
              <w:rPr>
                <w:b/>
                <w:sz w:val="21"/>
                <w:szCs w:val="21"/>
              </w:rPr>
            </w:pPr>
            <w:r w:rsidRPr="00975119">
              <w:rPr>
                <w:b/>
                <w:sz w:val="21"/>
                <w:szCs w:val="21"/>
              </w:rPr>
              <w:t>Expl</w:t>
            </w:r>
            <w:r w:rsidR="003D3A9A">
              <w:rPr>
                <w:b/>
                <w:sz w:val="21"/>
                <w:szCs w:val="21"/>
              </w:rPr>
              <w:t>ic</w:t>
            </w:r>
            <w:r w:rsidRPr="00975119">
              <w:rPr>
                <w:b/>
                <w:sz w:val="21"/>
                <w:szCs w:val="21"/>
              </w:rPr>
              <w:t>ation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</w:tcPr>
          <w:p w14:paraId="771A674D" w14:textId="5616426E" w:rsidR="008470D2" w:rsidRPr="00206DB4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206DB4">
              <w:rPr>
                <w:b/>
                <w:bCs/>
                <w:sz w:val="21"/>
                <w:szCs w:val="21"/>
              </w:rPr>
              <w:t>P</w:t>
            </w:r>
            <w:r w:rsidR="003D3A9A">
              <w:rPr>
                <w:b/>
                <w:bCs/>
                <w:sz w:val="21"/>
                <w:szCs w:val="21"/>
              </w:rPr>
              <w:t>NUD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</w:tcPr>
          <w:p w14:paraId="4AF9EB95" w14:textId="375DA43B" w:rsidR="008470D2" w:rsidRPr="00206DB4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206DB4">
              <w:rPr>
                <w:b/>
                <w:bCs/>
                <w:sz w:val="21"/>
                <w:szCs w:val="21"/>
              </w:rPr>
              <w:t>P</w:t>
            </w:r>
            <w:r w:rsidR="003D3A9A">
              <w:rPr>
                <w:b/>
                <w:bCs/>
                <w:sz w:val="21"/>
                <w:szCs w:val="21"/>
              </w:rPr>
              <w:t>NUE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</w:tcPr>
          <w:p w14:paraId="70CFA1A5" w14:textId="39CA42C7" w:rsidR="008470D2" w:rsidRPr="00206DB4" w:rsidRDefault="008470D2" w:rsidP="00D7179D">
            <w:pPr>
              <w:jc w:val="center"/>
              <w:rPr>
                <w:b/>
                <w:bCs/>
                <w:sz w:val="21"/>
                <w:szCs w:val="21"/>
              </w:rPr>
            </w:pPr>
            <w:r w:rsidRPr="00206DB4">
              <w:rPr>
                <w:b/>
                <w:bCs/>
                <w:sz w:val="21"/>
                <w:szCs w:val="21"/>
              </w:rPr>
              <w:t>O</w:t>
            </w:r>
            <w:r w:rsidR="003D3A9A">
              <w:rPr>
                <w:b/>
                <w:bCs/>
                <w:sz w:val="21"/>
                <w:szCs w:val="21"/>
              </w:rPr>
              <w:t>NUDI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left w:w="14" w:type="dxa"/>
              <w:right w:w="0" w:type="dxa"/>
            </w:tcMar>
          </w:tcPr>
          <w:p w14:paraId="68793412" w14:textId="379B725B" w:rsidR="008470D2" w:rsidRPr="00975119" w:rsidRDefault="003D3A9A" w:rsidP="00D7179D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Banque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mondiale</w:t>
            </w:r>
            <w:proofErr w:type="spellEnd"/>
          </w:p>
        </w:tc>
      </w:tr>
      <w:tr w:rsidR="008470D2" w:rsidRPr="00975119" w14:paraId="3EEEF692" w14:textId="77777777" w:rsidTr="003D3A9A">
        <w:tc>
          <w:tcPr>
            <w:tcW w:w="851" w:type="dxa"/>
            <w:tcBorders>
              <w:bottom w:val="single" w:sz="4" w:space="0" w:color="auto"/>
            </w:tcBorders>
          </w:tcPr>
          <w:p w14:paraId="0F10F427" w14:textId="77777777" w:rsidR="008470D2" w:rsidRPr="00975119" w:rsidRDefault="008470D2" w:rsidP="00D7179D">
            <w:pPr>
              <w:widowControl w:val="0"/>
              <w:jc w:val="lef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1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187332CB" w14:textId="3F86F309" w:rsidR="008470D2" w:rsidRPr="0063040F" w:rsidRDefault="008470D2" w:rsidP="00251722">
            <w:pPr>
              <w:rPr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>Diff</w:t>
            </w:r>
            <w:r w:rsidR="0063040F" w:rsidRPr="0063040F">
              <w:rPr>
                <w:sz w:val="21"/>
                <w:szCs w:val="21"/>
                <w:lang w:val="fr-CA"/>
              </w:rPr>
              <w:t>é</w:t>
            </w:r>
            <w:r w:rsidRPr="0063040F">
              <w:rPr>
                <w:sz w:val="21"/>
                <w:szCs w:val="21"/>
                <w:lang w:val="fr-CA"/>
              </w:rPr>
              <w:t>rence e</w:t>
            </w:r>
            <w:r w:rsidR="0063040F" w:rsidRPr="0063040F">
              <w:rPr>
                <w:sz w:val="21"/>
                <w:szCs w:val="21"/>
                <w:lang w:val="fr-CA"/>
              </w:rPr>
              <w:t>n</w:t>
            </w:r>
            <w:r w:rsidRPr="0063040F">
              <w:rPr>
                <w:sz w:val="21"/>
                <w:szCs w:val="21"/>
                <w:lang w:val="fr-CA"/>
              </w:rPr>
              <w:t>t</w:t>
            </w:r>
            <w:r w:rsidR="0063040F" w:rsidRPr="0063040F">
              <w:rPr>
                <w:sz w:val="21"/>
                <w:szCs w:val="21"/>
                <w:lang w:val="fr-CA"/>
              </w:rPr>
              <w:t>r</w:t>
            </w:r>
            <w:r w:rsidRPr="0063040F">
              <w:rPr>
                <w:sz w:val="21"/>
                <w:szCs w:val="21"/>
                <w:lang w:val="fr-CA"/>
              </w:rPr>
              <w:t xml:space="preserve">e </w:t>
            </w:r>
            <w:r w:rsidR="0063040F" w:rsidRPr="0063040F">
              <w:rPr>
                <w:sz w:val="21"/>
                <w:szCs w:val="21"/>
                <w:lang w:val="fr-CA"/>
              </w:rPr>
              <w:t>le rapport périodiqu</w:t>
            </w:r>
            <w:r w:rsidR="0063040F">
              <w:rPr>
                <w:sz w:val="21"/>
                <w:szCs w:val="21"/>
                <w:lang w:val="fr-CA"/>
              </w:rPr>
              <w:t>e et les comptes finaux de</w:t>
            </w:r>
            <w:r w:rsidRPr="0063040F">
              <w:rPr>
                <w:sz w:val="21"/>
                <w:szCs w:val="21"/>
                <w:lang w:val="fr-CA"/>
              </w:rPr>
              <w:t xml:space="preserve"> 2020 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670592F" w14:textId="232EC085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color w:val="000000"/>
                <w:sz w:val="21"/>
                <w:szCs w:val="21"/>
                <w:lang w:val="en-CA"/>
              </w:rPr>
              <w:t>(</w:t>
            </w:r>
            <w:r w:rsidRPr="00975119">
              <w:rPr>
                <w:color w:val="000000"/>
                <w:sz w:val="21"/>
                <w:szCs w:val="21"/>
              </w:rPr>
              <w:t>2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 w:rsidRPr="00975119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18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359</w:t>
            </w:r>
            <w:r w:rsidRPr="00975119">
              <w:rPr>
                <w:color w:val="000000"/>
                <w:sz w:val="21"/>
                <w:szCs w:val="21"/>
                <w:lang w:val="en-CA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1A25D4" w14:textId="2C7CC30E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color w:val="000000"/>
                <w:sz w:val="21"/>
                <w:szCs w:val="21"/>
              </w:rPr>
              <w:t>13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 w:rsidRPr="00975119">
              <w:rPr>
                <w:color w:val="000000"/>
                <w:sz w:val="21"/>
                <w:szCs w:val="21"/>
              </w:rPr>
              <w:t>587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 w:rsidRPr="00975119">
              <w:rPr>
                <w:color w:val="000000"/>
                <w:sz w:val="21"/>
                <w:szCs w:val="21"/>
              </w:rPr>
              <w:t>922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2A3A56" w14:textId="42677599" w:rsidR="008470D2" w:rsidRPr="00975119" w:rsidRDefault="008470D2" w:rsidP="00D7179D">
            <w:pPr>
              <w:jc w:val="right"/>
              <w:rPr>
                <w:sz w:val="21"/>
                <w:szCs w:val="21"/>
                <w:highlight w:val="yellow"/>
              </w:rPr>
            </w:pPr>
            <w:r w:rsidRPr="00975119">
              <w:rPr>
                <w:color w:val="000000"/>
                <w:sz w:val="21"/>
                <w:szCs w:val="21"/>
              </w:rPr>
              <w:t>56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 w:rsidRPr="00975119">
              <w:rPr>
                <w:color w:val="000000"/>
                <w:sz w:val="21"/>
                <w:szCs w:val="21"/>
              </w:rPr>
              <w:t>246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 w:rsidRPr="00975119">
              <w:rPr>
                <w:color w:val="000000"/>
                <w:sz w:val="21"/>
                <w:szCs w:val="21"/>
              </w:rPr>
              <w:t>880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40CED0D" w14:textId="671280D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color w:val="000000"/>
                <w:sz w:val="21"/>
                <w:szCs w:val="21"/>
              </w:rPr>
              <w:t>11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 w:rsidRPr="00975119">
              <w:rPr>
                <w:color w:val="000000"/>
                <w:sz w:val="21"/>
                <w:szCs w:val="21"/>
              </w:rPr>
              <w:t>352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 w:rsidRPr="00975119">
              <w:rPr>
                <w:color w:val="000000"/>
                <w:sz w:val="21"/>
                <w:szCs w:val="21"/>
              </w:rPr>
              <w:t>30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8470D2" w:rsidRPr="00975119" w14:paraId="21CAC510" w14:textId="77777777" w:rsidTr="003D3A9A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098133F" w14:textId="77777777" w:rsidR="008470D2" w:rsidRPr="00975119" w:rsidRDefault="008470D2" w:rsidP="00D7179D">
            <w:pPr>
              <w:tabs>
                <w:tab w:val="left" w:pos="184"/>
              </w:tabs>
              <w:jc w:val="left"/>
              <w:rPr>
                <w:b/>
                <w:sz w:val="21"/>
                <w:szCs w:val="21"/>
                <w:lang w:val="en-US"/>
              </w:rPr>
            </w:pPr>
            <w:r w:rsidRPr="00975119">
              <w:rPr>
                <w:sz w:val="21"/>
                <w:szCs w:val="21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14:paraId="75272AB8" w14:textId="2498AF8E" w:rsidR="008470D2" w:rsidRPr="0063040F" w:rsidRDefault="0063040F" w:rsidP="00251722">
            <w:pPr>
              <w:tabs>
                <w:tab w:val="left" w:pos="184"/>
              </w:tabs>
              <w:rPr>
                <w:b/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>Contributions volontaires supplémentaires incluses dans les comptes finaux mais pas dans le rapport périodique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7A9EBA4B" w14:textId="5F8683A8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(5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936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419</w:t>
            </w:r>
            <w:r w:rsidRPr="00975119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5DCD5A" w14:textId="195A19BA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</w:rPr>
              <w:t>(5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461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959)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9BC425" w14:textId="44D96645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</w:rPr>
              <w:t>(4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540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925)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14:paraId="3DC0A019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53BB4575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7AF6B274" w14:textId="77777777" w:rsidR="008470D2" w:rsidRPr="00975119" w:rsidRDefault="008470D2" w:rsidP="00D7179D">
            <w:pPr>
              <w:jc w:val="lef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14:paraId="6528FC75" w14:textId="66449F57" w:rsidR="008470D2" w:rsidRPr="0063040F" w:rsidRDefault="0063040F" w:rsidP="00251722">
            <w:pPr>
              <w:rPr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 xml:space="preserve">Engagements inclus dans le rapport périodique mais pas dans </w:t>
            </w:r>
            <w:r w:rsidR="004B5E1F">
              <w:rPr>
                <w:sz w:val="21"/>
                <w:szCs w:val="21"/>
                <w:lang w:val="fr-CA"/>
              </w:rPr>
              <w:t xml:space="preserve">les </w:t>
            </w:r>
            <w:r w:rsidRPr="0063040F">
              <w:rPr>
                <w:sz w:val="21"/>
                <w:szCs w:val="21"/>
                <w:lang w:val="fr-CA"/>
              </w:rPr>
              <w:t>état</w:t>
            </w:r>
            <w:r w:rsidR="004B5E1F">
              <w:rPr>
                <w:sz w:val="21"/>
                <w:szCs w:val="21"/>
                <w:lang w:val="fr-CA"/>
              </w:rPr>
              <w:t>s</w:t>
            </w:r>
            <w:r w:rsidRPr="0063040F">
              <w:rPr>
                <w:sz w:val="21"/>
                <w:szCs w:val="21"/>
                <w:lang w:val="fr-CA"/>
              </w:rPr>
              <w:t xml:space="preserve"> financier</w:t>
            </w:r>
            <w:r w:rsidR="004B5E1F">
              <w:rPr>
                <w:sz w:val="21"/>
                <w:szCs w:val="21"/>
                <w:lang w:val="fr-CA"/>
              </w:rPr>
              <w:t>s</w:t>
            </w:r>
            <w:r w:rsidRPr="0063040F">
              <w:rPr>
                <w:sz w:val="21"/>
                <w:szCs w:val="21"/>
                <w:lang w:val="fr-CA"/>
              </w:rPr>
              <w:t xml:space="preserve">, </w:t>
            </w:r>
            <w:r w:rsidR="00CC7D86">
              <w:rPr>
                <w:sz w:val="21"/>
                <w:szCs w:val="21"/>
                <w:lang w:val="fr-CA"/>
              </w:rPr>
              <w:t>car</w:t>
            </w:r>
            <w:r w:rsidRPr="0063040F">
              <w:rPr>
                <w:sz w:val="21"/>
                <w:szCs w:val="21"/>
                <w:lang w:val="fr-CA"/>
              </w:rPr>
              <w:t xml:space="preserve"> seules les dépenses sont incluses dans l</w:t>
            </w:r>
            <w:r w:rsidR="00CC7D86">
              <w:rPr>
                <w:sz w:val="21"/>
                <w:szCs w:val="21"/>
                <w:lang w:val="fr-CA"/>
              </w:rPr>
              <w:t xml:space="preserve">es </w:t>
            </w:r>
            <w:r w:rsidRPr="0063040F">
              <w:rPr>
                <w:sz w:val="21"/>
                <w:szCs w:val="21"/>
                <w:lang w:val="fr-CA"/>
              </w:rPr>
              <w:t>état</w:t>
            </w:r>
            <w:r w:rsidR="00CC7D86">
              <w:rPr>
                <w:sz w:val="21"/>
                <w:szCs w:val="21"/>
                <w:lang w:val="fr-CA"/>
              </w:rPr>
              <w:t>s</w:t>
            </w:r>
            <w:r w:rsidRPr="0063040F">
              <w:rPr>
                <w:sz w:val="21"/>
                <w:szCs w:val="21"/>
                <w:lang w:val="fr-CA"/>
              </w:rPr>
              <w:t xml:space="preserve"> financier</w:t>
            </w:r>
            <w:r w:rsidR="00CC7D86">
              <w:rPr>
                <w:sz w:val="21"/>
                <w:szCs w:val="21"/>
                <w:lang w:val="fr-CA"/>
              </w:rPr>
              <w:t>s</w:t>
            </w:r>
            <w:r w:rsidR="000F1A07">
              <w:rPr>
                <w:sz w:val="21"/>
                <w:szCs w:val="21"/>
                <w:lang w:val="fr-CA"/>
              </w:rPr>
              <w:t xml:space="preserve">, </w:t>
            </w:r>
            <w:r w:rsidRPr="0063040F">
              <w:rPr>
                <w:sz w:val="21"/>
                <w:szCs w:val="21"/>
                <w:lang w:val="fr-CA"/>
              </w:rPr>
              <w:t>selon les n</w:t>
            </w:r>
            <w:r>
              <w:rPr>
                <w:sz w:val="21"/>
                <w:szCs w:val="21"/>
                <w:lang w:val="fr-CA"/>
              </w:rPr>
              <w:t xml:space="preserve">ormes </w:t>
            </w:r>
            <w:r w:rsidR="000F1A07">
              <w:rPr>
                <w:sz w:val="21"/>
                <w:szCs w:val="21"/>
                <w:lang w:val="fr-CA"/>
              </w:rPr>
              <w:t xml:space="preserve">du </w:t>
            </w:r>
            <w:r>
              <w:rPr>
                <w:sz w:val="21"/>
                <w:szCs w:val="21"/>
                <w:lang w:val="fr-CA"/>
              </w:rPr>
              <w:t>Conseil des normes i</w:t>
            </w:r>
            <w:r w:rsidR="008470D2" w:rsidRPr="0063040F">
              <w:rPr>
                <w:sz w:val="21"/>
                <w:szCs w:val="21"/>
                <w:lang w:val="fr-CA"/>
              </w:rPr>
              <w:t>nternational</w:t>
            </w:r>
            <w:r>
              <w:rPr>
                <w:sz w:val="21"/>
                <w:szCs w:val="21"/>
                <w:lang w:val="fr-CA"/>
              </w:rPr>
              <w:t>es du secteur public</w:t>
            </w:r>
            <w:r w:rsidR="008470D2" w:rsidRPr="0063040F">
              <w:rPr>
                <w:sz w:val="21"/>
                <w:szCs w:val="21"/>
                <w:lang w:val="fr-CA"/>
              </w:rPr>
              <w:t xml:space="preserve"> (IPSAS) </w:t>
            </w:r>
            <w:r>
              <w:rPr>
                <w:sz w:val="21"/>
                <w:szCs w:val="21"/>
                <w:lang w:val="fr-CA"/>
              </w:rPr>
              <w:t>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="008470D2" w:rsidRPr="0063040F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</w:tcPr>
          <w:p w14:paraId="7069F921" w14:textId="2D639593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005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797</w:t>
            </w:r>
          </w:p>
        </w:tc>
        <w:tc>
          <w:tcPr>
            <w:tcW w:w="1417" w:type="dxa"/>
          </w:tcPr>
          <w:p w14:paraId="2C876505" w14:textId="6423CAC8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</w:rPr>
              <w:t>18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892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564</w:t>
            </w:r>
          </w:p>
        </w:tc>
        <w:tc>
          <w:tcPr>
            <w:tcW w:w="1276" w:type="dxa"/>
          </w:tcPr>
          <w:p w14:paraId="613B385F" w14:textId="3F13416A" w:rsidR="008470D2" w:rsidRPr="00206DB4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</w:rPr>
              <w:t>50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673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 xml:space="preserve">109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37EE8042" w14:textId="6EDD72A1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874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607</w:t>
            </w:r>
          </w:p>
        </w:tc>
      </w:tr>
      <w:tr w:rsidR="008470D2" w:rsidRPr="00975119" w14:paraId="50B7451D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52647F68" w14:textId="77777777" w:rsidR="008470D2" w:rsidRPr="00975119" w:rsidRDefault="008470D2" w:rsidP="00D7179D">
            <w:pPr>
              <w:jc w:val="lef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4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14:paraId="747893D1" w14:textId="21BE97EA" w:rsidR="008470D2" w:rsidRPr="0063040F" w:rsidRDefault="0063040F" w:rsidP="00251722">
            <w:pPr>
              <w:rPr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>Revenus d’intérêts cumulatifs détenus par la Chine,</w:t>
            </w:r>
            <w:r w:rsidR="003C43B4">
              <w:rPr>
                <w:sz w:val="21"/>
                <w:szCs w:val="21"/>
                <w:lang w:val="fr-CA"/>
              </w:rPr>
              <w:t xml:space="preserve"> </w:t>
            </w:r>
            <w:r w:rsidRPr="0063040F">
              <w:rPr>
                <w:sz w:val="21"/>
                <w:szCs w:val="21"/>
                <w:lang w:val="fr-CA"/>
              </w:rPr>
              <w:t xml:space="preserve">inclus dans le rapport périodique du PNUD mais pas dans les comptes </w:t>
            </w:r>
            <w:r>
              <w:rPr>
                <w:sz w:val="21"/>
                <w:szCs w:val="21"/>
                <w:lang w:val="fr-CA"/>
              </w:rPr>
              <w:t>du PNUD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</w:tcPr>
          <w:p w14:paraId="50CBAD5D" w14:textId="6785A600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698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486</w:t>
            </w:r>
          </w:p>
        </w:tc>
        <w:tc>
          <w:tcPr>
            <w:tcW w:w="1417" w:type="dxa"/>
          </w:tcPr>
          <w:p w14:paraId="30C6AD1E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0EC13B1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0BBC4532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498E8B79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21E33AFC" w14:textId="77777777" w:rsidR="008470D2" w:rsidRPr="00975119" w:rsidRDefault="008470D2" w:rsidP="00D7179D">
            <w:pPr>
              <w:jc w:val="lef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5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14:paraId="255A9A09" w14:textId="195D9111" w:rsidR="008470D2" w:rsidRPr="004B5E1F" w:rsidRDefault="0063040F" w:rsidP="00251722">
            <w:pPr>
              <w:rPr>
                <w:sz w:val="21"/>
                <w:szCs w:val="21"/>
                <w:lang w:val="fr-CA"/>
              </w:rPr>
            </w:pPr>
            <w:r w:rsidRPr="0063040F">
              <w:rPr>
                <w:sz w:val="21"/>
                <w:szCs w:val="21"/>
                <w:lang w:val="fr-CA"/>
              </w:rPr>
              <w:t>Économies sur des obligations biennales</w:t>
            </w:r>
            <w:r w:rsidR="004B5E1F">
              <w:rPr>
                <w:sz w:val="21"/>
                <w:szCs w:val="21"/>
                <w:lang w:val="fr-CA"/>
              </w:rPr>
              <w:t xml:space="preserve"> antérieures. Élément de rapprochement permanent de réduction des dépenses dans les états financiers qui n</w:t>
            </w:r>
            <w:r w:rsidR="003C43B4">
              <w:rPr>
                <w:sz w:val="21"/>
                <w:szCs w:val="21"/>
                <w:lang w:val="fr-CA"/>
              </w:rPr>
              <w:t>e sont pas</w:t>
            </w:r>
            <w:r w:rsidR="004B5E1F">
              <w:rPr>
                <w:sz w:val="21"/>
                <w:szCs w:val="21"/>
                <w:lang w:val="fr-CA"/>
              </w:rPr>
              <w:t xml:space="preserve"> associé</w:t>
            </w:r>
            <w:r w:rsidR="003C43B4">
              <w:rPr>
                <w:sz w:val="21"/>
                <w:szCs w:val="21"/>
                <w:lang w:val="fr-CA"/>
              </w:rPr>
              <w:t>es</w:t>
            </w:r>
            <w:r w:rsidR="004B5E1F">
              <w:rPr>
                <w:sz w:val="21"/>
                <w:szCs w:val="21"/>
                <w:lang w:val="fr-CA"/>
              </w:rPr>
              <w:t xml:space="preserve"> à des projets spécifiques. </w:t>
            </w:r>
            <w:r w:rsidR="004B1D5D">
              <w:rPr>
                <w:sz w:val="21"/>
                <w:szCs w:val="21"/>
                <w:lang w:val="fr-CA"/>
              </w:rPr>
              <w:t>Il a</w:t>
            </w:r>
            <w:r w:rsidR="004B5E1F">
              <w:rPr>
                <w:sz w:val="21"/>
                <w:szCs w:val="21"/>
                <w:lang w:val="fr-CA"/>
              </w:rPr>
              <w:t>ugment</w:t>
            </w:r>
            <w:r w:rsidR="004B1D5D">
              <w:rPr>
                <w:sz w:val="21"/>
                <w:szCs w:val="21"/>
                <w:lang w:val="fr-CA"/>
              </w:rPr>
              <w:t>e</w:t>
            </w:r>
            <w:r w:rsidR="004B5E1F">
              <w:rPr>
                <w:sz w:val="21"/>
                <w:szCs w:val="21"/>
                <w:lang w:val="fr-CA"/>
              </w:rPr>
              <w:t xml:space="preserve"> </w:t>
            </w:r>
            <w:r w:rsidR="004B1D5D">
              <w:rPr>
                <w:sz w:val="21"/>
                <w:szCs w:val="21"/>
                <w:lang w:val="fr-CA"/>
              </w:rPr>
              <w:t>l</w:t>
            </w:r>
            <w:r w:rsidR="003C43B4">
              <w:rPr>
                <w:sz w:val="21"/>
                <w:szCs w:val="21"/>
                <w:lang w:val="fr-CA"/>
              </w:rPr>
              <w:t>es</w:t>
            </w:r>
            <w:r w:rsidR="004B5E1F">
              <w:rPr>
                <w:sz w:val="21"/>
                <w:szCs w:val="21"/>
                <w:lang w:val="fr-CA"/>
              </w:rPr>
              <w:t xml:space="preserve"> solde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="004B5E1F">
              <w:rPr>
                <w:sz w:val="21"/>
                <w:szCs w:val="21"/>
                <w:lang w:val="fr-CA"/>
              </w:rPr>
              <w:t xml:space="preserve"> d</w:t>
            </w:r>
            <w:r w:rsidR="003C43B4">
              <w:rPr>
                <w:sz w:val="21"/>
                <w:szCs w:val="21"/>
                <w:lang w:val="fr-CA"/>
              </w:rPr>
              <w:t>us</w:t>
            </w:r>
            <w:r w:rsidR="004B5E1F">
              <w:rPr>
                <w:sz w:val="21"/>
                <w:szCs w:val="21"/>
                <w:lang w:val="fr-CA"/>
              </w:rPr>
              <w:t xml:space="preserve"> </w:t>
            </w:r>
            <w:r w:rsidR="003C43B4">
              <w:rPr>
                <w:sz w:val="21"/>
                <w:szCs w:val="21"/>
                <w:lang w:val="fr-CA"/>
              </w:rPr>
              <w:t xml:space="preserve">au </w:t>
            </w:r>
            <w:r w:rsidR="004B5E1F">
              <w:rPr>
                <w:sz w:val="21"/>
                <w:szCs w:val="21"/>
                <w:lang w:val="fr-CA"/>
              </w:rPr>
              <w:t>Fonds (</w:t>
            </w:r>
            <w:r w:rsidR="004B1D5D">
              <w:rPr>
                <w:sz w:val="21"/>
                <w:szCs w:val="21"/>
                <w:lang w:val="fr-CA"/>
              </w:rPr>
              <w:t xml:space="preserve">qui </w:t>
            </w:r>
            <w:r w:rsidR="004B5E1F">
              <w:rPr>
                <w:sz w:val="21"/>
                <w:szCs w:val="21"/>
                <w:lang w:val="fr-CA"/>
              </w:rPr>
              <w:t>p</w:t>
            </w:r>
            <w:r w:rsidR="004B1D5D">
              <w:rPr>
                <w:sz w:val="21"/>
                <w:szCs w:val="21"/>
                <w:lang w:val="fr-CA"/>
              </w:rPr>
              <w:t>euvent</w:t>
            </w:r>
            <w:r w:rsidR="004B5E1F">
              <w:rPr>
                <w:sz w:val="21"/>
                <w:szCs w:val="21"/>
                <w:lang w:val="fr-CA"/>
              </w:rPr>
              <w:t xml:space="preserve"> seulement être re</w:t>
            </w:r>
            <w:r w:rsidR="003C43B4">
              <w:rPr>
                <w:sz w:val="21"/>
                <w:szCs w:val="21"/>
                <w:lang w:val="fr-CA"/>
              </w:rPr>
              <w:t>stitu</w:t>
            </w:r>
            <w:r w:rsidR="004B5E1F">
              <w:rPr>
                <w:sz w:val="21"/>
                <w:szCs w:val="21"/>
                <w:lang w:val="fr-CA"/>
              </w:rPr>
              <w:t xml:space="preserve">és à la clôture du Fonds </w:t>
            </w:r>
            <w:r w:rsidR="00CC7D86">
              <w:rPr>
                <w:sz w:val="21"/>
                <w:szCs w:val="21"/>
                <w:lang w:val="fr-CA"/>
              </w:rPr>
              <w:t>fiduciaire</w:t>
            </w:r>
            <w:r w:rsidR="004B5E1F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</w:tcPr>
          <w:p w14:paraId="1FD3FF7F" w14:textId="2509AF1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68</w:t>
            </w:r>
            <w:r w:rsidR="003D3A9A">
              <w:rPr>
                <w:sz w:val="21"/>
                <w:szCs w:val="21"/>
              </w:rPr>
              <w:t xml:space="preserve"> </w:t>
            </w:r>
            <w:r w:rsidRPr="00975119">
              <w:rPr>
                <w:sz w:val="21"/>
                <w:szCs w:val="21"/>
              </w:rPr>
              <w:t>300</w:t>
            </w:r>
          </w:p>
        </w:tc>
        <w:tc>
          <w:tcPr>
            <w:tcW w:w="1417" w:type="dxa"/>
          </w:tcPr>
          <w:p w14:paraId="22FD75C4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09BB6BE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20BE8F5C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0D50C059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7C896CA2" w14:textId="77777777" w:rsidR="008470D2" w:rsidRPr="00975119" w:rsidRDefault="008470D2" w:rsidP="00D7179D">
            <w:pPr>
              <w:jc w:val="lef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6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14:paraId="3F196E39" w14:textId="7DAFB192" w:rsidR="008470D2" w:rsidRPr="00CC7D86" w:rsidRDefault="00CC7D86" w:rsidP="00251722">
            <w:pPr>
              <w:rPr>
                <w:sz w:val="21"/>
                <w:szCs w:val="21"/>
                <w:lang w:val="fr-CA"/>
              </w:rPr>
            </w:pPr>
            <w:r w:rsidRPr="00CC7D86">
              <w:rPr>
                <w:sz w:val="21"/>
                <w:szCs w:val="21"/>
                <w:lang w:val="fr-CA"/>
              </w:rPr>
              <w:t xml:space="preserve">Élément de rapprochement </w:t>
            </w:r>
            <w:r w:rsidR="003C43B4" w:rsidRPr="00CC7D86">
              <w:rPr>
                <w:sz w:val="21"/>
                <w:szCs w:val="21"/>
                <w:lang w:val="fr-CA"/>
              </w:rPr>
              <w:t xml:space="preserve">permanent </w:t>
            </w:r>
            <w:r w:rsidRPr="00CC7D86">
              <w:rPr>
                <w:sz w:val="21"/>
                <w:szCs w:val="21"/>
                <w:lang w:val="fr-CA"/>
              </w:rPr>
              <w:t>de r</w:t>
            </w:r>
            <w:r>
              <w:rPr>
                <w:sz w:val="21"/>
                <w:szCs w:val="21"/>
                <w:lang w:val="fr-CA"/>
              </w:rPr>
              <w:t>é</w:t>
            </w:r>
            <w:r w:rsidRPr="00CC7D86">
              <w:rPr>
                <w:sz w:val="21"/>
                <w:szCs w:val="21"/>
                <w:lang w:val="fr-CA"/>
              </w:rPr>
              <w:t>duction des dépenses dans les états financiers qui ne</w:t>
            </w:r>
            <w:r w:rsidR="003C43B4">
              <w:rPr>
                <w:sz w:val="21"/>
                <w:szCs w:val="21"/>
                <w:lang w:val="fr-CA"/>
              </w:rPr>
              <w:t xml:space="preserve"> </w:t>
            </w:r>
            <w:r w:rsidRPr="00CC7D86">
              <w:rPr>
                <w:sz w:val="21"/>
                <w:szCs w:val="21"/>
                <w:lang w:val="fr-CA"/>
              </w:rPr>
              <w:t>s</w:t>
            </w:r>
            <w:r w:rsidR="003C43B4">
              <w:rPr>
                <w:sz w:val="21"/>
                <w:szCs w:val="21"/>
                <w:lang w:val="fr-CA"/>
              </w:rPr>
              <w:t>on</w:t>
            </w:r>
            <w:r w:rsidRPr="00CC7D86">
              <w:rPr>
                <w:sz w:val="21"/>
                <w:szCs w:val="21"/>
                <w:lang w:val="fr-CA"/>
              </w:rPr>
              <w:t xml:space="preserve">t </w:t>
            </w:r>
            <w:r w:rsidR="007D3541">
              <w:rPr>
                <w:sz w:val="21"/>
                <w:szCs w:val="21"/>
                <w:lang w:val="fr-CA"/>
              </w:rPr>
              <w:t xml:space="preserve">pas </w:t>
            </w:r>
            <w:r w:rsidRPr="00CC7D86">
              <w:rPr>
                <w:sz w:val="21"/>
                <w:szCs w:val="21"/>
                <w:lang w:val="fr-CA"/>
              </w:rPr>
              <w:t>associé</w:t>
            </w:r>
            <w:r w:rsidR="003C43B4">
              <w:rPr>
                <w:sz w:val="21"/>
                <w:szCs w:val="21"/>
                <w:lang w:val="fr-CA"/>
              </w:rPr>
              <w:t>es</w:t>
            </w:r>
            <w:r w:rsidRPr="00CC7D86">
              <w:rPr>
                <w:sz w:val="21"/>
                <w:szCs w:val="21"/>
                <w:lang w:val="fr-CA"/>
              </w:rPr>
              <w:t xml:space="preserve"> à des projets spécifiques.</w:t>
            </w:r>
            <w:r>
              <w:rPr>
                <w:sz w:val="21"/>
                <w:szCs w:val="21"/>
                <w:lang w:val="fr-CA"/>
              </w:rPr>
              <w:t xml:space="preserve"> </w:t>
            </w:r>
            <w:r w:rsidR="004B1D5D">
              <w:rPr>
                <w:sz w:val="21"/>
                <w:szCs w:val="21"/>
                <w:lang w:val="fr-CA"/>
              </w:rPr>
              <w:t xml:space="preserve">Il augmente </w:t>
            </w:r>
            <w:r w:rsidR="00251722">
              <w:rPr>
                <w:sz w:val="21"/>
                <w:szCs w:val="21"/>
                <w:lang w:val="fr-CA"/>
              </w:rPr>
              <w:t>les soldes</w:t>
            </w:r>
            <w:r w:rsidR="003C43B4">
              <w:rPr>
                <w:sz w:val="21"/>
                <w:szCs w:val="21"/>
                <w:lang w:val="fr-CA"/>
              </w:rPr>
              <w:t xml:space="preserve"> dus </w:t>
            </w:r>
            <w:r w:rsidRPr="00CC7D86">
              <w:rPr>
                <w:sz w:val="21"/>
                <w:szCs w:val="21"/>
                <w:lang w:val="fr-CA"/>
              </w:rPr>
              <w:t>au Fonds (</w:t>
            </w:r>
            <w:r w:rsidR="004B1D5D">
              <w:rPr>
                <w:sz w:val="21"/>
                <w:szCs w:val="21"/>
                <w:lang w:val="fr-CA"/>
              </w:rPr>
              <w:t xml:space="preserve">qui </w:t>
            </w:r>
            <w:r w:rsidRPr="00CC7D86">
              <w:rPr>
                <w:sz w:val="21"/>
                <w:szCs w:val="21"/>
                <w:lang w:val="fr-CA"/>
              </w:rPr>
              <w:t>p</w:t>
            </w:r>
            <w:r w:rsidR="004B1D5D">
              <w:rPr>
                <w:sz w:val="21"/>
                <w:szCs w:val="21"/>
                <w:lang w:val="fr-CA"/>
              </w:rPr>
              <w:t>euve</w:t>
            </w:r>
            <w:r w:rsidRPr="00CC7D86">
              <w:rPr>
                <w:sz w:val="21"/>
                <w:szCs w:val="21"/>
                <w:lang w:val="fr-CA"/>
              </w:rPr>
              <w:t>nt seulement être re</w:t>
            </w:r>
            <w:r w:rsidR="003C43B4">
              <w:rPr>
                <w:sz w:val="21"/>
                <w:szCs w:val="21"/>
                <w:lang w:val="fr-CA"/>
              </w:rPr>
              <w:t>stitu</w:t>
            </w:r>
            <w:r w:rsidRPr="00CC7D86">
              <w:rPr>
                <w:sz w:val="21"/>
                <w:szCs w:val="21"/>
                <w:lang w:val="fr-CA"/>
              </w:rPr>
              <w:t>és à la cl</w:t>
            </w:r>
            <w:r>
              <w:rPr>
                <w:sz w:val="21"/>
                <w:szCs w:val="21"/>
                <w:lang w:val="fr-CA"/>
              </w:rPr>
              <w:t>ôture du Fonds fiduciaire)</w:t>
            </w:r>
          </w:p>
        </w:tc>
        <w:tc>
          <w:tcPr>
            <w:tcW w:w="1316" w:type="dxa"/>
          </w:tcPr>
          <w:p w14:paraId="4DA665C9" w14:textId="22D6C3B9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29</w:t>
            </w:r>
            <w:r w:rsidR="003D3A9A">
              <w:rPr>
                <w:sz w:val="21"/>
                <w:szCs w:val="21"/>
              </w:rPr>
              <w:t xml:space="preserve"> </w:t>
            </w:r>
            <w:r w:rsidRPr="00975119">
              <w:rPr>
                <w:sz w:val="21"/>
                <w:szCs w:val="21"/>
              </w:rPr>
              <w:t>054</w:t>
            </w:r>
          </w:p>
        </w:tc>
        <w:tc>
          <w:tcPr>
            <w:tcW w:w="1417" w:type="dxa"/>
          </w:tcPr>
          <w:p w14:paraId="039BAB23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06010C66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71455EBF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4DD57354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6DEFCCA7" w14:textId="77777777" w:rsidR="008470D2" w:rsidRPr="00975119" w:rsidRDefault="008470D2" w:rsidP="00D7179D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14:paraId="238B16F5" w14:textId="2666C35D" w:rsidR="008470D2" w:rsidRPr="00CC7D86" w:rsidRDefault="00CC7D86" w:rsidP="00D7179D">
            <w:pPr>
              <w:jc w:val="left"/>
              <w:rPr>
                <w:sz w:val="21"/>
                <w:szCs w:val="21"/>
                <w:lang w:val="fr-CA"/>
              </w:rPr>
            </w:pPr>
            <w:r w:rsidRPr="00CC7D86">
              <w:rPr>
                <w:sz w:val="21"/>
                <w:szCs w:val="21"/>
                <w:lang w:val="fr-CA"/>
              </w:rPr>
              <w:t>Dépense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encourue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en 2020 mais qui ne</w:t>
            </w:r>
            <w:r w:rsidR="003C43B4">
              <w:rPr>
                <w:sz w:val="21"/>
                <w:szCs w:val="21"/>
                <w:lang w:val="fr-CA"/>
              </w:rPr>
              <w:t xml:space="preserve"> </w:t>
            </w:r>
            <w:r w:rsidRPr="00CC7D86">
              <w:rPr>
                <w:sz w:val="21"/>
                <w:szCs w:val="21"/>
                <w:lang w:val="fr-CA"/>
              </w:rPr>
              <w:t>s</w:t>
            </w:r>
            <w:r w:rsidR="003C43B4">
              <w:rPr>
                <w:sz w:val="21"/>
                <w:szCs w:val="21"/>
                <w:lang w:val="fr-CA"/>
              </w:rPr>
              <w:t>on</w:t>
            </w:r>
            <w:r w:rsidRPr="00CC7D86">
              <w:rPr>
                <w:sz w:val="21"/>
                <w:szCs w:val="21"/>
                <w:lang w:val="fr-CA"/>
              </w:rPr>
              <w:t>t pas reflétée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dans le rapport périodique et inscrite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dans </w:t>
            </w:r>
            <w:proofErr w:type="spellStart"/>
            <w:r w:rsidR="008470D2" w:rsidRPr="00CC7D86">
              <w:rPr>
                <w:sz w:val="21"/>
                <w:szCs w:val="21"/>
                <w:lang w:val="fr-CA"/>
              </w:rPr>
              <w:t>Umoja</w:t>
            </w:r>
            <w:proofErr w:type="spellEnd"/>
            <w:r w:rsidR="008470D2" w:rsidRPr="00CC7D86">
              <w:rPr>
                <w:sz w:val="21"/>
                <w:szCs w:val="21"/>
                <w:lang w:val="fr-CA"/>
              </w:rPr>
              <w:t xml:space="preserve"> </w:t>
            </w:r>
            <w:r>
              <w:rPr>
                <w:sz w:val="21"/>
                <w:szCs w:val="21"/>
                <w:lang w:val="fr-CA"/>
              </w:rPr>
              <w:t>e</w:t>
            </w:r>
            <w:r w:rsidR="008470D2" w:rsidRPr="00CC7D86">
              <w:rPr>
                <w:sz w:val="21"/>
                <w:szCs w:val="21"/>
                <w:lang w:val="fr-CA"/>
              </w:rPr>
              <w:t>n 2021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</w:tcPr>
          <w:p w14:paraId="29FC8B3F" w14:textId="61DE3AEE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249</w:t>
            </w:r>
          </w:p>
        </w:tc>
        <w:tc>
          <w:tcPr>
            <w:tcW w:w="1417" w:type="dxa"/>
          </w:tcPr>
          <w:p w14:paraId="5876CC59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608A51B7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356DBC16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7F4CC156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10B64778" w14:textId="77777777" w:rsidR="008470D2" w:rsidRPr="00975119" w:rsidRDefault="008470D2" w:rsidP="00D7179D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14:paraId="3BE073ED" w14:textId="6DD98E69" w:rsidR="008470D2" w:rsidRPr="00CC7D86" w:rsidRDefault="00CC7D86" w:rsidP="00251722">
            <w:pPr>
              <w:rPr>
                <w:sz w:val="21"/>
                <w:szCs w:val="21"/>
                <w:lang w:val="fr-CA"/>
              </w:rPr>
            </w:pPr>
            <w:r w:rsidRPr="00CC7D86">
              <w:rPr>
                <w:sz w:val="21"/>
                <w:szCs w:val="21"/>
                <w:lang w:val="fr-CA"/>
              </w:rPr>
              <w:t>Dépense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encourue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en 2020 et reflétée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dans le rapport périodique mais inscrite</w:t>
            </w:r>
            <w:r w:rsidR="003C43B4">
              <w:rPr>
                <w:sz w:val="21"/>
                <w:szCs w:val="21"/>
                <w:lang w:val="fr-CA"/>
              </w:rPr>
              <w:t>s</w:t>
            </w:r>
            <w:r w:rsidRPr="00CC7D86">
              <w:rPr>
                <w:sz w:val="21"/>
                <w:szCs w:val="21"/>
                <w:lang w:val="fr-CA"/>
              </w:rPr>
              <w:t xml:space="preserve"> dans </w:t>
            </w:r>
            <w:proofErr w:type="spellStart"/>
            <w:r w:rsidR="008470D2" w:rsidRPr="00CC7D86">
              <w:rPr>
                <w:sz w:val="21"/>
                <w:szCs w:val="21"/>
                <w:lang w:val="fr-CA"/>
              </w:rPr>
              <w:lastRenderedPageBreak/>
              <w:t>Umoja</w:t>
            </w:r>
            <w:proofErr w:type="spellEnd"/>
            <w:r w:rsidR="008470D2" w:rsidRPr="00CC7D86">
              <w:rPr>
                <w:sz w:val="21"/>
                <w:szCs w:val="21"/>
                <w:lang w:val="fr-CA"/>
              </w:rPr>
              <w:t xml:space="preserve"> </w:t>
            </w:r>
            <w:r w:rsidRPr="00CC7D86">
              <w:rPr>
                <w:sz w:val="21"/>
                <w:szCs w:val="21"/>
                <w:lang w:val="fr-CA"/>
              </w:rPr>
              <w:t>e</w:t>
            </w:r>
            <w:r w:rsidR="008470D2" w:rsidRPr="00CC7D86">
              <w:rPr>
                <w:sz w:val="21"/>
                <w:szCs w:val="21"/>
                <w:lang w:val="fr-CA"/>
              </w:rPr>
              <w:t>n 2021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2CCC20D1" w14:textId="77777777" w:rsidR="008470D2" w:rsidRPr="00CC7D86" w:rsidRDefault="008470D2" w:rsidP="00D7179D">
            <w:pPr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2E13C3F9" w14:textId="1B6E2BC3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515</w:t>
            </w:r>
          </w:p>
        </w:tc>
        <w:tc>
          <w:tcPr>
            <w:tcW w:w="1276" w:type="dxa"/>
          </w:tcPr>
          <w:p w14:paraId="4751FD53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2F703923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01170480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3EA20757" w14:textId="77777777" w:rsidR="008470D2" w:rsidRPr="00975119" w:rsidRDefault="008470D2" w:rsidP="00D7179D">
            <w:pPr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14:paraId="69005B43" w14:textId="276DE00F" w:rsidR="008470D2" w:rsidRPr="00202115" w:rsidRDefault="008470D2" w:rsidP="00251722">
            <w:pPr>
              <w:rPr>
                <w:sz w:val="21"/>
                <w:szCs w:val="21"/>
                <w:lang w:val="fr-CA"/>
              </w:rPr>
            </w:pPr>
            <w:r w:rsidRPr="00202115">
              <w:rPr>
                <w:sz w:val="21"/>
                <w:szCs w:val="21"/>
                <w:lang w:val="fr-CA"/>
              </w:rPr>
              <w:t>Diff</w:t>
            </w:r>
            <w:r w:rsidR="00CC7D86" w:rsidRPr="00202115">
              <w:rPr>
                <w:sz w:val="21"/>
                <w:szCs w:val="21"/>
                <w:lang w:val="fr-CA"/>
              </w:rPr>
              <w:t>é</w:t>
            </w:r>
            <w:r w:rsidRPr="00202115">
              <w:rPr>
                <w:sz w:val="21"/>
                <w:szCs w:val="21"/>
                <w:lang w:val="fr-CA"/>
              </w:rPr>
              <w:t xml:space="preserve">rence </w:t>
            </w:r>
            <w:r w:rsidR="00CC7D86" w:rsidRPr="00202115">
              <w:rPr>
                <w:sz w:val="21"/>
                <w:szCs w:val="21"/>
                <w:lang w:val="fr-CA"/>
              </w:rPr>
              <w:t xml:space="preserve">entre les coûts d’appui d’agence, </w:t>
            </w:r>
            <w:r w:rsidR="007D3541">
              <w:rPr>
                <w:sz w:val="21"/>
                <w:szCs w:val="21"/>
                <w:lang w:val="fr-CA"/>
              </w:rPr>
              <w:t>ré</w:t>
            </w:r>
            <w:r w:rsidR="00CC7D86" w:rsidRPr="00202115">
              <w:rPr>
                <w:sz w:val="21"/>
                <w:szCs w:val="21"/>
                <w:lang w:val="fr-CA"/>
              </w:rPr>
              <w:t>els et projetés, qui n’a</w:t>
            </w:r>
            <w:r w:rsidR="003C43B4">
              <w:rPr>
                <w:sz w:val="21"/>
                <w:szCs w:val="21"/>
                <w:lang w:val="fr-CA"/>
              </w:rPr>
              <w:t>vait</w:t>
            </w:r>
            <w:r w:rsidR="00CC7D86" w:rsidRPr="00202115">
              <w:rPr>
                <w:sz w:val="21"/>
                <w:szCs w:val="21"/>
                <w:lang w:val="fr-CA"/>
              </w:rPr>
              <w:t xml:space="preserve"> pas été inscrite en 2020 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="00CC7D86" w:rsidRPr="00202115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4DB9FE31" w14:textId="77777777" w:rsidR="008470D2" w:rsidRPr="00202115" w:rsidRDefault="008470D2" w:rsidP="00D7179D">
            <w:pPr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73598A5E" w14:textId="28FEB88E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802</w:t>
            </w:r>
          </w:p>
        </w:tc>
        <w:tc>
          <w:tcPr>
            <w:tcW w:w="1276" w:type="dxa"/>
          </w:tcPr>
          <w:p w14:paraId="4D1E3FEB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1C86F94F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232C8377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6B1449D6" w14:textId="77777777" w:rsidR="008470D2" w:rsidRPr="00975119" w:rsidRDefault="008470D2" w:rsidP="00591EB1">
            <w:pPr>
              <w:keepNext/>
              <w:keepLines/>
              <w:widowControl w:val="0"/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14:paraId="04617E73" w14:textId="3D396715" w:rsidR="008470D2" w:rsidRPr="00CC7D86" w:rsidRDefault="00CC7D86" w:rsidP="00591EB1">
            <w:pPr>
              <w:keepNext/>
              <w:keepLines/>
              <w:widowControl w:val="0"/>
              <w:rPr>
                <w:sz w:val="21"/>
                <w:szCs w:val="21"/>
                <w:lang w:val="fr-CA"/>
              </w:rPr>
            </w:pPr>
            <w:r w:rsidRPr="00CC7D86">
              <w:rPr>
                <w:sz w:val="21"/>
                <w:szCs w:val="21"/>
                <w:lang w:val="fr-CA"/>
              </w:rPr>
              <w:t xml:space="preserve">Actifs non amortis inclus dans le rapport périodique mais pas dans les états financiers, </w:t>
            </w:r>
            <w:r>
              <w:rPr>
                <w:sz w:val="21"/>
                <w:szCs w:val="21"/>
                <w:lang w:val="fr-CA"/>
              </w:rPr>
              <w:t xml:space="preserve">car </w:t>
            </w:r>
            <w:r w:rsidRPr="0063040F">
              <w:rPr>
                <w:sz w:val="21"/>
                <w:szCs w:val="21"/>
                <w:lang w:val="fr-CA"/>
              </w:rPr>
              <w:t>seules les dépenses sont incluses dans l</w:t>
            </w:r>
            <w:r>
              <w:rPr>
                <w:sz w:val="21"/>
                <w:szCs w:val="21"/>
                <w:lang w:val="fr-CA"/>
              </w:rPr>
              <w:t xml:space="preserve">es </w:t>
            </w:r>
            <w:r w:rsidRPr="0063040F">
              <w:rPr>
                <w:sz w:val="21"/>
                <w:szCs w:val="21"/>
                <w:lang w:val="fr-CA"/>
              </w:rPr>
              <w:t>état</w:t>
            </w:r>
            <w:r>
              <w:rPr>
                <w:sz w:val="21"/>
                <w:szCs w:val="21"/>
                <w:lang w:val="fr-CA"/>
              </w:rPr>
              <w:t>s</w:t>
            </w:r>
            <w:r w:rsidRPr="0063040F">
              <w:rPr>
                <w:sz w:val="21"/>
                <w:szCs w:val="21"/>
                <w:lang w:val="fr-CA"/>
              </w:rPr>
              <w:t xml:space="preserve"> financier</w:t>
            </w:r>
            <w:r>
              <w:rPr>
                <w:sz w:val="21"/>
                <w:szCs w:val="21"/>
                <w:lang w:val="fr-CA"/>
              </w:rPr>
              <w:t>s</w:t>
            </w:r>
            <w:r w:rsidR="003C43B4">
              <w:rPr>
                <w:sz w:val="21"/>
                <w:szCs w:val="21"/>
                <w:lang w:val="fr-CA"/>
              </w:rPr>
              <w:t>,</w:t>
            </w:r>
            <w:r w:rsidRPr="0063040F">
              <w:rPr>
                <w:sz w:val="21"/>
                <w:szCs w:val="21"/>
                <w:lang w:val="fr-CA"/>
              </w:rPr>
              <w:t xml:space="preserve"> selon les n</w:t>
            </w:r>
            <w:r>
              <w:rPr>
                <w:sz w:val="21"/>
                <w:szCs w:val="21"/>
                <w:lang w:val="fr-CA"/>
              </w:rPr>
              <w:t xml:space="preserve">ormes </w:t>
            </w:r>
            <w:r w:rsidRPr="0063040F">
              <w:rPr>
                <w:sz w:val="21"/>
                <w:szCs w:val="21"/>
                <w:lang w:val="fr-CA"/>
              </w:rPr>
              <w:t xml:space="preserve">IPSAS </w:t>
            </w:r>
            <w:r>
              <w:rPr>
                <w:sz w:val="21"/>
                <w:szCs w:val="21"/>
                <w:lang w:val="fr-CA"/>
              </w:rPr>
              <w:t>(</w:t>
            </w:r>
            <w:r w:rsidR="000A18CA">
              <w:rPr>
                <w:sz w:val="21"/>
                <w:szCs w:val="21"/>
                <w:lang w:val="fr-CA"/>
              </w:rPr>
              <w:t>aucune mesure à prendre</w:t>
            </w:r>
            <w:r w:rsidRPr="0063040F">
              <w:rPr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2B3CA96A" w14:textId="77777777" w:rsidR="008470D2" w:rsidRPr="00CC7D86" w:rsidRDefault="008470D2" w:rsidP="00591EB1">
            <w:pPr>
              <w:keepNext/>
              <w:keepLines/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513C24B8" w14:textId="77777777" w:rsidR="008470D2" w:rsidRPr="00CC7D86" w:rsidRDefault="008470D2" w:rsidP="00591EB1">
            <w:pPr>
              <w:keepNext/>
              <w:keepLines/>
              <w:widowControl w:val="0"/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76" w:type="dxa"/>
          </w:tcPr>
          <w:p w14:paraId="0B597F30" w14:textId="33E197DA" w:rsidR="008470D2" w:rsidRPr="00206DB4" w:rsidRDefault="008470D2" w:rsidP="00591EB1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  <w:lang w:val="en-US"/>
              </w:rPr>
              <w:t>10</w:t>
            </w:r>
            <w:r w:rsidR="003D3A9A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184</w:t>
            </w:r>
            <w:r w:rsidR="003D3A9A">
              <w:rPr>
                <w:sz w:val="21"/>
                <w:szCs w:val="21"/>
                <w:lang w:val="en-US"/>
              </w:rPr>
              <w:t xml:space="preserve"> </w:t>
            </w:r>
            <w:r w:rsidRPr="00206DB4">
              <w:rPr>
                <w:sz w:val="21"/>
                <w:szCs w:val="21"/>
                <w:lang w:val="en-US"/>
              </w:rPr>
              <w:t>132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03710DD6" w14:textId="77777777" w:rsidR="008470D2" w:rsidRPr="00975119" w:rsidRDefault="008470D2" w:rsidP="00591EB1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1873EFFD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7DBC32F6" w14:textId="77777777" w:rsidR="008470D2" w:rsidRPr="00975119" w:rsidRDefault="008470D2" w:rsidP="00D7179D">
            <w:pPr>
              <w:jc w:val="left"/>
              <w:rPr>
                <w:sz w:val="21"/>
                <w:szCs w:val="21"/>
                <w:lang w:val="en-US"/>
              </w:rPr>
            </w:pPr>
            <w:r w:rsidRPr="00975119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14:paraId="37FBF331" w14:textId="5963E0FE" w:rsidR="008470D2" w:rsidRPr="006A106C" w:rsidRDefault="006A106C" w:rsidP="00251722">
            <w:pPr>
              <w:rPr>
                <w:sz w:val="21"/>
                <w:szCs w:val="21"/>
                <w:lang w:val="fr-CA"/>
              </w:rPr>
            </w:pPr>
            <w:r w:rsidRPr="006A106C">
              <w:rPr>
                <w:bCs/>
                <w:sz w:val="21"/>
                <w:szCs w:val="21"/>
                <w:lang w:val="fr-CA"/>
              </w:rPr>
              <w:t>Gain/perte sur le taux de change fixe non réalisé</w:t>
            </w:r>
            <w:r>
              <w:rPr>
                <w:bCs/>
                <w:sz w:val="21"/>
                <w:szCs w:val="21"/>
                <w:lang w:val="fr-CA"/>
              </w:rPr>
              <w:t>s</w:t>
            </w:r>
            <w:r w:rsidRPr="006A106C">
              <w:rPr>
                <w:bCs/>
                <w:sz w:val="21"/>
                <w:szCs w:val="21"/>
                <w:lang w:val="fr-CA"/>
              </w:rPr>
              <w:t xml:space="preserve"> sur les actifs et les passifs insc</w:t>
            </w:r>
            <w:r>
              <w:rPr>
                <w:bCs/>
                <w:sz w:val="21"/>
                <w:szCs w:val="21"/>
                <w:lang w:val="fr-CA"/>
              </w:rPr>
              <w:t>rits dans les comptes en</w:t>
            </w:r>
            <w:r w:rsidR="008470D2" w:rsidRPr="006A106C">
              <w:rPr>
                <w:bCs/>
                <w:sz w:val="21"/>
                <w:szCs w:val="21"/>
                <w:lang w:val="fr-CA"/>
              </w:rPr>
              <w:t xml:space="preserve"> 2020 (</w:t>
            </w:r>
            <w:r w:rsidR="000A18CA">
              <w:rPr>
                <w:bCs/>
                <w:sz w:val="21"/>
                <w:szCs w:val="21"/>
                <w:lang w:val="fr-CA"/>
              </w:rPr>
              <w:t>aucune mesure à prendre</w:t>
            </w:r>
            <w:r>
              <w:rPr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57AD60F6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</w:t>
            </w:r>
          </w:p>
        </w:tc>
        <w:tc>
          <w:tcPr>
            <w:tcW w:w="1417" w:type="dxa"/>
            <w:shd w:val="clear" w:color="auto" w:fill="auto"/>
          </w:tcPr>
          <w:p w14:paraId="316DA61E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68AA430" w14:textId="77777777" w:rsidR="008470D2" w:rsidRPr="00975119" w:rsidRDefault="008470D2" w:rsidP="00D7179D">
            <w:pPr>
              <w:jc w:val="right"/>
              <w:rPr>
                <w:sz w:val="21"/>
                <w:szCs w:val="21"/>
                <w:lang w:val="en-US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1FC9B6BB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</w:p>
        </w:tc>
      </w:tr>
      <w:tr w:rsidR="008470D2" w:rsidRPr="00975119" w14:paraId="4FF24718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32CA7E66" w14:textId="77777777" w:rsidR="008470D2" w:rsidRPr="00975119" w:rsidRDefault="008470D2" w:rsidP="00D7179D">
            <w:pPr>
              <w:jc w:val="left"/>
              <w:rPr>
                <w:bCs/>
                <w:sz w:val="21"/>
                <w:szCs w:val="21"/>
              </w:rPr>
            </w:pPr>
            <w:r w:rsidRPr="00975119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14:paraId="1D5FDF75" w14:textId="18A97A1B" w:rsidR="008470D2" w:rsidRPr="006A106C" w:rsidRDefault="008470D2" w:rsidP="00251722">
            <w:pPr>
              <w:rPr>
                <w:bCs/>
                <w:sz w:val="21"/>
                <w:szCs w:val="21"/>
                <w:lang w:val="fr-CA"/>
              </w:rPr>
            </w:pPr>
            <w:r w:rsidRPr="006A106C">
              <w:rPr>
                <w:bCs/>
                <w:sz w:val="21"/>
                <w:szCs w:val="21"/>
                <w:lang w:val="fr-CA"/>
              </w:rPr>
              <w:t>D</w:t>
            </w:r>
            <w:r w:rsidR="006A106C" w:rsidRPr="006A106C">
              <w:rPr>
                <w:bCs/>
                <w:sz w:val="21"/>
                <w:szCs w:val="21"/>
                <w:lang w:val="fr-CA"/>
              </w:rPr>
              <w:t>écaissement vers des comptes spéciaux</w:t>
            </w:r>
            <w:r w:rsidRPr="006A106C">
              <w:rPr>
                <w:bCs/>
                <w:sz w:val="21"/>
                <w:szCs w:val="21"/>
                <w:lang w:val="fr-CA"/>
              </w:rPr>
              <w:t xml:space="preserve"> (</w:t>
            </w:r>
            <w:r w:rsidR="000A18CA">
              <w:rPr>
                <w:bCs/>
                <w:sz w:val="21"/>
                <w:szCs w:val="21"/>
                <w:lang w:val="fr-CA"/>
              </w:rPr>
              <w:t>aucune mesure à prendre</w:t>
            </w:r>
            <w:r w:rsidRPr="006A106C">
              <w:rPr>
                <w:bCs/>
                <w:sz w:val="21"/>
                <w:szCs w:val="21"/>
                <w:lang w:val="fr-CA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020C3B2A" w14:textId="77777777" w:rsidR="008470D2" w:rsidRPr="006A106C" w:rsidRDefault="008470D2" w:rsidP="00D7179D">
            <w:pPr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417" w:type="dxa"/>
            <w:shd w:val="clear" w:color="auto" w:fill="auto"/>
          </w:tcPr>
          <w:p w14:paraId="2A465B74" w14:textId="77777777" w:rsidR="008470D2" w:rsidRPr="006A106C" w:rsidRDefault="008470D2" w:rsidP="00D7179D">
            <w:pPr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276" w:type="dxa"/>
          </w:tcPr>
          <w:p w14:paraId="682F3686" w14:textId="77777777" w:rsidR="008470D2" w:rsidRPr="006A106C" w:rsidRDefault="008470D2" w:rsidP="00D7179D">
            <w:pPr>
              <w:jc w:val="right"/>
              <w:rPr>
                <w:sz w:val="21"/>
                <w:szCs w:val="21"/>
                <w:lang w:val="fr-CA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764BAB29" w14:textId="4CE02153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2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522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306</w:t>
            </w:r>
            <w:r w:rsidRPr="00975119">
              <w:rPr>
                <w:sz w:val="21"/>
                <w:szCs w:val="21"/>
              </w:rPr>
              <w:t>)</w:t>
            </w:r>
          </w:p>
        </w:tc>
      </w:tr>
      <w:tr w:rsidR="008470D2" w:rsidRPr="00975119" w14:paraId="72278FBC" w14:textId="77777777" w:rsidTr="003D3A9A">
        <w:tc>
          <w:tcPr>
            <w:tcW w:w="851" w:type="dxa"/>
            <w:tcBorders>
              <w:left w:val="single" w:sz="4" w:space="0" w:color="auto"/>
            </w:tcBorders>
          </w:tcPr>
          <w:p w14:paraId="1C9E3FA9" w14:textId="77777777" w:rsidR="008470D2" w:rsidRPr="00975119" w:rsidRDefault="008470D2" w:rsidP="00D7179D">
            <w:pPr>
              <w:jc w:val="left"/>
              <w:rPr>
                <w:bCs/>
                <w:sz w:val="21"/>
                <w:szCs w:val="21"/>
              </w:rPr>
            </w:pPr>
            <w:r w:rsidRPr="00975119">
              <w:rPr>
                <w:bCs/>
                <w:sz w:val="21"/>
                <w:szCs w:val="21"/>
              </w:rPr>
              <w:t>1</w:t>
            </w: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14:paraId="7DFCE4FF" w14:textId="14266B38" w:rsidR="008470D2" w:rsidRPr="00975119" w:rsidRDefault="008470D2" w:rsidP="00D7179D">
            <w:pPr>
              <w:jc w:val="left"/>
              <w:rPr>
                <w:bCs/>
                <w:sz w:val="21"/>
                <w:szCs w:val="21"/>
              </w:rPr>
            </w:pPr>
            <w:r w:rsidRPr="00975119">
              <w:rPr>
                <w:bCs/>
                <w:sz w:val="21"/>
                <w:szCs w:val="21"/>
              </w:rPr>
              <w:t>Total (</w:t>
            </w:r>
            <w:proofErr w:type="spellStart"/>
            <w:r w:rsidR="006A106C">
              <w:rPr>
                <w:bCs/>
                <w:sz w:val="21"/>
                <w:szCs w:val="21"/>
              </w:rPr>
              <w:t>lignes</w:t>
            </w:r>
            <w:proofErr w:type="spellEnd"/>
            <w:r w:rsidRPr="00975119">
              <w:rPr>
                <w:bCs/>
                <w:sz w:val="21"/>
                <w:szCs w:val="21"/>
              </w:rPr>
              <w:t xml:space="preserve"> 2 </w:t>
            </w:r>
            <w:r w:rsidR="006A106C">
              <w:rPr>
                <w:bCs/>
                <w:sz w:val="21"/>
                <w:szCs w:val="21"/>
              </w:rPr>
              <w:t>à</w:t>
            </w:r>
            <w:r w:rsidRPr="00975119">
              <w:rPr>
                <w:bCs/>
                <w:sz w:val="21"/>
                <w:szCs w:val="21"/>
              </w:rPr>
              <w:t xml:space="preserve"> 1</w:t>
            </w:r>
            <w:r>
              <w:rPr>
                <w:bCs/>
                <w:sz w:val="21"/>
                <w:szCs w:val="21"/>
              </w:rPr>
              <w:t>2</w:t>
            </w:r>
            <w:r w:rsidRPr="0097511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316" w:type="dxa"/>
            <w:shd w:val="clear" w:color="auto" w:fill="auto"/>
          </w:tcPr>
          <w:p w14:paraId="69EA0A16" w14:textId="5071C046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color w:val="000000"/>
                <w:sz w:val="21"/>
                <w:szCs w:val="21"/>
                <w:lang w:val="en-CA"/>
              </w:rPr>
              <w:t>(</w:t>
            </w:r>
            <w:r w:rsidRPr="00801FAD">
              <w:rPr>
                <w:color w:val="000000"/>
                <w:sz w:val="21"/>
                <w:szCs w:val="21"/>
                <w:lang w:val="en-CA"/>
              </w:rPr>
              <w:t>2</w:t>
            </w:r>
            <w:r w:rsidR="003D3A9A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r w:rsidRPr="00801FAD">
              <w:rPr>
                <w:color w:val="000000"/>
                <w:sz w:val="21"/>
                <w:szCs w:val="21"/>
                <w:lang w:val="en-CA"/>
              </w:rPr>
              <w:t>118</w:t>
            </w:r>
            <w:r w:rsidR="003D3A9A">
              <w:rPr>
                <w:color w:val="000000"/>
                <w:sz w:val="21"/>
                <w:szCs w:val="21"/>
                <w:lang w:val="en-CA"/>
              </w:rPr>
              <w:t xml:space="preserve"> </w:t>
            </w:r>
            <w:r w:rsidRPr="00801FAD">
              <w:rPr>
                <w:color w:val="000000"/>
                <w:sz w:val="21"/>
                <w:szCs w:val="21"/>
                <w:lang w:val="en-CA"/>
              </w:rPr>
              <w:t>3</w:t>
            </w:r>
            <w:r>
              <w:rPr>
                <w:color w:val="000000"/>
                <w:sz w:val="21"/>
                <w:szCs w:val="21"/>
                <w:lang w:val="en-CA"/>
              </w:rPr>
              <w:t>59</w:t>
            </w:r>
            <w:r w:rsidRPr="00975119">
              <w:rPr>
                <w:color w:val="000000"/>
                <w:sz w:val="21"/>
                <w:szCs w:val="21"/>
                <w:lang w:val="en-CA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291ED25" w14:textId="08C3EE80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587</w:t>
            </w:r>
            <w:r w:rsidR="003D3A9A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922</w:t>
            </w:r>
          </w:p>
        </w:tc>
        <w:tc>
          <w:tcPr>
            <w:tcW w:w="1276" w:type="dxa"/>
          </w:tcPr>
          <w:p w14:paraId="434387A6" w14:textId="1276C067" w:rsidR="008470D2" w:rsidRPr="00975119" w:rsidRDefault="008470D2" w:rsidP="00D7179D">
            <w:pPr>
              <w:jc w:val="right"/>
              <w:rPr>
                <w:sz w:val="21"/>
                <w:szCs w:val="21"/>
                <w:lang w:val="en-US"/>
              </w:rPr>
            </w:pPr>
            <w:r w:rsidRPr="00975119">
              <w:rPr>
                <w:sz w:val="21"/>
                <w:szCs w:val="21"/>
              </w:rPr>
              <w:t>56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316</w:t>
            </w:r>
            <w:r w:rsidR="003D3A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316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14:paraId="10B7B1AA" w14:textId="109E85B3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206DB4">
              <w:rPr>
                <w:sz w:val="21"/>
                <w:szCs w:val="21"/>
              </w:rPr>
              <w:t>11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352</w:t>
            </w:r>
            <w:r w:rsidR="003D3A9A">
              <w:rPr>
                <w:sz w:val="21"/>
                <w:szCs w:val="21"/>
              </w:rPr>
              <w:t xml:space="preserve"> </w:t>
            </w:r>
            <w:r w:rsidRPr="00206DB4">
              <w:rPr>
                <w:sz w:val="21"/>
                <w:szCs w:val="21"/>
              </w:rPr>
              <w:t>301</w:t>
            </w:r>
          </w:p>
        </w:tc>
      </w:tr>
      <w:tr w:rsidR="008470D2" w:rsidRPr="00975119" w14:paraId="157FAFB0" w14:textId="77777777" w:rsidTr="003D3A9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2C21C59" w14:textId="77777777" w:rsidR="008470D2" w:rsidRPr="00975119" w:rsidRDefault="008470D2" w:rsidP="00D7179D">
            <w:pPr>
              <w:jc w:val="left"/>
              <w:rPr>
                <w:bCs/>
                <w:sz w:val="21"/>
                <w:szCs w:val="21"/>
              </w:rPr>
            </w:pPr>
            <w:r w:rsidRPr="00975119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688AE" w14:textId="25384638" w:rsidR="008470D2" w:rsidRPr="00975119" w:rsidRDefault="008470D2" w:rsidP="00D7179D">
            <w:pPr>
              <w:jc w:val="left"/>
              <w:rPr>
                <w:bCs/>
                <w:sz w:val="21"/>
                <w:szCs w:val="21"/>
              </w:rPr>
            </w:pPr>
            <w:proofErr w:type="spellStart"/>
            <w:r w:rsidRPr="00975119">
              <w:rPr>
                <w:b/>
                <w:bCs/>
                <w:sz w:val="21"/>
                <w:szCs w:val="21"/>
              </w:rPr>
              <w:t>Diff</w:t>
            </w:r>
            <w:r w:rsidR="006A106C">
              <w:rPr>
                <w:b/>
                <w:bCs/>
                <w:sz w:val="21"/>
                <w:szCs w:val="21"/>
              </w:rPr>
              <w:t>ér</w:t>
            </w:r>
            <w:r w:rsidRPr="00975119">
              <w:rPr>
                <w:b/>
                <w:bCs/>
                <w:sz w:val="21"/>
                <w:szCs w:val="21"/>
              </w:rPr>
              <w:t>ence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2A7648EA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D7FA59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ABEACA" w14:textId="50FB1C2A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69</w:t>
            </w:r>
            <w:r w:rsidR="003D3A9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436</w:t>
            </w:r>
            <w:r w:rsidRPr="00975119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</w:tcPr>
          <w:p w14:paraId="3C5B4C02" w14:textId="77777777" w:rsidR="008470D2" w:rsidRPr="00975119" w:rsidRDefault="008470D2" w:rsidP="00D7179D">
            <w:pPr>
              <w:jc w:val="right"/>
              <w:rPr>
                <w:sz w:val="21"/>
                <w:szCs w:val="21"/>
              </w:rPr>
            </w:pPr>
            <w:r w:rsidRPr="00975119">
              <w:rPr>
                <w:b/>
                <w:sz w:val="21"/>
                <w:szCs w:val="21"/>
              </w:rPr>
              <w:t>0</w:t>
            </w:r>
          </w:p>
        </w:tc>
      </w:tr>
    </w:tbl>
    <w:p w14:paraId="5FD143FE" w14:textId="77777777" w:rsidR="008470D2" w:rsidRPr="008470D2" w:rsidRDefault="008470D2" w:rsidP="008470D2">
      <w:pPr>
        <w:rPr>
          <w:lang w:val="fr-CA"/>
        </w:rPr>
      </w:pPr>
    </w:p>
    <w:p w14:paraId="7B96E366" w14:textId="26053A0B" w:rsidR="006A106C" w:rsidRDefault="006A106C" w:rsidP="006A106C">
      <w:pPr>
        <w:pStyle w:val="Heading1"/>
        <w:tabs>
          <w:tab w:val="left" w:pos="567"/>
        </w:tabs>
        <w:rPr>
          <w:lang w:val="fr-CA"/>
        </w:rPr>
      </w:pPr>
      <w:r w:rsidRPr="00C21E27">
        <w:rPr>
          <w:lang w:val="fr-CA"/>
        </w:rPr>
        <w:t>D’après les explications fournies</w:t>
      </w:r>
      <w:r>
        <w:rPr>
          <w:lang w:val="fr-CA"/>
        </w:rPr>
        <w:t xml:space="preserve"> dans le tableau 5, </w:t>
      </w:r>
      <w:r w:rsidRPr="00C21E27">
        <w:rPr>
          <w:lang w:val="fr-CA"/>
        </w:rPr>
        <w:t>l</w:t>
      </w:r>
      <w:r>
        <w:rPr>
          <w:lang w:val="fr-CA"/>
        </w:rPr>
        <w:t>a</w:t>
      </w:r>
      <w:r w:rsidRPr="00C21E27">
        <w:rPr>
          <w:lang w:val="fr-CA"/>
        </w:rPr>
        <w:t xml:space="preserve"> d</w:t>
      </w:r>
      <w:r>
        <w:rPr>
          <w:lang w:val="fr-CA"/>
        </w:rPr>
        <w:t>ifférence de 69 436 $US pour l’ONUDI reste un élément de rapprochement en suspens.</w:t>
      </w:r>
    </w:p>
    <w:p w14:paraId="31907C08" w14:textId="1C16ED8D" w:rsidR="006A106C" w:rsidRPr="006A106C" w:rsidRDefault="006A106C" w:rsidP="006A106C">
      <w:pPr>
        <w:rPr>
          <w:b/>
          <w:bCs/>
          <w:lang w:val="fr-CA"/>
        </w:rPr>
      </w:pPr>
      <w:r>
        <w:rPr>
          <w:b/>
          <w:bCs/>
          <w:lang w:val="fr-CA"/>
        </w:rPr>
        <w:t>Recommandation</w:t>
      </w:r>
    </w:p>
    <w:p w14:paraId="1EA1ADB7" w14:textId="77777777" w:rsidR="006A106C" w:rsidRPr="006A106C" w:rsidRDefault="006A106C" w:rsidP="006A106C">
      <w:pPr>
        <w:rPr>
          <w:lang w:val="fr-CA"/>
        </w:rPr>
      </w:pPr>
    </w:p>
    <w:p w14:paraId="29F65C74" w14:textId="7CC433FE" w:rsidR="00291834" w:rsidRDefault="00C21E27" w:rsidP="00C21E27">
      <w:pPr>
        <w:pStyle w:val="Heading1"/>
        <w:tabs>
          <w:tab w:val="left" w:pos="567"/>
        </w:tabs>
        <w:rPr>
          <w:lang w:val="fr-CA"/>
        </w:rPr>
      </w:pPr>
      <w:r>
        <w:rPr>
          <w:lang w:val="fr-CA"/>
        </w:rPr>
        <w:t xml:space="preserve"> </w:t>
      </w:r>
      <w:r w:rsidR="006A106C">
        <w:rPr>
          <w:lang w:val="fr-CA"/>
        </w:rPr>
        <w:t>Le Comité exécutif pourrait souhaiter :</w:t>
      </w:r>
    </w:p>
    <w:p w14:paraId="0E0B80A0" w14:textId="67A27CAE" w:rsidR="006A106C" w:rsidRDefault="006A106C" w:rsidP="006A106C">
      <w:pPr>
        <w:pStyle w:val="Heading2"/>
        <w:ind w:left="1134" w:hanging="567"/>
        <w:rPr>
          <w:lang w:val="fr-CA"/>
        </w:rPr>
      </w:pPr>
      <w:r>
        <w:rPr>
          <w:lang w:val="fr-CA"/>
        </w:rPr>
        <w:t>Prendre note du rapprochement des comptes de 2020, contenu dans le document UNEP/</w:t>
      </w:r>
      <w:proofErr w:type="spellStart"/>
      <w:r>
        <w:rPr>
          <w:lang w:val="fr-CA"/>
        </w:rPr>
        <w:t>OzL.Pro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ExCom</w:t>
      </w:r>
      <w:proofErr w:type="spellEnd"/>
      <w:r>
        <w:rPr>
          <w:lang w:val="fr-CA"/>
        </w:rPr>
        <w:t>/88/6;</w:t>
      </w:r>
    </w:p>
    <w:p w14:paraId="5F960DF4" w14:textId="67B75D02" w:rsidR="006A106C" w:rsidRDefault="006A106C" w:rsidP="006A106C">
      <w:pPr>
        <w:pStyle w:val="Heading2"/>
        <w:ind w:left="1134" w:hanging="567"/>
        <w:rPr>
          <w:lang w:val="fr-CA"/>
        </w:rPr>
      </w:pPr>
      <w:r>
        <w:rPr>
          <w:lang w:val="fr-CA"/>
        </w:rPr>
        <w:t xml:space="preserve">Demander au Trésorier de </w:t>
      </w:r>
      <w:r w:rsidR="002C5B3F">
        <w:rPr>
          <w:lang w:val="fr-CA"/>
        </w:rPr>
        <w:t>retenir sur les</w:t>
      </w:r>
      <w:r>
        <w:rPr>
          <w:lang w:val="fr-CA"/>
        </w:rPr>
        <w:t xml:space="preserve"> transferts futurs :</w:t>
      </w:r>
    </w:p>
    <w:p w14:paraId="3A27481A" w14:textId="2DC17672" w:rsidR="006A106C" w:rsidRDefault="006A106C" w:rsidP="006A106C">
      <w:pPr>
        <w:pStyle w:val="Heading3"/>
        <w:tabs>
          <w:tab w:val="left" w:pos="1134"/>
        </w:tabs>
        <w:ind w:left="1701" w:hanging="567"/>
        <w:rPr>
          <w:lang w:val="fr-CA"/>
        </w:rPr>
      </w:pPr>
      <w:r>
        <w:rPr>
          <w:lang w:val="fr-CA"/>
        </w:rPr>
        <w:t>Pour le PNUE, 1 080 630 $US en raison des revenus d’intérêts accumulés en 2020 et dan</w:t>
      </w:r>
      <w:r w:rsidR="002C5B3F">
        <w:rPr>
          <w:lang w:val="fr-CA"/>
        </w:rPr>
        <w:t>s</w:t>
      </w:r>
      <w:r>
        <w:rPr>
          <w:lang w:val="fr-CA"/>
        </w:rPr>
        <w:t xml:space="preserve"> les années antérieures, déclarés dans ses comptes finaux de 2020 </w:t>
      </w:r>
      <w:r w:rsidR="00F20B8C">
        <w:rPr>
          <w:lang w:val="fr-CA"/>
        </w:rPr>
        <w:t>et</w:t>
      </w:r>
      <w:r>
        <w:rPr>
          <w:lang w:val="fr-CA"/>
        </w:rPr>
        <w:t xml:space="preserve"> qui d</w:t>
      </w:r>
      <w:r w:rsidR="00F20B8C">
        <w:rPr>
          <w:lang w:val="fr-CA"/>
        </w:rPr>
        <w:t>evr</w:t>
      </w:r>
      <w:r>
        <w:rPr>
          <w:lang w:val="fr-CA"/>
        </w:rPr>
        <w:t>ont être déduits des nouvelles approbations;</w:t>
      </w:r>
    </w:p>
    <w:p w14:paraId="72F62FBA" w14:textId="3D977234" w:rsidR="006A106C" w:rsidRDefault="006A106C" w:rsidP="00251722">
      <w:pPr>
        <w:pStyle w:val="Heading3"/>
        <w:tabs>
          <w:tab w:val="left" w:pos="1134"/>
        </w:tabs>
        <w:spacing w:after="120"/>
        <w:ind w:left="1701" w:hanging="567"/>
        <w:rPr>
          <w:lang w:val="fr-CA"/>
        </w:rPr>
      </w:pPr>
      <w:r>
        <w:rPr>
          <w:lang w:val="fr-CA"/>
        </w:rPr>
        <w:t xml:space="preserve">Pour l’ONUDI, </w:t>
      </w:r>
      <w:r w:rsidR="00240FF7">
        <w:rPr>
          <w:lang w:val="fr-CA"/>
        </w:rPr>
        <w:t>85 020 $US en raison des revenus d’intérêts déclarés dans ses comptes finaux de 2020 qui d</w:t>
      </w:r>
      <w:r w:rsidR="00F20B8C">
        <w:rPr>
          <w:lang w:val="fr-CA"/>
        </w:rPr>
        <w:t>e</w:t>
      </w:r>
      <w:r w:rsidR="00240FF7">
        <w:rPr>
          <w:lang w:val="fr-CA"/>
        </w:rPr>
        <w:t>v</w:t>
      </w:r>
      <w:r w:rsidR="00F20B8C">
        <w:rPr>
          <w:lang w:val="fr-CA"/>
        </w:rPr>
        <w:t>ro</w:t>
      </w:r>
      <w:r w:rsidR="00240FF7">
        <w:rPr>
          <w:lang w:val="fr-CA"/>
        </w:rPr>
        <w:t>nt être déduits des nouvelles approbations;</w:t>
      </w:r>
    </w:p>
    <w:p w14:paraId="0A2C9DA0" w14:textId="255D4824" w:rsidR="002C5B3F" w:rsidRPr="002C5B3F" w:rsidRDefault="002C5B3F" w:rsidP="00251722">
      <w:pPr>
        <w:pStyle w:val="Heading3"/>
        <w:spacing w:after="120"/>
        <w:ind w:left="1701" w:hanging="567"/>
        <w:rPr>
          <w:lang w:val="fr-CA"/>
        </w:rPr>
      </w:pPr>
      <w:r>
        <w:rPr>
          <w:lang w:val="fr-CA"/>
        </w:rPr>
        <w:t>Pour la Banque mondiale, 22 119 $US en raison des revenus d’intérêts déclarés dans ses comptes finaux de 2020 qui d</w:t>
      </w:r>
      <w:r w:rsidR="00F20B8C">
        <w:rPr>
          <w:lang w:val="fr-CA"/>
        </w:rPr>
        <w:t>evr</w:t>
      </w:r>
      <w:r>
        <w:rPr>
          <w:lang w:val="fr-CA"/>
        </w:rPr>
        <w:t>ont être déduits des nouvelles approbations;</w:t>
      </w:r>
    </w:p>
    <w:p w14:paraId="2FF68E0E" w14:textId="510663E2" w:rsidR="00240FF7" w:rsidRDefault="00240FF7" w:rsidP="00240FF7">
      <w:pPr>
        <w:pStyle w:val="Heading2"/>
        <w:ind w:left="1134" w:hanging="567"/>
        <w:rPr>
          <w:lang w:val="fr-CA"/>
        </w:rPr>
      </w:pPr>
      <w:r>
        <w:rPr>
          <w:lang w:val="fr-CA"/>
        </w:rPr>
        <w:t>Demander au PNU</w:t>
      </w:r>
      <w:r w:rsidR="00F20B8C">
        <w:rPr>
          <w:lang w:val="fr-CA"/>
        </w:rPr>
        <w:t>D</w:t>
      </w:r>
      <w:r>
        <w:rPr>
          <w:lang w:val="fr-CA"/>
        </w:rPr>
        <w:t xml:space="preserve"> de faire le rajustement de 6 740 $US dans son rapport périodique de 2021, qui représente le montant retenu pour la pénalité reliée à un projet (SRL/PHA/86/INV/58);</w:t>
      </w:r>
    </w:p>
    <w:p w14:paraId="422FECBF" w14:textId="28A6377C" w:rsidR="00240FF7" w:rsidRDefault="00240FF7" w:rsidP="00240FF7">
      <w:pPr>
        <w:pStyle w:val="Heading2"/>
        <w:ind w:left="1134" w:hanging="567"/>
        <w:rPr>
          <w:lang w:val="fr-CA"/>
        </w:rPr>
      </w:pPr>
      <w:r>
        <w:rPr>
          <w:lang w:val="fr-CA"/>
        </w:rPr>
        <w:t>Demander au PNUE de faire le rajustement de 4 723 $US dans son rapport périodique de 2021, qui représente le montant retenu pour la pénalité reliée à un projet (SRL/PHA/86/TAS/56);</w:t>
      </w:r>
    </w:p>
    <w:p w14:paraId="070E5DCD" w14:textId="15DA88B3" w:rsidR="00240FF7" w:rsidRDefault="00240FF7" w:rsidP="00240FF7">
      <w:pPr>
        <w:pStyle w:val="Heading2"/>
        <w:ind w:left="1134" w:hanging="567"/>
        <w:rPr>
          <w:lang w:val="fr-CA"/>
        </w:rPr>
      </w:pPr>
      <w:r>
        <w:rPr>
          <w:lang w:val="fr-CA"/>
        </w:rPr>
        <w:lastRenderedPageBreak/>
        <w:t>Demander à l’ONUDI de faire les rajustements</w:t>
      </w:r>
      <w:r w:rsidR="00F20B8C">
        <w:rPr>
          <w:lang w:val="fr-CA"/>
        </w:rPr>
        <w:t>,</w:t>
      </w:r>
      <w:r>
        <w:rPr>
          <w:lang w:val="fr-CA"/>
        </w:rPr>
        <w:t xml:space="preserve"> de 2 022 000 $US dans ses comptes de 2021 qui représente </w:t>
      </w:r>
      <w:r w:rsidR="004B1D5D">
        <w:rPr>
          <w:lang w:val="fr-CA"/>
        </w:rPr>
        <w:t>d</w:t>
      </w:r>
      <w:r>
        <w:rPr>
          <w:lang w:val="fr-CA"/>
        </w:rPr>
        <w:t>e</w:t>
      </w:r>
      <w:r w:rsidR="002C5B3F">
        <w:rPr>
          <w:lang w:val="fr-CA"/>
        </w:rPr>
        <w:t>s</w:t>
      </w:r>
      <w:r>
        <w:rPr>
          <w:lang w:val="fr-CA"/>
        </w:rPr>
        <w:t xml:space="preserve"> revenu</w:t>
      </w:r>
      <w:r w:rsidR="002C5B3F">
        <w:rPr>
          <w:lang w:val="fr-CA"/>
        </w:rPr>
        <w:t>s</w:t>
      </w:r>
      <w:r>
        <w:rPr>
          <w:lang w:val="fr-CA"/>
        </w:rPr>
        <w:t xml:space="preserve"> inscrit</w:t>
      </w:r>
      <w:r w:rsidR="002C5B3F">
        <w:rPr>
          <w:lang w:val="fr-CA"/>
        </w:rPr>
        <w:t>s</w:t>
      </w:r>
      <w:r>
        <w:rPr>
          <w:lang w:val="fr-CA"/>
        </w:rPr>
        <w:t xml:space="preserve"> en 2020</w:t>
      </w:r>
      <w:r w:rsidR="00F20B8C">
        <w:rPr>
          <w:lang w:val="fr-CA"/>
        </w:rPr>
        <w:t>,</w:t>
      </w:r>
      <w:r>
        <w:rPr>
          <w:lang w:val="fr-CA"/>
        </w:rPr>
        <w:t xml:space="preserve"> et de 89 600 $US dans son rapport périodique de 2021</w:t>
      </w:r>
      <w:r w:rsidR="00F20B8C">
        <w:rPr>
          <w:lang w:val="fr-CA"/>
        </w:rPr>
        <w:t>,</w:t>
      </w:r>
      <w:r>
        <w:rPr>
          <w:lang w:val="fr-CA"/>
        </w:rPr>
        <w:t xml:space="preserve"> pour des subventions terminées en 2020 mais dont les fonds ont été restitués en 2021;</w:t>
      </w:r>
    </w:p>
    <w:p w14:paraId="0684C967" w14:textId="2C24C1DF" w:rsidR="00240FF7" w:rsidRDefault="00240FF7" w:rsidP="00240FF7">
      <w:pPr>
        <w:pStyle w:val="Heading2"/>
        <w:ind w:left="1134" w:hanging="567"/>
        <w:rPr>
          <w:lang w:val="fr-CA"/>
        </w:rPr>
      </w:pPr>
      <w:r>
        <w:rPr>
          <w:lang w:val="fr-CA"/>
        </w:rPr>
        <w:t>Demander à la Banque mondiale de faire</w:t>
      </w:r>
      <w:r w:rsidR="00F20B8C">
        <w:rPr>
          <w:lang w:val="fr-CA"/>
        </w:rPr>
        <w:t xml:space="preserve"> l</w:t>
      </w:r>
      <w:r>
        <w:rPr>
          <w:lang w:val="fr-CA"/>
        </w:rPr>
        <w:t xml:space="preserve">es </w:t>
      </w:r>
      <w:r w:rsidR="002C5B3F">
        <w:rPr>
          <w:lang w:val="fr-CA"/>
        </w:rPr>
        <w:t>r</w:t>
      </w:r>
      <w:r>
        <w:rPr>
          <w:lang w:val="fr-CA"/>
        </w:rPr>
        <w:t xml:space="preserve">ajustements </w:t>
      </w:r>
      <w:r w:rsidR="00F20B8C">
        <w:rPr>
          <w:lang w:val="fr-CA"/>
        </w:rPr>
        <w:t xml:space="preserve">suivants </w:t>
      </w:r>
      <w:r>
        <w:rPr>
          <w:lang w:val="fr-CA"/>
        </w:rPr>
        <w:t xml:space="preserve">dans son rapport périodique de 2021 : </w:t>
      </w:r>
    </w:p>
    <w:p w14:paraId="2DBD914D" w14:textId="4B2AA34A" w:rsidR="00231B0B" w:rsidRDefault="00A54C8E" w:rsidP="00240FF7">
      <w:pPr>
        <w:pStyle w:val="Heading3"/>
        <w:ind w:left="1701" w:hanging="567"/>
        <w:rPr>
          <w:lang w:val="fr-CA"/>
        </w:rPr>
      </w:pPr>
      <w:r>
        <w:rPr>
          <w:lang w:val="fr-CA"/>
        </w:rPr>
        <w:t xml:space="preserve">314 015 $US qui représente </w:t>
      </w:r>
      <w:r w:rsidR="004B1D5D">
        <w:rPr>
          <w:lang w:val="fr-CA"/>
        </w:rPr>
        <w:t>d</w:t>
      </w:r>
      <w:r>
        <w:rPr>
          <w:lang w:val="fr-CA"/>
        </w:rPr>
        <w:t xml:space="preserve">es soldes de clôture de 33 907 $US pour </w:t>
      </w:r>
      <w:r w:rsidR="00231B0B">
        <w:rPr>
          <w:lang w:val="fr-CA"/>
        </w:rPr>
        <w:t>un</w:t>
      </w:r>
      <w:r>
        <w:rPr>
          <w:lang w:val="fr-CA"/>
        </w:rPr>
        <w:t xml:space="preserve"> projet </w:t>
      </w:r>
      <w:r w:rsidR="00231B0B">
        <w:rPr>
          <w:lang w:val="fr-CA"/>
        </w:rPr>
        <w:t>(</w:t>
      </w:r>
      <w:r>
        <w:rPr>
          <w:lang w:val="fr-CA"/>
        </w:rPr>
        <w:t>CPR/PRO/57/INV/487</w:t>
      </w:r>
      <w:r w:rsidR="00231B0B">
        <w:rPr>
          <w:lang w:val="fr-CA"/>
        </w:rPr>
        <w:t>)</w:t>
      </w:r>
      <w:r w:rsidR="00F20B8C">
        <w:rPr>
          <w:lang w:val="fr-CA"/>
        </w:rPr>
        <w:t xml:space="preserve">, </w:t>
      </w:r>
      <w:r>
        <w:rPr>
          <w:lang w:val="fr-CA"/>
        </w:rPr>
        <w:t xml:space="preserve">et de 280 108 $US pour </w:t>
      </w:r>
      <w:r w:rsidR="00231B0B">
        <w:rPr>
          <w:lang w:val="fr-CA"/>
        </w:rPr>
        <w:t>un</w:t>
      </w:r>
      <w:r>
        <w:rPr>
          <w:lang w:val="fr-CA"/>
        </w:rPr>
        <w:t xml:space="preserve"> projet </w:t>
      </w:r>
      <w:r w:rsidR="00231B0B">
        <w:rPr>
          <w:lang w:val="fr-CA"/>
        </w:rPr>
        <w:t>(</w:t>
      </w:r>
      <w:r>
        <w:rPr>
          <w:lang w:val="fr-CA"/>
        </w:rPr>
        <w:t>CPR/FOA/56/INV/478</w:t>
      </w:r>
      <w:r w:rsidR="00231B0B">
        <w:rPr>
          <w:lang w:val="fr-CA"/>
        </w:rPr>
        <w:t>);</w:t>
      </w:r>
    </w:p>
    <w:p w14:paraId="3F93086F" w14:textId="41650CF6" w:rsidR="00240FF7" w:rsidRPr="00231B0B" w:rsidRDefault="00231B0B" w:rsidP="00231B0B">
      <w:pPr>
        <w:pStyle w:val="Heading3"/>
        <w:ind w:left="1701" w:hanging="567"/>
        <w:rPr>
          <w:lang w:val="fr-CA"/>
        </w:rPr>
      </w:pPr>
      <w:r>
        <w:rPr>
          <w:lang w:val="fr-CA"/>
        </w:rPr>
        <w:t>1 060 319 $US qui représente les fonds restitués pour un projet (PHI/SEV/80/TAS/01);</w:t>
      </w:r>
      <w:r w:rsidRPr="00231B0B">
        <w:rPr>
          <w:lang w:val="fr-CA"/>
        </w:rPr>
        <w:t xml:space="preserve"> </w:t>
      </w:r>
      <w:r w:rsidR="00A54C8E" w:rsidRPr="00231B0B">
        <w:rPr>
          <w:lang w:val="fr-CA"/>
        </w:rPr>
        <w:t xml:space="preserve"> </w:t>
      </w:r>
    </w:p>
    <w:p w14:paraId="1088FB59" w14:textId="721F4DEF" w:rsidR="00231B0B" w:rsidRDefault="00231B0B" w:rsidP="00240FF7">
      <w:pPr>
        <w:pStyle w:val="Heading2"/>
        <w:ind w:left="1134" w:hanging="567"/>
        <w:rPr>
          <w:lang w:val="fr-CA"/>
        </w:rPr>
      </w:pPr>
      <w:r>
        <w:rPr>
          <w:lang w:val="fr-CA"/>
        </w:rPr>
        <w:t>Prendre note que les éléments de rapprochement en suspens suivants pour 2020 seront mis à jour avant la 91</w:t>
      </w:r>
      <w:r w:rsidRPr="00231B0B">
        <w:rPr>
          <w:vertAlign w:val="superscript"/>
          <w:lang w:val="fr-CA"/>
        </w:rPr>
        <w:t>e</w:t>
      </w:r>
      <w:r>
        <w:rPr>
          <w:lang w:val="fr-CA"/>
        </w:rPr>
        <w:t xml:space="preserve"> réunion par les agences d’exécution concernées :</w:t>
      </w:r>
    </w:p>
    <w:p w14:paraId="35FDCA67" w14:textId="02885AB4" w:rsidR="00231B0B" w:rsidRDefault="00231B0B" w:rsidP="00231B0B">
      <w:pPr>
        <w:pStyle w:val="Heading3"/>
        <w:ind w:left="1701" w:hanging="567"/>
        <w:rPr>
          <w:lang w:val="fr-CA"/>
        </w:rPr>
      </w:pPr>
      <w:r>
        <w:rPr>
          <w:lang w:val="fr-CA"/>
        </w:rPr>
        <w:t>Différences de 12 657 $US dans les revenus et de 69 436 $US dans les dépenses, entre le rapport périodique et les comptes finaux de l’ONUDI;</w:t>
      </w:r>
    </w:p>
    <w:p w14:paraId="440C4F5B" w14:textId="711275A9" w:rsidR="00231B0B" w:rsidRPr="00231B0B" w:rsidRDefault="00231B0B" w:rsidP="00231B0B">
      <w:pPr>
        <w:pStyle w:val="Heading3"/>
        <w:ind w:left="1701" w:hanging="567"/>
        <w:rPr>
          <w:lang w:val="fr-CA"/>
        </w:rPr>
      </w:pPr>
      <w:r>
        <w:rPr>
          <w:lang w:val="fr-CA"/>
        </w:rPr>
        <w:t>Différence de 121 562 $US dans les revenus entre le rapport périodique et les comptes finaux de la Banque mondiale;</w:t>
      </w:r>
    </w:p>
    <w:p w14:paraId="58325AE6" w14:textId="1ED60DF6" w:rsidR="00231B0B" w:rsidRDefault="00231B0B" w:rsidP="00240FF7">
      <w:pPr>
        <w:pStyle w:val="Heading2"/>
        <w:ind w:left="1134" w:hanging="567"/>
        <w:rPr>
          <w:lang w:val="fr-CA"/>
        </w:rPr>
      </w:pPr>
      <w:r>
        <w:rPr>
          <w:lang w:val="fr-CA"/>
        </w:rPr>
        <w:t>Prendre note des éléments de rapprochement permanents suivants :</w:t>
      </w:r>
    </w:p>
    <w:p w14:paraId="6850C6C7" w14:textId="1BE1A361" w:rsidR="00860D6C" w:rsidRDefault="00231B0B" w:rsidP="00231B0B">
      <w:pPr>
        <w:pStyle w:val="Heading2"/>
        <w:ind w:left="1701" w:hanging="567"/>
        <w:rPr>
          <w:lang w:val="fr-CA"/>
        </w:rPr>
      </w:pPr>
      <w:r>
        <w:rPr>
          <w:lang w:val="fr-CA"/>
        </w:rPr>
        <w:t xml:space="preserve">Pour le PNUD, pour des projets non </w:t>
      </w:r>
      <w:r w:rsidR="00860D6C">
        <w:rPr>
          <w:lang w:val="fr-CA"/>
        </w:rPr>
        <w:t>spécifiés, aux montants de 68 300 $US et 29</w:t>
      </w:r>
      <w:r w:rsidR="00591EB1">
        <w:rPr>
          <w:lang w:val="fr-CA"/>
        </w:rPr>
        <w:t> </w:t>
      </w:r>
      <w:r w:rsidR="00860D6C">
        <w:rPr>
          <w:lang w:val="fr-CA"/>
        </w:rPr>
        <w:t>054</w:t>
      </w:r>
      <w:r w:rsidR="00591EB1">
        <w:rPr>
          <w:lang w:val="fr-CA"/>
        </w:rPr>
        <w:t> </w:t>
      </w:r>
      <w:r w:rsidR="00860D6C">
        <w:rPr>
          <w:lang w:val="fr-CA"/>
        </w:rPr>
        <w:t>$US;</w:t>
      </w:r>
    </w:p>
    <w:p w14:paraId="3E60BD23" w14:textId="77777777" w:rsidR="00860D6C" w:rsidRDefault="00860D6C" w:rsidP="00860D6C">
      <w:pPr>
        <w:pStyle w:val="Heading2"/>
        <w:numPr>
          <w:ilvl w:val="0"/>
          <w:numId w:val="0"/>
        </w:numPr>
        <w:tabs>
          <w:tab w:val="left" w:pos="1134"/>
        </w:tabs>
        <w:ind w:left="1701" w:hanging="567"/>
        <w:rPr>
          <w:lang w:val="fr-CA"/>
        </w:rPr>
      </w:pPr>
      <w:r>
        <w:rPr>
          <w:lang w:val="fr-CA"/>
        </w:rPr>
        <w:t>(ii)</w:t>
      </w:r>
      <w:r>
        <w:rPr>
          <w:lang w:val="fr-CA"/>
        </w:rPr>
        <w:tab/>
        <w:t>Pour la Banque mondiale, pour les projets suivants mis en œuvre avec d’autres agences bilatérales, le cas échéant :</w:t>
      </w:r>
    </w:p>
    <w:p w14:paraId="58AFCA86" w14:textId="77777777" w:rsidR="00860D6C" w:rsidRDefault="00860D6C" w:rsidP="00860D6C">
      <w:pPr>
        <w:pStyle w:val="Heading2"/>
        <w:numPr>
          <w:ilvl w:val="0"/>
          <w:numId w:val="23"/>
        </w:numPr>
        <w:tabs>
          <w:tab w:val="left" w:pos="1134"/>
        </w:tabs>
        <w:ind w:left="2268" w:hanging="574"/>
        <w:rPr>
          <w:lang w:val="fr-CA"/>
        </w:rPr>
      </w:pPr>
      <w:r>
        <w:rPr>
          <w:lang w:val="fr-CA"/>
        </w:rPr>
        <w:t>Coopération bilatérale du gouvernement du Japon (THA/PHA/68/TAS/158), au montant de 342 350 $US;</w:t>
      </w:r>
    </w:p>
    <w:p w14:paraId="44D16E86" w14:textId="0D726292" w:rsidR="00860D6C" w:rsidRDefault="00860D6C" w:rsidP="00860D6C">
      <w:pPr>
        <w:pStyle w:val="Heading2"/>
        <w:numPr>
          <w:ilvl w:val="0"/>
          <w:numId w:val="23"/>
        </w:numPr>
        <w:tabs>
          <w:tab w:val="left" w:pos="1134"/>
        </w:tabs>
        <w:ind w:left="2268" w:hanging="574"/>
        <w:rPr>
          <w:lang w:val="fr-CA"/>
        </w:rPr>
      </w:pPr>
      <w:r>
        <w:rPr>
          <w:lang w:val="fr-CA"/>
        </w:rPr>
        <w:t>Coopération bilatérale du gouvernement du Japon (VIE/PHA/76/TAS/71) et (VIE/PHA/84/INV/75)</w:t>
      </w:r>
      <w:r w:rsidR="002C5B3F">
        <w:rPr>
          <w:lang w:val="fr-CA"/>
        </w:rPr>
        <w:t>,</w:t>
      </w:r>
      <w:r>
        <w:rPr>
          <w:lang w:val="fr-CA"/>
        </w:rPr>
        <w:t xml:space="preserve"> au montant de 234 170 $US;</w:t>
      </w:r>
    </w:p>
    <w:p w14:paraId="696E7C5F" w14:textId="783C339B" w:rsidR="00860D6C" w:rsidRDefault="00860D6C" w:rsidP="00860D6C">
      <w:pPr>
        <w:pStyle w:val="Heading2"/>
        <w:numPr>
          <w:ilvl w:val="0"/>
          <w:numId w:val="23"/>
        </w:numPr>
        <w:tabs>
          <w:tab w:val="left" w:pos="1134"/>
        </w:tabs>
        <w:ind w:left="2268" w:hanging="574"/>
        <w:rPr>
          <w:lang w:val="fr-CA"/>
        </w:rPr>
      </w:pPr>
      <w:r>
        <w:rPr>
          <w:lang w:val="fr-CA"/>
        </w:rPr>
        <w:t>Coopération bilatérale du gouvernement de la Suède (THA/HAL/29/TAS/120)</w:t>
      </w:r>
      <w:r w:rsidR="002C5B3F">
        <w:rPr>
          <w:lang w:val="fr-CA"/>
        </w:rPr>
        <w:t>,</w:t>
      </w:r>
      <w:r>
        <w:rPr>
          <w:lang w:val="fr-CA"/>
        </w:rPr>
        <w:t xml:space="preserve"> au montant de 225 985 $US;</w:t>
      </w:r>
    </w:p>
    <w:p w14:paraId="14E25922" w14:textId="42B65B40" w:rsidR="00231B0B" w:rsidRDefault="00860D6C" w:rsidP="00860D6C">
      <w:pPr>
        <w:pStyle w:val="Heading2"/>
        <w:numPr>
          <w:ilvl w:val="0"/>
          <w:numId w:val="23"/>
        </w:numPr>
        <w:tabs>
          <w:tab w:val="left" w:pos="1134"/>
        </w:tabs>
        <w:ind w:left="2268" w:hanging="574"/>
        <w:rPr>
          <w:lang w:val="fr-CA"/>
        </w:rPr>
      </w:pPr>
      <w:r>
        <w:rPr>
          <w:lang w:val="fr-CA"/>
        </w:rPr>
        <w:t>Coopération bilatérale du gouvernement des États-Unis d’Amérique (CPR/PRO/44/INV/425)</w:t>
      </w:r>
      <w:r w:rsidR="002C5B3F">
        <w:rPr>
          <w:lang w:val="fr-CA"/>
        </w:rPr>
        <w:t xml:space="preserve">, </w:t>
      </w:r>
      <w:r>
        <w:rPr>
          <w:lang w:val="fr-CA"/>
        </w:rPr>
        <w:t>au montant de 5 375 000 $US;</w:t>
      </w:r>
    </w:p>
    <w:p w14:paraId="2D7023CC" w14:textId="68D78C60" w:rsidR="00860D6C" w:rsidRDefault="00860D6C" w:rsidP="00860D6C">
      <w:pPr>
        <w:pStyle w:val="ListParagraph"/>
        <w:numPr>
          <w:ilvl w:val="0"/>
          <w:numId w:val="23"/>
        </w:numPr>
        <w:ind w:left="2268" w:hanging="574"/>
        <w:rPr>
          <w:lang w:val="fr-CA"/>
        </w:rPr>
      </w:pPr>
      <w:r>
        <w:rPr>
          <w:lang w:val="fr-CA"/>
        </w:rPr>
        <w:t>Coopération bilatérale du gouvernement des États-Unis d’Amérique (CPR/PRO/47/INV/439)</w:t>
      </w:r>
      <w:r w:rsidR="002C5B3F">
        <w:rPr>
          <w:lang w:val="fr-CA"/>
        </w:rPr>
        <w:t>,</w:t>
      </w:r>
      <w:r>
        <w:rPr>
          <w:lang w:val="fr-CA"/>
        </w:rPr>
        <w:t xml:space="preserve"> au montant de 5 375 000 $US; et</w:t>
      </w:r>
    </w:p>
    <w:p w14:paraId="4279C02E" w14:textId="77777777" w:rsidR="00860D6C" w:rsidRPr="00860D6C" w:rsidRDefault="00860D6C" w:rsidP="00860D6C">
      <w:pPr>
        <w:rPr>
          <w:lang w:val="fr-CA"/>
        </w:rPr>
      </w:pPr>
    </w:p>
    <w:p w14:paraId="3B23AA7A" w14:textId="1DE0FF54" w:rsidR="00860D6C" w:rsidRDefault="00860D6C" w:rsidP="00860D6C">
      <w:pPr>
        <w:pStyle w:val="ListParagraph"/>
        <w:numPr>
          <w:ilvl w:val="0"/>
          <w:numId w:val="23"/>
        </w:numPr>
        <w:ind w:left="2268" w:hanging="574"/>
        <w:rPr>
          <w:lang w:val="fr-CA"/>
        </w:rPr>
      </w:pPr>
      <w:r>
        <w:rPr>
          <w:lang w:val="fr-CA"/>
        </w:rPr>
        <w:t>Projet de refroidisseurs en Thaïlande</w:t>
      </w:r>
      <w:r w:rsidR="004B1D5D">
        <w:rPr>
          <w:lang w:val="fr-CA"/>
        </w:rPr>
        <w:t xml:space="preserve"> (THA/REF/26/INV</w:t>
      </w:r>
      <w:r w:rsidR="00C76C4F">
        <w:rPr>
          <w:lang w:val="fr-CA"/>
        </w:rPr>
        <w:t>/104)</w:t>
      </w:r>
      <w:r>
        <w:rPr>
          <w:lang w:val="fr-CA"/>
        </w:rPr>
        <w:t xml:space="preserve">, au montant de </w:t>
      </w:r>
      <w:r w:rsidR="00C76C4F">
        <w:rPr>
          <w:lang w:val="fr-CA"/>
        </w:rPr>
        <w:t xml:space="preserve">       </w:t>
      </w:r>
      <w:r>
        <w:rPr>
          <w:lang w:val="fr-CA"/>
        </w:rPr>
        <w:t>1 198 946 $US.</w:t>
      </w:r>
    </w:p>
    <w:p w14:paraId="4D75DCFC" w14:textId="3236C9C8" w:rsidR="00860D6C" w:rsidRDefault="00860D6C" w:rsidP="00860D6C">
      <w:pPr>
        <w:rPr>
          <w:lang w:val="fr-CA"/>
        </w:rPr>
      </w:pPr>
    </w:p>
    <w:p w14:paraId="51026DF3" w14:textId="5D96AB89" w:rsidR="00441083" w:rsidRPr="00860D6C" w:rsidRDefault="00860D6C" w:rsidP="00860D6C">
      <w:pPr>
        <w:jc w:val="center"/>
        <w:rPr>
          <w:lang w:val="fr-CA"/>
        </w:rPr>
      </w:pPr>
      <w:r>
        <w:rPr>
          <w:lang w:val="fr-CA"/>
        </w:rPr>
        <w:t>_______________</w:t>
      </w:r>
    </w:p>
    <w:p w14:paraId="6540F371" w14:textId="77777777" w:rsidR="00441083" w:rsidRDefault="00441083" w:rsidP="004E3A36">
      <w:pPr>
        <w:pStyle w:val="Heading1"/>
        <w:numPr>
          <w:ilvl w:val="0"/>
          <w:numId w:val="0"/>
        </w:numPr>
        <w:rPr>
          <w:lang w:val="fr-FR"/>
        </w:rPr>
      </w:pPr>
    </w:p>
    <w:p w14:paraId="71F98BB6" w14:textId="77777777" w:rsidR="00441083" w:rsidRDefault="00441083">
      <w:pPr>
        <w:rPr>
          <w:lang w:val="fr-FR"/>
        </w:rPr>
      </w:pPr>
    </w:p>
    <w:sectPr w:rsidR="00441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864" w:left="1440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D61E" w14:textId="77777777" w:rsidR="00FF0278" w:rsidRDefault="00FF0278">
      <w:r>
        <w:separator/>
      </w:r>
    </w:p>
  </w:endnote>
  <w:endnote w:type="continuationSeparator" w:id="0">
    <w:p w14:paraId="38243801" w14:textId="77777777" w:rsidR="00FF0278" w:rsidRDefault="00FF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242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67AF4" w14:textId="6B1C8833" w:rsidR="00591EB1" w:rsidRDefault="00591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1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E3E5E4" w14:textId="77777777" w:rsidR="00591EB1" w:rsidRDefault="00591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46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6579A" w14:textId="04D757D7" w:rsidR="00591EB1" w:rsidRDefault="00591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1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57375" w14:textId="77777777" w:rsidR="00591EB1" w:rsidRDefault="00591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80F" w14:textId="77777777" w:rsidR="00591EB1" w:rsidRDefault="00591EB1" w:rsidP="00591E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 xml:space="preserve">Les documents de présession du Comité exécutif du Fonds multilatéral aux fins d’application du Protocole de </w:t>
    </w:r>
  </w:p>
  <w:p w14:paraId="5DF8BA8E" w14:textId="1BBA0F5E" w:rsidR="00441083" w:rsidRPr="00591EB1" w:rsidRDefault="00591EB1" w:rsidP="00591E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MS Serif"/>
        <w:sz w:val="20"/>
        <w:lang w:val="fr-FR"/>
      </w:rPr>
    </w:pPr>
    <w:r>
      <w:rPr>
        <w:rFonts w:cs="MS Serif"/>
        <w:sz w:val="20"/>
        <w:lang w:val="fr-FR"/>
      </w:rPr>
      <w:t>Montréal sont présentés sous réserve des décisions pouvant être prises par le Comité exécutif après leur publication.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BE361" w14:textId="77777777" w:rsidR="00FF0278" w:rsidRDefault="00FF0278">
      <w:r>
        <w:separator/>
      </w:r>
    </w:p>
  </w:footnote>
  <w:footnote w:type="continuationSeparator" w:id="0">
    <w:p w14:paraId="74292BA1" w14:textId="77777777" w:rsidR="00FF0278" w:rsidRDefault="00FF0278">
      <w:r>
        <w:continuationSeparator/>
      </w:r>
    </w:p>
  </w:footnote>
  <w:footnote w:id="1">
    <w:p w14:paraId="46370D3F" w14:textId="320E591F" w:rsidR="003029F8" w:rsidRPr="003029F8" w:rsidRDefault="002C06D4" w:rsidP="003029F8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3029F8">
        <w:rPr>
          <w:lang w:val="fr-CA"/>
        </w:rPr>
        <w:t xml:space="preserve"> </w:t>
      </w:r>
      <w:r w:rsidR="003029F8" w:rsidRPr="0004647F">
        <w:rPr>
          <w:lang w:val="fr-CA"/>
        </w:rPr>
        <w:t>Des réunions en ligne et un processus d’approbation intersessio</w:t>
      </w:r>
      <w:r w:rsidR="003029F8">
        <w:rPr>
          <w:lang w:val="fr-CA"/>
        </w:rPr>
        <w:t xml:space="preserve">ns se tiendront </w:t>
      </w:r>
      <w:r w:rsidR="003029F8" w:rsidRPr="0004647F">
        <w:rPr>
          <w:lang w:val="fr-CA"/>
        </w:rPr>
        <w:t>e</w:t>
      </w:r>
      <w:r w:rsidR="003029F8">
        <w:rPr>
          <w:lang w:val="fr-CA"/>
        </w:rPr>
        <w:t xml:space="preserve">n </w:t>
      </w:r>
      <w:r w:rsidR="009F6617">
        <w:rPr>
          <w:lang w:val="fr-CA"/>
        </w:rPr>
        <w:t xml:space="preserve">novembre et décembre </w:t>
      </w:r>
      <w:r w:rsidR="003029F8">
        <w:rPr>
          <w:lang w:val="fr-CA"/>
        </w:rPr>
        <w:t>2021 à cause du coronaviru</w:t>
      </w:r>
      <w:r w:rsidR="003029F8" w:rsidRPr="0004647F">
        <w:rPr>
          <w:lang w:val="fr-CA"/>
        </w:rPr>
        <w:t>s</w:t>
      </w:r>
      <w:r w:rsidR="003029F8">
        <w:rPr>
          <w:lang w:val="fr-CA"/>
        </w:rPr>
        <w:t xml:space="preserve"> (COVID-19)</w:t>
      </w:r>
    </w:p>
  </w:footnote>
  <w:footnote w:id="2">
    <w:p w14:paraId="42FCD315" w14:textId="577C0785" w:rsidR="00C72AAC" w:rsidRDefault="00C72AAC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C72AAC">
        <w:rPr>
          <w:lang w:val="fr-CA"/>
        </w:rPr>
        <w:t xml:space="preserve"> Un rapprochement complet des comptes avec </w:t>
      </w:r>
      <w:r>
        <w:rPr>
          <w:lang w:val="fr-CA"/>
        </w:rPr>
        <w:t xml:space="preserve">les rapports périodiques et financiers devrait être préparé pour la dernière réunion de chaque année. </w:t>
      </w:r>
    </w:p>
    <w:p w14:paraId="4C396609" w14:textId="77777777" w:rsidR="005B51D5" w:rsidRPr="00C72AAC" w:rsidRDefault="005B51D5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0EDC" w14:textId="080C1F33" w:rsidR="00591EB1" w:rsidRDefault="00591EB1" w:rsidP="00591EB1">
    <w:pPr>
      <w:jc w:val="lef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/88/6</w:t>
    </w:r>
    <w:r>
      <w:fldChar w:fldCharType="end"/>
    </w:r>
  </w:p>
  <w:p w14:paraId="58ABF820" w14:textId="74262864" w:rsidR="00591EB1" w:rsidRDefault="00591EB1">
    <w:pPr>
      <w:pStyle w:val="Header"/>
    </w:pPr>
  </w:p>
  <w:p w14:paraId="76E8716C" w14:textId="77777777" w:rsidR="005B51D5" w:rsidRDefault="005B5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9D06" w14:textId="2E4A76AC" w:rsidR="00591EB1" w:rsidRDefault="00591EB1" w:rsidP="00591EB1">
    <w:pPr>
      <w:jc w:val="right"/>
    </w:pPr>
    <w:r>
      <w:fldChar w:fldCharType="begin"/>
    </w:r>
    <w:r>
      <w:instrText xml:space="preserve"> DOCPROPERTY "Document number"  \* MERGEFORMAT </w:instrText>
    </w:r>
    <w:r>
      <w:fldChar w:fldCharType="separate"/>
    </w:r>
    <w:r>
      <w:t>UNEP/</w:t>
    </w:r>
    <w:proofErr w:type="spellStart"/>
    <w:r>
      <w:t>OzL.Pro</w:t>
    </w:r>
    <w:proofErr w:type="spellEnd"/>
    <w:r>
      <w:t>/</w:t>
    </w:r>
    <w:proofErr w:type="spellStart"/>
    <w:r>
      <w:t>ExCom</w:t>
    </w:r>
    <w:proofErr w:type="spellEnd"/>
    <w:r>
      <w:t>/88/6</w:t>
    </w:r>
    <w:r>
      <w:fldChar w:fldCharType="end"/>
    </w:r>
  </w:p>
  <w:p w14:paraId="2ED530DE" w14:textId="1A9A9A21" w:rsidR="00591EB1" w:rsidRDefault="00591EB1">
    <w:pPr>
      <w:pStyle w:val="Header"/>
    </w:pPr>
  </w:p>
  <w:p w14:paraId="38179405" w14:textId="77777777" w:rsidR="005B51D5" w:rsidRDefault="005B51D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6A04" w14:textId="77777777" w:rsidR="00441083" w:rsidRDefault="00441083">
    <w:pPr>
      <w:jc w:val="right"/>
    </w:pPr>
  </w:p>
  <w:p w14:paraId="77E313DC" w14:textId="77777777" w:rsidR="00441083" w:rsidRDefault="004410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761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B62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923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7AF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B6E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EB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C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2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26805D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0"/>
        </w:tabs>
        <w:ind w:left="1440" w:hanging="720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-90"/>
        </w:tabs>
        <w:ind w:left="2776" w:hanging="706"/>
      </w:pPr>
      <w:rPr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71" w:hanging="705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91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97" w:hanging="70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02" w:hanging="705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408" w:hanging="706"/>
      </w:pPr>
    </w:lvl>
  </w:abstractNum>
  <w:abstractNum w:abstractNumId="11" w15:restartNumberingAfterBreak="0">
    <w:nsid w:val="05E00F85"/>
    <w:multiLevelType w:val="hybridMultilevel"/>
    <w:tmpl w:val="0262C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7CD"/>
    <w:multiLevelType w:val="hybridMultilevel"/>
    <w:tmpl w:val="EA7412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01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26050D8"/>
    <w:multiLevelType w:val="hybridMultilevel"/>
    <w:tmpl w:val="74DA6DBE"/>
    <w:lvl w:ilvl="0" w:tplc="47005CA4">
      <w:start w:val="1"/>
      <w:numFmt w:val="lowerRoman"/>
      <w:pStyle w:val="Heading5"/>
      <w:lvlText w:val="%1."/>
      <w:lvlJc w:val="right"/>
      <w:pPr>
        <w:ind w:left="3583" w:hanging="360"/>
      </w:pPr>
    </w:lvl>
    <w:lvl w:ilvl="1" w:tplc="10090019" w:tentative="1">
      <w:start w:val="1"/>
      <w:numFmt w:val="lowerLetter"/>
      <w:lvlText w:val="%2."/>
      <w:lvlJc w:val="left"/>
      <w:pPr>
        <w:ind w:left="4303" w:hanging="360"/>
      </w:pPr>
    </w:lvl>
    <w:lvl w:ilvl="2" w:tplc="1009001B" w:tentative="1">
      <w:start w:val="1"/>
      <w:numFmt w:val="lowerRoman"/>
      <w:lvlText w:val="%3."/>
      <w:lvlJc w:val="right"/>
      <w:pPr>
        <w:ind w:left="5023" w:hanging="180"/>
      </w:pPr>
    </w:lvl>
    <w:lvl w:ilvl="3" w:tplc="1009000F" w:tentative="1">
      <w:start w:val="1"/>
      <w:numFmt w:val="decimal"/>
      <w:lvlText w:val="%4."/>
      <w:lvlJc w:val="left"/>
      <w:pPr>
        <w:ind w:left="5743" w:hanging="360"/>
      </w:pPr>
    </w:lvl>
    <w:lvl w:ilvl="4" w:tplc="10090019" w:tentative="1">
      <w:start w:val="1"/>
      <w:numFmt w:val="lowerLetter"/>
      <w:lvlText w:val="%5."/>
      <w:lvlJc w:val="left"/>
      <w:pPr>
        <w:ind w:left="6463" w:hanging="360"/>
      </w:pPr>
    </w:lvl>
    <w:lvl w:ilvl="5" w:tplc="1009001B" w:tentative="1">
      <w:start w:val="1"/>
      <w:numFmt w:val="lowerRoman"/>
      <w:lvlText w:val="%6."/>
      <w:lvlJc w:val="right"/>
      <w:pPr>
        <w:ind w:left="7183" w:hanging="180"/>
      </w:pPr>
    </w:lvl>
    <w:lvl w:ilvl="6" w:tplc="1009000F" w:tentative="1">
      <w:start w:val="1"/>
      <w:numFmt w:val="decimal"/>
      <w:lvlText w:val="%7."/>
      <w:lvlJc w:val="left"/>
      <w:pPr>
        <w:ind w:left="7903" w:hanging="360"/>
      </w:pPr>
    </w:lvl>
    <w:lvl w:ilvl="7" w:tplc="10090019" w:tentative="1">
      <w:start w:val="1"/>
      <w:numFmt w:val="lowerLetter"/>
      <w:lvlText w:val="%8."/>
      <w:lvlJc w:val="left"/>
      <w:pPr>
        <w:ind w:left="8623" w:hanging="360"/>
      </w:pPr>
    </w:lvl>
    <w:lvl w:ilvl="8" w:tplc="10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5" w15:restartNumberingAfterBreak="0">
    <w:nsid w:val="4E892E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C5462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87C3949"/>
    <w:multiLevelType w:val="hybridMultilevel"/>
    <w:tmpl w:val="0224797C"/>
    <w:lvl w:ilvl="0" w:tplc="76A63964">
      <w:start w:val="1"/>
      <w:numFmt w:val="lowerLetter"/>
      <w:lvlText w:val="%1."/>
      <w:lvlJc w:val="left"/>
      <w:pPr>
        <w:ind w:left="2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18" w15:restartNumberingAfterBreak="0">
    <w:nsid w:val="7E100F2A"/>
    <w:multiLevelType w:val="hybridMultilevel"/>
    <w:tmpl w:val="BD0C0614"/>
    <w:lvl w:ilvl="0" w:tplc="10C23008">
      <w:start w:val="1"/>
      <w:numFmt w:val="lowerLetter"/>
      <w:pStyle w:val="Header4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  <w:num w:numId="22">
    <w:abstractNumId w:val="12"/>
  </w:num>
  <w:num w:numId="2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82"/>
    <w:rsid w:val="0005110A"/>
    <w:rsid w:val="00072BEB"/>
    <w:rsid w:val="00073216"/>
    <w:rsid w:val="000A18CA"/>
    <w:rsid w:val="000F1A07"/>
    <w:rsid w:val="000F6C8E"/>
    <w:rsid w:val="00123A2E"/>
    <w:rsid w:val="00187533"/>
    <w:rsid w:val="001C3D0C"/>
    <w:rsid w:val="001D4CE7"/>
    <w:rsid w:val="00202115"/>
    <w:rsid w:val="0022042A"/>
    <w:rsid w:val="00221898"/>
    <w:rsid w:val="00231B0B"/>
    <w:rsid w:val="00240FF7"/>
    <w:rsid w:val="00251722"/>
    <w:rsid w:val="00265AF0"/>
    <w:rsid w:val="00291834"/>
    <w:rsid w:val="002C06D4"/>
    <w:rsid w:val="002C5B3F"/>
    <w:rsid w:val="002F0B57"/>
    <w:rsid w:val="003029F8"/>
    <w:rsid w:val="003A0CA4"/>
    <w:rsid w:val="003C43B4"/>
    <w:rsid w:val="003D008F"/>
    <w:rsid w:val="003D3A9A"/>
    <w:rsid w:val="004209F5"/>
    <w:rsid w:val="00441083"/>
    <w:rsid w:val="00444619"/>
    <w:rsid w:val="004B1B59"/>
    <w:rsid w:val="004B1D5D"/>
    <w:rsid w:val="004B5E1F"/>
    <w:rsid w:val="004C2C87"/>
    <w:rsid w:val="004E3A36"/>
    <w:rsid w:val="00591EB1"/>
    <w:rsid w:val="005A4425"/>
    <w:rsid w:val="005B3CAD"/>
    <w:rsid w:val="005B51D5"/>
    <w:rsid w:val="005C278F"/>
    <w:rsid w:val="00605093"/>
    <w:rsid w:val="0063040F"/>
    <w:rsid w:val="006A106C"/>
    <w:rsid w:val="00702256"/>
    <w:rsid w:val="007034FA"/>
    <w:rsid w:val="0074410A"/>
    <w:rsid w:val="0075750B"/>
    <w:rsid w:val="00764412"/>
    <w:rsid w:val="007A6513"/>
    <w:rsid w:val="007D3541"/>
    <w:rsid w:val="008470D2"/>
    <w:rsid w:val="00860D6C"/>
    <w:rsid w:val="009071D8"/>
    <w:rsid w:val="0091161A"/>
    <w:rsid w:val="00940B6C"/>
    <w:rsid w:val="009413D8"/>
    <w:rsid w:val="00972E99"/>
    <w:rsid w:val="009A5180"/>
    <w:rsid w:val="009F6617"/>
    <w:rsid w:val="00A54C8E"/>
    <w:rsid w:val="00AC013C"/>
    <w:rsid w:val="00AC43B0"/>
    <w:rsid w:val="00AE63D8"/>
    <w:rsid w:val="00B43F82"/>
    <w:rsid w:val="00B811F2"/>
    <w:rsid w:val="00BC3C7D"/>
    <w:rsid w:val="00C16E3F"/>
    <w:rsid w:val="00C21E27"/>
    <w:rsid w:val="00C30F54"/>
    <w:rsid w:val="00C34C3E"/>
    <w:rsid w:val="00C41DA8"/>
    <w:rsid w:val="00C6443E"/>
    <w:rsid w:val="00C72AAC"/>
    <w:rsid w:val="00C76C4F"/>
    <w:rsid w:val="00C76F59"/>
    <w:rsid w:val="00C9547D"/>
    <w:rsid w:val="00CC2B33"/>
    <w:rsid w:val="00CC7D86"/>
    <w:rsid w:val="00CE6044"/>
    <w:rsid w:val="00D7654A"/>
    <w:rsid w:val="00DB4E64"/>
    <w:rsid w:val="00DD3433"/>
    <w:rsid w:val="00E348C6"/>
    <w:rsid w:val="00E54871"/>
    <w:rsid w:val="00E60D9C"/>
    <w:rsid w:val="00E80B1F"/>
    <w:rsid w:val="00EB2067"/>
    <w:rsid w:val="00F052C0"/>
    <w:rsid w:val="00F20B8C"/>
    <w:rsid w:val="00F218B0"/>
    <w:rsid w:val="00F37A42"/>
    <w:rsid w:val="00F557F5"/>
    <w:rsid w:val="00F61DD5"/>
    <w:rsid w:val="00FA7D89"/>
    <w:rsid w:val="00FC0D87"/>
    <w:rsid w:val="00FC5578"/>
    <w:rsid w:val="00FD22FE"/>
    <w:rsid w:val="00FE27E6"/>
    <w:rsid w:val="00FE431D"/>
    <w:rsid w:val="00FF0278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37829"/>
  <w15:docId w15:val="{01B63367-BDD6-8643-A281-6E997B3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val="en-GB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1"/>
    <w:qFormat/>
    <w:pPr>
      <w:numPr>
        <w:numId w:val="1"/>
      </w:numPr>
      <w:spacing w:after="240"/>
      <w:outlineLvl w:val="0"/>
    </w:p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,Heading 2 Char2,Heading 2 Char1"/>
    <w:basedOn w:val="Normal"/>
    <w:next w:val="Normal"/>
    <w:qFormat/>
    <w:pPr>
      <w:widowControl w:val="0"/>
      <w:numPr>
        <w:ilvl w:val="1"/>
        <w:numId w:val="2"/>
      </w:numPr>
      <w:spacing w:after="240"/>
      <w:outlineLvl w:val="1"/>
    </w:pPr>
  </w:style>
  <w:style w:type="paragraph" w:styleId="Heading3">
    <w:name w:val="heading 3"/>
    <w:aliases w:val="Char,Heading 3 Char,Char Char,Heading 3 Char1,Heading 3 Char Char,Char Char Char,Char Char1,Heading 3 Char1 Char,Heading 3 Char Char Char,Char Char Char Char,Char Char1 Char,Heading 3 Char2,Char Char2,Char Char Char1,Heading 3 Char Char1"/>
    <w:basedOn w:val="Normal"/>
    <w:next w:val="Normal"/>
    <w:qFormat/>
    <w:pPr>
      <w:widowControl w:val="0"/>
      <w:numPr>
        <w:ilvl w:val="2"/>
        <w:numId w:val="3"/>
      </w:numPr>
      <w:spacing w:after="240"/>
      <w:outlineLvl w:val="2"/>
    </w:pPr>
  </w:style>
  <w:style w:type="paragraph" w:styleId="Heading4">
    <w:name w:val="heading 4"/>
    <w:aliases w:val="Heading 11,para 4"/>
    <w:basedOn w:val="Normal"/>
    <w:next w:val="Heading9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20"/>
      </w:numPr>
      <w:spacing w:after="240"/>
      <w:ind w:left="3600" w:hanging="7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ub-title">
    <w:name w:val="sub-title"/>
    <w:pPr>
      <w:jc w:val="both"/>
      <w:outlineLvl w:val="0"/>
    </w:pPr>
    <w:rPr>
      <w:b/>
      <w:noProof/>
      <w:sz w:val="22"/>
      <w:szCs w:val="22"/>
    </w:rPr>
  </w:style>
  <w:style w:type="paragraph" w:customStyle="1" w:styleId="Title1">
    <w:name w:val="Title1"/>
    <w:pPr>
      <w:jc w:val="center"/>
      <w:outlineLvl w:val="0"/>
    </w:pPr>
    <w:rPr>
      <w:b/>
      <w:caps/>
      <w:sz w:val="22"/>
      <w:szCs w:val="22"/>
      <w:lang w:val="en-GB"/>
    </w:rPr>
  </w:style>
  <w:style w:type="paragraph" w:customStyle="1" w:styleId="Decision">
    <w:name w:val="Decision"/>
    <w:basedOn w:val="Normal"/>
    <w:pPr>
      <w:keepLines/>
      <w:jc w:val="right"/>
    </w:pPr>
    <w:rPr>
      <w:b/>
    </w:rPr>
  </w:style>
  <w:style w:type="paragraph" w:customStyle="1" w:styleId="0Heading0">
    <w:name w:val="0 Heading 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table" w:styleId="Table3Deffects1">
    <w:name w:val="Table 3D effects 1"/>
    <w:basedOn w:val="TableNormal"/>
    <w:semiHidden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1">
    <w:name w:val="Heading 1 Char1"/>
    <w:aliases w:val="Para (1) Char,Heading 1 Char Char,Heading 1 Char3 Char Char,Heading 1 Char Char1 Char Char,Heading 1 Char1 Char Char1 Char Char,Heading 1 Char Char Char Char1 Char1 Char,Para (1) Char Char Char Char1 Char Char,Heading 1 Char3 Char1"/>
    <w:basedOn w:val="DefaultParagraphFont"/>
    <w:link w:val="Heading1"/>
    <w:rPr>
      <w:sz w:val="22"/>
      <w:szCs w:val="22"/>
      <w:lang w:val="en-GB"/>
    </w:rPr>
  </w:style>
  <w:style w:type="paragraph" w:customStyle="1" w:styleId="Header4">
    <w:name w:val="Header4"/>
    <w:aliases w:val="Para 4"/>
    <w:basedOn w:val="Normal"/>
    <w:next w:val="Normal"/>
    <w:pPr>
      <w:widowControl w:val="0"/>
      <w:numPr>
        <w:numId w:val="19"/>
      </w:numPr>
      <w:tabs>
        <w:tab w:val="left" w:pos="2880"/>
        <w:tab w:val="left" w:pos="5760"/>
      </w:tabs>
      <w:spacing w:after="240"/>
      <w:ind w:left="2880" w:hanging="72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</w:rPr>
  </w:style>
  <w:style w:type="paragraph" w:styleId="Date">
    <w:name w:val="Date"/>
    <w:basedOn w:val="Normal"/>
    <w:next w:val="Normal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GB"/>
    </w:rPr>
  </w:style>
  <w:style w:type="paragraph" w:customStyle="1" w:styleId="StyleHeader4Para4Left0Firstline0">
    <w:name w:val="Style Header4Para 4 + Left:  0&quot; First line:  0&quot;"/>
    <w:basedOn w:val="Header4"/>
    <w:pPr>
      <w:ind w:left="0" w:firstLine="0"/>
    </w:pPr>
    <w:rPr>
      <w:sz w:val="20"/>
    </w:rPr>
  </w:style>
  <w:style w:type="paragraph" w:customStyle="1" w:styleId="StyleHeading1Para1Heading1CharHeading1Char3CharHeadin">
    <w:name w:val="Style Heading 1Para (1)Heading 1 CharHeading 1 Char3 CharHeadin..."/>
    <w:basedOn w:val="Heading1"/>
    <w:pPr>
      <w:numPr>
        <w:numId w:val="0"/>
      </w:numPr>
      <w:tabs>
        <w:tab w:val="left" w:pos="72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6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6D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06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0D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EB1"/>
    <w:pPr>
      <w:spacing w:before="100" w:beforeAutospacing="1" w:after="100" w:afterAutospacing="1"/>
      <w:jc w:val="left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Type xmlns="310e179b-1379-4e79-9b74-d5a32b1812d3">Pre-session</DocumentType>
    <Document_x0020_Number xmlns="8662b4aa-cf42-4f00-a3f0-9d3b4acad230">UNEP/OzL.Pro/ExCom/88/6</Document_x0020_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56DB39A5B9F46AA87ED0A960035E8" ma:contentTypeVersion="2" ma:contentTypeDescription="Create a new document." ma:contentTypeScope="" ma:versionID="9a9384c066cc674c8397f85f8985ec5f">
  <xsd:schema xmlns:xsd="http://www.w3.org/2001/XMLSchema" xmlns:p="http://schemas.microsoft.com/office/2006/metadata/properties" xmlns:ns2="8662b4aa-cf42-4f00-a3f0-9d3b4acad230" xmlns:ns3="310e179b-1379-4e79-9b74-d5a32b1812d3" targetNamespace="http://schemas.microsoft.com/office/2006/metadata/properties" ma:root="true" ma:fieldsID="e0755585b90475625861c97e4ef1469a" ns2:_="" ns3:_="">
    <xsd:import namespace="8662b4aa-cf42-4f00-a3f0-9d3b4acad230"/>
    <xsd:import namespace="310e179b-1379-4e79-9b74-d5a32b1812d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62b4aa-cf42-4f00-a3f0-9d3b4acad230" elementFormDefault="qualified">
    <xsd:import namespace="http://schemas.microsoft.com/office/2006/documentManagement/types"/>
    <xsd:element name="Document_x0020_Number" ma:index="8" nillable="true" ma:displayName="Document Number" ma:default="UNEP/OzL.Pro/ExCom/88/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10e179b-1379-4e79-9b74-d5a32b1812d3" elementFormDefault="qualified">
    <xsd:import namespace="http://schemas.microsoft.com/office/2006/documentManagement/types"/>
    <xsd:element name="DocumentType" ma:index="9" nillable="true" ma:displayName="DocumentType" ma:default="Pre-session" ma:format="Dropdown" ma:internalName="DocumentType">
      <xsd:simpleType>
        <xsd:restriction base="dms:Choice">
          <xsd:enumeration value="Pre-session"/>
          <xsd:enumeration value="In-session"/>
          <xsd:enumeration value="Final report"/>
          <xsd:enumeration value="Information Note"/>
          <xsd:enumeration value="Information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514A-8387-47D1-B21C-EFAEBBBA3DF0}"/>
</file>

<file path=customXml/itemProps2.xml><?xml version="1.0" encoding="utf-8"?>
<ds:datastoreItem xmlns:ds="http://schemas.openxmlformats.org/officeDocument/2006/customXml" ds:itemID="{C93D7E40-76AE-4DF1-9594-88CECA762A25}"/>
</file>

<file path=customXml/itemProps3.xml><?xml version="1.0" encoding="utf-8"?>
<ds:datastoreItem xmlns:ds="http://schemas.openxmlformats.org/officeDocument/2006/customXml" ds:itemID="{B3533AD0-A829-41EA-8E96-CEF35CE138A9}"/>
</file>

<file path=customXml/itemProps4.xml><?xml version="1.0" encoding="utf-8"?>
<ds:datastoreItem xmlns:ds="http://schemas.openxmlformats.org/officeDocument/2006/customXml" ds:itemID="{95084E84-ADFC-4146-8FD4-702F2D598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Rapprochement des comptes de 2020</vt:lpstr>
    </vt:vector>
  </TitlesOfParts>
  <Company>UNMFS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Rapprochement des comptes de 2020</dc:title>
  <dc:creator>Microsoft Office User</dc:creator>
  <cp:lastModifiedBy>HBE</cp:lastModifiedBy>
  <cp:revision>4</cp:revision>
  <cp:lastPrinted>2001-05-26T16:40:00Z</cp:lastPrinted>
  <dcterms:created xsi:type="dcterms:W3CDTF">2021-11-04T11:57:00Z</dcterms:created>
  <dcterms:modified xsi:type="dcterms:W3CDTF">2021-11-20T04:55:00Z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UNEP/OzL.Pro/ExCom/88/6</vt:lpwstr>
  </property>
  <property fmtid="{D5CDD505-2E9C-101B-9397-08002B2CF9AE}" pid="3" name="Revision date">
    <vt:lpwstr>11/8/2021</vt:lpwstr>
  </property>
  <property fmtid="{D5CDD505-2E9C-101B-9397-08002B2CF9AE}" pid="4" name="ContentTypeId">
    <vt:lpwstr>0x01010009F56DB39A5B9F46AA87ED0A960035E8</vt:lpwstr>
  </property>
</Properties>
</file>