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14:paraId="3EA3A27F" w14:textId="77777777" w:rsidTr="00FC7A05">
        <w:trPr>
          <w:trHeight w:val="720"/>
        </w:trPr>
        <w:tc>
          <w:tcPr>
            <w:tcW w:w="5490" w:type="dxa"/>
            <w:gridSpan w:val="2"/>
            <w:tcBorders>
              <w:bottom w:val="single" w:sz="18" w:space="0" w:color="auto"/>
            </w:tcBorders>
          </w:tcPr>
          <w:p w14:paraId="013C72BE" w14:textId="77777777" w:rsidR="00C15867" w:rsidRPr="0000434E" w:rsidRDefault="00C15867" w:rsidP="0049386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070AA68A" w14:textId="77777777" w:rsidR="00C15867" w:rsidRPr="00493D40" w:rsidRDefault="00C15867" w:rsidP="0049386B">
            <w:pPr>
              <w:jc w:val="right"/>
              <w:rPr>
                <w:sz w:val="52"/>
                <w:szCs w:val="52"/>
              </w:rPr>
            </w:pPr>
            <w:r>
              <w:rPr>
                <w:rFonts w:ascii="Univers Bold" w:hAnsi="Univers Bold"/>
                <w:b/>
                <w:sz w:val="72"/>
              </w:rPr>
              <w:t>EP</w:t>
            </w:r>
          </w:p>
        </w:tc>
      </w:tr>
      <w:tr w:rsidR="00C15867" w14:paraId="29166C03" w14:textId="77777777" w:rsidTr="00FC7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69DC77B" w14:textId="77777777" w:rsidR="00C15867" w:rsidRDefault="00E52838" w:rsidP="0049386B">
            <w:pPr>
              <w:spacing w:before="120"/>
            </w:pPr>
            <w:r>
              <w:rPr>
                <w:noProof/>
                <w:lang w:val="en-CA" w:eastAsia="en-CA"/>
              </w:rPr>
              <mc:AlternateContent>
                <mc:Choice Requires="wpg">
                  <w:drawing>
                    <wp:anchor distT="0" distB="0" distL="114300" distR="114300" simplePos="0" relativeHeight="251660288" behindDoc="0" locked="0" layoutInCell="1" allowOverlap="1" wp14:anchorId="43362FF0" wp14:editId="10D9D040">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283E952"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3"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4" o:title=""/>
                        <v:path arrowok="t"/>
                      </v:shape>
                    </v:group>
                  </w:pict>
                </mc:Fallback>
              </mc:AlternateContent>
            </w:r>
          </w:p>
        </w:tc>
        <w:tc>
          <w:tcPr>
            <w:tcW w:w="3420" w:type="dxa"/>
            <w:tcBorders>
              <w:top w:val="nil"/>
              <w:left w:val="nil"/>
              <w:bottom w:val="single" w:sz="36" w:space="0" w:color="auto"/>
              <w:right w:val="nil"/>
            </w:tcBorders>
          </w:tcPr>
          <w:p w14:paraId="0DFA73AE" w14:textId="77777777" w:rsidR="00C15867" w:rsidRDefault="00C15867" w:rsidP="0049386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5C34A450" w14:textId="77777777" w:rsidR="00C15867" w:rsidRDefault="00C15867" w:rsidP="0049386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6A90838D" w14:textId="77777777" w:rsidR="00C15867" w:rsidRDefault="00C15867" w:rsidP="0049386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4513A70B" w14:textId="77777777" w:rsidR="00C15867" w:rsidRDefault="00C15867" w:rsidP="0049386B">
            <w:pPr>
              <w:spacing w:before="720"/>
              <w:ind w:left="158"/>
            </w:pPr>
            <w:bookmarkStart w:id="0" w:name="_GoBack"/>
            <w:bookmarkEnd w:id="0"/>
          </w:p>
        </w:tc>
        <w:tc>
          <w:tcPr>
            <w:tcW w:w="4590" w:type="dxa"/>
            <w:tcBorders>
              <w:top w:val="nil"/>
              <w:left w:val="nil"/>
              <w:bottom w:val="single" w:sz="36" w:space="0" w:color="auto"/>
              <w:right w:val="nil"/>
            </w:tcBorders>
          </w:tcPr>
          <w:p w14:paraId="1DFC1D47" w14:textId="77777777" w:rsidR="00C15867" w:rsidRPr="0033525D" w:rsidRDefault="00C15867" w:rsidP="0049386B">
            <w:r w:rsidRPr="0033525D">
              <w:t>Distr.</w:t>
            </w:r>
          </w:p>
          <w:p w14:paraId="6BFBDCD2" w14:textId="77777777" w:rsidR="00923540" w:rsidRPr="0033525D" w:rsidRDefault="00923540" w:rsidP="0049386B">
            <w:r w:rsidRPr="0033525D">
              <w:t>GENERAL</w:t>
            </w:r>
          </w:p>
          <w:p w14:paraId="38534EB0" w14:textId="77777777" w:rsidR="00C15867" w:rsidRPr="0033525D" w:rsidRDefault="00C15867" w:rsidP="0049386B"/>
          <w:p w14:paraId="6EFE8D14" w14:textId="77777777" w:rsidR="00C15867" w:rsidRPr="003F73BA" w:rsidRDefault="00C15867" w:rsidP="0049386B"/>
          <w:p w14:paraId="36771B9F" w14:textId="31B81EF4" w:rsidR="00C15867" w:rsidRPr="003F73BA" w:rsidRDefault="00F97239" w:rsidP="0049386B">
            <w:r>
              <w:fldChar w:fldCharType="begin"/>
            </w:r>
            <w:r>
              <w:instrText xml:space="preserve"> DOCPROPERTY "Document number"  \* MERGEFORMAT </w:instrText>
            </w:r>
            <w:r>
              <w:fldChar w:fldCharType="separate"/>
            </w:r>
            <w:r w:rsidR="008D572C">
              <w:t>UNEP/</w:t>
            </w:r>
            <w:proofErr w:type="spellStart"/>
            <w:r w:rsidR="008D572C">
              <w:t>OzL.Pro</w:t>
            </w:r>
            <w:proofErr w:type="spellEnd"/>
            <w:r w:rsidR="008D572C">
              <w:t>/</w:t>
            </w:r>
            <w:proofErr w:type="spellStart"/>
            <w:r w:rsidR="008D572C">
              <w:t>ExCom</w:t>
            </w:r>
            <w:proofErr w:type="spellEnd"/>
            <w:r w:rsidR="008D572C">
              <w:t>/88/34</w:t>
            </w:r>
            <w:r>
              <w:fldChar w:fldCharType="end"/>
            </w:r>
          </w:p>
          <w:p w14:paraId="126B7736" w14:textId="4CB02219" w:rsidR="00C15867" w:rsidRPr="003F73BA" w:rsidRDefault="00AE39C0" w:rsidP="0049386B">
            <w:r>
              <w:fldChar w:fldCharType="begin"/>
            </w:r>
            <w:r>
              <w:instrText xml:space="preserve"> DOCPROPERTY "Revision date" \@ "d MMMM YYYY"  \* MERGEFORMAT </w:instrText>
            </w:r>
            <w:r>
              <w:fldChar w:fldCharType="separate"/>
            </w:r>
            <w:r w:rsidR="003E3F7A">
              <w:t>1 November 2021</w:t>
            </w:r>
            <w:r>
              <w:fldChar w:fldCharType="end"/>
            </w:r>
          </w:p>
          <w:p w14:paraId="3FC8FAEE" w14:textId="77777777" w:rsidR="00C15867" w:rsidRPr="00000FED" w:rsidRDefault="00C15867" w:rsidP="0049386B">
            <w:pPr>
              <w:rPr>
                <w:caps/>
              </w:rPr>
            </w:pPr>
          </w:p>
          <w:p w14:paraId="1C4F4BAA" w14:textId="77777777" w:rsidR="00C15867" w:rsidRDefault="00C15867" w:rsidP="0049386B">
            <w:r w:rsidRPr="0033525D">
              <w:t>ORIGINAL: ENGLISH</w:t>
            </w:r>
          </w:p>
        </w:tc>
      </w:tr>
    </w:tbl>
    <w:p w14:paraId="5C3A6BDB" w14:textId="7BFE9B10" w:rsidR="00704CE9" w:rsidRPr="00DC2285" w:rsidRDefault="00C15867" w:rsidP="0049386B">
      <w:pPr>
        <w:jc w:val="left"/>
      </w:pPr>
      <w:r w:rsidRPr="00DC2285">
        <w:t>EXECUTIVE COMMITTEE OF</w:t>
      </w:r>
      <w:r w:rsidRPr="00DC2285">
        <w:br/>
      </w:r>
      <w:r w:rsidR="00B55D38" w:rsidRPr="00DC2285">
        <w:t xml:space="preserve"> </w:t>
      </w:r>
      <w:r w:rsidRPr="00DC2285">
        <w:t>THE MULTILATERAL FUND FOR THE</w:t>
      </w:r>
      <w:r w:rsidRPr="00DC2285">
        <w:br/>
      </w:r>
      <w:r w:rsidR="00B55D38" w:rsidRPr="00DC2285">
        <w:t xml:space="preserve"> </w:t>
      </w:r>
      <w:r w:rsidRPr="00DC2285">
        <w:t>IMPLEMENTATION OF THE MONTREAL PROTOCOL</w:t>
      </w:r>
      <w:r w:rsidRPr="00DC2285">
        <w:br/>
      </w:r>
      <w:r w:rsidR="00DC2285" w:rsidRPr="00DC2285">
        <w:t>Eighty-eigh</w:t>
      </w:r>
      <w:r w:rsidR="00704CE9" w:rsidRPr="00DC2285">
        <w:t>th Meeting</w:t>
      </w:r>
    </w:p>
    <w:p w14:paraId="23BB482A" w14:textId="1F39CEE6" w:rsidR="005220ED" w:rsidRPr="00DC2285" w:rsidRDefault="00DC2285" w:rsidP="0049386B">
      <w:pPr>
        <w:jc w:val="left"/>
        <w:rPr>
          <w:lang w:val="en-CA"/>
        </w:rPr>
      </w:pPr>
      <w:r w:rsidRPr="00DC2285">
        <w:rPr>
          <w:lang w:val="en-CA"/>
        </w:rPr>
        <w:t>Montreal, 15-19 November 2021</w:t>
      </w:r>
      <w:r w:rsidR="006E126D" w:rsidRPr="00DC2285">
        <w:rPr>
          <w:rStyle w:val="FootnoteReference"/>
          <w:lang w:val="en-CA"/>
        </w:rPr>
        <w:footnoteReference w:id="2"/>
      </w:r>
    </w:p>
    <w:p w14:paraId="62CC4993" w14:textId="77777777" w:rsidR="00C15867" w:rsidRPr="006239B4" w:rsidRDefault="00C15867" w:rsidP="0049386B">
      <w:pPr>
        <w:jc w:val="left"/>
        <w:rPr>
          <w:highlight w:val="yellow"/>
          <w:lang w:val="en-US"/>
        </w:rPr>
      </w:pPr>
    </w:p>
    <w:p w14:paraId="6AF130AA" w14:textId="77777777" w:rsidR="00537103" w:rsidRPr="006239B4" w:rsidRDefault="00537103" w:rsidP="00537103">
      <w:pPr>
        <w:pStyle w:val="StyleHeader4Para4Left0Firstline0"/>
        <w:numPr>
          <w:ilvl w:val="0"/>
          <w:numId w:val="0"/>
        </w:numPr>
        <w:tabs>
          <w:tab w:val="left" w:pos="488"/>
          <w:tab w:val="center" w:pos="4680"/>
        </w:tabs>
        <w:spacing w:after="0"/>
        <w:jc w:val="center"/>
        <w:rPr>
          <w:b/>
          <w:sz w:val="22"/>
          <w:highlight w:val="yellow"/>
        </w:rPr>
      </w:pPr>
    </w:p>
    <w:p w14:paraId="7CFE8B8E" w14:textId="124ADE0C" w:rsidR="004979CF" w:rsidRPr="00673B8D" w:rsidRDefault="004979CF" w:rsidP="0049386B">
      <w:pPr>
        <w:pStyle w:val="StyleHeader4Para4Left0Firstline0"/>
        <w:numPr>
          <w:ilvl w:val="0"/>
          <w:numId w:val="0"/>
        </w:numPr>
        <w:tabs>
          <w:tab w:val="left" w:pos="488"/>
          <w:tab w:val="center" w:pos="4680"/>
        </w:tabs>
        <w:jc w:val="center"/>
        <w:rPr>
          <w:b/>
          <w:sz w:val="22"/>
        </w:rPr>
      </w:pPr>
      <w:r w:rsidRPr="00DC2285">
        <w:rPr>
          <w:b/>
          <w:sz w:val="22"/>
        </w:rPr>
        <w:t>UNEP’S COMPLIANCE ASSI</w:t>
      </w:r>
      <w:r w:rsidR="00DC2285" w:rsidRPr="00DC2285">
        <w:rPr>
          <w:b/>
          <w:sz w:val="22"/>
        </w:rPr>
        <w:t xml:space="preserve">STANCE PROGRAMME BUDGET </w:t>
      </w:r>
      <w:r w:rsidR="00DC2285" w:rsidRPr="00673B8D">
        <w:rPr>
          <w:b/>
          <w:sz w:val="22"/>
        </w:rPr>
        <w:t>FOR 2022</w:t>
      </w:r>
    </w:p>
    <w:p w14:paraId="4C3CC4C4" w14:textId="401844FC" w:rsidR="004979CF" w:rsidRPr="00673B8D" w:rsidRDefault="004979CF" w:rsidP="0049386B">
      <w:pPr>
        <w:pStyle w:val="StyleHeader4Para4Left0Firstline0"/>
        <w:numPr>
          <w:ilvl w:val="0"/>
          <w:numId w:val="0"/>
        </w:numPr>
        <w:tabs>
          <w:tab w:val="left" w:pos="488"/>
          <w:tab w:val="center" w:pos="4680"/>
        </w:tabs>
        <w:rPr>
          <w:b/>
          <w:sz w:val="22"/>
        </w:rPr>
      </w:pPr>
      <w:r w:rsidRPr="00673B8D">
        <w:rPr>
          <w:b/>
          <w:sz w:val="22"/>
        </w:rPr>
        <w:t>Introduction</w:t>
      </w:r>
    </w:p>
    <w:p w14:paraId="52557416" w14:textId="7AD90773" w:rsidR="004979CF" w:rsidRPr="00673B8D" w:rsidRDefault="004979CF" w:rsidP="0049386B">
      <w:pPr>
        <w:pStyle w:val="Heading1"/>
        <w:rPr>
          <w:u w:val="single"/>
        </w:rPr>
      </w:pPr>
      <w:r w:rsidRPr="00673B8D">
        <w:t>UNEP has submitted the budget for its Compliance Ass</w:t>
      </w:r>
      <w:r w:rsidR="00DC2285" w:rsidRPr="00673B8D">
        <w:t>istance Programme (CAP) for 2022</w:t>
      </w:r>
      <w:r w:rsidRPr="00673B8D">
        <w:t xml:space="preserve"> at a total cost of </w:t>
      </w:r>
      <w:r w:rsidR="0016667D">
        <w:t>US $</w:t>
      </w:r>
      <w:r w:rsidR="00DC2285" w:rsidRPr="00673B8D">
        <w:t>9,988,9</w:t>
      </w:r>
      <w:r w:rsidRPr="00673B8D">
        <w:t xml:space="preserve">00, plus agency support costs of </w:t>
      </w:r>
      <w:r w:rsidR="0016667D">
        <w:t>US $</w:t>
      </w:r>
      <w:r w:rsidR="00DC2285" w:rsidRPr="00673B8D">
        <w:t>799,112</w:t>
      </w:r>
      <w:r w:rsidRPr="00673B8D">
        <w:t>.</w:t>
      </w:r>
      <w:r w:rsidRPr="00673B8D">
        <w:rPr>
          <w:rStyle w:val="FootnoteReference"/>
        </w:rPr>
        <w:footnoteReference w:id="3"/>
      </w:r>
      <w:r w:rsidRPr="00673B8D">
        <w:t xml:space="preserve"> </w:t>
      </w:r>
      <w:r w:rsidR="00DC2285" w:rsidRPr="00673B8D">
        <w:t>The submission contains the 2021</w:t>
      </w:r>
      <w:r w:rsidR="007B0467" w:rsidRPr="00673B8D">
        <w:t> </w:t>
      </w:r>
      <w:r w:rsidR="00DC2285" w:rsidRPr="00673B8D">
        <w:t>progress report and the 2022</w:t>
      </w:r>
      <w:r w:rsidRPr="00673B8D">
        <w:t xml:space="preserve"> work programme</w:t>
      </w:r>
      <w:r w:rsidR="00A16F38">
        <w:t xml:space="preserve"> and</w:t>
      </w:r>
      <w:r w:rsidRPr="00673B8D">
        <w:t xml:space="preserve"> is attached to the present document. </w:t>
      </w:r>
    </w:p>
    <w:p w14:paraId="33534483" w14:textId="4D3EFBAA" w:rsidR="004979CF" w:rsidRPr="00673B8D" w:rsidRDefault="00DC2285" w:rsidP="008A07AF">
      <w:pPr>
        <w:pStyle w:val="Heading1"/>
        <w:rPr>
          <w:u w:val="single"/>
        </w:rPr>
      </w:pPr>
      <w:r w:rsidRPr="00673B8D">
        <w:t>The proposed CAP 2022</w:t>
      </w:r>
      <w:r w:rsidR="004979CF" w:rsidRPr="00673B8D">
        <w:t xml:space="preserve"> work</w:t>
      </w:r>
      <w:r w:rsidR="007B2529" w:rsidRPr="00673B8D">
        <w:t xml:space="preserve"> plan is submitted for the second</w:t>
      </w:r>
      <w:r w:rsidR="004979CF" w:rsidRPr="00673B8D">
        <w:t xml:space="preserve"> year of </w:t>
      </w:r>
      <w:r w:rsidR="003C4896">
        <w:t>the</w:t>
      </w:r>
      <w:r w:rsidR="003C4896" w:rsidRPr="00673B8D">
        <w:t xml:space="preserve"> </w:t>
      </w:r>
      <w:r w:rsidR="004979CF" w:rsidRPr="00673B8D">
        <w:t>three-year 2021</w:t>
      </w:r>
      <w:r w:rsidR="004979CF" w:rsidRPr="00673B8D">
        <w:noBreakHyphen/>
        <w:t>2023 strategy for the CAP</w:t>
      </w:r>
      <w:r w:rsidR="00B26D3F">
        <w:t>, noted at the 86</w:t>
      </w:r>
      <w:r w:rsidR="00B26D3F" w:rsidRPr="007E2E97">
        <w:rPr>
          <w:vertAlign w:val="superscript"/>
        </w:rPr>
        <w:t>th</w:t>
      </w:r>
      <w:r w:rsidR="00B26D3F">
        <w:t xml:space="preserve"> meeting during the approval of the 2021 budget</w:t>
      </w:r>
      <w:r w:rsidR="008A07AF">
        <w:t xml:space="preserve"> (d</w:t>
      </w:r>
      <w:r w:rsidR="008A07AF" w:rsidRPr="008A07AF">
        <w:t>ecision 86/61</w:t>
      </w:r>
      <w:r w:rsidR="008A07AF">
        <w:t>)</w:t>
      </w:r>
      <w:r w:rsidR="00B26D3F">
        <w:t xml:space="preserve"> to accommodate new priorities, taking into account the challenges of the COVID-19 pandemic</w:t>
      </w:r>
      <w:r w:rsidR="004979CF" w:rsidRPr="00673B8D">
        <w:t xml:space="preserve">. </w:t>
      </w:r>
    </w:p>
    <w:p w14:paraId="1C782B3C" w14:textId="73CBBDA6" w:rsidR="004979CF" w:rsidRPr="00673B8D" w:rsidRDefault="00FE0A25" w:rsidP="0049386B">
      <w:pPr>
        <w:pStyle w:val="Heading1"/>
        <w:numPr>
          <w:ilvl w:val="0"/>
          <w:numId w:val="0"/>
        </w:numPr>
        <w:rPr>
          <w:u w:val="single"/>
        </w:rPr>
      </w:pPr>
      <w:r w:rsidRPr="00673B8D">
        <w:rPr>
          <w:u w:val="single"/>
        </w:rPr>
        <w:t>2021</w:t>
      </w:r>
      <w:r w:rsidR="004979CF" w:rsidRPr="00673B8D">
        <w:rPr>
          <w:u w:val="single"/>
        </w:rPr>
        <w:t xml:space="preserve"> CAP progress report</w:t>
      </w:r>
      <w:r w:rsidR="00E67AED">
        <w:rPr>
          <w:rStyle w:val="FootnoteReference"/>
          <w:u w:val="single"/>
        </w:rPr>
        <w:footnoteReference w:id="4"/>
      </w:r>
    </w:p>
    <w:p w14:paraId="491F67E0" w14:textId="5A4160E7" w:rsidR="004979CF" w:rsidRPr="00673B8D" w:rsidRDefault="004979CF" w:rsidP="0049386B">
      <w:pPr>
        <w:pStyle w:val="Heading1"/>
      </w:pPr>
      <w:r w:rsidRPr="00673B8D">
        <w:t>The activities implemented</w:t>
      </w:r>
      <w:r w:rsidR="007B2529" w:rsidRPr="00673B8D">
        <w:t xml:space="preserve"> from September 2020 to August 2021</w:t>
      </w:r>
      <w:r w:rsidR="0049386B" w:rsidRPr="00673B8D">
        <w:t xml:space="preserve"> are summarized below</w:t>
      </w:r>
      <w:r w:rsidRPr="00673B8D">
        <w:t>:</w:t>
      </w:r>
    </w:p>
    <w:p w14:paraId="6B61B2A3" w14:textId="5443C71E" w:rsidR="0039000F" w:rsidRPr="00673B8D" w:rsidRDefault="00E67AED" w:rsidP="0039000F">
      <w:pPr>
        <w:pStyle w:val="Heading2"/>
      </w:pPr>
      <w:r>
        <w:t>C</w:t>
      </w:r>
      <w:r w:rsidR="00FE0A25" w:rsidRPr="00673B8D">
        <w:t>ompliance assistance to 147</w:t>
      </w:r>
      <w:r w:rsidR="004979CF" w:rsidRPr="00673B8D">
        <w:t xml:space="preserve"> Article 5 countries</w:t>
      </w:r>
      <w:r>
        <w:t>;</w:t>
      </w:r>
      <w:r w:rsidR="004979CF" w:rsidRPr="00673B8D">
        <w:t xml:space="preserve"> </w:t>
      </w:r>
      <w:r w:rsidR="006665FC" w:rsidRPr="00673B8D">
        <w:t>and support</w:t>
      </w:r>
      <w:r>
        <w:t xml:space="preserve"> </w:t>
      </w:r>
      <w:r w:rsidR="006665FC" w:rsidRPr="00673B8D">
        <w:t xml:space="preserve">implementation, monitoring and reporting of institutional strengthening (IS) projects in 105 countries leading to timely and efficient data reporting </w:t>
      </w:r>
      <w:r>
        <w:t xml:space="preserve">under </w:t>
      </w:r>
      <w:r w:rsidR="004979CF" w:rsidRPr="00673B8D">
        <w:t xml:space="preserve">Article 7 of the Montreal Protocol and </w:t>
      </w:r>
      <w:r>
        <w:t xml:space="preserve">under </w:t>
      </w:r>
      <w:r w:rsidR="004979CF" w:rsidRPr="00673B8D">
        <w:t>country programme (CP)</w:t>
      </w:r>
      <w:r w:rsidR="005D480E" w:rsidRPr="00673B8D">
        <w:t xml:space="preserve"> data</w:t>
      </w:r>
      <w:r w:rsidR="004979CF" w:rsidRPr="00673B8D">
        <w:t xml:space="preserve"> </w:t>
      </w:r>
      <w:r w:rsidR="005D480E" w:rsidRPr="00673B8D">
        <w:t>reporting</w:t>
      </w:r>
      <w:r>
        <w:t xml:space="preserve">; </w:t>
      </w:r>
    </w:p>
    <w:p w14:paraId="4BCC2A0C" w14:textId="3DD2BDF9" w:rsidR="0039000F" w:rsidRPr="00673B8D" w:rsidRDefault="00E67AED" w:rsidP="0039000F">
      <w:pPr>
        <w:pStyle w:val="Heading2"/>
        <w:rPr>
          <w:lang w:val="en-US"/>
        </w:rPr>
      </w:pPr>
      <w:r w:rsidRPr="00673B8D">
        <w:t>Support</w:t>
      </w:r>
      <w:r>
        <w:t xml:space="preserve"> </w:t>
      </w:r>
      <w:r w:rsidRPr="00920A27">
        <w:t xml:space="preserve">to </w:t>
      </w:r>
      <w:r w:rsidR="003414EB" w:rsidRPr="00920A27">
        <w:t>102</w:t>
      </w:r>
      <w:r w:rsidR="0024777E" w:rsidRPr="00920A27">
        <w:t xml:space="preserve"> </w:t>
      </w:r>
      <w:r w:rsidR="0039000F" w:rsidRPr="00920A27">
        <w:t>Article</w:t>
      </w:r>
      <w:r w:rsidR="0039000F" w:rsidRPr="00673B8D">
        <w:t xml:space="preserve"> 5 countries in the implementation of their </w:t>
      </w:r>
      <w:r w:rsidR="0024777E">
        <w:t>HCFC phase-out management plan (</w:t>
      </w:r>
      <w:r w:rsidR="0039000F" w:rsidRPr="00673B8D">
        <w:t>HPMPs</w:t>
      </w:r>
      <w:r w:rsidR="0024777E">
        <w:t>)</w:t>
      </w:r>
      <w:r w:rsidR="0039000F" w:rsidRPr="00673B8D">
        <w:t xml:space="preserve"> (as lead implementing agency in 74 countries and as cooperating implementing agency in 28 countries);</w:t>
      </w:r>
    </w:p>
    <w:p w14:paraId="765C75EF" w14:textId="3D9942C1" w:rsidR="0039000F" w:rsidRPr="00673B8D" w:rsidRDefault="00A137B0" w:rsidP="008D4D3E">
      <w:pPr>
        <w:pStyle w:val="Heading2"/>
      </w:pPr>
      <w:r w:rsidRPr="00B741B0">
        <w:rPr>
          <w:lang w:val="en-US"/>
        </w:rPr>
        <w:t xml:space="preserve">Support the operation of the </w:t>
      </w:r>
      <w:r w:rsidR="0024777E" w:rsidRPr="00B741B0">
        <w:rPr>
          <w:lang w:val="en-US"/>
        </w:rPr>
        <w:t>r</w:t>
      </w:r>
      <w:r w:rsidR="004979CF" w:rsidRPr="00B741B0">
        <w:rPr>
          <w:lang w:val="en-US"/>
        </w:rPr>
        <w:t>e</w:t>
      </w:r>
      <w:r w:rsidR="006665FC" w:rsidRPr="00B741B0">
        <w:rPr>
          <w:lang w:val="en-US"/>
        </w:rPr>
        <w:t>g</w:t>
      </w:r>
      <w:r w:rsidRPr="00B741B0">
        <w:rPr>
          <w:lang w:val="en-US"/>
        </w:rPr>
        <w:t xml:space="preserve">ional </w:t>
      </w:r>
      <w:r w:rsidR="0024777E" w:rsidRPr="00B741B0">
        <w:rPr>
          <w:lang w:val="en-US"/>
        </w:rPr>
        <w:t>n</w:t>
      </w:r>
      <w:r w:rsidR="006665FC" w:rsidRPr="00B741B0">
        <w:rPr>
          <w:lang w:val="en-US"/>
        </w:rPr>
        <w:t>etworks</w:t>
      </w:r>
      <w:r w:rsidRPr="00B741B0">
        <w:rPr>
          <w:lang w:val="en-US"/>
        </w:rPr>
        <w:t xml:space="preserve"> of </w:t>
      </w:r>
      <w:r w:rsidR="005A4361" w:rsidRPr="00B741B0">
        <w:rPr>
          <w:lang w:val="en-US"/>
        </w:rPr>
        <w:t xml:space="preserve">national </w:t>
      </w:r>
      <w:r w:rsidR="0024777E" w:rsidRPr="00B741B0">
        <w:rPr>
          <w:lang w:val="en-US"/>
        </w:rPr>
        <w:t>o</w:t>
      </w:r>
      <w:r w:rsidRPr="00B741B0">
        <w:rPr>
          <w:lang w:val="en-US"/>
        </w:rPr>
        <w:t xml:space="preserve">zone </w:t>
      </w:r>
      <w:r w:rsidR="0024777E" w:rsidRPr="00B741B0">
        <w:rPr>
          <w:lang w:val="en-US"/>
        </w:rPr>
        <w:t>o</w:t>
      </w:r>
      <w:r w:rsidRPr="00B741B0">
        <w:rPr>
          <w:lang w:val="en-US"/>
        </w:rPr>
        <w:t>fficers</w:t>
      </w:r>
      <w:r w:rsidR="006665FC" w:rsidRPr="00B741B0">
        <w:rPr>
          <w:lang w:val="en-US"/>
        </w:rPr>
        <w:t xml:space="preserve"> </w:t>
      </w:r>
      <w:r w:rsidR="005A4361" w:rsidRPr="00B741B0">
        <w:rPr>
          <w:lang w:val="en-US"/>
        </w:rPr>
        <w:t xml:space="preserve">(NOOs) </w:t>
      </w:r>
      <w:r w:rsidR="006665FC" w:rsidRPr="00B741B0">
        <w:rPr>
          <w:lang w:val="en-US"/>
        </w:rPr>
        <w:t>by organizing 16</w:t>
      </w:r>
      <w:r w:rsidR="004979CF" w:rsidRPr="00B741B0">
        <w:rPr>
          <w:lang w:val="en-US"/>
        </w:rPr>
        <w:t xml:space="preserve"> network and thematic </w:t>
      </w:r>
      <w:r w:rsidR="006665FC" w:rsidRPr="00B741B0">
        <w:rPr>
          <w:lang w:val="en-US"/>
        </w:rPr>
        <w:t xml:space="preserve">virtual </w:t>
      </w:r>
      <w:r w:rsidR="004979CF" w:rsidRPr="00B741B0">
        <w:rPr>
          <w:lang w:val="en-US"/>
        </w:rPr>
        <w:t xml:space="preserve">meetings </w:t>
      </w:r>
      <w:r w:rsidR="006034E1" w:rsidRPr="00B741B0">
        <w:rPr>
          <w:lang w:val="en-US"/>
        </w:rPr>
        <w:t>and other meetings</w:t>
      </w:r>
      <w:r w:rsidR="00C436DF" w:rsidRPr="00B741B0">
        <w:rPr>
          <w:lang w:val="en-US"/>
        </w:rPr>
        <w:t xml:space="preserve"> (for a total of 50 meetings)</w:t>
      </w:r>
      <w:r w:rsidR="00E67AED" w:rsidRPr="00B741B0">
        <w:rPr>
          <w:lang w:val="en-US"/>
        </w:rPr>
        <w:t xml:space="preserve">, where several </w:t>
      </w:r>
      <w:r w:rsidR="004979CF" w:rsidRPr="00B741B0">
        <w:rPr>
          <w:lang w:val="en-US"/>
        </w:rPr>
        <w:t xml:space="preserve">issues </w:t>
      </w:r>
      <w:r w:rsidR="00E67AED" w:rsidRPr="00B741B0">
        <w:rPr>
          <w:lang w:val="en-US"/>
        </w:rPr>
        <w:t>were discussed</w:t>
      </w:r>
      <w:r w:rsidR="002A4D08" w:rsidRPr="00B741B0">
        <w:rPr>
          <w:lang w:val="en-US"/>
        </w:rPr>
        <w:t>,</w:t>
      </w:r>
      <w:r w:rsidR="004979CF" w:rsidRPr="00B741B0">
        <w:rPr>
          <w:lang w:val="en-US"/>
        </w:rPr>
        <w:t xml:space="preserve"> </w:t>
      </w:r>
      <w:r w:rsidR="004979CF" w:rsidRPr="00B741B0">
        <w:rPr>
          <w:i/>
          <w:lang w:val="en-US"/>
        </w:rPr>
        <w:t>inter alia</w:t>
      </w:r>
      <w:r w:rsidRPr="00B741B0">
        <w:rPr>
          <w:i/>
          <w:lang w:val="en-US"/>
        </w:rPr>
        <w:t>,</w:t>
      </w:r>
      <w:r w:rsidRPr="00673B8D">
        <w:t xml:space="preserve"> </w:t>
      </w:r>
      <w:r w:rsidRPr="00B741B0">
        <w:rPr>
          <w:lang w:val="en-US"/>
        </w:rPr>
        <w:t xml:space="preserve">the informal prior informed </w:t>
      </w:r>
      <w:r w:rsidRPr="00B741B0">
        <w:rPr>
          <w:lang w:val="en-US"/>
        </w:rPr>
        <w:lastRenderedPageBreak/>
        <w:t>consent (iPIC) mechanism</w:t>
      </w:r>
      <w:r w:rsidR="0024777E" w:rsidRPr="00B741B0">
        <w:rPr>
          <w:lang w:val="en-US"/>
        </w:rPr>
        <w:t>;</w:t>
      </w:r>
      <w:r w:rsidRPr="00673B8D">
        <w:t xml:space="preserve"> gender mainstreaming</w:t>
      </w:r>
      <w:r w:rsidR="0024777E">
        <w:t>;</w:t>
      </w:r>
      <w:r w:rsidRPr="00673B8D">
        <w:t xml:space="preserve"> establishing legislation/policy </w:t>
      </w:r>
      <w:r w:rsidR="00E67AED">
        <w:t>measures</w:t>
      </w:r>
      <w:r w:rsidR="00C436DF" w:rsidRPr="00673B8D">
        <w:t xml:space="preserve"> </w:t>
      </w:r>
      <w:r w:rsidR="00C436DF">
        <w:t xml:space="preserve">including those related to </w:t>
      </w:r>
      <w:r w:rsidRPr="00673B8D">
        <w:t>the Kigali Amendment</w:t>
      </w:r>
      <w:r w:rsidR="00C436DF">
        <w:t>,</w:t>
      </w:r>
      <w:r w:rsidR="0009505D">
        <w:t xml:space="preserve"> </w:t>
      </w:r>
      <w:r w:rsidRPr="00673B8D">
        <w:t xml:space="preserve">trade </w:t>
      </w:r>
      <w:r w:rsidR="00C436DF">
        <w:t xml:space="preserve">of </w:t>
      </w:r>
      <w:r w:rsidRPr="00673B8D">
        <w:t>control</w:t>
      </w:r>
      <w:r w:rsidR="00C436DF">
        <w:t xml:space="preserve">led substances under the Protocol and </w:t>
      </w:r>
      <w:r w:rsidR="00C436DF" w:rsidRPr="00673B8D">
        <w:t>prevention of illegal trade</w:t>
      </w:r>
      <w:r w:rsidR="00C436DF">
        <w:t xml:space="preserve">, </w:t>
      </w:r>
      <w:r w:rsidR="00C436DF" w:rsidRPr="00673B8D">
        <w:t>labelling requirements for HCFC cylinders</w:t>
      </w:r>
      <w:r w:rsidR="00C436DF">
        <w:t>;</w:t>
      </w:r>
      <w:r w:rsidRPr="00673B8D">
        <w:t xml:space="preserve"> data reporting</w:t>
      </w:r>
      <w:r w:rsidR="00C436DF">
        <w:t xml:space="preserve"> including </w:t>
      </w:r>
      <w:r w:rsidR="00C436DF" w:rsidRPr="00673B8D">
        <w:t xml:space="preserve">HS codes for HFCs </w:t>
      </w:r>
      <w:r w:rsidR="00C436DF">
        <w:t xml:space="preserve">and </w:t>
      </w:r>
      <w:r w:rsidR="00C436DF" w:rsidRPr="00673B8D">
        <w:t>HFC baseline calculation</w:t>
      </w:r>
      <w:r w:rsidR="0009505D">
        <w:t>;</w:t>
      </w:r>
      <w:r w:rsidRPr="00673B8D">
        <w:t xml:space="preserve"> ozone science and </w:t>
      </w:r>
      <w:r w:rsidR="00C436DF">
        <w:t xml:space="preserve">constraints in the implementation of funded activities due to the </w:t>
      </w:r>
      <w:r w:rsidRPr="00673B8D">
        <w:t>COVID</w:t>
      </w:r>
      <w:r w:rsidR="00B34BC5">
        <w:noBreakHyphen/>
      </w:r>
      <w:r w:rsidR="0009505D">
        <w:t>19</w:t>
      </w:r>
      <w:r w:rsidR="00C436DF">
        <w:t xml:space="preserve"> pandemic</w:t>
      </w:r>
      <w:r w:rsidR="006034E1">
        <w:t>;</w:t>
      </w:r>
    </w:p>
    <w:p w14:paraId="30012FBD" w14:textId="706AB363" w:rsidR="004979CF" w:rsidRPr="00673B8D" w:rsidRDefault="00BB5D3D" w:rsidP="0049386B">
      <w:pPr>
        <w:pStyle w:val="Heading2"/>
        <w:rPr>
          <w:lang w:val="en-US"/>
        </w:rPr>
      </w:pPr>
      <w:r>
        <w:rPr>
          <w:lang w:val="en-US"/>
        </w:rPr>
        <w:t>A</w:t>
      </w:r>
      <w:r w:rsidR="003749B7" w:rsidRPr="00673B8D">
        <w:rPr>
          <w:lang w:val="en-US"/>
        </w:rPr>
        <w:t>ssistance to</w:t>
      </w:r>
      <w:r w:rsidR="004979CF" w:rsidRPr="00673B8D">
        <w:rPr>
          <w:lang w:val="en-US"/>
        </w:rPr>
        <w:t xml:space="preserve"> 93 </w:t>
      </w:r>
      <w:r w:rsidR="006C2568" w:rsidRPr="00673B8D">
        <w:rPr>
          <w:lang w:val="en-US"/>
        </w:rPr>
        <w:t>Article</w:t>
      </w:r>
      <w:r w:rsidR="00A568B7" w:rsidRPr="00673B8D">
        <w:rPr>
          <w:lang w:val="en-US"/>
        </w:rPr>
        <w:t xml:space="preserve"> 5</w:t>
      </w:r>
      <w:r w:rsidR="006C2568" w:rsidRPr="00673B8D">
        <w:rPr>
          <w:lang w:val="en-US"/>
        </w:rPr>
        <w:t xml:space="preserve"> </w:t>
      </w:r>
      <w:r w:rsidR="004979CF" w:rsidRPr="00673B8D">
        <w:rPr>
          <w:lang w:val="en-US"/>
        </w:rPr>
        <w:t>countries</w:t>
      </w:r>
      <w:r w:rsidR="001D76B1" w:rsidRPr="00673B8D">
        <w:rPr>
          <w:lang w:val="en-US"/>
        </w:rPr>
        <w:t xml:space="preserve"> in the implementation of and</w:t>
      </w:r>
      <w:r w:rsidR="00B55D38" w:rsidRPr="00673B8D">
        <w:rPr>
          <w:lang w:val="en-US"/>
        </w:rPr>
        <w:t xml:space="preserve"> </w:t>
      </w:r>
      <w:r w:rsidR="004979CF" w:rsidRPr="00673B8D">
        <w:rPr>
          <w:lang w:val="en-US"/>
        </w:rPr>
        <w:t>report</w:t>
      </w:r>
      <w:r w:rsidR="001D76B1" w:rsidRPr="00673B8D">
        <w:rPr>
          <w:lang w:val="en-US"/>
        </w:rPr>
        <w:t>ing</w:t>
      </w:r>
      <w:r w:rsidR="004979CF" w:rsidRPr="00673B8D">
        <w:rPr>
          <w:lang w:val="en-US"/>
        </w:rPr>
        <w:t xml:space="preserve"> on </w:t>
      </w:r>
      <w:r w:rsidR="0009505D">
        <w:rPr>
          <w:lang w:val="en-US"/>
        </w:rPr>
        <w:t>e</w:t>
      </w:r>
      <w:r w:rsidR="006665FC" w:rsidRPr="00673B8D">
        <w:rPr>
          <w:lang w:val="en-US"/>
        </w:rPr>
        <w:t xml:space="preserve">nabling </w:t>
      </w:r>
      <w:r w:rsidR="0009505D">
        <w:rPr>
          <w:lang w:val="en-US"/>
        </w:rPr>
        <w:t>a</w:t>
      </w:r>
      <w:r w:rsidR="003C4896" w:rsidRPr="00673B8D">
        <w:rPr>
          <w:lang w:val="en-US"/>
        </w:rPr>
        <w:t>ctivit</w:t>
      </w:r>
      <w:r w:rsidR="003C4896">
        <w:rPr>
          <w:lang w:val="en-US"/>
        </w:rPr>
        <w:t>ies</w:t>
      </w:r>
      <w:r w:rsidR="00156CA2">
        <w:rPr>
          <w:lang w:val="en-US"/>
        </w:rPr>
        <w:t xml:space="preserve"> for HFC </w:t>
      </w:r>
      <w:r w:rsidR="00156CA2" w:rsidRPr="00920A27">
        <w:rPr>
          <w:lang w:val="en-US"/>
        </w:rPr>
        <w:t xml:space="preserve">phase-down and to </w:t>
      </w:r>
      <w:r w:rsidR="003414EB" w:rsidRPr="00920A27">
        <w:rPr>
          <w:lang w:val="en-US"/>
        </w:rPr>
        <w:t>13</w:t>
      </w:r>
      <w:r w:rsidR="00156CA2" w:rsidRPr="00920A27">
        <w:rPr>
          <w:lang w:val="en-US"/>
        </w:rPr>
        <w:t xml:space="preserve"> countries in the preparation</w:t>
      </w:r>
      <w:r w:rsidR="00156CA2">
        <w:rPr>
          <w:lang w:val="en-US"/>
        </w:rPr>
        <w:t xml:space="preserve"> of Kigali HFC implementation plans (KIPs)</w:t>
      </w:r>
      <w:r w:rsidR="006C2568" w:rsidRPr="00673B8D">
        <w:rPr>
          <w:lang w:val="en-US"/>
        </w:rPr>
        <w:t xml:space="preserve">; </w:t>
      </w:r>
    </w:p>
    <w:p w14:paraId="31D3CC21" w14:textId="2CD647FA" w:rsidR="00244FE2" w:rsidRDefault="00244FE2" w:rsidP="00244FE2">
      <w:pPr>
        <w:pStyle w:val="Heading2"/>
      </w:pPr>
      <w:r>
        <w:t>M</w:t>
      </w:r>
      <w:r w:rsidR="006034E1" w:rsidRPr="00673B8D">
        <w:t xml:space="preserve">aintain up to date </w:t>
      </w:r>
      <w:r w:rsidR="00ED2DA1" w:rsidRPr="00673B8D">
        <w:t>the OzonAction website</w:t>
      </w:r>
      <w:r w:rsidR="00BB5D3D">
        <w:t>;</w:t>
      </w:r>
      <w:r w:rsidR="00ED2DA1" w:rsidRPr="00673B8D">
        <w:t xml:space="preserve"> and </w:t>
      </w:r>
      <w:r w:rsidR="006034E1" w:rsidRPr="00673B8D">
        <w:t xml:space="preserve">prepare and disseminate </w:t>
      </w:r>
      <w:r w:rsidR="00ED2DA1" w:rsidRPr="00673B8D">
        <w:t xml:space="preserve">26 editions of the biweekly </w:t>
      </w:r>
      <w:proofErr w:type="spellStart"/>
      <w:r w:rsidR="00ED2DA1" w:rsidRPr="00673B8D">
        <w:rPr>
          <w:i/>
          <w:iCs/>
        </w:rPr>
        <w:t>OzonNews</w:t>
      </w:r>
      <w:proofErr w:type="spellEnd"/>
      <w:r w:rsidR="00ED2DA1" w:rsidRPr="00673B8D">
        <w:t xml:space="preserve"> electronic newsletter;</w:t>
      </w:r>
      <w:r w:rsidRPr="00244FE2">
        <w:t xml:space="preserve"> </w:t>
      </w:r>
    </w:p>
    <w:p w14:paraId="3E8AB220" w14:textId="608A1C57" w:rsidR="00244FE2" w:rsidRPr="00920A27" w:rsidRDefault="00244FE2" w:rsidP="00967C93">
      <w:pPr>
        <w:pStyle w:val="Heading2"/>
      </w:pPr>
      <w:r w:rsidRPr="00920A27">
        <w:t>Develop</w:t>
      </w:r>
      <w:r w:rsidR="003414EB" w:rsidRPr="00920A27">
        <w:t xml:space="preserve">ed and implemented specific global products and activities (i.e., Refrigerant Driving License (RDL), </w:t>
      </w:r>
      <w:r w:rsidR="00B34BC5" w:rsidRPr="00920A27">
        <w:t xml:space="preserve">global </w:t>
      </w:r>
      <w:r w:rsidR="003414EB" w:rsidRPr="00920A27">
        <w:t xml:space="preserve">training programme for the refrigeration servicing sector and NOO </w:t>
      </w:r>
      <w:r w:rsidR="00B34BC5" w:rsidRPr="00920A27">
        <w:t>training programme</w:t>
      </w:r>
      <w:r w:rsidR="003414EB" w:rsidRPr="00920A27">
        <w:t xml:space="preserve">) including </w:t>
      </w:r>
      <w:r w:rsidRPr="00920A27">
        <w:t>smar</w:t>
      </w:r>
      <w:r w:rsidR="003414EB" w:rsidRPr="00920A27">
        <w:t>tphone and desktop applications as tools for Article 5 countries in the implementation of their compliance activities;</w:t>
      </w:r>
      <w:r w:rsidRPr="00920A27">
        <w:t xml:space="preserve"> </w:t>
      </w:r>
    </w:p>
    <w:p w14:paraId="3E003BA8" w14:textId="7299D8DC" w:rsidR="004704EC" w:rsidRPr="00673B8D" w:rsidRDefault="00ED2DA1" w:rsidP="00244FE2">
      <w:pPr>
        <w:pStyle w:val="Heading2"/>
      </w:pPr>
      <w:r w:rsidRPr="00673B8D">
        <w:t xml:space="preserve">Continue and enhanced </w:t>
      </w:r>
      <w:r w:rsidR="00244FE2">
        <w:t xml:space="preserve">the </w:t>
      </w:r>
      <w:r w:rsidRPr="00673B8D">
        <w:t xml:space="preserve">partnership </w:t>
      </w:r>
      <w:r w:rsidR="004704EC" w:rsidRPr="00673B8D">
        <w:t xml:space="preserve">with the World Customs Organization (WCO) to provide </w:t>
      </w:r>
      <w:r w:rsidR="00BB5D3D">
        <w:t xml:space="preserve">updated </w:t>
      </w:r>
      <w:r w:rsidR="004704EC" w:rsidRPr="00673B8D">
        <w:t>information and training materials</w:t>
      </w:r>
      <w:r w:rsidRPr="00673B8D">
        <w:t xml:space="preserve"> for customs officers and NOOs</w:t>
      </w:r>
      <w:r w:rsidR="004704EC" w:rsidRPr="00673B8D">
        <w:t xml:space="preserve"> on issues related to trade in controlled substances, and engagemen</w:t>
      </w:r>
      <w:r w:rsidR="00164E50" w:rsidRPr="00673B8D">
        <w:t xml:space="preserve">t in enforcement operations; </w:t>
      </w:r>
    </w:p>
    <w:p w14:paraId="7307497C" w14:textId="5A746CAF" w:rsidR="00164E50" w:rsidRPr="00920A27" w:rsidRDefault="00F27D6E" w:rsidP="00244FE2">
      <w:pPr>
        <w:pStyle w:val="Heading2"/>
      </w:pPr>
      <w:r w:rsidRPr="00673B8D">
        <w:t>Continue</w:t>
      </w:r>
      <w:r w:rsidR="00ED2DA1" w:rsidRPr="00673B8D">
        <w:t xml:space="preserve"> and expanded</w:t>
      </w:r>
      <w:r w:rsidRPr="00673B8D">
        <w:t xml:space="preserve"> p</w:t>
      </w:r>
      <w:r w:rsidR="004979CF" w:rsidRPr="00673B8D">
        <w:t>artner</w:t>
      </w:r>
      <w:r w:rsidRPr="00673B8D">
        <w:t>ship</w:t>
      </w:r>
      <w:r w:rsidR="00244FE2">
        <w:t>s</w:t>
      </w:r>
      <w:r w:rsidR="004979CF" w:rsidRPr="00673B8D">
        <w:t xml:space="preserve"> with </w:t>
      </w:r>
      <w:r w:rsidR="00244FE2">
        <w:t xml:space="preserve">several </w:t>
      </w:r>
      <w:r w:rsidR="004979CF" w:rsidRPr="00673B8D">
        <w:t>industry associations</w:t>
      </w:r>
      <w:r w:rsidR="00F80736" w:rsidRPr="00673B8D">
        <w:t>,</w:t>
      </w:r>
      <w:r w:rsidR="00B712B7" w:rsidRPr="00673B8D">
        <w:rPr>
          <w:rStyle w:val="FootnoteReference"/>
        </w:rPr>
        <w:footnoteReference w:id="5"/>
      </w:r>
      <w:r w:rsidR="00ED2DA1" w:rsidRPr="00E17C19">
        <w:t xml:space="preserve"> and initiate discussions with the newly-established Union of Associations of African Actors in Refrigeration and </w:t>
      </w:r>
      <w:r w:rsidR="00AD3183">
        <w:t>A</w:t>
      </w:r>
      <w:r w:rsidR="00ED2DA1" w:rsidRPr="00E17C19">
        <w:t>ir</w:t>
      </w:r>
      <w:r w:rsidR="00AD3183">
        <w:t>-</w:t>
      </w:r>
      <w:r w:rsidR="00ED2DA1" w:rsidRPr="00E17C19">
        <w:t>Conditioning (U-</w:t>
      </w:r>
      <w:r w:rsidR="00ED2DA1" w:rsidRPr="00920A27">
        <w:t>3ARC)</w:t>
      </w:r>
      <w:r w:rsidR="00693C7A" w:rsidRPr="00920A27">
        <w:t xml:space="preserve"> </w:t>
      </w:r>
      <w:r w:rsidR="003414EB" w:rsidRPr="00920A27">
        <w:t>to support training and certification in the refrigeration servicing sector in Africa,</w:t>
      </w:r>
      <w:r w:rsidR="00244FE2" w:rsidRPr="00920A27">
        <w:t xml:space="preserve"> and</w:t>
      </w:r>
    </w:p>
    <w:p w14:paraId="69351D87" w14:textId="1956AECA" w:rsidR="00164E50" w:rsidRPr="00E17C19" w:rsidRDefault="00164E50" w:rsidP="00164E50">
      <w:pPr>
        <w:pStyle w:val="Heading2"/>
      </w:pPr>
      <w:r w:rsidRPr="00E17C19">
        <w:t xml:space="preserve">Promote gender mainstreaming through project support </w:t>
      </w:r>
      <w:r w:rsidR="00244FE2">
        <w:t>(</w:t>
      </w:r>
      <w:r w:rsidR="00244FE2" w:rsidRPr="00E17C19">
        <w:t>t</w:t>
      </w:r>
      <w:r w:rsidR="00244FE2">
        <w:t>a</w:t>
      </w:r>
      <w:r w:rsidR="00244FE2" w:rsidRPr="00E17C19">
        <w:t>k</w:t>
      </w:r>
      <w:r w:rsidR="00244FE2">
        <w:t>ing</w:t>
      </w:r>
      <w:r w:rsidR="00244FE2" w:rsidRPr="00E17C19">
        <w:t xml:space="preserve"> into account gender mainstreaming as per the Multilateral Fund guidelines</w:t>
      </w:r>
      <w:r w:rsidR="00244FE2">
        <w:t>)</w:t>
      </w:r>
      <w:r w:rsidR="00244FE2" w:rsidRPr="00E17C19">
        <w:t xml:space="preserve"> </w:t>
      </w:r>
      <w:r w:rsidRPr="00E17C19">
        <w:t>and CAP services</w:t>
      </w:r>
      <w:r w:rsidR="00244FE2">
        <w:t xml:space="preserve"> (</w:t>
      </w:r>
      <w:r w:rsidRPr="00E17C19">
        <w:t>as a theme/session in network and thematic meetings</w:t>
      </w:r>
      <w:r w:rsidR="00244FE2">
        <w:t xml:space="preserve">, and in </w:t>
      </w:r>
      <w:r w:rsidRPr="00E17C19">
        <w:t>four OzonAction webinars on the subject</w:t>
      </w:r>
      <w:r w:rsidR="007B6CA2">
        <w:t>).</w:t>
      </w:r>
    </w:p>
    <w:p w14:paraId="7C7590EE" w14:textId="3F726A64" w:rsidR="004979CF" w:rsidRPr="00CE48B4" w:rsidRDefault="004979CF" w:rsidP="0016667D">
      <w:pPr>
        <w:spacing w:after="240"/>
        <w:rPr>
          <w:u w:val="single"/>
          <w:lang w:val="en-US"/>
        </w:rPr>
      </w:pPr>
      <w:r w:rsidRPr="00CE48B4">
        <w:rPr>
          <w:u w:val="single"/>
          <w:lang w:val="en-US"/>
        </w:rPr>
        <w:t>Fund disbursement</w:t>
      </w:r>
    </w:p>
    <w:p w14:paraId="454602E8" w14:textId="53D8829F" w:rsidR="00956A9E" w:rsidRPr="00E17C19" w:rsidRDefault="004979CF" w:rsidP="0016667D">
      <w:pPr>
        <w:pStyle w:val="Heading1"/>
        <w:rPr>
          <w:lang w:val="en-US"/>
        </w:rPr>
      </w:pPr>
      <w:r w:rsidRPr="00673B8D">
        <w:rPr>
          <w:lang w:val="en-US"/>
        </w:rPr>
        <w:t xml:space="preserve">Of the </w:t>
      </w:r>
      <w:r w:rsidR="0016667D">
        <w:rPr>
          <w:lang w:val="en-US"/>
        </w:rPr>
        <w:t>US $</w:t>
      </w:r>
      <w:r w:rsidR="00956A9E" w:rsidRPr="00673B8D">
        <w:rPr>
          <w:lang w:val="en-US"/>
        </w:rPr>
        <w:t>9,974,</w:t>
      </w:r>
      <w:r w:rsidRPr="00673B8D">
        <w:rPr>
          <w:lang w:val="en-US"/>
        </w:rPr>
        <w:t>000</w:t>
      </w:r>
      <w:r w:rsidR="00820FDC" w:rsidRPr="00673B8D">
        <w:rPr>
          <w:lang w:val="en-US"/>
        </w:rPr>
        <w:t>,</w:t>
      </w:r>
      <w:r w:rsidRPr="00673B8D">
        <w:rPr>
          <w:lang w:val="en-US"/>
        </w:rPr>
        <w:t xml:space="preserve"> plus agency support costs of </w:t>
      </w:r>
      <w:r w:rsidR="0016667D">
        <w:rPr>
          <w:lang w:val="en-US"/>
        </w:rPr>
        <w:t>US $</w:t>
      </w:r>
      <w:r w:rsidR="00956A9E" w:rsidRPr="00673B8D">
        <w:rPr>
          <w:lang w:val="en-US"/>
        </w:rPr>
        <w:t>797,920</w:t>
      </w:r>
      <w:r w:rsidRPr="00673B8D">
        <w:rPr>
          <w:lang w:val="en-US"/>
        </w:rPr>
        <w:t xml:space="preserve"> approved for the CAP budget for </w:t>
      </w:r>
      <w:r w:rsidR="00725046">
        <w:rPr>
          <w:lang w:val="en-US"/>
        </w:rPr>
        <w:t>20</w:t>
      </w:r>
      <w:r w:rsidR="00693C7A">
        <w:rPr>
          <w:lang w:val="en-US"/>
        </w:rPr>
        <w:t>20</w:t>
      </w:r>
      <w:r w:rsidRPr="00E17C19">
        <w:rPr>
          <w:lang w:val="en-US"/>
        </w:rPr>
        <w:t xml:space="preserve">, </w:t>
      </w:r>
      <w:r w:rsidR="00CE48B4" w:rsidRPr="00E17C19">
        <w:rPr>
          <w:lang w:val="en-US"/>
        </w:rPr>
        <w:t xml:space="preserve">UNEP </w:t>
      </w:r>
      <w:r w:rsidR="00693C7A">
        <w:rPr>
          <w:lang w:val="en-US"/>
        </w:rPr>
        <w:t xml:space="preserve">has </w:t>
      </w:r>
      <w:r w:rsidR="00270EB0">
        <w:rPr>
          <w:lang w:val="en-US"/>
        </w:rPr>
        <w:t xml:space="preserve">returned </w:t>
      </w:r>
      <w:r w:rsidR="0016667D">
        <w:rPr>
          <w:lang w:val="en-US"/>
        </w:rPr>
        <w:t>US $</w:t>
      </w:r>
      <w:r w:rsidR="001E626B">
        <w:rPr>
          <w:lang w:val="en-US"/>
        </w:rPr>
        <w:t>2,611,540</w:t>
      </w:r>
      <w:r w:rsidR="00270EB0">
        <w:rPr>
          <w:lang w:val="en-US"/>
        </w:rPr>
        <w:t xml:space="preserve"> plus agency suppo</w:t>
      </w:r>
      <w:r w:rsidR="007B6CA2">
        <w:rPr>
          <w:lang w:val="en-US"/>
        </w:rPr>
        <w:t xml:space="preserve">rt costs of </w:t>
      </w:r>
      <w:r w:rsidR="0016667D">
        <w:rPr>
          <w:lang w:val="en-US"/>
        </w:rPr>
        <w:t>US $</w:t>
      </w:r>
      <w:r w:rsidR="001E626B">
        <w:rPr>
          <w:lang w:val="en-US"/>
        </w:rPr>
        <w:t>208,923</w:t>
      </w:r>
      <w:r w:rsidR="007B6CA2">
        <w:rPr>
          <w:lang w:val="en-US"/>
        </w:rPr>
        <w:t xml:space="preserve">to the </w:t>
      </w:r>
      <w:r w:rsidR="00A16F38">
        <w:rPr>
          <w:lang w:val="en-US"/>
        </w:rPr>
        <w:t>8</w:t>
      </w:r>
      <w:r w:rsidR="00693C7A">
        <w:rPr>
          <w:lang w:val="en-US"/>
        </w:rPr>
        <w:t>8</w:t>
      </w:r>
      <w:r w:rsidR="00A16F38" w:rsidRPr="009E7ED5">
        <w:rPr>
          <w:vertAlign w:val="superscript"/>
          <w:lang w:val="en-US"/>
        </w:rPr>
        <w:t>th</w:t>
      </w:r>
      <w:r w:rsidR="00A16F38">
        <w:rPr>
          <w:lang w:val="en-US"/>
        </w:rPr>
        <w:t xml:space="preserve"> </w:t>
      </w:r>
      <w:r w:rsidR="00270EB0">
        <w:rPr>
          <w:lang w:val="en-US"/>
        </w:rPr>
        <w:t>meeting</w:t>
      </w:r>
      <w:r w:rsidR="00956A9E" w:rsidRPr="00673B8D">
        <w:rPr>
          <w:lang w:val="en-US"/>
        </w:rPr>
        <w:t xml:space="preserve">, in line with decision 35/36(d). </w:t>
      </w:r>
      <w:r w:rsidR="00956A9E" w:rsidRPr="00E17C19">
        <w:rPr>
          <w:lang w:val="en-US"/>
        </w:rPr>
        <w:t>Th</w:t>
      </w:r>
      <w:r w:rsidR="001E626B">
        <w:rPr>
          <w:lang w:val="en-US"/>
        </w:rPr>
        <w:t>is</w:t>
      </w:r>
      <w:r w:rsidR="00956A9E" w:rsidRPr="00E17C19">
        <w:rPr>
          <w:lang w:val="en-US"/>
        </w:rPr>
        <w:t xml:space="preserve"> return is included in the </w:t>
      </w:r>
      <w:r w:rsidR="0039000F" w:rsidRPr="00E17C19">
        <w:rPr>
          <w:lang w:val="en-US"/>
        </w:rPr>
        <w:t>document on the r</w:t>
      </w:r>
      <w:r w:rsidR="00956A9E" w:rsidRPr="00E17C19">
        <w:rPr>
          <w:lang w:val="en-US"/>
        </w:rPr>
        <w:t>eport on balances and availability of resources</w:t>
      </w:r>
      <w:r w:rsidR="00A16F38">
        <w:rPr>
          <w:lang w:val="en-US"/>
        </w:rPr>
        <w:t xml:space="preserve"> presented at the 8</w:t>
      </w:r>
      <w:r w:rsidR="001E626B">
        <w:rPr>
          <w:lang w:val="en-US"/>
        </w:rPr>
        <w:t>8</w:t>
      </w:r>
      <w:r w:rsidR="00A16F38" w:rsidRPr="009E7ED5">
        <w:rPr>
          <w:vertAlign w:val="superscript"/>
          <w:lang w:val="en-US"/>
        </w:rPr>
        <w:t>th</w:t>
      </w:r>
      <w:r w:rsidR="00A16F38">
        <w:rPr>
          <w:lang w:val="en-US"/>
        </w:rPr>
        <w:t xml:space="preserve"> meeting</w:t>
      </w:r>
      <w:r w:rsidR="00956A9E" w:rsidRPr="00E17C19">
        <w:rPr>
          <w:lang w:val="en-US"/>
        </w:rPr>
        <w:t>.</w:t>
      </w:r>
      <w:r w:rsidR="00956A9E" w:rsidRPr="00E17C19">
        <w:rPr>
          <w:rStyle w:val="FootnoteReference"/>
          <w:lang w:val="en-US"/>
        </w:rPr>
        <w:footnoteReference w:id="6"/>
      </w:r>
    </w:p>
    <w:p w14:paraId="4695179F" w14:textId="43A94B92" w:rsidR="004979CF" w:rsidRPr="002C127E" w:rsidRDefault="002C127E" w:rsidP="002C127E">
      <w:pPr>
        <w:keepNext/>
        <w:spacing w:after="240"/>
        <w:rPr>
          <w:u w:val="single"/>
          <w:lang w:val="en-US"/>
        </w:rPr>
      </w:pPr>
      <w:r>
        <w:rPr>
          <w:u w:val="single"/>
          <w:lang w:val="en-US"/>
        </w:rPr>
        <w:t xml:space="preserve">2022 </w:t>
      </w:r>
      <w:r w:rsidR="004979CF" w:rsidRPr="002C127E">
        <w:rPr>
          <w:u w:val="single"/>
          <w:lang w:val="en-US"/>
        </w:rPr>
        <w:t>CAP work programme</w:t>
      </w:r>
    </w:p>
    <w:p w14:paraId="60B81077" w14:textId="369707B9" w:rsidR="004979CF" w:rsidRPr="00E17C19" w:rsidRDefault="00CE48B4">
      <w:pPr>
        <w:pStyle w:val="Heading1"/>
        <w:keepNext/>
        <w:rPr>
          <w:lang w:val="en-US"/>
        </w:rPr>
      </w:pPr>
      <w:r w:rsidRPr="0035461E">
        <w:rPr>
          <w:lang w:val="en-US"/>
        </w:rPr>
        <w:t>For 2022</w:t>
      </w:r>
      <w:r w:rsidR="00A354D5">
        <w:rPr>
          <w:lang w:val="en-US"/>
        </w:rPr>
        <w:t>,</w:t>
      </w:r>
      <w:r w:rsidR="004979CF" w:rsidRPr="0035461E">
        <w:rPr>
          <w:lang w:val="en-US"/>
        </w:rPr>
        <w:t xml:space="preserve"> </w:t>
      </w:r>
      <w:r w:rsidR="004979CF" w:rsidRPr="00673B8D">
        <w:rPr>
          <w:lang w:val="en-US"/>
        </w:rPr>
        <w:t>UNEP</w:t>
      </w:r>
      <w:r w:rsidR="00604C21" w:rsidRPr="00673B8D">
        <w:rPr>
          <w:lang w:val="en-US"/>
        </w:rPr>
        <w:t xml:space="preserve"> will implement</w:t>
      </w:r>
      <w:r w:rsidR="00A354D5">
        <w:rPr>
          <w:lang w:val="en-US"/>
        </w:rPr>
        <w:t xml:space="preserve"> </w:t>
      </w:r>
      <w:r w:rsidR="00604C21" w:rsidRPr="00673B8D">
        <w:rPr>
          <w:lang w:val="en-US"/>
        </w:rPr>
        <w:t xml:space="preserve">the </w:t>
      </w:r>
      <w:r w:rsidR="00943859">
        <w:rPr>
          <w:lang w:val="en-US"/>
        </w:rPr>
        <w:t xml:space="preserve">following </w:t>
      </w:r>
      <w:r w:rsidR="00604C21" w:rsidRPr="00673B8D">
        <w:rPr>
          <w:lang w:val="en-US"/>
        </w:rPr>
        <w:t>activities</w:t>
      </w:r>
      <w:r w:rsidR="00604C21" w:rsidRPr="00604C21">
        <w:rPr>
          <w:lang w:val="en-US"/>
        </w:rPr>
        <w:t>:</w:t>
      </w:r>
    </w:p>
    <w:p w14:paraId="105CA00B" w14:textId="05F2F2C5" w:rsidR="00956EC2" w:rsidRPr="00E17C19" w:rsidRDefault="009C42D1" w:rsidP="00B21860">
      <w:pPr>
        <w:pStyle w:val="Heading2"/>
      </w:pPr>
      <w:r w:rsidRPr="00E17C19">
        <w:t>C</w:t>
      </w:r>
      <w:r w:rsidR="00956EC2" w:rsidRPr="00E17C19">
        <w:t>ountry-specific compliance assistance to Art</w:t>
      </w:r>
      <w:r w:rsidR="009D7475" w:rsidRPr="00E17C19">
        <w:t xml:space="preserve">icle 5 countries </w:t>
      </w:r>
      <w:r w:rsidR="007F194C">
        <w:t xml:space="preserve">with potential </w:t>
      </w:r>
      <w:r w:rsidR="009D7475" w:rsidRPr="00E17C19">
        <w:t>risk of non</w:t>
      </w:r>
      <w:r w:rsidR="009D7475" w:rsidRPr="00E17C19">
        <w:noBreakHyphen/>
      </w:r>
      <w:r w:rsidR="00956EC2" w:rsidRPr="00E17C19">
        <w:t xml:space="preserve">compliance with their </w:t>
      </w:r>
      <w:r w:rsidR="00A354D5">
        <w:t>obligations</w:t>
      </w:r>
      <w:r w:rsidR="007F194C">
        <w:t xml:space="preserve"> </w:t>
      </w:r>
      <w:r w:rsidR="00A354D5">
        <w:t xml:space="preserve">under the </w:t>
      </w:r>
      <w:r w:rsidR="00956EC2" w:rsidRPr="00E17C19">
        <w:t>Montreal Protocol;</w:t>
      </w:r>
      <w:r w:rsidR="00B55D38" w:rsidRPr="00E17C19">
        <w:t xml:space="preserve"> </w:t>
      </w:r>
    </w:p>
    <w:p w14:paraId="2A41A02C" w14:textId="5938DD75" w:rsidR="004979CF" w:rsidRPr="00E17C19" w:rsidRDefault="00A354D5" w:rsidP="00B21860">
      <w:pPr>
        <w:pStyle w:val="Heading2"/>
      </w:pPr>
      <w:r>
        <w:t>O</w:t>
      </w:r>
      <w:r w:rsidR="00956EC2" w:rsidRPr="00E17C19">
        <w:t>peration of the 10 regional networks of NO</w:t>
      </w:r>
      <w:r w:rsidR="009C42D1" w:rsidRPr="00E17C19">
        <w:t xml:space="preserve">Os </w:t>
      </w:r>
      <w:r w:rsidR="00725046">
        <w:t xml:space="preserve">by organizing network and </w:t>
      </w:r>
      <w:r w:rsidR="00A70584" w:rsidRPr="00E17C19">
        <w:t>t</w:t>
      </w:r>
      <w:r w:rsidR="00956EC2" w:rsidRPr="00E17C19">
        <w:t>hematic meetings (physical and/or online</w:t>
      </w:r>
      <w:r w:rsidR="009C42D1" w:rsidRPr="00E17C19">
        <w:t xml:space="preserve"> depending on the evolution of the COVID</w:t>
      </w:r>
      <w:r w:rsidR="00943859">
        <w:noBreakHyphen/>
      </w:r>
      <w:r w:rsidR="009C42D1" w:rsidRPr="00E17C19">
        <w:t>19 pandemic</w:t>
      </w:r>
      <w:r w:rsidR="00956EC2" w:rsidRPr="00E17C19">
        <w:t>)</w:t>
      </w:r>
      <w:r w:rsidR="009D7475" w:rsidRPr="00E17C19">
        <w:t xml:space="preserve">; </w:t>
      </w:r>
      <w:r>
        <w:lastRenderedPageBreak/>
        <w:t xml:space="preserve">providing </w:t>
      </w:r>
      <w:r w:rsidR="009D7475" w:rsidRPr="00E17C19">
        <w:t>capacity</w:t>
      </w:r>
      <w:r w:rsidR="009D7475" w:rsidRPr="00E17C19">
        <w:noBreakHyphen/>
      </w:r>
      <w:r w:rsidR="00956EC2" w:rsidRPr="00E17C19">
        <w:t xml:space="preserve">building </w:t>
      </w:r>
      <w:r>
        <w:t xml:space="preserve">and </w:t>
      </w:r>
      <w:r w:rsidR="00956EC2" w:rsidRPr="00E17C19">
        <w:t xml:space="preserve">training for </w:t>
      </w:r>
      <w:r w:rsidR="00943859">
        <w:t xml:space="preserve">all </w:t>
      </w:r>
      <w:r w:rsidR="00821567" w:rsidRPr="00E17C19">
        <w:t>NOOs</w:t>
      </w:r>
      <w:r w:rsidR="00956EC2" w:rsidRPr="00E17C19">
        <w:t xml:space="preserve">; and facilitate </w:t>
      </w:r>
      <w:r w:rsidR="00725046">
        <w:t>south-south</w:t>
      </w:r>
      <w:r w:rsidR="00956EC2" w:rsidRPr="00E17C19">
        <w:t xml:space="preserve"> cooperation</w:t>
      </w:r>
      <w:r w:rsidR="004979CF" w:rsidRPr="00E17C19">
        <w:t>;</w:t>
      </w:r>
    </w:p>
    <w:p w14:paraId="32AA74C1" w14:textId="1AF1C955" w:rsidR="004979CF" w:rsidRPr="001A77AE" w:rsidRDefault="00A354D5" w:rsidP="00B21860">
      <w:pPr>
        <w:pStyle w:val="Heading2"/>
      </w:pPr>
      <w:r>
        <w:t>A</w:t>
      </w:r>
      <w:r w:rsidR="007B4C3D" w:rsidRPr="001A77AE">
        <w:t>ssist</w:t>
      </w:r>
      <w:r>
        <w:t>ance to</w:t>
      </w:r>
      <w:r w:rsidR="007B4C3D" w:rsidRPr="001A77AE">
        <w:t xml:space="preserve"> </w:t>
      </w:r>
      <w:r w:rsidR="004979CF" w:rsidRPr="001A77AE">
        <w:t>NO</w:t>
      </w:r>
      <w:r>
        <w:t>O</w:t>
      </w:r>
      <w:r w:rsidR="004979CF" w:rsidRPr="001A77AE">
        <w:t xml:space="preserve">s in </w:t>
      </w:r>
      <w:r w:rsidR="007B4C3D" w:rsidRPr="001A77AE">
        <w:t xml:space="preserve">complying with their reporting obligations under </w:t>
      </w:r>
      <w:r w:rsidR="004979CF" w:rsidRPr="001A77AE">
        <w:t>Article 7</w:t>
      </w:r>
      <w:r w:rsidR="00821567" w:rsidRPr="001A77AE">
        <w:t xml:space="preserve"> </w:t>
      </w:r>
      <w:r w:rsidR="007B4C3D" w:rsidRPr="001A77AE">
        <w:t xml:space="preserve">of the Protocol </w:t>
      </w:r>
      <w:r w:rsidR="00821567" w:rsidRPr="001A77AE">
        <w:t>and</w:t>
      </w:r>
      <w:r w:rsidR="004979CF" w:rsidRPr="001A77AE">
        <w:t xml:space="preserve"> CP data</w:t>
      </w:r>
      <w:r w:rsidR="007B4C3D" w:rsidRPr="001A77AE">
        <w:t>,</w:t>
      </w:r>
      <w:r w:rsidR="004979CF" w:rsidRPr="001A77AE">
        <w:t xml:space="preserve"> and in strengthening </w:t>
      </w:r>
      <w:r w:rsidR="007B4C3D" w:rsidRPr="001A77AE">
        <w:t>their regulatory frameworks related to the Montreal Protocol</w:t>
      </w:r>
      <w:r w:rsidR="00821567" w:rsidRPr="001A77AE">
        <w:t>,</w:t>
      </w:r>
      <w:r w:rsidR="004979CF" w:rsidRPr="001A77AE">
        <w:t xml:space="preserve"> </w:t>
      </w:r>
      <w:r w:rsidR="00DF30BE" w:rsidRPr="001A77AE">
        <w:t xml:space="preserve">assist in the development, </w:t>
      </w:r>
      <w:r w:rsidR="00821567" w:rsidRPr="001A77AE">
        <w:t>implement</w:t>
      </w:r>
      <w:r w:rsidR="00DF30BE" w:rsidRPr="001A77AE">
        <w:t xml:space="preserve">ation and enforcement of </w:t>
      </w:r>
      <w:r w:rsidR="004979CF" w:rsidRPr="001A77AE">
        <w:t xml:space="preserve">HFC licensing and quota systems; </w:t>
      </w:r>
      <w:r w:rsidR="00DF30BE" w:rsidRPr="001A77AE">
        <w:t xml:space="preserve">assist in </w:t>
      </w:r>
      <w:r w:rsidR="00DF30BE" w:rsidRPr="001737A7">
        <w:t xml:space="preserve">strengthening the </w:t>
      </w:r>
      <w:r w:rsidR="004979CF" w:rsidRPr="001737A7">
        <w:t>monitoring, reporting, verification and enforcement systems</w:t>
      </w:r>
      <w:r w:rsidR="00DF30BE" w:rsidRPr="001737A7">
        <w:t xml:space="preserve"> in place</w:t>
      </w:r>
      <w:r w:rsidR="001A77AE" w:rsidRPr="001737A7">
        <w:t xml:space="preserve">; </w:t>
      </w:r>
      <w:r w:rsidR="004979CF" w:rsidRPr="001737A7">
        <w:t>facilitate sharing of best practices</w:t>
      </w:r>
      <w:r w:rsidR="002F629E" w:rsidRPr="001737A7">
        <w:t xml:space="preserve"> </w:t>
      </w:r>
      <w:r w:rsidR="00704EB0" w:rsidRPr="001737A7">
        <w:rPr>
          <w:rStyle w:val="fontstyle01"/>
          <w:rFonts w:ascii="Times New Roman" w:hAnsi="Times New Roman"/>
          <w:b w:val="0"/>
          <w:bCs w:val="0"/>
          <w:color w:val="auto"/>
          <w:sz w:val="22"/>
          <w:szCs w:val="22"/>
        </w:rPr>
        <w:t xml:space="preserve">in establishing and implementing </w:t>
      </w:r>
      <w:r w:rsidR="002F629E" w:rsidRPr="001737A7">
        <w:rPr>
          <w:rStyle w:val="fontstyle01"/>
          <w:rFonts w:ascii="Times New Roman" w:hAnsi="Times New Roman"/>
          <w:b w:val="0"/>
          <w:bCs w:val="0"/>
          <w:color w:val="auto"/>
          <w:sz w:val="22"/>
          <w:szCs w:val="22"/>
        </w:rPr>
        <w:t xml:space="preserve">existing HCFC </w:t>
      </w:r>
      <w:r w:rsidR="00704EB0" w:rsidRPr="001737A7">
        <w:rPr>
          <w:rStyle w:val="fontstyle01"/>
          <w:rFonts w:ascii="Times New Roman" w:hAnsi="Times New Roman"/>
          <w:b w:val="0"/>
          <w:bCs w:val="0"/>
          <w:color w:val="auto"/>
          <w:sz w:val="22"/>
          <w:szCs w:val="22"/>
        </w:rPr>
        <w:t>regulation</w:t>
      </w:r>
      <w:r w:rsidR="00F71E52" w:rsidRPr="001737A7">
        <w:t xml:space="preserve"> in monitoring and control of ODS</w:t>
      </w:r>
      <w:r w:rsidR="00704EB0" w:rsidRPr="001737A7">
        <w:rPr>
          <w:rStyle w:val="fontstyle01"/>
          <w:rFonts w:ascii="Times New Roman" w:hAnsi="Times New Roman"/>
          <w:b w:val="0"/>
          <w:bCs w:val="0"/>
          <w:color w:val="auto"/>
          <w:sz w:val="22"/>
          <w:szCs w:val="22"/>
        </w:rPr>
        <w:t xml:space="preserve">, vis-à-vis </w:t>
      </w:r>
      <w:r w:rsidR="002F629E" w:rsidRPr="001737A7">
        <w:rPr>
          <w:rStyle w:val="fontstyle01"/>
          <w:rFonts w:ascii="Times New Roman" w:hAnsi="Times New Roman"/>
          <w:b w:val="0"/>
          <w:bCs w:val="0"/>
          <w:color w:val="auto"/>
          <w:sz w:val="22"/>
          <w:szCs w:val="22"/>
        </w:rPr>
        <w:t>HFC legislation</w:t>
      </w:r>
      <w:r w:rsidR="004979CF" w:rsidRPr="001737A7">
        <w:t xml:space="preserve">; </w:t>
      </w:r>
      <w:r w:rsidR="00B36D3C" w:rsidRPr="001737A7">
        <w:t xml:space="preserve">and </w:t>
      </w:r>
      <w:r w:rsidR="004979CF" w:rsidRPr="001737A7">
        <w:t>provide tools (e.g.</w:t>
      </w:r>
      <w:r w:rsidR="00821567" w:rsidRPr="001737A7">
        <w:t>,</w:t>
      </w:r>
      <w:r w:rsidR="004979CF" w:rsidRPr="001737A7">
        <w:t xml:space="preserve"> </w:t>
      </w:r>
      <w:r w:rsidR="001A77AE" w:rsidRPr="001737A7">
        <w:t>handbook for data reporting,</w:t>
      </w:r>
      <w:r w:rsidR="001A77AE">
        <w:t xml:space="preserve"> </w:t>
      </w:r>
      <w:r w:rsidR="004979CF" w:rsidRPr="001A77AE">
        <w:t>i</w:t>
      </w:r>
      <w:r w:rsidR="00821567" w:rsidRPr="001A77AE">
        <w:t>PIC</w:t>
      </w:r>
      <w:r w:rsidR="004979CF" w:rsidRPr="001A77AE">
        <w:t xml:space="preserve">, </w:t>
      </w:r>
      <w:r w:rsidR="00821567" w:rsidRPr="001A77AE">
        <w:t>q</w:t>
      </w:r>
      <w:r w:rsidR="004979CF" w:rsidRPr="001A77AE">
        <w:t xml:space="preserve">uota </w:t>
      </w:r>
      <w:r w:rsidR="00821567" w:rsidRPr="001A77AE">
        <w:t>c</w:t>
      </w:r>
      <w:r w:rsidR="004979CF" w:rsidRPr="001A77AE">
        <w:t>alculators)</w:t>
      </w:r>
      <w:r w:rsidR="00DF30BE" w:rsidRPr="001A77AE">
        <w:t xml:space="preserve"> and </w:t>
      </w:r>
      <w:r w:rsidR="00394576" w:rsidRPr="001A77AE">
        <w:t xml:space="preserve">develop </w:t>
      </w:r>
      <w:r w:rsidR="00DF30BE" w:rsidRPr="001A77AE">
        <w:t xml:space="preserve">new tools </w:t>
      </w:r>
      <w:r w:rsidR="00394576" w:rsidRPr="001A77AE">
        <w:t xml:space="preserve">for </w:t>
      </w:r>
      <w:r w:rsidR="00DF30BE" w:rsidRPr="001A77AE">
        <w:t>relevant stakeholders</w:t>
      </w:r>
      <w:r w:rsidR="00CE6E21" w:rsidRPr="001A77AE">
        <w:t>;</w:t>
      </w:r>
    </w:p>
    <w:p w14:paraId="504DCF80" w14:textId="780198D7" w:rsidR="004979CF" w:rsidRPr="001A77AE" w:rsidRDefault="007F194C" w:rsidP="00B21860">
      <w:pPr>
        <w:pStyle w:val="Heading2"/>
      </w:pPr>
      <w:r>
        <w:t xml:space="preserve">Support </w:t>
      </w:r>
      <w:r w:rsidR="004979CF" w:rsidRPr="001A77AE">
        <w:t>training</w:t>
      </w:r>
      <w:r>
        <w:t xml:space="preserve"> for customs officers and distribution of </w:t>
      </w:r>
      <w:r w:rsidR="004979CF" w:rsidRPr="001A77AE">
        <w:t xml:space="preserve">training materials </w:t>
      </w:r>
      <w:r w:rsidR="002F629E" w:rsidRPr="001A77AE">
        <w:t>(e.g., HCFC Quota and Licence Tracker Desktop Application</w:t>
      </w:r>
      <w:r w:rsidR="001C3FA0" w:rsidRPr="001A77AE">
        <w:t>)</w:t>
      </w:r>
      <w:r w:rsidR="004979CF" w:rsidRPr="001A77AE">
        <w:t xml:space="preserve"> </w:t>
      </w:r>
      <w:r w:rsidRPr="001A77AE">
        <w:t>and tools</w:t>
      </w:r>
      <w:r>
        <w:t>,</w:t>
      </w:r>
      <w:r w:rsidRPr="001A77AE">
        <w:t xml:space="preserve"> </w:t>
      </w:r>
      <w:r w:rsidR="004979CF" w:rsidRPr="001A77AE">
        <w:t xml:space="preserve">to </w:t>
      </w:r>
      <w:r>
        <w:t xml:space="preserve">further strengthen </w:t>
      </w:r>
      <w:r w:rsidR="004979CF" w:rsidRPr="001A77AE">
        <w:t>the capacity of customs and enforcement personnel</w:t>
      </w:r>
      <w:r w:rsidR="001C3FA0" w:rsidRPr="001A77AE">
        <w:t xml:space="preserve">; </w:t>
      </w:r>
      <w:r w:rsidR="001A77AE">
        <w:t>translate</w:t>
      </w:r>
      <w:r w:rsidR="00281E66">
        <w:t xml:space="preserve"> and </w:t>
      </w:r>
      <w:r w:rsidR="001A77AE">
        <w:t xml:space="preserve">disseminate </w:t>
      </w:r>
      <w:r w:rsidR="004979CF" w:rsidRPr="001A77AE">
        <w:t>the updated UNEP</w:t>
      </w:r>
      <w:r w:rsidR="001C3FA0" w:rsidRPr="001A77AE">
        <w:noBreakHyphen/>
      </w:r>
      <w:r w:rsidR="004979CF" w:rsidRPr="001A77AE">
        <w:t xml:space="preserve">WCO Montreal Protocol Training for Customs Officers </w:t>
      </w:r>
      <w:r w:rsidR="00281E66">
        <w:t xml:space="preserve">and promote its adoption </w:t>
      </w:r>
      <w:r w:rsidR="00B36D3C" w:rsidRPr="001A77AE">
        <w:t>in</w:t>
      </w:r>
      <w:r w:rsidR="00052B49" w:rsidRPr="001A77AE">
        <w:t>to</w:t>
      </w:r>
      <w:r w:rsidR="00265C07" w:rsidRPr="001A77AE">
        <w:t xml:space="preserve"> the </w:t>
      </w:r>
      <w:r w:rsidR="004979CF" w:rsidRPr="001A77AE">
        <w:t xml:space="preserve">national training curricula; assist with </w:t>
      </w:r>
      <w:r w:rsidR="00052B49" w:rsidRPr="001A77AE">
        <w:t xml:space="preserve">incorporation of </w:t>
      </w:r>
      <w:r w:rsidR="004979CF" w:rsidRPr="001A77AE">
        <w:t>HFC customs codes</w:t>
      </w:r>
      <w:r w:rsidR="00052B49" w:rsidRPr="001A77AE">
        <w:t xml:space="preserve"> into the import/export licensing and quota systems</w:t>
      </w:r>
      <w:r w:rsidR="004979CF" w:rsidRPr="001A77AE">
        <w:t xml:space="preserve">; </w:t>
      </w:r>
      <w:r w:rsidR="00783C22" w:rsidRPr="001A77AE">
        <w:t>and facilitate</w:t>
      </w:r>
      <w:r w:rsidR="00052B49" w:rsidRPr="001A77AE">
        <w:t xml:space="preserve"> the </w:t>
      </w:r>
      <w:r w:rsidR="004979CF" w:rsidRPr="001A77AE">
        <w:t>strengthen</w:t>
      </w:r>
      <w:r w:rsidR="00052B49" w:rsidRPr="001A77AE">
        <w:t>ing</w:t>
      </w:r>
      <w:r w:rsidR="004979CF" w:rsidRPr="001A77AE">
        <w:t xml:space="preserve"> </w:t>
      </w:r>
      <w:r w:rsidR="00052B49" w:rsidRPr="001A77AE">
        <w:t xml:space="preserve">of </w:t>
      </w:r>
      <w:r w:rsidR="004979CF" w:rsidRPr="001A77AE">
        <w:t>transboundary cooperation and intelligence sharing in combating illegal trade of controlled substances</w:t>
      </w:r>
      <w:r w:rsidR="00052B49" w:rsidRPr="001A77AE">
        <w:t xml:space="preserve"> among Article 5 countries</w:t>
      </w:r>
      <w:r w:rsidR="004979CF" w:rsidRPr="001A77AE">
        <w:t>;</w:t>
      </w:r>
    </w:p>
    <w:p w14:paraId="66B1BCA2" w14:textId="4E6F5F23" w:rsidR="00265C07" w:rsidRPr="001737A7" w:rsidRDefault="00265C07" w:rsidP="001737A7">
      <w:pPr>
        <w:pStyle w:val="Heading2"/>
        <w:widowControl/>
      </w:pPr>
      <w:r w:rsidRPr="001737A7">
        <w:t>Support training</w:t>
      </w:r>
      <w:r w:rsidR="00AE65A6" w:rsidRPr="001737A7">
        <w:t xml:space="preserve"> </w:t>
      </w:r>
      <w:r w:rsidR="007F194C">
        <w:t xml:space="preserve">for technicians </w:t>
      </w:r>
      <w:r w:rsidR="00AE65A6" w:rsidRPr="001737A7">
        <w:t xml:space="preserve">in the refrigeration servicing sector </w:t>
      </w:r>
      <w:r w:rsidRPr="001737A7">
        <w:t>by providing</w:t>
      </w:r>
      <w:r w:rsidR="00AE65A6" w:rsidRPr="001737A7">
        <w:t xml:space="preserve"> </w:t>
      </w:r>
      <w:r w:rsidR="00B741B0">
        <w:t xml:space="preserve">developed </w:t>
      </w:r>
      <w:r w:rsidR="00AE65A6" w:rsidRPr="001737A7">
        <w:t>tools (</w:t>
      </w:r>
      <w:r w:rsidR="00B36D3C" w:rsidRPr="001737A7">
        <w:t>e.g., u</w:t>
      </w:r>
      <w:r w:rsidR="00AE65A6" w:rsidRPr="001737A7">
        <w:t xml:space="preserve">niversal </w:t>
      </w:r>
      <w:r w:rsidR="00B36D3C" w:rsidRPr="001737A7">
        <w:t>t</w:t>
      </w:r>
      <w:r w:rsidR="00AE65A6" w:rsidRPr="001737A7">
        <w:t xml:space="preserve">raining </w:t>
      </w:r>
      <w:r w:rsidR="00B36D3C" w:rsidRPr="001737A7">
        <w:t>k</w:t>
      </w:r>
      <w:r w:rsidR="00AE65A6" w:rsidRPr="001737A7">
        <w:t xml:space="preserve">it, </w:t>
      </w:r>
      <w:r w:rsidR="00B36D3C" w:rsidRPr="001737A7">
        <w:t>r</w:t>
      </w:r>
      <w:r w:rsidR="00AE65A6" w:rsidRPr="001737A7">
        <w:t xml:space="preserve">efrigerant </w:t>
      </w:r>
      <w:r w:rsidR="00B36D3C" w:rsidRPr="001737A7">
        <w:t>m</w:t>
      </w:r>
      <w:r w:rsidR="00AE65A6" w:rsidRPr="001737A7">
        <w:t xml:space="preserve">anagement </w:t>
      </w:r>
      <w:r w:rsidR="00B36D3C" w:rsidRPr="001737A7">
        <w:t>u</w:t>
      </w:r>
      <w:r w:rsidR="00AE65A6" w:rsidRPr="001737A7">
        <w:t xml:space="preserve">niversity </w:t>
      </w:r>
      <w:r w:rsidR="00B36D3C" w:rsidRPr="001737A7">
        <w:t>c</w:t>
      </w:r>
      <w:r w:rsidR="00AE65A6" w:rsidRPr="001737A7">
        <w:t>ourse</w:t>
      </w:r>
      <w:r w:rsidRPr="001737A7">
        <w:t xml:space="preserve"> and the RDL)</w:t>
      </w:r>
      <w:r w:rsidR="00052B49" w:rsidRPr="001737A7">
        <w:t xml:space="preserve"> and </w:t>
      </w:r>
      <w:r w:rsidR="007F194C">
        <w:t xml:space="preserve">those that </w:t>
      </w:r>
      <w:r w:rsidR="00052B49" w:rsidRPr="001737A7">
        <w:t>w</w:t>
      </w:r>
      <w:r w:rsidR="00335B62" w:rsidRPr="001737A7">
        <w:t>ill</w:t>
      </w:r>
      <w:r w:rsidR="00052B49" w:rsidRPr="001737A7">
        <w:t xml:space="preserve"> be developed to refrigeration technicians, refrigeration associations and other stakeholders;</w:t>
      </w:r>
      <w:r w:rsidR="00AE65A6" w:rsidRPr="001737A7">
        <w:t xml:space="preserve"> </w:t>
      </w:r>
      <w:r w:rsidR="00052B49" w:rsidRPr="001737A7">
        <w:t xml:space="preserve">support the development of </w:t>
      </w:r>
      <w:r w:rsidR="00AE65A6" w:rsidRPr="001737A7">
        <w:t>a risk assessment methodology for flammable refrigerants</w:t>
      </w:r>
      <w:r w:rsidR="00335B62" w:rsidRPr="001737A7">
        <w:t>, the</w:t>
      </w:r>
      <w:r w:rsidRPr="001737A7">
        <w:t xml:space="preserve"> integrati</w:t>
      </w:r>
      <w:r w:rsidR="00052B49" w:rsidRPr="001737A7">
        <w:t>o</w:t>
      </w:r>
      <w:r w:rsidRPr="001737A7">
        <w:t xml:space="preserve">n </w:t>
      </w:r>
      <w:r w:rsidR="00052B49" w:rsidRPr="001737A7">
        <w:t xml:space="preserve">of </w:t>
      </w:r>
      <w:r w:rsidR="00335B62" w:rsidRPr="001737A7">
        <w:t xml:space="preserve">issues </w:t>
      </w:r>
      <w:r w:rsidR="00052B49" w:rsidRPr="001737A7">
        <w:t xml:space="preserve">related to </w:t>
      </w:r>
      <w:r w:rsidRPr="001737A7">
        <w:t xml:space="preserve">energy efficiency </w:t>
      </w:r>
      <w:r w:rsidR="00052B49" w:rsidRPr="001737A7">
        <w:t xml:space="preserve">during </w:t>
      </w:r>
      <w:r w:rsidR="00335B62" w:rsidRPr="001737A7">
        <w:t xml:space="preserve">the </w:t>
      </w:r>
      <w:r w:rsidRPr="001737A7">
        <w:t>servicing</w:t>
      </w:r>
      <w:r w:rsidR="00052B49" w:rsidRPr="001737A7">
        <w:t xml:space="preserve"> of RAC equipment</w:t>
      </w:r>
      <w:r w:rsidRPr="001737A7">
        <w:t xml:space="preserve">, </w:t>
      </w:r>
      <w:r w:rsidR="00E43941" w:rsidRPr="001737A7">
        <w:t xml:space="preserve">and </w:t>
      </w:r>
      <w:r w:rsidR="00052B49" w:rsidRPr="001737A7">
        <w:t xml:space="preserve">the </w:t>
      </w:r>
      <w:r w:rsidR="00FC7A05" w:rsidRPr="001737A7">
        <w:t xml:space="preserve">certification of </w:t>
      </w:r>
      <w:r w:rsidR="00052B49" w:rsidRPr="001737A7">
        <w:t xml:space="preserve">refrigeration </w:t>
      </w:r>
      <w:r w:rsidR="00FC7A05" w:rsidRPr="001737A7">
        <w:t>technicians</w:t>
      </w:r>
      <w:r w:rsidR="00B36D3C" w:rsidRPr="001737A7">
        <w:t>;</w:t>
      </w:r>
      <w:r w:rsidR="00FC7A05" w:rsidRPr="001737A7">
        <w:t xml:space="preserve"> </w:t>
      </w:r>
      <w:r w:rsidRPr="001737A7">
        <w:rPr>
          <w:lang w:val="en-US"/>
        </w:rPr>
        <w:t xml:space="preserve">and promote gender mainstreaming of female technicians and experts in </w:t>
      </w:r>
      <w:r w:rsidR="00052B49" w:rsidRPr="001737A7">
        <w:rPr>
          <w:lang w:val="en-US"/>
        </w:rPr>
        <w:t xml:space="preserve">all activities related to </w:t>
      </w:r>
      <w:r w:rsidRPr="001737A7">
        <w:rPr>
          <w:lang w:val="en-US"/>
        </w:rPr>
        <w:t xml:space="preserve">the RAC </w:t>
      </w:r>
      <w:r w:rsidR="00052B49" w:rsidRPr="001737A7">
        <w:rPr>
          <w:lang w:val="en-US"/>
        </w:rPr>
        <w:t xml:space="preserve">servicing </w:t>
      </w:r>
      <w:r w:rsidRPr="001737A7">
        <w:rPr>
          <w:lang w:val="en-US"/>
        </w:rPr>
        <w:t>sector</w:t>
      </w:r>
      <w:r w:rsidR="009364EB">
        <w:rPr>
          <w:lang w:val="en-US"/>
        </w:rPr>
        <w:t>;</w:t>
      </w:r>
      <w:r w:rsidR="007F194C">
        <w:rPr>
          <w:lang w:val="en-US"/>
        </w:rPr>
        <w:t xml:space="preserve"> </w:t>
      </w:r>
    </w:p>
    <w:p w14:paraId="5A4FDF18" w14:textId="1738BDFA" w:rsidR="00FC7A05" w:rsidRPr="001737A7" w:rsidRDefault="008B7B3C" w:rsidP="003414EB">
      <w:pPr>
        <w:pStyle w:val="Heading2"/>
      </w:pPr>
      <w:r w:rsidRPr="00920A27">
        <w:t>A</w:t>
      </w:r>
      <w:r w:rsidR="00B304F5" w:rsidRPr="00920A27">
        <w:t>ssist</w:t>
      </w:r>
      <w:r w:rsidR="007F194C" w:rsidRPr="00920A27">
        <w:t xml:space="preserve">ance to </w:t>
      </w:r>
      <w:r w:rsidR="00967C93" w:rsidRPr="00920A27">
        <w:t>Article 5</w:t>
      </w:r>
      <w:r w:rsidR="00B304F5" w:rsidRPr="00920A27">
        <w:t xml:space="preserve"> countries </w:t>
      </w:r>
      <w:r w:rsidR="003414EB" w:rsidRPr="00920A27">
        <w:t>to facilitate ratification of the Kigali Amendment</w:t>
      </w:r>
      <w:r w:rsidR="003414EB">
        <w:t xml:space="preserve"> and </w:t>
      </w:r>
      <w:r w:rsidR="00967C93">
        <w:t xml:space="preserve">in the </w:t>
      </w:r>
      <w:r w:rsidR="00725046">
        <w:t>preparation of KIPs</w:t>
      </w:r>
      <w:r w:rsidR="00B304F5">
        <w:t xml:space="preserve"> </w:t>
      </w:r>
      <w:r w:rsidR="007D523D">
        <w:t>including funding requests for their preparation (</w:t>
      </w:r>
      <w:r w:rsidR="00B304F5">
        <w:t>as lead and cooperating agency</w:t>
      </w:r>
      <w:r w:rsidR="007D523D">
        <w:t>)</w:t>
      </w:r>
      <w:r>
        <w:t>;</w:t>
      </w:r>
      <w:r w:rsidR="00967C93">
        <w:t xml:space="preserve"> </w:t>
      </w:r>
    </w:p>
    <w:p w14:paraId="0E4D5BBE" w14:textId="3D2C0474" w:rsidR="00FC7A05" w:rsidRPr="001737A7" w:rsidRDefault="007D523D" w:rsidP="0049386B">
      <w:pPr>
        <w:pStyle w:val="Heading2"/>
      </w:pPr>
      <w:r>
        <w:t>A</w:t>
      </w:r>
      <w:r w:rsidR="004979CF" w:rsidRPr="001737A7">
        <w:t>ssist</w:t>
      </w:r>
      <w:r>
        <w:t xml:space="preserve">ance to Article 5 </w:t>
      </w:r>
      <w:r w:rsidR="004979CF" w:rsidRPr="001737A7">
        <w:t xml:space="preserve">countries </w:t>
      </w:r>
      <w:r w:rsidR="006C4B76">
        <w:t xml:space="preserve">in implementing </w:t>
      </w:r>
      <w:r w:rsidR="004979CF" w:rsidRPr="001737A7">
        <w:t xml:space="preserve">ongoing </w:t>
      </w:r>
      <w:r w:rsidR="006C4B76">
        <w:t xml:space="preserve">activities under their </w:t>
      </w:r>
      <w:r w:rsidR="004979CF" w:rsidRPr="001737A7">
        <w:t>HPMPs</w:t>
      </w:r>
      <w:r w:rsidR="006C4B76">
        <w:t xml:space="preserve"> including</w:t>
      </w:r>
      <w:r w:rsidR="004979CF" w:rsidRPr="001737A7">
        <w:t xml:space="preserve"> </w:t>
      </w:r>
      <w:r w:rsidR="00B304F5">
        <w:t xml:space="preserve">preparation of </w:t>
      </w:r>
      <w:r w:rsidR="004979CF" w:rsidRPr="001737A7">
        <w:t>verification reports and the implementation of recommendations from verification reports</w:t>
      </w:r>
      <w:r w:rsidR="006C4B76">
        <w:t>, as relevant</w:t>
      </w:r>
      <w:r w:rsidR="004979CF" w:rsidRPr="001737A7">
        <w:t xml:space="preserve">; </w:t>
      </w:r>
      <w:r w:rsidR="006C4B76">
        <w:t xml:space="preserve">and </w:t>
      </w:r>
      <w:r w:rsidR="004979CF" w:rsidRPr="001737A7">
        <w:t xml:space="preserve">assistance </w:t>
      </w:r>
      <w:r w:rsidR="006C4B76">
        <w:t xml:space="preserve">in the </w:t>
      </w:r>
      <w:r w:rsidR="004979CF" w:rsidRPr="001737A7">
        <w:t>prepar</w:t>
      </w:r>
      <w:r w:rsidR="006C4B76">
        <w:t xml:space="preserve">ation and </w:t>
      </w:r>
      <w:r w:rsidR="004979CF" w:rsidRPr="001737A7">
        <w:t>submi</w:t>
      </w:r>
      <w:r w:rsidR="006C4B76">
        <w:t xml:space="preserve">ssion of </w:t>
      </w:r>
      <w:r w:rsidR="004979CF" w:rsidRPr="001737A7">
        <w:t>new HPMP</w:t>
      </w:r>
      <w:r w:rsidR="00E43941" w:rsidRPr="001737A7">
        <w:t>s</w:t>
      </w:r>
      <w:r w:rsidR="006C4B76">
        <w:t xml:space="preserve"> for Article 5 countries that so request</w:t>
      </w:r>
      <w:r w:rsidR="00562562">
        <w:t xml:space="preserve">; </w:t>
      </w:r>
    </w:p>
    <w:p w14:paraId="456E7BCA" w14:textId="11A0C921" w:rsidR="009364EB" w:rsidRPr="001737A7" w:rsidRDefault="009364EB" w:rsidP="009364EB">
      <w:pPr>
        <w:pStyle w:val="Heading2"/>
      </w:pPr>
      <w:r>
        <w:t>A</w:t>
      </w:r>
      <w:r w:rsidRPr="001737A7">
        <w:t>ssist</w:t>
      </w:r>
      <w:r>
        <w:t xml:space="preserve">ance to the </w:t>
      </w:r>
      <w:r w:rsidRPr="001737A7">
        <w:t>1</w:t>
      </w:r>
      <w:r w:rsidR="00562562">
        <w:t>05 Article </w:t>
      </w:r>
      <w:r>
        <w:t xml:space="preserve">5 </w:t>
      </w:r>
      <w:r w:rsidRPr="001737A7">
        <w:t xml:space="preserve">countries with the implementation, monitoring and reporting of their IS </w:t>
      </w:r>
      <w:r w:rsidRPr="00920A27">
        <w:t>projects, funded under UNEP work programme</w:t>
      </w:r>
      <w:r w:rsidR="00562562" w:rsidRPr="00920A27">
        <w:t>; and</w:t>
      </w:r>
      <w:r w:rsidRPr="00920A27">
        <w:t xml:space="preserve"> </w:t>
      </w:r>
    </w:p>
    <w:p w14:paraId="0EB99F64" w14:textId="2D7F6E8D" w:rsidR="009364EB" w:rsidRDefault="009364EB" w:rsidP="0049386B">
      <w:pPr>
        <w:pStyle w:val="Heading2"/>
      </w:pPr>
      <w:r>
        <w:t>G</w:t>
      </w:r>
      <w:r w:rsidRPr="001737A7">
        <w:t xml:space="preserve">lobal clearinghouse activities through developing publications; organizing international, regional and national fora on matters related to the implementation of the Montreal Protocol; facilitating country-to-country cooperation to address specific needs by </w:t>
      </w:r>
      <w:r w:rsidR="00E60D3C">
        <w:t xml:space="preserve">national ozone units </w:t>
      </w:r>
      <w:r w:rsidRPr="001737A7">
        <w:t>(e.g., technical briefs for alternative refrigerants and technologies</w:t>
      </w:r>
      <w:r>
        <w:t>,</w:t>
      </w:r>
      <w:r w:rsidRPr="001737A7">
        <w:t xml:space="preserve"> case studies on not-in-kind technologies and natural refrigerants for </w:t>
      </w:r>
      <w:r>
        <w:t>high ambient temperature (HAT)</w:t>
      </w:r>
      <w:r w:rsidRPr="001737A7">
        <w:t xml:space="preserve"> countries</w:t>
      </w:r>
      <w:r>
        <w:t>,</w:t>
      </w:r>
      <w:r w:rsidR="00562562">
        <w:t xml:space="preserve"> the food cold chain).</w:t>
      </w:r>
    </w:p>
    <w:p w14:paraId="2082E77E" w14:textId="68EE72FB" w:rsidR="00671A30" w:rsidRPr="007E2E97" w:rsidRDefault="006C4B76" w:rsidP="007E2E97">
      <w:pPr>
        <w:pStyle w:val="Heading1"/>
        <w:rPr>
          <w:lang w:eastAsia="en-GB"/>
        </w:rPr>
      </w:pPr>
      <w:r>
        <w:rPr>
          <w:lang w:eastAsia="en-GB"/>
        </w:rPr>
        <w:t>For 20</w:t>
      </w:r>
      <w:r w:rsidR="00297E94">
        <w:rPr>
          <w:lang w:eastAsia="en-GB"/>
        </w:rPr>
        <w:t>2</w:t>
      </w:r>
      <w:r>
        <w:rPr>
          <w:lang w:eastAsia="en-GB"/>
        </w:rPr>
        <w:t>2,</w:t>
      </w:r>
      <w:r w:rsidR="00671A30">
        <w:rPr>
          <w:lang w:eastAsia="en-GB"/>
        </w:rPr>
        <w:t xml:space="preserve"> UNEP</w:t>
      </w:r>
      <w:r w:rsidR="00E60D3C">
        <w:rPr>
          <w:lang w:eastAsia="en-GB"/>
        </w:rPr>
        <w:t xml:space="preserve"> </w:t>
      </w:r>
      <w:r w:rsidR="00671A30">
        <w:rPr>
          <w:lang w:eastAsia="en-GB"/>
        </w:rPr>
        <w:t xml:space="preserve">CAP proposes to streamline cooperation with the UNEP regional offices </w:t>
      </w:r>
      <w:r w:rsidR="00671A30" w:rsidRPr="009E6686">
        <w:rPr>
          <w:lang w:eastAsia="en-GB"/>
        </w:rPr>
        <w:t xml:space="preserve">with the </w:t>
      </w:r>
      <w:r w:rsidR="00671A30">
        <w:rPr>
          <w:lang w:eastAsia="en-GB"/>
        </w:rPr>
        <w:t>aim</w:t>
      </w:r>
      <w:r w:rsidR="00671A30" w:rsidRPr="009E6686">
        <w:rPr>
          <w:lang w:eastAsia="en-GB"/>
        </w:rPr>
        <w:t xml:space="preserve"> of further enhancing the efficiency of UNEP's delivery of </w:t>
      </w:r>
      <w:r w:rsidR="00671A30">
        <w:rPr>
          <w:lang w:eastAsia="en-GB"/>
        </w:rPr>
        <w:t>its</w:t>
      </w:r>
      <w:r w:rsidR="00671A30" w:rsidRPr="009E6686">
        <w:rPr>
          <w:lang w:eastAsia="en-GB"/>
        </w:rPr>
        <w:t xml:space="preserve"> </w:t>
      </w:r>
      <w:r w:rsidR="00671A30">
        <w:rPr>
          <w:lang w:eastAsia="en-GB"/>
        </w:rPr>
        <w:t>Multilateral Fund</w:t>
      </w:r>
      <w:r w:rsidR="00671A30" w:rsidRPr="009E6686">
        <w:rPr>
          <w:lang w:eastAsia="en-GB"/>
        </w:rPr>
        <w:t xml:space="preserve"> p</w:t>
      </w:r>
      <w:r w:rsidR="00562562">
        <w:rPr>
          <w:lang w:eastAsia="en-GB"/>
        </w:rPr>
        <w:t>rojects and services to Article </w:t>
      </w:r>
      <w:r w:rsidR="00671A30" w:rsidRPr="009E6686">
        <w:rPr>
          <w:lang w:eastAsia="en-GB"/>
        </w:rPr>
        <w:t>5 countries.</w:t>
      </w:r>
      <w:r w:rsidR="00671A30">
        <w:rPr>
          <w:lang w:eastAsia="en-GB"/>
        </w:rPr>
        <w:t xml:space="preserve"> </w:t>
      </w:r>
      <w:r>
        <w:rPr>
          <w:lang w:eastAsia="en-GB"/>
        </w:rPr>
        <w:t>On this basis, i</w:t>
      </w:r>
      <w:r w:rsidR="00671A30">
        <w:rPr>
          <w:lang w:eastAsia="en-GB"/>
        </w:rPr>
        <w:t xml:space="preserve">nternal agreements </w:t>
      </w:r>
      <w:r w:rsidR="006748F5">
        <w:rPr>
          <w:lang w:eastAsia="en-GB"/>
        </w:rPr>
        <w:t xml:space="preserve">covering </w:t>
      </w:r>
      <w:r w:rsidR="006748F5" w:rsidRPr="009E6686">
        <w:rPr>
          <w:lang w:eastAsia="en-GB"/>
        </w:rPr>
        <w:t>financial management, human resources, and project implementation</w:t>
      </w:r>
      <w:r w:rsidR="00E74178">
        <w:rPr>
          <w:lang w:eastAsia="en-GB"/>
        </w:rPr>
        <w:t>,</w:t>
      </w:r>
      <w:r w:rsidR="006748F5">
        <w:rPr>
          <w:lang w:eastAsia="en-GB"/>
        </w:rPr>
        <w:t xml:space="preserve"> </w:t>
      </w:r>
      <w:r w:rsidR="00671A30">
        <w:rPr>
          <w:lang w:eastAsia="en-GB"/>
        </w:rPr>
        <w:t xml:space="preserve">were concluded with the Law Division (where the CAP is administratively </w:t>
      </w:r>
      <w:r w:rsidR="00671A30">
        <w:rPr>
          <w:lang w:eastAsia="en-GB"/>
        </w:rPr>
        <w:lastRenderedPageBreak/>
        <w:t xml:space="preserve">located) </w:t>
      </w:r>
      <w:r w:rsidR="009E1295">
        <w:rPr>
          <w:lang w:eastAsia="en-GB"/>
        </w:rPr>
        <w:t xml:space="preserve">and </w:t>
      </w:r>
      <w:r w:rsidR="00671A30">
        <w:rPr>
          <w:lang w:eastAsia="en-GB"/>
        </w:rPr>
        <w:t>with the regional offices</w:t>
      </w:r>
      <w:r w:rsidR="006748F5">
        <w:rPr>
          <w:lang w:eastAsia="en-GB"/>
        </w:rPr>
        <w:t>,</w:t>
      </w:r>
      <w:r w:rsidR="00671A30">
        <w:rPr>
          <w:lang w:eastAsia="en-GB"/>
        </w:rPr>
        <w:t xml:space="preserve"> </w:t>
      </w:r>
      <w:r w:rsidR="009E1295">
        <w:rPr>
          <w:lang w:eastAsia="en-GB"/>
        </w:rPr>
        <w:t xml:space="preserve">giving </w:t>
      </w:r>
      <w:r w:rsidR="006748F5">
        <w:rPr>
          <w:lang w:eastAsia="en-GB"/>
        </w:rPr>
        <w:t xml:space="preserve">UNEP </w:t>
      </w:r>
      <w:r w:rsidR="009E1295">
        <w:rPr>
          <w:lang w:eastAsia="en-GB"/>
        </w:rPr>
        <w:t xml:space="preserve">CAP </w:t>
      </w:r>
      <w:r w:rsidR="009E1295" w:rsidRPr="009E6686">
        <w:rPr>
          <w:lang w:eastAsia="en-GB"/>
        </w:rPr>
        <w:t>full accountability and oversight of the CAP teams</w:t>
      </w:r>
      <w:r w:rsidR="009E1295">
        <w:rPr>
          <w:lang w:eastAsia="en-GB"/>
        </w:rPr>
        <w:t xml:space="preserve">. </w:t>
      </w:r>
      <w:r w:rsidR="006748F5">
        <w:rPr>
          <w:lang w:eastAsia="en-GB"/>
        </w:rPr>
        <w:t xml:space="preserve">UNEP </w:t>
      </w:r>
      <w:r w:rsidR="009E1295">
        <w:rPr>
          <w:lang w:eastAsia="en-GB"/>
        </w:rPr>
        <w:t xml:space="preserve">Regional Directors will continue to provide high-level support to the CAP regional teams </w:t>
      </w:r>
      <w:r w:rsidR="006748F5">
        <w:rPr>
          <w:lang w:eastAsia="en-GB"/>
        </w:rPr>
        <w:t>as required</w:t>
      </w:r>
      <w:r w:rsidR="009E1295">
        <w:rPr>
          <w:lang w:eastAsia="en-GB"/>
        </w:rPr>
        <w:t>.</w:t>
      </w:r>
    </w:p>
    <w:p w14:paraId="6578EC37" w14:textId="7B41A5CF" w:rsidR="004979CF" w:rsidRPr="00673B8D" w:rsidRDefault="00CE48B4" w:rsidP="00BF027C">
      <w:pPr>
        <w:pStyle w:val="Heading1"/>
        <w:numPr>
          <w:ilvl w:val="0"/>
          <w:numId w:val="0"/>
        </w:numPr>
        <w:rPr>
          <w:u w:val="single"/>
          <w:lang w:val="en-US"/>
        </w:rPr>
      </w:pPr>
      <w:r w:rsidRPr="00CE48B4">
        <w:rPr>
          <w:u w:val="single"/>
          <w:lang w:val="en-US"/>
        </w:rPr>
        <w:t xml:space="preserve">Changes in the </w:t>
      </w:r>
      <w:r w:rsidRPr="00673B8D">
        <w:rPr>
          <w:u w:val="single"/>
          <w:lang w:val="en-US"/>
        </w:rPr>
        <w:t xml:space="preserve">CAP </w:t>
      </w:r>
      <w:r w:rsidRPr="00E17C19">
        <w:rPr>
          <w:u w:val="single"/>
          <w:lang w:val="en-US"/>
        </w:rPr>
        <w:t>2022</w:t>
      </w:r>
      <w:r w:rsidR="004979CF" w:rsidRPr="00E17C19">
        <w:rPr>
          <w:u w:val="single"/>
          <w:lang w:val="en-US"/>
        </w:rPr>
        <w:t xml:space="preserve"> </w:t>
      </w:r>
      <w:r w:rsidR="004979CF" w:rsidRPr="00673B8D">
        <w:rPr>
          <w:u w:val="single"/>
          <w:lang w:val="en-US"/>
        </w:rPr>
        <w:t>budget</w:t>
      </w:r>
    </w:p>
    <w:p w14:paraId="1B444DCA" w14:textId="7D927C48" w:rsidR="004E6C9B" w:rsidRPr="00673B8D" w:rsidRDefault="004979CF" w:rsidP="004E6C9B">
      <w:pPr>
        <w:pStyle w:val="Heading1"/>
        <w:rPr>
          <w:lang w:val="en-US"/>
        </w:rPr>
      </w:pPr>
      <w:r w:rsidRPr="00673B8D">
        <w:rPr>
          <w:lang w:val="en-US"/>
        </w:rPr>
        <w:t xml:space="preserve">The CAP budget for </w:t>
      </w:r>
      <w:r w:rsidRPr="00E17C19">
        <w:rPr>
          <w:lang w:val="en-US"/>
        </w:rPr>
        <w:t>202</w:t>
      </w:r>
      <w:r w:rsidR="00CE48B4" w:rsidRPr="00E17C19">
        <w:rPr>
          <w:lang w:val="en-US"/>
        </w:rPr>
        <w:t>2</w:t>
      </w:r>
      <w:r w:rsidRPr="00E17C19">
        <w:rPr>
          <w:lang w:val="en-US"/>
        </w:rPr>
        <w:t xml:space="preserve"> of </w:t>
      </w:r>
      <w:r w:rsidR="0016667D">
        <w:rPr>
          <w:lang w:val="en-US"/>
        </w:rPr>
        <w:t>US $</w:t>
      </w:r>
      <w:r w:rsidR="00CE48B4" w:rsidRPr="00E17C19">
        <w:rPr>
          <w:lang w:val="en-US"/>
        </w:rPr>
        <w:t>9,988,9</w:t>
      </w:r>
      <w:r w:rsidRPr="00E17C19">
        <w:rPr>
          <w:lang w:val="en-US"/>
        </w:rPr>
        <w:t xml:space="preserve">00, plus agency support costs of </w:t>
      </w:r>
      <w:r w:rsidR="0016667D">
        <w:rPr>
          <w:lang w:val="en-US"/>
        </w:rPr>
        <w:t>US $</w:t>
      </w:r>
      <w:r w:rsidR="00CE48B4" w:rsidRPr="00E17C19">
        <w:rPr>
          <w:lang w:val="en-US"/>
        </w:rPr>
        <w:t>799,112</w:t>
      </w:r>
      <w:r w:rsidRPr="00E17C19">
        <w:rPr>
          <w:lang w:val="en-US"/>
        </w:rPr>
        <w:t xml:space="preserve"> is </w:t>
      </w:r>
      <w:r w:rsidR="00562562">
        <w:rPr>
          <w:lang w:val="en-US"/>
        </w:rPr>
        <w:t>contained in Annex </w:t>
      </w:r>
      <w:r w:rsidRPr="00673B8D">
        <w:rPr>
          <w:lang w:val="en-US"/>
        </w:rPr>
        <w:t xml:space="preserve">1 of the submission. The overall CAP budget request is </w:t>
      </w:r>
      <w:r w:rsidR="004E6C9B" w:rsidRPr="00E17C19">
        <w:rPr>
          <w:lang w:val="en-US"/>
        </w:rPr>
        <w:t>0.15 per</w:t>
      </w:r>
      <w:r w:rsidR="00410D9E">
        <w:rPr>
          <w:lang w:val="en-US"/>
        </w:rPr>
        <w:t xml:space="preserve"> </w:t>
      </w:r>
      <w:r w:rsidR="004E6C9B" w:rsidRPr="00E17C19">
        <w:rPr>
          <w:lang w:val="en-US"/>
        </w:rPr>
        <w:t>cent</w:t>
      </w:r>
      <w:r w:rsidR="00CE48B4" w:rsidRPr="00E17C19">
        <w:rPr>
          <w:lang w:val="en-US"/>
        </w:rPr>
        <w:t xml:space="preserve"> higher than </w:t>
      </w:r>
      <w:r w:rsidR="00CE48B4" w:rsidRPr="00673B8D">
        <w:rPr>
          <w:lang w:val="en-US"/>
        </w:rPr>
        <w:t xml:space="preserve">the </w:t>
      </w:r>
      <w:r w:rsidR="006748F5">
        <w:rPr>
          <w:lang w:val="en-US"/>
        </w:rPr>
        <w:t xml:space="preserve">budget </w:t>
      </w:r>
      <w:r w:rsidR="004E6C9B" w:rsidRPr="00673B8D">
        <w:rPr>
          <w:lang w:val="en-US"/>
        </w:rPr>
        <w:t xml:space="preserve">approved in </w:t>
      </w:r>
      <w:r w:rsidR="00CE48B4" w:rsidRPr="00673B8D">
        <w:rPr>
          <w:lang w:val="en-US"/>
        </w:rPr>
        <w:t>2021</w:t>
      </w:r>
      <w:r w:rsidR="004E6C9B" w:rsidRPr="00673B8D">
        <w:rPr>
          <w:lang w:val="en-US"/>
        </w:rPr>
        <w:t xml:space="preserve"> </w:t>
      </w:r>
      <w:r w:rsidR="004E6C9B" w:rsidRPr="00E17C19">
        <w:rPr>
          <w:lang w:val="en-US"/>
        </w:rPr>
        <w:t xml:space="preserve">(i.e., </w:t>
      </w:r>
      <w:r w:rsidR="0016667D">
        <w:rPr>
          <w:lang w:val="en-US"/>
        </w:rPr>
        <w:t>US $</w:t>
      </w:r>
      <w:r w:rsidR="004E6C9B" w:rsidRPr="00E17C19">
        <w:rPr>
          <w:lang w:val="en-US"/>
        </w:rPr>
        <w:t xml:space="preserve">9,974,000, plus support costs of </w:t>
      </w:r>
      <w:r w:rsidR="0016667D">
        <w:rPr>
          <w:lang w:val="en-US"/>
        </w:rPr>
        <w:t>US $</w:t>
      </w:r>
      <w:r w:rsidR="004E6C9B" w:rsidRPr="00E17C19">
        <w:rPr>
          <w:lang w:val="en-US"/>
        </w:rPr>
        <w:t>797,920)</w:t>
      </w:r>
      <w:r w:rsidR="006C57B5" w:rsidRPr="00E17C19">
        <w:rPr>
          <w:lang w:val="en-US"/>
        </w:rPr>
        <w:t xml:space="preserve">, </w:t>
      </w:r>
      <w:r w:rsidR="004E6C9B" w:rsidRPr="00E17C19">
        <w:rPr>
          <w:lang w:val="en-US"/>
        </w:rPr>
        <w:t>with a 1.6</w:t>
      </w:r>
      <w:r w:rsidR="00410D9E">
        <w:rPr>
          <w:lang w:val="en-US"/>
        </w:rPr>
        <w:t>3</w:t>
      </w:r>
      <w:r w:rsidR="00562562">
        <w:rPr>
          <w:lang w:val="en-US"/>
        </w:rPr>
        <w:t> </w:t>
      </w:r>
      <w:r w:rsidR="004E6C9B" w:rsidRPr="00E17C19">
        <w:rPr>
          <w:lang w:val="en-US"/>
        </w:rPr>
        <w:t>per</w:t>
      </w:r>
      <w:r w:rsidR="00562562">
        <w:rPr>
          <w:lang w:val="en-US"/>
        </w:rPr>
        <w:t> </w:t>
      </w:r>
      <w:r w:rsidR="004E6C9B" w:rsidRPr="00E17C19">
        <w:rPr>
          <w:lang w:val="en-US"/>
        </w:rPr>
        <w:t xml:space="preserve">cent increase </w:t>
      </w:r>
      <w:r w:rsidR="00A16F38">
        <w:rPr>
          <w:lang w:val="en-US"/>
        </w:rPr>
        <w:t>in</w:t>
      </w:r>
      <w:r w:rsidR="00A16F38" w:rsidRPr="00E17C19">
        <w:rPr>
          <w:lang w:val="en-US"/>
        </w:rPr>
        <w:t xml:space="preserve"> </w:t>
      </w:r>
      <w:r w:rsidR="004E6C9B" w:rsidRPr="00E17C19">
        <w:rPr>
          <w:lang w:val="en-US"/>
        </w:rPr>
        <w:t>staff costs (</w:t>
      </w:r>
      <w:r w:rsidR="006748F5">
        <w:rPr>
          <w:lang w:val="en-US"/>
        </w:rPr>
        <w:t xml:space="preserve">i.e., </w:t>
      </w:r>
      <w:r w:rsidR="0016667D">
        <w:rPr>
          <w:lang w:val="en-US"/>
        </w:rPr>
        <w:t>US $</w:t>
      </w:r>
      <w:r w:rsidR="004E6C9B" w:rsidRPr="00E17C19">
        <w:rPr>
          <w:lang w:val="en-US"/>
        </w:rPr>
        <w:t xml:space="preserve">114,900) </w:t>
      </w:r>
      <w:r w:rsidR="00A16F38">
        <w:rPr>
          <w:lang w:val="en-US"/>
        </w:rPr>
        <w:t>to cover</w:t>
      </w:r>
      <w:r w:rsidR="00A16F38" w:rsidRPr="00A16F38">
        <w:rPr>
          <w:lang w:val="en-US"/>
        </w:rPr>
        <w:t xml:space="preserve"> inflation</w:t>
      </w:r>
      <w:r w:rsidR="004E6C9B" w:rsidRPr="00E17C19">
        <w:rPr>
          <w:lang w:val="en-US"/>
        </w:rPr>
        <w:t xml:space="preserve"> and adjustments to some posts based on expanded roles and responsibilities.</w:t>
      </w:r>
      <w:r w:rsidR="00A16F38">
        <w:rPr>
          <w:lang w:val="en-US"/>
        </w:rPr>
        <w:t xml:space="preserve"> The overall CAP budget </w:t>
      </w:r>
      <w:r w:rsidR="008E094C">
        <w:rPr>
          <w:lang w:val="en-US"/>
        </w:rPr>
        <w:t xml:space="preserve">request </w:t>
      </w:r>
      <w:r w:rsidR="00A16F38">
        <w:rPr>
          <w:lang w:val="en-US"/>
        </w:rPr>
        <w:t xml:space="preserve">is </w:t>
      </w:r>
      <w:r w:rsidR="00A16F38" w:rsidRPr="00A16F38">
        <w:rPr>
          <w:lang w:val="en-US"/>
        </w:rPr>
        <w:t>below the maximum 3</w:t>
      </w:r>
      <w:r w:rsidR="00562562">
        <w:rPr>
          <w:lang w:val="en-US"/>
        </w:rPr>
        <w:t> per </w:t>
      </w:r>
      <w:r w:rsidR="00A16F38">
        <w:rPr>
          <w:lang w:val="en-US"/>
        </w:rPr>
        <w:t>cent</w:t>
      </w:r>
      <w:r w:rsidR="0016667D">
        <w:rPr>
          <w:lang w:val="en-US"/>
        </w:rPr>
        <w:t xml:space="preserve"> </w:t>
      </w:r>
      <w:r w:rsidR="00A16F38" w:rsidRPr="00A16F38">
        <w:rPr>
          <w:lang w:val="en-US"/>
        </w:rPr>
        <w:t xml:space="preserve">increase limit that is allowed </w:t>
      </w:r>
      <w:r w:rsidR="008B7B3C">
        <w:rPr>
          <w:lang w:val="en-US"/>
        </w:rPr>
        <w:t>by d</w:t>
      </w:r>
      <w:r w:rsidR="00A16F38" w:rsidRPr="00A16F38">
        <w:rPr>
          <w:lang w:val="en-US"/>
        </w:rPr>
        <w:t>ecision</w:t>
      </w:r>
      <w:r w:rsidR="0016667D">
        <w:rPr>
          <w:lang w:val="en-US"/>
        </w:rPr>
        <w:t xml:space="preserve"> </w:t>
      </w:r>
      <w:r w:rsidR="00A16F38" w:rsidRPr="00A16F38">
        <w:rPr>
          <w:lang w:val="en-US"/>
        </w:rPr>
        <w:t>47/24(a)(iii)</w:t>
      </w:r>
      <w:r w:rsidR="00A16F38">
        <w:rPr>
          <w:lang w:val="en-US"/>
        </w:rPr>
        <w:t>.</w:t>
      </w:r>
      <w:r w:rsidR="00A16F38">
        <w:rPr>
          <w:rStyle w:val="FootnoteReference"/>
          <w:lang w:val="en-US"/>
        </w:rPr>
        <w:footnoteReference w:id="7"/>
      </w:r>
    </w:p>
    <w:p w14:paraId="1E077BF1" w14:textId="1D5DA024" w:rsidR="004979CF" w:rsidRPr="00E17C19" w:rsidRDefault="004979CF" w:rsidP="0016667D">
      <w:pPr>
        <w:pStyle w:val="Heading1"/>
        <w:widowControl w:val="0"/>
        <w:numPr>
          <w:ilvl w:val="0"/>
          <w:numId w:val="0"/>
        </w:numPr>
        <w:rPr>
          <w:i/>
          <w:lang w:val="en-US"/>
        </w:rPr>
      </w:pPr>
      <w:r w:rsidRPr="00E17C19">
        <w:rPr>
          <w:i/>
          <w:lang w:val="en-US"/>
        </w:rPr>
        <w:t>Changes in CAP staff</w:t>
      </w:r>
      <w:r w:rsidRPr="00E17C19">
        <w:rPr>
          <w:rStyle w:val="FootnoteReference"/>
          <w:i/>
          <w:lang w:val="en-US"/>
        </w:rPr>
        <w:footnoteReference w:id="8"/>
      </w:r>
      <w:r w:rsidRPr="00E17C19">
        <w:rPr>
          <w:i/>
          <w:lang w:val="en-US"/>
        </w:rPr>
        <w:t xml:space="preserve"> </w:t>
      </w:r>
    </w:p>
    <w:p w14:paraId="202A7DEE" w14:textId="2D20763D" w:rsidR="004979CF" w:rsidRPr="00E17C19" w:rsidRDefault="004979CF" w:rsidP="0016667D">
      <w:pPr>
        <w:pStyle w:val="Heading1"/>
        <w:widowControl w:val="0"/>
        <w:rPr>
          <w:lang w:val="en-US"/>
        </w:rPr>
      </w:pPr>
      <w:r w:rsidRPr="00E17C19">
        <w:rPr>
          <w:lang w:val="en-US"/>
        </w:rPr>
        <w:t>UNEP indicated progress in filling vacant posts since the 8</w:t>
      </w:r>
      <w:r w:rsidR="00B45DF9" w:rsidRPr="00E17C19">
        <w:rPr>
          <w:lang w:val="en-US"/>
        </w:rPr>
        <w:t>6</w:t>
      </w:r>
      <w:r w:rsidRPr="00E17C19">
        <w:rPr>
          <w:vertAlign w:val="superscript"/>
          <w:lang w:val="en-US"/>
        </w:rPr>
        <w:t>th</w:t>
      </w:r>
      <w:r w:rsidR="00B55D38" w:rsidRPr="00E17C19">
        <w:rPr>
          <w:lang w:val="en-US"/>
        </w:rPr>
        <w:t xml:space="preserve"> </w:t>
      </w:r>
      <w:r w:rsidRPr="00E17C19">
        <w:rPr>
          <w:lang w:val="en-US"/>
        </w:rPr>
        <w:t>meeting with only f</w:t>
      </w:r>
      <w:r w:rsidR="00B45DF9" w:rsidRPr="00E17C19">
        <w:rPr>
          <w:lang w:val="en-US"/>
        </w:rPr>
        <w:t>ive</w:t>
      </w:r>
      <w:r w:rsidRPr="00E17C19">
        <w:rPr>
          <w:lang w:val="en-US"/>
        </w:rPr>
        <w:t xml:space="preserve"> out </w:t>
      </w:r>
      <w:r w:rsidR="009D7475" w:rsidRPr="00E17C19">
        <w:rPr>
          <w:lang w:val="en-US"/>
        </w:rPr>
        <w:t>of 1</w:t>
      </w:r>
      <w:r w:rsidR="00B45DF9" w:rsidRPr="00E17C19">
        <w:rPr>
          <w:lang w:val="en-US"/>
        </w:rPr>
        <w:t>2</w:t>
      </w:r>
      <w:r w:rsidR="00D3297F" w:rsidRPr="00E17C19">
        <w:rPr>
          <w:lang w:val="en-US"/>
        </w:rPr>
        <w:t> </w:t>
      </w:r>
      <w:r w:rsidR="009D7475" w:rsidRPr="00E17C19">
        <w:rPr>
          <w:lang w:val="en-US"/>
        </w:rPr>
        <w:t>vacant posts</w:t>
      </w:r>
      <w:r w:rsidRPr="00E17C19">
        <w:rPr>
          <w:lang w:val="en-US"/>
        </w:rPr>
        <w:t xml:space="preserve"> remaining to be filled</w:t>
      </w:r>
      <w:r w:rsidR="008E094C">
        <w:rPr>
          <w:lang w:val="en-US"/>
        </w:rPr>
        <w:t>.</w:t>
      </w:r>
      <w:r w:rsidR="00B45DF9" w:rsidRPr="00E17C19">
        <w:rPr>
          <w:lang w:val="en-US"/>
        </w:rPr>
        <w:t xml:space="preserve"> </w:t>
      </w:r>
      <w:r w:rsidR="008E094C">
        <w:rPr>
          <w:lang w:val="en-US"/>
        </w:rPr>
        <w:t>O</w:t>
      </w:r>
      <w:r w:rsidR="00B45DF9" w:rsidRPr="00E17C19">
        <w:rPr>
          <w:lang w:val="en-US"/>
        </w:rPr>
        <w:t xml:space="preserve">ne </w:t>
      </w:r>
      <w:r w:rsidR="008E094C">
        <w:rPr>
          <w:lang w:val="en-US"/>
        </w:rPr>
        <w:t xml:space="preserve">post </w:t>
      </w:r>
      <w:r w:rsidR="00B45DF9" w:rsidRPr="00E17C19">
        <w:rPr>
          <w:lang w:val="en-US"/>
        </w:rPr>
        <w:t xml:space="preserve">has been frozen with the </w:t>
      </w:r>
      <w:r w:rsidR="00B45DF9" w:rsidRPr="00673B8D">
        <w:rPr>
          <w:lang w:val="en-US"/>
        </w:rPr>
        <w:t xml:space="preserve">budget line reduced to </w:t>
      </w:r>
      <w:r w:rsidR="00F9119F" w:rsidRPr="00673B8D">
        <w:rPr>
          <w:lang w:val="en-US"/>
        </w:rPr>
        <w:t>zero</w:t>
      </w:r>
      <w:r w:rsidR="00F9119F">
        <w:rPr>
          <w:lang w:val="en-US"/>
        </w:rPr>
        <w:t xml:space="preserve">, </w:t>
      </w:r>
      <w:r w:rsidR="006E1131">
        <w:rPr>
          <w:lang w:val="en-US"/>
        </w:rPr>
        <w:t>which will</w:t>
      </w:r>
      <w:r w:rsidR="00B45DF9" w:rsidRPr="00673B8D">
        <w:rPr>
          <w:lang w:val="en-US"/>
        </w:rPr>
        <w:t xml:space="preserve"> be revisited</w:t>
      </w:r>
      <w:r w:rsidR="00B45DF9" w:rsidRPr="00E17C19">
        <w:rPr>
          <w:lang w:val="en-US"/>
        </w:rPr>
        <w:t xml:space="preserve"> </w:t>
      </w:r>
      <w:r w:rsidR="00F9119F">
        <w:rPr>
          <w:lang w:val="en-US"/>
        </w:rPr>
        <w:t>when</w:t>
      </w:r>
      <w:r w:rsidR="00B45DF9" w:rsidRPr="00E17C19">
        <w:rPr>
          <w:lang w:val="en-US"/>
        </w:rPr>
        <w:t xml:space="preserve"> the CAP 2023 b</w:t>
      </w:r>
      <w:r w:rsidR="00B45DF9" w:rsidRPr="00673B8D">
        <w:rPr>
          <w:lang w:val="en-US"/>
        </w:rPr>
        <w:t xml:space="preserve">udget </w:t>
      </w:r>
      <w:r w:rsidR="00B304F5" w:rsidRPr="00673B8D">
        <w:rPr>
          <w:lang w:val="en-US"/>
        </w:rPr>
        <w:t>proposal</w:t>
      </w:r>
      <w:r w:rsidR="00F9119F">
        <w:rPr>
          <w:lang w:val="en-US"/>
        </w:rPr>
        <w:t xml:space="preserve"> is prepared</w:t>
      </w:r>
      <w:r w:rsidRPr="00E17C19">
        <w:rPr>
          <w:lang w:val="en-US"/>
        </w:rPr>
        <w:t>. During the period while posts were being filled</w:t>
      </w:r>
      <w:r w:rsidR="00B83CB5" w:rsidRPr="00E17C19">
        <w:rPr>
          <w:lang w:val="en-US"/>
        </w:rPr>
        <w:t>,</w:t>
      </w:r>
      <w:r w:rsidRPr="00E17C19">
        <w:rPr>
          <w:lang w:val="en-US"/>
        </w:rPr>
        <w:t xml:space="preserve"> interim measures have enabled CAP to continue delivering its activities and services.</w:t>
      </w:r>
    </w:p>
    <w:p w14:paraId="192DE1D7" w14:textId="21F6CB30" w:rsidR="004979CF" w:rsidRPr="007E5B55" w:rsidRDefault="004979CF" w:rsidP="0049386B">
      <w:pPr>
        <w:pStyle w:val="Heading1"/>
        <w:keepNext/>
        <w:numPr>
          <w:ilvl w:val="0"/>
          <w:numId w:val="0"/>
        </w:numPr>
        <w:rPr>
          <w:lang w:val="en-US"/>
        </w:rPr>
      </w:pPr>
      <w:r w:rsidRPr="007E5B55">
        <w:rPr>
          <w:i/>
          <w:lang w:val="en-US"/>
        </w:rPr>
        <w:t>Changes in the programmatic budget</w:t>
      </w:r>
      <w:r w:rsidRPr="007E5B55">
        <w:rPr>
          <w:rStyle w:val="FootnoteReference"/>
          <w:lang w:val="en-US"/>
        </w:rPr>
        <w:footnoteReference w:id="9"/>
      </w:r>
    </w:p>
    <w:p w14:paraId="103DA86F" w14:textId="6F0E38F7" w:rsidR="004979CF" w:rsidRPr="007E5B55" w:rsidRDefault="004979CF" w:rsidP="0049386B">
      <w:pPr>
        <w:pStyle w:val="Heading1"/>
        <w:keepNext/>
        <w:rPr>
          <w:lang w:val="en-US"/>
        </w:rPr>
      </w:pPr>
      <w:r w:rsidRPr="007E5B55">
        <w:rPr>
          <w:lang w:val="en-US"/>
        </w:rPr>
        <w:t>The following reallocations were proposed</w:t>
      </w:r>
      <w:r w:rsidR="00F23490" w:rsidRPr="007E5B55">
        <w:rPr>
          <w:lang w:val="en-US"/>
        </w:rPr>
        <w:t xml:space="preserve"> to the budget lines </w:t>
      </w:r>
      <w:r w:rsidR="00F36C7C" w:rsidRPr="007E5B55">
        <w:rPr>
          <w:lang w:val="en-US"/>
        </w:rPr>
        <w:t xml:space="preserve">(BLs) </w:t>
      </w:r>
      <w:r w:rsidR="00F23490" w:rsidRPr="007E5B55">
        <w:rPr>
          <w:lang w:val="en-US"/>
        </w:rPr>
        <w:t xml:space="preserve">under the main item </w:t>
      </w:r>
      <w:r w:rsidR="006748F5">
        <w:rPr>
          <w:lang w:val="en-US"/>
        </w:rPr>
        <w:t>“</w:t>
      </w:r>
      <w:r w:rsidR="002A47A3" w:rsidRPr="007E5B55">
        <w:rPr>
          <w:lang w:val="en-US"/>
        </w:rPr>
        <w:t>g</w:t>
      </w:r>
      <w:r w:rsidR="00F23490" w:rsidRPr="007E5B55">
        <w:rPr>
          <w:lang w:val="en-US"/>
        </w:rPr>
        <w:t xml:space="preserve">lobal </w:t>
      </w:r>
      <w:r w:rsidR="00B83CB5" w:rsidRPr="007E5B55">
        <w:rPr>
          <w:lang w:val="en-US"/>
        </w:rPr>
        <w:t>s</w:t>
      </w:r>
      <w:r w:rsidR="00F23490" w:rsidRPr="007E5B55">
        <w:rPr>
          <w:lang w:val="en-US"/>
        </w:rPr>
        <w:t>ervices</w:t>
      </w:r>
      <w:r w:rsidR="006748F5">
        <w:rPr>
          <w:lang w:val="en-US"/>
        </w:rPr>
        <w:t>”</w:t>
      </w:r>
      <w:r w:rsidRPr="007E5B55">
        <w:rPr>
          <w:lang w:val="en-US"/>
        </w:rPr>
        <w:t>:</w:t>
      </w:r>
    </w:p>
    <w:p w14:paraId="2A1A0434" w14:textId="53215873" w:rsidR="00303A23" w:rsidRPr="00920A27" w:rsidRDefault="00303A23" w:rsidP="00303A23">
      <w:pPr>
        <w:pStyle w:val="Heading2"/>
        <w:rPr>
          <w:lang w:val="en-US"/>
        </w:rPr>
      </w:pPr>
      <w:r w:rsidRPr="00920A27">
        <w:t>Advisory and consultat</w:t>
      </w:r>
      <w:r w:rsidR="00D63768" w:rsidRPr="00920A27">
        <w:t>ive meetings and stakeholder</w:t>
      </w:r>
      <w:r w:rsidRPr="00920A27">
        <w:t xml:space="preserve"> w</w:t>
      </w:r>
      <w:r w:rsidR="007E5B55" w:rsidRPr="00920A27">
        <w:t>orkshops</w:t>
      </w:r>
      <w:r w:rsidR="004979CF" w:rsidRPr="00920A27">
        <w:t xml:space="preserve"> (BL </w:t>
      </w:r>
      <w:r w:rsidRPr="00920A27">
        <w:t>4210</w:t>
      </w:r>
      <w:r w:rsidR="004979CF" w:rsidRPr="00920A27">
        <w:t xml:space="preserve">) </w:t>
      </w:r>
      <w:r w:rsidR="00F9119F" w:rsidRPr="00920A27">
        <w:t>at</w:t>
      </w:r>
      <w:r w:rsidR="00261971" w:rsidRPr="00920A27">
        <w:t xml:space="preserve"> </w:t>
      </w:r>
      <w:r w:rsidR="0016667D" w:rsidRPr="00920A27">
        <w:t>US $</w:t>
      </w:r>
      <w:r w:rsidRPr="00920A27">
        <w:t>20</w:t>
      </w:r>
      <w:r w:rsidR="004979CF" w:rsidRPr="00920A27">
        <w:t xml:space="preserve">,000 </w:t>
      </w:r>
      <w:r w:rsidR="00F9119F" w:rsidRPr="00920A27">
        <w:t xml:space="preserve">(a decrease of </w:t>
      </w:r>
      <w:r w:rsidR="0016667D" w:rsidRPr="00920A27">
        <w:t>US $</w:t>
      </w:r>
      <w:r w:rsidR="00261971" w:rsidRPr="00920A27">
        <w:t>1</w:t>
      </w:r>
      <w:r w:rsidR="00F9119F" w:rsidRPr="00920A27">
        <w:t>2</w:t>
      </w:r>
      <w:r w:rsidR="00261971" w:rsidRPr="00920A27">
        <w:t>5,000</w:t>
      </w:r>
      <w:r w:rsidR="00F36C7C" w:rsidRPr="00920A27">
        <w:t xml:space="preserve"> compare</w:t>
      </w:r>
      <w:r w:rsidR="00F322CB" w:rsidRPr="00920A27">
        <w:t>d</w:t>
      </w:r>
      <w:r w:rsidRPr="00920A27">
        <w:t xml:space="preserve"> to 2021</w:t>
      </w:r>
      <w:r w:rsidR="00F9119F" w:rsidRPr="00920A27">
        <w:t>)</w:t>
      </w:r>
      <w:r w:rsidR="00954750" w:rsidRPr="00920A27">
        <w:t xml:space="preserve"> </w:t>
      </w:r>
      <w:r w:rsidRPr="00920A27">
        <w:t xml:space="preserve">due </w:t>
      </w:r>
      <w:r w:rsidR="00F36C7C" w:rsidRPr="00920A27">
        <w:t xml:space="preserve">to </w:t>
      </w:r>
      <w:r w:rsidR="006748F5" w:rsidRPr="00920A27">
        <w:rPr>
          <w:lang w:val="en-US"/>
        </w:rPr>
        <w:t xml:space="preserve">limitations in holding </w:t>
      </w:r>
      <w:r w:rsidRPr="00920A27">
        <w:rPr>
          <w:lang w:val="en-US"/>
        </w:rPr>
        <w:t xml:space="preserve">physical meetings </w:t>
      </w:r>
      <w:r w:rsidR="00261971" w:rsidRPr="00920A27">
        <w:rPr>
          <w:lang w:val="en-US"/>
        </w:rPr>
        <w:t>because of the</w:t>
      </w:r>
      <w:r w:rsidRPr="00920A27">
        <w:rPr>
          <w:lang w:val="en-US"/>
        </w:rPr>
        <w:t xml:space="preserve"> COVID-19 pandemic</w:t>
      </w:r>
      <w:r w:rsidR="00F9119F" w:rsidRPr="00920A27">
        <w:rPr>
          <w:lang w:val="en-US"/>
        </w:rPr>
        <w:t>;</w:t>
      </w:r>
      <w:r w:rsidRPr="00920A27">
        <w:rPr>
          <w:lang w:val="en-US"/>
        </w:rPr>
        <w:t xml:space="preserve"> </w:t>
      </w:r>
      <w:r w:rsidR="00261971" w:rsidRPr="00920A27">
        <w:rPr>
          <w:lang w:val="en-US"/>
        </w:rPr>
        <w:t>this</w:t>
      </w:r>
      <w:r w:rsidRPr="00920A27">
        <w:rPr>
          <w:lang w:val="en-US"/>
        </w:rPr>
        <w:t xml:space="preserve"> </w:t>
      </w:r>
      <w:r w:rsidR="006748F5" w:rsidRPr="00920A27">
        <w:rPr>
          <w:lang w:val="en-US"/>
        </w:rPr>
        <w:t xml:space="preserve">reduced budget is requested </w:t>
      </w:r>
      <w:r w:rsidRPr="00920A27">
        <w:rPr>
          <w:lang w:val="en-US"/>
        </w:rPr>
        <w:t xml:space="preserve">for stakeholder workshops in the second half of 2022. The balance </w:t>
      </w:r>
      <w:r w:rsidR="00001B93" w:rsidRPr="00920A27">
        <w:rPr>
          <w:lang w:val="en-US"/>
        </w:rPr>
        <w:t>(i.e., US $1</w:t>
      </w:r>
      <w:r w:rsidR="00A33817" w:rsidRPr="00920A27">
        <w:rPr>
          <w:lang w:val="en-US"/>
        </w:rPr>
        <w:t>2</w:t>
      </w:r>
      <w:r w:rsidR="00001B93" w:rsidRPr="00920A27">
        <w:rPr>
          <w:lang w:val="en-US"/>
        </w:rPr>
        <w:t xml:space="preserve">5,000) </w:t>
      </w:r>
      <w:r w:rsidRPr="00920A27">
        <w:rPr>
          <w:lang w:val="en-US"/>
        </w:rPr>
        <w:t>ha</w:t>
      </w:r>
      <w:r w:rsidR="00001B93" w:rsidRPr="00920A27">
        <w:rPr>
          <w:lang w:val="en-US"/>
        </w:rPr>
        <w:t>s</w:t>
      </w:r>
      <w:r w:rsidRPr="00920A27">
        <w:rPr>
          <w:lang w:val="en-US"/>
        </w:rPr>
        <w:t xml:space="preserve"> been </w:t>
      </w:r>
      <w:r w:rsidR="00F9119F" w:rsidRPr="00920A27">
        <w:rPr>
          <w:lang w:val="en-US"/>
        </w:rPr>
        <w:t>reallocated</w:t>
      </w:r>
      <w:r w:rsidRPr="00920A27">
        <w:rPr>
          <w:lang w:val="en-US"/>
        </w:rPr>
        <w:t xml:space="preserve"> to translation </w:t>
      </w:r>
      <w:r w:rsidR="00AB1134" w:rsidRPr="00920A27">
        <w:rPr>
          <w:lang w:val="en-US"/>
        </w:rPr>
        <w:t>and outreach (</w:t>
      </w:r>
      <w:r w:rsidRPr="00920A27">
        <w:rPr>
          <w:lang w:val="en-US"/>
        </w:rPr>
        <w:t>BL 3212</w:t>
      </w:r>
      <w:r w:rsidR="00AB1134" w:rsidRPr="00920A27">
        <w:rPr>
          <w:lang w:val="en-US"/>
        </w:rPr>
        <w:t>)</w:t>
      </w:r>
      <w:r w:rsidR="0048381A" w:rsidRPr="00920A27">
        <w:rPr>
          <w:lang w:val="en-US"/>
        </w:rPr>
        <w:t>,</w:t>
      </w:r>
      <w:r w:rsidRPr="00920A27">
        <w:rPr>
          <w:lang w:val="en-US"/>
        </w:rPr>
        <w:t xml:space="preserve"> and to staffing </w:t>
      </w:r>
      <w:r w:rsidR="00AB1134" w:rsidRPr="00920A27">
        <w:rPr>
          <w:lang w:val="en-US"/>
        </w:rPr>
        <w:t>(various BLs)</w:t>
      </w:r>
      <w:r w:rsidRPr="00920A27">
        <w:rPr>
          <w:lang w:val="en-US"/>
        </w:rPr>
        <w:t xml:space="preserve"> </w:t>
      </w:r>
      <w:r w:rsidR="001F01DC" w:rsidRPr="00920A27">
        <w:rPr>
          <w:lang w:val="en-US"/>
        </w:rPr>
        <w:t>on an exceptional basis</w:t>
      </w:r>
      <w:r w:rsidR="00AB1134" w:rsidRPr="00920A27">
        <w:rPr>
          <w:lang w:val="en-US"/>
        </w:rPr>
        <w:t>,</w:t>
      </w:r>
      <w:r w:rsidR="001F01DC" w:rsidRPr="00920A27">
        <w:rPr>
          <w:lang w:val="en-US"/>
        </w:rPr>
        <w:t xml:space="preserve"> to accommodate the</w:t>
      </w:r>
      <w:r w:rsidRPr="00920A27">
        <w:rPr>
          <w:lang w:val="en-US"/>
        </w:rPr>
        <w:t xml:space="preserve"> programme</w:t>
      </w:r>
      <w:r w:rsidR="00AB1134" w:rsidRPr="00920A27">
        <w:rPr>
          <w:lang w:val="en-US"/>
        </w:rPr>
        <w:t>’</w:t>
      </w:r>
      <w:r w:rsidRPr="00920A27">
        <w:rPr>
          <w:lang w:val="en-US"/>
        </w:rPr>
        <w:t>s current need</w:t>
      </w:r>
      <w:r w:rsidR="009A6A20" w:rsidRPr="00920A27">
        <w:rPr>
          <w:lang w:val="en-US"/>
        </w:rPr>
        <w:t xml:space="preserve"> for more translated materials requested by</w:t>
      </w:r>
      <w:r w:rsidR="008D4D3E" w:rsidRPr="00920A27">
        <w:rPr>
          <w:lang w:val="en-US"/>
        </w:rPr>
        <w:t xml:space="preserve"> </w:t>
      </w:r>
      <w:r w:rsidR="009A6A20" w:rsidRPr="00920A27">
        <w:rPr>
          <w:lang w:val="en-US"/>
        </w:rPr>
        <w:t>Article</w:t>
      </w:r>
      <w:r w:rsidR="00920A27">
        <w:rPr>
          <w:lang w:val="en-US"/>
        </w:rPr>
        <w:t> </w:t>
      </w:r>
      <w:r w:rsidR="009A6A20" w:rsidRPr="00920A27">
        <w:rPr>
          <w:lang w:val="en-US"/>
        </w:rPr>
        <w:t>5 countries, and to offset costs for staff changes proposed in paragraph</w:t>
      </w:r>
      <w:r w:rsidR="00920A27">
        <w:rPr>
          <w:lang w:val="en-US"/>
        </w:rPr>
        <w:t> </w:t>
      </w:r>
      <w:r w:rsidR="009A6A20" w:rsidRPr="00920A27">
        <w:rPr>
          <w:lang w:val="en-US"/>
        </w:rPr>
        <w:t>10 below;</w:t>
      </w:r>
    </w:p>
    <w:p w14:paraId="2DB047FF" w14:textId="40F567EB" w:rsidR="000733FF" w:rsidRDefault="00303A23" w:rsidP="0009563C">
      <w:pPr>
        <w:pStyle w:val="Heading2"/>
        <w:rPr>
          <w:lang w:val="en-US"/>
        </w:rPr>
      </w:pPr>
      <w:r w:rsidRPr="00E17C19">
        <w:t>Translation and outreach (BL 3212</w:t>
      </w:r>
      <w:r w:rsidR="004979CF" w:rsidRPr="00E17C19">
        <w:t xml:space="preserve">) </w:t>
      </w:r>
      <w:r w:rsidR="00AB1134">
        <w:t>at</w:t>
      </w:r>
      <w:r w:rsidR="000733FF" w:rsidRPr="00E17C19">
        <w:t xml:space="preserve"> </w:t>
      </w:r>
      <w:r w:rsidR="0016667D">
        <w:t>US $</w:t>
      </w:r>
      <w:r w:rsidR="00F36C7C" w:rsidRPr="00E17C19">
        <w:t xml:space="preserve">160,000 (an </w:t>
      </w:r>
      <w:r w:rsidR="00035A92" w:rsidRPr="00E17C19">
        <w:t xml:space="preserve">increase </w:t>
      </w:r>
      <w:r w:rsidR="00F36C7C" w:rsidRPr="00E17C19">
        <w:t xml:space="preserve">of </w:t>
      </w:r>
      <w:r w:rsidR="0016667D">
        <w:t>US $</w:t>
      </w:r>
      <w:r w:rsidR="0009563C" w:rsidRPr="00E17C19">
        <w:t>45,000 compared to 2021</w:t>
      </w:r>
      <w:r w:rsidR="00F36C7C" w:rsidRPr="00E17C19">
        <w:t xml:space="preserve">) </w:t>
      </w:r>
      <w:r w:rsidR="0009563C" w:rsidRPr="00E17C19">
        <w:rPr>
          <w:lang w:val="en-US"/>
        </w:rPr>
        <w:t xml:space="preserve">for </w:t>
      </w:r>
      <w:r w:rsidR="00001B93">
        <w:rPr>
          <w:lang w:val="en-US"/>
        </w:rPr>
        <w:t xml:space="preserve">increased </w:t>
      </w:r>
      <w:r w:rsidR="001F01DC" w:rsidRPr="00E17C19">
        <w:rPr>
          <w:lang w:val="en-US"/>
        </w:rPr>
        <w:t xml:space="preserve">production </w:t>
      </w:r>
      <w:r w:rsidR="00A01E0B">
        <w:rPr>
          <w:lang w:val="en-US"/>
        </w:rPr>
        <w:t>of</w:t>
      </w:r>
      <w:r w:rsidR="00A01E0B" w:rsidRPr="00E17C19">
        <w:rPr>
          <w:lang w:val="en-US"/>
        </w:rPr>
        <w:t xml:space="preserve"> information materials, training manuals and handbooks </w:t>
      </w:r>
      <w:r w:rsidR="002F6CA4">
        <w:rPr>
          <w:lang w:val="en-US"/>
        </w:rPr>
        <w:t xml:space="preserve">translated </w:t>
      </w:r>
      <w:r w:rsidR="003414EB">
        <w:rPr>
          <w:lang w:val="en-US"/>
        </w:rPr>
        <w:t xml:space="preserve">into UN </w:t>
      </w:r>
      <w:r w:rsidR="001F01DC">
        <w:rPr>
          <w:lang w:val="en-US"/>
        </w:rPr>
        <w:t>language</w:t>
      </w:r>
      <w:r w:rsidR="00A01E0B">
        <w:rPr>
          <w:lang w:val="en-US"/>
        </w:rPr>
        <w:t>s</w:t>
      </w:r>
      <w:r w:rsidR="001F01DC">
        <w:rPr>
          <w:lang w:val="en-US"/>
        </w:rPr>
        <w:t xml:space="preserve"> </w:t>
      </w:r>
      <w:r w:rsidR="0009563C" w:rsidRPr="00E17C19">
        <w:rPr>
          <w:lang w:val="en-US"/>
        </w:rPr>
        <w:t xml:space="preserve">in response to </w:t>
      </w:r>
      <w:r w:rsidR="00A01E0B">
        <w:rPr>
          <w:lang w:val="en-US"/>
        </w:rPr>
        <w:t xml:space="preserve">the </w:t>
      </w:r>
      <w:r w:rsidR="0009563C" w:rsidRPr="00E17C19">
        <w:rPr>
          <w:lang w:val="en-US"/>
        </w:rPr>
        <w:t>needs of Article 5 countries</w:t>
      </w:r>
      <w:r w:rsidR="00A01E0B">
        <w:rPr>
          <w:lang w:val="en-US"/>
        </w:rPr>
        <w:t xml:space="preserve"> </w:t>
      </w:r>
      <w:r w:rsidR="000733FF">
        <w:rPr>
          <w:lang w:val="en-US"/>
        </w:rPr>
        <w:t>during the pandemic.</w:t>
      </w:r>
    </w:p>
    <w:p w14:paraId="37625FFD" w14:textId="105CB3EB" w:rsidR="000733FF" w:rsidRDefault="000733FF" w:rsidP="007E2E97">
      <w:pPr>
        <w:pStyle w:val="Heading1"/>
        <w:rPr>
          <w:lang w:val="en-US"/>
        </w:rPr>
      </w:pPr>
      <w:r>
        <w:rPr>
          <w:lang w:val="en-US"/>
        </w:rPr>
        <w:t xml:space="preserve">UNEP is also proposing modifications to </w:t>
      </w:r>
      <w:r w:rsidR="00001B93">
        <w:rPr>
          <w:lang w:val="en-US"/>
        </w:rPr>
        <w:t xml:space="preserve">the </w:t>
      </w:r>
      <w:r w:rsidR="005D2195">
        <w:rPr>
          <w:lang w:val="en-US"/>
        </w:rPr>
        <w:t xml:space="preserve">posts </w:t>
      </w:r>
      <w:r>
        <w:rPr>
          <w:lang w:val="en-US"/>
        </w:rPr>
        <w:t>described below, to reflect new responsibilities</w:t>
      </w:r>
      <w:r w:rsidR="005D2195">
        <w:rPr>
          <w:lang w:val="en-US"/>
        </w:rPr>
        <w:t xml:space="preserve"> and to ensure consistency of responsibilities and accountability</w:t>
      </w:r>
      <w:r w:rsidR="00001B93">
        <w:rPr>
          <w:lang w:val="en-US"/>
        </w:rPr>
        <w:t xml:space="preserve"> among post</w:t>
      </w:r>
      <w:r w:rsidR="003003A0">
        <w:rPr>
          <w:lang w:val="en-US"/>
        </w:rPr>
        <w:t>s</w:t>
      </w:r>
      <w:r w:rsidR="00001B93">
        <w:rPr>
          <w:lang w:val="en-US"/>
        </w:rPr>
        <w:t xml:space="preserve"> at the same level</w:t>
      </w:r>
      <w:r>
        <w:rPr>
          <w:lang w:val="en-US"/>
        </w:rPr>
        <w:t>:</w:t>
      </w:r>
      <w:r w:rsidR="00001B93">
        <w:rPr>
          <w:lang w:val="en-US"/>
        </w:rPr>
        <w:t xml:space="preserve"> </w:t>
      </w:r>
    </w:p>
    <w:p w14:paraId="38857384" w14:textId="67E55F5A" w:rsidR="000733FF" w:rsidRPr="007E2E97" w:rsidRDefault="000733FF" w:rsidP="00920A27">
      <w:pPr>
        <w:pStyle w:val="Heading2"/>
        <w:widowControl/>
        <w:rPr>
          <w:lang w:val="en-US"/>
        </w:rPr>
      </w:pPr>
      <w:r w:rsidRPr="000733FF">
        <w:rPr>
          <w:u w:val="single"/>
        </w:rPr>
        <w:t xml:space="preserve">BL 1147 </w:t>
      </w:r>
      <w:r w:rsidR="000325FD">
        <w:rPr>
          <w:u w:val="single"/>
        </w:rPr>
        <w:t xml:space="preserve">(from P3 to P4) </w:t>
      </w:r>
      <w:r w:rsidRPr="000733FF">
        <w:rPr>
          <w:u w:val="single"/>
        </w:rPr>
        <w:t>– Montreal Protocol Programme Officer - Administration and Finance (Nairobi)</w:t>
      </w:r>
      <w:r w:rsidR="000325FD" w:rsidRPr="0016667D">
        <w:t>:</w:t>
      </w:r>
      <w:r w:rsidRPr="000733FF">
        <w:t xml:space="preserve"> </w:t>
      </w:r>
      <w:r w:rsidR="000325FD">
        <w:t xml:space="preserve">due to </w:t>
      </w:r>
      <w:r w:rsidRPr="007E2E97">
        <w:rPr>
          <w:lang w:eastAsia="en-GB"/>
        </w:rPr>
        <w:t xml:space="preserve">increased accountability and responsibility for delivering, </w:t>
      </w:r>
      <w:r w:rsidRPr="007E2E97">
        <w:rPr>
          <w:lang w:eastAsia="en-GB"/>
        </w:rPr>
        <w:lastRenderedPageBreak/>
        <w:t>managing, and reporting on the financial and administrative s</w:t>
      </w:r>
      <w:r w:rsidR="00C514FD">
        <w:rPr>
          <w:lang w:eastAsia="en-GB"/>
        </w:rPr>
        <w:t>ervices</w:t>
      </w:r>
      <w:r w:rsidRPr="007E2E97">
        <w:rPr>
          <w:lang w:eastAsia="en-GB"/>
        </w:rPr>
        <w:t xml:space="preserve"> of the entire </w:t>
      </w:r>
      <w:r w:rsidR="00EC3E1D">
        <w:rPr>
          <w:lang w:eastAsia="en-GB"/>
        </w:rPr>
        <w:t>r</w:t>
      </w:r>
      <w:r w:rsidRPr="007E2E97">
        <w:rPr>
          <w:lang w:eastAsia="en-GB"/>
        </w:rPr>
        <w:t xml:space="preserve">egional and </w:t>
      </w:r>
      <w:r w:rsidR="00EC3E1D">
        <w:rPr>
          <w:lang w:eastAsia="en-GB"/>
        </w:rPr>
        <w:t>g</w:t>
      </w:r>
      <w:r w:rsidRPr="007E2E97">
        <w:rPr>
          <w:lang w:eastAsia="en-GB"/>
        </w:rPr>
        <w:t>lobal CAP operations</w:t>
      </w:r>
      <w:r>
        <w:rPr>
          <w:lang w:eastAsia="en-GB"/>
        </w:rPr>
        <w:t xml:space="preserve">, including managing the audit </w:t>
      </w:r>
      <w:r w:rsidRPr="005D2195">
        <w:rPr>
          <w:lang w:eastAsia="en-GB"/>
        </w:rPr>
        <w:t>process;</w:t>
      </w:r>
    </w:p>
    <w:p w14:paraId="136F43C6" w14:textId="01F5C888" w:rsidR="005D2195" w:rsidRDefault="000733FF" w:rsidP="000733FF">
      <w:pPr>
        <w:pStyle w:val="Heading2"/>
        <w:rPr>
          <w:lang w:val="en-US"/>
        </w:rPr>
      </w:pPr>
      <w:r w:rsidRPr="005D2195">
        <w:rPr>
          <w:u w:val="single"/>
          <w:lang w:eastAsia="en-GB"/>
        </w:rPr>
        <w:t xml:space="preserve">BL 1304 </w:t>
      </w:r>
      <w:r w:rsidR="000325FD">
        <w:rPr>
          <w:u w:val="single"/>
          <w:lang w:eastAsia="en-GB"/>
        </w:rPr>
        <w:t>(</w:t>
      </w:r>
      <w:r w:rsidR="000325FD" w:rsidRPr="0016667D">
        <w:rPr>
          <w:u w:val="single"/>
          <w:lang w:eastAsia="en-GB"/>
        </w:rPr>
        <w:t xml:space="preserve">from G5 to G6) </w:t>
      </w:r>
      <w:r w:rsidRPr="005D2195">
        <w:rPr>
          <w:u w:val="single"/>
          <w:lang w:eastAsia="en-GB"/>
        </w:rPr>
        <w:t xml:space="preserve">– Programme Assistant - Europe </w:t>
      </w:r>
      <w:r w:rsidR="00EC3E1D">
        <w:rPr>
          <w:u w:val="single"/>
          <w:lang w:eastAsia="en-GB"/>
        </w:rPr>
        <w:t>and</w:t>
      </w:r>
      <w:r w:rsidRPr="005D2195">
        <w:rPr>
          <w:u w:val="single"/>
          <w:lang w:eastAsia="en-GB"/>
        </w:rPr>
        <w:t xml:space="preserve"> Central Asia </w:t>
      </w:r>
      <w:r w:rsidR="00EC3E1D">
        <w:rPr>
          <w:u w:val="single"/>
          <w:lang w:eastAsia="en-GB"/>
        </w:rPr>
        <w:t xml:space="preserve">(ECA) </w:t>
      </w:r>
      <w:r w:rsidRPr="005D2195">
        <w:rPr>
          <w:u w:val="single"/>
          <w:lang w:eastAsia="en-GB"/>
        </w:rPr>
        <w:t>(Paris)</w:t>
      </w:r>
      <w:r w:rsidR="000325FD" w:rsidRPr="0016667D">
        <w:rPr>
          <w:lang w:eastAsia="en-GB"/>
        </w:rPr>
        <w:t>:</w:t>
      </w:r>
      <w:r w:rsidRPr="005D2195">
        <w:rPr>
          <w:lang w:eastAsia="en-GB"/>
        </w:rPr>
        <w:t xml:space="preserve"> </w:t>
      </w:r>
      <w:r w:rsidR="000325FD">
        <w:rPr>
          <w:lang w:eastAsia="en-GB"/>
        </w:rPr>
        <w:t xml:space="preserve">due to </w:t>
      </w:r>
      <w:r w:rsidR="000325FD">
        <w:rPr>
          <w:lang w:val="en-US" w:eastAsia="en-GB"/>
        </w:rPr>
        <w:t xml:space="preserve">increased </w:t>
      </w:r>
      <w:r w:rsidR="000325FD" w:rsidRPr="005D2195">
        <w:rPr>
          <w:lang w:val="en-US" w:eastAsia="en-GB"/>
        </w:rPr>
        <w:t xml:space="preserve">complexity of duties </w:t>
      </w:r>
      <w:r w:rsidR="000325FD">
        <w:rPr>
          <w:lang w:val="en-US" w:eastAsia="en-GB"/>
        </w:rPr>
        <w:t xml:space="preserve">and responsibilities </w:t>
      </w:r>
      <w:r w:rsidR="000325FD" w:rsidRPr="005D2195">
        <w:rPr>
          <w:lang w:val="en-US" w:eastAsia="en-GB"/>
        </w:rPr>
        <w:t xml:space="preserve">related to project and financial management and reporting </w:t>
      </w:r>
      <w:r w:rsidR="005D2195" w:rsidRPr="005D2195">
        <w:rPr>
          <w:lang w:val="en-US" w:eastAsia="en-GB"/>
        </w:rPr>
        <w:t>to 11</w:t>
      </w:r>
      <w:r w:rsidR="0016667D">
        <w:rPr>
          <w:lang w:val="en-US" w:eastAsia="en-GB"/>
        </w:rPr>
        <w:t xml:space="preserve"> </w:t>
      </w:r>
      <w:r w:rsidR="005D2195" w:rsidRPr="005D2195">
        <w:rPr>
          <w:lang w:val="en-US" w:eastAsia="en-GB"/>
        </w:rPr>
        <w:t>Article</w:t>
      </w:r>
      <w:r w:rsidR="0016667D">
        <w:rPr>
          <w:lang w:val="en-US" w:eastAsia="en-GB"/>
        </w:rPr>
        <w:t xml:space="preserve"> </w:t>
      </w:r>
      <w:r w:rsidR="005D2195" w:rsidRPr="005D2195">
        <w:rPr>
          <w:lang w:val="en-US" w:eastAsia="en-GB"/>
        </w:rPr>
        <w:t>5 count</w:t>
      </w:r>
      <w:r w:rsidR="005D2195">
        <w:rPr>
          <w:lang w:val="en-US" w:eastAsia="en-GB"/>
        </w:rPr>
        <w:t>ries</w:t>
      </w:r>
      <w:r w:rsidR="00001B93">
        <w:rPr>
          <w:lang w:val="en-US" w:eastAsia="en-GB"/>
        </w:rPr>
        <w:t>;</w:t>
      </w:r>
      <w:r w:rsidR="005D2195">
        <w:rPr>
          <w:lang w:val="en-US" w:eastAsia="en-GB"/>
        </w:rPr>
        <w:t xml:space="preserve"> </w:t>
      </w:r>
    </w:p>
    <w:p w14:paraId="1C08C655" w14:textId="77777777" w:rsidR="00136E5A" w:rsidRPr="00716335" w:rsidRDefault="005D2195" w:rsidP="005D2195">
      <w:pPr>
        <w:pStyle w:val="Heading2"/>
        <w:rPr>
          <w:u w:val="single"/>
          <w:lang w:val="en-US"/>
        </w:rPr>
      </w:pPr>
      <w:r w:rsidRPr="00D63768">
        <w:rPr>
          <w:u w:val="single"/>
          <w:lang w:val="en-CA"/>
        </w:rPr>
        <w:t>BL 1344</w:t>
      </w:r>
      <w:bookmarkStart w:id="1" w:name="_Hlk86158527"/>
      <w:r w:rsidR="000325FD">
        <w:rPr>
          <w:u w:val="single"/>
          <w:lang w:val="en-CA"/>
        </w:rPr>
        <w:t xml:space="preserve"> (</w:t>
      </w:r>
      <w:r w:rsidR="000325FD" w:rsidRPr="0016667D">
        <w:rPr>
          <w:u w:val="single"/>
          <w:lang w:val="en-CA"/>
        </w:rPr>
        <w:t>from G6 to G7)</w:t>
      </w:r>
      <w:r w:rsidRPr="00D63768">
        <w:rPr>
          <w:u w:val="single"/>
          <w:lang w:val="en-CA"/>
        </w:rPr>
        <w:t xml:space="preserve"> – </w:t>
      </w:r>
      <w:bookmarkEnd w:id="1"/>
      <w:r w:rsidRPr="00D63768">
        <w:rPr>
          <w:u w:val="single"/>
          <w:lang w:val="en-CA"/>
        </w:rPr>
        <w:t>Programme Assistant - Francophone Africa (Nairobi)</w:t>
      </w:r>
      <w:r w:rsidR="000325FD">
        <w:rPr>
          <w:lang w:val="en-CA"/>
        </w:rPr>
        <w:t>:</w:t>
      </w:r>
      <w:r w:rsidR="0016667D">
        <w:rPr>
          <w:lang w:val="en-CA"/>
        </w:rPr>
        <w:t xml:space="preserve"> </w:t>
      </w:r>
      <w:r w:rsidR="00C514FD">
        <w:rPr>
          <w:lang w:val="en-CA"/>
        </w:rPr>
        <w:t xml:space="preserve">due to </w:t>
      </w:r>
      <w:r w:rsidR="000325FD" w:rsidRPr="006F3286">
        <w:rPr>
          <w:lang w:val="en-US"/>
        </w:rPr>
        <w:t xml:space="preserve">increased complexity of duties and responsibilities </w:t>
      </w:r>
      <w:r w:rsidR="00C514FD">
        <w:rPr>
          <w:lang w:val="en-US"/>
        </w:rPr>
        <w:t xml:space="preserve">related to </w:t>
      </w:r>
      <w:r w:rsidR="000325FD" w:rsidRPr="006F3286">
        <w:rPr>
          <w:lang w:val="en-US"/>
        </w:rPr>
        <w:t xml:space="preserve">project </w:t>
      </w:r>
      <w:r w:rsidR="00C514FD">
        <w:rPr>
          <w:lang w:val="en-US"/>
        </w:rPr>
        <w:t xml:space="preserve">and </w:t>
      </w:r>
      <w:r w:rsidR="000325FD" w:rsidRPr="006F3286">
        <w:rPr>
          <w:lang w:val="en-US"/>
        </w:rPr>
        <w:t>financial management</w:t>
      </w:r>
      <w:r w:rsidR="00C514FD">
        <w:rPr>
          <w:lang w:val="en-US"/>
        </w:rPr>
        <w:t xml:space="preserve"> and </w:t>
      </w:r>
      <w:r w:rsidR="000325FD" w:rsidRPr="006F3286">
        <w:rPr>
          <w:lang w:val="en-US"/>
        </w:rPr>
        <w:t>reporting</w:t>
      </w:r>
      <w:r w:rsidR="000325FD" w:rsidRPr="00D63768">
        <w:rPr>
          <w:lang w:val="en-CA"/>
        </w:rPr>
        <w:t xml:space="preserve"> </w:t>
      </w:r>
      <w:r w:rsidRPr="006F3286">
        <w:rPr>
          <w:lang w:val="en-US"/>
        </w:rPr>
        <w:t>to 26 Art</w:t>
      </w:r>
      <w:r w:rsidR="006F3286">
        <w:rPr>
          <w:lang w:val="en-US"/>
        </w:rPr>
        <w:t>icle</w:t>
      </w:r>
      <w:r w:rsidR="0016667D">
        <w:rPr>
          <w:lang w:val="en-US"/>
        </w:rPr>
        <w:t xml:space="preserve"> </w:t>
      </w:r>
      <w:r w:rsidR="006F3286">
        <w:rPr>
          <w:lang w:val="en-US"/>
        </w:rPr>
        <w:t>5 countries</w:t>
      </w:r>
      <w:r w:rsidRPr="006F3286">
        <w:rPr>
          <w:lang w:val="en-US"/>
        </w:rPr>
        <w:t xml:space="preserve">; </w:t>
      </w:r>
    </w:p>
    <w:p w14:paraId="218EDF59" w14:textId="6B7F3B0D" w:rsidR="005D2195" w:rsidRPr="00716335" w:rsidRDefault="00136E5A" w:rsidP="005D2195">
      <w:pPr>
        <w:pStyle w:val="Heading2"/>
        <w:rPr>
          <w:lang w:val="en-US"/>
        </w:rPr>
      </w:pPr>
      <w:r w:rsidRPr="00716335">
        <w:rPr>
          <w:u w:val="single"/>
          <w:lang w:val="en-CA"/>
        </w:rPr>
        <w:t xml:space="preserve">BL 1345 (from G5 to G6) </w:t>
      </w:r>
      <w:r w:rsidRPr="00716335">
        <w:rPr>
          <w:u w:val="single"/>
          <w:lang w:val="en-US"/>
        </w:rPr>
        <w:t>– Montreal Protocol Global Administrative Assistant (Nairobi)</w:t>
      </w:r>
      <w:r w:rsidR="005A0812" w:rsidRPr="005A0812">
        <w:rPr>
          <w:lang w:val="en-US"/>
        </w:rPr>
        <w:t>:</w:t>
      </w:r>
      <w:r>
        <w:rPr>
          <w:lang w:val="en-US"/>
        </w:rPr>
        <w:t xml:space="preserve"> </w:t>
      </w:r>
      <w:r w:rsidRPr="00716335">
        <w:rPr>
          <w:lang w:val="en-US"/>
        </w:rPr>
        <w:t>due to increased responsibilities related to technical support to Regional CAP teams, and additional financial roles and responsibilities for accounting and budgetary reconciliations</w:t>
      </w:r>
      <w:r w:rsidR="00716335" w:rsidRPr="00716335">
        <w:rPr>
          <w:lang w:val="en-US"/>
        </w:rPr>
        <w:t xml:space="preserve">, </w:t>
      </w:r>
      <w:r w:rsidR="002423D3">
        <w:rPr>
          <w:lang w:val="en-US"/>
        </w:rPr>
        <w:t xml:space="preserve">support </w:t>
      </w:r>
      <w:r w:rsidR="00A25285">
        <w:rPr>
          <w:lang w:val="en-US"/>
        </w:rPr>
        <w:t xml:space="preserve">in </w:t>
      </w:r>
      <w:r w:rsidR="002423D3">
        <w:rPr>
          <w:lang w:val="en-US"/>
        </w:rPr>
        <w:t>preparing financial and management report, and managing audit process</w:t>
      </w:r>
      <w:r w:rsidR="008D4D3E">
        <w:rPr>
          <w:lang w:val="en-US"/>
        </w:rPr>
        <w:t>;</w:t>
      </w:r>
    </w:p>
    <w:p w14:paraId="5CA83341" w14:textId="3EFB2FC6" w:rsidR="00671A30" w:rsidRPr="00920A27" w:rsidRDefault="00954750" w:rsidP="003C28BC">
      <w:pPr>
        <w:pStyle w:val="Heading2"/>
        <w:rPr>
          <w:lang w:val="en-US"/>
        </w:rPr>
      </w:pPr>
      <w:r w:rsidRPr="00920A27">
        <w:rPr>
          <w:u w:val="single"/>
        </w:rPr>
        <w:t xml:space="preserve">BL 1102 </w:t>
      </w:r>
      <w:r w:rsidR="00C51F82" w:rsidRPr="00920A27">
        <w:rPr>
          <w:u w:val="single"/>
        </w:rPr>
        <w:t>(</w:t>
      </w:r>
      <w:r w:rsidR="00C51F82" w:rsidRPr="00920A27">
        <w:rPr>
          <w:u w:val="single"/>
          <w:lang w:val="en-US"/>
        </w:rPr>
        <w:t>from a P5 to a P3)</w:t>
      </w:r>
      <w:r w:rsidR="00C51F82" w:rsidRPr="00920A27">
        <w:rPr>
          <w:u w:val="single"/>
          <w:lang w:val="en-CA"/>
        </w:rPr>
        <w:t xml:space="preserve"> – </w:t>
      </w:r>
      <w:r w:rsidR="00001B93" w:rsidRPr="00920A27">
        <w:rPr>
          <w:u w:val="single"/>
        </w:rPr>
        <w:t xml:space="preserve">replacing the functional title from </w:t>
      </w:r>
      <w:r w:rsidR="005D2195" w:rsidRPr="00920A27">
        <w:rPr>
          <w:u w:val="single"/>
        </w:rPr>
        <w:t xml:space="preserve">Senior Environment Officer - Network </w:t>
      </w:r>
      <w:r w:rsidR="00C51F82" w:rsidRPr="00920A27">
        <w:rPr>
          <w:u w:val="single"/>
        </w:rPr>
        <w:t>and</w:t>
      </w:r>
      <w:r w:rsidR="005D2195" w:rsidRPr="00920A27">
        <w:rPr>
          <w:u w:val="single"/>
        </w:rPr>
        <w:t xml:space="preserve"> Policy (Paris)</w:t>
      </w:r>
      <w:r w:rsidR="003C28BC" w:rsidRPr="00920A27">
        <w:rPr>
          <w:u w:val="single"/>
        </w:rPr>
        <w:t xml:space="preserve"> to </w:t>
      </w:r>
      <w:r w:rsidR="003C28BC" w:rsidRPr="00920A27">
        <w:rPr>
          <w:u w:val="single"/>
          <w:lang w:val="en-US"/>
        </w:rPr>
        <w:t>Montreal Protocol Programme Officer – ECA/Global Capacity Building</w:t>
      </w:r>
      <w:r w:rsidR="00C51F82" w:rsidRPr="00920A27">
        <w:t>:</w:t>
      </w:r>
      <w:r w:rsidRPr="00920A27">
        <w:rPr>
          <w:lang w:val="en-US"/>
        </w:rPr>
        <w:t xml:space="preserve"> </w:t>
      </w:r>
      <w:r w:rsidR="005D2195" w:rsidRPr="00920A27">
        <w:rPr>
          <w:lang w:val="en-US"/>
        </w:rPr>
        <w:t xml:space="preserve">re-oriented to </w:t>
      </w:r>
      <w:r w:rsidR="005754A3" w:rsidRPr="00920A27">
        <w:rPr>
          <w:lang w:val="en-US"/>
        </w:rPr>
        <w:t xml:space="preserve">strengthen </w:t>
      </w:r>
      <w:r w:rsidR="001F01DC" w:rsidRPr="00920A27">
        <w:rPr>
          <w:lang w:val="en-US"/>
        </w:rPr>
        <w:t>the ECA</w:t>
      </w:r>
      <w:r w:rsidR="005D2195" w:rsidRPr="00920A27">
        <w:rPr>
          <w:lang w:val="en-US"/>
        </w:rPr>
        <w:t xml:space="preserve"> network</w:t>
      </w:r>
      <w:r w:rsidR="00C51F82" w:rsidRPr="00920A27">
        <w:rPr>
          <w:lang w:val="en-US"/>
        </w:rPr>
        <w:t xml:space="preserve"> and </w:t>
      </w:r>
      <w:r w:rsidR="009A6A20" w:rsidRPr="00920A27">
        <w:rPr>
          <w:lang w:val="en-US"/>
        </w:rPr>
        <w:t xml:space="preserve">support </w:t>
      </w:r>
      <w:r w:rsidR="005D2195" w:rsidRPr="00920A27">
        <w:rPr>
          <w:lang w:val="en-US"/>
        </w:rPr>
        <w:t>global capacity building activities</w:t>
      </w:r>
      <w:r w:rsidR="005754A3" w:rsidRPr="00920A27">
        <w:rPr>
          <w:lang w:val="en-US"/>
        </w:rPr>
        <w:t xml:space="preserve">; this adjustment will also </w:t>
      </w:r>
      <w:r w:rsidR="009A6A20" w:rsidRPr="00920A27">
        <w:rPr>
          <w:lang w:val="en-US"/>
        </w:rPr>
        <w:t xml:space="preserve">facilitate </w:t>
      </w:r>
      <w:r w:rsidR="008D4D3E" w:rsidRPr="00920A27">
        <w:rPr>
          <w:lang w:val="en-US"/>
        </w:rPr>
        <w:t>o</w:t>
      </w:r>
      <w:r w:rsidR="009A6A20" w:rsidRPr="00920A27">
        <w:rPr>
          <w:lang w:val="en-US"/>
        </w:rPr>
        <w:t>versight for the regional networks done</w:t>
      </w:r>
      <w:r w:rsidR="003C28BC" w:rsidRPr="00920A27">
        <w:rPr>
          <w:lang w:val="en-US"/>
        </w:rPr>
        <w:t xml:space="preserve"> by the former Senior Environment Officer </w:t>
      </w:r>
      <w:r w:rsidR="003C28BC" w:rsidRPr="00920A27">
        <w:t xml:space="preserve">- Network and Policy (Paris) will be managed by the Head of the CAP (BL </w:t>
      </w:r>
      <w:r w:rsidR="00A33817" w:rsidRPr="00920A27">
        <w:t>1101</w:t>
      </w:r>
      <w:r w:rsidR="003C28BC" w:rsidRPr="00920A27">
        <w:t>)</w:t>
      </w:r>
      <w:r w:rsidR="008D4D3E" w:rsidRPr="00920A27">
        <w:t>,</w:t>
      </w:r>
      <w:r w:rsidR="003C28BC" w:rsidRPr="00920A27">
        <w:t xml:space="preserve"> with </w:t>
      </w:r>
      <w:r w:rsidR="009A6A20" w:rsidRPr="00920A27">
        <w:t xml:space="preserve">technical </w:t>
      </w:r>
      <w:r w:rsidR="003C28BC" w:rsidRPr="00920A27">
        <w:t xml:space="preserve">support from the Capacity Building Officer (BL </w:t>
      </w:r>
      <w:r w:rsidR="00A33817" w:rsidRPr="00920A27">
        <w:t>1103</w:t>
      </w:r>
      <w:r w:rsidR="003C28BC" w:rsidRPr="00920A27">
        <w:t xml:space="preserve">), and the Coordinators for International Cooperation </w:t>
      </w:r>
      <w:r w:rsidR="009A6A20" w:rsidRPr="00920A27">
        <w:t xml:space="preserve">(BL 1109) </w:t>
      </w:r>
      <w:r w:rsidR="003C28BC" w:rsidRPr="00920A27">
        <w:t xml:space="preserve">and Support to the Executive Committee (BL </w:t>
      </w:r>
      <w:r w:rsidR="009A6A20" w:rsidRPr="00920A27">
        <w:t>1105)</w:t>
      </w:r>
      <w:r w:rsidR="008D4D3E" w:rsidRPr="00920A27">
        <w:t>;</w:t>
      </w:r>
    </w:p>
    <w:p w14:paraId="3FE36DF9" w14:textId="2835AB00" w:rsidR="009364EB" w:rsidRPr="00920A27" w:rsidRDefault="002423D3" w:rsidP="002423D3">
      <w:pPr>
        <w:pStyle w:val="Heading2"/>
        <w:rPr>
          <w:lang w:val="en-US"/>
        </w:rPr>
      </w:pPr>
      <w:r w:rsidRPr="00920A27">
        <w:rPr>
          <w:u w:val="single"/>
          <w:lang w:val="en-US"/>
        </w:rPr>
        <w:t xml:space="preserve">BL 1106 (from </w:t>
      </w:r>
      <w:r w:rsidR="005754A3" w:rsidRPr="00920A27">
        <w:rPr>
          <w:u w:val="single"/>
          <w:lang w:val="en-US"/>
        </w:rPr>
        <w:t xml:space="preserve">US $191,000 </w:t>
      </w:r>
      <w:r w:rsidRPr="00920A27">
        <w:rPr>
          <w:u w:val="single"/>
          <w:lang w:val="en-US"/>
        </w:rPr>
        <w:t xml:space="preserve">to zero) – </w:t>
      </w:r>
      <w:r w:rsidR="005754A3" w:rsidRPr="00920A27">
        <w:rPr>
          <w:u w:val="single"/>
          <w:lang w:val="en-US"/>
        </w:rPr>
        <w:t xml:space="preserve">P3 </w:t>
      </w:r>
      <w:r w:rsidRPr="00920A27">
        <w:rPr>
          <w:u w:val="single"/>
          <w:lang w:val="en-US"/>
        </w:rPr>
        <w:t>Montreal Protocol Programme Officer (Paris</w:t>
      </w:r>
      <w:r w:rsidR="005A0812" w:rsidRPr="00920A27">
        <w:rPr>
          <w:lang w:val="en-US"/>
        </w:rPr>
        <w:t>):</w:t>
      </w:r>
      <w:r w:rsidRPr="00920A27">
        <w:rPr>
          <w:lang w:val="en-US"/>
        </w:rPr>
        <w:t xml:space="preserve"> </w:t>
      </w:r>
      <w:r w:rsidR="005A0812" w:rsidRPr="00920A27">
        <w:rPr>
          <w:lang w:val="en-US"/>
        </w:rPr>
        <w:t>vacant post</w:t>
      </w:r>
      <w:r w:rsidR="00FB46B8" w:rsidRPr="00920A27">
        <w:rPr>
          <w:lang w:val="en-US"/>
        </w:rPr>
        <w:t>;</w:t>
      </w:r>
      <w:r w:rsidR="005A0812" w:rsidRPr="00920A27">
        <w:rPr>
          <w:lang w:val="en-US"/>
        </w:rPr>
        <w:t xml:space="preserve"> re-funding </w:t>
      </w:r>
      <w:r w:rsidR="003761AC" w:rsidRPr="00920A27">
        <w:rPr>
          <w:lang w:val="en-US"/>
        </w:rPr>
        <w:t xml:space="preserve">of </w:t>
      </w:r>
      <w:r w:rsidR="005A0812" w:rsidRPr="00920A27">
        <w:rPr>
          <w:lang w:val="en-US"/>
        </w:rPr>
        <w:t xml:space="preserve">this line in the future </w:t>
      </w:r>
      <w:r w:rsidR="00FB46B8" w:rsidRPr="00920A27">
        <w:rPr>
          <w:lang w:val="en-US"/>
        </w:rPr>
        <w:t xml:space="preserve">may be proposed </w:t>
      </w:r>
      <w:r w:rsidR="005A0812" w:rsidRPr="00920A27">
        <w:rPr>
          <w:lang w:val="en-US"/>
        </w:rPr>
        <w:t>to enable its recruitment</w:t>
      </w:r>
      <w:r w:rsidR="009364EB" w:rsidRPr="00920A27">
        <w:rPr>
          <w:lang w:val="en-US"/>
        </w:rPr>
        <w:t>;</w:t>
      </w:r>
      <w:r w:rsidR="008D4D3E" w:rsidRPr="00920A27">
        <w:rPr>
          <w:lang w:val="en-US"/>
        </w:rPr>
        <w:t xml:space="preserve"> and</w:t>
      </w:r>
    </w:p>
    <w:p w14:paraId="00CF3E55" w14:textId="7C842668" w:rsidR="002423D3" w:rsidRPr="00920A27" w:rsidRDefault="009364EB" w:rsidP="009A6A20">
      <w:pPr>
        <w:pStyle w:val="Heading2"/>
        <w:rPr>
          <w:lang w:val="en-US"/>
        </w:rPr>
      </w:pPr>
      <w:r w:rsidRPr="00920A27">
        <w:rPr>
          <w:u w:val="single"/>
          <w:lang w:val="en-US"/>
        </w:rPr>
        <w:t>BL 1308 (from US $54,000 to zero)</w:t>
      </w:r>
      <w:r w:rsidR="008D4D3E" w:rsidRPr="00920A27">
        <w:rPr>
          <w:u w:val="single"/>
          <w:lang w:val="en-US"/>
        </w:rPr>
        <w:t xml:space="preserve"> – temporary assistance</w:t>
      </w:r>
      <w:r w:rsidRPr="00920A27">
        <w:rPr>
          <w:lang w:val="en-US"/>
        </w:rPr>
        <w:t xml:space="preserve">: no </w:t>
      </w:r>
      <w:r w:rsidR="00FB46B8" w:rsidRPr="00920A27">
        <w:rPr>
          <w:lang w:val="en-US"/>
        </w:rPr>
        <w:t xml:space="preserve">current </w:t>
      </w:r>
      <w:r w:rsidRPr="00920A27">
        <w:rPr>
          <w:lang w:val="en-US"/>
        </w:rPr>
        <w:t xml:space="preserve">need; </w:t>
      </w:r>
      <w:r w:rsidR="00B40BE0" w:rsidRPr="00920A27">
        <w:rPr>
          <w:lang w:val="en-US"/>
        </w:rPr>
        <w:t xml:space="preserve">re-funding </w:t>
      </w:r>
      <w:r w:rsidR="008D4D3E" w:rsidRPr="00920A27">
        <w:rPr>
          <w:lang w:val="en-US"/>
        </w:rPr>
        <w:t xml:space="preserve">of </w:t>
      </w:r>
      <w:r w:rsidR="00B40BE0" w:rsidRPr="00920A27">
        <w:rPr>
          <w:lang w:val="en-US"/>
        </w:rPr>
        <w:t xml:space="preserve">this line in </w:t>
      </w:r>
      <w:r w:rsidR="00FB46B8" w:rsidRPr="00920A27">
        <w:rPr>
          <w:lang w:val="en-US"/>
        </w:rPr>
        <w:t xml:space="preserve">the </w:t>
      </w:r>
      <w:r w:rsidR="00B40BE0" w:rsidRPr="00920A27">
        <w:rPr>
          <w:lang w:val="en-US"/>
        </w:rPr>
        <w:t xml:space="preserve">future </w:t>
      </w:r>
      <w:r w:rsidR="00FB46B8" w:rsidRPr="00920A27">
        <w:rPr>
          <w:lang w:val="en-US"/>
        </w:rPr>
        <w:t xml:space="preserve">may be proposed </w:t>
      </w:r>
      <w:r w:rsidR="00B40BE0" w:rsidRPr="00920A27">
        <w:rPr>
          <w:lang w:val="en-US"/>
        </w:rPr>
        <w:t>when required</w:t>
      </w:r>
    </w:p>
    <w:p w14:paraId="0DD6E14D" w14:textId="019C9701" w:rsidR="0009563C" w:rsidRPr="00920A27" w:rsidRDefault="00671A30" w:rsidP="007E2E97">
      <w:pPr>
        <w:pStyle w:val="Heading1"/>
        <w:rPr>
          <w:lang w:val="en-US"/>
        </w:rPr>
      </w:pPr>
      <w:r>
        <w:rPr>
          <w:lang w:val="en-US"/>
        </w:rPr>
        <w:t xml:space="preserve">The savings associated with </w:t>
      </w:r>
      <w:r w:rsidR="001A5480">
        <w:rPr>
          <w:lang w:val="en-US"/>
        </w:rPr>
        <w:t>BL </w:t>
      </w:r>
      <w:r w:rsidR="003C28BC">
        <w:rPr>
          <w:lang w:val="en-US"/>
        </w:rPr>
        <w:t>1102</w:t>
      </w:r>
      <w:r w:rsidR="00B40BE0">
        <w:rPr>
          <w:lang w:val="en-US"/>
        </w:rPr>
        <w:t>,</w:t>
      </w:r>
      <w:r w:rsidR="001A5480">
        <w:rPr>
          <w:lang w:val="en-US"/>
        </w:rPr>
        <w:t xml:space="preserve"> BL </w:t>
      </w:r>
      <w:r w:rsidR="005A0812">
        <w:rPr>
          <w:lang w:val="en-US"/>
        </w:rPr>
        <w:t>1106</w:t>
      </w:r>
      <w:r w:rsidR="00B40BE0">
        <w:rPr>
          <w:lang w:val="en-US"/>
        </w:rPr>
        <w:t xml:space="preserve"> and </w:t>
      </w:r>
      <w:r w:rsidR="001A5480">
        <w:rPr>
          <w:lang w:val="en-US"/>
        </w:rPr>
        <w:t>BL </w:t>
      </w:r>
      <w:r w:rsidR="00B40BE0">
        <w:rPr>
          <w:lang w:val="en-US"/>
        </w:rPr>
        <w:t>1308</w:t>
      </w:r>
      <w:r w:rsidR="003C28BC">
        <w:rPr>
          <w:lang w:val="en-US"/>
        </w:rPr>
        <w:t xml:space="preserve">, </w:t>
      </w:r>
      <w:r>
        <w:rPr>
          <w:lang w:val="en-US"/>
        </w:rPr>
        <w:t xml:space="preserve">will offset </w:t>
      </w:r>
      <w:r w:rsidR="001F01DC">
        <w:rPr>
          <w:lang w:val="en-US"/>
        </w:rPr>
        <w:t xml:space="preserve">the costs for the </w:t>
      </w:r>
      <w:r>
        <w:rPr>
          <w:lang w:val="en-US"/>
        </w:rPr>
        <w:t xml:space="preserve">changes proposed in </w:t>
      </w:r>
      <w:r w:rsidR="001A5480">
        <w:rPr>
          <w:lang w:val="en-US"/>
        </w:rPr>
        <w:t>BL 1147, BL </w:t>
      </w:r>
      <w:r w:rsidR="003C28BC">
        <w:rPr>
          <w:lang w:val="en-US"/>
        </w:rPr>
        <w:t>1304</w:t>
      </w:r>
      <w:r w:rsidR="005A0812">
        <w:rPr>
          <w:lang w:val="en-US"/>
        </w:rPr>
        <w:t xml:space="preserve">, </w:t>
      </w:r>
      <w:r w:rsidR="001A5480">
        <w:rPr>
          <w:lang w:val="en-US"/>
        </w:rPr>
        <w:t>BL </w:t>
      </w:r>
      <w:r w:rsidR="003C28BC">
        <w:rPr>
          <w:lang w:val="en-US"/>
        </w:rPr>
        <w:t>1344</w:t>
      </w:r>
      <w:r w:rsidR="001A5480">
        <w:rPr>
          <w:lang w:val="en-US"/>
        </w:rPr>
        <w:t xml:space="preserve"> </w:t>
      </w:r>
      <w:r w:rsidR="001A5480" w:rsidRPr="00920A27">
        <w:rPr>
          <w:lang w:val="en-US"/>
        </w:rPr>
        <w:t>and BL </w:t>
      </w:r>
      <w:r w:rsidR="005A0812" w:rsidRPr="00920A27">
        <w:rPr>
          <w:lang w:val="en-US"/>
        </w:rPr>
        <w:t>1345</w:t>
      </w:r>
      <w:r w:rsidRPr="00920A27">
        <w:rPr>
          <w:lang w:val="en-US"/>
        </w:rPr>
        <w:t>.</w:t>
      </w:r>
    </w:p>
    <w:p w14:paraId="4E0402EE" w14:textId="2A9D6A5C" w:rsidR="004979CF" w:rsidRPr="00E17C19" w:rsidRDefault="004979CF" w:rsidP="0016667D">
      <w:pPr>
        <w:pStyle w:val="Heading2"/>
        <w:numPr>
          <w:ilvl w:val="0"/>
          <w:numId w:val="0"/>
        </w:numPr>
        <w:rPr>
          <w:i/>
          <w:lang w:val="en-US"/>
        </w:rPr>
      </w:pPr>
      <w:r w:rsidRPr="00673B8D">
        <w:rPr>
          <w:i/>
          <w:lang w:val="en-US"/>
        </w:rPr>
        <w:t>Compa</w:t>
      </w:r>
      <w:r w:rsidR="00303A23" w:rsidRPr="00E17C19">
        <w:rPr>
          <w:i/>
          <w:lang w:val="en-US"/>
        </w:rPr>
        <w:t>rison of the budget for 20</w:t>
      </w:r>
      <w:r w:rsidR="00A01E0B">
        <w:rPr>
          <w:i/>
          <w:lang w:val="en-US"/>
        </w:rPr>
        <w:t>20</w:t>
      </w:r>
      <w:r w:rsidR="00303A23" w:rsidRPr="00E17C19">
        <w:rPr>
          <w:i/>
          <w:lang w:val="en-US"/>
        </w:rPr>
        <w:t>-2022</w:t>
      </w:r>
    </w:p>
    <w:p w14:paraId="0AF1390F" w14:textId="0AF91357" w:rsidR="004979CF" w:rsidRPr="00E17C19" w:rsidRDefault="004979CF" w:rsidP="0016667D">
      <w:pPr>
        <w:pStyle w:val="Heading1"/>
      </w:pPr>
      <w:r w:rsidRPr="00E17C19">
        <w:t xml:space="preserve">In line with decision </w:t>
      </w:r>
      <w:r w:rsidR="006E491A" w:rsidRPr="00E17C19">
        <w:t>8</w:t>
      </w:r>
      <w:r w:rsidR="006D5737">
        <w:t>6</w:t>
      </w:r>
      <w:r w:rsidR="006E491A" w:rsidRPr="00E17C19">
        <w:t>/6</w:t>
      </w:r>
      <w:r w:rsidR="006D5737">
        <w:t>1</w:t>
      </w:r>
      <w:r w:rsidRPr="00E17C19">
        <w:t>(</w:t>
      </w:r>
      <w:r w:rsidR="006D5737">
        <w:t>d</w:t>
      </w:r>
      <w:r w:rsidRPr="00E17C19">
        <w:t>)(iv),</w:t>
      </w:r>
      <w:r w:rsidRPr="00E17C19">
        <w:rPr>
          <w:rStyle w:val="FootnoteReference"/>
        </w:rPr>
        <w:footnoteReference w:id="10"/>
      </w:r>
      <w:r w:rsidRPr="00E17C19">
        <w:t xml:space="preserve"> UNEP had provided a comparison of the </w:t>
      </w:r>
      <w:r w:rsidR="00895A9D" w:rsidRPr="00E17C19">
        <w:t xml:space="preserve">CAP </w:t>
      </w:r>
      <w:r w:rsidRPr="00E17C19">
        <w:t>budget fo</w:t>
      </w:r>
      <w:r w:rsidR="00562562">
        <w:t>r three years as shown in Table </w:t>
      </w:r>
      <w:r w:rsidRPr="00E17C19">
        <w:t>1</w:t>
      </w:r>
      <w:r w:rsidR="007337C6" w:rsidRPr="00E17C19">
        <w:t>.</w:t>
      </w:r>
    </w:p>
    <w:p w14:paraId="556614BA" w14:textId="173EF421" w:rsidR="00DE222C" w:rsidRPr="00E17C19" w:rsidRDefault="00DE222C" w:rsidP="00DE222C">
      <w:pPr>
        <w:keepNext/>
        <w:rPr>
          <w:b/>
        </w:rPr>
      </w:pPr>
      <w:r w:rsidRPr="00673B8D">
        <w:rPr>
          <w:b/>
        </w:rPr>
        <w:t>Table 1: CAP budget for 20</w:t>
      </w:r>
      <w:r w:rsidR="00A01E0B">
        <w:rPr>
          <w:b/>
        </w:rPr>
        <w:t>20</w:t>
      </w:r>
      <w:r w:rsidRPr="00673B8D">
        <w:rPr>
          <w:b/>
        </w:rPr>
        <w:t>-</w:t>
      </w:r>
      <w:r w:rsidRPr="00E17C19">
        <w:rPr>
          <w:b/>
        </w:rPr>
        <w:t xml:space="preserve">2022 </w:t>
      </w:r>
      <w:r w:rsidRPr="00673B8D">
        <w:rPr>
          <w:b/>
        </w:rPr>
        <w:t>(</w:t>
      </w:r>
      <w:r w:rsidR="0016667D">
        <w:rPr>
          <w:b/>
        </w:rPr>
        <w:t>US $</w:t>
      </w:r>
      <w:r w:rsidRPr="00673B8D">
        <w:rPr>
          <w:b/>
        </w:rPr>
        <w:t>)</w:t>
      </w:r>
    </w:p>
    <w:tbl>
      <w:tblPr>
        <w:tblStyle w:val="TableGrid"/>
        <w:tblW w:w="9355" w:type="dxa"/>
        <w:tblLayout w:type="fixed"/>
        <w:tblLook w:val="04A0" w:firstRow="1" w:lastRow="0" w:firstColumn="1" w:lastColumn="0" w:noHBand="0" w:noVBand="1"/>
      </w:tblPr>
      <w:tblGrid>
        <w:gridCol w:w="2785"/>
        <w:gridCol w:w="1080"/>
        <w:gridCol w:w="1170"/>
        <w:gridCol w:w="990"/>
        <w:gridCol w:w="990"/>
        <w:gridCol w:w="1202"/>
        <w:gridCol w:w="1138"/>
      </w:tblGrid>
      <w:tr w:rsidR="003003A0" w:rsidRPr="00B8214C" w14:paraId="1ACEBFA4" w14:textId="77777777" w:rsidTr="00562562">
        <w:tc>
          <w:tcPr>
            <w:tcW w:w="2785" w:type="dxa"/>
            <w:vMerge w:val="restart"/>
            <w:tcMar>
              <w:left w:w="0" w:type="dxa"/>
              <w:right w:w="0" w:type="dxa"/>
            </w:tcMar>
            <w:vAlign w:val="center"/>
          </w:tcPr>
          <w:p w14:paraId="6BC82166" w14:textId="32D1D56F" w:rsidR="003003A0" w:rsidRPr="00B8214C" w:rsidRDefault="003003A0" w:rsidP="0016667D">
            <w:pPr>
              <w:jc w:val="left"/>
              <w:rPr>
                <w:b/>
                <w:sz w:val="18"/>
                <w:szCs w:val="18"/>
              </w:rPr>
            </w:pPr>
            <w:r w:rsidRPr="00B8214C">
              <w:rPr>
                <w:b/>
                <w:sz w:val="18"/>
                <w:szCs w:val="18"/>
              </w:rPr>
              <w:t>Budget item</w:t>
            </w:r>
          </w:p>
        </w:tc>
        <w:tc>
          <w:tcPr>
            <w:tcW w:w="3240" w:type="dxa"/>
            <w:gridSpan w:val="3"/>
            <w:tcMar>
              <w:left w:w="0" w:type="dxa"/>
              <w:right w:w="0" w:type="dxa"/>
            </w:tcMar>
          </w:tcPr>
          <w:p w14:paraId="3B06F9AA" w14:textId="750CEC9E" w:rsidR="003003A0" w:rsidRPr="00B8214C" w:rsidRDefault="003003A0" w:rsidP="0016667D">
            <w:pPr>
              <w:jc w:val="center"/>
              <w:rPr>
                <w:b/>
                <w:sz w:val="18"/>
                <w:szCs w:val="18"/>
              </w:rPr>
            </w:pPr>
            <w:r w:rsidRPr="00B8214C">
              <w:rPr>
                <w:b/>
                <w:sz w:val="18"/>
                <w:szCs w:val="18"/>
              </w:rPr>
              <w:t>2020</w:t>
            </w:r>
          </w:p>
        </w:tc>
        <w:tc>
          <w:tcPr>
            <w:tcW w:w="2192" w:type="dxa"/>
            <w:gridSpan w:val="2"/>
            <w:tcMar>
              <w:left w:w="0" w:type="dxa"/>
              <w:right w:w="0" w:type="dxa"/>
            </w:tcMar>
          </w:tcPr>
          <w:p w14:paraId="6F84F22C" w14:textId="1C3FF349" w:rsidR="003003A0" w:rsidRPr="00B8214C" w:rsidRDefault="003003A0" w:rsidP="0016667D">
            <w:pPr>
              <w:jc w:val="center"/>
              <w:rPr>
                <w:b/>
                <w:sz w:val="18"/>
                <w:szCs w:val="18"/>
              </w:rPr>
            </w:pPr>
            <w:r w:rsidRPr="00B8214C">
              <w:rPr>
                <w:b/>
                <w:sz w:val="18"/>
                <w:szCs w:val="18"/>
              </w:rPr>
              <w:t>2021</w:t>
            </w:r>
          </w:p>
        </w:tc>
        <w:tc>
          <w:tcPr>
            <w:tcW w:w="1138" w:type="dxa"/>
            <w:tcMar>
              <w:left w:w="0" w:type="dxa"/>
              <w:right w:w="0" w:type="dxa"/>
            </w:tcMar>
          </w:tcPr>
          <w:p w14:paraId="5A4B6E2E" w14:textId="365DEE3E" w:rsidR="003003A0" w:rsidRPr="00B8214C" w:rsidRDefault="003003A0" w:rsidP="0016667D">
            <w:pPr>
              <w:jc w:val="center"/>
              <w:rPr>
                <w:b/>
                <w:sz w:val="18"/>
                <w:szCs w:val="18"/>
              </w:rPr>
            </w:pPr>
            <w:r w:rsidRPr="00B8214C">
              <w:rPr>
                <w:b/>
                <w:sz w:val="18"/>
                <w:szCs w:val="18"/>
              </w:rPr>
              <w:t>2022</w:t>
            </w:r>
          </w:p>
        </w:tc>
      </w:tr>
      <w:tr w:rsidR="006A7408" w:rsidRPr="00B8214C" w14:paraId="205C3CFF" w14:textId="77777777" w:rsidTr="00562562">
        <w:tc>
          <w:tcPr>
            <w:tcW w:w="2785" w:type="dxa"/>
            <w:vMerge/>
            <w:tcMar>
              <w:left w:w="85" w:type="dxa"/>
              <w:right w:w="85" w:type="dxa"/>
            </w:tcMar>
          </w:tcPr>
          <w:p w14:paraId="699E939C" w14:textId="77777777" w:rsidR="003003A0" w:rsidRPr="00B8214C" w:rsidRDefault="003003A0" w:rsidP="00EF1E6D">
            <w:pPr>
              <w:rPr>
                <w:b/>
                <w:sz w:val="18"/>
                <w:szCs w:val="18"/>
              </w:rPr>
            </w:pPr>
          </w:p>
        </w:tc>
        <w:tc>
          <w:tcPr>
            <w:tcW w:w="1080" w:type="dxa"/>
            <w:tcMar>
              <w:left w:w="0" w:type="dxa"/>
              <w:right w:w="0" w:type="dxa"/>
            </w:tcMar>
            <w:vAlign w:val="center"/>
          </w:tcPr>
          <w:p w14:paraId="1375AD4D" w14:textId="2C276498" w:rsidR="003003A0" w:rsidRPr="00B8214C" w:rsidRDefault="003003A0" w:rsidP="0016667D">
            <w:pPr>
              <w:jc w:val="center"/>
              <w:rPr>
                <w:b/>
                <w:sz w:val="18"/>
                <w:szCs w:val="18"/>
              </w:rPr>
            </w:pPr>
            <w:r w:rsidRPr="00B8214C">
              <w:rPr>
                <w:b/>
                <w:sz w:val="18"/>
                <w:szCs w:val="18"/>
              </w:rPr>
              <w:t>Approved</w:t>
            </w:r>
          </w:p>
        </w:tc>
        <w:tc>
          <w:tcPr>
            <w:tcW w:w="1170" w:type="dxa"/>
            <w:tcMar>
              <w:left w:w="0" w:type="dxa"/>
              <w:right w:w="0" w:type="dxa"/>
            </w:tcMar>
            <w:vAlign w:val="center"/>
          </w:tcPr>
          <w:p w14:paraId="248615ED" w14:textId="5596A0ED" w:rsidR="003003A0" w:rsidRPr="00B8214C" w:rsidRDefault="003003A0" w:rsidP="0016667D">
            <w:pPr>
              <w:jc w:val="center"/>
              <w:rPr>
                <w:b/>
                <w:sz w:val="18"/>
                <w:szCs w:val="18"/>
              </w:rPr>
            </w:pPr>
            <w:r w:rsidRPr="00B8214C">
              <w:rPr>
                <w:b/>
                <w:sz w:val="18"/>
                <w:szCs w:val="18"/>
              </w:rPr>
              <w:t>Actual expenditure</w:t>
            </w:r>
          </w:p>
        </w:tc>
        <w:tc>
          <w:tcPr>
            <w:tcW w:w="990" w:type="dxa"/>
            <w:tcMar>
              <w:left w:w="0" w:type="dxa"/>
              <w:right w:w="0" w:type="dxa"/>
            </w:tcMar>
            <w:vAlign w:val="center"/>
          </w:tcPr>
          <w:p w14:paraId="4703EC5B" w14:textId="31347EBC" w:rsidR="003003A0" w:rsidRPr="00B8214C" w:rsidRDefault="003003A0" w:rsidP="0016667D">
            <w:pPr>
              <w:jc w:val="center"/>
              <w:rPr>
                <w:b/>
                <w:sz w:val="18"/>
                <w:szCs w:val="18"/>
              </w:rPr>
            </w:pPr>
            <w:r w:rsidRPr="00B8214C">
              <w:rPr>
                <w:b/>
                <w:sz w:val="18"/>
                <w:szCs w:val="18"/>
              </w:rPr>
              <w:t>Balance</w:t>
            </w:r>
          </w:p>
        </w:tc>
        <w:tc>
          <w:tcPr>
            <w:tcW w:w="990" w:type="dxa"/>
            <w:tcMar>
              <w:left w:w="0" w:type="dxa"/>
              <w:right w:w="0" w:type="dxa"/>
            </w:tcMar>
            <w:vAlign w:val="center"/>
          </w:tcPr>
          <w:p w14:paraId="7C8F2EEE" w14:textId="368F28F7" w:rsidR="003003A0" w:rsidRPr="00B8214C" w:rsidRDefault="003003A0" w:rsidP="0016667D">
            <w:pPr>
              <w:jc w:val="center"/>
              <w:rPr>
                <w:b/>
                <w:sz w:val="18"/>
                <w:szCs w:val="18"/>
              </w:rPr>
            </w:pPr>
            <w:r w:rsidRPr="00B8214C">
              <w:rPr>
                <w:b/>
                <w:sz w:val="18"/>
                <w:szCs w:val="18"/>
              </w:rPr>
              <w:t>Approved</w:t>
            </w:r>
          </w:p>
        </w:tc>
        <w:tc>
          <w:tcPr>
            <w:tcW w:w="1202" w:type="dxa"/>
            <w:tcMar>
              <w:left w:w="0" w:type="dxa"/>
              <w:right w:w="0" w:type="dxa"/>
            </w:tcMar>
            <w:vAlign w:val="center"/>
          </w:tcPr>
          <w:p w14:paraId="1C08526E" w14:textId="04DE32F4" w:rsidR="003003A0" w:rsidRPr="00B8214C" w:rsidRDefault="003003A0" w:rsidP="0016667D">
            <w:pPr>
              <w:jc w:val="center"/>
              <w:rPr>
                <w:b/>
                <w:sz w:val="18"/>
                <w:szCs w:val="18"/>
              </w:rPr>
            </w:pPr>
            <w:r w:rsidRPr="00B8214C">
              <w:rPr>
                <w:b/>
                <w:sz w:val="18"/>
                <w:szCs w:val="18"/>
              </w:rPr>
              <w:t xml:space="preserve">Estimated expenditure* </w:t>
            </w:r>
          </w:p>
        </w:tc>
        <w:tc>
          <w:tcPr>
            <w:tcW w:w="1138" w:type="dxa"/>
            <w:tcMar>
              <w:left w:w="0" w:type="dxa"/>
              <w:right w:w="0" w:type="dxa"/>
            </w:tcMar>
            <w:vAlign w:val="center"/>
          </w:tcPr>
          <w:p w14:paraId="064F0415" w14:textId="5755652B" w:rsidR="003003A0" w:rsidRPr="00B8214C" w:rsidRDefault="003003A0" w:rsidP="0016667D">
            <w:pPr>
              <w:jc w:val="center"/>
              <w:rPr>
                <w:b/>
                <w:sz w:val="18"/>
                <w:szCs w:val="18"/>
              </w:rPr>
            </w:pPr>
            <w:r w:rsidRPr="00B8214C">
              <w:rPr>
                <w:b/>
                <w:sz w:val="18"/>
                <w:szCs w:val="18"/>
              </w:rPr>
              <w:t>Proposed</w:t>
            </w:r>
          </w:p>
        </w:tc>
      </w:tr>
      <w:tr w:rsidR="006A7408" w:rsidRPr="00B8214C" w14:paraId="6897CB97" w14:textId="77777777" w:rsidTr="00562562">
        <w:tc>
          <w:tcPr>
            <w:tcW w:w="2785" w:type="dxa"/>
            <w:tcMar>
              <w:left w:w="29" w:type="dxa"/>
              <w:right w:w="0" w:type="dxa"/>
            </w:tcMar>
          </w:tcPr>
          <w:p w14:paraId="0D9CD24A" w14:textId="5EDC3B16" w:rsidR="003003A0" w:rsidRPr="00B8214C" w:rsidRDefault="003003A0" w:rsidP="0016667D">
            <w:pPr>
              <w:jc w:val="left"/>
              <w:rPr>
                <w:sz w:val="18"/>
                <w:szCs w:val="18"/>
              </w:rPr>
            </w:pPr>
            <w:r w:rsidRPr="00B8214C">
              <w:rPr>
                <w:sz w:val="18"/>
                <w:szCs w:val="18"/>
              </w:rPr>
              <w:t>Staff and consultants</w:t>
            </w:r>
          </w:p>
        </w:tc>
        <w:tc>
          <w:tcPr>
            <w:tcW w:w="1080" w:type="dxa"/>
            <w:tcMar>
              <w:left w:w="85" w:type="dxa"/>
              <w:right w:w="85" w:type="dxa"/>
            </w:tcMar>
          </w:tcPr>
          <w:p w14:paraId="56803E68" w14:textId="526E3F92" w:rsidR="003003A0" w:rsidRPr="00B8214C" w:rsidRDefault="003003A0" w:rsidP="00DE222C">
            <w:pPr>
              <w:jc w:val="right"/>
              <w:rPr>
                <w:sz w:val="18"/>
                <w:szCs w:val="18"/>
              </w:rPr>
            </w:pPr>
            <w:r w:rsidRPr="00B8214C">
              <w:rPr>
                <w:color w:val="000000"/>
                <w:sz w:val="18"/>
                <w:szCs w:val="18"/>
                <w:lang w:eastAsia="en-GB"/>
              </w:rPr>
              <w:t>7,069,000</w:t>
            </w:r>
          </w:p>
        </w:tc>
        <w:tc>
          <w:tcPr>
            <w:tcW w:w="1170" w:type="dxa"/>
            <w:tcMar>
              <w:left w:w="85" w:type="dxa"/>
              <w:right w:w="85" w:type="dxa"/>
            </w:tcMar>
          </w:tcPr>
          <w:p w14:paraId="10E6FA1F" w14:textId="3282A8EE" w:rsidR="003003A0" w:rsidRPr="00B8214C" w:rsidRDefault="003003A0" w:rsidP="00DE222C">
            <w:pPr>
              <w:jc w:val="right"/>
              <w:rPr>
                <w:sz w:val="18"/>
                <w:szCs w:val="18"/>
              </w:rPr>
            </w:pPr>
            <w:r w:rsidRPr="00B8214C">
              <w:rPr>
                <w:color w:val="000000"/>
                <w:sz w:val="18"/>
                <w:szCs w:val="18"/>
                <w:lang w:eastAsia="en-GB"/>
              </w:rPr>
              <w:t>5,464,560</w:t>
            </w:r>
          </w:p>
        </w:tc>
        <w:tc>
          <w:tcPr>
            <w:tcW w:w="990" w:type="dxa"/>
            <w:tcMar>
              <w:left w:w="85" w:type="dxa"/>
              <w:right w:w="85" w:type="dxa"/>
            </w:tcMar>
          </w:tcPr>
          <w:p w14:paraId="08161EAE" w14:textId="59978003" w:rsidR="003003A0" w:rsidRPr="00B8214C" w:rsidRDefault="003003A0" w:rsidP="00DE222C">
            <w:pPr>
              <w:jc w:val="right"/>
              <w:rPr>
                <w:sz w:val="18"/>
                <w:szCs w:val="18"/>
              </w:rPr>
            </w:pPr>
            <w:r w:rsidRPr="00B8214C">
              <w:rPr>
                <w:color w:val="000000"/>
                <w:sz w:val="18"/>
                <w:szCs w:val="18"/>
                <w:lang w:eastAsia="en-GB"/>
              </w:rPr>
              <w:t xml:space="preserve">1,604,440 </w:t>
            </w:r>
          </w:p>
        </w:tc>
        <w:tc>
          <w:tcPr>
            <w:tcW w:w="990" w:type="dxa"/>
            <w:tcMar>
              <w:left w:w="85" w:type="dxa"/>
              <w:right w:w="85" w:type="dxa"/>
            </w:tcMar>
          </w:tcPr>
          <w:p w14:paraId="53A39B27" w14:textId="202117B3" w:rsidR="003003A0" w:rsidRPr="00B8214C" w:rsidRDefault="003003A0" w:rsidP="00DE222C">
            <w:pPr>
              <w:jc w:val="right"/>
              <w:rPr>
                <w:sz w:val="18"/>
                <w:szCs w:val="18"/>
              </w:rPr>
            </w:pPr>
            <w:r w:rsidRPr="00B8214C">
              <w:rPr>
                <w:color w:val="000000"/>
                <w:sz w:val="18"/>
                <w:szCs w:val="18"/>
                <w:lang w:eastAsia="en-GB"/>
              </w:rPr>
              <w:t>7,069,000</w:t>
            </w:r>
          </w:p>
        </w:tc>
        <w:tc>
          <w:tcPr>
            <w:tcW w:w="1202" w:type="dxa"/>
            <w:tcMar>
              <w:left w:w="85" w:type="dxa"/>
              <w:right w:w="85" w:type="dxa"/>
            </w:tcMar>
          </w:tcPr>
          <w:p w14:paraId="46840BDF" w14:textId="3096FAD5" w:rsidR="003003A0" w:rsidRPr="00B8214C" w:rsidRDefault="003003A0" w:rsidP="00DE222C">
            <w:pPr>
              <w:jc w:val="right"/>
              <w:rPr>
                <w:sz w:val="18"/>
                <w:szCs w:val="18"/>
              </w:rPr>
            </w:pPr>
            <w:r w:rsidRPr="00B8214C">
              <w:rPr>
                <w:color w:val="000000"/>
                <w:sz w:val="18"/>
                <w:szCs w:val="18"/>
                <w:lang w:eastAsia="en-GB"/>
              </w:rPr>
              <w:t>3,947,005</w:t>
            </w:r>
          </w:p>
        </w:tc>
        <w:tc>
          <w:tcPr>
            <w:tcW w:w="1138" w:type="dxa"/>
            <w:tcMar>
              <w:left w:w="85" w:type="dxa"/>
              <w:right w:w="85" w:type="dxa"/>
            </w:tcMar>
          </w:tcPr>
          <w:p w14:paraId="52C848A5" w14:textId="179E3DE4" w:rsidR="003003A0" w:rsidRPr="00B8214C" w:rsidRDefault="003003A0" w:rsidP="00DE222C">
            <w:pPr>
              <w:jc w:val="right"/>
              <w:rPr>
                <w:sz w:val="18"/>
                <w:szCs w:val="18"/>
              </w:rPr>
            </w:pPr>
            <w:r w:rsidRPr="00B8214C">
              <w:rPr>
                <w:sz w:val="18"/>
                <w:szCs w:val="18"/>
              </w:rPr>
              <w:t>7,183,900</w:t>
            </w:r>
          </w:p>
        </w:tc>
      </w:tr>
      <w:tr w:rsidR="006A7408" w:rsidRPr="00B8214C" w14:paraId="1030842B" w14:textId="77777777" w:rsidTr="00562562">
        <w:tc>
          <w:tcPr>
            <w:tcW w:w="2785" w:type="dxa"/>
            <w:tcMar>
              <w:left w:w="29" w:type="dxa"/>
              <w:right w:w="0" w:type="dxa"/>
            </w:tcMar>
          </w:tcPr>
          <w:p w14:paraId="226A3E0B" w14:textId="41D3B2CE" w:rsidR="003003A0" w:rsidRPr="00B8214C" w:rsidRDefault="003003A0" w:rsidP="00DE222C">
            <w:pPr>
              <w:rPr>
                <w:sz w:val="18"/>
                <w:szCs w:val="18"/>
              </w:rPr>
            </w:pPr>
            <w:r w:rsidRPr="00B8214C">
              <w:rPr>
                <w:sz w:val="18"/>
                <w:szCs w:val="18"/>
              </w:rPr>
              <w:t>Travel</w:t>
            </w:r>
          </w:p>
        </w:tc>
        <w:tc>
          <w:tcPr>
            <w:tcW w:w="1080" w:type="dxa"/>
            <w:tcMar>
              <w:left w:w="85" w:type="dxa"/>
              <w:right w:w="85" w:type="dxa"/>
            </w:tcMar>
          </w:tcPr>
          <w:p w14:paraId="245397D7" w14:textId="3BDF5965" w:rsidR="003003A0" w:rsidRPr="00B8214C" w:rsidRDefault="003003A0" w:rsidP="00DE222C">
            <w:pPr>
              <w:jc w:val="right"/>
              <w:rPr>
                <w:sz w:val="18"/>
                <w:szCs w:val="18"/>
              </w:rPr>
            </w:pPr>
            <w:r w:rsidRPr="00B8214C">
              <w:rPr>
                <w:color w:val="000000"/>
                <w:sz w:val="18"/>
                <w:szCs w:val="18"/>
                <w:lang w:eastAsia="en-GB"/>
              </w:rPr>
              <w:t>548,000</w:t>
            </w:r>
          </w:p>
        </w:tc>
        <w:tc>
          <w:tcPr>
            <w:tcW w:w="1170" w:type="dxa"/>
            <w:tcMar>
              <w:left w:w="85" w:type="dxa"/>
              <w:right w:w="85" w:type="dxa"/>
            </w:tcMar>
          </w:tcPr>
          <w:p w14:paraId="35F4D26C" w14:textId="2416CCDB" w:rsidR="003003A0" w:rsidRPr="00B8214C" w:rsidRDefault="003003A0" w:rsidP="00DE222C">
            <w:pPr>
              <w:jc w:val="right"/>
              <w:rPr>
                <w:sz w:val="18"/>
                <w:szCs w:val="18"/>
              </w:rPr>
            </w:pPr>
            <w:r w:rsidRPr="00B8214C">
              <w:rPr>
                <w:color w:val="000000"/>
                <w:sz w:val="18"/>
                <w:szCs w:val="18"/>
                <w:lang w:eastAsia="en-GB"/>
              </w:rPr>
              <w:t>39,080</w:t>
            </w:r>
          </w:p>
        </w:tc>
        <w:tc>
          <w:tcPr>
            <w:tcW w:w="990" w:type="dxa"/>
            <w:tcMar>
              <w:left w:w="85" w:type="dxa"/>
              <w:right w:w="85" w:type="dxa"/>
            </w:tcMar>
          </w:tcPr>
          <w:p w14:paraId="0C393F5F" w14:textId="19BDB844" w:rsidR="003003A0" w:rsidRPr="00B8214C" w:rsidRDefault="003003A0" w:rsidP="00DE222C">
            <w:pPr>
              <w:jc w:val="right"/>
              <w:rPr>
                <w:sz w:val="18"/>
                <w:szCs w:val="18"/>
              </w:rPr>
            </w:pPr>
            <w:r w:rsidRPr="00B8214C">
              <w:rPr>
                <w:color w:val="000000"/>
                <w:sz w:val="18"/>
                <w:szCs w:val="18"/>
                <w:lang w:eastAsia="en-GB"/>
              </w:rPr>
              <w:t>508,920</w:t>
            </w:r>
          </w:p>
        </w:tc>
        <w:tc>
          <w:tcPr>
            <w:tcW w:w="990" w:type="dxa"/>
            <w:tcMar>
              <w:left w:w="85" w:type="dxa"/>
              <w:right w:w="85" w:type="dxa"/>
            </w:tcMar>
          </w:tcPr>
          <w:p w14:paraId="0B40D397" w14:textId="2B2177D3" w:rsidR="003003A0" w:rsidRPr="00B8214C" w:rsidRDefault="003003A0" w:rsidP="00DE222C">
            <w:pPr>
              <w:jc w:val="right"/>
              <w:rPr>
                <w:sz w:val="18"/>
                <w:szCs w:val="18"/>
              </w:rPr>
            </w:pPr>
            <w:r w:rsidRPr="00B8214C">
              <w:rPr>
                <w:color w:val="000000"/>
                <w:sz w:val="18"/>
                <w:szCs w:val="18"/>
                <w:lang w:eastAsia="en-GB"/>
              </w:rPr>
              <w:t>548,000</w:t>
            </w:r>
          </w:p>
        </w:tc>
        <w:tc>
          <w:tcPr>
            <w:tcW w:w="1202" w:type="dxa"/>
            <w:tcMar>
              <w:left w:w="85" w:type="dxa"/>
              <w:right w:w="85" w:type="dxa"/>
            </w:tcMar>
          </w:tcPr>
          <w:p w14:paraId="5102048C" w14:textId="3DFEA734" w:rsidR="003003A0" w:rsidRPr="00B8214C" w:rsidRDefault="003003A0" w:rsidP="00DE222C">
            <w:pPr>
              <w:jc w:val="right"/>
              <w:rPr>
                <w:sz w:val="18"/>
                <w:szCs w:val="18"/>
              </w:rPr>
            </w:pPr>
            <w:r w:rsidRPr="00B8214C">
              <w:rPr>
                <w:color w:val="000000"/>
                <w:sz w:val="18"/>
                <w:szCs w:val="18"/>
                <w:lang w:eastAsia="en-GB"/>
              </w:rPr>
              <w:t>1,580</w:t>
            </w:r>
          </w:p>
        </w:tc>
        <w:tc>
          <w:tcPr>
            <w:tcW w:w="1138" w:type="dxa"/>
            <w:tcMar>
              <w:left w:w="85" w:type="dxa"/>
              <w:right w:w="85" w:type="dxa"/>
            </w:tcMar>
          </w:tcPr>
          <w:p w14:paraId="55754DA5" w14:textId="2CB9243A" w:rsidR="003003A0" w:rsidRPr="00B8214C" w:rsidRDefault="003003A0" w:rsidP="00DE222C">
            <w:pPr>
              <w:jc w:val="right"/>
              <w:rPr>
                <w:sz w:val="18"/>
                <w:szCs w:val="18"/>
              </w:rPr>
            </w:pPr>
            <w:r w:rsidRPr="00B8214C">
              <w:rPr>
                <w:sz w:val="18"/>
                <w:szCs w:val="18"/>
              </w:rPr>
              <w:t>548,000</w:t>
            </w:r>
          </w:p>
        </w:tc>
      </w:tr>
      <w:tr w:rsidR="006A7408" w:rsidRPr="00B8214C" w14:paraId="6D52E589" w14:textId="77777777" w:rsidTr="00562562">
        <w:tc>
          <w:tcPr>
            <w:tcW w:w="2785" w:type="dxa"/>
            <w:tcMar>
              <w:left w:w="29" w:type="dxa"/>
              <w:right w:w="0" w:type="dxa"/>
            </w:tcMar>
          </w:tcPr>
          <w:p w14:paraId="304B1534" w14:textId="274EB664" w:rsidR="003003A0" w:rsidRPr="00B8214C" w:rsidRDefault="003003A0" w:rsidP="00DE222C">
            <w:pPr>
              <w:rPr>
                <w:sz w:val="18"/>
                <w:szCs w:val="18"/>
              </w:rPr>
            </w:pPr>
            <w:r w:rsidRPr="00B8214C">
              <w:rPr>
                <w:sz w:val="18"/>
                <w:szCs w:val="18"/>
              </w:rPr>
              <w:t>Regional activities and meetings**</w:t>
            </w:r>
          </w:p>
        </w:tc>
        <w:tc>
          <w:tcPr>
            <w:tcW w:w="1080" w:type="dxa"/>
            <w:tcMar>
              <w:left w:w="85" w:type="dxa"/>
              <w:right w:w="85" w:type="dxa"/>
            </w:tcMar>
          </w:tcPr>
          <w:p w14:paraId="235AF68C" w14:textId="688F2E0B" w:rsidR="003003A0" w:rsidRPr="00B8214C" w:rsidRDefault="003003A0" w:rsidP="00DE222C">
            <w:pPr>
              <w:jc w:val="right"/>
              <w:rPr>
                <w:sz w:val="18"/>
                <w:szCs w:val="18"/>
              </w:rPr>
            </w:pPr>
            <w:r w:rsidRPr="00B8214C">
              <w:rPr>
                <w:color w:val="000000"/>
                <w:sz w:val="18"/>
                <w:szCs w:val="18"/>
                <w:lang w:eastAsia="en-GB"/>
              </w:rPr>
              <w:t>1,262,000</w:t>
            </w:r>
          </w:p>
        </w:tc>
        <w:tc>
          <w:tcPr>
            <w:tcW w:w="1170" w:type="dxa"/>
            <w:tcMar>
              <w:left w:w="85" w:type="dxa"/>
              <w:right w:w="85" w:type="dxa"/>
            </w:tcMar>
          </w:tcPr>
          <w:p w14:paraId="73B11BEB" w14:textId="1E52BFDA" w:rsidR="003003A0" w:rsidRPr="00B8214C" w:rsidRDefault="003003A0" w:rsidP="00DE222C">
            <w:pPr>
              <w:jc w:val="right"/>
              <w:rPr>
                <w:sz w:val="18"/>
                <w:szCs w:val="18"/>
              </w:rPr>
            </w:pPr>
            <w:r w:rsidRPr="00B8214C">
              <w:rPr>
                <w:color w:val="000000"/>
                <w:sz w:val="18"/>
                <w:szCs w:val="18"/>
                <w:lang w:eastAsia="en-GB"/>
              </w:rPr>
              <w:t xml:space="preserve">50,260 </w:t>
            </w:r>
          </w:p>
        </w:tc>
        <w:tc>
          <w:tcPr>
            <w:tcW w:w="990" w:type="dxa"/>
            <w:tcMar>
              <w:left w:w="85" w:type="dxa"/>
              <w:right w:w="85" w:type="dxa"/>
            </w:tcMar>
          </w:tcPr>
          <w:p w14:paraId="6C890D04" w14:textId="36844C07" w:rsidR="003003A0" w:rsidRPr="00B8214C" w:rsidRDefault="003003A0" w:rsidP="00DE222C">
            <w:pPr>
              <w:jc w:val="right"/>
              <w:rPr>
                <w:sz w:val="18"/>
                <w:szCs w:val="18"/>
              </w:rPr>
            </w:pPr>
            <w:r w:rsidRPr="00B8214C">
              <w:rPr>
                <w:color w:val="000000"/>
                <w:sz w:val="18"/>
                <w:szCs w:val="18"/>
                <w:lang w:eastAsia="en-GB"/>
              </w:rPr>
              <w:t xml:space="preserve"> 1,211,740 </w:t>
            </w:r>
          </w:p>
        </w:tc>
        <w:tc>
          <w:tcPr>
            <w:tcW w:w="990" w:type="dxa"/>
            <w:tcMar>
              <w:left w:w="85" w:type="dxa"/>
              <w:right w:w="85" w:type="dxa"/>
            </w:tcMar>
          </w:tcPr>
          <w:p w14:paraId="60C53C07" w14:textId="6D614FA7" w:rsidR="003003A0" w:rsidRPr="00B8214C" w:rsidRDefault="003003A0" w:rsidP="00DE222C">
            <w:pPr>
              <w:jc w:val="right"/>
              <w:rPr>
                <w:sz w:val="18"/>
                <w:szCs w:val="18"/>
              </w:rPr>
            </w:pPr>
            <w:r w:rsidRPr="00B8214C">
              <w:rPr>
                <w:color w:val="000000"/>
                <w:sz w:val="18"/>
                <w:szCs w:val="18"/>
                <w:lang w:eastAsia="en-GB"/>
              </w:rPr>
              <w:t>1,262,000</w:t>
            </w:r>
          </w:p>
        </w:tc>
        <w:tc>
          <w:tcPr>
            <w:tcW w:w="1202" w:type="dxa"/>
            <w:tcMar>
              <w:left w:w="85" w:type="dxa"/>
              <w:right w:w="85" w:type="dxa"/>
            </w:tcMar>
          </w:tcPr>
          <w:p w14:paraId="099CAFD7" w14:textId="4939AABC" w:rsidR="003003A0" w:rsidRPr="00B8214C" w:rsidRDefault="003003A0" w:rsidP="00DE222C">
            <w:pPr>
              <w:jc w:val="right"/>
              <w:rPr>
                <w:sz w:val="18"/>
                <w:szCs w:val="18"/>
              </w:rPr>
            </w:pPr>
            <w:r w:rsidRPr="00B8214C">
              <w:rPr>
                <w:color w:val="000000"/>
                <w:sz w:val="18"/>
                <w:szCs w:val="18"/>
                <w:lang w:eastAsia="en-GB"/>
              </w:rPr>
              <w:t>68,757</w:t>
            </w:r>
          </w:p>
        </w:tc>
        <w:tc>
          <w:tcPr>
            <w:tcW w:w="1138" w:type="dxa"/>
            <w:tcMar>
              <w:left w:w="85" w:type="dxa"/>
              <w:right w:w="85" w:type="dxa"/>
            </w:tcMar>
          </w:tcPr>
          <w:p w14:paraId="5B126FAB" w14:textId="55AF9B16" w:rsidR="003003A0" w:rsidRPr="00B8214C" w:rsidRDefault="003003A0" w:rsidP="00DE222C">
            <w:pPr>
              <w:jc w:val="right"/>
              <w:rPr>
                <w:sz w:val="18"/>
                <w:szCs w:val="18"/>
              </w:rPr>
            </w:pPr>
            <w:r w:rsidRPr="00B8214C">
              <w:rPr>
                <w:sz w:val="18"/>
                <w:szCs w:val="18"/>
              </w:rPr>
              <w:t>1,117,000</w:t>
            </w:r>
          </w:p>
        </w:tc>
      </w:tr>
      <w:tr w:rsidR="006A7408" w:rsidRPr="00B8214C" w14:paraId="460CC34A" w14:textId="77777777" w:rsidTr="00562562">
        <w:tc>
          <w:tcPr>
            <w:tcW w:w="2785" w:type="dxa"/>
            <w:tcMar>
              <w:left w:w="29" w:type="dxa"/>
              <w:right w:w="0" w:type="dxa"/>
            </w:tcMar>
          </w:tcPr>
          <w:p w14:paraId="203CA09F" w14:textId="11B7EFF9" w:rsidR="003003A0" w:rsidRPr="00B8214C" w:rsidRDefault="003003A0" w:rsidP="00DE222C">
            <w:pPr>
              <w:rPr>
                <w:sz w:val="18"/>
                <w:szCs w:val="18"/>
              </w:rPr>
            </w:pPr>
            <w:r w:rsidRPr="00B8214C">
              <w:rPr>
                <w:sz w:val="18"/>
                <w:szCs w:val="18"/>
              </w:rPr>
              <w:t>Global services***</w:t>
            </w:r>
          </w:p>
        </w:tc>
        <w:tc>
          <w:tcPr>
            <w:tcW w:w="1080" w:type="dxa"/>
            <w:tcMar>
              <w:left w:w="85" w:type="dxa"/>
              <w:right w:w="85" w:type="dxa"/>
            </w:tcMar>
          </w:tcPr>
          <w:p w14:paraId="35C56259" w14:textId="3910545D" w:rsidR="003003A0" w:rsidRPr="00B8214C" w:rsidRDefault="003003A0" w:rsidP="00DE222C">
            <w:pPr>
              <w:jc w:val="right"/>
              <w:rPr>
                <w:sz w:val="18"/>
                <w:szCs w:val="18"/>
              </w:rPr>
            </w:pPr>
            <w:r w:rsidRPr="00B8214C">
              <w:rPr>
                <w:color w:val="000000"/>
                <w:sz w:val="18"/>
                <w:szCs w:val="18"/>
                <w:lang w:eastAsia="en-GB"/>
              </w:rPr>
              <w:t>505,000</w:t>
            </w:r>
          </w:p>
        </w:tc>
        <w:tc>
          <w:tcPr>
            <w:tcW w:w="1170" w:type="dxa"/>
            <w:tcMar>
              <w:left w:w="85" w:type="dxa"/>
              <w:right w:w="85" w:type="dxa"/>
            </w:tcMar>
          </w:tcPr>
          <w:p w14:paraId="705AB676" w14:textId="218487A3" w:rsidR="003003A0" w:rsidRPr="00B8214C" w:rsidRDefault="003003A0" w:rsidP="00DE222C">
            <w:pPr>
              <w:jc w:val="right"/>
              <w:rPr>
                <w:sz w:val="18"/>
                <w:szCs w:val="18"/>
              </w:rPr>
            </w:pPr>
            <w:r w:rsidRPr="00B8214C">
              <w:rPr>
                <w:color w:val="000000"/>
                <w:sz w:val="18"/>
                <w:szCs w:val="18"/>
                <w:lang w:eastAsia="en-GB"/>
              </w:rPr>
              <w:t>365,045</w:t>
            </w:r>
          </w:p>
        </w:tc>
        <w:tc>
          <w:tcPr>
            <w:tcW w:w="990" w:type="dxa"/>
            <w:tcMar>
              <w:left w:w="85" w:type="dxa"/>
              <w:right w:w="85" w:type="dxa"/>
            </w:tcMar>
          </w:tcPr>
          <w:p w14:paraId="6316CDAB" w14:textId="7454326E" w:rsidR="003003A0" w:rsidRPr="00B8214C" w:rsidRDefault="003003A0" w:rsidP="00DE222C">
            <w:pPr>
              <w:jc w:val="right"/>
              <w:rPr>
                <w:sz w:val="18"/>
                <w:szCs w:val="18"/>
              </w:rPr>
            </w:pPr>
            <w:r w:rsidRPr="00B8214C">
              <w:rPr>
                <w:color w:val="000000"/>
                <w:sz w:val="18"/>
                <w:szCs w:val="18"/>
                <w:lang w:eastAsia="en-GB"/>
              </w:rPr>
              <w:t>139,955</w:t>
            </w:r>
          </w:p>
        </w:tc>
        <w:tc>
          <w:tcPr>
            <w:tcW w:w="990" w:type="dxa"/>
            <w:tcMar>
              <w:left w:w="85" w:type="dxa"/>
              <w:right w:w="85" w:type="dxa"/>
            </w:tcMar>
          </w:tcPr>
          <w:p w14:paraId="7CDCFC3F" w14:textId="4457CBE2" w:rsidR="003003A0" w:rsidRPr="00B8214C" w:rsidRDefault="003003A0" w:rsidP="00DE222C">
            <w:pPr>
              <w:jc w:val="right"/>
              <w:rPr>
                <w:sz w:val="18"/>
                <w:szCs w:val="18"/>
              </w:rPr>
            </w:pPr>
            <w:r w:rsidRPr="00B8214C">
              <w:rPr>
                <w:color w:val="000000"/>
                <w:sz w:val="18"/>
                <w:szCs w:val="18"/>
                <w:lang w:eastAsia="en-GB"/>
              </w:rPr>
              <w:t>505,000</w:t>
            </w:r>
          </w:p>
        </w:tc>
        <w:tc>
          <w:tcPr>
            <w:tcW w:w="1202" w:type="dxa"/>
            <w:tcMar>
              <w:left w:w="85" w:type="dxa"/>
              <w:right w:w="85" w:type="dxa"/>
            </w:tcMar>
          </w:tcPr>
          <w:p w14:paraId="44C60901" w14:textId="773571EB" w:rsidR="003003A0" w:rsidRPr="00B8214C" w:rsidRDefault="003003A0" w:rsidP="00DE222C">
            <w:pPr>
              <w:jc w:val="right"/>
              <w:rPr>
                <w:sz w:val="18"/>
                <w:szCs w:val="18"/>
              </w:rPr>
            </w:pPr>
            <w:r w:rsidRPr="00B8214C">
              <w:rPr>
                <w:color w:val="000000"/>
                <w:sz w:val="18"/>
                <w:szCs w:val="18"/>
                <w:lang w:eastAsia="en-GB"/>
              </w:rPr>
              <w:t>243,333</w:t>
            </w:r>
          </w:p>
        </w:tc>
        <w:tc>
          <w:tcPr>
            <w:tcW w:w="1138" w:type="dxa"/>
            <w:tcMar>
              <w:left w:w="85" w:type="dxa"/>
              <w:right w:w="85" w:type="dxa"/>
            </w:tcMar>
          </w:tcPr>
          <w:p w14:paraId="7C54389C" w14:textId="4CDD88E9" w:rsidR="003003A0" w:rsidRPr="00B8214C" w:rsidRDefault="003003A0" w:rsidP="00DE222C">
            <w:pPr>
              <w:jc w:val="right"/>
              <w:rPr>
                <w:sz w:val="18"/>
                <w:szCs w:val="18"/>
              </w:rPr>
            </w:pPr>
            <w:r w:rsidRPr="00B8214C">
              <w:rPr>
                <w:sz w:val="18"/>
                <w:szCs w:val="18"/>
              </w:rPr>
              <w:t>550,000</w:t>
            </w:r>
          </w:p>
        </w:tc>
      </w:tr>
      <w:tr w:rsidR="006A7408" w:rsidRPr="00B8214C" w14:paraId="37100570" w14:textId="77777777" w:rsidTr="00562562">
        <w:tc>
          <w:tcPr>
            <w:tcW w:w="2785" w:type="dxa"/>
            <w:tcMar>
              <w:left w:w="29" w:type="dxa"/>
              <w:right w:w="0" w:type="dxa"/>
            </w:tcMar>
          </w:tcPr>
          <w:p w14:paraId="72ACC938" w14:textId="3A61DCF1" w:rsidR="003003A0" w:rsidRPr="00B8214C" w:rsidRDefault="003003A0" w:rsidP="00542B05">
            <w:pPr>
              <w:rPr>
                <w:sz w:val="18"/>
                <w:szCs w:val="18"/>
              </w:rPr>
            </w:pPr>
            <w:r w:rsidRPr="00B8214C">
              <w:rPr>
                <w:sz w:val="18"/>
                <w:szCs w:val="18"/>
              </w:rPr>
              <w:t xml:space="preserve">Space and equipment </w:t>
            </w:r>
          </w:p>
        </w:tc>
        <w:tc>
          <w:tcPr>
            <w:tcW w:w="1080" w:type="dxa"/>
            <w:tcMar>
              <w:left w:w="85" w:type="dxa"/>
              <w:right w:w="85" w:type="dxa"/>
            </w:tcMar>
          </w:tcPr>
          <w:p w14:paraId="1B0CAE03" w14:textId="71951272" w:rsidR="003003A0" w:rsidRPr="00B8214C" w:rsidRDefault="003003A0" w:rsidP="00DE222C">
            <w:pPr>
              <w:jc w:val="right"/>
              <w:rPr>
                <w:sz w:val="18"/>
                <w:szCs w:val="18"/>
              </w:rPr>
            </w:pPr>
            <w:r w:rsidRPr="00B8214C">
              <w:rPr>
                <w:color w:val="000000"/>
                <w:sz w:val="18"/>
                <w:szCs w:val="18"/>
                <w:lang w:eastAsia="en-GB"/>
              </w:rPr>
              <w:t>590,000</w:t>
            </w:r>
          </w:p>
        </w:tc>
        <w:tc>
          <w:tcPr>
            <w:tcW w:w="1170" w:type="dxa"/>
            <w:tcMar>
              <w:left w:w="85" w:type="dxa"/>
              <w:right w:w="85" w:type="dxa"/>
            </w:tcMar>
          </w:tcPr>
          <w:p w14:paraId="507C72E5" w14:textId="5D1FAB55" w:rsidR="003003A0" w:rsidRPr="00B8214C" w:rsidRDefault="003003A0" w:rsidP="00DE222C">
            <w:pPr>
              <w:jc w:val="right"/>
              <w:rPr>
                <w:sz w:val="18"/>
                <w:szCs w:val="18"/>
              </w:rPr>
            </w:pPr>
            <w:r w:rsidRPr="00B8214C">
              <w:rPr>
                <w:color w:val="000000"/>
                <w:sz w:val="18"/>
                <w:szCs w:val="18"/>
                <w:lang w:eastAsia="en-GB"/>
              </w:rPr>
              <w:t>435,369</w:t>
            </w:r>
          </w:p>
        </w:tc>
        <w:tc>
          <w:tcPr>
            <w:tcW w:w="990" w:type="dxa"/>
            <w:tcMar>
              <w:left w:w="85" w:type="dxa"/>
              <w:right w:w="85" w:type="dxa"/>
            </w:tcMar>
          </w:tcPr>
          <w:p w14:paraId="515091CF" w14:textId="22FCC202" w:rsidR="003003A0" w:rsidRPr="00B8214C" w:rsidRDefault="003003A0" w:rsidP="00DE222C">
            <w:pPr>
              <w:jc w:val="right"/>
              <w:rPr>
                <w:sz w:val="18"/>
                <w:szCs w:val="18"/>
              </w:rPr>
            </w:pPr>
            <w:r w:rsidRPr="00B8214C">
              <w:rPr>
                <w:color w:val="000000"/>
                <w:sz w:val="18"/>
                <w:szCs w:val="18"/>
                <w:lang w:eastAsia="en-GB"/>
              </w:rPr>
              <w:t>154,631</w:t>
            </w:r>
          </w:p>
        </w:tc>
        <w:tc>
          <w:tcPr>
            <w:tcW w:w="990" w:type="dxa"/>
            <w:tcMar>
              <w:left w:w="85" w:type="dxa"/>
              <w:right w:w="85" w:type="dxa"/>
            </w:tcMar>
          </w:tcPr>
          <w:p w14:paraId="1AF68B24" w14:textId="586035E3" w:rsidR="003003A0" w:rsidRPr="00B8214C" w:rsidRDefault="003003A0" w:rsidP="00DE222C">
            <w:pPr>
              <w:jc w:val="right"/>
              <w:rPr>
                <w:sz w:val="18"/>
                <w:szCs w:val="18"/>
              </w:rPr>
            </w:pPr>
            <w:r w:rsidRPr="00B8214C">
              <w:rPr>
                <w:color w:val="000000"/>
                <w:sz w:val="18"/>
                <w:szCs w:val="18"/>
                <w:lang w:eastAsia="en-GB"/>
              </w:rPr>
              <w:t>590,000</w:t>
            </w:r>
          </w:p>
        </w:tc>
        <w:tc>
          <w:tcPr>
            <w:tcW w:w="1202" w:type="dxa"/>
            <w:tcMar>
              <w:left w:w="85" w:type="dxa"/>
              <w:right w:w="85" w:type="dxa"/>
            </w:tcMar>
          </w:tcPr>
          <w:p w14:paraId="7F44AEDA" w14:textId="7E00267E" w:rsidR="003003A0" w:rsidRPr="00B8214C" w:rsidRDefault="003003A0" w:rsidP="00DE222C">
            <w:pPr>
              <w:jc w:val="right"/>
              <w:rPr>
                <w:sz w:val="18"/>
                <w:szCs w:val="18"/>
              </w:rPr>
            </w:pPr>
            <w:r w:rsidRPr="00B8214C">
              <w:rPr>
                <w:color w:val="000000"/>
                <w:sz w:val="18"/>
                <w:szCs w:val="18"/>
                <w:lang w:eastAsia="en-GB"/>
              </w:rPr>
              <w:t>366,388</w:t>
            </w:r>
          </w:p>
        </w:tc>
        <w:tc>
          <w:tcPr>
            <w:tcW w:w="1138" w:type="dxa"/>
            <w:tcMar>
              <w:left w:w="85" w:type="dxa"/>
              <w:right w:w="85" w:type="dxa"/>
            </w:tcMar>
          </w:tcPr>
          <w:p w14:paraId="08F4EC0B" w14:textId="69DA3E64" w:rsidR="003003A0" w:rsidRPr="00B8214C" w:rsidRDefault="003003A0" w:rsidP="00DE222C">
            <w:pPr>
              <w:jc w:val="right"/>
              <w:rPr>
                <w:sz w:val="18"/>
                <w:szCs w:val="18"/>
              </w:rPr>
            </w:pPr>
            <w:r w:rsidRPr="00B8214C">
              <w:rPr>
                <w:sz w:val="18"/>
                <w:szCs w:val="18"/>
              </w:rPr>
              <w:t>590,000</w:t>
            </w:r>
          </w:p>
        </w:tc>
      </w:tr>
      <w:tr w:rsidR="006A7408" w:rsidRPr="00B8214C" w14:paraId="7B993A12" w14:textId="77777777" w:rsidTr="00562562">
        <w:tc>
          <w:tcPr>
            <w:tcW w:w="2785" w:type="dxa"/>
            <w:tcMar>
              <w:left w:w="29" w:type="dxa"/>
              <w:right w:w="0" w:type="dxa"/>
            </w:tcMar>
          </w:tcPr>
          <w:p w14:paraId="7CAD704D" w14:textId="5765E70F" w:rsidR="003003A0" w:rsidRPr="00B8214C" w:rsidRDefault="003003A0" w:rsidP="00DE222C">
            <w:pPr>
              <w:rPr>
                <w:b/>
                <w:sz w:val="18"/>
                <w:szCs w:val="18"/>
              </w:rPr>
            </w:pPr>
            <w:r w:rsidRPr="00B8214C">
              <w:rPr>
                <w:b/>
                <w:iCs/>
                <w:color w:val="000000"/>
                <w:sz w:val="18"/>
                <w:szCs w:val="18"/>
                <w:lang w:eastAsia="en-GB"/>
              </w:rPr>
              <w:t xml:space="preserve">Sub-total </w:t>
            </w:r>
          </w:p>
        </w:tc>
        <w:tc>
          <w:tcPr>
            <w:tcW w:w="1080" w:type="dxa"/>
            <w:tcMar>
              <w:left w:w="85" w:type="dxa"/>
              <w:right w:w="85" w:type="dxa"/>
            </w:tcMar>
          </w:tcPr>
          <w:p w14:paraId="46485C63" w14:textId="15FE2827" w:rsidR="003003A0" w:rsidRPr="00B8214C" w:rsidRDefault="003003A0" w:rsidP="00DE222C">
            <w:pPr>
              <w:jc w:val="right"/>
              <w:rPr>
                <w:sz w:val="18"/>
                <w:szCs w:val="18"/>
              </w:rPr>
            </w:pPr>
            <w:r w:rsidRPr="00B8214C">
              <w:rPr>
                <w:b/>
                <w:bCs/>
                <w:color w:val="000000"/>
                <w:sz w:val="18"/>
                <w:szCs w:val="18"/>
                <w:lang w:eastAsia="en-GB"/>
              </w:rPr>
              <w:t>9,974,000</w:t>
            </w:r>
          </w:p>
        </w:tc>
        <w:tc>
          <w:tcPr>
            <w:tcW w:w="1170" w:type="dxa"/>
            <w:tcMar>
              <w:left w:w="85" w:type="dxa"/>
              <w:right w:w="85" w:type="dxa"/>
            </w:tcMar>
          </w:tcPr>
          <w:p w14:paraId="610D2DEF" w14:textId="55AB904E" w:rsidR="003003A0" w:rsidRPr="00B8214C" w:rsidRDefault="003003A0" w:rsidP="00DE222C">
            <w:pPr>
              <w:jc w:val="right"/>
              <w:rPr>
                <w:sz w:val="18"/>
                <w:szCs w:val="18"/>
              </w:rPr>
            </w:pPr>
            <w:r w:rsidRPr="00B8214C">
              <w:rPr>
                <w:b/>
                <w:bCs/>
                <w:color w:val="000000"/>
                <w:sz w:val="18"/>
                <w:szCs w:val="18"/>
                <w:lang w:eastAsia="en-GB"/>
              </w:rPr>
              <w:t>6,354,314</w:t>
            </w:r>
          </w:p>
        </w:tc>
        <w:tc>
          <w:tcPr>
            <w:tcW w:w="990" w:type="dxa"/>
            <w:tcMar>
              <w:left w:w="85" w:type="dxa"/>
              <w:right w:w="85" w:type="dxa"/>
            </w:tcMar>
          </w:tcPr>
          <w:p w14:paraId="51A82036" w14:textId="31CBE86A" w:rsidR="003003A0" w:rsidRPr="00B8214C" w:rsidRDefault="003003A0" w:rsidP="00DE222C">
            <w:pPr>
              <w:jc w:val="right"/>
              <w:rPr>
                <w:sz w:val="18"/>
                <w:szCs w:val="18"/>
              </w:rPr>
            </w:pPr>
            <w:r w:rsidRPr="00B8214C">
              <w:rPr>
                <w:b/>
                <w:bCs/>
                <w:color w:val="000000"/>
                <w:sz w:val="18"/>
                <w:szCs w:val="18"/>
                <w:lang w:eastAsia="en-GB"/>
              </w:rPr>
              <w:t>3,619,686</w:t>
            </w:r>
          </w:p>
        </w:tc>
        <w:tc>
          <w:tcPr>
            <w:tcW w:w="990" w:type="dxa"/>
            <w:tcMar>
              <w:left w:w="85" w:type="dxa"/>
              <w:right w:w="85" w:type="dxa"/>
            </w:tcMar>
          </w:tcPr>
          <w:p w14:paraId="39E89128" w14:textId="66D1B897" w:rsidR="003003A0" w:rsidRPr="00B8214C" w:rsidRDefault="003003A0" w:rsidP="00DE222C">
            <w:pPr>
              <w:jc w:val="right"/>
              <w:rPr>
                <w:sz w:val="18"/>
                <w:szCs w:val="18"/>
              </w:rPr>
            </w:pPr>
            <w:r w:rsidRPr="00B8214C">
              <w:rPr>
                <w:b/>
                <w:bCs/>
                <w:color w:val="000000"/>
                <w:sz w:val="18"/>
                <w:szCs w:val="18"/>
                <w:lang w:eastAsia="en-GB"/>
              </w:rPr>
              <w:t>9,974,000</w:t>
            </w:r>
          </w:p>
        </w:tc>
        <w:tc>
          <w:tcPr>
            <w:tcW w:w="1202" w:type="dxa"/>
            <w:tcMar>
              <w:left w:w="85" w:type="dxa"/>
              <w:right w:w="85" w:type="dxa"/>
            </w:tcMar>
          </w:tcPr>
          <w:p w14:paraId="2A1587B2" w14:textId="16A36CC6" w:rsidR="003003A0" w:rsidRPr="00B8214C" w:rsidRDefault="003003A0" w:rsidP="00DE222C">
            <w:pPr>
              <w:jc w:val="right"/>
              <w:rPr>
                <w:sz w:val="18"/>
                <w:szCs w:val="18"/>
              </w:rPr>
            </w:pPr>
            <w:r w:rsidRPr="00B8214C">
              <w:rPr>
                <w:b/>
                <w:bCs/>
                <w:color w:val="000000"/>
                <w:sz w:val="18"/>
                <w:szCs w:val="18"/>
                <w:lang w:eastAsia="en-GB"/>
              </w:rPr>
              <w:t>4,627,063</w:t>
            </w:r>
          </w:p>
        </w:tc>
        <w:tc>
          <w:tcPr>
            <w:tcW w:w="1138" w:type="dxa"/>
            <w:tcMar>
              <w:left w:w="85" w:type="dxa"/>
              <w:right w:w="85" w:type="dxa"/>
            </w:tcMar>
          </w:tcPr>
          <w:p w14:paraId="17037B2D" w14:textId="749863CF" w:rsidR="003003A0" w:rsidRPr="00B8214C" w:rsidRDefault="003003A0" w:rsidP="00DE222C">
            <w:pPr>
              <w:jc w:val="right"/>
              <w:rPr>
                <w:sz w:val="18"/>
                <w:szCs w:val="18"/>
              </w:rPr>
            </w:pPr>
            <w:r w:rsidRPr="00B8214C">
              <w:rPr>
                <w:b/>
                <w:bCs/>
                <w:sz w:val="18"/>
                <w:szCs w:val="18"/>
              </w:rPr>
              <w:t>9,988,900</w:t>
            </w:r>
          </w:p>
        </w:tc>
      </w:tr>
      <w:tr w:rsidR="006A7408" w:rsidRPr="00B8214C" w14:paraId="008089E7" w14:textId="77777777" w:rsidTr="00562562">
        <w:tc>
          <w:tcPr>
            <w:tcW w:w="2785" w:type="dxa"/>
            <w:tcMar>
              <w:left w:w="29" w:type="dxa"/>
              <w:right w:w="0" w:type="dxa"/>
            </w:tcMar>
          </w:tcPr>
          <w:p w14:paraId="26E92771" w14:textId="476F14BA" w:rsidR="003003A0" w:rsidRPr="00B8214C" w:rsidRDefault="003003A0" w:rsidP="00920A27">
            <w:pPr>
              <w:keepNext/>
              <w:rPr>
                <w:i/>
                <w:iCs/>
                <w:color w:val="000000"/>
                <w:sz w:val="18"/>
                <w:szCs w:val="18"/>
                <w:lang w:eastAsia="en-GB"/>
              </w:rPr>
            </w:pPr>
            <w:r w:rsidRPr="00B8214C">
              <w:rPr>
                <w:sz w:val="18"/>
                <w:szCs w:val="18"/>
              </w:rPr>
              <w:t>Agency support costs</w:t>
            </w:r>
          </w:p>
        </w:tc>
        <w:tc>
          <w:tcPr>
            <w:tcW w:w="1080" w:type="dxa"/>
            <w:tcMar>
              <w:left w:w="85" w:type="dxa"/>
              <w:right w:w="85" w:type="dxa"/>
            </w:tcMar>
          </w:tcPr>
          <w:p w14:paraId="476381E7" w14:textId="71D2F006" w:rsidR="003003A0" w:rsidRPr="00B8214C" w:rsidRDefault="003003A0" w:rsidP="00920A27">
            <w:pPr>
              <w:keepNext/>
              <w:jc w:val="right"/>
              <w:rPr>
                <w:sz w:val="18"/>
                <w:szCs w:val="18"/>
              </w:rPr>
            </w:pPr>
            <w:r w:rsidRPr="00B8214C">
              <w:rPr>
                <w:color w:val="000000"/>
                <w:sz w:val="18"/>
                <w:szCs w:val="18"/>
                <w:lang w:eastAsia="en-GB"/>
              </w:rPr>
              <w:t>797,920</w:t>
            </w:r>
          </w:p>
        </w:tc>
        <w:tc>
          <w:tcPr>
            <w:tcW w:w="1170" w:type="dxa"/>
            <w:tcMar>
              <w:left w:w="85" w:type="dxa"/>
              <w:right w:w="85" w:type="dxa"/>
            </w:tcMar>
          </w:tcPr>
          <w:p w14:paraId="4F7B67DD" w14:textId="769FE972" w:rsidR="003003A0" w:rsidRPr="00B8214C" w:rsidRDefault="003003A0" w:rsidP="00920A27">
            <w:pPr>
              <w:keepNext/>
              <w:jc w:val="right"/>
              <w:rPr>
                <w:sz w:val="18"/>
                <w:szCs w:val="18"/>
              </w:rPr>
            </w:pPr>
            <w:r w:rsidRPr="00B8214C">
              <w:rPr>
                <w:color w:val="000000"/>
                <w:sz w:val="18"/>
                <w:szCs w:val="18"/>
                <w:lang w:eastAsia="en-GB"/>
              </w:rPr>
              <w:t>508,345</w:t>
            </w:r>
          </w:p>
        </w:tc>
        <w:tc>
          <w:tcPr>
            <w:tcW w:w="990" w:type="dxa"/>
            <w:tcMar>
              <w:left w:w="85" w:type="dxa"/>
              <w:right w:w="85" w:type="dxa"/>
            </w:tcMar>
          </w:tcPr>
          <w:p w14:paraId="4C4C672B" w14:textId="6FCBAA6E" w:rsidR="003003A0" w:rsidRPr="00B8214C" w:rsidRDefault="003003A0" w:rsidP="00920A27">
            <w:pPr>
              <w:keepNext/>
              <w:jc w:val="right"/>
              <w:rPr>
                <w:sz w:val="18"/>
                <w:szCs w:val="18"/>
              </w:rPr>
            </w:pPr>
            <w:r w:rsidRPr="00B8214C">
              <w:rPr>
                <w:color w:val="000000"/>
                <w:sz w:val="18"/>
                <w:szCs w:val="18"/>
                <w:lang w:eastAsia="en-GB"/>
              </w:rPr>
              <w:t>289,575</w:t>
            </w:r>
          </w:p>
        </w:tc>
        <w:tc>
          <w:tcPr>
            <w:tcW w:w="990" w:type="dxa"/>
            <w:tcMar>
              <w:left w:w="85" w:type="dxa"/>
              <w:right w:w="85" w:type="dxa"/>
            </w:tcMar>
          </w:tcPr>
          <w:p w14:paraId="2A1ECD51" w14:textId="16909B55" w:rsidR="003003A0" w:rsidRPr="00B8214C" w:rsidRDefault="003003A0" w:rsidP="00920A27">
            <w:pPr>
              <w:keepNext/>
              <w:jc w:val="right"/>
              <w:rPr>
                <w:sz w:val="18"/>
                <w:szCs w:val="18"/>
              </w:rPr>
            </w:pPr>
            <w:r w:rsidRPr="00B8214C">
              <w:rPr>
                <w:color w:val="000000"/>
                <w:sz w:val="18"/>
                <w:szCs w:val="18"/>
                <w:lang w:eastAsia="en-GB"/>
              </w:rPr>
              <w:t>797,920</w:t>
            </w:r>
          </w:p>
        </w:tc>
        <w:tc>
          <w:tcPr>
            <w:tcW w:w="1202" w:type="dxa"/>
            <w:tcMar>
              <w:left w:w="85" w:type="dxa"/>
              <w:right w:w="85" w:type="dxa"/>
            </w:tcMar>
          </w:tcPr>
          <w:p w14:paraId="7AB75717" w14:textId="44A3D695" w:rsidR="003003A0" w:rsidRPr="00B8214C" w:rsidRDefault="003003A0" w:rsidP="00920A27">
            <w:pPr>
              <w:keepNext/>
              <w:jc w:val="right"/>
              <w:rPr>
                <w:sz w:val="18"/>
                <w:szCs w:val="18"/>
              </w:rPr>
            </w:pPr>
            <w:r w:rsidRPr="00B8214C">
              <w:rPr>
                <w:color w:val="000000"/>
                <w:sz w:val="18"/>
                <w:szCs w:val="18"/>
                <w:lang w:eastAsia="en-GB"/>
              </w:rPr>
              <w:t>370,165</w:t>
            </w:r>
          </w:p>
        </w:tc>
        <w:tc>
          <w:tcPr>
            <w:tcW w:w="1138" w:type="dxa"/>
            <w:tcMar>
              <w:left w:w="85" w:type="dxa"/>
              <w:right w:w="85" w:type="dxa"/>
            </w:tcMar>
          </w:tcPr>
          <w:p w14:paraId="6695162C" w14:textId="1539E21B" w:rsidR="003003A0" w:rsidRPr="00B8214C" w:rsidRDefault="003003A0" w:rsidP="00920A27">
            <w:pPr>
              <w:keepNext/>
              <w:jc w:val="right"/>
              <w:rPr>
                <w:sz w:val="18"/>
                <w:szCs w:val="18"/>
              </w:rPr>
            </w:pPr>
            <w:r w:rsidRPr="00B8214C">
              <w:rPr>
                <w:sz w:val="18"/>
                <w:szCs w:val="18"/>
              </w:rPr>
              <w:t>799,112</w:t>
            </w:r>
          </w:p>
        </w:tc>
      </w:tr>
      <w:tr w:rsidR="006A7408" w:rsidRPr="00B8214C" w14:paraId="40F8849A" w14:textId="77777777" w:rsidTr="00562562">
        <w:tc>
          <w:tcPr>
            <w:tcW w:w="2785" w:type="dxa"/>
            <w:tcMar>
              <w:left w:w="29" w:type="dxa"/>
              <w:right w:w="0" w:type="dxa"/>
            </w:tcMar>
          </w:tcPr>
          <w:p w14:paraId="04001116" w14:textId="5518E572" w:rsidR="003003A0" w:rsidRPr="00B8214C" w:rsidRDefault="003003A0" w:rsidP="00DE222C">
            <w:pPr>
              <w:rPr>
                <w:i/>
                <w:iCs/>
                <w:color w:val="000000"/>
                <w:sz w:val="18"/>
                <w:szCs w:val="18"/>
                <w:lang w:eastAsia="en-GB"/>
              </w:rPr>
            </w:pPr>
            <w:r w:rsidRPr="00B8214C">
              <w:rPr>
                <w:b/>
                <w:iCs/>
                <w:color w:val="000000"/>
                <w:sz w:val="18"/>
                <w:szCs w:val="18"/>
                <w:lang w:eastAsia="en-GB"/>
              </w:rPr>
              <w:t>Total</w:t>
            </w:r>
          </w:p>
        </w:tc>
        <w:tc>
          <w:tcPr>
            <w:tcW w:w="1080" w:type="dxa"/>
            <w:tcMar>
              <w:left w:w="85" w:type="dxa"/>
              <w:right w:w="85" w:type="dxa"/>
            </w:tcMar>
          </w:tcPr>
          <w:p w14:paraId="50C1529E" w14:textId="282EC9F4" w:rsidR="003003A0" w:rsidRPr="00B8214C" w:rsidRDefault="003003A0" w:rsidP="00DE222C">
            <w:pPr>
              <w:jc w:val="right"/>
              <w:rPr>
                <w:sz w:val="18"/>
                <w:szCs w:val="18"/>
              </w:rPr>
            </w:pPr>
            <w:r w:rsidRPr="00B8214C">
              <w:rPr>
                <w:b/>
                <w:bCs/>
                <w:color w:val="000000"/>
                <w:sz w:val="18"/>
                <w:szCs w:val="18"/>
                <w:lang w:eastAsia="en-GB"/>
              </w:rPr>
              <w:t>10,771,920</w:t>
            </w:r>
          </w:p>
        </w:tc>
        <w:tc>
          <w:tcPr>
            <w:tcW w:w="1170" w:type="dxa"/>
            <w:tcMar>
              <w:left w:w="85" w:type="dxa"/>
              <w:right w:w="85" w:type="dxa"/>
            </w:tcMar>
          </w:tcPr>
          <w:p w14:paraId="238B5D27" w14:textId="73562D14" w:rsidR="003003A0" w:rsidRPr="00B8214C" w:rsidRDefault="003003A0" w:rsidP="00DE222C">
            <w:pPr>
              <w:jc w:val="right"/>
              <w:rPr>
                <w:sz w:val="18"/>
                <w:szCs w:val="18"/>
              </w:rPr>
            </w:pPr>
            <w:r w:rsidRPr="00B8214C">
              <w:rPr>
                <w:b/>
                <w:bCs/>
                <w:color w:val="000000"/>
                <w:sz w:val="18"/>
                <w:szCs w:val="18"/>
                <w:lang w:eastAsia="en-GB"/>
              </w:rPr>
              <w:t>6,862,659</w:t>
            </w:r>
          </w:p>
        </w:tc>
        <w:tc>
          <w:tcPr>
            <w:tcW w:w="990" w:type="dxa"/>
            <w:tcMar>
              <w:left w:w="85" w:type="dxa"/>
              <w:right w:w="85" w:type="dxa"/>
            </w:tcMar>
          </w:tcPr>
          <w:p w14:paraId="34816E45" w14:textId="54B769B1" w:rsidR="003003A0" w:rsidRPr="00B8214C" w:rsidRDefault="003003A0" w:rsidP="00DE222C">
            <w:pPr>
              <w:jc w:val="right"/>
              <w:rPr>
                <w:sz w:val="18"/>
                <w:szCs w:val="18"/>
              </w:rPr>
            </w:pPr>
            <w:r w:rsidRPr="00B8214C">
              <w:rPr>
                <w:b/>
                <w:bCs/>
                <w:color w:val="000000"/>
                <w:sz w:val="18"/>
                <w:szCs w:val="18"/>
                <w:lang w:eastAsia="en-GB"/>
              </w:rPr>
              <w:t>3,909,261</w:t>
            </w:r>
          </w:p>
        </w:tc>
        <w:tc>
          <w:tcPr>
            <w:tcW w:w="990" w:type="dxa"/>
            <w:tcMar>
              <w:left w:w="85" w:type="dxa"/>
              <w:right w:w="85" w:type="dxa"/>
            </w:tcMar>
          </w:tcPr>
          <w:p w14:paraId="64702362" w14:textId="5C6BEFA3" w:rsidR="003003A0" w:rsidRPr="00B8214C" w:rsidRDefault="003003A0" w:rsidP="00DE222C">
            <w:pPr>
              <w:jc w:val="right"/>
              <w:rPr>
                <w:sz w:val="18"/>
                <w:szCs w:val="18"/>
              </w:rPr>
            </w:pPr>
            <w:r w:rsidRPr="00B8214C">
              <w:rPr>
                <w:b/>
                <w:bCs/>
                <w:color w:val="000000"/>
                <w:sz w:val="18"/>
                <w:szCs w:val="18"/>
                <w:lang w:eastAsia="en-GB"/>
              </w:rPr>
              <w:t>10,771,920</w:t>
            </w:r>
          </w:p>
        </w:tc>
        <w:tc>
          <w:tcPr>
            <w:tcW w:w="1202" w:type="dxa"/>
            <w:tcMar>
              <w:left w:w="85" w:type="dxa"/>
              <w:right w:w="85" w:type="dxa"/>
            </w:tcMar>
          </w:tcPr>
          <w:p w14:paraId="3D0A4A08" w14:textId="33D5346E" w:rsidR="003003A0" w:rsidRPr="00B8214C" w:rsidRDefault="003003A0" w:rsidP="00DE222C">
            <w:pPr>
              <w:jc w:val="right"/>
              <w:rPr>
                <w:sz w:val="18"/>
                <w:szCs w:val="18"/>
              </w:rPr>
            </w:pPr>
            <w:r w:rsidRPr="00B8214C">
              <w:rPr>
                <w:b/>
                <w:bCs/>
                <w:color w:val="000000"/>
                <w:sz w:val="18"/>
                <w:szCs w:val="18"/>
                <w:lang w:eastAsia="en-GB"/>
              </w:rPr>
              <w:t>4,997,228</w:t>
            </w:r>
          </w:p>
        </w:tc>
        <w:tc>
          <w:tcPr>
            <w:tcW w:w="1138" w:type="dxa"/>
            <w:tcMar>
              <w:left w:w="85" w:type="dxa"/>
              <w:right w:w="85" w:type="dxa"/>
            </w:tcMar>
          </w:tcPr>
          <w:p w14:paraId="4EC6F02B" w14:textId="68A3DA7B" w:rsidR="003003A0" w:rsidRPr="00B8214C" w:rsidRDefault="003003A0" w:rsidP="00DE222C">
            <w:pPr>
              <w:jc w:val="right"/>
              <w:rPr>
                <w:sz w:val="18"/>
                <w:szCs w:val="18"/>
              </w:rPr>
            </w:pPr>
            <w:r w:rsidRPr="00B8214C">
              <w:rPr>
                <w:b/>
                <w:bCs/>
                <w:sz w:val="18"/>
                <w:szCs w:val="18"/>
              </w:rPr>
              <w:t>10,788,012</w:t>
            </w:r>
          </w:p>
        </w:tc>
      </w:tr>
    </w:tbl>
    <w:p w14:paraId="2CE24C54" w14:textId="6A92B3A7" w:rsidR="00542B05" w:rsidRPr="00B8214C" w:rsidRDefault="00542B05" w:rsidP="00EF1E6D">
      <w:pPr>
        <w:rPr>
          <w:sz w:val="18"/>
          <w:szCs w:val="18"/>
        </w:rPr>
      </w:pPr>
      <w:r w:rsidRPr="00B8214C">
        <w:rPr>
          <w:sz w:val="18"/>
          <w:szCs w:val="18"/>
        </w:rPr>
        <w:lastRenderedPageBreak/>
        <w:t>*As at 31 September 2021</w:t>
      </w:r>
    </w:p>
    <w:p w14:paraId="04C4570E" w14:textId="3C23CF0B" w:rsidR="000B5FD0" w:rsidRPr="00920A27" w:rsidRDefault="000B5FD0" w:rsidP="000B5FD0">
      <w:pPr>
        <w:rPr>
          <w:sz w:val="18"/>
          <w:szCs w:val="18"/>
          <w:lang w:val="en-US"/>
        </w:rPr>
      </w:pPr>
      <w:r w:rsidRPr="00920A27">
        <w:rPr>
          <w:sz w:val="18"/>
          <w:szCs w:val="18"/>
          <w:lang w:val="en-US"/>
        </w:rPr>
        <w:t>** Includes the expenditures on the advisory and consultative meetings budget line.</w:t>
      </w:r>
    </w:p>
    <w:p w14:paraId="7B4C6AC8" w14:textId="587DEE89" w:rsidR="000B5FD0" w:rsidRPr="00E17C19" w:rsidRDefault="000B5FD0" w:rsidP="000B5FD0">
      <w:pPr>
        <w:rPr>
          <w:sz w:val="19"/>
          <w:lang w:val="en-US"/>
        </w:rPr>
      </w:pPr>
      <w:r w:rsidRPr="00920A27">
        <w:rPr>
          <w:sz w:val="18"/>
          <w:szCs w:val="18"/>
          <w:lang w:val="en-US"/>
        </w:rPr>
        <w:t>*** Includes outreach and translation, and advisory group meetings</w:t>
      </w:r>
      <w:r w:rsidRPr="00E17C19">
        <w:rPr>
          <w:sz w:val="19"/>
          <w:lang w:val="en-US"/>
        </w:rPr>
        <w:t>.</w:t>
      </w:r>
    </w:p>
    <w:p w14:paraId="1F3C63F4" w14:textId="14EC096A" w:rsidR="00FC7A05" w:rsidRPr="00E17C19" w:rsidRDefault="00FC7A05" w:rsidP="0049386B">
      <w:pPr>
        <w:rPr>
          <w:lang w:val="en-US"/>
        </w:rPr>
      </w:pPr>
    </w:p>
    <w:p w14:paraId="7DA0E0B9" w14:textId="75567527" w:rsidR="004979CF" w:rsidRPr="00E17C19" w:rsidRDefault="004979CF" w:rsidP="0049386B">
      <w:pPr>
        <w:pStyle w:val="Heading1"/>
        <w:rPr>
          <w:lang w:val="en-US"/>
        </w:rPr>
      </w:pPr>
      <w:r w:rsidRPr="00E17C19">
        <w:rPr>
          <w:lang w:val="en-US"/>
        </w:rPr>
        <w:t xml:space="preserve">The balances from the </w:t>
      </w:r>
      <w:r w:rsidR="00B304F5">
        <w:rPr>
          <w:lang w:val="en-US"/>
        </w:rPr>
        <w:t>20</w:t>
      </w:r>
      <w:r w:rsidR="006D5737">
        <w:rPr>
          <w:lang w:val="en-US"/>
        </w:rPr>
        <w:t>20</w:t>
      </w:r>
      <w:r w:rsidR="00B304F5">
        <w:rPr>
          <w:lang w:val="en-US"/>
        </w:rPr>
        <w:t xml:space="preserve"> </w:t>
      </w:r>
      <w:r w:rsidRPr="00E17C19">
        <w:rPr>
          <w:lang w:val="en-US"/>
        </w:rPr>
        <w:t xml:space="preserve">CAP </w:t>
      </w:r>
      <w:r w:rsidR="006D5737">
        <w:rPr>
          <w:lang w:val="en-US"/>
        </w:rPr>
        <w:t xml:space="preserve">have been </w:t>
      </w:r>
      <w:r w:rsidRPr="00E17C19">
        <w:rPr>
          <w:lang w:val="en-US"/>
        </w:rPr>
        <w:t xml:space="preserve">returned to the </w:t>
      </w:r>
      <w:r w:rsidR="000325FD" w:rsidRPr="00E17C19">
        <w:rPr>
          <w:lang w:val="en-US"/>
        </w:rPr>
        <w:t>Fund</w:t>
      </w:r>
      <w:r w:rsidR="000325FD">
        <w:rPr>
          <w:lang w:val="en-US"/>
        </w:rPr>
        <w:t xml:space="preserve"> at</w:t>
      </w:r>
      <w:r w:rsidR="00671A30">
        <w:rPr>
          <w:lang w:val="en-US"/>
        </w:rPr>
        <w:t xml:space="preserve"> the 8</w:t>
      </w:r>
      <w:r w:rsidR="006D5737">
        <w:rPr>
          <w:lang w:val="en-US"/>
        </w:rPr>
        <w:t>6</w:t>
      </w:r>
      <w:r w:rsidR="006D5737" w:rsidRPr="006D5737">
        <w:rPr>
          <w:vertAlign w:val="superscript"/>
          <w:lang w:val="en-US"/>
        </w:rPr>
        <w:t>th</w:t>
      </w:r>
      <w:r w:rsidR="006D5737">
        <w:rPr>
          <w:lang w:val="en-US"/>
        </w:rPr>
        <w:t xml:space="preserve"> and 88</w:t>
      </w:r>
      <w:r w:rsidR="006D5737" w:rsidRPr="006D5737">
        <w:rPr>
          <w:vertAlign w:val="superscript"/>
          <w:lang w:val="en-US"/>
        </w:rPr>
        <w:t>th</w:t>
      </w:r>
      <w:r w:rsidR="000325FD">
        <w:rPr>
          <w:vertAlign w:val="superscript"/>
          <w:lang w:val="en-US"/>
        </w:rPr>
        <w:t> </w:t>
      </w:r>
      <w:r w:rsidR="00671A30">
        <w:rPr>
          <w:lang w:val="en-US"/>
        </w:rPr>
        <w:t>meeting</w:t>
      </w:r>
      <w:r w:rsidR="006D5737">
        <w:rPr>
          <w:lang w:val="en-US"/>
        </w:rPr>
        <w:t>s</w:t>
      </w:r>
      <w:r w:rsidRPr="00E17C19">
        <w:rPr>
          <w:lang w:val="en-US"/>
        </w:rPr>
        <w:t>.</w:t>
      </w:r>
    </w:p>
    <w:p w14:paraId="1FDA191D" w14:textId="474FC356" w:rsidR="004979CF" w:rsidRPr="00E17C19" w:rsidRDefault="004979CF" w:rsidP="0049386B">
      <w:pPr>
        <w:keepNext/>
        <w:spacing w:after="240"/>
        <w:jc w:val="center"/>
        <w:outlineLvl w:val="0"/>
        <w:rPr>
          <w:b/>
        </w:rPr>
      </w:pPr>
      <w:r w:rsidRPr="00E17C19">
        <w:rPr>
          <w:b/>
        </w:rPr>
        <w:t>SECRETARIAT’S COMMENTS AND RECOMMENDATION</w:t>
      </w:r>
    </w:p>
    <w:p w14:paraId="17E9EBBC" w14:textId="148C6AC8" w:rsidR="00956A9E" w:rsidRPr="00E17C19" w:rsidRDefault="004979CF" w:rsidP="0049386B">
      <w:pPr>
        <w:keepNext/>
        <w:spacing w:after="240"/>
        <w:jc w:val="left"/>
        <w:rPr>
          <w:lang w:val="en-US"/>
        </w:rPr>
      </w:pPr>
      <w:r w:rsidRPr="00E17C19">
        <w:rPr>
          <w:b/>
        </w:rPr>
        <w:t>COMMENTS</w:t>
      </w:r>
    </w:p>
    <w:p w14:paraId="4AE3C8D7" w14:textId="1E8888FF" w:rsidR="004979CF" w:rsidRPr="00D72711" w:rsidRDefault="004979CF" w:rsidP="0049386B">
      <w:pPr>
        <w:pStyle w:val="Heading1"/>
      </w:pPr>
      <w:r w:rsidRPr="00E17C19">
        <w:t xml:space="preserve">The Secretariat reviewed the CAP </w:t>
      </w:r>
      <w:r w:rsidR="006C757F" w:rsidRPr="00E17C19">
        <w:t xml:space="preserve">budget </w:t>
      </w:r>
      <w:r w:rsidRPr="00E17C19">
        <w:t xml:space="preserve">submission and the changes in the programme and staffing in line with decision </w:t>
      </w:r>
      <w:r w:rsidR="006E491A" w:rsidRPr="00E17C19">
        <w:t>8</w:t>
      </w:r>
      <w:r w:rsidR="006D5737">
        <w:t>6</w:t>
      </w:r>
      <w:r w:rsidR="006E491A" w:rsidRPr="00E17C19">
        <w:t>/6</w:t>
      </w:r>
      <w:r w:rsidR="006D5737">
        <w:t>1</w:t>
      </w:r>
      <w:r w:rsidRPr="00E17C19">
        <w:t>(</w:t>
      </w:r>
      <w:r w:rsidR="006D5737">
        <w:t>d</w:t>
      </w:r>
      <w:r w:rsidRPr="00E17C19">
        <w:t>)</w:t>
      </w:r>
      <w:r w:rsidRPr="0035461E">
        <w:rPr>
          <w:rStyle w:val="FootnoteReference"/>
        </w:rPr>
        <w:footnoteReference w:id="11"/>
      </w:r>
      <w:r w:rsidRPr="0035461E">
        <w:t xml:space="preserve"> taking into account the overall structure of the CAP, its operations and </w:t>
      </w:r>
      <w:r w:rsidRPr="00D72711">
        <w:t>regional structure and other relevant decisions.</w:t>
      </w:r>
    </w:p>
    <w:p w14:paraId="63B4E2C7" w14:textId="40B566B7" w:rsidR="00023961" w:rsidRPr="00D72711" w:rsidRDefault="009E1295" w:rsidP="0049386B">
      <w:pPr>
        <w:pStyle w:val="Heading1"/>
      </w:pPr>
      <w:r>
        <w:t xml:space="preserve">The Secretariat noted that despite challenges </w:t>
      </w:r>
      <w:r w:rsidR="00CC0AB7">
        <w:t>caused</w:t>
      </w:r>
      <w:r>
        <w:t xml:space="preserve"> by the pandemic, UNEP has reported substantive progress in the implementation of its </w:t>
      </w:r>
      <w:r w:rsidR="00486340" w:rsidRPr="00D72711">
        <w:t>202</w:t>
      </w:r>
      <w:r w:rsidR="00A535D2" w:rsidRPr="00D72711">
        <w:t>1</w:t>
      </w:r>
      <w:r w:rsidR="00486340" w:rsidRPr="00D72711">
        <w:t xml:space="preserve"> work plan</w:t>
      </w:r>
      <w:r>
        <w:t>.</w:t>
      </w:r>
      <w:r w:rsidR="0016667D">
        <w:t xml:space="preserve"> </w:t>
      </w:r>
      <w:r w:rsidR="002120E3">
        <w:t>W</w:t>
      </w:r>
      <w:r w:rsidR="00486340" w:rsidRPr="00D72711">
        <w:t xml:space="preserve">hile the pandemic had affected </w:t>
      </w:r>
      <w:r w:rsidR="002120E3">
        <w:t xml:space="preserve">UNEP </w:t>
      </w:r>
      <w:r w:rsidR="00486340" w:rsidRPr="00D72711">
        <w:t xml:space="preserve">physical presence in many </w:t>
      </w:r>
      <w:r w:rsidR="001A5480">
        <w:t>Article </w:t>
      </w:r>
      <w:r w:rsidR="00A143E1" w:rsidRPr="00D72711">
        <w:t xml:space="preserve">5 </w:t>
      </w:r>
      <w:r w:rsidR="00486340" w:rsidRPr="00D72711">
        <w:t xml:space="preserve">countries, </w:t>
      </w:r>
      <w:r w:rsidR="00A143E1" w:rsidRPr="00D72711">
        <w:t xml:space="preserve">a number of </w:t>
      </w:r>
      <w:r w:rsidR="00486340" w:rsidRPr="00D72711">
        <w:t xml:space="preserve">activities continued through </w:t>
      </w:r>
      <w:r w:rsidR="001A5480">
        <w:t>50 </w:t>
      </w:r>
      <w:r w:rsidR="00486340" w:rsidRPr="00D72711">
        <w:t>virtual meetings</w:t>
      </w:r>
      <w:r>
        <w:t>, of the networks</w:t>
      </w:r>
      <w:r w:rsidR="00707B7E">
        <w:t xml:space="preserve">, </w:t>
      </w:r>
      <w:r w:rsidR="002120E3">
        <w:t xml:space="preserve">through which </w:t>
      </w:r>
      <w:r w:rsidR="00707B7E">
        <w:t xml:space="preserve">assistance </w:t>
      </w:r>
      <w:r w:rsidR="002120E3">
        <w:t xml:space="preserve">was provided </w:t>
      </w:r>
      <w:r w:rsidR="001A5480">
        <w:t>to Article </w:t>
      </w:r>
      <w:r w:rsidR="00707B7E">
        <w:t>5 countries</w:t>
      </w:r>
      <w:r w:rsidR="00486340" w:rsidRPr="00D72711">
        <w:t>.</w:t>
      </w:r>
      <w:r w:rsidR="006E0A60" w:rsidRPr="00D72711">
        <w:t xml:space="preserve"> </w:t>
      </w:r>
      <w:r w:rsidR="002120E3">
        <w:t xml:space="preserve">Furthermore, </w:t>
      </w:r>
      <w:r w:rsidR="00023961" w:rsidRPr="00D72711">
        <w:t xml:space="preserve">most </w:t>
      </w:r>
      <w:r w:rsidR="00C6400E" w:rsidRPr="00D72711">
        <w:t>of the</w:t>
      </w:r>
      <w:r w:rsidR="00023961" w:rsidRPr="00D72711">
        <w:t xml:space="preserve"> CAP activities (</w:t>
      </w:r>
      <w:r w:rsidR="00C6400E" w:rsidRPr="00D72711">
        <w:t xml:space="preserve">e.g., </w:t>
      </w:r>
      <w:r w:rsidR="00023961" w:rsidRPr="00D72711">
        <w:t xml:space="preserve">compliance assistance services, global information and capacity building activities, project support) </w:t>
      </w:r>
      <w:r w:rsidR="001D4148" w:rsidRPr="00D72711">
        <w:t>progressed well</w:t>
      </w:r>
      <w:r w:rsidR="00023961" w:rsidRPr="00D72711">
        <w:t>.</w:t>
      </w:r>
    </w:p>
    <w:p w14:paraId="0D1235F7" w14:textId="72B01220" w:rsidR="008B2F43" w:rsidRPr="0035461E" w:rsidRDefault="00023961" w:rsidP="0049386B">
      <w:pPr>
        <w:pStyle w:val="Heading1"/>
      </w:pPr>
      <w:r w:rsidRPr="0035461E">
        <w:t xml:space="preserve">UNEP </w:t>
      </w:r>
      <w:r w:rsidR="00CC0AB7">
        <w:t xml:space="preserve">also </w:t>
      </w:r>
      <w:r w:rsidR="00707B7E">
        <w:t xml:space="preserve">made </w:t>
      </w:r>
      <w:r w:rsidR="00097476">
        <w:t>considerable progress</w:t>
      </w:r>
      <w:r w:rsidRPr="0035461E">
        <w:t xml:space="preserve"> to fill vacant positions in 202</w:t>
      </w:r>
      <w:r w:rsidR="00AB6205" w:rsidRPr="0035461E">
        <w:t>1</w:t>
      </w:r>
      <w:r w:rsidR="006F3286">
        <w:t xml:space="preserve">; </w:t>
      </w:r>
      <w:r w:rsidR="00707B7E">
        <w:t>o</w:t>
      </w:r>
      <w:r w:rsidRPr="0035461E">
        <w:t>ut of the 1</w:t>
      </w:r>
      <w:r w:rsidR="00AB6205" w:rsidRPr="0035461E">
        <w:t>2</w:t>
      </w:r>
      <w:r w:rsidRPr="0035461E">
        <w:t xml:space="preserve"> vacant positions at the 8</w:t>
      </w:r>
      <w:r w:rsidR="00AB6205" w:rsidRPr="0035461E">
        <w:t>6</w:t>
      </w:r>
      <w:r w:rsidRPr="0035461E">
        <w:rPr>
          <w:vertAlign w:val="superscript"/>
        </w:rPr>
        <w:t>th</w:t>
      </w:r>
      <w:r w:rsidRPr="0035461E">
        <w:t xml:space="preserve"> meeting, the recruitment process </w:t>
      </w:r>
      <w:r w:rsidR="00AA62F9">
        <w:t>is</w:t>
      </w:r>
      <w:r w:rsidRPr="0035461E">
        <w:t xml:space="preserve"> complete for </w:t>
      </w:r>
      <w:r w:rsidR="00AB6205" w:rsidRPr="0035461E">
        <w:t xml:space="preserve">six </w:t>
      </w:r>
      <w:r w:rsidRPr="0035461E">
        <w:t xml:space="preserve">positions, and </w:t>
      </w:r>
      <w:r w:rsidR="00AB6205" w:rsidRPr="0035461E">
        <w:t xml:space="preserve">one </w:t>
      </w:r>
      <w:r w:rsidR="001F01DC">
        <w:t xml:space="preserve">was not filled, with the </w:t>
      </w:r>
      <w:r w:rsidR="00AB6205" w:rsidRPr="0035461E">
        <w:t>budget line reduced to zero for 2022, to be revisited in 2023.</w:t>
      </w:r>
      <w:r w:rsidRPr="0035461E">
        <w:t xml:space="preserve"> The remaining f</w:t>
      </w:r>
      <w:r w:rsidR="00AB6205" w:rsidRPr="0035461E">
        <w:t>ive</w:t>
      </w:r>
      <w:r w:rsidRPr="0035461E">
        <w:t xml:space="preserve"> positions are in various stages of recruitment and are expected to be filled </w:t>
      </w:r>
      <w:r w:rsidR="002120E3">
        <w:t xml:space="preserve">no later than </w:t>
      </w:r>
      <w:r w:rsidR="001A5480">
        <w:t>May </w:t>
      </w:r>
      <w:r w:rsidR="00AB6205" w:rsidRPr="0035461E">
        <w:t>2022</w:t>
      </w:r>
      <w:r w:rsidRPr="0035461E">
        <w:t xml:space="preserve">. </w:t>
      </w:r>
      <w:r w:rsidR="00097476">
        <w:t xml:space="preserve">Filling </w:t>
      </w:r>
      <w:r w:rsidR="00CC0AB7">
        <w:t xml:space="preserve">of </w:t>
      </w:r>
      <w:r w:rsidR="00097476">
        <w:t>the</w:t>
      </w:r>
      <w:r w:rsidR="00CC0AB7">
        <w:t xml:space="preserve"> vacant</w:t>
      </w:r>
      <w:r w:rsidR="00097476">
        <w:t xml:space="preserve"> posts has</w:t>
      </w:r>
      <w:r w:rsidR="00707B7E">
        <w:t xml:space="preserve"> contributed to UNEP’s ability to implement projects during this</w:t>
      </w:r>
      <w:r w:rsidR="00CC0AB7">
        <w:t xml:space="preserve"> reporting</w:t>
      </w:r>
      <w:r w:rsidR="00707B7E">
        <w:t xml:space="preserve"> period, and where required</w:t>
      </w:r>
      <w:r w:rsidR="006F3286">
        <w:t>,</w:t>
      </w:r>
      <w:r w:rsidR="00707B7E">
        <w:t xml:space="preserve"> UNEP reallocated tasks, reprioritized work, and hired consultants. </w:t>
      </w:r>
    </w:p>
    <w:p w14:paraId="665FC727" w14:textId="5B92984C" w:rsidR="00A1156D" w:rsidRPr="00A1156D" w:rsidRDefault="00A1156D" w:rsidP="002120E3">
      <w:pPr>
        <w:pStyle w:val="Heading1"/>
        <w:widowControl w:val="0"/>
      </w:pPr>
      <w:r>
        <w:t>The Secretariat sought clarification from UNEP on whether the proposed streamlining of CAP operations through the regional offices will result in cost savings, and how this will impact delivery of activities.</w:t>
      </w:r>
      <w:r w:rsidR="0016667D">
        <w:t xml:space="preserve"> </w:t>
      </w:r>
      <w:r>
        <w:t xml:space="preserve">UNEP explained that while there are no cost efficiencies associated with this new approach, there will be an additional accountability framework that is expected to lead to a more efficient delivery of services and in operations. </w:t>
      </w:r>
    </w:p>
    <w:p w14:paraId="05697FBB" w14:textId="3D1ACA31" w:rsidR="00CE6E21" w:rsidRPr="0035461E" w:rsidRDefault="004979CF" w:rsidP="002229A3">
      <w:pPr>
        <w:pStyle w:val="Heading1"/>
      </w:pPr>
      <w:r w:rsidRPr="0035461E">
        <w:t xml:space="preserve">In reviewing the </w:t>
      </w:r>
      <w:r w:rsidR="002A47A3" w:rsidRPr="0035461E">
        <w:t xml:space="preserve">proposed </w:t>
      </w:r>
      <w:r w:rsidR="00035A92" w:rsidRPr="0035461E">
        <w:t>202</w:t>
      </w:r>
      <w:r w:rsidR="00A535D2" w:rsidRPr="0035461E">
        <w:t>2</w:t>
      </w:r>
      <w:r w:rsidR="00035A92" w:rsidRPr="0035461E">
        <w:t xml:space="preserve"> </w:t>
      </w:r>
      <w:r w:rsidRPr="0035461E">
        <w:t xml:space="preserve">CAP budget against the </w:t>
      </w:r>
      <w:r w:rsidR="00035A92" w:rsidRPr="0035461E">
        <w:t>202</w:t>
      </w:r>
      <w:r w:rsidR="00A535D2" w:rsidRPr="0035461E">
        <w:t>1</w:t>
      </w:r>
      <w:r w:rsidR="00035A92" w:rsidRPr="0035461E">
        <w:t xml:space="preserve"> </w:t>
      </w:r>
      <w:r w:rsidRPr="0035461E">
        <w:t xml:space="preserve">approved budget, the Secretariat noted </w:t>
      </w:r>
      <w:r w:rsidR="00035A92" w:rsidRPr="0035461E">
        <w:t xml:space="preserve">that </w:t>
      </w:r>
      <w:r w:rsidR="00C21F2D" w:rsidRPr="0035461E">
        <w:t xml:space="preserve">the </w:t>
      </w:r>
      <w:r w:rsidR="0028058A" w:rsidRPr="0035461E">
        <w:t xml:space="preserve">main change was related to a reduction of </w:t>
      </w:r>
      <w:r w:rsidR="0016667D">
        <w:t>US $</w:t>
      </w:r>
      <w:r w:rsidR="0028058A" w:rsidRPr="0035461E">
        <w:t>1</w:t>
      </w:r>
      <w:r w:rsidR="00B850A0" w:rsidRPr="0035461E">
        <w:t>4</w:t>
      </w:r>
      <w:r w:rsidR="0028058A" w:rsidRPr="0035461E">
        <w:t xml:space="preserve">5,000 in </w:t>
      </w:r>
      <w:r w:rsidR="00C21F2D" w:rsidRPr="0035461E">
        <w:t>BL</w:t>
      </w:r>
      <w:r w:rsidR="001A5480">
        <w:t> </w:t>
      </w:r>
      <w:r w:rsidR="00B850A0" w:rsidRPr="0035461E">
        <w:t xml:space="preserve">4200 </w:t>
      </w:r>
      <w:r w:rsidR="0028058A" w:rsidRPr="0035461E">
        <w:t>(</w:t>
      </w:r>
      <w:r w:rsidR="002120E3">
        <w:t>“</w:t>
      </w:r>
      <w:r w:rsidR="00B850A0" w:rsidRPr="0035461E">
        <w:t>meetings</w:t>
      </w:r>
      <w:r w:rsidR="002120E3">
        <w:t>”</w:t>
      </w:r>
      <w:r w:rsidR="0028058A" w:rsidRPr="0035461E">
        <w:t xml:space="preserve">) and an increase </w:t>
      </w:r>
      <w:r w:rsidR="00B850A0" w:rsidRPr="0035461E">
        <w:t xml:space="preserve">of </w:t>
      </w:r>
      <w:r w:rsidR="0016667D">
        <w:t>US $</w:t>
      </w:r>
      <w:r w:rsidR="00B850A0" w:rsidRPr="0035461E">
        <w:t>45,000</w:t>
      </w:r>
      <w:r w:rsidR="001A5480">
        <w:t xml:space="preserve"> in BL </w:t>
      </w:r>
      <w:r w:rsidR="00B850A0" w:rsidRPr="0035461E">
        <w:t>3</w:t>
      </w:r>
      <w:r w:rsidR="0028058A" w:rsidRPr="0035461E">
        <w:t>200 (</w:t>
      </w:r>
      <w:r w:rsidR="002120E3">
        <w:t>“</w:t>
      </w:r>
      <w:r w:rsidR="00B850A0" w:rsidRPr="0035461E">
        <w:t>global services</w:t>
      </w:r>
      <w:r w:rsidR="002120E3">
        <w:t>”</w:t>
      </w:r>
      <w:r w:rsidR="0028058A" w:rsidRPr="0035461E">
        <w:t>)</w:t>
      </w:r>
      <w:r w:rsidR="00886154" w:rsidRPr="0035461E">
        <w:t xml:space="preserve">, as </w:t>
      </w:r>
      <w:r w:rsidR="001A5480">
        <w:t>shown in Table </w:t>
      </w:r>
      <w:r w:rsidR="00886154" w:rsidRPr="0035461E">
        <w:t>2</w:t>
      </w:r>
      <w:r w:rsidR="00035A92" w:rsidRPr="0035461E">
        <w:t>.</w:t>
      </w:r>
      <w:r w:rsidR="00886154" w:rsidRPr="0035461E">
        <w:t xml:space="preserve"> </w:t>
      </w:r>
      <w:r w:rsidR="002229A3" w:rsidRPr="0035461E">
        <w:t>The overall CAP budget is below the allowable level of increase and the changes proposed of the staff are in line with increased responsibilities of the posts.</w:t>
      </w:r>
    </w:p>
    <w:p w14:paraId="558CD9EF" w14:textId="712114A5" w:rsidR="004979CF" w:rsidRPr="0035461E" w:rsidRDefault="004979CF" w:rsidP="0049386B">
      <w:pPr>
        <w:pStyle w:val="Heading1"/>
        <w:keepNext/>
        <w:numPr>
          <w:ilvl w:val="0"/>
          <w:numId w:val="0"/>
        </w:numPr>
        <w:spacing w:after="0"/>
        <w:rPr>
          <w:b/>
        </w:rPr>
      </w:pPr>
      <w:r w:rsidRPr="0035461E">
        <w:rPr>
          <w:b/>
        </w:rPr>
        <w:t xml:space="preserve">Table 2. Comparison of the </w:t>
      </w:r>
      <w:r w:rsidR="00035A92" w:rsidRPr="0035461E">
        <w:rPr>
          <w:b/>
        </w:rPr>
        <w:t>202</w:t>
      </w:r>
      <w:r w:rsidR="00A535D2" w:rsidRPr="0035461E">
        <w:rPr>
          <w:b/>
        </w:rPr>
        <w:t>1</w:t>
      </w:r>
      <w:r w:rsidR="00035A92" w:rsidRPr="0035461E">
        <w:rPr>
          <w:b/>
        </w:rPr>
        <w:t xml:space="preserve"> </w:t>
      </w:r>
      <w:r w:rsidRPr="0035461E">
        <w:rPr>
          <w:b/>
        </w:rPr>
        <w:t xml:space="preserve">approved CAP budget and the </w:t>
      </w:r>
      <w:r w:rsidR="00035A92" w:rsidRPr="0035461E">
        <w:rPr>
          <w:b/>
        </w:rPr>
        <w:t>202</w:t>
      </w:r>
      <w:r w:rsidR="00A535D2" w:rsidRPr="0035461E">
        <w:rPr>
          <w:b/>
        </w:rPr>
        <w:t>2</w:t>
      </w:r>
      <w:r w:rsidR="00035A92" w:rsidRPr="0035461E">
        <w:rPr>
          <w:b/>
        </w:rPr>
        <w:t xml:space="preserve"> </w:t>
      </w:r>
      <w:r w:rsidRPr="0035461E">
        <w:rPr>
          <w:b/>
        </w:rPr>
        <w:t>proposed budget (</w:t>
      </w:r>
      <w:r w:rsidR="0016667D">
        <w:rPr>
          <w:b/>
        </w:rPr>
        <w:t>US $</w:t>
      </w:r>
      <w:r w:rsidRPr="0035461E">
        <w:rPr>
          <w:b/>
        </w:rPr>
        <w:t>)</w:t>
      </w:r>
    </w:p>
    <w:tbl>
      <w:tblPr>
        <w:tblW w:w="5000" w:type="pct"/>
        <w:tblLayout w:type="fixed"/>
        <w:tblLook w:val="04A0" w:firstRow="1" w:lastRow="0" w:firstColumn="1" w:lastColumn="0" w:noHBand="0" w:noVBand="1"/>
      </w:tblPr>
      <w:tblGrid>
        <w:gridCol w:w="3505"/>
        <w:gridCol w:w="1461"/>
        <w:gridCol w:w="1461"/>
        <w:gridCol w:w="1461"/>
        <w:gridCol w:w="1462"/>
      </w:tblGrid>
      <w:tr w:rsidR="004979CF" w:rsidRPr="0035461E" w14:paraId="6C022ADE" w14:textId="77777777" w:rsidTr="002120E3">
        <w:trPr>
          <w:tblHeader/>
        </w:trPr>
        <w:tc>
          <w:tcPr>
            <w:tcW w:w="18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F5176" w14:textId="3772AB37" w:rsidR="004979CF" w:rsidRPr="0035461E" w:rsidRDefault="00886154" w:rsidP="00886154">
            <w:pPr>
              <w:keepNext/>
              <w:jc w:val="left"/>
              <w:rPr>
                <w:b/>
                <w:color w:val="000000"/>
                <w:sz w:val="20"/>
                <w:szCs w:val="20"/>
                <w:lang w:eastAsia="en-CA"/>
              </w:rPr>
            </w:pPr>
            <w:r w:rsidRPr="0035461E">
              <w:rPr>
                <w:b/>
                <w:color w:val="000000"/>
                <w:sz w:val="20"/>
                <w:szCs w:val="20"/>
                <w:lang w:eastAsia="en-CA"/>
              </w:rPr>
              <w:t>Budget line</w:t>
            </w:r>
          </w:p>
        </w:tc>
        <w:tc>
          <w:tcPr>
            <w:tcW w:w="781"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51C4F2DC" w14:textId="76477846" w:rsidR="004979CF" w:rsidRPr="0035461E" w:rsidRDefault="004979CF" w:rsidP="0049386B">
            <w:pPr>
              <w:keepNext/>
              <w:jc w:val="center"/>
              <w:rPr>
                <w:b/>
                <w:color w:val="000000"/>
                <w:sz w:val="20"/>
                <w:szCs w:val="20"/>
                <w:lang w:eastAsia="en-CA"/>
              </w:rPr>
            </w:pPr>
            <w:r w:rsidRPr="0035461E">
              <w:rPr>
                <w:b/>
                <w:color w:val="000000"/>
                <w:sz w:val="20"/>
                <w:szCs w:val="20"/>
                <w:lang w:eastAsia="en-CA"/>
              </w:rPr>
              <w:t>20</w:t>
            </w:r>
            <w:r w:rsidR="002A47A3" w:rsidRPr="0035461E">
              <w:rPr>
                <w:b/>
                <w:color w:val="000000"/>
                <w:sz w:val="20"/>
                <w:szCs w:val="20"/>
                <w:lang w:eastAsia="en-CA"/>
              </w:rPr>
              <w:t>2</w:t>
            </w:r>
            <w:r w:rsidR="00A535D2" w:rsidRPr="0035461E">
              <w:rPr>
                <w:b/>
                <w:color w:val="000000"/>
                <w:sz w:val="20"/>
                <w:szCs w:val="20"/>
                <w:lang w:eastAsia="en-CA"/>
              </w:rPr>
              <w:t>1</w:t>
            </w:r>
            <w:r w:rsidRPr="0035461E">
              <w:rPr>
                <w:b/>
                <w:color w:val="000000"/>
                <w:sz w:val="20"/>
                <w:szCs w:val="20"/>
                <w:lang w:eastAsia="en-CA"/>
              </w:rPr>
              <w:t xml:space="preserve"> approved </w:t>
            </w:r>
          </w:p>
        </w:tc>
        <w:tc>
          <w:tcPr>
            <w:tcW w:w="781" w:type="pct"/>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0BA5B758" w14:textId="49C1D2F3" w:rsidR="004979CF" w:rsidRPr="0035461E" w:rsidRDefault="004979CF" w:rsidP="0049386B">
            <w:pPr>
              <w:keepNext/>
              <w:jc w:val="center"/>
              <w:rPr>
                <w:b/>
                <w:color w:val="000000"/>
                <w:sz w:val="20"/>
                <w:szCs w:val="20"/>
                <w:lang w:eastAsia="en-CA"/>
              </w:rPr>
            </w:pPr>
            <w:r w:rsidRPr="0035461E">
              <w:rPr>
                <w:b/>
                <w:color w:val="000000"/>
                <w:sz w:val="20"/>
                <w:szCs w:val="20"/>
                <w:lang w:eastAsia="en-CA"/>
              </w:rPr>
              <w:t>202</w:t>
            </w:r>
            <w:r w:rsidR="00A535D2" w:rsidRPr="0035461E">
              <w:rPr>
                <w:b/>
                <w:color w:val="000000"/>
                <w:sz w:val="20"/>
                <w:szCs w:val="20"/>
                <w:lang w:eastAsia="en-CA"/>
              </w:rPr>
              <w:t>2</w:t>
            </w:r>
            <w:r w:rsidRPr="0035461E">
              <w:rPr>
                <w:b/>
                <w:color w:val="000000"/>
                <w:sz w:val="20"/>
                <w:szCs w:val="20"/>
                <w:lang w:eastAsia="en-CA"/>
              </w:rPr>
              <w:t xml:space="preserve"> proposal </w:t>
            </w:r>
          </w:p>
        </w:tc>
        <w:tc>
          <w:tcPr>
            <w:tcW w:w="781" w:type="pct"/>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51D6886E" w14:textId="1D9FBC5D" w:rsidR="004979CF" w:rsidRPr="0035461E" w:rsidRDefault="004979CF" w:rsidP="0028058A">
            <w:pPr>
              <w:keepNext/>
              <w:jc w:val="center"/>
              <w:rPr>
                <w:b/>
                <w:color w:val="000000"/>
                <w:sz w:val="20"/>
                <w:szCs w:val="20"/>
                <w:lang w:eastAsia="en-CA"/>
              </w:rPr>
            </w:pPr>
            <w:r w:rsidRPr="0035461E">
              <w:rPr>
                <w:b/>
                <w:color w:val="000000"/>
                <w:sz w:val="20"/>
                <w:szCs w:val="20"/>
                <w:lang w:eastAsia="en-CA"/>
              </w:rPr>
              <w:t xml:space="preserve">Difference </w:t>
            </w:r>
          </w:p>
        </w:tc>
        <w:tc>
          <w:tcPr>
            <w:tcW w:w="782" w:type="pct"/>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2E3CC299" w14:textId="545E634F" w:rsidR="004979CF" w:rsidRPr="0035461E" w:rsidRDefault="004979CF" w:rsidP="00886154">
            <w:pPr>
              <w:keepNext/>
              <w:jc w:val="center"/>
              <w:rPr>
                <w:b/>
                <w:color w:val="000000"/>
                <w:sz w:val="20"/>
                <w:szCs w:val="20"/>
                <w:lang w:eastAsia="en-CA"/>
              </w:rPr>
            </w:pPr>
            <w:r w:rsidRPr="0035461E">
              <w:rPr>
                <w:b/>
                <w:color w:val="000000"/>
                <w:sz w:val="20"/>
                <w:szCs w:val="20"/>
                <w:lang w:eastAsia="en-CA"/>
              </w:rPr>
              <w:t>Change</w:t>
            </w:r>
            <w:r w:rsidR="00886154" w:rsidRPr="0035461E">
              <w:rPr>
                <w:b/>
                <w:color w:val="000000"/>
                <w:sz w:val="20"/>
                <w:szCs w:val="20"/>
                <w:lang w:eastAsia="en-CA"/>
              </w:rPr>
              <w:t xml:space="preserve"> </w:t>
            </w:r>
            <w:r w:rsidR="002A47A3" w:rsidRPr="0035461E">
              <w:rPr>
                <w:b/>
                <w:color w:val="000000"/>
                <w:sz w:val="20"/>
                <w:szCs w:val="20"/>
                <w:lang w:eastAsia="en-CA"/>
              </w:rPr>
              <w:t>(%)</w:t>
            </w:r>
            <w:r w:rsidRPr="0035461E">
              <w:rPr>
                <w:b/>
                <w:color w:val="000000"/>
                <w:sz w:val="20"/>
                <w:szCs w:val="20"/>
                <w:lang w:eastAsia="en-CA"/>
              </w:rPr>
              <w:t xml:space="preserve"> </w:t>
            </w:r>
          </w:p>
        </w:tc>
      </w:tr>
      <w:tr w:rsidR="0081154E" w:rsidRPr="0035461E" w14:paraId="698A14AB" w14:textId="77777777" w:rsidTr="002120E3">
        <w:tc>
          <w:tcPr>
            <w:tcW w:w="1874" w:type="pct"/>
            <w:tcBorders>
              <w:top w:val="nil"/>
              <w:left w:val="single" w:sz="4" w:space="0" w:color="auto"/>
              <w:bottom w:val="single" w:sz="4" w:space="0" w:color="auto"/>
              <w:right w:val="single" w:sz="4" w:space="0" w:color="auto"/>
            </w:tcBorders>
            <w:shd w:val="clear" w:color="auto" w:fill="auto"/>
            <w:hideMark/>
          </w:tcPr>
          <w:p w14:paraId="2A3364D6" w14:textId="77777777" w:rsidR="004979CF" w:rsidRPr="0035461E" w:rsidRDefault="004979CF" w:rsidP="0049386B">
            <w:pPr>
              <w:jc w:val="left"/>
              <w:rPr>
                <w:color w:val="000000"/>
                <w:sz w:val="20"/>
                <w:szCs w:val="20"/>
                <w:lang w:eastAsia="en-CA"/>
              </w:rPr>
            </w:pPr>
            <w:r w:rsidRPr="0035461E">
              <w:rPr>
                <w:color w:val="000000"/>
                <w:sz w:val="20"/>
                <w:szCs w:val="20"/>
                <w:lang w:eastAsia="en-CA"/>
              </w:rPr>
              <w:t>1999 (staff personnel)</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10B025A9" w14:textId="77777777" w:rsidR="004979CF" w:rsidRPr="0035461E" w:rsidRDefault="004979CF" w:rsidP="0049386B">
            <w:pPr>
              <w:jc w:val="right"/>
              <w:rPr>
                <w:color w:val="000000"/>
                <w:sz w:val="20"/>
                <w:szCs w:val="20"/>
                <w:lang w:eastAsia="en-CA"/>
              </w:rPr>
            </w:pPr>
            <w:r w:rsidRPr="0035461E">
              <w:rPr>
                <w:color w:val="000000"/>
                <w:sz w:val="20"/>
                <w:szCs w:val="20"/>
                <w:lang w:eastAsia="en-CA"/>
              </w:rPr>
              <w:t>7,069,000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50A1758C" w14:textId="5D960890" w:rsidR="004979CF" w:rsidRPr="0035461E" w:rsidRDefault="004979CF">
            <w:pPr>
              <w:jc w:val="right"/>
              <w:rPr>
                <w:color w:val="000000"/>
                <w:sz w:val="20"/>
                <w:szCs w:val="20"/>
                <w:lang w:eastAsia="en-CA"/>
              </w:rPr>
            </w:pPr>
            <w:r w:rsidRPr="0035461E">
              <w:rPr>
                <w:color w:val="000000"/>
                <w:sz w:val="20"/>
                <w:szCs w:val="20"/>
                <w:lang w:eastAsia="en-CA"/>
              </w:rPr>
              <w:t>7,</w:t>
            </w:r>
            <w:r w:rsidR="00B850A0" w:rsidRPr="0035461E">
              <w:rPr>
                <w:color w:val="000000"/>
                <w:sz w:val="20"/>
                <w:szCs w:val="20"/>
                <w:lang w:eastAsia="en-CA"/>
              </w:rPr>
              <w:t>183</w:t>
            </w:r>
            <w:r w:rsidR="00035A92" w:rsidRPr="0035461E">
              <w:rPr>
                <w:color w:val="000000"/>
                <w:sz w:val="20"/>
                <w:szCs w:val="20"/>
                <w:lang w:eastAsia="en-CA"/>
              </w:rPr>
              <w:t>,</w:t>
            </w:r>
            <w:r w:rsidR="00B850A0" w:rsidRPr="0035461E">
              <w:rPr>
                <w:color w:val="000000"/>
                <w:sz w:val="20"/>
                <w:szCs w:val="20"/>
                <w:lang w:eastAsia="en-CA"/>
              </w:rPr>
              <w:t>9</w:t>
            </w:r>
            <w:r w:rsidR="00035A92" w:rsidRPr="0035461E">
              <w:rPr>
                <w:color w:val="000000"/>
                <w:sz w:val="20"/>
                <w:szCs w:val="20"/>
                <w:lang w:eastAsia="en-CA"/>
              </w:rPr>
              <w:t>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5D275BB1" w14:textId="6A576242" w:rsidR="004979CF" w:rsidRPr="0035461E" w:rsidRDefault="00B850A0" w:rsidP="0049386B">
            <w:pPr>
              <w:jc w:val="right"/>
              <w:rPr>
                <w:color w:val="000000"/>
                <w:sz w:val="20"/>
                <w:szCs w:val="20"/>
                <w:lang w:eastAsia="en-CA"/>
              </w:rPr>
            </w:pPr>
            <w:r w:rsidRPr="0035461E">
              <w:rPr>
                <w:color w:val="000000"/>
                <w:sz w:val="20"/>
                <w:szCs w:val="20"/>
                <w:lang w:eastAsia="en-CA"/>
              </w:rPr>
              <w:t>114,900</w:t>
            </w:r>
          </w:p>
        </w:tc>
        <w:tc>
          <w:tcPr>
            <w:tcW w:w="782" w:type="pct"/>
            <w:tcBorders>
              <w:top w:val="nil"/>
              <w:left w:val="nil"/>
              <w:bottom w:val="single" w:sz="4" w:space="0" w:color="auto"/>
              <w:right w:val="single" w:sz="4" w:space="0" w:color="auto"/>
            </w:tcBorders>
            <w:shd w:val="clear" w:color="auto" w:fill="auto"/>
            <w:noWrap/>
            <w:tcMar>
              <w:left w:w="0" w:type="dxa"/>
              <w:right w:w="173" w:type="dxa"/>
            </w:tcMar>
          </w:tcPr>
          <w:p w14:paraId="49F57B5A" w14:textId="6DB2A02A" w:rsidR="004979CF" w:rsidRPr="0035461E" w:rsidRDefault="00B850A0" w:rsidP="0049386B">
            <w:pPr>
              <w:jc w:val="right"/>
              <w:rPr>
                <w:color w:val="000000"/>
                <w:sz w:val="20"/>
                <w:szCs w:val="20"/>
                <w:lang w:eastAsia="en-CA"/>
              </w:rPr>
            </w:pPr>
            <w:r w:rsidRPr="0035461E">
              <w:rPr>
                <w:color w:val="000000"/>
                <w:sz w:val="20"/>
                <w:szCs w:val="20"/>
                <w:lang w:eastAsia="en-CA"/>
              </w:rPr>
              <w:t>1.6</w:t>
            </w:r>
            <w:r w:rsidR="000C70C9" w:rsidRPr="0035461E">
              <w:rPr>
                <w:color w:val="000000"/>
                <w:sz w:val="20"/>
                <w:szCs w:val="20"/>
                <w:lang w:eastAsia="en-CA"/>
              </w:rPr>
              <w:t>3</w:t>
            </w:r>
          </w:p>
        </w:tc>
      </w:tr>
      <w:tr w:rsidR="0081154E" w:rsidRPr="0035461E" w14:paraId="3AEC3BEB" w14:textId="77777777" w:rsidTr="002120E3">
        <w:tc>
          <w:tcPr>
            <w:tcW w:w="1874" w:type="pct"/>
            <w:tcBorders>
              <w:top w:val="nil"/>
              <w:left w:val="single" w:sz="4" w:space="0" w:color="auto"/>
              <w:bottom w:val="single" w:sz="4" w:space="0" w:color="auto"/>
              <w:right w:val="single" w:sz="4" w:space="0" w:color="auto"/>
            </w:tcBorders>
            <w:shd w:val="clear" w:color="auto" w:fill="auto"/>
          </w:tcPr>
          <w:p w14:paraId="7147D051" w14:textId="77777777" w:rsidR="004979CF" w:rsidRPr="0035461E" w:rsidRDefault="004979CF" w:rsidP="0049386B">
            <w:pPr>
              <w:jc w:val="left"/>
              <w:rPr>
                <w:color w:val="000000"/>
                <w:sz w:val="20"/>
                <w:szCs w:val="20"/>
                <w:lang w:eastAsia="en-CA"/>
              </w:rPr>
            </w:pPr>
            <w:r w:rsidRPr="0035461E">
              <w:rPr>
                <w:color w:val="000000"/>
                <w:sz w:val="20"/>
                <w:szCs w:val="20"/>
                <w:lang w:eastAsia="en-CA"/>
              </w:rPr>
              <w:t>1600 (travel)</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6B0F985A" w14:textId="77777777" w:rsidR="004979CF" w:rsidRPr="0035461E" w:rsidRDefault="004979CF" w:rsidP="0049386B">
            <w:pPr>
              <w:jc w:val="right"/>
              <w:rPr>
                <w:color w:val="000000"/>
                <w:sz w:val="20"/>
                <w:szCs w:val="20"/>
                <w:lang w:eastAsia="en-CA"/>
              </w:rPr>
            </w:pPr>
            <w:r w:rsidRPr="0035461E">
              <w:rPr>
                <w:color w:val="000000"/>
                <w:sz w:val="20"/>
                <w:szCs w:val="20"/>
                <w:lang w:eastAsia="en-CA"/>
              </w:rPr>
              <w:t>548,000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5054A84F" w14:textId="77777777" w:rsidR="004979CF" w:rsidRPr="0035461E" w:rsidRDefault="004979CF" w:rsidP="0049386B">
            <w:pPr>
              <w:jc w:val="right"/>
              <w:rPr>
                <w:bCs/>
                <w:sz w:val="20"/>
                <w:szCs w:val="20"/>
              </w:rPr>
            </w:pPr>
            <w:r w:rsidRPr="0035461E">
              <w:rPr>
                <w:bCs/>
                <w:sz w:val="20"/>
                <w:szCs w:val="20"/>
              </w:rPr>
              <w:t>548,000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5AC9C307" w14:textId="77777777" w:rsidR="004979CF" w:rsidRPr="0035461E" w:rsidRDefault="004979CF" w:rsidP="0049386B">
            <w:pPr>
              <w:jc w:val="right"/>
              <w:rPr>
                <w:color w:val="000000"/>
                <w:sz w:val="20"/>
                <w:szCs w:val="20"/>
                <w:lang w:eastAsia="en-CA"/>
              </w:rPr>
            </w:pPr>
            <w:r w:rsidRPr="0035461E">
              <w:rPr>
                <w:color w:val="000000"/>
                <w:sz w:val="20"/>
                <w:szCs w:val="20"/>
                <w:lang w:eastAsia="en-CA"/>
              </w:rPr>
              <w:t>0</w:t>
            </w:r>
          </w:p>
        </w:tc>
        <w:tc>
          <w:tcPr>
            <w:tcW w:w="782" w:type="pct"/>
            <w:tcBorders>
              <w:top w:val="nil"/>
              <w:left w:val="nil"/>
              <w:bottom w:val="single" w:sz="4" w:space="0" w:color="auto"/>
              <w:right w:val="single" w:sz="4" w:space="0" w:color="auto"/>
            </w:tcBorders>
            <w:shd w:val="clear" w:color="auto" w:fill="auto"/>
            <w:noWrap/>
            <w:tcMar>
              <w:left w:w="0" w:type="dxa"/>
              <w:right w:w="173" w:type="dxa"/>
            </w:tcMar>
          </w:tcPr>
          <w:p w14:paraId="094BC5B4" w14:textId="77777777" w:rsidR="004979CF" w:rsidRPr="0035461E" w:rsidRDefault="004979CF" w:rsidP="0049386B">
            <w:pPr>
              <w:jc w:val="right"/>
              <w:rPr>
                <w:color w:val="000000"/>
                <w:sz w:val="20"/>
                <w:szCs w:val="20"/>
                <w:lang w:eastAsia="en-CA"/>
              </w:rPr>
            </w:pPr>
            <w:r w:rsidRPr="0035461E">
              <w:rPr>
                <w:color w:val="000000"/>
                <w:sz w:val="20"/>
                <w:szCs w:val="20"/>
                <w:lang w:eastAsia="en-CA"/>
              </w:rPr>
              <w:t>0</w:t>
            </w:r>
          </w:p>
        </w:tc>
      </w:tr>
      <w:tr w:rsidR="004979CF" w:rsidRPr="0035461E" w14:paraId="6B63EEE8" w14:textId="77777777" w:rsidTr="002120E3">
        <w:tc>
          <w:tcPr>
            <w:tcW w:w="1874" w:type="pct"/>
            <w:tcBorders>
              <w:top w:val="nil"/>
              <w:left w:val="single" w:sz="4" w:space="0" w:color="auto"/>
              <w:bottom w:val="single" w:sz="4" w:space="0" w:color="auto"/>
              <w:right w:val="single" w:sz="4" w:space="0" w:color="auto"/>
            </w:tcBorders>
            <w:shd w:val="clear" w:color="auto" w:fill="auto"/>
          </w:tcPr>
          <w:p w14:paraId="13C382B0" w14:textId="77777777" w:rsidR="004979CF" w:rsidRPr="0035461E" w:rsidRDefault="004979CF" w:rsidP="0049386B">
            <w:pPr>
              <w:jc w:val="left"/>
              <w:rPr>
                <w:color w:val="000000"/>
                <w:sz w:val="20"/>
                <w:szCs w:val="20"/>
                <w:lang w:eastAsia="en-CA"/>
              </w:rPr>
            </w:pPr>
            <w:r w:rsidRPr="0035461E">
              <w:rPr>
                <w:color w:val="000000"/>
                <w:sz w:val="20"/>
                <w:szCs w:val="20"/>
                <w:lang w:eastAsia="en-CA"/>
              </w:rPr>
              <w:t>2030 (regional activities)</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4E794505" w14:textId="7DB8A902" w:rsidR="004979CF" w:rsidRPr="0035461E" w:rsidRDefault="00A535D2" w:rsidP="0049386B">
            <w:pPr>
              <w:jc w:val="right"/>
              <w:rPr>
                <w:color w:val="000000"/>
                <w:sz w:val="20"/>
                <w:szCs w:val="20"/>
                <w:lang w:eastAsia="en-CA"/>
              </w:rPr>
            </w:pPr>
            <w:r w:rsidRPr="0035461E">
              <w:rPr>
                <w:color w:val="000000"/>
                <w:sz w:val="20"/>
                <w:szCs w:val="20"/>
                <w:lang w:eastAsia="en-CA"/>
              </w:rPr>
              <w:t>1,097,000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1D59BBAB" w14:textId="525DC758" w:rsidR="004979CF" w:rsidRPr="0035461E" w:rsidRDefault="00C21F2D" w:rsidP="0049386B">
            <w:pPr>
              <w:jc w:val="right"/>
              <w:rPr>
                <w:color w:val="000000"/>
                <w:sz w:val="20"/>
                <w:szCs w:val="20"/>
                <w:lang w:eastAsia="en-CA"/>
              </w:rPr>
            </w:pPr>
            <w:r w:rsidRPr="0035461E">
              <w:rPr>
                <w:color w:val="000000"/>
                <w:sz w:val="20"/>
                <w:szCs w:val="20"/>
                <w:lang w:eastAsia="en-CA"/>
              </w:rPr>
              <w:t>1,097,000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16814359" w14:textId="5FDD5AF2" w:rsidR="004979CF" w:rsidRPr="0035461E" w:rsidRDefault="00A535D2" w:rsidP="0049386B">
            <w:pPr>
              <w:jc w:val="right"/>
              <w:rPr>
                <w:color w:val="000000"/>
                <w:sz w:val="20"/>
                <w:szCs w:val="20"/>
                <w:lang w:eastAsia="en-CA"/>
              </w:rPr>
            </w:pPr>
            <w:r w:rsidRPr="0035461E">
              <w:rPr>
                <w:color w:val="000000"/>
                <w:sz w:val="20"/>
                <w:szCs w:val="20"/>
                <w:lang w:eastAsia="en-CA"/>
              </w:rPr>
              <w:t>0</w:t>
            </w:r>
          </w:p>
        </w:tc>
        <w:tc>
          <w:tcPr>
            <w:tcW w:w="782" w:type="pct"/>
            <w:tcBorders>
              <w:top w:val="nil"/>
              <w:left w:val="nil"/>
              <w:bottom w:val="single" w:sz="4" w:space="0" w:color="auto"/>
              <w:right w:val="single" w:sz="4" w:space="0" w:color="auto"/>
            </w:tcBorders>
            <w:shd w:val="clear" w:color="auto" w:fill="auto"/>
            <w:noWrap/>
            <w:tcMar>
              <w:left w:w="0" w:type="dxa"/>
              <w:right w:w="173" w:type="dxa"/>
            </w:tcMar>
          </w:tcPr>
          <w:p w14:paraId="780177F5" w14:textId="43606A42" w:rsidR="004979CF" w:rsidRPr="0035461E" w:rsidRDefault="00A535D2" w:rsidP="0049386B">
            <w:pPr>
              <w:jc w:val="right"/>
              <w:rPr>
                <w:color w:val="000000"/>
                <w:sz w:val="20"/>
                <w:szCs w:val="20"/>
                <w:lang w:eastAsia="en-CA"/>
              </w:rPr>
            </w:pPr>
            <w:r w:rsidRPr="0035461E">
              <w:rPr>
                <w:color w:val="000000"/>
                <w:sz w:val="20"/>
                <w:szCs w:val="20"/>
                <w:lang w:eastAsia="en-CA"/>
              </w:rPr>
              <w:t>0</w:t>
            </w:r>
          </w:p>
        </w:tc>
      </w:tr>
      <w:tr w:rsidR="00EB0C82" w:rsidRPr="0035461E" w14:paraId="19B1E2D9" w14:textId="77777777" w:rsidTr="002120E3">
        <w:tc>
          <w:tcPr>
            <w:tcW w:w="1874" w:type="pct"/>
            <w:tcBorders>
              <w:top w:val="nil"/>
              <w:left w:val="single" w:sz="4" w:space="0" w:color="auto"/>
              <w:bottom w:val="single" w:sz="4" w:space="0" w:color="auto"/>
              <w:right w:val="single" w:sz="4" w:space="0" w:color="auto"/>
            </w:tcBorders>
            <w:shd w:val="clear" w:color="auto" w:fill="auto"/>
          </w:tcPr>
          <w:p w14:paraId="73D132B0" w14:textId="2814FFD2" w:rsidR="00EB0C82" w:rsidRPr="0035461E" w:rsidRDefault="00EB0C82" w:rsidP="00EB0C82">
            <w:pPr>
              <w:jc w:val="left"/>
              <w:rPr>
                <w:color w:val="000000"/>
                <w:sz w:val="20"/>
                <w:szCs w:val="20"/>
                <w:lang w:eastAsia="en-CA"/>
              </w:rPr>
            </w:pPr>
            <w:r w:rsidRPr="0035461E">
              <w:rPr>
                <w:color w:val="000000"/>
                <w:sz w:val="20"/>
                <w:szCs w:val="20"/>
                <w:lang w:eastAsia="en-CA"/>
              </w:rPr>
              <w:t>3200 (global services)</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3B92863E" w14:textId="6E54A6F3" w:rsidR="00EB0C82" w:rsidRPr="0035461E" w:rsidRDefault="00EB0C82" w:rsidP="00EB0C82">
            <w:pPr>
              <w:jc w:val="right"/>
              <w:rPr>
                <w:color w:val="000000"/>
                <w:sz w:val="20"/>
                <w:szCs w:val="20"/>
                <w:lang w:eastAsia="en-CA"/>
              </w:rPr>
            </w:pPr>
            <w:r w:rsidRPr="0035461E">
              <w:rPr>
                <w:color w:val="000000"/>
                <w:sz w:val="20"/>
                <w:szCs w:val="20"/>
                <w:lang w:eastAsia="en-CA"/>
              </w:rPr>
              <w:t>505,000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7F34DF8C" w14:textId="2973BB74" w:rsidR="00EB0C82" w:rsidRPr="0035461E" w:rsidRDefault="00EB0C82" w:rsidP="00EB0C82">
            <w:pPr>
              <w:jc w:val="right"/>
              <w:rPr>
                <w:color w:val="000000"/>
                <w:sz w:val="20"/>
                <w:szCs w:val="20"/>
                <w:lang w:eastAsia="en-CA"/>
              </w:rPr>
            </w:pPr>
            <w:r w:rsidRPr="0035461E">
              <w:rPr>
                <w:color w:val="000000"/>
                <w:sz w:val="20"/>
                <w:szCs w:val="20"/>
                <w:lang w:eastAsia="en-CA"/>
              </w:rPr>
              <w:t>550,000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2A70F4B3" w14:textId="51390971" w:rsidR="00EB0C82" w:rsidRPr="0035461E" w:rsidRDefault="00EB0C82" w:rsidP="00EB0C82">
            <w:pPr>
              <w:jc w:val="right"/>
              <w:rPr>
                <w:color w:val="000000"/>
                <w:sz w:val="20"/>
                <w:szCs w:val="20"/>
                <w:lang w:eastAsia="en-CA"/>
              </w:rPr>
            </w:pPr>
            <w:r w:rsidRPr="0035461E">
              <w:rPr>
                <w:color w:val="000000"/>
                <w:sz w:val="20"/>
                <w:szCs w:val="20"/>
                <w:lang w:eastAsia="en-CA"/>
              </w:rPr>
              <w:t>45,000</w:t>
            </w:r>
          </w:p>
        </w:tc>
        <w:tc>
          <w:tcPr>
            <w:tcW w:w="782" w:type="pct"/>
            <w:tcBorders>
              <w:top w:val="nil"/>
              <w:left w:val="nil"/>
              <w:bottom w:val="single" w:sz="4" w:space="0" w:color="auto"/>
              <w:right w:val="single" w:sz="4" w:space="0" w:color="auto"/>
            </w:tcBorders>
            <w:shd w:val="clear" w:color="auto" w:fill="auto"/>
            <w:noWrap/>
            <w:tcMar>
              <w:left w:w="0" w:type="dxa"/>
              <w:right w:w="173" w:type="dxa"/>
            </w:tcMar>
          </w:tcPr>
          <w:p w14:paraId="4A682DCD" w14:textId="07DAAE28" w:rsidR="00EB0C82" w:rsidRPr="0035461E" w:rsidRDefault="00EB0C82" w:rsidP="00EB0C82">
            <w:pPr>
              <w:jc w:val="right"/>
              <w:rPr>
                <w:color w:val="000000"/>
                <w:sz w:val="20"/>
                <w:szCs w:val="20"/>
                <w:lang w:eastAsia="en-CA"/>
              </w:rPr>
            </w:pPr>
            <w:r w:rsidRPr="0035461E">
              <w:rPr>
                <w:color w:val="000000"/>
                <w:sz w:val="20"/>
                <w:szCs w:val="20"/>
                <w:lang w:eastAsia="en-CA"/>
              </w:rPr>
              <w:t>8</w:t>
            </w:r>
            <w:r w:rsidR="000C70C9" w:rsidRPr="0035461E">
              <w:rPr>
                <w:color w:val="000000"/>
                <w:sz w:val="20"/>
                <w:szCs w:val="20"/>
                <w:lang w:eastAsia="en-CA"/>
              </w:rPr>
              <w:t>.91</w:t>
            </w:r>
          </w:p>
        </w:tc>
      </w:tr>
      <w:tr w:rsidR="00C21F2D" w:rsidRPr="0035461E" w14:paraId="716E4534" w14:textId="77777777" w:rsidTr="002120E3">
        <w:tc>
          <w:tcPr>
            <w:tcW w:w="1874" w:type="pct"/>
            <w:tcBorders>
              <w:top w:val="nil"/>
              <w:left w:val="single" w:sz="4" w:space="0" w:color="auto"/>
              <w:bottom w:val="single" w:sz="4" w:space="0" w:color="auto"/>
              <w:right w:val="single" w:sz="4" w:space="0" w:color="auto"/>
            </w:tcBorders>
            <w:shd w:val="clear" w:color="auto" w:fill="auto"/>
          </w:tcPr>
          <w:p w14:paraId="78E5BF0E" w14:textId="48A6EA0A" w:rsidR="00C21F2D" w:rsidRPr="0035461E" w:rsidRDefault="00C21F2D" w:rsidP="0049386B">
            <w:pPr>
              <w:jc w:val="left"/>
              <w:rPr>
                <w:color w:val="000000"/>
                <w:sz w:val="20"/>
                <w:szCs w:val="20"/>
                <w:lang w:eastAsia="en-CA"/>
              </w:rPr>
            </w:pPr>
            <w:r w:rsidRPr="0035461E">
              <w:rPr>
                <w:color w:val="000000"/>
                <w:sz w:val="20"/>
                <w:szCs w:val="20"/>
                <w:lang w:eastAsia="en-CA"/>
              </w:rPr>
              <w:t>4200 (</w:t>
            </w:r>
            <w:r w:rsidR="002A47A3" w:rsidRPr="0035461E">
              <w:rPr>
                <w:color w:val="000000"/>
                <w:sz w:val="20"/>
                <w:szCs w:val="20"/>
                <w:lang w:eastAsia="en-CA"/>
              </w:rPr>
              <w:t>m</w:t>
            </w:r>
            <w:r w:rsidRPr="0035461E">
              <w:rPr>
                <w:color w:val="000000"/>
                <w:sz w:val="20"/>
                <w:szCs w:val="20"/>
                <w:lang w:eastAsia="en-CA"/>
              </w:rPr>
              <w:t>eetings)</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20DF6F07" w14:textId="35F4E545" w:rsidR="00C21F2D" w:rsidRPr="0035461E" w:rsidRDefault="00EB0C82" w:rsidP="0049386B">
            <w:pPr>
              <w:jc w:val="right"/>
              <w:rPr>
                <w:color w:val="000000"/>
                <w:sz w:val="20"/>
                <w:szCs w:val="20"/>
                <w:lang w:eastAsia="en-CA"/>
              </w:rPr>
            </w:pPr>
            <w:r w:rsidRPr="0035461E">
              <w:rPr>
                <w:color w:val="000000"/>
                <w:sz w:val="20"/>
                <w:szCs w:val="20"/>
                <w:lang w:eastAsia="en-CA"/>
              </w:rPr>
              <w:t>165,000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36B32B99" w14:textId="0B2C6107" w:rsidR="00C21F2D" w:rsidRPr="0035461E" w:rsidRDefault="00EB0C82" w:rsidP="0049386B">
            <w:pPr>
              <w:jc w:val="right"/>
              <w:rPr>
                <w:color w:val="000000"/>
                <w:sz w:val="20"/>
                <w:szCs w:val="20"/>
                <w:lang w:eastAsia="en-CA"/>
              </w:rPr>
            </w:pPr>
            <w:r w:rsidRPr="0035461E">
              <w:rPr>
                <w:color w:val="000000"/>
                <w:sz w:val="20"/>
                <w:szCs w:val="20"/>
                <w:lang w:eastAsia="en-CA"/>
              </w:rPr>
              <w:t>20</w:t>
            </w:r>
            <w:r w:rsidR="00C21F2D" w:rsidRPr="0035461E">
              <w:rPr>
                <w:color w:val="000000"/>
                <w:sz w:val="20"/>
                <w:szCs w:val="20"/>
                <w:lang w:eastAsia="en-CA"/>
              </w:rPr>
              <w:t>,000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129C4E13" w14:textId="2A7C486F" w:rsidR="00C21F2D" w:rsidRPr="0035461E" w:rsidRDefault="00EB0C82" w:rsidP="0028058A">
            <w:pPr>
              <w:jc w:val="right"/>
              <w:rPr>
                <w:color w:val="000000"/>
                <w:sz w:val="20"/>
                <w:szCs w:val="20"/>
                <w:lang w:eastAsia="en-CA"/>
              </w:rPr>
            </w:pPr>
            <w:r w:rsidRPr="0035461E">
              <w:rPr>
                <w:color w:val="000000"/>
                <w:sz w:val="20"/>
                <w:szCs w:val="20"/>
                <w:lang w:eastAsia="en-CA"/>
              </w:rPr>
              <w:t>(</w:t>
            </w:r>
            <w:r w:rsidR="002A47A3" w:rsidRPr="0035461E">
              <w:rPr>
                <w:color w:val="000000"/>
                <w:sz w:val="20"/>
                <w:szCs w:val="20"/>
                <w:lang w:eastAsia="en-CA"/>
              </w:rPr>
              <w:t>1</w:t>
            </w:r>
            <w:r w:rsidRPr="0035461E">
              <w:rPr>
                <w:color w:val="000000"/>
                <w:sz w:val="20"/>
                <w:szCs w:val="20"/>
                <w:lang w:eastAsia="en-CA"/>
              </w:rPr>
              <w:t>4</w:t>
            </w:r>
            <w:r w:rsidR="002A47A3" w:rsidRPr="0035461E">
              <w:rPr>
                <w:color w:val="000000"/>
                <w:sz w:val="20"/>
                <w:szCs w:val="20"/>
                <w:lang w:eastAsia="en-CA"/>
              </w:rPr>
              <w:t>5,000</w:t>
            </w:r>
            <w:r w:rsidRPr="0035461E">
              <w:rPr>
                <w:color w:val="000000"/>
                <w:sz w:val="20"/>
                <w:szCs w:val="20"/>
                <w:lang w:eastAsia="en-CA"/>
              </w:rPr>
              <w:t>)</w:t>
            </w:r>
          </w:p>
        </w:tc>
        <w:tc>
          <w:tcPr>
            <w:tcW w:w="782" w:type="pct"/>
            <w:tcBorders>
              <w:top w:val="nil"/>
              <w:left w:val="nil"/>
              <w:bottom w:val="single" w:sz="4" w:space="0" w:color="auto"/>
              <w:right w:val="single" w:sz="4" w:space="0" w:color="auto"/>
            </w:tcBorders>
            <w:shd w:val="clear" w:color="auto" w:fill="auto"/>
            <w:noWrap/>
            <w:tcMar>
              <w:left w:w="0" w:type="dxa"/>
              <w:right w:w="173" w:type="dxa"/>
            </w:tcMar>
          </w:tcPr>
          <w:p w14:paraId="116BD8F1" w14:textId="1D8A7C8A" w:rsidR="00C21F2D" w:rsidRPr="0035461E" w:rsidRDefault="00CC0AB7" w:rsidP="0049386B">
            <w:pPr>
              <w:jc w:val="right"/>
              <w:rPr>
                <w:color w:val="000000"/>
                <w:sz w:val="20"/>
                <w:szCs w:val="20"/>
                <w:lang w:eastAsia="en-CA"/>
              </w:rPr>
            </w:pPr>
            <w:r>
              <w:rPr>
                <w:color w:val="000000"/>
                <w:sz w:val="20"/>
                <w:szCs w:val="20"/>
                <w:lang w:eastAsia="en-CA"/>
              </w:rPr>
              <w:t>(</w:t>
            </w:r>
            <w:r w:rsidR="00EB0C82" w:rsidRPr="0035461E">
              <w:rPr>
                <w:color w:val="000000"/>
                <w:sz w:val="20"/>
                <w:szCs w:val="20"/>
                <w:lang w:eastAsia="en-CA"/>
              </w:rPr>
              <w:t>8</w:t>
            </w:r>
            <w:r w:rsidR="00B850A0" w:rsidRPr="0035461E">
              <w:rPr>
                <w:color w:val="000000"/>
                <w:sz w:val="20"/>
                <w:szCs w:val="20"/>
                <w:lang w:eastAsia="en-CA"/>
              </w:rPr>
              <w:t>7</w:t>
            </w:r>
            <w:r w:rsidR="000C70C9" w:rsidRPr="0035461E">
              <w:rPr>
                <w:color w:val="000000"/>
                <w:sz w:val="20"/>
                <w:szCs w:val="20"/>
                <w:lang w:eastAsia="en-CA"/>
              </w:rPr>
              <w:t>.88</w:t>
            </w:r>
            <w:r>
              <w:rPr>
                <w:color w:val="000000"/>
                <w:sz w:val="20"/>
                <w:szCs w:val="20"/>
                <w:lang w:eastAsia="en-CA"/>
              </w:rPr>
              <w:t>)</w:t>
            </w:r>
          </w:p>
        </w:tc>
      </w:tr>
      <w:tr w:rsidR="0081154E" w:rsidRPr="0035461E" w14:paraId="4D69F747" w14:textId="77777777" w:rsidTr="002120E3">
        <w:tc>
          <w:tcPr>
            <w:tcW w:w="1874" w:type="pct"/>
            <w:tcBorders>
              <w:top w:val="nil"/>
              <w:left w:val="single" w:sz="4" w:space="0" w:color="auto"/>
              <w:bottom w:val="single" w:sz="4" w:space="0" w:color="auto"/>
              <w:right w:val="single" w:sz="4" w:space="0" w:color="auto"/>
            </w:tcBorders>
            <w:shd w:val="clear" w:color="auto" w:fill="auto"/>
          </w:tcPr>
          <w:p w14:paraId="4849AF7B" w14:textId="1CA94DCB" w:rsidR="00F23490" w:rsidRPr="0035461E" w:rsidRDefault="00F23490" w:rsidP="0049386B">
            <w:pPr>
              <w:jc w:val="left"/>
              <w:rPr>
                <w:color w:val="000000"/>
                <w:sz w:val="20"/>
                <w:szCs w:val="20"/>
                <w:lang w:eastAsia="en-CA"/>
              </w:rPr>
            </w:pPr>
            <w:r w:rsidRPr="0035461E">
              <w:rPr>
                <w:color w:val="000000"/>
                <w:sz w:val="20"/>
                <w:szCs w:val="20"/>
                <w:lang w:eastAsia="en-CA"/>
              </w:rPr>
              <w:t>5220 (office operations/communication)</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4DDDDBBF" w14:textId="7D4E154E" w:rsidR="00F23490" w:rsidRPr="0035461E" w:rsidRDefault="00F23490" w:rsidP="0049386B">
            <w:pPr>
              <w:jc w:val="right"/>
              <w:rPr>
                <w:color w:val="000000"/>
                <w:sz w:val="20"/>
                <w:szCs w:val="20"/>
                <w:lang w:eastAsia="en-CA"/>
              </w:rPr>
            </w:pPr>
            <w:r w:rsidRPr="0035461E">
              <w:rPr>
                <w:color w:val="000000"/>
                <w:sz w:val="20"/>
                <w:szCs w:val="20"/>
                <w:lang w:eastAsia="en-CA"/>
              </w:rPr>
              <w:t>590,000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534414F6" w14:textId="37944E64" w:rsidR="00F23490" w:rsidRPr="0035461E" w:rsidRDefault="00F23490" w:rsidP="0049386B">
            <w:pPr>
              <w:jc w:val="right"/>
              <w:rPr>
                <w:color w:val="000000"/>
                <w:sz w:val="20"/>
                <w:szCs w:val="20"/>
                <w:lang w:eastAsia="en-CA"/>
              </w:rPr>
            </w:pPr>
            <w:r w:rsidRPr="0035461E">
              <w:rPr>
                <w:color w:val="000000"/>
                <w:sz w:val="20"/>
                <w:szCs w:val="20"/>
                <w:lang w:eastAsia="en-CA"/>
              </w:rPr>
              <w:t>590,000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75E514C1" w14:textId="4F903250" w:rsidR="00F23490" w:rsidRPr="0035461E" w:rsidRDefault="00F23490" w:rsidP="0049386B">
            <w:pPr>
              <w:jc w:val="right"/>
              <w:rPr>
                <w:color w:val="000000"/>
                <w:sz w:val="20"/>
                <w:szCs w:val="20"/>
                <w:lang w:eastAsia="en-CA"/>
              </w:rPr>
            </w:pPr>
            <w:r w:rsidRPr="0035461E">
              <w:rPr>
                <w:color w:val="000000"/>
                <w:sz w:val="20"/>
                <w:szCs w:val="20"/>
                <w:lang w:eastAsia="en-CA"/>
              </w:rPr>
              <w:t>0</w:t>
            </w:r>
          </w:p>
        </w:tc>
        <w:tc>
          <w:tcPr>
            <w:tcW w:w="782" w:type="pct"/>
            <w:tcBorders>
              <w:top w:val="nil"/>
              <w:left w:val="nil"/>
              <w:bottom w:val="single" w:sz="4" w:space="0" w:color="auto"/>
              <w:right w:val="single" w:sz="4" w:space="0" w:color="auto"/>
            </w:tcBorders>
            <w:shd w:val="clear" w:color="auto" w:fill="auto"/>
            <w:noWrap/>
            <w:tcMar>
              <w:left w:w="0" w:type="dxa"/>
              <w:right w:w="173" w:type="dxa"/>
            </w:tcMar>
          </w:tcPr>
          <w:p w14:paraId="705A25D3" w14:textId="69E6F4B0" w:rsidR="00F23490" w:rsidRPr="0035461E" w:rsidRDefault="00F23490" w:rsidP="0049386B">
            <w:pPr>
              <w:jc w:val="right"/>
              <w:rPr>
                <w:color w:val="000000"/>
                <w:sz w:val="20"/>
                <w:szCs w:val="20"/>
                <w:lang w:eastAsia="en-CA"/>
              </w:rPr>
            </w:pPr>
            <w:r w:rsidRPr="0035461E">
              <w:rPr>
                <w:color w:val="000000"/>
                <w:sz w:val="20"/>
                <w:szCs w:val="20"/>
                <w:lang w:eastAsia="en-CA"/>
              </w:rPr>
              <w:t>0</w:t>
            </w:r>
          </w:p>
        </w:tc>
      </w:tr>
      <w:tr w:rsidR="0081154E" w:rsidRPr="0035461E" w14:paraId="0C67000C" w14:textId="77777777" w:rsidTr="002120E3">
        <w:tc>
          <w:tcPr>
            <w:tcW w:w="1874" w:type="pct"/>
            <w:tcBorders>
              <w:top w:val="nil"/>
              <w:left w:val="single" w:sz="4" w:space="0" w:color="auto"/>
              <w:bottom w:val="single" w:sz="4" w:space="0" w:color="auto"/>
              <w:right w:val="single" w:sz="4" w:space="0" w:color="auto"/>
            </w:tcBorders>
            <w:shd w:val="clear" w:color="auto" w:fill="auto"/>
            <w:hideMark/>
          </w:tcPr>
          <w:p w14:paraId="333AD6A9" w14:textId="77777777" w:rsidR="00F23490" w:rsidRPr="0035461E" w:rsidRDefault="00F23490" w:rsidP="0049386B">
            <w:pPr>
              <w:jc w:val="left"/>
              <w:rPr>
                <w:b/>
                <w:color w:val="000000"/>
                <w:sz w:val="20"/>
                <w:szCs w:val="20"/>
                <w:lang w:eastAsia="en-CA"/>
              </w:rPr>
            </w:pPr>
            <w:r w:rsidRPr="0035461E">
              <w:rPr>
                <w:b/>
                <w:color w:val="000000"/>
                <w:sz w:val="20"/>
                <w:szCs w:val="20"/>
                <w:lang w:eastAsia="en-CA"/>
              </w:rPr>
              <w:t>Total</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7349D294" w14:textId="77777777" w:rsidR="00F23490" w:rsidRPr="0035461E" w:rsidRDefault="00F23490" w:rsidP="0049386B">
            <w:pPr>
              <w:jc w:val="right"/>
              <w:rPr>
                <w:b/>
                <w:color w:val="000000"/>
                <w:sz w:val="20"/>
                <w:szCs w:val="20"/>
                <w:lang w:eastAsia="en-CA"/>
              </w:rPr>
            </w:pPr>
            <w:r w:rsidRPr="0035461E">
              <w:rPr>
                <w:b/>
                <w:color w:val="000000"/>
                <w:sz w:val="20"/>
                <w:szCs w:val="20"/>
                <w:lang w:eastAsia="en-CA"/>
              </w:rPr>
              <w:t>9,974,000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72207904" w14:textId="6509BE41" w:rsidR="00F23490" w:rsidRPr="0035461E" w:rsidRDefault="00F23490">
            <w:pPr>
              <w:jc w:val="right"/>
              <w:rPr>
                <w:b/>
                <w:color w:val="000000"/>
                <w:sz w:val="20"/>
                <w:szCs w:val="20"/>
                <w:lang w:eastAsia="en-CA"/>
              </w:rPr>
            </w:pPr>
            <w:r w:rsidRPr="0035461E">
              <w:rPr>
                <w:b/>
                <w:color w:val="000000"/>
                <w:sz w:val="20"/>
                <w:szCs w:val="20"/>
                <w:lang w:eastAsia="en-CA"/>
              </w:rPr>
              <w:t>9,9</w:t>
            </w:r>
            <w:r w:rsidR="00EB0C82" w:rsidRPr="0035461E">
              <w:rPr>
                <w:b/>
                <w:color w:val="000000"/>
                <w:sz w:val="20"/>
                <w:szCs w:val="20"/>
                <w:lang w:eastAsia="en-CA"/>
              </w:rPr>
              <w:t>88</w:t>
            </w:r>
            <w:r w:rsidRPr="0035461E">
              <w:rPr>
                <w:b/>
                <w:color w:val="000000"/>
                <w:sz w:val="20"/>
                <w:szCs w:val="20"/>
                <w:lang w:eastAsia="en-CA"/>
              </w:rPr>
              <w:t>,</w:t>
            </w:r>
            <w:r w:rsidR="00EB0C82" w:rsidRPr="0035461E">
              <w:rPr>
                <w:b/>
                <w:color w:val="000000"/>
                <w:sz w:val="20"/>
                <w:szCs w:val="20"/>
                <w:lang w:eastAsia="en-CA"/>
              </w:rPr>
              <w:t>9</w:t>
            </w:r>
            <w:r w:rsidRPr="0035461E">
              <w:rPr>
                <w:b/>
                <w:color w:val="000000"/>
                <w:sz w:val="20"/>
                <w:szCs w:val="20"/>
                <w:lang w:eastAsia="en-CA"/>
              </w:rPr>
              <w:t>00</w:t>
            </w:r>
          </w:p>
        </w:tc>
        <w:tc>
          <w:tcPr>
            <w:tcW w:w="781" w:type="pct"/>
            <w:tcBorders>
              <w:top w:val="nil"/>
              <w:left w:val="nil"/>
              <w:bottom w:val="single" w:sz="4" w:space="0" w:color="auto"/>
              <w:right w:val="single" w:sz="4" w:space="0" w:color="auto"/>
            </w:tcBorders>
            <w:shd w:val="clear" w:color="auto" w:fill="auto"/>
            <w:noWrap/>
            <w:tcMar>
              <w:left w:w="0" w:type="dxa"/>
              <w:right w:w="173" w:type="dxa"/>
            </w:tcMar>
          </w:tcPr>
          <w:p w14:paraId="62CF7507" w14:textId="027F54E9" w:rsidR="00F23490" w:rsidRPr="0035461E" w:rsidRDefault="00EB0C82" w:rsidP="0049386B">
            <w:pPr>
              <w:jc w:val="right"/>
              <w:rPr>
                <w:b/>
                <w:color w:val="000000"/>
                <w:sz w:val="20"/>
                <w:szCs w:val="20"/>
                <w:lang w:eastAsia="en-CA"/>
              </w:rPr>
            </w:pPr>
            <w:r w:rsidRPr="0035461E">
              <w:rPr>
                <w:b/>
                <w:color w:val="000000"/>
                <w:sz w:val="20"/>
                <w:szCs w:val="20"/>
                <w:lang w:eastAsia="en-CA"/>
              </w:rPr>
              <w:t>14,900</w:t>
            </w:r>
          </w:p>
        </w:tc>
        <w:tc>
          <w:tcPr>
            <w:tcW w:w="782" w:type="pct"/>
            <w:tcBorders>
              <w:top w:val="nil"/>
              <w:left w:val="nil"/>
              <w:bottom w:val="single" w:sz="4" w:space="0" w:color="auto"/>
              <w:right w:val="single" w:sz="4" w:space="0" w:color="auto"/>
            </w:tcBorders>
            <w:shd w:val="clear" w:color="auto" w:fill="auto"/>
            <w:noWrap/>
            <w:tcMar>
              <w:left w:w="0" w:type="dxa"/>
              <w:right w:w="173" w:type="dxa"/>
            </w:tcMar>
          </w:tcPr>
          <w:p w14:paraId="4BC98102" w14:textId="62DEE169" w:rsidR="00F23490" w:rsidRPr="0035461E" w:rsidRDefault="00EB0C82" w:rsidP="0049386B">
            <w:pPr>
              <w:jc w:val="right"/>
              <w:rPr>
                <w:b/>
                <w:color w:val="000000"/>
                <w:sz w:val="20"/>
                <w:szCs w:val="20"/>
                <w:lang w:eastAsia="en-CA"/>
              </w:rPr>
            </w:pPr>
            <w:r w:rsidRPr="0035461E">
              <w:rPr>
                <w:b/>
                <w:color w:val="000000"/>
                <w:sz w:val="20"/>
                <w:szCs w:val="20"/>
                <w:lang w:eastAsia="en-CA"/>
              </w:rPr>
              <w:t>0.15</w:t>
            </w:r>
          </w:p>
        </w:tc>
      </w:tr>
    </w:tbl>
    <w:p w14:paraId="6679896D" w14:textId="77777777" w:rsidR="004979CF" w:rsidRPr="0035461E" w:rsidRDefault="004979CF" w:rsidP="0049386B"/>
    <w:p w14:paraId="23C26B4A" w14:textId="1F303E6F" w:rsidR="00A51936" w:rsidRPr="001873E3" w:rsidRDefault="00C73CBF" w:rsidP="001873E3">
      <w:pPr>
        <w:pStyle w:val="Heading1"/>
      </w:pPr>
      <w:r w:rsidRPr="001873E3">
        <w:lastRenderedPageBreak/>
        <w:t xml:space="preserve">UNEP also explained that while it is cognizant of the </w:t>
      </w:r>
      <w:r w:rsidR="00886154" w:rsidRPr="001873E3">
        <w:t xml:space="preserve">COVID-19 </w:t>
      </w:r>
      <w:r w:rsidR="002442D1" w:rsidRPr="001873E3">
        <w:t>pandemic, the 2022</w:t>
      </w:r>
      <w:r w:rsidRPr="001873E3">
        <w:t xml:space="preserve"> budget </w:t>
      </w:r>
      <w:r w:rsidR="00034AAF" w:rsidRPr="001873E3">
        <w:t>is requested at a similar level as 2021</w:t>
      </w:r>
      <w:r w:rsidR="00707B7E">
        <w:t xml:space="preserve"> except for the slight increase in staff personnel costs</w:t>
      </w:r>
      <w:r w:rsidR="00886154" w:rsidRPr="001873E3">
        <w:t>,</w:t>
      </w:r>
      <w:r w:rsidRPr="001873E3">
        <w:t xml:space="preserve"> as it is expected that</w:t>
      </w:r>
      <w:r w:rsidR="00034AAF" w:rsidRPr="001873E3">
        <w:t xml:space="preserve"> improved sanitary measures and </w:t>
      </w:r>
      <w:r w:rsidR="00707B7E">
        <w:t xml:space="preserve">increased </w:t>
      </w:r>
      <w:r w:rsidR="00034AAF" w:rsidRPr="001873E3">
        <w:t>vaccination rates worldwide</w:t>
      </w:r>
      <w:r w:rsidRPr="001873E3">
        <w:t xml:space="preserve"> </w:t>
      </w:r>
      <w:r w:rsidR="00034AAF" w:rsidRPr="001873E3">
        <w:t xml:space="preserve">would return </w:t>
      </w:r>
      <w:r w:rsidRPr="001873E3">
        <w:t>the overall situatio</w:t>
      </w:r>
      <w:r w:rsidR="00034AAF" w:rsidRPr="001873E3">
        <w:t>n to normal business and operations in 2022</w:t>
      </w:r>
      <w:r w:rsidRPr="001873E3">
        <w:t xml:space="preserve">. </w:t>
      </w:r>
      <w:r w:rsidR="00034AAF" w:rsidRPr="001873E3">
        <w:t>While</w:t>
      </w:r>
      <w:r w:rsidR="00A51936" w:rsidRPr="001873E3">
        <w:t xml:space="preserve"> onlin</w:t>
      </w:r>
      <w:r w:rsidR="00034AAF" w:rsidRPr="001873E3">
        <w:t xml:space="preserve">e consultations and meetings </w:t>
      </w:r>
      <w:r w:rsidR="00A51936" w:rsidRPr="001873E3">
        <w:t xml:space="preserve">continue </w:t>
      </w:r>
      <w:r w:rsidR="00707B7E">
        <w:t>to be the mode</w:t>
      </w:r>
      <w:r w:rsidR="00A51936" w:rsidRPr="001873E3">
        <w:t xml:space="preserve"> of project implementation</w:t>
      </w:r>
      <w:r w:rsidR="00707B7E">
        <w:t xml:space="preserve"> during</w:t>
      </w:r>
      <w:r w:rsidR="00034AAF" w:rsidRPr="001873E3">
        <w:t xml:space="preserve"> COVID</w:t>
      </w:r>
      <w:r w:rsidR="00A1156D">
        <w:t>-19 pandemic</w:t>
      </w:r>
      <w:r w:rsidR="00707B7E">
        <w:t xml:space="preserve">, </w:t>
      </w:r>
      <w:r w:rsidR="00034AAF" w:rsidRPr="001873E3">
        <w:t xml:space="preserve">UNEP </w:t>
      </w:r>
      <w:r w:rsidR="00707B7E">
        <w:t>is expecting</w:t>
      </w:r>
      <w:r w:rsidR="00034AAF" w:rsidRPr="001873E3">
        <w:t xml:space="preserve"> to resume its </w:t>
      </w:r>
      <w:r w:rsidR="001F01DC">
        <w:t xml:space="preserve">regular </w:t>
      </w:r>
      <w:r w:rsidR="002120E3">
        <w:t xml:space="preserve">assistance provided </w:t>
      </w:r>
      <w:r w:rsidR="00034AAF" w:rsidRPr="001873E3">
        <w:t xml:space="preserve">to Article 5 countries </w:t>
      </w:r>
      <w:r w:rsidR="004166ED">
        <w:t xml:space="preserve">sometime in 2022, which is </w:t>
      </w:r>
      <w:r w:rsidR="00C3116C">
        <w:t>required</w:t>
      </w:r>
      <w:r w:rsidR="00034AAF" w:rsidRPr="001873E3">
        <w:t xml:space="preserve"> for such a far</w:t>
      </w:r>
      <w:r w:rsidR="00AD7592">
        <w:noBreakHyphen/>
      </w:r>
      <w:r w:rsidR="00034AAF" w:rsidRPr="001873E3">
        <w:t>reaching and complex programme</w:t>
      </w:r>
      <w:r w:rsidR="00707B7E">
        <w:t xml:space="preserve">. </w:t>
      </w:r>
    </w:p>
    <w:p w14:paraId="7B36A366" w14:textId="38E29664" w:rsidR="006E491A" w:rsidRPr="002442D1" w:rsidRDefault="000774C5" w:rsidP="00CE6E21">
      <w:pPr>
        <w:pStyle w:val="Heading1"/>
        <w:numPr>
          <w:ilvl w:val="0"/>
          <w:numId w:val="0"/>
        </w:numPr>
        <w:rPr>
          <w:u w:val="single"/>
          <w:lang w:val="en-US"/>
        </w:rPr>
      </w:pPr>
      <w:r w:rsidRPr="002442D1">
        <w:rPr>
          <w:u w:val="single"/>
          <w:lang w:val="en-US"/>
        </w:rPr>
        <w:t>Exceptional r</w:t>
      </w:r>
      <w:r w:rsidR="00FF2263">
        <w:rPr>
          <w:u w:val="single"/>
          <w:lang w:val="en-US"/>
        </w:rPr>
        <w:t>eturn of balances from 2021</w:t>
      </w:r>
      <w:r w:rsidR="006E491A" w:rsidRPr="002442D1">
        <w:rPr>
          <w:u w:val="single"/>
          <w:lang w:val="en-US"/>
        </w:rPr>
        <w:t xml:space="preserve"> approved CAP budget</w:t>
      </w:r>
    </w:p>
    <w:p w14:paraId="6CA03C18" w14:textId="47DC5E43" w:rsidR="009A6A20" w:rsidRDefault="007E2E97" w:rsidP="009A6A20">
      <w:pPr>
        <w:pStyle w:val="Heading1"/>
        <w:rPr>
          <w:b/>
        </w:rPr>
      </w:pPr>
      <w:r>
        <w:t xml:space="preserve">At </w:t>
      </w:r>
      <w:r w:rsidR="002973AA">
        <w:t>the 88</w:t>
      </w:r>
      <w:r w:rsidR="002973AA" w:rsidRPr="00B40BE0">
        <w:rPr>
          <w:vertAlign w:val="superscript"/>
        </w:rPr>
        <w:t>th</w:t>
      </w:r>
      <w:r w:rsidR="002973AA">
        <w:t xml:space="preserve"> </w:t>
      </w:r>
      <w:r>
        <w:t xml:space="preserve">meeting, UNEP </w:t>
      </w:r>
      <w:r w:rsidR="009632D5">
        <w:t>will be making an</w:t>
      </w:r>
      <w:r>
        <w:t xml:space="preserve"> exceptional early return of funds from the 2021 budget</w:t>
      </w:r>
      <w:r w:rsidRPr="00A1156D">
        <w:t xml:space="preserve">, to continue demonstrating its </w:t>
      </w:r>
      <w:r w:rsidR="006E491A" w:rsidRPr="00A1156D">
        <w:t xml:space="preserve">goodwill and sensitivity </w:t>
      </w:r>
      <w:r w:rsidRPr="00A1156D">
        <w:t xml:space="preserve">to the current financial situation, </w:t>
      </w:r>
      <w:r w:rsidR="00DA37A1" w:rsidRPr="00A1156D">
        <w:t xml:space="preserve">amounting to </w:t>
      </w:r>
      <w:r w:rsidR="0016667D">
        <w:t>US $</w:t>
      </w:r>
      <w:r w:rsidR="006E491A" w:rsidRPr="00A1156D">
        <w:t>1,</w:t>
      </w:r>
      <w:r w:rsidR="00FF2263" w:rsidRPr="00A1156D">
        <w:t>884,323</w:t>
      </w:r>
      <w:r w:rsidR="002973AA">
        <w:t xml:space="preserve"> (including </w:t>
      </w:r>
      <w:r w:rsidR="00AB2405" w:rsidRPr="00A1156D">
        <w:t>agency support costs</w:t>
      </w:r>
      <w:r w:rsidR="002973AA">
        <w:t>)</w:t>
      </w:r>
      <w:r w:rsidRPr="00A1156D">
        <w:t>.</w:t>
      </w:r>
      <w:r w:rsidR="006E491A" w:rsidRPr="00A1156D">
        <w:t xml:space="preserve"> </w:t>
      </w:r>
      <w:r w:rsidRPr="00A1156D">
        <w:t>These balances are uncommitted</w:t>
      </w:r>
      <w:r w:rsidRPr="00FF2263">
        <w:t xml:space="preserve"> funds mainly related to travel and meeting costs that would not be disbursed before the end of 2021 due to the pandemic. UNEP expressed that this return of balances is on an exceptional basis and noted that the final amount to be returned for 2021 CAP budget (from those funds remaining in UNEP) will be in line with decision 35/36(d)</w:t>
      </w:r>
      <w:r w:rsidR="00AD7592">
        <w:t>.</w:t>
      </w:r>
    </w:p>
    <w:p w14:paraId="3079DBE7" w14:textId="1F6E7C38" w:rsidR="004979CF" w:rsidRPr="009A6A20" w:rsidRDefault="004979CF" w:rsidP="009A6A20">
      <w:pPr>
        <w:pStyle w:val="Heading1"/>
        <w:numPr>
          <w:ilvl w:val="0"/>
          <w:numId w:val="0"/>
        </w:numPr>
        <w:rPr>
          <w:b/>
        </w:rPr>
      </w:pPr>
      <w:r w:rsidRPr="009A6A20">
        <w:rPr>
          <w:b/>
        </w:rPr>
        <w:t>RECOMMENDATION</w:t>
      </w:r>
    </w:p>
    <w:p w14:paraId="4DF604BC" w14:textId="06C2FC1B" w:rsidR="004979CF" w:rsidRPr="0035461E" w:rsidRDefault="00313939" w:rsidP="0049386B">
      <w:pPr>
        <w:numPr>
          <w:ilvl w:val="0"/>
          <w:numId w:val="1"/>
        </w:numPr>
        <w:spacing w:after="240"/>
        <w:outlineLvl w:val="0"/>
      </w:pPr>
      <w:r>
        <w:t>In the</w:t>
      </w:r>
      <w:r w:rsidR="004979CF" w:rsidRPr="0035461E">
        <w:t xml:space="preserve"> light of the information provided by UNEP and the comments above, the Executive Committee may wish:</w:t>
      </w:r>
    </w:p>
    <w:p w14:paraId="722075A3" w14:textId="7EB306CD" w:rsidR="004979CF" w:rsidRPr="0035461E" w:rsidRDefault="004979CF" w:rsidP="0049386B">
      <w:pPr>
        <w:keepNext/>
        <w:numPr>
          <w:ilvl w:val="1"/>
          <w:numId w:val="1"/>
        </w:numPr>
        <w:spacing w:after="240"/>
        <w:ind w:left="1429"/>
        <w:outlineLvl w:val="1"/>
      </w:pPr>
      <w:r w:rsidRPr="0035461E">
        <w:t xml:space="preserve">To note the </w:t>
      </w:r>
      <w:r w:rsidR="00B97B9C">
        <w:t xml:space="preserve">2022 work plan and budget for </w:t>
      </w:r>
      <w:r w:rsidRPr="0035461E">
        <w:t>UNEP Compliance Assistance Programme (CAP) contained in document UNEP/OzL.Pro/ExCom/8</w:t>
      </w:r>
      <w:r w:rsidR="008A7167" w:rsidRPr="0035461E">
        <w:t>8/</w:t>
      </w:r>
      <w:r w:rsidR="00B97B9C">
        <w:t>34</w:t>
      </w:r>
      <w:r w:rsidRPr="0035461E">
        <w:t>;</w:t>
      </w:r>
      <w:r w:rsidR="00C6400E" w:rsidRPr="0035461E">
        <w:t xml:space="preserve"> </w:t>
      </w:r>
    </w:p>
    <w:p w14:paraId="56D364F7" w14:textId="114052C9" w:rsidR="00BB3BA3" w:rsidRPr="007E2E97" w:rsidRDefault="00BB3BA3" w:rsidP="006C5505">
      <w:pPr>
        <w:pStyle w:val="Heading2"/>
      </w:pPr>
      <w:r w:rsidRPr="0035461E">
        <w:t xml:space="preserve">To note </w:t>
      </w:r>
      <w:r w:rsidR="00B97B9C">
        <w:t xml:space="preserve">also, </w:t>
      </w:r>
      <w:r w:rsidRPr="0035461E">
        <w:t>with appreciation</w:t>
      </w:r>
      <w:r w:rsidR="00B97B9C">
        <w:t>,</w:t>
      </w:r>
      <w:r w:rsidRPr="0035461E">
        <w:t xml:space="preserve"> that UNEP</w:t>
      </w:r>
      <w:r w:rsidR="001A0534" w:rsidRPr="0035461E">
        <w:t>,</w:t>
      </w:r>
      <w:r w:rsidR="00B11B8F">
        <w:t xml:space="preserve"> recognizing that Article </w:t>
      </w:r>
      <w:r w:rsidRPr="0035461E">
        <w:t>5 and non</w:t>
      </w:r>
      <w:r w:rsidR="001A0534" w:rsidRPr="0035461E">
        <w:noBreakHyphen/>
      </w:r>
      <w:r w:rsidR="00B11B8F">
        <w:t>Article </w:t>
      </w:r>
      <w:r w:rsidRPr="0035461E">
        <w:t xml:space="preserve">5 countries </w:t>
      </w:r>
      <w:r w:rsidR="008A7167" w:rsidRPr="0035461E">
        <w:t>continue</w:t>
      </w:r>
      <w:r w:rsidR="00B97B9C">
        <w:t>d</w:t>
      </w:r>
      <w:r w:rsidR="008A7167" w:rsidRPr="0035461E">
        <w:t xml:space="preserve"> to</w:t>
      </w:r>
      <w:r w:rsidRPr="0035461E">
        <w:t xml:space="preserve"> fac</w:t>
      </w:r>
      <w:r w:rsidR="008A7167" w:rsidRPr="0035461E">
        <w:t>e</w:t>
      </w:r>
      <w:r w:rsidRPr="0035461E">
        <w:t xml:space="preserve"> health, financial and social challenges because of </w:t>
      </w:r>
      <w:r w:rsidR="000E4803" w:rsidRPr="0035461E">
        <w:t xml:space="preserve">the </w:t>
      </w:r>
      <w:r w:rsidR="00B97B9C">
        <w:t>coronavirus disease</w:t>
      </w:r>
      <w:r w:rsidRPr="0035461E">
        <w:t xml:space="preserve"> pandemic, and that CAP activities during 202</w:t>
      </w:r>
      <w:r w:rsidR="008A7167" w:rsidRPr="0035461E">
        <w:t>1</w:t>
      </w:r>
      <w:r w:rsidRPr="0035461E">
        <w:t xml:space="preserve"> were affected by this </w:t>
      </w:r>
      <w:r w:rsidR="008A7167" w:rsidRPr="0035461E">
        <w:t xml:space="preserve">ongoing </w:t>
      </w:r>
      <w:r w:rsidR="00FF2263">
        <w:t xml:space="preserve">crisis, </w:t>
      </w:r>
      <w:r w:rsidR="00B97B9C">
        <w:t xml:space="preserve">would </w:t>
      </w:r>
      <w:r w:rsidR="00FF2263">
        <w:t xml:space="preserve">return </w:t>
      </w:r>
      <w:r w:rsidR="00B97B9C">
        <w:t>at</w:t>
      </w:r>
      <w:r w:rsidR="00FF2263">
        <w:t xml:space="preserve"> the 88</w:t>
      </w:r>
      <w:r w:rsidRPr="0035461E">
        <w:rPr>
          <w:vertAlign w:val="superscript"/>
        </w:rPr>
        <w:t>th</w:t>
      </w:r>
      <w:r w:rsidRPr="0035461E">
        <w:t xml:space="preserve"> meeting</w:t>
      </w:r>
      <w:r w:rsidR="00D15B20" w:rsidRPr="0035461E">
        <w:t>,</w:t>
      </w:r>
      <w:r w:rsidR="008E307F" w:rsidRPr="0035461E">
        <w:t xml:space="preserve"> in advan</w:t>
      </w:r>
      <w:r w:rsidR="00FF2263">
        <w:t>ce of the completion of the 2021</w:t>
      </w:r>
      <w:r w:rsidR="008E307F" w:rsidRPr="0035461E">
        <w:t xml:space="preserve"> work plan</w:t>
      </w:r>
      <w:r w:rsidRPr="0035461E">
        <w:t xml:space="preserve">, </w:t>
      </w:r>
      <w:r w:rsidRPr="007E2E97">
        <w:t xml:space="preserve">on an exceptional basis and without setting a precedent, </w:t>
      </w:r>
      <w:r w:rsidR="008E307F" w:rsidRPr="007E2E97">
        <w:t>the uncommitted funding</w:t>
      </w:r>
      <w:r w:rsidRPr="007E2E97">
        <w:t xml:space="preserve"> balance </w:t>
      </w:r>
      <w:r w:rsidR="00AB2405" w:rsidRPr="007E2E97">
        <w:t xml:space="preserve">of </w:t>
      </w:r>
      <w:r w:rsidR="0016667D">
        <w:t>US $</w:t>
      </w:r>
      <w:r w:rsidR="00AB2405" w:rsidRPr="007E2E97">
        <w:t xml:space="preserve">1,744,743, plus agency support costs of </w:t>
      </w:r>
      <w:r w:rsidR="0016667D">
        <w:t>US $</w:t>
      </w:r>
      <w:r w:rsidR="00AB2405" w:rsidRPr="007E2E97">
        <w:t>139,580</w:t>
      </w:r>
      <w:r w:rsidR="001A0534" w:rsidRPr="007E2E97">
        <w:t>;</w:t>
      </w:r>
      <w:r w:rsidRPr="007E2E97">
        <w:rPr>
          <w:lang w:val="en-US"/>
        </w:rPr>
        <w:t xml:space="preserve"> </w:t>
      </w:r>
    </w:p>
    <w:p w14:paraId="624DEA25" w14:textId="646991EF" w:rsidR="004979CF" w:rsidRPr="0035461E" w:rsidRDefault="004979CF" w:rsidP="0016667D">
      <w:pPr>
        <w:pStyle w:val="Heading2"/>
      </w:pPr>
      <w:r w:rsidRPr="0035461E">
        <w:t>To approve the CAP activities and budget for 202</w:t>
      </w:r>
      <w:r w:rsidR="008A7167" w:rsidRPr="0035461E">
        <w:t>2</w:t>
      </w:r>
      <w:r w:rsidRPr="0035461E">
        <w:t xml:space="preserve"> in the amount of </w:t>
      </w:r>
      <w:r w:rsidR="00B11B8F">
        <w:t>US </w:t>
      </w:r>
      <w:r w:rsidR="0016667D">
        <w:t>$</w:t>
      </w:r>
      <w:r w:rsidRPr="0035461E">
        <w:t>9,9</w:t>
      </w:r>
      <w:r w:rsidR="008A7167" w:rsidRPr="0035461E">
        <w:t>88</w:t>
      </w:r>
      <w:r w:rsidRPr="0035461E">
        <w:t>,</w:t>
      </w:r>
      <w:r w:rsidR="008A7167" w:rsidRPr="0035461E">
        <w:t>9</w:t>
      </w:r>
      <w:r w:rsidRPr="0035461E">
        <w:t xml:space="preserve">00, </w:t>
      </w:r>
      <w:r w:rsidR="00B11B8F">
        <w:rPr>
          <w:color w:val="000000"/>
        </w:rPr>
        <w:t>plus agency support costs of 8 per </w:t>
      </w:r>
      <w:r w:rsidRPr="0035461E">
        <w:rPr>
          <w:color w:val="000000"/>
        </w:rPr>
        <w:t>cent amounting</w:t>
      </w:r>
      <w:r w:rsidRPr="0035461E">
        <w:t xml:space="preserve"> to </w:t>
      </w:r>
      <w:r w:rsidR="00B11B8F">
        <w:t>US </w:t>
      </w:r>
      <w:r w:rsidR="0016667D">
        <w:t>$</w:t>
      </w:r>
      <w:r w:rsidRPr="0035461E">
        <w:t>79</w:t>
      </w:r>
      <w:r w:rsidR="008A7167" w:rsidRPr="0035461E">
        <w:t>9</w:t>
      </w:r>
      <w:r w:rsidRPr="0035461E">
        <w:t>,</w:t>
      </w:r>
      <w:r w:rsidR="008A7167" w:rsidRPr="0035461E">
        <w:t>112</w:t>
      </w:r>
      <w:r w:rsidR="00B97B9C">
        <w:t>,</w:t>
      </w:r>
      <w:r w:rsidRPr="0035461E">
        <w:t xml:space="preserve"> </w:t>
      </w:r>
      <w:r w:rsidRPr="0035461E">
        <w:rPr>
          <w:color w:val="000000"/>
        </w:rPr>
        <w:t>noting the adjustments proposed therein;</w:t>
      </w:r>
      <w:r w:rsidR="008C37CC" w:rsidRPr="0035461E">
        <w:rPr>
          <w:color w:val="000000"/>
        </w:rPr>
        <w:t xml:space="preserve"> and</w:t>
      </w:r>
    </w:p>
    <w:p w14:paraId="621C7810" w14:textId="77777777" w:rsidR="004979CF" w:rsidRPr="0035461E" w:rsidRDefault="004979CF" w:rsidP="0016667D">
      <w:pPr>
        <w:pStyle w:val="Heading2"/>
      </w:pPr>
      <w:r w:rsidRPr="0035461E">
        <w:t>To further request UNEP, in future submissions of the CAP budget, to continue:</w:t>
      </w:r>
    </w:p>
    <w:p w14:paraId="7936E9DB" w14:textId="0282D526" w:rsidR="004979CF" w:rsidRPr="0035461E" w:rsidRDefault="004979CF" w:rsidP="0016667D">
      <w:pPr>
        <w:pStyle w:val="Heading3"/>
      </w:pPr>
      <w:r w:rsidRPr="0035461E">
        <w:t>Providing detailed information on the activities for which the global funds would be used;</w:t>
      </w:r>
    </w:p>
    <w:p w14:paraId="4AB673EA" w14:textId="77777777" w:rsidR="004979CF" w:rsidRPr="0035461E" w:rsidRDefault="004979CF" w:rsidP="0049386B">
      <w:pPr>
        <w:pStyle w:val="Heading3"/>
      </w:pPr>
      <w:r w:rsidRPr="0035461E">
        <w:t>Extending the prioritization of funding between CAP budget lines so as to accommodate changing priorities, and to provide details, pursuant to decisions 47/24 and 50/26, on the reallocations made;</w:t>
      </w:r>
    </w:p>
    <w:p w14:paraId="5489AD80" w14:textId="77777777" w:rsidR="004979CF" w:rsidRPr="0035461E" w:rsidRDefault="004979CF" w:rsidP="00CE6E21">
      <w:pPr>
        <w:pStyle w:val="Heading3"/>
      </w:pPr>
      <w:r w:rsidRPr="0035461E">
        <w:t>Reporting on the current post levels of staff and informing the Executive Committee of any changes thereto, particularly with respect to any increased budget allocations; and</w:t>
      </w:r>
    </w:p>
    <w:p w14:paraId="40D1EB01" w14:textId="2D1AA382" w:rsidR="004979CF" w:rsidRPr="0035461E" w:rsidRDefault="004979CF" w:rsidP="0049386B">
      <w:pPr>
        <w:pStyle w:val="Heading3"/>
      </w:pPr>
      <w:r w:rsidRPr="0035461E">
        <w:t>Providing a budget for the year in question, and a report on the costs incurred in the year prior to the last year, noting sub-paragraphs (ii) and</w:t>
      </w:r>
      <w:r w:rsidR="00AA62F9">
        <w:t xml:space="preserve"> </w:t>
      </w:r>
      <w:r w:rsidRPr="0035461E">
        <w:t>(iii) above.</w:t>
      </w:r>
    </w:p>
    <w:p w14:paraId="50316798" w14:textId="77777777" w:rsidR="004979CF" w:rsidRDefault="004979CF" w:rsidP="0049386B">
      <w:pPr>
        <w:tabs>
          <w:tab w:val="left" w:pos="8280"/>
        </w:tabs>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979CF" w:rsidRPr="00052C5C" w14:paraId="6F39B022" w14:textId="77777777" w:rsidTr="00FC7A05">
        <w:tc>
          <w:tcPr>
            <w:tcW w:w="1871" w:type="dxa"/>
          </w:tcPr>
          <w:p w14:paraId="0A7C0476" w14:textId="77777777" w:rsidR="004979CF" w:rsidRPr="00052C5C" w:rsidRDefault="004979CF" w:rsidP="0049386B">
            <w:pPr>
              <w:tabs>
                <w:tab w:val="left" w:pos="8280"/>
              </w:tabs>
            </w:pPr>
          </w:p>
        </w:tc>
        <w:tc>
          <w:tcPr>
            <w:tcW w:w="1872" w:type="dxa"/>
          </w:tcPr>
          <w:p w14:paraId="52C3CE53" w14:textId="77777777" w:rsidR="004979CF" w:rsidRPr="00052C5C" w:rsidRDefault="004979CF" w:rsidP="0049386B">
            <w:pPr>
              <w:tabs>
                <w:tab w:val="left" w:pos="8280"/>
              </w:tabs>
            </w:pPr>
          </w:p>
        </w:tc>
        <w:tc>
          <w:tcPr>
            <w:tcW w:w="1872" w:type="dxa"/>
            <w:tcBorders>
              <w:bottom w:val="single" w:sz="4" w:space="0" w:color="auto"/>
            </w:tcBorders>
          </w:tcPr>
          <w:p w14:paraId="3CCF2D7B" w14:textId="77777777" w:rsidR="004979CF" w:rsidRPr="00052C5C" w:rsidRDefault="004979CF" w:rsidP="0049386B">
            <w:pPr>
              <w:tabs>
                <w:tab w:val="left" w:pos="8280"/>
              </w:tabs>
            </w:pPr>
          </w:p>
        </w:tc>
        <w:tc>
          <w:tcPr>
            <w:tcW w:w="1872" w:type="dxa"/>
          </w:tcPr>
          <w:p w14:paraId="73108DAA" w14:textId="77777777" w:rsidR="004979CF" w:rsidRPr="00052C5C" w:rsidRDefault="004979CF" w:rsidP="0049386B">
            <w:pPr>
              <w:tabs>
                <w:tab w:val="left" w:pos="8280"/>
              </w:tabs>
            </w:pPr>
          </w:p>
        </w:tc>
        <w:tc>
          <w:tcPr>
            <w:tcW w:w="1873" w:type="dxa"/>
          </w:tcPr>
          <w:p w14:paraId="5D17A59F" w14:textId="77777777" w:rsidR="004979CF" w:rsidRPr="00052C5C" w:rsidRDefault="004979CF" w:rsidP="0049386B">
            <w:pPr>
              <w:tabs>
                <w:tab w:val="left" w:pos="8280"/>
              </w:tabs>
            </w:pPr>
          </w:p>
        </w:tc>
      </w:tr>
    </w:tbl>
    <w:p w14:paraId="1326ED5C" w14:textId="11A707CA" w:rsidR="004979CF" w:rsidRPr="00052C5C" w:rsidRDefault="004979CF" w:rsidP="0049386B">
      <w:pPr>
        <w:tabs>
          <w:tab w:val="left" w:pos="8280"/>
        </w:tabs>
        <w:rPr>
          <w:lang w:val="en-CA"/>
        </w:rPr>
      </w:pPr>
    </w:p>
    <w:p w14:paraId="576C9034" w14:textId="77777777" w:rsidR="004979CF" w:rsidRPr="001C3C80" w:rsidRDefault="004979CF" w:rsidP="0049386B">
      <w:pPr>
        <w:tabs>
          <w:tab w:val="left" w:pos="8280"/>
        </w:tabs>
      </w:pPr>
    </w:p>
    <w:p w14:paraId="784D294C" w14:textId="37CB8175" w:rsidR="00E85409" w:rsidRPr="00BB2764" w:rsidRDefault="00E85409" w:rsidP="0049386B">
      <w:pPr>
        <w:rPr>
          <w:lang w:val="en-CA"/>
        </w:rPr>
      </w:pPr>
    </w:p>
    <w:sectPr w:rsidR="00E85409" w:rsidRPr="00BB2764" w:rsidSect="00896234">
      <w:headerReference w:type="even" r:id="rId15"/>
      <w:headerReference w:type="default" r:id="rId16"/>
      <w:footerReference w:type="even" r:id="rId17"/>
      <w:footerReference w:type="default" r:id="rId18"/>
      <w:footerReference w:type="first" r:id="rId19"/>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78577" w14:textId="77777777" w:rsidR="00BD754D" w:rsidRDefault="00BD754D" w:rsidP="004A504B">
      <w:r>
        <w:separator/>
      </w:r>
    </w:p>
  </w:endnote>
  <w:endnote w:type="continuationSeparator" w:id="0">
    <w:p w14:paraId="1D5DE5C4" w14:textId="77777777" w:rsidR="00BD754D" w:rsidRDefault="00BD754D" w:rsidP="004A504B">
      <w:r>
        <w:continuationSeparator/>
      </w:r>
    </w:p>
  </w:endnote>
  <w:endnote w:type="continuationNotice" w:id="1">
    <w:p w14:paraId="7899A5B1" w14:textId="77777777" w:rsidR="00BD754D" w:rsidRDefault="00BD7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Regular">
    <w:charset w:val="00"/>
    <w:family w:val="auto"/>
    <w:pitch w:val="default"/>
  </w:font>
  <w:font w:name="Roboto-Bold">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3025" w14:textId="06A61759" w:rsidR="006A7408" w:rsidRPr="0033525D" w:rsidRDefault="006A7408">
    <w:pPr>
      <w:jc w:val="center"/>
    </w:pPr>
    <w:r>
      <w:fldChar w:fldCharType="begin"/>
    </w:r>
    <w:r>
      <w:instrText xml:space="preserve"> PAGE </w:instrText>
    </w:r>
    <w:r>
      <w:fldChar w:fldCharType="separate"/>
    </w:r>
    <w:r w:rsidR="003E3F7A">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6264" w14:textId="7CF4804E" w:rsidR="006A7408" w:rsidRPr="0033525D" w:rsidRDefault="006A7408">
    <w:pPr>
      <w:jc w:val="center"/>
    </w:pPr>
    <w:r>
      <w:fldChar w:fldCharType="begin"/>
    </w:r>
    <w:r>
      <w:instrText xml:space="preserve"> PAGE </w:instrText>
    </w:r>
    <w:r>
      <w:fldChar w:fldCharType="separate"/>
    </w:r>
    <w:r w:rsidR="003E3F7A">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2D49" w14:textId="77777777" w:rsidR="006A7408" w:rsidRDefault="006A7408"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BED399C" w14:textId="77777777" w:rsidR="006A7408" w:rsidRDefault="006A7408"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61376" w14:textId="77777777" w:rsidR="00BD754D" w:rsidRDefault="00BD754D" w:rsidP="004A504B">
      <w:r>
        <w:separator/>
      </w:r>
    </w:p>
  </w:footnote>
  <w:footnote w:type="continuationSeparator" w:id="0">
    <w:p w14:paraId="0731B676" w14:textId="77777777" w:rsidR="00BD754D" w:rsidRDefault="00BD754D" w:rsidP="004A504B">
      <w:r>
        <w:continuationSeparator/>
      </w:r>
    </w:p>
  </w:footnote>
  <w:footnote w:type="continuationNotice" w:id="1">
    <w:p w14:paraId="1D4EA809" w14:textId="77777777" w:rsidR="00BD754D" w:rsidRDefault="00BD754D"/>
  </w:footnote>
  <w:footnote w:id="2">
    <w:p w14:paraId="2DCBD89F" w14:textId="278B46BE" w:rsidR="006A7408" w:rsidRPr="006E126D" w:rsidRDefault="006A7408">
      <w:pPr>
        <w:pStyle w:val="FootnoteText"/>
        <w:rPr>
          <w:lang w:val="en-CA"/>
        </w:rPr>
      </w:pPr>
      <w:r>
        <w:rPr>
          <w:rStyle w:val="FootnoteReference"/>
        </w:rPr>
        <w:footnoteRef/>
      </w:r>
      <w:r>
        <w:t xml:space="preserve"> </w:t>
      </w:r>
      <w:r w:rsidR="00B34BC5" w:rsidRPr="00B34BC5">
        <w:t>Online meetings and an intersessional approval process will be held in November and December 2021 due to coronavirus disease (COVID-19)</w:t>
      </w:r>
    </w:p>
  </w:footnote>
  <w:footnote w:id="3">
    <w:p w14:paraId="00420D67" w14:textId="77777777" w:rsidR="006A7408" w:rsidRPr="00B77AAD" w:rsidRDefault="006A7408" w:rsidP="004979CF">
      <w:pPr>
        <w:pStyle w:val="FootnoteText"/>
      </w:pPr>
      <w:r>
        <w:rPr>
          <w:rStyle w:val="FootnoteReference"/>
        </w:rPr>
        <w:footnoteRef/>
      </w:r>
      <w:r>
        <w:t xml:space="preserve"> </w:t>
      </w:r>
      <w:r w:rsidRPr="00B77AAD">
        <w:t>This submission is in line with decision 47/24, which limited the increase of UNEP’s CAP budget to 3 per cent per annum</w:t>
      </w:r>
      <w:r>
        <w:t>.</w:t>
      </w:r>
      <w:r w:rsidRPr="00B77AAD">
        <w:t xml:space="preserve"> </w:t>
      </w:r>
    </w:p>
  </w:footnote>
  <w:footnote w:id="4">
    <w:p w14:paraId="6A3770C7" w14:textId="651568CE" w:rsidR="006A7408" w:rsidRPr="00E67AED" w:rsidRDefault="006A7408">
      <w:pPr>
        <w:pStyle w:val="FootnoteText"/>
      </w:pPr>
      <w:r>
        <w:rPr>
          <w:rStyle w:val="FootnoteReference"/>
        </w:rPr>
        <w:footnoteRef/>
      </w:r>
      <w:r>
        <w:t xml:space="preserve"> T</w:t>
      </w:r>
      <w:r w:rsidRPr="00E67AED">
        <w:t>he complete progress report is contained in Part III of the submission attached to the present document</w:t>
      </w:r>
      <w:r>
        <w:t>.</w:t>
      </w:r>
    </w:p>
  </w:footnote>
  <w:footnote w:id="5">
    <w:p w14:paraId="746050D3" w14:textId="5A147037" w:rsidR="006A7408" w:rsidRPr="00DF29AB" w:rsidRDefault="006A7408" w:rsidP="00B712B7">
      <w:pPr>
        <w:pStyle w:val="FootnoteText"/>
        <w:rPr>
          <w:lang w:val="en-US"/>
        </w:rPr>
      </w:pPr>
      <w:r>
        <w:rPr>
          <w:rStyle w:val="FootnoteReference"/>
        </w:rPr>
        <w:footnoteRef/>
      </w:r>
      <w:r>
        <w:t xml:space="preserve"> T</w:t>
      </w:r>
      <w:r w:rsidRPr="00F379A0">
        <w:t>he American Society of Heating, Refrigerating and Air-Conditioning Engineers (ASHRAE), International Institute of Refrigeration (IIR), Air</w:t>
      </w:r>
      <w:r>
        <w:t>-</w:t>
      </w:r>
      <w:r w:rsidRPr="00F379A0">
        <w:t>conditioning, Heating and Refrigeration Institute (AHRI)</w:t>
      </w:r>
      <w:r>
        <w:t>,</w:t>
      </w:r>
      <w:r w:rsidRPr="005A4361">
        <w:t xml:space="preserve"> </w:t>
      </w:r>
      <w:r w:rsidRPr="00E17C19">
        <w:t>Indian Society of Heating, Refrigerating and Air</w:t>
      </w:r>
      <w:r>
        <w:t>-</w:t>
      </w:r>
      <w:r w:rsidRPr="00E17C19">
        <w:t>Conditioning Engineers (ISHRAE), and Federación de asociación iberoamericana (FAIAR)</w:t>
      </w:r>
      <w:r>
        <w:t>.</w:t>
      </w:r>
    </w:p>
  </w:footnote>
  <w:footnote w:id="6">
    <w:p w14:paraId="117D247E" w14:textId="3471D63F" w:rsidR="006A7408" w:rsidRPr="00E930CE" w:rsidRDefault="006A7408" w:rsidP="00956A9E">
      <w:pPr>
        <w:pStyle w:val="FootnoteText"/>
        <w:rPr>
          <w:lang w:val="en-CA"/>
        </w:rPr>
      </w:pPr>
      <w:r>
        <w:rPr>
          <w:rStyle w:val="FootnoteReference"/>
        </w:rPr>
        <w:footnoteRef/>
      </w:r>
      <w:r>
        <w:t xml:space="preserve"> </w:t>
      </w:r>
      <w:r>
        <w:rPr>
          <w:lang w:val="en-CA"/>
        </w:rPr>
        <w:t>UNEP/OzL.Pro/ExCom/88/4</w:t>
      </w:r>
    </w:p>
  </w:footnote>
  <w:footnote w:id="7">
    <w:p w14:paraId="574A0E8D" w14:textId="1E5E9CC3" w:rsidR="006A7408" w:rsidRPr="00AA62F9" w:rsidRDefault="006A7408" w:rsidP="00A16F38">
      <w:pPr>
        <w:pStyle w:val="FootnoteText"/>
        <w:rPr>
          <w:lang w:val="en-US"/>
        </w:rPr>
      </w:pPr>
      <w:r>
        <w:rPr>
          <w:rStyle w:val="FootnoteReference"/>
        </w:rPr>
        <w:footnoteRef/>
      </w:r>
      <w:r>
        <w:t xml:space="preserve"> Requests for future increases in the CAP budget would be limited to 3 per cent, unless the Executive Committee was given evidence that inflationary pressures justified otherwise.</w:t>
      </w:r>
    </w:p>
  </w:footnote>
  <w:footnote w:id="8">
    <w:p w14:paraId="3F9B51E3" w14:textId="095835E1" w:rsidR="006A7408" w:rsidRPr="00986429" w:rsidRDefault="006A7408" w:rsidP="004979CF">
      <w:pPr>
        <w:pStyle w:val="FootnoteText"/>
        <w:rPr>
          <w:lang w:val="en-US"/>
        </w:rPr>
      </w:pPr>
      <w:r w:rsidRPr="00A548DC">
        <w:rPr>
          <w:rStyle w:val="FootnoteReference"/>
        </w:rPr>
        <w:footnoteRef/>
      </w:r>
      <w:r w:rsidRPr="00A548DC">
        <w:t xml:space="preserve"> </w:t>
      </w:r>
      <w:r w:rsidRPr="00986429">
        <w:rPr>
          <w:lang w:val="en-US"/>
        </w:rPr>
        <w:t>Decision 8</w:t>
      </w:r>
      <w:r>
        <w:rPr>
          <w:lang w:val="en-US"/>
        </w:rPr>
        <w:t>6</w:t>
      </w:r>
      <w:r w:rsidRPr="00986429">
        <w:rPr>
          <w:lang w:val="en-US"/>
        </w:rPr>
        <w:t>/</w:t>
      </w:r>
      <w:r>
        <w:rPr>
          <w:lang w:val="en-US"/>
        </w:rPr>
        <w:t>61</w:t>
      </w:r>
      <w:r w:rsidRPr="00986429">
        <w:rPr>
          <w:lang w:val="en-US"/>
        </w:rPr>
        <w:t>(</w:t>
      </w:r>
      <w:r>
        <w:rPr>
          <w:lang w:val="en-US"/>
        </w:rPr>
        <w:t>d</w:t>
      </w:r>
      <w:r w:rsidRPr="00986429">
        <w:rPr>
          <w:lang w:val="en-US"/>
        </w:rPr>
        <w:t>)(iii): UNEP was requested in future submissions of the CAP budget, to continue reporting on the current post levels of CAP staff and inform the Executive Committee of any changes thereto, particularly with respect to any increased budget allocations.</w:t>
      </w:r>
    </w:p>
  </w:footnote>
  <w:footnote w:id="9">
    <w:p w14:paraId="44A14B74" w14:textId="46ABCFB5" w:rsidR="006A7408" w:rsidRPr="0088273D" w:rsidRDefault="006A7408" w:rsidP="004979CF">
      <w:pPr>
        <w:pStyle w:val="FootnoteText"/>
        <w:rPr>
          <w:highlight w:val="yellow"/>
        </w:rPr>
      </w:pPr>
      <w:r>
        <w:rPr>
          <w:rStyle w:val="FootnoteReference"/>
        </w:rPr>
        <w:footnoteRef/>
      </w:r>
      <w:r>
        <w:t xml:space="preserve"> </w:t>
      </w:r>
      <w:r w:rsidRPr="0053501F">
        <w:t>Decision 8</w:t>
      </w:r>
      <w:r>
        <w:t>6</w:t>
      </w:r>
      <w:r w:rsidRPr="0053501F">
        <w:t>/6</w:t>
      </w:r>
      <w:r>
        <w:t>1</w:t>
      </w:r>
      <w:r w:rsidRPr="0053501F">
        <w:t>(</w:t>
      </w:r>
      <w:r>
        <w:t>d</w:t>
      </w:r>
      <w:r w:rsidRPr="0053501F">
        <w:t>)(ii):</w:t>
      </w:r>
      <w:r>
        <w:t xml:space="preserve"> </w:t>
      </w:r>
      <w:r w:rsidRPr="00770EB2">
        <w:t>Extending the prioritization of funding between CAP budget lines so as to accommodate changing priorities and providing details, pursuant to decisions 47/24 and 5</w:t>
      </w:r>
      <w:r>
        <w:t>0/26, on the reallocations made.</w:t>
      </w:r>
    </w:p>
  </w:footnote>
  <w:footnote w:id="10">
    <w:p w14:paraId="7AD880BF" w14:textId="6B39154A" w:rsidR="006A7408" w:rsidRPr="00945064" w:rsidRDefault="006A7408" w:rsidP="004979CF">
      <w:pPr>
        <w:pStyle w:val="FootnoteText"/>
        <w:rPr>
          <w:lang w:val="en-US"/>
        </w:rPr>
      </w:pPr>
      <w:r>
        <w:rPr>
          <w:rStyle w:val="FootnoteReference"/>
        </w:rPr>
        <w:footnoteRef/>
      </w:r>
      <w:r>
        <w:t xml:space="preserve"> UNEP was requested</w:t>
      </w:r>
      <w:r w:rsidRPr="00945064">
        <w:t xml:space="preserve"> in future submissions of the CAP budget, to continue</w:t>
      </w:r>
      <w:r w:rsidRPr="00945064">
        <w:rPr>
          <w:sz w:val="22"/>
          <w:szCs w:val="22"/>
        </w:rPr>
        <w:t xml:space="preserve"> </w:t>
      </w:r>
      <w:r w:rsidRPr="00945064">
        <w:t>providing a budget for the year in question and a report on the costs incurred in the year prior to the last year, noting sub</w:t>
      </w:r>
      <w:r>
        <w:t xml:space="preserve">-paragraphs (d)(ii) and (d)(iii). </w:t>
      </w:r>
    </w:p>
  </w:footnote>
  <w:footnote w:id="11">
    <w:p w14:paraId="700B449A" w14:textId="6AEB1873" w:rsidR="006A7408" w:rsidRPr="0075323A" w:rsidRDefault="006A7408" w:rsidP="004979CF">
      <w:pPr>
        <w:pStyle w:val="FootnoteText"/>
        <w:rPr>
          <w:lang w:val="en-CA"/>
        </w:rPr>
      </w:pPr>
      <w:r>
        <w:rPr>
          <w:rStyle w:val="FootnoteReference"/>
        </w:rPr>
        <w:footnoteRef/>
      </w:r>
      <w:r>
        <w:t xml:space="preserve"> </w:t>
      </w:r>
      <w:r w:rsidRPr="00FF2724">
        <w:rPr>
          <w:lang w:val="en-CA"/>
        </w:rPr>
        <w:t>Providing detailed information on the activities for which the global funds would be used;</w:t>
      </w:r>
      <w:r>
        <w:rPr>
          <w:lang w:val="en-CA"/>
        </w:rPr>
        <w:t xml:space="preserve"> </w:t>
      </w:r>
      <w:r w:rsidRPr="0075323A">
        <w:rPr>
          <w:lang w:val="en-CA"/>
        </w:rPr>
        <w:t>decision 8</w:t>
      </w:r>
      <w:r>
        <w:rPr>
          <w:lang w:val="en-CA"/>
        </w:rPr>
        <w:t>6</w:t>
      </w:r>
      <w:r w:rsidRPr="0075323A">
        <w:rPr>
          <w:lang w:val="en-CA"/>
        </w:rPr>
        <w:t>/6</w:t>
      </w:r>
      <w:r>
        <w:rPr>
          <w:lang w:val="en-CA"/>
        </w:rPr>
        <w:t>1</w:t>
      </w:r>
      <w:r w:rsidRPr="0075323A">
        <w:rPr>
          <w:lang w:val="en-CA"/>
        </w:rPr>
        <w:t>(</w:t>
      </w:r>
      <w:r>
        <w:rPr>
          <w:lang w:val="en-CA"/>
        </w:rPr>
        <w:t>d</w:t>
      </w:r>
      <w:r w:rsidRPr="0075323A">
        <w:rPr>
          <w:lang w:val="en-CA"/>
        </w:rPr>
        <w:t>)(ii), (iii) and (iv): 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EA24" w14:textId="2FE1F488" w:rsidR="006A7408" w:rsidRPr="0033525D" w:rsidRDefault="00F97239">
    <w:r>
      <w:fldChar w:fldCharType="begin"/>
    </w:r>
    <w:r>
      <w:instrText xml:space="preserve"> DOCPROPERTY "Document number"  \* MERGEFORMAT </w:instrText>
    </w:r>
    <w:r>
      <w:fldChar w:fldCharType="separate"/>
    </w:r>
    <w:r w:rsidR="006A7408">
      <w:t>UNEP/</w:t>
    </w:r>
    <w:proofErr w:type="spellStart"/>
    <w:r w:rsidR="006A7408">
      <w:t>OzL.Pro</w:t>
    </w:r>
    <w:proofErr w:type="spellEnd"/>
    <w:r w:rsidR="006A7408">
      <w:t>/</w:t>
    </w:r>
    <w:proofErr w:type="spellStart"/>
    <w:r w:rsidR="006A7408">
      <w:t>ExCom</w:t>
    </w:r>
    <w:proofErr w:type="spellEnd"/>
    <w:r w:rsidR="006A7408">
      <w:t>/88/34</w:t>
    </w:r>
    <w:r>
      <w:fldChar w:fldCharType="end"/>
    </w:r>
  </w:p>
  <w:p w14:paraId="04283F7F" w14:textId="77777777" w:rsidR="006A7408" w:rsidRPr="0033525D" w:rsidRDefault="006A7408"/>
  <w:p w14:paraId="1718AB81" w14:textId="77777777" w:rsidR="006A7408" w:rsidRPr="0033525D" w:rsidRDefault="006A740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2457" w14:textId="051CF05D" w:rsidR="006A7408" w:rsidRPr="0033525D" w:rsidRDefault="00F97239">
    <w:pPr>
      <w:jc w:val="right"/>
    </w:pPr>
    <w:r>
      <w:fldChar w:fldCharType="begin"/>
    </w:r>
    <w:r>
      <w:instrText xml:space="preserve"> DOCPROPERTY "Document number"  \* MERGEFORMAT </w:instrText>
    </w:r>
    <w:r>
      <w:fldChar w:fldCharType="separate"/>
    </w:r>
    <w:r w:rsidR="006A7408">
      <w:t>UNEP/</w:t>
    </w:r>
    <w:proofErr w:type="spellStart"/>
    <w:r w:rsidR="006A7408">
      <w:t>OzL.Pro</w:t>
    </w:r>
    <w:proofErr w:type="spellEnd"/>
    <w:r w:rsidR="006A7408">
      <w:t>/</w:t>
    </w:r>
    <w:proofErr w:type="spellStart"/>
    <w:r w:rsidR="006A7408">
      <w:t>ExCom</w:t>
    </w:r>
    <w:proofErr w:type="spellEnd"/>
    <w:r w:rsidR="006A7408">
      <w:t>/88/34</w:t>
    </w:r>
    <w:r>
      <w:fldChar w:fldCharType="end"/>
    </w:r>
  </w:p>
  <w:p w14:paraId="543FDF8B" w14:textId="77777777" w:rsidR="006A7408" w:rsidRPr="0033525D" w:rsidRDefault="006A7408"/>
  <w:p w14:paraId="316FAB58" w14:textId="77777777" w:rsidR="006A7408" w:rsidRPr="0033525D" w:rsidRDefault="006A74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0809C4A"/>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rPr>
        <w:sz w:val="22"/>
        <w:szCs w:val="22"/>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21458F4"/>
    <w:multiLevelType w:val="hybridMultilevel"/>
    <w:tmpl w:val="EF985C52"/>
    <w:lvl w:ilvl="0" w:tplc="437A1350">
      <w:start w:val="2022"/>
      <w:numFmt w:val="decimal"/>
      <w:lvlText w:val="%1"/>
      <w:lvlJc w:val="left"/>
      <w:pPr>
        <w:ind w:left="764" w:hanging="480"/>
      </w:pPr>
      <w:rPr>
        <w:rFonts w:hint="default"/>
        <w:u w:val="single"/>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08B77862"/>
    <w:multiLevelType w:val="hybridMultilevel"/>
    <w:tmpl w:val="5902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E200B3"/>
    <w:multiLevelType w:val="hybridMultilevel"/>
    <w:tmpl w:val="16D43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19E3149"/>
    <w:multiLevelType w:val="hybridMultilevel"/>
    <w:tmpl w:val="0D0CC35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0385AB7"/>
    <w:multiLevelType w:val="hybridMultilevel"/>
    <w:tmpl w:val="69D448BE"/>
    <w:lvl w:ilvl="0" w:tplc="437EB1F0">
      <w:start w:val="1"/>
      <w:numFmt w:val="decimal"/>
      <w:lvlText w:val="%1."/>
      <w:lvlJc w:val="left"/>
      <w:pPr>
        <w:ind w:left="1170" w:hanging="360"/>
      </w:pPr>
      <w:rPr>
        <w:rFonts w:ascii="Times New Roman" w:hAnsi="Times New Roman" w:cs="Times New Roman" w:hint="default"/>
      </w:rPr>
    </w:lvl>
    <w:lvl w:ilvl="1" w:tplc="04090019">
      <w:start w:val="1"/>
      <w:numFmt w:val="lowerLetter"/>
      <w:lvlText w:val="%2."/>
      <w:lvlJc w:val="left"/>
      <w:pPr>
        <w:ind w:left="1080" w:hanging="360"/>
      </w:pPr>
    </w:lvl>
    <w:lvl w:ilvl="2" w:tplc="872E8D5C">
      <w:start w:val="2020"/>
      <w:numFmt w:val="bullet"/>
      <w:lvlText w:val="•"/>
      <w:lvlJc w:val="left"/>
      <w:pPr>
        <w:ind w:left="2340" w:hanging="720"/>
      </w:pPr>
      <w:rPr>
        <w:rFonts w:ascii="Roboto" w:eastAsiaTheme="minorHAnsi" w:hAnsi="Roboto"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9C1CE3"/>
    <w:multiLevelType w:val="hybridMultilevel"/>
    <w:tmpl w:val="D99E38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B043535"/>
    <w:multiLevelType w:val="hybridMultilevel"/>
    <w:tmpl w:val="F61C1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20"/>
  </w:num>
  <w:num w:numId="19">
    <w:abstractNumId w:val="22"/>
  </w:num>
  <w:num w:numId="20">
    <w:abstractNumId w:val="16"/>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7"/>
  </w:num>
  <w:num w:numId="28">
    <w:abstractNumId w:val="10"/>
  </w:num>
  <w:num w:numId="29">
    <w:abstractNumId w:val="10"/>
  </w:num>
  <w:num w:numId="30">
    <w:abstractNumId w:val="15"/>
  </w:num>
  <w:num w:numId="31">
    <w:abstractNumId w:val="21"/>
  </w:num>
  <w:num w:numId="32">
    <w:abstractNumId w:val="12"/>
  </w:num>
  <w:num w:numId="33">
    <w:abstractNumId w:val="10"/>
  </w:num>
  <w:num w:numId="34">
    <w:abstractNumId w:val="11"/>
  </w:num>
  <w:num w:numId="3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4979CF"/>
    <w:rsid w:val="00000FED"/>
    <w:rsid w:val="00001B93"/>
    <w:rsid w:val="0000434E"/>
    <w:rsid w:val="000204E9"/>
    <w:rsid w:val="000211A9"/>
    <w:rsid w:val="00023961"/>
    <w:rsid w:val="00031260"/>
    <w:rsid w:val="000325FD"/>
    <w:rsid w:val="00034AAF"/>
    <w:rsid w:val="00035A92"/>
    <w:rsid w:val="0003681A"/>
    <w:rsid w:val="000372B7"/>
    <w:rsid w:val="00040DC3"/>
    <w:rsid w:val="00050F6E"/>
    <w:rsid w:val="00052B49"/>
    <w:rsid w:val="00061EC2"/>
    <w:rsid w:val="000733FF"/>
    <w:rsid w:val="000769B7"/>
    <w:rsid w:val="000774C5"/>
    <w:rsid w:val="00080ED0"/>
    <w:rsid w:val="00085B8F"/>
    <w:rsid w:val="00090481"/>
    <w:rsid w:val="0009505D"/>
    <w:rsid w:val="0009563C"/>
    <w:rsid w:val="00097476"/>
    <w:rsid w:val="000A2857"/>
    <w:rsid w:val="000A3826"/>
    <w:rsid w:val="000A5E67"/>
    <w:rsid w:val="000A6C26"/>
    <w:rsid w:val="000B0949"/>
    <w:rsid w:val="000B5FD0"/>
    <w:rsid w:val="000C70C9"/>
    <w:rsid w:val="000D52A4"/>
    <w:rsid w:val="000D5441"/>
    <w:rsid w:val="000E07BC"/>
    <w:rsid w:val="000E4803"/>
    <w:rsid w:val="000F1CD4"/>
    <w:rsid w:val="000F4103"/>
    <w:rsid w:val="000F447B"/>
    <w:rsid w:val="000F6879"/>
    <w:rsid w:val="000F70A7"/>
    <w:rsid w:val="001053EA"/>
    <w:rsid w:val="00105E2D"/>
    <w:rsid w:val="00112074"/>
    <w:rsid w:val="00113CCA"/>
    <w:rsid w:val="00116968"/>
    <w:rsid w:val="00117615"/>
    <w:rsid w:val="00122F25"/>
    <w:rsid w:val="0013130E"/>
    <w:rsid w:val="001331D4"/>
    <w:rsid w:val="00135980"/>
    <w:rsid w:val="00136E5A"/>
    <w:rsid w:val="00142042"/>
    <w:rsid w:val="00151288"/>
    <w:rsid w:val="00156CA2"/>
    <w:rsid w:val="00164719"/>
    <w:rsid w:val="00164E50"/>
    <w:rsid w:val="0016667D"/>
    <w:rsid w:val="00166FC4"/>
    <w:rsid w:val="001677AC"/>
    <w:rsid w:val="001737A7"/>
    <w:rsid w:val="00175B1D"/>
    <w:rsid w:val="001804EA"/>
    <w:rsid w:val="001873E3"/>
    <w:rsid w:val="00190A61"/>
    <w:rsid w:val="001A0534"/>
    <w:rsid w:val="001A3342"/>
    <w:rsid w:val="001A3E3D"/>
    <w:rsid w:val="001A5480"/>
    <w:rsid w:val="001A7049"/>
    <w:rsid w:val="001A77AE"/>
    <w:rsid w:val="001B1E40"/>
    <w:rsid w:val="001C3FA0"/>
    <w:rsid w:val="001C764E"/>
    <w:rsid w:val="001D4148"/>
    <w:rsid w:val="001D76B1"/>
    <w:rsid w:val="001E1052"/>
    <w:rsid w:val="001E21B1"/>
    <w:rsid w:val="001E2F93"/>
    <w:rsid w:val="001E4554"/>
    <w:rsid w:val="001E61E5"/>
    <w:rsid w:val="001E626B"/>
    <w:rsid w:val="001F01DC"/>
    <w:rsid w:val="001F2159"/>
    <w:rsid w:val="001F46DD"/>
    <w:rsid w:val="001F7CB3"/>
    <w:rsid w:val="00210B8B"/>
    <w:rsid w:val="002120E3"/>
    <w:rsid w:val="00214863"/>
    <w:rsid w:val="002156B4"/>
    <w:rsid w:val="00215E56"/>
    <w:rsid w:val="002229A3"/>
    <w:rsid w:val="00222EE7"/>
    <w:rsid w:val="00224FCD"/>
    <w:rsid w:val="00241DD1"/>
    <w:rsid w:val="002423D3"/>
    <w:rsid w:val="002442D1"/>
    <w:rsid w:val="00244FE2"/>
    <w:rsid w:val="0024777E"/>
    <w:rsid w:val="00253222"/>
    <w:rsid w:val="00261971"/>
    <w:rsid w:val="00262847"/>
    <w:rsid w:val="00265C07"/>
    <w:rsid w:val="00270EB0"/>
    <w:rsid w:val="0028058A"/>
    <w:rsid w:val="00281BB2"/>
    <w:rsid w:val="00281E66"/>
    <w:rsid w:val="00286E5D"/>
    <w:rsid w:val="002973AA"/>
    <w:rsid w:val="00297E94"/>
    <w:rsid w:val="002A38D4"/>
    <w:rsid w:val="002A47A3"/>
    <w:rsid w:val="002A4D08"/>
    <w:rsid w:val="002A59BE"/>
    <w:rsid w:val="002B254E"/>
    <w:rsid w:val="002B729B"/>
    <w:rsid w:val="002B72E9"/>
    <w:rsid w:val="002C127E"/>
    <w:rsid w:val="002C7998"/>
    <w:rsid w:val="002F1E53"/>
    <w:rsid w:val="002F2CAA"/>
    <w:rsid w:val="002F629E"/>
    <w:rsid w:val="002F6CA4"/>
    <w:rsid w:val="003003A0"/>
    <w:rsid w:val="0030052C"/>
    <w:rsid w:val="00303A23"/>
    <w:rsid w:val="00313939"/>
    <w:rsid w:val="003251E1"/>
    <w:rsid w:val="003306E1"/>
    <w:rsid w:val="003320E4"/>
    <w:rsid w:val="0033525D"/>
    <w:rsid w:val="00335B62"/>
    <w:rsid w:val="00335FCC"/>
    <w:rsid w:val="003414EB"/>
    <w:rsid w:val="003414F3"/>
    <w:rsid w:val="00345E3A"/>
    <w:rsid w:val="0035461E"/>
    <w:rsid w:val="0035613E"/>
    <w:rsid w:val="00363EE9"/>
    <w:rsid w:val="00367BE6"/>
    <w:rsid w:val="003749B7"/>
    <w:rsid w:val="00376128"/>
    <w:rsid w:val="003761AC"/>
    <w:rsid w:val="0037742E"/>
    <w:rsid w:val="00377D56"/>
    <w:rsid w:val="003814A1"/>
    <w:rsid w:val="0038245A"/>
    <w:rsid w:val="003840E6"/>
    <w:rsid w:val="00385CFC"/>
    <w:rsid w:val="0039000F"/>
    <w:rsid w:val="0039337A"/>
    <w:rsid w:val="00394576"/>
    <w:rsid w:val="003A3189"/>
    <w:rsid w:val="003A3CA7"/>
    <w:rsid w:val="003B33BD"/>
    <w:rsid w:val="003B569D"/>
    <w:rsid w:val="003C28BC"/>
    <w:rsid w:val="003C3C0E"/>
    <w:rsid w:val="003C4896"/>
    <w:rsid w:val="003D42A6"/>
    <w:rsid w:val="003D4F21"/>
    <w:rsid w:val="003D4FAC"/>
    <w:rsid w:val="003E3F7A"/>
    <w:rsid w:val="003E7906"/>
    <w:rsid w:val="003F3C50"/>
    <w:rsid w:val="00403EE5"/>
    <w:rsid w:val="00406A6A"/>
    <w:rsid w:val="00406B22"/>
    <w:rsid w:val="00410D9E"/>
    <w:rsid w:val="004166ED"/>
    <w:rsid w:val="004328A7"/>
    <w:rsid w:val="00434C74"/>
    <w:rsid w:val="0044532A"/>
    <w:rsid w:val="00445D79"/>
    <w:rsid w:val="00456EB4"/>
    <w:rsid w:val="004704EC"/>
    <w:rsid w:val="004718F3"/>
    <w:rsid w:val="00475040"/>
    <w:rsid w:val="0048039C"/>
    <w:rsid w:val="0048381A"/>
    <w:rsid w:val="00486340"/>
    <w:rsid w:val="0049386B"/>
    <w:rsid w:val="00493D40"/>
    <w:rsid w:val="004967B6"/>
    <w:rsid w:val="0049743B"/>
    <w:rsid w:val="004979CF"/>
    <w:rsid w:val="004A504B"/>
    <w:rsid w:val="004A6911"/>
    <w:rsid w:val="004B54E0"/>
    <w:rsid w:val="004B7384"/>
    <w:rsid w:val="004C4269"/>
    <w:rsid w:val="004D6236"/>
    <w:rsid w:val="004D7F90"/>
    <w:rsid w:val="004E4DBB"/>
    <w:rsid w:val="004E4E41"/>
    <w:rsid w:val="004E6C9B"/>
    <w:rsid w:val="004E7F9C"/>
    <w:rsid w:val="004F3493"/>
    <w:rsid w:val="004F47A5"/>
    <w:rsid w:val="004F5143"/>
    <w:rsid w:val="00500892"/>
    <w:rsid w:val="00512B09"/>
    <w:rsid w:val="005220ED"/>
    <w:rsid w:val="00533796"/>
    <w:rsid w:val="0053501F"/>
    <w:rsid w:val="00535270"/>
    <w:rsid w:val="00537103"/>
    <w:rsid w:val="00537343"/>
    <w:rsid w:val="0054002D"/>
    <w:rsid w:val="00542067"/>
    <w:rsid w:val="00542B05"/>
    <w:rsid w:val="00544D81"/>
    <w:rsid w:val="00555D75"/>
    <w:rsid w:val="00557E1C"/>
    <w:rsid w:val="00560DF0"/>
    <w:rsid w:val="00562562"/>
    <w:rsid w:val="00565F11"/>
    <w:rsid w:val="0056759C"/>
    <w:rsid w:val="00567F94"/>
    <w:rsid w:val="005754A3"/>
    <w:rsid w:val="005827C5"/>
    <w:rsid w:val="005828F9"/>
    <w:rsid w:val="00593121"/>
    <w:rsid w:val="0059513E"/>
    <w:rsid w:val="005A0812"/>
    <w:rsid w:val="005A3A3B"/>
    <w:rsid w:val="005A4361"/>
    <w:rsid w:val="005A6D9F"/>
    <w:rsid w:val="005B48FF"/>
    <w:rsid w:val="005D2195"/>
    <w:rsid w:val="005D363F"/>
    <w:rsid w:val="005D480E"/>
    <w:rsid w:val="005E54F5"/>
    <w:rsid w:val="005F2CEA"/>
    <w:rsid w:val="006034E1"/>
    <w:rsid w:val="00604C15"/>
    <w:rsid w:val="00604C21"/>
    <w:rsid w:val="006158D5"/>
    <w:rsid w:val="006239B4"/>
    <w:rsid w:val="00625D83"/>
    <w:rsid w:val="00643817"/>
    <w:rsid w:val="006547FE"/>
    <w:rsid w:val="006623E7"/>
    <w:rsid w:val="00662B80"/>
    <w:rsid w:val="006665FC"/>
    <w:rsid w:val="00670F6C"/>
    <w:rsid w:val="00671A30"/>
    <w:rsid w:val="00673431"/>
    <w:rsid w:val="00673B8D"/>
    <w:rsid w:val="006748F5"/>
    <w:rsid w:val="006852C7"/>
    <w:rsid w:val="006852CE"/>
    <w:rsid w:val="006924F2"/>
    <w:rsid w:val="00692D14"/>
    <w:rsid w:val="00693C7A"/>
    <w:rsid w:val="00697464"/>
    <w:rsid w:val="006A0731"/>
    <w:rsid w:val="006A37F4"/>
    <w:rsid w:val="006A7408"/>
    <w:rsid w:val="006B1647"/>
    <w:rsid w:val="006B65C7"/>
    <w:rsid w:val="006C1727"/>
    <w:rsid w:val="006C2568"/>
    <w:rsid w:val="006C32FD"/>
    <w:rsid w:val="006C39CE"/>
    <w:rsid w:val="006C4B76"/>
    <w:rsid w:val="006C5505"/>
    <w:rsid w:val="006C57B5"/>
    <w:rsid w:val="006C757F"/>
    <w:rsid w:val="006D0644"/>
    <w:rsid w:val="006D0FCC"/>
    <w:rsid w:val="006D21F5"/>
    <w:rsid w:val="006D4D3E"/>
    <w:rsid w:val="006D5737"/>
    <w:rsid w:val="006D6895"/>
    <w:rsid w:val="006E0030"/>
    <w:rsid w:val="006E0A60"/>
    <w:rsid w:val="006E1131"/>
    <w:rsid w:val="006E126D"/>
    <w:rsid w:val="006E1FC3"/>
    <w:rsid w:val="006E491A"/>
    <w:rsid w:val="006E51BF"/>
    <w:rsid w:val="006F17DF"/>
    <w:rsid w:val="006F1CDC"/>
    <w:rsid w:val="006F3286"/>
    <w:rsid w:val="00704CE9"/>
    <w:rsid w:val="00704EB0"/>
    <w:rsid w:val="0070616B"/>
    <w:rsid w:val="00706295"/>
    <w:rsid w:val="00706FDA"/>
    <w:rsid w:val="00707B7E"/>
    <w:rsid w:val="00711F9A"/>
    <w:rsid w:val="00713810"/>
    <w:rsid w:val="00716335"/>
    <w:rsid w:val="00724266"/>
    <w:rsid w:val="00725046"/>
    <w:rsid w:val="007303A5"/>
    <w:rsid w:val="00730B3E"/>
    <w:rsid w:val="0073265C"/>
    <w:rsid w:val="007337C6"/>
    <w:rsid w:val="0073420B"/>
    <w:rsid w:val="0074760E"/>
    <w:rsid w:val="0075323A"/>
    <w:rsid w:val="00754ABA"/>
    <w:rsid w:val="00771227"/>
    <w:rsid w:val="00783C22"/>
    <w:rsid w:val="00786F9A"/>
    <w:rsid w:val="007902C1"/>
    <w:rsid w:val="00791CF4"/>
    <w:rsid w:val="007A1546"/>
    <w:rsid w:val="007A228C"/>
    <w:rsid w:val="007A368E"/>
    <w:rsid w:val="007A5868"/>
    <w:rsid w:val="007B0467"/>
    <w:rsid w:val="007B04CE"/>
    <w:rsid w:val="007B2529"/>
    <w:rsid w:val="007B4C3D"/>
    <w:rsid w:val="007B6871"/>
    <w:rsid w:val="007B6CA2"/>
    <w:rsid w:val="007B7A2F"/>
    <w:rsid w:val="007C379A"/>
    <w:rsid w:val="007C3D33"/>
    <w:rsid w:val="007D294A"/>
    <w:rsid w:val="007D47D2"/>
    <w:rsid w:val="007D523D"/>
    <w:rsid w:val="007D6EC0"/>
    <w:rsid w:val="007D7E1D"/>
    <w:rsid w:val="007E2E97"/>
    <w:rsid w:val="007E5B55"/>
    <w:rsid w:val="007E6A56"/>
    <w:rsid w:val="007F194C"/>
    <w:rsid w:val="007F370E"/>
    <w:rsid w:val="0081154E"/>
    <w:rsid w:val="00814F1F"/>
    <w:rsid w:val="00820FDC"/>
    <w:rsid w:val="00821567"/>
    <w:rsid w:val="00831979"/>
    <w:rsid w:val="00834C98"/>
    <w:rsid w:val="00840462"/>
    <w:rsid w:val="00851352"/>
    <w:rsid w:val="00854784"/>
    <w:rsid w:val="00857077"/>
    <w:rsid w:val="00861C90"/>
    <w:rsid w:val="00863230"/>
    <w:rsid w:val="00865BD0"/>
    <w:rsid w:val="008717D8"/>
    <w:rsid w:val="0087215C"/>
    <w:rsid w:val="00875D25"/>
    <w:rsid w:val="00880E35"/>
    <w:rsid w:val="00886154"/>
    <w:rsid w:val="008875FE"/>
    <w:rsid w:val="00887F8E"/>
    <w:rsid w:val="00895A9D"/>
    <w:rsid w:val="00896234"/>
    <w:rsid w:val="00897E43"/>
    <w:rsid w:val="008A07AF"/>
    <w:rsid w:val="008A7167"/>
    <w:rsid w:val="008B2F43"/>
    <w:rsid w:val="008B7B3C"/>
    <w:rsid w:val="008C37CC"/>
    <w:rsid w:val="008C4B2B"/>
    <w:rsid w:val="008C5738"/>
    <w:rsid w:val="008C7EAD"/>
    <w:rsid w:val="008D0CFE"/>
    <w:rsid w:val="008D4D3E"/>
    <w:rsid w:val="008D572C"/>
    <w:rsid w:val="008D6152"/>
    <w:rsid w:val="008E094C"/>
    <w:rsid w:val="008E307F"/>
    <w:rsid w:val="008F0F81"/>
    <w:rsid w:val="008F27BF"/>
    <w:rsid w:val="008F42D5"/>
    <w:rsid w:val="009142EC"/>
    <w:rsid w:val="009154C3"/>
    <w:rsid w:val="00920A27"/>
    <w:rsid w:val="00920B29"/>
    <w:rsid w:val="00923540"/>
    <w:rsid w:val="00925570"/>
    <w:rsid w:val="00926767"/>
    <w:rsid w:val="009361D5"/>
    <w:rsid w:val="009364EB"/>
    <w:rsid w:val="009428A4"/>
    <w:rsid w:val="00943859"/>
    <w:rsid w:val="00954750"/>
    <w:rsid w:val="00954F10"/>
    <w:rsid w:val="00956A9E"/>
    <w:rsid w:val="00956EC2"/>
    <w:rsid w:val="009632D5"/>
    <w:rsid w:val="0096535B"/>
    <w:rsid w:val="009659F4"/>
    <w:rsid w:val="00967C93"/>
    <w:rsid w:val="00970D60"/>
    <w:rsid w:val="0099390E"/>
    <w:rsid w:val="009960E5"/>
    <w:rsid w:val="009A6A20"/>
    <w:rsid w:val="009A7ADC"/>
    <w:rsid w:val="009B3584"/>
    <w:rsid w:val="009C19B7"/>
    <w:rsid w:val="009C1C57"/>
    <w:rsid w:val="009C42D1"/>
    <w:rsid w:val="009C5ABB"/>
    <w:rsid w:val="009D7475"/>
    <w:rsid w:val="009D7C51"/>
    <w:rsid w:val="009E1295"/>
    <w:rsid w:val="009E196C"/>
    <w:rsid w:val="009E59EB"/>
    <w:rsid w:val="009E7ED5"/>
    <w:rsid w:val="009F36BF"/>
    <w:rsid w:val="00A01E0B"/>
    <w:rsid w:val="00A033F8"/>
    <w:rsid w:val="00A111B6"/>
    <w:rsid w:val="00A1156D"/>
    <w:rsid w:val="00A137B0"/>
    <w:rsid w:val="00A143E1"/>
    <w:rsid w:val="00A16F38"/>
    <w:rsid w:val="00A173BF"/>
    <w:rsid w:val="00A25285"/>
    <w:rsid w:val="00A26D27"/>
    <w:rsid w:val="00A33817"/>
    <w:rsid w:val="00A354D5"/>
    <w:rsid w:val="00A376EE"/>
    <w:rsid w:val="00A42A99"/>
    <w:rsid w:val="00A5151A"/>
    <w:rsid w:val="00A51936"/>
    <w:rsid w:val="00A52BC2"/>
    <w:rsid w:val="00A535D2"/>
    <w:rsid w:val="00A568B7"/>
    <w:rsid w:val="00A57E0A"/>
    <w:rsid w:val="00A70584"/>
    <w:rsid w:val="00A823F6"/>
    <w:rsid w:val="00A838EB"/>
    <w:rsid w:val="00A8719E"/>
    <w:rsid w:val="00AA0A89"/>
    <w:rsid w:val="00AA62F9"/>
    <w:rsid w:val="00AA6429"/>
    <w:rsid w:val="00AB1134"/>
    <w:rsid w:val="00AB2405"/>
    <w:rsid w:val="00AB6205"/>
    <w:rsid w:val="00AB6518"/>
    <w:rsid w:val="00AC01AA"/>
    <w:rsid w:val="00AC13A9"/>
    <w:rsid w:val="00AC4F72"/>
    <w:rsid w:val="00AD3183"/>
    <w:rsid w:val="00AD7592"/>
    <w:rsid w:val="00AE39C0"/>
    <w:rsid w:val="00AE4591"/>
    <w:rsid w:val="00AE65A6"/>
    <w:rsid w:val="00AF741A"/>
    <w:rsid w:val="00B01ADB"/>
    <w:rsid w:val="00B04161"/>
    <w:rsid w:val="00B056F9"/>
    <w:rsid w:val="00B11B8F"/>
    <w:rsid w:val="00B11E3D"/>
    <w:rsid w:val="00B13040"/>
    <w:rsid w:val="00B17E82"/>
    <w:rsid w:val="00B21860"/>
    <w:rsid w:val="00B2226E"/>
    <w:rsid w:val="00B26D3F"/>
    <w:rsid w:val="00B304F5"/>
    <w:rsid w:val="00B34BC5"/>
    <w:rsid w:val="00B36D3C"/>
    <w:rsid w:val="00B40BE0"/>
    <w:rsid w:val="00B4575A"/>
    <w:rsid w:val="00B45DF9"/>
    <w:rsid w:val="00B55D38"/>
    <w:rsid w:val="00B575BA"/>
    <w:rsid w:val="00B712B7"/>
    <w:rsid w:val="00B71608"/>
    <w:rsid w:val="00B72CDD"/>
    <w:rsid w:val="00B741B0"/>
    <w:rsid w:val="00B75649"/>
    <w:rsid w:val="00B76429"/>
    <w:rsid w:val="00B8214C"/>
    <w:rsid w:val="00B83CB5"/>
    <w:rsid w:val="00B84FA5"/>
    <w:rsid w:val="00B850A0"/>
    <w:rsid w:val="00B956D4"/>
    <w:rsid w:val="00B97446"/>
    <w:rsid w:val="00B97B9C"/>
    <w:rsid w:val="00BA7432"/>
    <w:rsid w:val="00BB2764"/>
    <w:rsid w:val="00BB3BA3"/>
    <w:rsid w:val="00BB5D3D"/>
    <w:rsid w:val="00BC1AA0"/>
    <w:rsid w:val="00BC2137"/>
    <w:rsid w:val="00BC2495"/>
    <w:rsid w:val="00BC7EB9"/>
    <w:rsid w:val="00BD2643"/>
    <w:rsid w:val="00BD56B1"/>
    <w:rsid w:val="00BD6558"/>
    <w:rsid w:val="00BD754D"/>
    <w:rsid w:val="00BD7C80"/>
    <w:rsid w:val="00BE2AD9"/>
    <w:rsid w:val="00BF027C"/>
    <w:rsid w:val="00BF2F76"/>
    <w:rsid w:val="00BF3022"/>
    <w:rsid w:val="00BF3214"/>
    <w:rsid w:val="00BF5573"/>
    <w:rsid w:val="00C15867"/>
    <w:rsid w:val="00C21F2D"/>
    <w:rsid w:val="00C2296D"/>
    <w:rsid w:val="00C23155"/>
    <w:rsid w:val="00C3116C"/>
    <w:rsid w:val="00C40C41"/>
    <w:rsid w:val="00C436DF"/>
    <w:rsid w:val="00C444B6"/>
    <w:rsid w:val="00C45885"/>
    <w:rsid w:val="00C50F22"/>
    <w:rsid w:val="00C514FD"/>
    <w:rsid w:val="00C51F82"/>
    <w:rsid w:val="00C57971"/>
    <w:rsid w:val="00C6400E"/>
    <w:rsid w:val="00C65BD7"/>
    <w:rsid w:val="00C73CBF"/>
    <w:rsid w:val="00C76BA4"/>
    <w:rsid w:val="00C83A48"/>
    <w:rsid w:val="00C85865"/>
    <w:rsid w:val="00C85E85"/>
    <w:rsid w:val="00C97B9C"/>
    <w:rsid w:val="00CA2EAE"/>
    <w:rsid w:val="00CA3CDE"/>
    <w:rsid w:val="00CA4AC1"/>
    <w:rsid w:val="00CB0316"/>
    <w:rsid w:val="00CB0B11"/>
    <w:rsid w:val="00CB426A"/>
    <w:rsid w:val="00CB5354"/>
    <w:rsid w:val="00CC0AB7"/>
    <w:rsid w:val="00CC3C9E"/>
    <w:rsid w:val="00CC6A14"/>
    <w:rsid w:val="00CC70A3"/>
    <w:rsid w:val="00CC7B43"/>
    <w:rsid w:val="00CD4442"/>
    <w:rsid w:val="00CD53C3"/>
    <w:rsid w:val="00CD574E"/>
    <w:rsid w:val="00CE48B4"/>
    <w:rsid w:val="00CE4C22"/>
    <w:rsid w:val="00CE6E21"/>
    <w:rsid w:val="00CE6E53"/>
    <w:rsid w:val="00CF41EC"/>
    <w:rsid w:val="00CF5D04"/>
    <w:rsid w:val="00D032AE"/>
    <w:rsid w:val="00D04DE4"/>
    <w:rsid w:val="00D063F1"/>
    <w:rsid w:val="00D121E3"/>
    <w:rsid w:val="00D14F22"/>
    <w:rsid w:val="00D15B20"/>
    <w:rsid w:val="00D3248F"/>
    <w:rsid w:val="00D3297F"/>
    <w:rsid w:val="00D33DC4"/>
    <w:rsid w:val="00D4741C"/>
    <w:rsid w:val="00D5412D"/>
    <w:rsid w:val="00D556B2"/>
    <w:rsid w:val="00D57918"/>
    <w:rsid w:val="00D63768"/>
    <w:rsid w:val="00D66D6A"/>
    <w:rsid w:val="00D72711"/>
    <w:rsid w:val="00D73DC6"/>
    <w:rsid w:val="00D74C1A"/>
    <w:rsid w:val="00D754C1"/>
    <w:rsid w:val="00D77393"/>
    <w:rsid w:val="00D77A35"/>
    <w:rsid w:val="00D81B3E"/>
    <w:rsid w:val="00D90C70"/>
    <w:rsid w:val="00D90E49"/>
    <w:rsid w:val="00D96ADE"/>
    <w:rsid w:val="00DA0CE2"/>
    <w:rsid w:val="00DA37A1"/>
    <w:rsid w:val="00DB7C6F"/>
    <w:rsid w:val="00DC2285"/>
    <w:rsid w:val="00DC6A10"/>
    <w:rsid w:val="00DD273D"/>
    <w:rsid w:val="00DD545A"/>
    <w:rsid w:val="00DD757A"/>
    <w:rsid w:val="00DE222C"/>
    <w:rsid w:val="00DE543E"/>
    <w:rsid w:val="00DE607E"/>
    <w:rsid w:val="00DE657E"/>
    <w:rsid w:val="00DE7EAD"/>
    <w:rsid w:val="00DF0FBE"/>
    <w:rsid w:val="00DF30BE"/>
    <w:rsid w:val="00DF4704"/>
    <w:rsid w:val="00E024AA"/>
    <w:rsid w:val="00E10A81"/>
    <w:rsid w:val="00E15C77"/>
    <w:rsid w:val="00E17C19"/>
    <w:rsid w:val="00E250F1"/>
    <w:rsid w:val="00E3550D"/>
    <w:rsid w:val="00E43358"/>
    <w:rsid w:val="00E43941"/>
    <w:rsid w:val="00E52838"/>
    <w:rsid w:val="00E60D3C"/>
    <w:rsid w:val="00E614E0"/>
    <w:rsid w:val="00E64CDB"/>
    <w:rsid w:val="00E67AED"/>
    <w:rsid w:val="00E72C72"/>
    <w:rsid w:val="00E73F7F"/>
    <w:rsid w:val="00E74178"/>
    <w:rsid w:val="00E85409"/>
    <w:rsid w:val="00E9042A"/>
    <w:rsid w:val="00E90896"/>
    <w:rsid w:val="00EA429F"/>
    <w:rsid w:val="00EA4F9E"/>
    <w:rsid w:val="00EA63CA"/>
    <w:rsid w:val="00EA6D3B"/>
    <w:rsid w:val="00EB00AD"/>
    <w:rsid w:val="00EB0C82"/>
    <w:rsid w:val="00EB136C"/>
    <w:rsid w:val="00EB480E"/>
    <w:rsid w:val="00EB5EC6"/>
    <w:rsid w:val="00EB7FC9"/>
    <w:rsid w:val="00EC3E1D"/>
    <w:rsid w:val="00EC6D49"/>
    <w:rsid w:val="00ED27E8"/>
    <w:rsid w:val="00ED2DA1"/>
    <w:rsid w:val="00ED7137"/>
    <w:rsid w:val="00ED755C"/>
    <w:rsid w:val="00ED7D55"/>
    <w:rsid w:val="00EF0069"/>
    <w:rsid w:val="00EF06EA"/>
    <w:rsid w:val="00EF1E6D"/>
    <w:rsid w:val="00F025FE"/>
    <w:rsid w:val="00F0279B"/>
    <w:rsid w:val="00F042D7"/>
    <w:rsid w:val="00F05662"/>
    <w:rsid w:val="00F21088"/>
    <w:rsid w:val="00F23490"/>
    <w:rsid w:val="00F27D6E"/>
    <w:rsid w:val="00F322CB"/>
    <w:rsid w:val="00F327E7"/>
    <w:rsid w:val="00F35746"/>
    <w:rsid w:val="00F362FE"/>
    <w:rsid w:val="00F36C7C"/>
    <w:rsid w:val="00F40D33"/>
    <w:rsid w:val="00F447C7"/>
    <w:rsid w:val="00F459B4"/>
    <w:rsid w:val="00F5211B"/>
    <w:rsid w:val="00F5439C"/>
    <w:rsid w:val="00F554A9"/>
    <w:rsid w:val="00F5588B"/>
    <w:rsid w:val="00F6226B"/>
    <w:rsid w:val="00F716FD"/>
    <w:rsid w:val="00F71E52"/>
    <w:rsid w:val="00F7371A"/>
    <w:rsid w:val="00F80355"/>
    <w:rsid w:val="00F80736"/>
    <w:rsid w:val="00F87C43"/>
    <w:rsid w:val="00F9119F"/>
    <w:rsid w:val="00F91BDA"/>
    <w:rsid w:val="00F97239"/>
    <w:rsid w:val="00FB0C81"/>
    <w:rsid w:val="00FB46B8"/>
    <w:rsid w:val="00FC2200"/>
    <w:rsid w:val="00FC2540"/>
    <w:rsid w:val="00FC7A05"/>
    <w:rsid w:val="00FD2D84"/>
    <w:rsid w:val="00FE0A25"/>
    <w:rsid w:val="00FE42E9"/>
    <w:rsid w:val="00FF0204"/>
    <w:rsid w:val="00FF2263"/>
    <w:rsid w:val="00FF3AED"/>
    <w:rsid w:val="00FF3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F6970"/>
  <w15:docId w15:val="{B5B18A45-7077-4855-B31A-86D06BA5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70E"/>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uiPriority w:val="9"/>
    <w:qFormat/>
    <w:rsid w:val="0033525D"/>
    <w:pPr>
      <w:widowControl w:val="0"/>
      <w:numPr>
        <w:ilvl w:val="2"/>
        <w:numId w:val="1"/>
      </w:numPr>
      <w:spacing w:after="240"/>
      <w:outlineLvl w:val="2"/>
    </w:pPr>
  </w:style>
  <w:style w:type="paragraph" w:styleId="Heading4">
    <w:name w:val="heading 4"/>
    <w:aliases w:val="Heading 11,para 4"/>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
    <w:basedOn w:val="Normal"/>
    <w:link w:val="FootnoteTextChar"/>
    <w:uiPriority w:val="99"/>
    <w:unhideWhenUsed/>
    <w:qFormat/>
    <w:rsid w:val="006E126D"/>
    <w:rPr>
      <w:sz w:val="20"/>
      <w:szCs w:val="20"/>
    </w:rPr>
  </w:style>
  <w:style w:type="character" w:customStyle="1" w:styleId="FootnoteTextChar">
    <w:name w:val="Footnote Text Char"/>
    <w:aliases w:val=" Char1 Char, Char1 Char Char Char,Fußnotentextf Char,Char1 Char,Char1 Char Char Char"/>
    <w:basedOn w:val="DefaultParagraphFont"/>
    <w:link w:val="FootnoteText"/>
    <w:uiPriority w:val="99"/>
    <w:rsid w:val="006E126D"/>
    <w:rPr>
      <w:lang w:val="en-GB"/>
    </w:rPr>
  </w:style>
  <w:style w:type="character" w:styleId="FootnoteReference">
    <w:name w:val="footnote reference"/>
    <w:aliases w:val="16 Point,Superscript 6 Point,Footnote text,Footnote Text1,Footnote Text2"/>
    <w:basedOn w:val="DefaultParagraphFont"/>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4979CF"/>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4979CF"/>
    <w:rPr>
      <w:sz w:val="22"/>
      <w:szCs w:val="22"/>
      <w:lang w:val="en-GB"/>
    </w:rPr>
  </w:style>
  <w:style w:type="character" w:styleId="Hyperlink">
    <w:name w:val="Hyperlink"/>
    <w:basedOn w:val="DefaultParagraphFont"/>
    <w:uiPriority w:val="99"/>
    <w:semiHidden/>
    <w:unhideWhenUsed/>
    <w:rsid w:val="00724266"/>
    <w:rPr>
      <w:color w:val="0563C1"/>
      <w:u w:val="single"/>
    </w:rPr>
  </w:style>
  <w:style w:type="paragraph" w:customStyle="1" w:styleId="lead">
    <w:name w:val="lead"/>
    <w:basedOn w:val="Normal"/>
    <w:rsid w:val="00724266"/>
    <w:pPr>
      <w:spacing w:line="276" w:lineRule="auto"/>
    </w:pPr>
    <w:rPr>
      <w:rFonts w:eastAsiaTheme="minorHAnsi"/>
      <w:color w:val="000000"/>
      <w:sz w:val="24"/>
      <w:szCs w:val="24"/>
      <w:lang w:val="en-US" w:eastAsia="en-GB"/>
      <w14:ligatures w14:val="standard"/>
      <w14:cntxtAlts/>
    </w:rPr>
  </w:style>
  <w:style w:type="character" w:customStyle="1" w:styleId="A0">
    <w:name w:val="A0"/>
    <w:basedOn w:val="DefaultParagraphFont"/>
    <w:uiPriority w:val="99"/>
    <w:rsid w:val="0073265C"/>
    <w:rPr>
      <w:rFonts w:ascii="Akzidenz Grotesk BE Regular" w:hAnsi="Akzidenz Grotesk BE Regular" w:hint="default"/>
      <w:color w:val="000000"/>
    </w:rPr>
  </w:style>
  <w:style w:type="paragraph" w:styleId="Revision">
    <w:name w:val="Revision"/>
    <w:hidden/>
    <w:uiPriority w:val="99"/>
    <w:semiHidden/>
    <w:rsid w:val="00C21F2D"/>
    <w:rPr>
      <w:sz w:val="22"/>
      <w:szCs w:val="22"/>
      <w:lang w:val="en-GB"/>
    </w:rPr>
  </w:style>
  <w:style w:type="paragraph" w:styleId="ListParagraph">
    <w:name w:val="List Paragraph"/>
    <w:basedOn w:val="Normal"/>
    <w:link w:val="ListParagraphChar"/>
    <w:uiPriority w:val="34"/>
    <w:qFormat/>
    <w:rsid w:val="00B75649"/>
    <w:pPr>
      <w:ind w:left="720"/>
      <w:contextualSpacing/>
    </w:pPr>
  </w:style>
  <w:style w:type="character" w:customStyle="1" w:styleId="fontstyle01">
    <w:name w:val="fontstyle01"/>
    <w:basedOn w:val="DefaultParagraphFont"/>
    <w:rsid w:val="008C4B2B"/>
    <w:rPr>
      <w:rFonts w:ascii="Roboto-Bold" w:hAnsi="Roboto-Bold" w:hint="default"/>
      <w:b/>
      <w:bCs/>
      <w:i w:val="0"/>
      <w:iCs w:val="0"/>
      <w:color w:val="1E1E1E"/>
      <w:sz w:val="30"/>
      <w:szCs w:val="30"/>
    </w:rPr>
  </w:style>
  <w:style w:type="character" w:customStyle="1" w:styleId="ListParagraphChar">
    <w:name w:val="List Paragraph Char"/>
    <w:basedOn w:val="DefaultParagraphFont"/>
    <w:link w:val="ListParagraph"/>
    <w:uiPriority w:val="34"/>
    <w:locked/>
    <w:rsid w:val="008C4B2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3032">
      <w:bodyDiv w:val="1"/>
      <w:marLeft w:val="0"/>
      <w:marRight w:val="0"/>
      <w:marTop w:val="0"/>
      <w:marBottom w:val="0"/>
      <w:divBdr>
        <w:top w:val="none" w:sz="0" w:space="0" w:color="auto"/>
        <w:left w:val="none" w:sz="0" w:space="0" w:color="auto"/>
        <w:bottom w:val="none" w:sz="0" w:space="0" w:color="auto"/>
        <w:right w:val="none" w:sz="0" w:space="0" w:color="auto"/>
      </w:divBdr>
    </w:div>
    <w:div w:id="58611377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641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6b03d5a6-c642-4a08-93b6-965b66bfac2e">UNEP/OzL.Pro/ExCom/88/34</Document_x0020_Number>
    <DocumentType xmlns="64e33b30-101d-41de-b951-961aab25ea29">Pre-session</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10A85B-2DA1-45BA-BC26-BB65058B1A80}"/>
</file>

<file path=customXml/itemProps2.xml><?xml version="1.0" encoding="utf-8"?>
<ds:datastoreItem xmlns:ds="http://schemas.openxmlformats.org/officeDocument/2006/customXml" ds:itemID="{0CDF2422-66FB-4002-B441-075F970666A0}"/>
</file>

<file path=customXml/itemProps3.xml><?xml version="1.0" encoding="utf-8"?>
<ds:datastoreItem xmlns:ds="http://schemas.openxmlformats.org/officeDocument/2006/customXml" ds:itemID="{368C21B4-8E83-4360-95CB-F37EEDD3BFA8}"/>
</file>

<file path=customXml/itemProps4.xml><?xml version="1.0" encoding="utf-8"?>
<ds:datastoreItem xmlns:ds="http://schemas.openxmlformats.org/officeDocument/2006/customXml" ds:itemID="{B19A6BC1-926F-47D3-998C-4E0217F8CF61}"/>
</file>

<file path=docProps/app.xml><?xml version="1.0" encoding="utf-8"?>
<Properties xmlns="http://schemas.openxmlformats.org/officeDocument/2006/extended-properties" xmlns:vt="http://schemas.openxmlformats.org/officeDocument/2006/docPropsVTypes">
  <Template>Eec86G</Template>
  <TotalTime>1</TotalTime>
  <Pages>8</Pages>
  <Words>2981</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UNEP’s Compliance Assistance Programme Budget For 2021</vt:lpstr>
    </vt:vector>
  </TitlesOfParts>
  <Company>UNMFS</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UNEP’s Compliance Assistance Programme Budget For 2022</dc:title>
  <dc:creator>Kaleen  McNamara</dc:creator>
  <cp:lastModifiedBy>Liona Gabriele DAVIES</cp:lastModifiedBy>
  <cp:revision>3</cp:revision>
  <cp:lastPrinted>2001-05-26T16:40:00Z</cp:lastPrinted>
  <dcterms:created xsi:type="dcterms:W3CDTF">2021-11-01T17:53:00Z</dcterms:created>
  <dcterms:modified xsi:type="dcterms:W3CDTF">2021-11-01T18:35:00Z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UNEP/OzL.Pro/ExCom/88/34</vt:lpwstr>
  </property>
  <property fmtid="{D5CDD505-2E9C-101B-9397-08002B2CF9AE}" pid="3" name="Revision date">
    <vt:lpwstr>11/01/2021</vt:lpwstr>
  </property>
  <property fmtid="{D5CDD505-2E9C-101B-9397-08002B2CF9AE}" pid="4" name="ContentTypeId">
    <vt:lpwstr>0x010100BE9B89F773C4B04FA1A88A390C771F1B</vt:lpwstr>
  </property>
  <property fmtid="{D5CDD505-2E9C-101B-9397-08002B2CF9AE}" pid="5" name="Posted after IAP">
    <vt:lpwstr>true</vt:lpwstr>
  </property>
</Properties>
</file>