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227215" w14:paraId="55B082FB" w14:textId="77777777" w:rsidTr="009C59F7">
        <w:trPr>
          <w:trHeight w:val="720"/>
        </w:trPr>
        <w:tc>
          <w:tcPr>
            <w:tcW w:w="5490" w:type="dxa"/>
            <w:gridSpan w:val="2"/>
            <w:tcBorders>
              <w:bottom w:val="single" w:sz="18" w:space="0" w:color="auto"/>
            </w:tcBorders>
          </w:tcPr>
          <w:p w14:paraId="2DB1D529" w14:textId="77777777" w:rsidR="00C15867" w:rsidRPr="00227215"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227215">
              <w:rPr>
                <w:rFonts w:ascii="Univers" w:hAnsi="Univers"/>
                <w:b/>
                <w:sz w:val="28"/>
                <w:szCs w:val="28"/>
              </w:rPr>
              <w:t>UNITED</w:t>
            </w:r>
            <w:r w:rsidRPr="00227215">
              <w:rPr>
                <w:rFonts w:ascii="Univers" w:hAnsi="Univers"/>
                <w:b/>
                <w:sz w:val="28"/>
                <w:szCs w:val="28"/>
              </w:rPr>
              <w:br/>
              <w:t>NATIONS</w:t>
            </w:r>
          </w:p>
        </w:tc>
        <w:tc>
          <w:tcPr>
            <w:tcW w:w="4590" w:type="dxa"/>
            <w:tcBorders>
              <w:bottom w:val="single" w:sz="18" w:space="0" w:color="auto"/>
            </w:tcBorders>
          </w:tcPr>
          <w:p w14:paraId="1A4B4C08" w14:textId="77777777" w:rsidR="00C15867" w:rsidRPr="00227215" w:rsidRDefault="00C15867" w:rsidP="009C59F7">
            <w:pPr>
              <w:jc w:val="right"/>
              <w:rPr>
                <w:sz w:val="52"/>
                <w:szCs w:val="52"/>
              </w:rPr>
            </w:pPr>
            <w:r w:rsidRPr="00227215">
              <w:rPr>
                <w:rFonts w:ascii="Univers Bold" w:hAnsi="Univers Bold"/>
                <w:b/>
                <w:sz w:val="72"/>
              </w:rPr>
              <w:t>EP</w:t>
            </w:r>
          </w:p>
        </w:tc>
      </w:tr>
      <w:tr w:rsidR="00C15867" w:rsidRPr="00227215" w14:paraId="16DBC6BF" w14:textId="77777777"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6F9DBA3C" w14:textId="77777777" w:rsidR="00C15867" w:rsidRPr="00227215" w:rsidRDefault="00E52838" w:rsidP="009C59F7">
            <w:pPr>
              <w:spacing w:before="120"/>
            </w:pPr>
            <w:r w:rsidRPr="00227215">
              <w:rPr>
                <w:noProof/>
                <w:lang w:val="en-US"/>
              </w:rPr>
              <mc:AlternateContent>
                <mc:Choice Requires="wpg">
                  <w:drawing>
                    <wp:anchor distT="0" distB="0" distL="114300" distR="114300" simplePos="0" relativeHeight="251660288" behindDoc="0" locked="0" layoutInCell="1" allowOverlap="1" wp14:anchorId="4C76A146" wp14:editId="7E15E340">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C47D42"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10FE94F3" w14:textId="77777777" w:rsidR="00C15867" w:rsidRPr="00227215"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227215">
              <w:rPr>
                <w:rFonts w:ascii="Univers" w:hAnsi="Univers"/>
                <w:b/>
                <w:sz w:val="32"/>
              </w:rPr>
              <w:t>United Nations</w:t>
            </w:r>
          </w:p>
          <w:p w14:paraId="11A4D937" w14:textId="77777777" w:rsidR="00C15867" w:rsidRPr="00227215"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227215">
              <w:rPr>
                <w:rFonts w:ascii="Univers" w:hAnsi="Univers"/>
                <w:b/>
                <w:sz w:val="32"/>
              </w:rPr>
              <w:t>Environment</w:t>
            </w:r>
          </w:p>
          <w:p w14:paraId="7C2DC986" w14:textId="77777777" w:rsidR="00C15867" w:rsidRPr="00227215"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227215">
              <w:rPr>
                <w:rFonts w:ascii="Univers" w:hAnsi="Univers"/>
                <w:b/>
                <w:sz w:val="32"/>
              </w:rPr>
              <w:t>Programme</w:t>
            </w:r>
          </w:p>
          <w:p w14:paraId="039922E1" w14:textId="77777777" w:rsidR="00C15867" w:rsidRPr="00227215" w:rsidRDefault="00C15867" w:rsidP="009C59F7">
            <w:pPr>
              <w:spacing w:before="720"/>
              <w:ind w:left="158"/>
            </w:pPr>
          </w:p>
        </w:tc>
        <w:tc>
          <w:tcPr>
            <w:tcW w:w="4590" w:type="dxa"/>
            <w:tcBorders>
              <w:top w:val="nil"/>
              <w:left w:val="nil"/>
              <w:bottom w:val="single" w:sz="36" w:space="0" w:color="auto"/>
              <w:right w:val="nil"/>
            </w:tcBorders>
          </w:tcPr>
          <w:p w14:paraId="24DBB555" w14:textId="77777777" w:rsidR="00C15867" w:rsidRPr="00227215" w:rsidRDefault="00C15867" w:rsidP="009C59F7">
            <w:r w:rsidRPr="00227215">
              <w:t>Distr.</w:t>
            </w:r>
          </w:p>
          <w:p w14:paraId="1BC83C12" w14:textId="77777777" w:rsidR="00923540" w:rsidRPr="00227215" w:rsidRDefault="00923540" w:rsidP="00923540">
            <w:r w:rsidRPr="00227215">
              <w:t>GENERAL</w:t>
            </w:r>
          </w:p>
          <w:p w14:paraId="6BB54F3C" w14:textId="77777777" w:rsidR="00C15867" w:rsidRPr="00227215" w:rsidRDefault="00C15867" w:rsidP="009C59F7"/>
          <w:p w14:paraId="25ADA2B1" w14:textId="77777777" w:rsidR="00C15867" w:rsidRPr="00227215" w:rsidRDefault="00C15867" w:rsidP="009C59F7"/>
          <w:p w14:paraId="11471760" w14:textId="77777777" w:rsidR="00C15867" w:rsidRPr="00227215" w:rsidRDefault="00A325CA" w:rsidP="009C59F7">
            <w:fldSimple w:instr=" DOCPROPERTY &quot;Document number&quot;  \* MERGEFORMAT ">
              <w:r w:rsidR="00FE1FA7">
                <w:t>UNEP/OzL.Pro/ExCom/88/27</w:t>
              </w:r>
            </w:fldSimple>
          </w:p>
          <w:p w14:paraId="6F5884C1" w14:textId="439ED7A4" w:rsidR="00C15867" w:rsidRPr="00227215" w:rsidRDefault="00BC2495" w:rsidP="009C59F7">
            <w:r w:rsidRPr="00227215">
              <w:fldChar w:fldCharType="begin"/>
            </w:r>
            <w:r w:rsidR="00851352" w:rsidRPr="00227215">
              <w:instrText xml:space="preserve"> DOCPROPERTY "Revision date" \@ "d MMMM YYYY"  \* MERGEFORMAT </w:instrText>
            </w:r>
            <w:r w:rsidRPr="00227215">
              <w:fldChar w:fldCharType="separate"/>
            </w:r>
            <w:r w:rsidR="009C4FD0">
              <w:t>26 October 2021</w:t>
            </w:r>
            <w:r w:rsidRPr="00227215">
              <w:fldChar w:fldCharType="end"/>
            </w:r>
            <w:bookmarkStart w:id="0" w:name="_GoBack"/>
            <w:bookmarkEnd w:id="0"/>
          </w:p>
          <w:p w14:paraId="31E9D9DF" w14:textId="77777777" w:rsidR="00C15867" w:rsidRPr="00227215" w:rsidRDefault="00C15867" w:rsidP="009C59F7">
            <w:pPr>
              <w:rPr>
                <w:caps/>
              </w:rPr>
            </w:pPr>
          </w:p>
          <w:p w14:paraId="7358204B" w14:textId="77777777" w:rsidR="00C15867" w:rsidRPr="00227215" w:rsidRDefault="00C15867" w:rsidP="009C59F7">
            <w:r w:rsidRPr="00227215">
              <w:t>ORIGINAL: ENGLISH</w:t>
            </w:r>
          </w:p>
        </w:tc>
      </w:tr>
    </w:tbl>
    <w:p w14:paraId="08645DA3" w14:textId="77777777" w:rsidR="00B86471" w:rsidRPr="00227215" w:rsidRDefault="00C15867" w:rsidP="00B86471">
      <w:pPr>
        <w:jc w:val="left"/>
      </w:pPr>
      <w:r w:rsidRPr="00227215">
        <w:t>EXECUTIVE COMMITTEE OF</w:t>
      </w:r>
      <w:r w:rsidRPr="00227215">
        <w:br/>
        <w:t xml:space="preserve">  THE MULTILATERAL FUND FOR THE</w:t>
      </w:r>
      <w:r w:rsidRPr="00227215">
        <w:br/>
        <w:t xml:space="preserve">  IMPLEMENTATION OF THE MONTREAL PROTOCOL</w:t>
      </w:r>
      <w:r w:rsidRPr="00227215">
        <w:br/>
      </w:r>
      <w:r w:rsidR="00B86471" w:rsidRPr="00227215">
        <w:t>Eighty-eighth Meeting</w:t>
      </w:r>
    </w:p>
    <w:p w14:paraId="0D68FE4D" w14:textId="77777777" w:rsidR="00066CE8" w:rsidRPr="00227215" w:rsidRDefault="00B86471" w:rsidP="00B86471">
      <w:pPr>
        <w:jc w:val="left"/>
      </w:pPr>
      <w:r w:rsidRPr="00227215">
        <w:t>Montreal, 15-19 November 2021</w:t>
      </w:r>
      <w:r w:rsidRPr="00227215">
        <w:rPr>
          <w:rStyle w:val="FootnoteReference"/>
        </w:rPr>
        <w:footnoteReference w:id="1"/>
      </w:r>
    </w:p>
    <w:p w14:paraId="0FF07969" w14:textId="77777777" w:rsidR="00837A0F" w:rsidRPr="00227215" w:rsidRDefault="00837A0F" w:rsidP="00837A0F">
      <w:pPr>
        <w:jc w:val="left"/>
        <w:rPr>
          <w:lang w:val="en-US"/>
        </w:rPr>
      </w:pPr>
    </w:p>
    <w:p w14:paraId="176E75C8" w14:textId="77777777" w:rsidR="00837A0F" w:rsidRPr="00227215" w:rsidRDefault="00837A0F" w:rsidP="00837A0F">
      <w:pPr>
        <w:jc w:val="left"/>
      </w:pPr>
    </w:p>
    <w:p w14:paraId="03A93BD2" w14:textId="77777777" w:rsidR="00837A0F" w:rsidRPr="00227215" w:rsidRDefault="00837A0F" w:rsidP="00837A0F">
      <w:pPr>
        <w:jc w:val="left"/>
        <w:rPr>
          <w:lang w:val="en-US"/>
        </w:rPr>
      </w:pPr>
    </w:p>
    <w:p w14:paraId="0E68A9AE" w14:textId="77777777" w:rsidR="00837A0F" w:rsidRPr="00227215" w:rsidRDefault="00837A0F" w:rsidP="00837A0F">
      <w:pPr>
        <w:pStyle w:val="Title2"/>
      </w:pPr>
      <w:r w:rsidRPr="00227215">
        <w:t xml:space="preserve">THE WORLD BANK Business </w:t>
      </w:r>
      <w:smartTag w:uri="urn:schemas-microsoft-com:office:smarttags" w:element="stockticker">
        <w:r w:rsidRPr="00227215">
          <w:t>plan</w:t>
        </w:r>
      </w:smartTag>
      <w:r w:rsidRPr="00227215">
        <w:t xml:space="preserve"> for </w:t>
      </w:r>
      <w:r w:rsidRPr="00227215">
        <w:rPr>
          <w:caps w:val="0"/>
        </w:rPr>
        <w:t>202</w:t>
      </w:r>
      <w:r w:rsidR="000E7CF2" w:rsidRPr="00227215">
        <w:rPr>
          <w:caps w:val="0"/>
        </w:rPr>
        <w:t>2</w:t>
      </w:r>
      <w:r w:rsidRPr="00227215">
        <w:rPr>
          <w:caps w:val="0"/>
        </w:rPr>
        <w:t>–202</w:t>
      </w:r>
      <w:r w:rsidR="000E7CF2" w:rsidRPr="00227215">
        <w:rPr>
          <w:caps w:val="0"/>
        </w:rPr>
        <w:t>4</w:t>
      </w:r>
    </w:p>
    <w:p w14:paraId="60422923" w14:textId="77777777" w:rsidR="00837A0F" w:rsidRPr="00227215" w:rsidRDefault="00837A0F" w:rsidP="00837A0F">
      <w:pPr>
        <w:pStyle w:val="Heading1"/>
        <w:numPr>
          <w:ilvl w:val="0"/>
          <w:numId w:val="0"/>
        </w:numPr>
        <w:spacing w:after="0"/>
      </w:pPr>
    </w:p>
    <w:p w14:paraId="65311501" w14:textId="77777777" w:rsidR="00837A0F" w:rsidRPr="00227215" w:rsidRDefault="00837A0F" w:rsidP="00837A0F">
      <w:pPr>
        <w:pStyle w:val="Heading1"/>
      </w:pPr>
      <w:r w:rsidRPr="00227215">
        <w:t>This document presents the World Bank business plan for 202</w:t>
      </w:r>
      <w:r w:rsidR="000E7CF2" w:rsidRPr="00227215">
        <w:t>2</w:t>
      </w:r>
      <w:r w:rsidRPr="00227215">
        <w:t>–202</w:t>
      </w:r>
      <w:r w:rsidR="000E7CF2" w:rsidRPr="00227215">
        <w:t>4</w:t>
      </w:r>
      <w:r w:rsidRPr="00227215">
        <w:rPr>
          <w:rStyle w:val="FootnoteReference"/>
        </w:rPr>
        <w:footnoteReference w:id="2"/>
      </w:r>
      <w:r w:rsidRPr="00227215">
        <w:t xml:space="preserve"> and includes: the planned activities for the phase-out of controlled substances under the Montreal Protocol (controlled substances) during the 202</w:t>
      </w:r>
      <w:r w:rsidR="000E7CF2" w:rsidRPr="00227215">
        <w:t>2</w:t>
      </w:r>
      <w:r w:rsidRPr="00227215">
        <w:t>–202</w:t>
      </w:r>
      <w:r w:rsidR="000E7CF2" w:rsidRPr="00227215">
        <w:t>4</w:t>
      </w:r>
      <w:r w:rsidRPr="00227215">
        <w:t xml:space="preserve"> period; the business plan performance indicators; and a recommendation for consideration by the Executive Committee. The narrative of the World Bank’s business plan for 202</w:t>
      </w:r>
      <w:r w:rsidR="000E7CF2" w:rsidRPr="00227215">
        <w:t>2</w:t>
      </w:r>
      <w:r w:rsidRPr="00227215">
        <w:t>–202</w:t>
      </w:r>
      <w:r w:rsidR="000E7CF2" w:rsidRPr="00227215">
        <w:t>4</w:t>
      </w:r>
      <w:r w:rsidRPr="00227215">
        <w:t xml:space="preserve"> is attached to the present document. </w:t>
      </w:r>
    </w:p>
    <w:p w14:paraId="26FFB9C8" w14:textId="77777777" w:rsidR="00837A0F" w:rsidRPr="00227215" w:rsidRDefault="00837A0F" w:rsidP="00837A0F">
      <w:pPr>
        <w:rPr>
          <w:b/>
        </w:rPr>
      </w:pPr>
      <w:r w:rsidRPr="00227215">
        <w:rPr>
          <w:b/>
        </w:rPr>
        <w:t>Planned activities during the 202</w:t>
      </w:r>
      <w:r w:rsidR="000E7CF2" w:rsidRPr="00227215">
        <w:rPr>
          <w:b/>
        </w:rPr>
        <w:t>2</w:t>
      </w:r>
      <w:r w:rsidRPr="00227215">
        <w:rPr>
          <w:b/>
        </w:rPr>
        <w:t>–202</w:t>
      </w:r>
      <w:r w:rsidR="000E7CF2" w:rsidRPr="00227215">
        <w:rPr>
          <w:b/>
        </w:rPr>
        <w:t xml:space="preserve">4 </w:t>
      </w:r>
      <w:r w:rsidRPr="00227215">
        <w:rPr>
          <w:b/>
        </w:rPr>
        <w:t>period</w:t>
      </w:r>
    </w:p>
    <w:p w14:paraId="3B86EF25" w14:textId="77777777" w:rsidR="00837A0F" w:rsidRPr="00227215" w:rsidRDefault="00837A0F" w:rsidP="00837A0F"/>
    <w:p w14:paraId="42912ED7" w14:textId="77777777" w:rsidR="00837A0F" w:rsidRPr="00227215" w:rsidRDefault="00837A0F" w:rsidP="00837A0F">
      <w:pPr>
        <w:pStyle w:val="Heading1"/>
      </w:pPr>
      <w:r w:rsidRPr="00227215">
        <w:t>Table 1 sets out, by year, the value of activities included in the World Bank’s business plan.</w:t>
      </w:r>
    </w:p>
    <w:p w14:paraId="56BEC41F" w14:textId="77777777" w:rsidR="00837A0F" w:rsidRPr="00227215" w:rsidRDefault="00837A0F" w:rsidP="00837A0F">
      <w:pPr>
        <w:pStyle w:val="subhead"/>
        <w:keepNext/>
        <w:jc w:val="both"/>
        <w:rPr>
          <w:b/>
          <w:sz w:val="21"/>
          <w:szCs w:val="21"/>
          <w:lang w:val="en-CA"/>
        </w:rPr>
      </w:pPr>
      <w:r w:rsidRPr="00227215">
        <w:rPr>
          <w:b/>
          <w:sz w:val="21"/>
          <w:szCs w:val="21"/>
          <w:lang w:val="en-CA"/>
        </w:rPr>
        <w:t>Table 1. Resource allocation in the World Bank business plan for 202</w:t>
      </w:r>
      <w:r w:rsidR="000E7CF2" w:rsidRPr="00227215">
        <w:rPr>
          <w:b/>
          <w:sz w:val="21"/>
          <w:szCs w:val="21"/>
          <w:lang w:val="en-CA"/>
        </w:rPr>
        <w:t>2</w:t>
      </w:r>
      <w:r w:rsidRPr="00227215">
        <w:rPr>
          <w:b/>
          <w:sz w:val="21"/>
          <w:szCs w:val="21"/>
          <w:lang w:val="en-CA"/>
        </w:rPr>
        <w:t>–202</w:t>
      </w:r>
      <w:r w:rsidR="000E7CF2" w:rsidRPr="00227215">
        <w:rPr>
          <w:b/>
          <w:sz w:val="21"/>
          <w:szCs w:val="21"/>
          <w:lang w:val="en-CA"/>
        </w:rPr>
        <w:t>4</w:t>
      </w:r>
      <w:r w:rsidRPr="00227215">
        <w:rPr>
          <w:b/>
          <w:sz w:val="21"/>
          <w:szCs w:val="21"/>
          <w:lang w:val="en-CA"/>
        </w:rPr>
        <w:t xml:space="preserve"> as submitted (US $000s)*</w:t>
      </w:r>
    </w:p>
    <w:tbl>
      <w:tblPr>
        <w:tblW w:w="9474" w:type="dxa"/>
        <w:tblInd w:w="-5" w:type="dxa"/>
        <w:tblLayout w:type="fixed"/>
        <w:tblLook w:val="04A0" w:firstRow="1" w:lastRow="0" w:firstColumn="1" w:lastColumn="0" w:noHBand="0" w:noVBand="1"/>
      </w:tblPr>
      <w:tblGrid>
        <w:gridCol w:w="3261"/>
        <w:gridCol w:w="1242"/>
        <w:gridCol w:w="1243"/>
        <w:gridCol w:w="1242"/>
        <w:gridCol w:w="1243"/>
        <w:gridCol w:w="1243"/>
      </w:tblGrid>
      <w:tr w:rsidR="00553085" w:rsidRPr="00227215" w14:paraId="7C2771BD" w14:textId="77777777" w:rsidTr="009871A8">
        <w:trPr>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6C72E" w14:textId="77777777" w:rsidR="00553085" w:rsidRPr="00227215" w:rsidRDefault="00553085" w:rsidP="00553085">
            <w:pPr>
              <w:jc w:val="left"/>
              <w:rPr>
                <w:b/>
                <w:bCs/>
                <w:sz w:val="21"/>
                <w:szCs w:val="21"/>
                <w:lang w:eastAsia="en-CA"/>
              </w:rPr>
            </w:pPr>
            <w:r w:rsidRPr="00227215">
              <w:rPr>
                <w:b/>
                <w:bCs/>
                <w:sz w:val="21"/>
                <w:szCs w:val="21"/>
                <w:lang w:eastAsia="en-CA"/>
              </w:rPr>
              <w:t>Description</w:t>
            </w:r>
          </w:p>
        </w:tc>
        <w:tc>
          <w:tcPr>
            <w:tcW w:w="124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AC41B75" w14:textId="77777777" w:rsidR="00553085" w:rsidRPr="00227215" w:rsidRDefault="00553085" w:rsidP="00553085">
            <w:pPr>
              <w:jc w:val="center"/>
              <w:rPr>
                <w:b/>
                <w:bCs/>
                <w:sz w:val="21"/>
                <w:szCs w:val="21"/>
                <w:lang w:eastAsia="en-CA"/>
              </w:rPr>
            </w:pPr>
            <w:r w:rsidRPr="00227215">
              <w:rPr>
                <w:b/>
                <w:bCs/>
                <w:sz w:val="21"/>
                <w:szCs w:val="21"/>
                <w:lang w:eastAsia="en-CA"/>
              </w:rPr>
              <w:t>2022</w:t>
            </w:r>
          </w:p>
        </w:tc>
        <w:tc>
          <w:tcPr>
            <w:tcW w:w="124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05E3924" w14:textId="77777777" w:rsidR="00553085" w:rsidRPr="00227215" w:rsidRDefault="00553085" w:rsidP="00553085">
            <w:pPr>
              <w:jc w:val="center"/>
              <w:rPr>
                <w:b/>
                <w:bCs/>
                <w:sz w:val="21"/>
                <w:szCs w:val="21"/>
                <w:lang w:eastAsia="en-CA"/>
              </w:rPr>
            </w:pPr>
            <w:r w:rsidRPr="00227215">
              <w:rPr>
                <w:b/>
                <w:bCs/>
                <w:sz w:val="21"/>
                <w:szCs w:val="21"/>
                <w:lang w:eastAsia="en-CA"/>
              </w:rPr>
              <w:t>2023</w:t>
            </w:r>
          </w:p>
        </w:tc>
        <w:tc>
          <w:tcPr>
            <w:tcW w:w="1242"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9C2C132" w14:textId="77777777" w:rsidR="00553085" w:rsidRPr="00227215" w:rsidRDefault="00553085" w:rsidP="00553085">
            <w:pPr>
              <w:jc w:val="center"/>
              <w:rPr>
                <w:b/>
                <w:bCs/>
                <w:sz w:val="21"/>
                <w:szCs w:val="21"/>
                <w:lang w:eastAsia="en-CA"/>
              </w:rPr>
            </w:pPr>
            <w:r w:rsidRPr="00227215">
              <w:rPr>
                <w:b/>
                <w:bCs/>
                <w:sz w:val="21"/>
                <w:szCs w:val="21"/>
                <w:lang w:eastAsia="en-CA"/>
              </w:rPr>
              <w:t>2024</w:t>
            </w:r>
          </w:p>
        </w:tc>
        <w:tc>
          <w:tcPr>
            <w:tcW w:w="124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BFDF2AD" w14:textId="77777777" w:rsidR="009871A8" w:rsidRDefault="00553085" w:rsidP="009871A8">
            <w:pPr>
              <w:jc w:val="center"/>
              <w:rPr>
                <w:b/>
                <w:bCs/>
                <w:sz w:val="21"/>
                <w:szCs w:val="21"/>
                <w:lang w:eastAsia="en-CA"/>
              </w:rPr>
            </w:pPr>
            <w:r w:rsidRPr="00227215">
              <w:rPr>
                <w:b/>
                <w:bCs/>
                <w:sz w:val="21"/>
                <w:szCs w:val="21"/>
                <w:lang w:eastAsia="en-CA"/>
              </w:rPr>
              <w:t xml:space="preserve">Total </w:t>
            </w:r>
          </w:p>
          <w:p w14:paraId="61198768" w14:textId="1CD3FF82" w:rsidR="00553085" w:rsidRPr="00227215" w:rsidRDefault="00553085" w:rsidP="009871A8">
            <w:pPr>
              <w:jc w:val="center"/>
              <w:rPr>
                <w:b/>
                <w:bCs/>
                <w:sz w:val="21"/>
                <w:szCs w:val="21"/>
                <w:lang w:eastAsia="en-CA"/>
              </w:rPr>
            </w:pPr>
            <w:r w:rsidRPr="00227215">
              <w:rPr>
                <w:b/>
                <w:bCs/>
                <w:sz w:val="21"/>
                <w:szCs w:val="21"/>
                <w:lang w:eastAsia="en-CA"/>
              </w:rPr>
              <w:t>(2022–2024)</w:t>
            </w:r>
          </w:p>
        </w:tc>
        <w:tc>
          <w:tcPr>
            <w:tcW w:w="124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B6C7DEB" w14:textId="77777777" w:rsidR="00553085" w:rsidRPr="00227215" w:rsidRDefault="00553085" w:rsidP="00553085">
            <w:pPr>
              <w:jc w:val="center"/>
              <w:rPr>
                <w:b/>
                <w:bCs/>
                <w:sz w:val="21"/>
                <w:szCs w:val="21"/>
                <w:lang w:eastAsia="en-CA"/>
              </w:rPr>
            </w:pPr>
            <w:r w:rsidRPr="00227215">
              <w:rPr>
                <w:b/>
                <w:bCs/>
                <w:sz w:val="21"/>
                <w:szCs w:val="21"/>
                <w:lang w:eastAsia="en-CA"/>
              </w:rPr>
              <w:t>Total after 2024</w:t>
            </w:r>
          </w:p>
        </w:tc>
      </w:tr>
      <w:tr w:rsidR="00553085" w:rsidRPr="00227215" w14:paraId="0542A1B5" w14:textId="77777777" w:rsidTr="009871A8">
        <w:tc>
          <w:tcPr>
            <w:tcW w:w="94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369E8" w14:textId="77777777" w:rsidR="00553085" w:rsidRPr="00227215" w:rsidRDefault="00553085" w:rsidP="00553085">
            <w:pPr>
              <w:jc w:val="left"/>
              <w:rPr>
                <w:b/>
                <w:bCs/>
                <w:sz w:val="21"/>
                <w:szCs w:val="21"/>
                <w:lang w:eastAsia="en-CA"/>
              </w:rPr>
            </w:pPr>
            <w:r w:rsidRPr="00227215">
              <w:rPr>
                <w:b/>
                <w:bCs/>
                <w:sz w:val="21"/>
                <w:szCs w:val="21"/>
                <w:lang w:eastAsia="en-CA"/>
              </w:rPr>
              <w:t>HCFC activities</w:t>
            </w:r>
          </w:p>
        </w:tc>
      </w:tr>
      <w:tr w:rsidR="00553085" w:rsidRPr="00227215" w14:paraId="23D17C3F"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842479C" w14:textId="77777777" w:rsidR="00553085" w:rsidRPr="00227215" w:rsidRDefault="00553085" w:rsidP="00553085">
            <w:pPr>
              <w:jc w:val="left"/>
              <w:rPr>
                <w:sz w:val="21"/>
                <w:szCs w:val="21"/>
                <w:lang w:eastAsia="en-CA"/>
              </w:rPr>
            </w:pPr>
            <w:r w:rsidRPr="00227215">
              <w:rPr>
                <w:sz w:val="21"/>
                <w:szCs w:val="21"/>
                <w:lang w:eastAsia="en-CA"/>
              </w:rPr>
              <w:t>Approved HCFC phase-out management plans (HPMPs)</w:t>
            </w:r>
          </w:p>
        </w:tc>
        <w:tc>
          <w:tcPr>
            <w:tcW w:w="1242" w:type="dxa"/>
            <w:tcBorders>
              <w:top w:val="nil"/>
              <w:left w:val="nil"/>
              <w:bottom w:val="single" w:sz="4" w:space="0" w:color="auto"/>
              <w:right w:val="single" w:sz="4" w:space="0" w:color="auto"/>
            </w:tcBorders>
            <w:shd w:val="clear" w:color="auto" w:fill="auto"/>
            <w:noWrap/>
            <w:vAlign w:val="center"/>
            <w:hideMark/>
          </w:tcPr>
          <w:p w14:paraId="51C227FA" w14:textId="77777777" w:rsidR="00553085" w:rsidRPr="00227215" w:rsidRDefault="00553085" w:rsidP="00553085">
            <w:pPr>
              <w:jc w:val="right"/>
              <w:rPr>
                <w:sz w:val="21"/>
                <w:szCs w:val="21"/>
                <w:lang w:eastAsia="en-CA"/>
              </w:rPr>
            </w:pPr>
            <w:r w:rsidRPr="00227215">
              <w:rPr>
                <w:sz w:val="21"/>
                <w:szCs w:val="21"/>
                <w:lang w:eastAsia="en-CA"/>
              </w:rPr>
              <w:t>30,770</w:t>
            </w:r>
          </w:p>
        </w:tc>
        <w:tc>
          <w:tcPr>
            <w:tcW w:w="1243" w:type="dxa"/>
            <w:tcBorders>
              <w:top w:val="nil"/>
              <w:left w:val="nil"/>
              <w:bottom w:val="single" w:sz="4" w:space="0" w:color="auto"/>
              <w:right w:val="single" w:sz="4" w:space="0" w:color="auto"/>
            </w:tcBorders>
            <w:shd w:val="clear" w:color="auto" w:fill="auto"/>
            <w:noWrap/>
            <w:vAlign w:val="center"/>
            <w:hideMark/>
          </w:tcPr>
          <w:p w14:paraId="208488C6" w14:textId="77777777" w:rsidR="00553085" w:rsidRPr="00227215" w:rsidRDefault="00553085" w:rsidP="00553085">
            <w:pPr>
              <w:jc w:val="right"/>
              <w:rPr>
                <w:sz w:val="21"/>
                <w:szCs w:val="21"/>
                <w:lang w:eastAsia="en-CA"/>
              </w:rPr>
            </w:pPr>
            <w:r w:rsidRPr="00227215">
              <w:rPr>
                <w:sz w:val="21"/>
                <w:szCs w:val="21"/>
                <w:lang w:eastAsia="en-CA"/>
              </w:rPr>
              <w:t>8,671</w:t>
            </w:r>
          </w:p>
        </w:tc>
        <w:tc>
          <w:tcPr>
            <w:tcW w:w="1242" w:type="dxa"/>
            <w:tcBorders>
              <w:top w:val="nil"/>
              <w:left w:val="nil"/>
              <w:bottom w:val="single" w:sz="4" w:space="0" w:color="auto"/>
              <w:right w:val="single" w:sz="4" w:space="0" w:color="auto"/>
            </w:tcBorders>
            <w:shd w:val="clear" w:color="auto" w:fill="auto"/>
            <w:noWrap/>
            <w:vAlign w:val="center"/>
            <w:hideMark/>
          </w:tcPr>
          <w:p w14:paraId="177FDD70" w14:textId="77777777" w:rsidR="00553085" w:rsidRPr="00227215" w:rsidRDefault="00553085" w:rsidP="00553085">
            <w:pPr>
              <w:jc w:val="right"/>
              <w:rPr>
                <w:sz w:val="21"/>
                <w:szCs w:val="21"/>
                <w:lang w:eastAsia="en-CA"/>
              </w:rPr>
            </w:pPr>
            <w:r w:rsidRPr="00227215">
              <w:rPr>
                <w:sz w:val="21"/>
                <w:szCs w:val="21"/>
                <w:lang w:eastAsia="en-CA"/>
              </w:rPr>
              <w:t>25,085</w:t>
            </w:r>
          </w:p>
        </w:tc>
        <w:tc>
          <w:tcPr>
            <w:tcW w:w="1243" w:type="dxa"/>
            <w:tcBorders>
              <w:top w:val="nil"/>
              <w:left w:val="nil"/>
              <w:bottom w:val="single" w:sz="4" w:space="0" w:color="auto"/>
              <w:right w:val="single" w:sz="4" w:space="0" w:color="auto"/>
            </w:tcBorders>
            <w:shd w:val="clear" w:color="auto" w:fill="auto"/>
            <w:noWrap/>
            <w:vAlign w:val="center"/>
            <w:hideMark/>
          </w:tcPr>
          <w:p w14:paraId="1F5ECC6F" w14:textId="77777777" w:rsidR="00553085" w:rsidRPr="00227215" w:rsidRDefault="00553085" w:rsidP="00553085">
            <w:pPr>
              <w:jc w:val="right"/>
              <w:rPr>
                <w:sz w:val="21"/>
                <w:szCs w:val="21"/>
                <w:lang w:eastAsia="en-CA"/>
              </w:rPr>
            </w:pPr>
            <w:r w:rsidRPr="00227215">
              <w:rPr>
                <w:sz w:val="21"/>
                <w:szCs w:val="21"/>
                <w:lang w:eastAsia="en-CA"/>
              </w:rPr>
              <w:t>64,526</w:t>
            </w:r>
          </w:p>
        </w:tc>
        <w:tc>
          <w:tcPr>
            <w:tcW w:w="1243" w:type="dxa"/>
            <w:tcBorders>
              <w:top w:val="nil"/>
              <w:left w:val="nil"/>
              <w:bottom w:val="single" w:sz="4" w:space="0" w:color="auto"/>
              <w:right w:val="single" w:sz="4" w:space="0" w:color="auto"/>
            </w:tcBorders>
            <w:shd w:val="clear" w:color="auto" w:fill="auto"/>
            <w:noWrap/>
            <w:vAlign w:val="center"/>
            <w:hideMark/>
          </w:tcPr>
          <w:p w14:paraId="12D58163" w14:textId="77777777" w:rsidR="00553085" w:rsidRPr="00227215" w:rsidRDefault="00553085" w:rsidP="00553085">
            <w:pPr>
              <w:jc w:val="right"/>
              <w:rPr>
                <w:sz w:val="21"/>
                <w:szCs w:val="21"/>
                <w:lang w:eastAsia="en-CA"/>
              </w:rPr>
            </w:pPr>
            <w:r w:rsidRPr="00227215">
              <w:rPr>
                <w:sz w:val="21"/>
                <w:szCs w:val="21"/>
                <w:lang w:eastAsia="en-CA"/>
              </w:rPr>
              <w:t>9,844</w:t>
            </w:r>
          </w:p>
        </w:tc>
      </w:tr>
      <w:tr w:rsidR="00553085" w:rsidRPr="00227215" w14:paraId="0D0C044D"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6984917" w14:textId="77777777" w:rsidR="00553085" w:rsidRPr="00227215" w:rsidRDefault="00553085" w:rsidP="00553085">
            <w:pPr>
              <w:jc w:val="left"/>
              <w:rPr>
                <w:sz w:val="21"/>
                <w:szCs w:val="21"/>
                <w:lang w:eastAsia="en-CA"/>
              </w:rPr>
            </w:pPr>
            <w:r w:rsidRPr="00227215">
              <w:rPr>
                <w:sz w:val="21"/>
                <w:szCs w:val="21"/>
                <w:lang w:eastAsia="en-CA"/>
              </w:rPr>
              <w:t>HPMP preparation – stage III</w:t>
            </w:r>
          </w:p>
        </w:tc>
        <w:tc>
          <w:tcPr>
            <w:tcW w:w="1242" w:type="dxa"/>
            <w:tcBorders>
              <w:top w:val="nil"/>
              <w:left w:val="nil"/>
              <w:bottom w:val="single" w:sz="4" w:space="0" w:color="auto"/>
              <w:right w:val="single" w:sz="4" w:space="0" w:color="auto"/>
            </w:tcBorders>
            <w:shd w:val="clear" w:color="auto" w:fill="auto"/>
            <w:noWrap/>
            <w:vAlign w:val="center"/>
            <w:hideMark/>
          </w:tcPr>
          <w:p w14:paraId="0B38C6C8" w14:textId="6C9E5C87" w:rsidR="00553085" w:rsidRPr="00227215" w:rsidRDefault="003F5B57" w:rsidP="009871A8">
            <w:pPr>
              <w:jc w:val="right"/>
              <w:rPr>
                <w:sz w:val="21"/>
                <w:szCs w:val="21"/>
                <w:lang w:eastAsia="en-CA"/>
              </w:rPr>
            </w:pPr>
            <w:r>
              <w:rPr>
                <w:sz w:val="21"/>
                <w:szCs w:val="21"/>
                <w:lang w:eastAsia="en-CA"/>
              </w:rPr>
              <w:t>0</w:t>
            </w:r>
          </w:p>
        </w:tc>
        <w:tc>
          <w:tcPr>
            <w:tcW w:w="1243" w:type="dxa"/>
            <w:tcBorders>
              <w:top w:val="nil"/>
              <w:left w:val="nil"/>
              <w:bottom w:val="single" w:sz="4" w:space="0" w:color="auto"/>
              <w:right w:val="single" w:sz="4" w:space="0" w:color="auto"/>
            </w:tcBorders>
            <w:shd w:val="clear" w:color="auto" w:fill="auto"/>
            <w:noWrap/>
            <w:vAlign w:val="center"/>
            <w:hideMark/>
          </w:tcPr>
          <w:p w14:paraId="1C2EAED1" w14:textId="77777777" w:rsidR="00553085" w:rsidRPr="00227215" w:rsidRDefault="00553085" w:rsidP="00553085">
            <w:pPr>
              <w:jc w:val="right"/>
              <w:rPr>
                <w:sz w:val="21"/>
                <w:szCs w:val="21"/>
                <w:lang w:eastAsia="en-CA"/>
              </w:rPr>
            </w:pPr>
            <w:r w:rsidRPr="00227215">
              <w:rPr>
                <w:sz w:val="21"/>
                <w:szCs w:val="21"/>
                <w:lang w:eastAsia="en-CA"/>
              </w:rPr>
              <w:t>321</w:t>
            </w:r>
          </w:p>
        </w:tc>
        <w:tc>
          <w:tcPr>
            <w:tcW w:w="1242" w:type="dxa"/>
            <w:tcBorders>
              <w:top w:val="nil"/>
              <w:left w:val="nil"/>
              <w:bottom w:val="single" w:sz="4" w:space="0" w:color="auto"/>
              <w:right w:val="single" w:sz="4" w:space="0" w:color="auto"/>
            </w:tcBorders>
            <w:shd w:val="clear" w:color="auto" w:fill="auto"/>
            <w:noWrap/>
            <w:vAlign w:val="center"/>
            <w:hideMark/>
          </w:tcPr>
          <w:p w14:paraId="45F53854" w14:textId="12509929" w:rsidR="00553085" w:rsidRPr="00227215" w:rsidRDefault="003F5B57" w:rsidP="00553085">
            <w:pPr>
              <w:jc w:val="right"/>
              <w:rPr>
                <w:sz w:val="21"/>
                <w:szCs w:val="21"/>
                <w:lang w:eastAsia="en-CA"/>
              </w:rPr>
            </w:pPr>
            <w:r>
              <w:rPr>
                <w:sz w:val="21"/>
                <w:szCs w:val="21"/>
                <w:lang w:eastAsia="en-CA"/>
              </w:rPr>
              <w:t>0</w:t>
            </w:r>
          </w:p>
        </w:tc>
        <w:tc>
          <w:tcPr>
            <w:tcW w:w="1243" w:type="dxa"/>
            <w:tcBorders>
              <w:top w:val="nil"/>
              <w:left w:val="nil"/>
              <w:bottom w:val="single" w:sz="4" w:space="0" w:color="auto"/>
              <w:right w:val="single" w:sz="4" w:space="0" w:color="auto"/>
            </w:tcBorders>
            <w:shd w:val="clear" w:color="auto" w:fill="auto"/>
            <w:noWrap/>
            <w:vAlign w:val="center"/>
            <w:hideMark/>
          </w:tcPr>
          <w:p w14:paraId="6B7ED564" w14:textId="77777777" w:rsidR="00553085" w:rsidRPr="00227215" w:rsidRDefault="00553085" w:rsidP="00553085">
            <w:pPr>
              <w:jc w:val="right"/>
              <w:rPr>
                <w:sz w:val="21"/>
                <w:szCs w:val="21"/>
                <w:lang w:eastAsia="en-CA"/>
              </w:rPr>
            </w:pPr>
            <w:r w:rsidRPr="00227215">
              <w:rPr>
                <w:sz w:val="21"/>
                <w:szCs w:val="21"/>
                <w:lang w:eastAsia="en-CA"/>
              </w:rPr>
              <w:t>321</w:t>
            </w:r>
          </w:p>
        </w:tc>
        <w:tc>
          <w:tcPr>
            <w:tcW w:w="1243" w:type="dxa"/>
            <w:tcBorders>
              <w:top w:val="nil"/>
              <w:left w:val="nil"/>
              <w:bottom w:val="single" w:sz="4" w:space="0" w:color="auto"/>
              <w:right w:val="single" w:sz="4" w:space="0" w:color="auto"/>
            </w:tcBorders>
            <w:shd w:val="clear" w:color="auto" w:fill="auto"/>
            <w:noWrap/>
            <w:vAlign w:val="center"/>
            <w:hideMark/>
          </w:tcPr>
          <w:p w14:paraId="7BCD4639" w14:textId="391085F3" w:rsidR="00553085" w:rsidRPr="00227215" w:rsidRDefault="003F5B57" w:rsidP="00553085">
            <w:pPr>
              <w:jc w:val="right"/>
              <w:rPr>
                <w:sz w:val="21"/>
                <w:szCs w:val="21"/>
                <w:lang w:eastAsia="en-CA"/>
              </w:rPr>
            </w:pPr>
            <w:r>
              <w:rPr>
                <w:sz w:val="21"/>
                <w:szCs w:val="21"/>
                <w:lang w:eastAsia="en-CA"/>
              </w:rPr>
              <w:t>0</w:t>
            </w:r>
          </w:p>
        </w:tc>
      </w:tr>
      <w:tr w:rsidR="00553085" w:rsidRPr="00227215" w14:paraId="6FA1CBDA"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10DC0BC" w14:textId="77777777" w:rsidR="00553085" w:rsidRPr="00227215" w:rsidRDefault="00553085" w:rsidP="00553085">
            <w:pPr>
              <w:jc w:val="left"/>
              <w:rPr>
                <w:b/>
                <w:bCs/>
                <w:sz w:val="21"/>
                <w:szCs w:val="21"/>
                <w:lang w:eastAsia="en-CA"/>
              </w:rPr>
            </w:pPr>
            <w:r w:rsidRPr="00227215">
              <w:rPr>
                <w:b/>
                <w:bCs/>
                <w:sz w:val="21"/>
                <w:szCs w:val="21"/>
                <w:lang w:eastAsia="en-CA"/>
              </w:rPr>
              <w:t>HCFC activities subtotal</w:t>
            </w:r>
          </w:p>
        </w:tc>
        <w:tc>
          <w:tcPr>
            <w:tcW w:w="1242" w:type="dxa"/>
            <w:tcBorders>
              <w:top w:val="nil"/>
              <w:left w:val="nil"/>
              <w:bottom w:val="single" w:sz="4" w:space="0" w:color="auto"/>
              <w:right w:val="single" w:sz="4" w:space="0" w:color="auto"/>
            </w:tcBorders>
            <w:shd w:val="clear" w:color="auto" w:fill="auto"/>
            <w:noWrap/>
            <w:vAlign w:val="center"/>
            <w:hideMark/>
          </w:tcPr>
          <w:p w14:paraId="27A7C012" w14:textId="77777777" w:rsidR="00553085" w:rsidRPr="00227215" w:rsidRDefault="00553085" w:rsidP="00553085">
            <w:pPr>
              <w:jc w:val="right"/>
              <w:rPr>
                <w:b/>
                <w:bCs/>
                <w:sz w:val="21"/>
                <w:szCs w:val="21"/>
                <w:lang w:eastAsia="en-CA"/>
              </w:rPr>
            </w:pPr>
            <w:r w:rsidRPr="00227215">
              <w:rPr>
                <w:b/>
                <w:bCs/>
                <w:sz w:val="21"/>
                <w:szCs w:val="21"/>
                <w:lang w:eastAsia="en-CA"/>
              </w:rPr>
              <w:t>30,770</w:t>
            </w:r>
          </w:p>
        </w:tc>
        <w:tc>
          <w:tcPr>
            <w:tcW w:w="1243" w:type="dxa"/>
            <w:tcBorders>
              <w:top w:val="nil"/>
              <w:left w:val="nil"/>
              <w:bottom w:val="single" w:sz="4" w:space="0" w:color="auto"/>
              <w:right w:val="single" w:sz="4" w:space="0" w:color="auto"/>
            </w:tcBorders>
            <w:shd w:val="clear" w:color="auto" w:fill="auto"/>
            <w:noWrap/>
            <w:vAlign w:val="center"/>
            <w:hideMark/>
          </w:tcPr>
          <w:p w14:paraId="698028DC" w14:textId="77777777" w:rsidR="00553085" w:rsidRPr="00227215" w:rsidRDefault="00553085" w:rsidP="00553085">
            <w:pPr>
              <w:jc w:val="right"/>
              <w:rPr>
                <w:b/>
                <w:bCs/>
                <w:sz w:val="21"/>
                <w:szCs w:val="21"/>
                <w:lang w:eastAsia="en-CA"/>
              </w:rPr>
            </w:pPr>
            <w:r w:rsidRPr="00227215">
              <w:rPr>
                <w:b/>
                <w:bCs/>
                <w:sz w:val="21"/>
                <w:szCs w:val="21"/>
                <w:lang w:eastAsia="en-CA"/>
              </w:rPr>
              <w:t>8,992</w:t>
            </w:r>
          </w:p>
        </w:tc>
        <w:tc>
          <w:tcPr>
            <w:tcW w:w="1242" w:type="dxa"/>
            <w:tcBorders>
              <w:top w:val="nil"/>
              <w:left w:val="nil"/>
              <w:bottom w:val="single" w:sz="4" w:space="0" w:color="auto"/>
              <w:right w:val="single" w:sz="4" w:space="0" w:color="auto"/>
            </w:tcBorders>
            <w:shd w:val="clear" w:color="auto" w:fill="auto"/>
            <w:noWrap/>
            <w:vAlign w:val="center"/>
            <w:hideMark/>
          </w:tcPr>
          <w:p w14:paraId="74AC7435" w14:textId="77777777" w:rsidR="00553085" w:rsidRPr="00227215" w:rsidRDefault="00553085" w:rsidP="00553085">
            <w:pPr>
              <w:jc w:val="right"/>
              <w:rPr>
                <w:b/>
                <w:bCs/>
                <w:sz w:val="21"/>
                <w:szCs w:val="21"/>
                <w:lang w:eastAsia="en-CA"/>
              </w:rPr>
            </w:pPr>
            <w:r w:rsidRPr="00227215">
              <w:rPr>
                <w:b/>
                <w:bCs/>
                <w:sz w:val="21"/>
                <w:szCs w:val="21"/>
                <w:lang w:eastAsia="en-CA"/>
              </w:rPr>
              <w:t>25,085</w:t>
            </w:r>
          </w:p>
        </w:tc>
        <w:tc>
          <w:tcPr>
            <w:tcW w:w="1243" w:type="dxa"/>
            <w:tcBorders>
              <w:top w:val="nil"/>
              <w:left w:val="nil"/>
              <w:bottom w:val="single" w:sz="4" w:space="0" w:color="auto"/>
              <w:right w:val="single" w:sz="4" w:space="0" w:color="auto"/>
            </w:tcBorders>
            <w:shd w:val="clear" w:color="auto" w:fill="auto"/>
            <w:noWrap/>
            <w:vAlign w:val="center"/>
            <w:hideMark/>
          </w:tcPr>
          <w:p w14:paraId="16F311DD" w14:textId="77777777" w:rsidR="00553085" w:rsidRPr="00227215" w:rsidRDefault="00553085" w:rsidP="00553085">
            <w:pPr>
              <w:jc w:val="right"/>
              <w:rPr>
                <w:b/>
                <w:bCs/>
                <w:sz w:val="21"/>
                <w:szCs w:val="21"/>
                <w:lang w:eastAsia="en-CA"/>
              </w:rPr>
            </w:pPr>
            <w:r w:rsidRPr="00227215">
              <w:rPr>
                <w:b/>
                <w:bCs/>
                <w:sz w:val="21"/>
                <w:szCs w:val="21"/>
                <w:lang w:eastAsia="en-CA"/>
              </w:rPr>
              <w:t>64,847</w:t>
            </w:r>
          </w:p>
        </w:tc>
        <w:tc>
          <w:tcPr>
            <w:tcW w:w="1243" w:type="dxa"/>
            <w:tcBorders>
              <w:top w:val="nil"/>
              <w:left w:val="nil"/>
              <w:bottom w:val="single" w:sz="4" w:space="0" w:color="auto"/>
              <w:right w:val="single" w:sz="4" w:space="0" w:color="auto"/>
            </w:tcBorders>
            <w:shd w:val="clear" w:color="auto" w:fill="auto"/>
            <w:noWrap/>
            <w:vAlign w:val="center"/>
            <w:hideMark/>
          </w:tcPr>
          <w:p w14:paraId="06010176" w14:textId="77777777" w:rsidR="00553085" w:rsidRPr="00227215" w:rsidRDefault="00553085" w:rsidP="00553085">
            <w:pPr>
              <w:jc w:val="right"/>
              <w:rPr>
                <w:b/>
                <w:bCs/>
                <w:sz w:val="21"/>
                <w:szCs w:val="21"/>
                <w:lang w:eastAsia="en-CA"/>
              </w:rPr>
            </w:pPr>
            <w:r w:rsidRPr="00227215">
              <w:rPr>
                <w:b/>
                <w:bCs/>
                <w:sz w:val="21"/>
                <w:szCs w:val="21"/>
                <w:lang w:eastAsia="en-CA"/>
              </w:rPr>
              <w:t>9,844</w:t>
            </w:r>
          </w:p>
        </w:tc>
      </w:tr>
      <w:tr w:rsidR="00553085" w:rsidRPr="00227215" w14:paraId="50AED4C8" w14:textId="77777777" w:rsidTr="009871A8">
        <w:tc>
          <w:tcPr>
            <w:tcW w:w="94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66F0B" w14:textId="77777777" w:rsidR="00553085" w:rsidRPr="00227215" w:rsidRDefault="00553085" w:rsidP="00553085">
            <w:pPr>
              <w:jc w:val="left"/>
              <w:rPr>
                <w:b/>
                <w:bCs/>
                <w:sz w:val="21"/>
                <w:szCs w:val="21"/>
                <w:lang w:eastAsia="en-CA"/>
              </w:rPr>
            </w:pPr>
            <w:r w:rsidRPr="00227215">
              <w:rPr>
                <w:b/>
                <w:bCs/>
                <w:sz w:val="21"/>
                <w:szCs w:val="21"/>
                <w:lang w:eastAsia="en-CA"/>
              </w:rPr>
              <w:t>HFC activities</w:t>
            </w:r>
            <w:r w:rsidRPr="00227215">
              <w:rPr>
                <w:sz w:val="21"/>
                <w:szCs w:val="21"/>
                <w:lang w:eastAsia="en-CA"/>
              </w:rPr>
              <w:t> </w:t>
            </w:r>
          </w:p>
        </w:tc>
      </w:tr>
      <w:tr w:rsidR="00553085" w:rsidRPr="00227215" w14:paraId="4287B371"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E25EA0D" w14:textId="77777777" w:rsidR="00553085" w:rsidRPr="00227215" w:rsidRDefault="00EF6A82" w:rsidP="00EF6A82">
            <w:pPr>
              <w:jc w:val="left"/>
              <w:rPr>
                <w:sz w:val="21"/>
                <w:szCs w:val="21"/>
                <w:lang w:eastAsia="en-CA"/>
              </w:rPr>
            </w:pPr>
            <w:r>
              <w:rPr>
                <w:sz w:val="21"/>
                <w:szCs w:val="21"/>
                <w:lang w:eastAsia="en-CA"/>
              </w:rPr>
              <w:t xml:space="preserve">Kigali </w:t>
            </w:r>
            <w:r w:rsidR="00553085" w:rsidRPr="00227215">
              <w:rPr>
                <w:sz w:val="21"/>
                <w:szCs w:val="21"/>
                <w:lang w:eastAsia="en-CA"/>
              </w:rPr>
              <w:t xml:space="preserve">HFC </w:t>
            </w:r>
            <w:r>
              <w:rPr>
                <w:sz w:val="21"/>
                <w:szCs w:val="21"/>
                <w:lang w:eastAsia="en-CA"/>
              </w:rPr>
              <w:t>implementation plan (KIP)</w:t>
            </w:r>
            <w:r w:rsidR="00553085" w:rsidRPr="00227215">
              <w:rPr>
                <w:sz w:val="21"/>
                <w:szCs w:val="21"/>
                <w:lang w:eastAsia="en-CA"/>
              </w:rPr>
              <w:t xml:space="preserve"> preparation</w:t>
            </w:r>
          </w:p>
        </w:tc>
        <w:tc>
          <w:tcPr>
            <w:tcW w:w="1242" w:type="dxa"/>
            <w:tcBorders>
              <w:top w:val="nil"/>
              <w:left w:val="nil"/>
              <w:bottom w:val="single" w:sz="4" w:space="0" w:color="auto"/>
              <w:right w:val="single" w:sz="4" w:space="0" w:color="auto"/>
            </w:tcBorders>
            <w:shd w:val="clear" w:color="auto" w:fill="auto"/>
            <w:noWrap/>
            <w:vAlign w:val="center"/>
            <w:hideMark/>
          </w:tcPr>
          <w:p w14:paraId="6F90D60D" w14:textId="77777777" w:rsidR="00553085" w:rsidRPr="00227215" w:rsidRDefault="00553085" w:rsidP="00553085">
            <w:pPr>
              <w:jc w:val="right"/>
              <w:rPr>
                <w:sz w:val="21"/>
                <w:szCs w:val="21"/>
                <w:lang w:eastAsia="en-CA"/>
              </w:rPr>
            </w:pPr>
            <w:r w:rsidRPr="00227215">
              <w:rPr>
                <w:sz w:val="21"/>
                <w:szCs w:val="21"/>
                <w:lang w:eastAsia="en-CA"/>
              </w:rPr>
              <w:t>471</w:t>
            </w:r>
          </w:p>
        </w:tc>
        <w:tc>
          <w:tcPr>
            <w:tcW w:w="1243" w:type="dxa"/>
            <w:tcBorders>
              <w:top w:val="nil"/>
              <w:left w:val="nil"/>
              <w:bottom w:val="single" w:sz="4" w:space="0" w:color="auto"/>
              <w:right w:val="single" w:sz="4" w:space="0" w:color="auto"/>
            </w:tcBorders>
            <w:shd w:val="clear" w:color="auto" w:fill="auto"/>
            <w:noWrap/>
            <w:vAlign w:val="center"/>
            <w:hideMark/>
          </w:tcPr>
          <w:p w14:paraId="2270AF0E" w14:textId="49EF7CC4" w:rsidR="00553085" w:rsidRPr="00227215" w:rsidRDefault="003F5B57" w:rsidP="00553085">
            <w:pPr>
              <w:jc w:val="right"/>
              <w:rPr>
                <w:sz w:val="21"/>
                <w:szCs w:val="21"/>
                <w:lang w:eastAsia="en-CA"/>
              </w:rPr>
            </w:pPr>
            <w:r>
              <w:rPr>
                <w:sz w:val="21"/>
                <w:szCs w:val="21"/>
                <w:lang w:eastAsia="en-CA"/>
              </w:rPr>
              <w:t>0</w:t>
            </w:r>
          </w:p>
        </w:tc>
        <w:tc>
          <w:tcPr>
            <w:tcW w:w="1242" w:type="dxa"/>
            <w:tcBorders>
              <w:top w:val="nil"/>
              <w:left w:val="nil"/>
              <w:bottom w:val="single" w:sz="4" w:space="0" w:color="auto"/>
              <w:right w:val="single" w:sz="4" w:space="0" w:color="auto"/>
            </w:tcBorders>
            <w:shd w:val="clear" w:color="auto" w:fill="auto"/>
            <w:noWrap/>
            <w:vAlign w:val="center"/>
            <w:hideMark/>
          </w:tcPr>
          <w:p w14:paraId="57F86927" w14:textId="03923B9B" w:rsidR="00553085" w:rsidRPr="00227215" w:rsidRDefault="003F5B57" w:rsidP="00553085">
            <w:pPr>
              <w:jc w:val="right"/>
              <w:rPr>
                <w:sz w:val="21"/>
                <w:szCs w:val="21"/>
                <w:lang w:eastAsia="en-CA"/>
              </w:rPr>
            </w:pPr>
            <w:r>
              <w:rPr>
                <w:sz w:val="21"/>
                <w:szCs w:val="21"/>
                <w:lang w:eastAsia="en-CA"/>
              </w:rPr>
              <w:t>0</w:t>
            </w:r>
          </w:p>
        </w:tc>
        <w:tc>
          <w:tcPr>
            <w:tcW w:w="1243" w:type="dxa"/>
            <w:tcBorders>
              <w:top w:val="nil"/>
              <w:left w:val="nil"/>
              <w:bottom w:val="single" w:sz="4" w:space="0" w:color="auto"/>
              <w:right w:val="single" w:sz="4" w:space="0" w:color="auto"/>
            </w:tcBorders>
            <w:shd w:val="clear" w:color="auto" w:fill="auto"/>
            <w:noWrap/>
            <w:vAlign w:val="center"/>
            <w:hideMark/>
          </w:tcPr>
          <w:p w14:paraId="6FE6D86E" w14:textId="77777777" w:rsidR="00553085" w:rsidRPr="00227215" w:rsidRDefault="00553085" w:rsidP="00553085">
            <w:pPr>
              <w:jc w:val="right"/>
              <w:rPr>
                <w:sz w:val="21"/>
                <w:szCs w:val="21"/>
                <w:lang w:eastAsia="en-CA"/>
              </w:rPr>
            </w:pPr>
            <w:r w:rsidRPr="00227215">
              <w:rPr>
                <w:sz w:val="21"/>
                <w:szCs w:val="21"/>
                <w:lang w:eastAsia="en-CA"/>
              </w:rPr>
              <w:t>471</w:t>
            </w:r>
          </w:p>
        </w:tc>
        <w:tc>
          <w:tcPr>
            <w:tcW w:w="1243" w:type="dxa"/>
            <w:tcBorders>
              <w:top w:val="nil"/>
              <w:left w:val="nil"/>
              <w:bottom w:val="single" w:sz="4" w:space="0" w:color="auto"/>
              <w:right w:val="single" w:sz="4" w:space="0" w:color="auto"/>
            </w:tcBorders>
            <w:shd w:val="clear" w:color="auto" w:fill="auto"/>
            <w:noWrap/>
            <w:vAlign w:val="center"/>
            <w:hideMark/>
          </w:tcPr>
          <w:p w14:paraId="0609D6F2" w14:textId="1C0558F7" w:rsidR="00553085" w:rsidRPr="00227215" w:rsidRDefault="003F5B57" w:rsidP="00553085">
            <w:pPr>
              <w:jc w:val="right"/>
              <w:rPr>
                <w:sz w:val="21"/>
                <w:szCs w:val="21"/>
                <w:lang w:eastAsia="en-CA"/>
              </w:rPr>
            </w:pPr>
            <w:r>
              <w:rPr>
                <w:sz w:val="21"/>
                <w:szCs w:val="21"/>
                <w:lang w:eastAsia="en-CA"/>
              </w:rPr>
              <w:t>0</w:t>
            </w:r>
          </w:p>
        </w:tc>
      </w:tr>
      <w:tr w:rsidR="00553085" w:rsidRPr="00227215" w14:paraId="4D1531FA"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AFBD25C" w14:textId="3C57E558" w:rsidR="00553085" w:rsidRPr="00227215" w:rsidRDefault="00EF6A82" w:rsidP="00553085">
            <w:pPr>
              <w:jc w:val="left"/>
              <w:rPr>
                <w:sz w:val="21"/>
                <w:szCs w:val="21"/>
                <w:lang w:eastAsia="en-CA"/>
              </w:rPr>
            </w:pPr>
            <w:r>
              <w:rPr>
                <w:sz w:val="21"/>
                <w:szCs w:val="21"/>
                <w:lang w:eastAsia="en-CA"/>
              </w:rPr>
              <w:t>KIP</w:t>
            </w:r>
            <w:r w:rsidR="003F5B57">
              <w:rPr>
                <w:sz w:val="21"/>
                <w:szCs w:val="21"/>
                <w:lang w:eastAsia="en-CA"/>
              </w:rPr>
              <w:t>s</w:t>
            </w:r>
            <w:r w:rsidR="00553085" w:rsidRPr="00227215">
              <w:rPr>
                <w:sz w:val="21"/>
                <w:szCs w:val="21"/>
                <w:lang w:eastAsia="en-CA"/>
              </w:rPr>
              <w:t xml:space="preserve"> </w:t>
            </w:r>
          </w:p>
        </w:tc>
        <w:tc>
          <w:tcPr>
            <w:tcW w:w="1242" w:type="dxa"/>
            <w:tcBorders>
              <w:top w:val="nil"/>
              <w:left w:val="nil"/>
              <w:bottom w:val="single" w:sz="4" w:space="0" w:color="auto"/>
              <w:right w:val="single" w:sz="4" w:space="0" w:color="auto"/>
            </w:tcBorders>
            <w:shd w:val="clear" w:color="auto" w:fill="auto"/>
            <w:noWrap/>
            <w:vAlign w:val="center"/>
            <w:hideMark/>
          </w:tcPr>
          <w:p w14:paraId="59C20B3B" w14:textId="1432C34A" w:rsidR="00553085" w:rsidRPr="00227215" w:rsidRDefault="003F5B57" w:rsidP="00553085">
            <w:pPr>
              <w:jc w:val="right"/>
              <w:rPr>
                <w:sz w:val="21"/>
                <w:szCs w:val="21"/>
                <w:lang w:eastAsia="en-CA"/>
              </w:rPr>
            </w:pPr>
            <w:r>
              <w:rPr>
                <w:sz w:val="21"/>
                <w:szCs w:val="21"/>
                <w:lang w:eastAsia="en-CA"/>
              </w:rPr>
              <w:t>0</w:t>
            </w:r>
          </w:p>
        </w:tc>
        <w:tc>
          <w:tcPr>
            <w:tcW w:w="1243" w:type="dxa"/>
            <w:tcBorders>
              <w:top w:val="nil"/>
              <w:left w:val="nil"/>
              <w:bottom w:val="single" w:sz="4" w:space="0" w:color="auto"/>
              <w:right w:val="single" w:sz="4" w:space="0" w:color="auto"/>
            </w:tcBorders>
            <w:shd w:val="clear" w:color="auto" w:fill="auto"/>
            <w:noWrap/>
            <w:vAlign w:val="center"/>
            <w:hideMark/>
          </w:tcPr>
          <w:p w14:paraId="0435C15C" w14:textId="77777777" w:rsidR="00553085" w:rsidRPr="00227215" w:rsidRDefault="00553085" w:rsidP="00553085">
            <w:pPr>
              <w:jc w:val="right"/>
              <w:rPr>
                <w:sz w:val="21"/>
                <w:szCs w:val="21"/>
                <w:lang w:eastAsia="en-CA"/>
              </w:rPr>
            </w:pPr>
            <w:r w:rsidRPr="00227215">
              <w:rPr>
                <w:sz w:val="21"/>
                <w:szCs w:val="21"/>
                <w:lang w:eastAsia="en-CA"/>
              </w:rPr>
              <w:t>10,700</w:t>
            </w:r>
          </w:p>
        </w:tc>
        <w:tc>
          <w:tcPr>
            <w:tcW w:w="1242" w:type="dxa"/>
            <w:tcBorders>
              <w:top w:val="nil"/>
              <w:left w:val="nil"/>
              <w:bottom w:val="single" w:sz="4" w:space="0" w:color="auto"/>
              <w:right w:val="single" w:sz="4" w:space="0" w:color="auto"/>
            </w:tcBorders>
            <w:shd w:val="clear" w:color="auto" w:fill="auto"/>
            <w:noWrap/>
            <w:vAlign w:val="center"/>
            <w:hideMark/>
          </w:tcPr>
          <w:p w14:paraId="1D47A19E" w14:textId="7A7AB343" w:rsidR="00553085" w:rsidRPr="00227215" w:rsidRDefault="003F5B57" w:rsidP="00553085">
            <w:pPr>
              <w:jc w:val="right"/>
              <w:rPr>
                <w:sz w:val="21"/>
                <w:szCs w:val="21"/>
                <w:lang w:eastAsia="en-CA"/>
              </w:rPr>
            </w:pPr>
            <w:r>
              <w:rPr>
                <w:sz w:val="21"/>
                <w:szCs w:val="21"/>
                <w:lang w:eastAsia="en-CA"/>
              </w:rPr>
              <w:t>0</w:t>
            </w:r>
          </w:p>
        </w:tc>
        <w:tc>
          <w:tcPr>
            <w:tcW w:w="1243" w:type="dxa"/>
            <w:tcBorders>
              <w:top w:val="nil"/>
              <w:left w:val="nil"/>
              <w:bottom w:val="single" w:sz="4" w:space="0" w:color="auto"/>
              <w:right w:val="single" w:sz="4" w:space="0" w:color="auto"/>
            </w:tcBorders>
            <w:shd w:val="clear" w:color="auto" w:fill="auto"/>
            <w:noWrap/>
            <w:vAlign w:val="center"/>
            <w:hideMark/>
          </w:tcPr>
          <w:p w14:paraId="600FF0E8" w14:textId="77777777" w:rsidR="00553085" w:rsidRPr="00227215" w:rsidRDefault="00553085" w:rsidP="00553085">
            <w:pPr>
              <w:jc w:val="right"/>
              <w:rPr>
                <w:sz w:val="21"/>
                <w:szCs w:val="21"/>
                <w:lang w:eastAsia="en-CA"/>
              </w:rPr>
            </w:pPr>
            <w:r w:rsidRPr="00227215">
              <w:rPr>
                <w:sz w:val="21"/>
                <w:szCs w:val="21"/>
                <w:lang w:eastAsia="en-CA"/>
              </w:rPr>
              <w:t>10,700</w:t>
            </w:r>
          </w:p>
        </w:tc>
        <w:tc>
          <w:tcPr>
            <w:tcW w:w="1243" w:type="dxa"/>
            <w:tcBorders>
              <w:top w:val="nil"/>
              <w:left w:val="nil"/>
              <w:bottom w:val="single" w:sz="4" w:space="0" w:color="auto"/>
              <w:right w:val="single" w:sz="4" w:space="0" w:color="auto"/>
            </w:tcBorders>
            <w:shd w:val="clear" w:color="auto" w:fill="auto"/>
            <w:noWrap/>
            <w:vAlign w:val="center"/>
            <w:hideMark/>
          </w:tcPr>
          <w:p w14:paraId="5E99CB32" w14:textId="503C192F" w:rsidR="00553085" w:rsidRPr="00227215" w:rsidRDefault="003F5B57" w:rsidP="00553085">
            <w:pPr>
              <w:jc w:val="right"/>
              <w:rPr>
                <w:sz w:val="21"/>
                <w:szCs w:val="21"/>
                <w:lang w:eastAsia="en-CA"/>
              </w:rPr>
            </w:pPr>
            <w:r>
              <w:rPr>
                <w:sz w:val="21"/>
                <w:szCs w:val="21"/>
                <w:lang w:eastAsia="en-CA"/>
              </w:rPr>
              <w:t>0</w:t>
            </w:r>
          </w:p>
        </w:tc>
      </w:tr>
      <w:tr w:rsidR="00553085" w:rsidRPr="00227215" w14:paraId="5495F5B2"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12B247A" w14:textId="77777777" w:rsidR="00553085" w:rsidRPr="00227215" w:rsidRDefault="00553085" w:rsidP="00553085">
            <w:pPr>
              <w:jc w:val="left"/>
              <w:rPr>
                <w:b/>
                <w:bCs/>
                <w:sz w:val="21"/>
                <w:szCs w:val="21"/>
                <w:lang w:eastAsia="en-CA"/>
              </w:rPr>
            </w:pPr>
            <w:r w:rsidRPr="00227215">
              <w:rPr>
                <w:b/>
                <w:bCs/>
                <w:sz w:val="21"/>
                <w:szCs w:val="21"/>
                <w:lang w:eastAsia="en-CA"/>
              </w:rPr>
              <w:t>HFC activities subtotal</w:t>
            </w:r>
          </w:p>
        </w:tc>
        <w:tc>
          <w:tcPr>
            <w:tcW w:w="1242" w:type="dxa"/>
            <w:tcBorders>
              <w:top w:val="nil"/>
              <w:left w:val="nil"/>
              <w:bottom w:val="single" w:sz="4" w:space="0" w:color="auto"/>
              <w:right w:val="single" w:sz="4" w:space="0" w:color="auto"/>
            </w:tcBorders>
            <w:shd w:val="clear" w:color="auto" w:fill="auto"/>
            <w:noWrap/>
            <w:vAlign w:val="center"/>
            <w:hideMark/>
          </w:tcPr>
          <w:p w14:paraId="2F23424D" w14:textId="77777777" w:rsidR="00553085" w:rsidRPr="00227215" w:rsidRDefault="00553085" w:rsidP="00553085">
            <w:pPr>
              <w:jc w:val="right"/>
              <w:rPr>
                <w:b/>
                <w:bCs/>
                <w:sz w:val="21"/>
                <w:szCs w:val="21"/>
                <w:lang w:eastAsia="en-CA"/>
              </w:rPr>
            </w:pPr>
            <w:r w:rsidRPr="00227215">
              <w:rPr>
                <w:b/>
                <w:bCs/>
                <w:sz w:val="21"/>
                <w:szCs w:val="21"/>
                <w:lang w:eastAsia="en-CA"/>
              </w:rPr>
              <w:t>471</w:t>
            </w:r>
          </w:p>
        </w:tc>
        <w:tc>
          <w:tcPr>
            <w:tcW w:w="1243" w:type="dxa"/>
            <w:tcBorders>
              <w:top w:val="nil"/>
              <w:left w:val="nil"/>
              <w:bottom w:val="single" w:sz="4" w:space="0" w:color="auto"/>
              <w:right w:val="single" w:sz="4" w:space="0" w:color="auto"/>
            </w:tcBorders>
            <w:shd w:val="clear" w:color="auto" w:fill="auto"/>
            <w:noWrap/>
            <w:vAlign w:val="center"/>
            <w:hideMark/>
          </w:tcPr>
          <w:p w14:paraId="76B33F9D" w14:textId="77777777" w:rsidR="00553085" w:rsidRPr="00227215" w:rsidRDefault="00553085" w:rsidP="00553085">
            <w:pPr>
              <w:jc w:val="right"/>
              <w:rPr>
                <w:b/>
                <w:bCs/>
                <w:sz w:val="21"/>
                <w:szCs w:val="21"/>
                <w:lang w:eastAsia="en-CA"/>
              </w:rPr>
            </w:pPr>
            <w:r w:rsidRPr="00227215">
              <w:rPr>
                <w:b/>
                <w:bCs/>
                <w:sz w:val="21"/>
                <w:szCs w:val="21"/>
                <w:lang w:eastAsia="en-CA"/>
              </w:rPr>
              <w:t>10,700</w:t>
            </w:r>
          </w:p>
        </w:tc>
        <w:tc>
          <w:tcPr>
            <w:tcW w:w="1242" w:type="dxa"/>
            <w:tcBorders>
              <w:top w:val="nil"/>
              <w:left w:val="nil"/>
              <w:bottom w:val="single" w:sz="4" w:space="0" w:color="auto"/>
              <w:right w:val="single" w:sz="4" w:space="0" w:color="auto"/>
            </w:tcBorders>
            <w:shd w:val="clear" w:color="auto" w:fill="auto"/>
            <w:noWrap/>
            <w:vAlign w:val="center"/>
            <w:hideMark/>
          </w:tcPr>
          <w:p w14:paraId="559C5A5A" w14:textId="77777777" w:rsidR="00553085" w:rsidRPr="00227215" w:rsidRDefault="00553085" w:rsidP="00553085">
            <w:pPr>
              <w:jc w:val="right"/>
              <w:rPr>
                <w:b/>
                <w:bCs/>
                <w:sz w:val="21"/>
                <w:szCs w:val="21"/>
                <w:lang w:eastAsia="en-CA"/>
              </w:rPr>
            </w:pPr>
            <w:r w:rsidRPr="00227215">
              <w:rPr>
                <w:b/>
                <w:bCs/>
                <w:sz w:val="21"/>
                <w:szCs w:val="21"/>
                <w:lang w:eastAsia="en-CA"/>
              </w:rPr>
              <w:t>0</w:t>
            </w:r>
          </w:p>
        </w:tc>
        <w:tc>
          <w:tcPr>
            <w:tcW w:w="1243" w:type="dxa"/>
            <w:tcBorders>
              <w:top w:val="nil"/>
              <w:left w:val="nil"/>
              <w:bottom w:val="single" w:sz="4" w:space="0" w:color="auto"/>
              <w:right w:val="single" w:sz="4" w:space="0" w:color="auto"/>
            </w:tcBorders>
            <w:shd w:val="clear" w:color="auto" w:fill="auto"/>
            <w:noWrap/>
            <w:vAlign w:val="center"/>
            <w:hideMark/>
          </w:tcPr>
          <w:p w14:paraId="6A431352" w14:textId="77777777" w:rsidR="00553085" w:rsidRPr="00227215" w:rsidRDefault="00553085" w:rsidP="00553085">
            <w:pPr>
              <w:jc w:val="right"/>
              <w:rPr>
                <w:b/>
                <w:bCs/>
                <w:sz w:val="21"/>
                <w:szCs w:val="21"/>
                <w:lang w:eastAsia="en-CA"/>
              </w:rPr>
            </w:pPr>
            <w:r w:rsidRPr="00227215">
              <w:rPr>
                <w:b/>
                <w:bCs/>
                <w:sz w:val="21"/>
                <w:szCs w:val="21"/>
                <w:lang w:eastAsia="en-CA"/>
              </w:rPr>
              <w:t>11,171</w:t>
            </w:r>
          </w:p>
        </w:tc>
        <w:tc>
          <w:tcPr>
            <w:tcW w:w="1243" w:type="dxa"/>
            <w:tcBorders>
              <w:top w:val="nil"/>
              <w:left w:val="nil"/>
              <w:bottom w:val="single" w:sz="4" w:space="0" w:color="auto"/>
              <w:right w:val="single" w:sz="4" w:space="0" w:color="auto"/>
            </w:tcBorders>
            <w:shd w:val="clear" w:color="auto" w:fill="auto"/>
            <w:noWrap/>
            <w:vAlign w:val="center"/>
            <w:hideMark/>
          </w:tcPr>
          <w:p w14:paraId="2A492ED2" w14:textId="77777777" w:rsidR="00553085" w:rsidRPr="00227215" w:rsidRDefault="00553085" w:rsidP="00553085">
            <w:pPr>
              <w:jc w:val="right"/>
              <w:rPr>
                <w:b/>
                <w:bCs/>
                <w:sz w:val="21"/>
                <w:szCs w:val="21"/>
                <w:lang w:eastAsia="en-CA"/>
              </w:rPr>
            </w:pPr>
            <w:r w:rsidRPr="00227215">
              <w:rPr>
                <w:b/>
                <w:bCs/>
                <w:sz w:val="21"/>
                <w:szCs w:val="21"/>
                <w:lang w:eastAsia="en-CA"/>
              </w:rPr>
              <w:t>0</w:t>
            </w:r>
          </w:p>
        </w:tc>
      </w:tr>
      <w:tr w:rsidR="00553085" w:rsidRPr="00227215" w14:paraId="41968AAE" w14:textId="77777777" w:rsidTr="009871A8">
        <w:tc>
          <w:tcPr>
            <w:tcW w:w="94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F8B7A" w14:textId="77777777" w:rsidR="00553085" w:rsidRPr="00227215" w:rsidRDefault="00553085" w:rsidP="00553085">
            <w:pPr>
              <w:jc w:val="left"/>
              <w:rPr>
                <w:b/>
                <w:bCs/>
                <w:sz w:val="21"/>
                <w:szCs w:val="21"/>
                <w:lang w:eastAsia="en-CA"/>
              </w:rPr>
            </w:pPr>
            <w:r w:rsidRPr="00227215">
              <w:rPr>
                <w:b/>
                <w:bCs/>
                <w:sz w:val="21"/>
                <w:szCs w:val="21"/>
                <w:lang w:eastAsia="en-CA"/>
              </w:rPr>
              <w:t>Standard activities</w:t>
            </w:r>
          </w:p>
        </w:tc>
      </w:tr>
      <w:tr w:rsidR="00553085" w:rsidRPr="00227215" w14:paraId="662867D6"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7531A5D" w14:textId="77777777" w:rsidR="00553085" w:rsidRPr="00227215" w:rsidRDefault="00553085" w:rsidP="00553085">
            <w:pPr>
              <w:jc w:val="left"/>
              <w:rPr>
                <w:sz w:val="21"/>
                <w:szCs w:val="21"/>
                <w:lang w:eastAsia="en-CA"/>
              </w:rPr>
            </w:pPr>
            <w:r w:rsidRPr="00227215">
              <w:rPr>
                <w:sz w:val="21"/>
                <w:szCs w:val="21"/>
                <w:lang w:eastAsia="en-CA"/>
              </w:rPr>
              <w:t>Core unit</w:t>
            </w:r>
          </w:p>
        </w:tc>
        <w:tc>
          <w:tcPr>
            <w:tcW w:w="1242" w:type="dxa"/>
            <w:tcBorders>
              <w:top w:val="nil"/>
              <w:left w:val="nil"/>
              <w:bottom w:val="single" w:sz="4" w:space="0" w:color="auto"/>
              <w:right w:val="single" w:sz="4" w:space="0" w:color="auto"/>
            </w:tcBorders>
            <w:shd w:val="clear" w:color="auto" w:fill="auto"/>
            <w:noWrap/>
            <w:vAlign w:val="center"/>
            <w:hideMark/>
          </w:tcPr>
          <w:p w14:paraId="5A2743DD" w14:textId="77777777" w:rsidR="00553085" w:rsidRPr="00227215" w:rsidRDefault="00553085" w:rsidP="00553085">
            <w:pPr>
              <w:jc w:val="right"/>
              <w:rPr>
                <w:sz w:val="21"/>
                <w:szCs w:val="21"/>
                <w:lang w:eastAsia="en-CA"/>
              </w:rPr>
            </w:pPr>
            <w:r w:rsidRPr="00227215">
              <w:rPr>
                <w:sz w:val="21"/>
                <w:szCs w:val="21"/>
                <w:lang w:eastAsia="en-CA"/>
              </w:rPr>
              <w:t>1,759</w:t>
            </w:r>
          </w:p>
        </w:tc>
        <w:tc>
          <w:tcPr>
            <w:tcW w:w="1243" w:type="dxa"/>
            <w:tcBorders>
              <w:top w:val="nil"/>
              <w:left w:val="nil"/>
              <w:bottom w:val="single" w:sz="4" w:space="0" w:color="auto"/>
              <w:right w:val="single" w:sz="4" w:space="0" w:color="auto"/>
            </w:tcBorders>
            <w:shd w:val="clear" w:color="auto" w:fill="auto"/>
            <w:noWrap/>
            <w:vAlign w:val="center"/>
            <w:hideMark/>
          </w:tcPr>
          <w:p w14:paraId="2F636C93" w14:textId="77777777" w:rsidR="00553085" w:rsidRPr="00227215" w:rsidRDefault="00553085" w:rsidP="00553085">
            <w:pPr>
              <w:jc w:val="right"/>
              <w:rPr>
                <w:sz w:val="21"/>
                <w:szCs w:val="21"/>
                <w:lang w:eastAsia="en-CA"/>
              </w:rPr>
            </w:pPr>
            <w:r w:rsidRPr="00227215">
              <w:rPr>
                <w:sz w:val="21"/>
                <w:szCs w:val="21"/>
                <w:lang w:eastAsia="en-CA"/>
              </w:rPr>
              <w:t>1,772</w:t>
            </w:r>
          </w:p>
        </w:tc>
        <w:tc>
          <w:tcPr>
            <w:tcW w:w="1242" w:type="dxa"/>
            <w:tcBorders>
              <w:top w:val="nil"/>
              <w:left w:val="nil"/>
              <w:bottom w:val="single" w:sz="4" w:space="0" w:color="auto"/>
              <w:right w:val="single" w:sz="4" w:space="0" w:color="auto"/>
            </w:tcBorders>
            <w:shd w:val="clear" w:color="auto" w:fill="auto"/>
            <w:noWrap/>
            <w:vAlign w:val="center"/>
            <w:hideMark/>
          </w:tcPr>
          <w:p w14:paraId="1448FD7A" w14:textId="77777777" w:rsidR="00553085" w:rsidRPr="00227215" w:rsidRDefault="00553085" w:rsidP="00553085">
            <w:pPr>
              <w:jc w:val="right"/>
              <w:rPr>
                <w:sz w:val="21"/>
                <w:szCs w:val="21"/>
                <w:lang w:eastAsia="en-CA"/>
              </w:rPr>
            </w:pPr>
            <w:r w:rsidRPr="00227215">
              <w:rPr>
                <w:sz w:val="21"/>
                <w:szCs w:val="21"/>
                <w:lang w:eastAsia="en-CA"/>
              </w:rPr>
              <w:t>1,784</w:t>
            </w:r>
          </w:p>
        </w:tc>
        <w:tc>
          <w:tcPr>
            <w:tcW w:w="1243" w:type="dxa"/>
            <w:tcBorders>
              <w:top w:val="nil"/>
              <w:left w:val="nil"/>
              <w:bottom w:val="single" w:sz="4" w:space="0" w:color="auto"/>
              <w:right w:val="single" w:sz="4" w:space="0" w:color="auto"/>
            </w:tcBorders>
            <w:shd w:val="clear" w:color="auto" w:fill="auto"/>
            <w:noWrap/>
            <w:vAlign w:val="center"/>
            <w:hideMark/>
          </w:tcPr>
          <w:p w14:paraId="4F30DC07" w14:textId="77777777" w:rsidR="00553085" w:rsidRPr="00227215" w:rsidRDefault="00553085" w:rsidP="00553085">
            <w:pPr>
              <w:jc w:val="right"/>
              <w:rPr>
                <w:sz w:val="21"/>
                <w:szCs w:val="21"/>
                <w:lang w:eastAsia="en-CA"/>
              </w:rPr>
            </w:pPr>
            <w:r w:rsidRPr="00227215">
              <w:rPr>
                <w:sz w:val="21"/>
                <w:szCs w:val="21"/>
                <w:lang w:eastAsia="en-CA"/>
              </w:rPr>
              <w:t>5,315</w:t>
            </w:r>
          </w:p>
        </w:tc>
        <w:tc>
          <w:tcPr>
            <w:tcW w:w="1243" w:type="dxa"/>
            <w:tcBorders>
              <w:top w:val="nil"/>
              <w:left w:val="nil"/>
              <w:bottom w:val="single" w:sz="4" w:space="0" w:color="auto"/>
              <w:right w:val="single" w:sz="4" w:space="0" w:color="auto"/>
            </w:tcBorders>
            <w:shd w:val="clear" w:color="auto" w:fill="auto"/>
            <w:noWrap/>
            <w:vAlign w:val="center"/>
            <w:hideMark/>
          </w:tcPr>
          <w:p w14:paraId="2075E6EA" w14:textId="2C9F060E" w:rsidR="00553085" w:rsidRPr="00227215" w:rsidRDefault="003F5B57" w:rsidP="00553085">
            <w:pPr>
              <w:jc w:val="right"/>
              <w:rPr>
                <w:sz w:val="21"/>
                <w:szCs w:val="21"/>
                <w:lang w:eastAsia="en-CA"/>
              </w:rPr>
            </w:pPr>
            <w:r>
              <w:rPr>
                <w:sz w:val="21"/>
                <w:szCs w:val="21"/>
                <w:lang w:eastAsia="en-CA"/>
              </w:rPr>
              <w:t>0</w:t>
            </w:r>
          </w:p>
        </w:tc>
      </w:tr>
      <w:tr w:rsidR="00553085" w:rsidRPr="00227215" w14:paraId="5726B8A9"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7246BDD" w14:textId="77C8A5DD" w:rsidR="00553085" w:rsidRPr="00227215" w:rsidRDefault="00553085" w:rsidP="00553085">
            <w:pPr>
              <w:jc w:val="left"/>
              <w:rPr>
                <w:sz w:val="21"/>
                <w:szCs w:val="21"/>
                <w:lang w:eastAsia="en-CA"/>
              </w:rPr>
            </w:pPr>
            <w:r w:rsidRPr="00227215">
              <w:rPr>
                <w:sz w:val="21"/>
                <w:szCs w:val="21"/>
                <w:lang w:eastAsia="en-CA"/>
              </w:rPr>
              <w:lastRenderedPageBreak/>
              <w:t>Institutional strengthening</w:t>
            </w:r>
          </w:p>
        </w:tc>
        <w:tc>
          <w:tcPr>
            <w:tcW w:w="1242" w:type="dxa"/>
            <w:tcBorders>
              <w:top w:val="nil"/>
              <w:left w:val="nil"/>
              <w:bottom w:val="single" w:sz="4" w:space="0" w:color="auto"/>
              <w:right w:val="single" w:sz="4" w:space="0" w:color="auto"/>
            </w:tcBorders>
            <w:shd w:val="clear" w:color="auto" w:fill="auto"/>
            <w:noWrap/>
            <w:vAlign w:val="center"/>
            <w:hideMark/>
          </w:tcPr>
          <w:p w14:paraId="0B4ABF13" w14:textId="77777777" w:rsidR="00553085" w:rsidRPr="00227215" w:rsidRDefault="00553085" w:rsidP="00553085">
            <w:pPr>
              <w:jc w:val="right"/>
              <w:rPr>
                <w:sz w:val="21"/>
                <w:szCs w:val="21"/>
                <w:lang w:eastAsia="en-CA"/>
              </w:rPr>
            </w:pPr>
            <w:r w:rsidRPr="00227215">
              <w:rPr>
                <w:sz w:val="21"/>
                <w:szCs w:val="21"/>
                <w:lang w:eastAsia="en-CA"/>
              </w:rPr>
              <w:t>202</w:t>
            </w:r>
          </w:p>
        </w:tc>
        <w:tc>
          <w:tcPr>
            <w:tcW w:w="1243" w:type="dxa"/>
            <w:tcBorders>
              <w:top w:val="nil"/>
              <w:left w:val="nil"/>
              <w:bottom w:val="single" w:sz="4" w:space="0" w:color="auto"/>
              <w:right w:val="single" w:sz="4" w:space="0" w:color="auto"/>
            </w:tcBorders>
            <w:shd w:val="clear" w:color="auto" w:fill="auto"/>
            <w:noWrap/>
            <w:vAlign w:val="center"/>
            <w:hideMark/>
          </w:tcPr>
          <w:p w14:paraId="4D9101CF" w14:textId="77777777" w:rsidR="00553085" w:rsidRPr="00227215" w:rsidRDefault="00553085" w:rsidP="00553085">
            <w:pPr>
              <w:jc w:val="right"/>
              <w:rPr>
                <w:sz w:val="21"/>
                <w:szCs w:val="21"/>
                <w:lang w:eastAsia="en-CA"/>
              </w:rPr>
            </w:pPr>
            <w:r w:rsidRPr="00227215">
              <w:rPr>
                <w:sz w:val="21"/>
                <w:szCs w:val="21"/>
                <w:lang w:eastAsia="en-CA"/>
              </w:rPr>
              <w:t>475</w:t>
            </w:r>
          </w:p>
        </w:tc>
        <w:tc>
          <w:tcPr>
            <w:tcW w:w="1242" w:type="dxa"/>
            <w:tcBorders>
              <w:top w:val="nil"/>
              <w:left w:val="nil"/>
              <w:bottom w:val="single" w:sz="4" w:space="0" w:color="auto"/>
              <w:right w:val="single" w:sz="4" w:space="0" w:color="auto"/>
            </w:tcBorders>
            <w:shd w:val="clear" w:color="auto" w:fill="auto"/>
            <w:noWrap/>
            <w:vAlign w:val="center"/>
            <w:hideMark/>
          </w:tcPr>
          <w:p w14:paraId="4EFF4E18" w14:textId="77777777" w:rsidR="00553085" w:rsidRPr="00227215" w:rsidRDefault="00553085" w:rsidP="00553085">
            <w:pPr>
              <w:jc w:val="right"/>
              <w:rPr>
                <w:sz w:val="21"/>
                <w:szCs w:val="21"/>
                <w:lang w:eastAsia="en-CA"/>
              </w:rPr>
            </w:pPr>
            <w:r w:rsidRPr="00227215">
              <w:rPr>
                <w:sz w:val="21"/>
                <w:szCs w:val="21"/>
                <w:lang w:eastAsia="en-CA"/>
              </w:rPr>
              <w:t>202</w:t>
            </w:r>
          </w:p>
        </w:tc>
        <w:tc>
          <w:tcPr>
            <w:tcW w:w="1243" w:type="dxa"/>
            <w:tcBorders>
              <w:top w:val="nil"/>
              <w:left w:val="nil"/>
              <w:bottom w:val="single" w:sz="4" w:space="0" w:color="auto"/>
              <w:right w:val="single" w:sz="4" w:space="0" w:color="auto"/>
            </w:tcBorders>
            <w:shd w:val="clear" w:color="auto" w:fill="auto"/>
            <w:noWrap/>
            <w:vAlign w:val="center"/>
            <w:hideMark/>
          </w:tcPr>
          <w:p w14:paraId="3363DE23" w14:textId="77777777" w:rsidR="00553085" w:rsidRPr="00227215" w:rsidRDefault="00553085" w:rsidP="00553085">
            <w:pPr>
              <w:jc w:val="right"/>
              <w:rPr>
                <w:sz w:val="21"/>
                <w:szCs w:val="21"/>
                <w:lang w:eastAsia="en-CA"/>
              </w:rPr>
            </w:pPr>
            <w:r w:rsidRPr="00227215">
              <w:rPr>
                <w:sz w:val="21"/>
                <w:szCs w:val="21"/>
                <w:lang w:eastAsia="en-CA"/>
              </w:rPr>
              <w:t>878</w:t>
            </w:r>
          </w:p>
        </w:tc>
        <w:tc>
          <w:tcPr>
            <w:tcW w:w="1243" w:type="dxa"/>
            <w:tcBorders>
              <w:top w:val="nil"/>
              <w:left w:val="nil"/>
              <w:bottom w:val="single" w:sz="4" w:space="0" w:color="auto"/>
              <w:right w:val="single" w:sz="4" w:space="0" w:color="auto"/>
            </w:tcBorders>
            <w:shd w:val="clear" w:color="auto" w:fill="auto"/>
            <w:noWrap/>
            <w:vAlign w:val="center"/>
            <w:hideMark/>
          </w:tcPr>
          <w:p w14:paraId="194DC261" w14:textId="6BB802BA" w:rsidR="00553085" w:rsidRPr="00227215" w:rsidRDefault="003F5B57" w:rsidP="00553085">
            <w:pPr>
              <w:jc w:val="right"/>
              <w:rPr>
                <w:sz w:val="21"/>
                <w:szCs w:val="21"/>
                <w:lang w:eastAsia="en-CA"/>
              </w:rPr>
            </w:pPr>
            <w:r>
              <w:rPr>
                <w:sz w:val="21"/>
                <w:szCs w:val="21"/>
                <w:lang w:eastAsia="en-CA"/>
              </w:rPr>
              <w:t>0</w:t>
            </w:r>
          </w:p>
        </w:tc>
      </w:tr>
      <w:tr w:rsidR="00553085" w:rsidRPr="00227215" w14:paraId="432FD3E6"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38718CB" w14:textId="77777777" w:rsidR="00553085" w:rsidRPr="00227215" w:rsidRDefault="00553085" w:rsidP="00553085">
            <w:pPr>
              <w:jc w:val="left"/>
              <w:rPr>
                <w:b/>
                <w:bCs/>
                <w:sz w:val="21"/>
                <w:szCs w:val="21"/>
                <w:lang w:eastAsia="en-CA"/>
              </w:rPr>
            </w:pPr>
            <w:r w:rsidRPr="00227215">
              <w:rPr>
                <w:b/>
                <w:bCs/>
                <w:sz w:val="21"/>
                <w:szCs w:val="21"/>
                <w:lang w:eastAsia="en-CA"/>
              </w:rPr>
              <w:t>Standard activities subtotal</w:t>
            </w:r>
          </w:p>
        </w:tc>
        <w:tc>
          <w:tcPr>
            <w:tcW w:w="1242" w:type="dxa"/>
            <w:tcBorders>
              <w:top w:val="nil"/>
              <w:left w:val="nil"/>
              <w:bottom w:val="single" w:sz="4" w:space="0" w:color="auto"/>
              <w:right w:val="single" w:sz="4" w:space="0" w:color="auto"/>
            </w:tcBorders>
            <w:shd w:val="clear" w:color="auto" w:fill="auto"/>
            <w:noWrap/>
            <w:vAlign w:val="center"/>
            <w:hideMark/>
          </w:tcPr>
          <w:p w14:paraId="70CEDEB6" w14:textId="77777777" w:rsidR="00553085" w:rsidRPr="00227215" w:rsidRDefault="00553085" w:rsidP="00553085">
            <w:pPr>
              <w:jc w:val="right"/>
              <w:rPr>
                <w:b/>
                <w:bCs/>
                <w:sz w:val="21"/>
                <w:szCs w:val="21"/>
                <w:lang w:eastAsia="en-CA"/>
              </w:rPr>
            </w:pPr>
            <w:r w:rsidRPr="00227215">
              <w:rPr>
                <w:b/>
                <w:bCs/>
                <w:sz w:val="21"/>
                <w:szCs w:val="21"/>
                <w:lang w:eastAsia="en-CA"/>
              </w:rPr>
              <w:t>1,961</w:t>
            </w:r>
          </w:p>
        </w:tc>
        <w:tc>
          <w:tcPr>
            <w:tcW w:w="1243" w:type="dxa"/>
            <w:tcBorders>
              <w:top w:val="nil"/>
              <w:left w:val="nil"/>
              <w:bottom w:val="single" w:sz="4" w:space="0" w:color="auto"/>
              <w:right w:val="single" w:sz="4" w:space="0" w:color="auto"/>
            </w:tcBorders>
            <w:shd w:val="clear" w:color="auto" w:fill="auto"/>
            <w:noWrap/>
            <w:vAlign w:val="center"/>
            <w:hideMark/>
          </w:tcPr>
          <w:p w14:paraId="4B42EA72" w14:textId="77777777" w:rsidR="00553085" w:rsidRPr="00227215" w:rsidRDefault="00553085" w:rsidP="00553085">
            <w:pPr>
              <w:jc w:val="right"/>
              <w:rPr>
                <w:b/>
                <w:bCs/>
                <w:sz w:val="21"/>
                <w:szCs w:val="21"/>
                <w:lang w:eastAsia="en-CA"/>
              </w:rPr>
            </w:pPr>
            <w:r w:rsidRPr="00227215">
              <w:rPr>
                <w:b/>
                <w:bCs/>
                <w:sz w:val="21"/>
                <w:szCs w:val="21"/>
                <w:lang w:eastAsia="en-CA"/>
              </w:rPr>
              <w:t>2,246</w:t>
            </w:r>
          </w:p>
        </w:tc>
        <w:tc>
          <w:tcPr>
            <w:tcW w:w="1242" w:type="dxa"/>
            <w:tcBorders>
              <w:top w:val="nil"/>
              <w:left w:val="nil"/>
              <w:bottom w:val="single" w:sz="4" w:space="0" w:color="auto"/>
              <w:right w:val="single" w:sz="4" w:space="0" w:color="auto"/>
            </w:tcBorders>
            <w:shd w:val="clear" w:color="auto" w:fill="auto"/>
            <w:noWrap/>
            <w:vAlign w:val="center"/>
            <w:hideMark/>
          </w:tcPr>
          <w:p w14:paraId="6128FAD8" w14:textId="77777777" w:rsidR="00553085" w:rsidRPr="00227215" w:rsidRDefault="00553085" w:rsidP="00553085">
            <w:pPr>
              <w:jc w:val="right"/>
              <w:rPr>
                <w:b/>
                <w:bCs/>
                <w:sz w:val="21"/>
                <w:szCs w:val="21"/>
                <w:lang w:eastAsia="en-CA"/>
              </w:rPr>
            </w:pPr>
            <w:r w:rsidRPr="00227215">
              <w:rPr>
                <w:b/>
                <w:bCs/>
                <w:sz w:val="21"/>
                <w:szCs w:val="21"/>
                <w:lang w:eastAsia="en-CA"/>
              </w:rPr>
              <w:t>1,986</w:t>
            </w:r>
          </w:p>
        </w:tc>
        <w:tc>
          <w:tcPr>
            <w:tcW w:w="1243" w:type="dxa"/>
            <w:tcBorders>
              <w:top w:val="nil"/>
              <w:left w:val="nil"/>
              <w:bottom w:val="single" w:sz="4" w:space="0" w:color="auto"/>
              <w:right w:val="single" w:sz="4" w:space="0" w:color="auto"/>
            </w:tcBorders>
            <w:shd w:val="clear" w:color="auto" w:fill="auto"/>
            <w:noWrap/>
            <w:vAlign w:val="center"/>
            <w:hideMark/>
          </w:tcPr>
          <w:p w14:paraId="7C2C0BBA" w14:textId="77777777" w:rsidR="00553085" w:rsidRPr="00227215" w:rsidRDefault="00553085" w:rsidP="00553085">
            <w:pPr>
              <w:jc w:val="right"/>
              <w:rPr>
                <w:b/>
                <w:bCs/>
                <w:sz w:val="21"/>
                <w:szCs w:val="21"/>
                <w:lang w:eastAsia="en-CA"/>
              </w:rPr>
            </w:pPr>
            <w:r w:rsidRPr="00227215">
              <w:rPr>
                <w:b/>
                <w:bCs/>
                <w:sz w:val="21"/>
                <w:szCs w:val="21"/>
                <w:lang w:eastAsia="en-CA"/>
              </w:rPr>
              <w:t>6,194</w:t>
            </w:r>
          </w:p>
        </w:tc>
        <w:tc>
          <w:tcPr>
            <w:tcW w:w="1243" w:type="dxa"/>
            <w:tcBorders>
              <w:top w:val="nil"/>
              <w:left w:val="nil"/>
              <w:bottom w:val="single" w:sz="4" w:space="0" w:color="auto"/>
              <w:right w:val="single" w:sz="4" w:space="0" w:color="auto"/>
            </w:tcBorders>
            <w:shd w:val="clear" w:color="auto" w:fill="auto"/>
            <w:noWrap/>
            <w:vAlign w:val="center"/>
            <w:hideMark/>
          </w:tcPr>
          <w:p w14:paraId="40CAE7EA" w14:textId="77777777" w:rsidR="00553085" w:rsidRPr="00227215" w:rsidRDefault="00553085" w:rsidP="00553085">
            <w:pPr>
              <w:jc w:val="right"/>
              <w:rPr>
                <w:b/>
                <w:bCs/>
                <w:sz w:val="21"/>
                <w:szCs w:val="21"/>
                <w:lang w:eastAsia="en-CA"/>
              </w:rPr>
            </w:pPr>
            <w:r w:rsidRPr="00227215">
              <w:rPr>
                <w:b/>
                <w:bCs/>
                <w:sz w:val="21"/>
                <w:szCs w:val="21"/>
                <w:lang w:eastAsia="en-CA"/>
              </w:rPr>
              <w:t>0</w:t>
            </w:r>
          </w:p>
        </w:tc>
      </w:tr>
      <w:tr w:rsidR="00553085" w:rsidRPr="00227215" w14:paraId="345BBF9D" w14:textId="77777777" w:rsidTr="009871A8">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CE0FADE" w14:textId="77777777" w:rsidR="00553085" w:rsidRPr="00227215" w:rsidRDefault="00553085" w:rsidP="00553085">
            <w:pPr>
              <w:jc w:val="left"/>
              <w:rPr>
                <w:b/>
                <w:bCs/>
                <w:sz w:val="21"/>
                <w:szCs w:val="21"/>
                <w:lang w:eastAsia="en-CA"/>
              </w:rPr>
            </w:pPr>
            <w:r w:rsidRPr="00227215">
              <w:rPr>
                <w:b/>
                <w:bCs/>
                <w:sz w:val="21"/>
                <w:szCs w:val="21"/>
                <w:lang w:eastAsia="en-CA"/>
              </w:rPr>
              <w:t>Total</w:t>
            </w:r>
          </w:p>
        </w:tc>
        <w:tc>
          <w:tcPr>
            <w:tcW w:w="1242" w:type="dxa"/>
            <w:tcBorders>
              <w:top w:val="nil"/>
              <w:left w:val="nil"/>
              <w:bottom w:val="single" w:sz="4" w:space="0" w:color="auto"/>
              <w:right w:val="single" w:sz="4" w:space="0" w:color="auto"/>
            </w:tcBorders>
            <w:shd w:val="clear" w:color="auto" w:fill="auto"/>
            <w:noWrap/>
            <w:vAlign w:val="center"/>
            <w:hideMark/>
          </w:tcPr>
          <w:p w14:paraId="7E04E818" w14:textId="77777777" w:rsidR="00553085" w:rsidRPr="00227215" w:rsidRDefault="00553085" w:rsidP="00553085">
            <w:pPr>
              <w:jc w:val="right"/>
              <w:rPr>
                <w:b/>
                <w:bCs/>
                <w:sz w:val="21"/>
                <w:szCs w:val="21"/>
                <w:lang w:eastAsia="en-CA"/>
              </w:rPr>
            </w:pPr>
            <w:r w:rsidRPr="00227215">
              <w:rPr>
                <w:b/>
                <w:bCs/>
                <w:sz w:val="21"/>
                <w:szCs w:val="21"/>
                <w:lang w:eastAsia="en-CA"/>
              </w:rPr>
              <w:t>33,202</w:t>
            </w:r>
          </w:p>
        </w:tc>
        <w:tc>
          <w:tcPr>
            <w:tcW w:w="1243" w:type="dxa"/>
            <w:tcBorders>
              <w:top w:val="nil"/>
              <w:left w:val="nil"/>
              <w:bottom w:val="single" w:sz="4" w:space="0" w:color="auto"/>
              <w:right w:val="single" w:sz="4" w:space="0" w:color="auto"/>
            </w:tcBorders>
            <w:shd w:val="clear" w:color="auto" w:fill="auto"/>
            <w:noWrap/>
            <w:vAlign w:val="center"/>
            <w:hideMark/>
          </w:tcPr>
          <w:p w14:paraId="1D48CB92" w14:textId="77777777" w:rsidR="00553085" w:rsidRPr="00227215" w:rsidRDefault="00553085" w:rsidP="00553085">
            <w:pPr>
              <w:jc w:val="right"/>
              <w:rPr>
                <w:b/>
                <w:bCs/>
                <w:sz w:val="21"/>
                <w:szCs w:val="21"/>
                <w:lang w:eastAsia="en-CA"/>
              </w:rPr>
            </w:pPr>
            <w:r w:rsidRPr="00227215">
              <w:rPr>
                <w:b/>
                <w:bCs/>
                <w:sz w:val="21"/>
                <w:szCs w:val="21"/>
                <w:lang w:eastAsia="en-CA"/>
              </w:rPr>
              <w:t>21,938</w:t>
            </w:r>
          </w:p>
        </w:tc>
        <w:tc>
          <w:tcPr>
            <w:tcW w:w="1242" w:type="dxa"/>
            <w:tcBorders>
              <w:top w:val="nil"/>
              <w:left w:val="nil"/>
              <w:bottom w:val="single" w:sz="4" w:space="0" w:color="auto"/>
              <w:right w:val="single" w:sz="4" w:space="0" w:color="auto"/>
            </w:tcBorders>
            <w:shd w:val="clear" w:color="auto" w:fill="auto"/>
            <w:noWrap/>
            <w:vAlign w:val="center"/>
            <w:hideMark/>
          </w:tcPr>
          <w:p w14:paraId="0CB6546B" w14:textId="77777777" w:rsidR="00553085" w:rsidRPr="00227215" w:rsidRDefault="00553085" w:rsidP="00553085">
            <w:pPr>
              <w:jc w:val="right"/>
              <w:rPr>
                <w:b/>
                <w:bCs/>
                <w:sz w:val="21"/>
                <w:szCs w:val="21"/>
                <w:lang w:eastAsia="en-CA"/>
              </w:rPr>
            </w:pPr>
            <w:r w:rsidRPr="00227215">
              <w:rPr>
                <w:b/>
                <w:bCs/>
                <w:sz w:val="21"/>
                <w:szCs w:val="21"/>
                <w:lang w:eastAsia="en-CA"/>
              </w:rPr>
              <w:t>27,071</w:t>
            </w:r>
          </w:p>
        </w:tc>
        <w:tc>
          <w:tcPr>
            <w:tcW w:w="1243" w:type="dxa"/>
            <w:tcBorders>
              <w:top w:val="nil"/>
              <w:left w:val="nil"/>
              <w:bottom w:val="single" w:sz="4" w:space="0" w:color="auto"/>
              <w:right w:val="single" w:sz="4" w:space="0" w:color="auto"/>
            </w:tcBorders>
            <w:shd w:val="clear" w:color="auto" w:fill="auto"/>
            <w:noWrap/>
            <w:vAlign w:val="center"/>
            <w:hideMark/>
          </w:tcPr>
          <w:p w14:paraId="49D13F13" w14:textId="77777777" w:rsidR="00553085" w:rsidRPr="00227215" w:rsidRDefault="00553085" w:rsidP="00553085">
            <w:pPr>
              <w:jc w:val="right"/>
              <w:rPr>
                <w:b/>
                <w:bCs/>
                <w:sz w:val="21"/>
                <w:szCs w:val="21"/>
                <w:lang w:eastAsia="en-CA"/>
              </w:rPr>
            </w:pPr>
            <w:r w:rsidRPr="00227215">
              <w:rPr>
                <w:b/>
                <w:bCs/>
                <w:sz w:val="21"/>
                <w:szCs w:val="21"/>
                <w:lang w:eastAsia="en-CA"/>
              </w:rPr>
              <w:t>82,211</w:t>
            </w:r>
          </w:p>
        </w:tc>
        <w:tc>
          <w:tcPr>
            <w:tcW w:w="1243" w:type="dxa"/>
            <w:tcBorders>
              <w:top w:val="nil"/>
              <w:left w:val="nil"/>
              <w:bottom w:val="single" w:sz="4" w:space="0" w:color="auto"/>
              <w:right w:val="single" w:sz="4" w:space="0" w:color="auto"/>
            </w:tcBorders>
            <w:shd w:val="clear" w:color="auto" w:fill="auto"/>
            <w:noWrap/>
            <w:vAlign w:val="center"/>
            <w:hideMark/>
          </w:tcPr>
          <w:p w14:paraId="7B6D8A33" w14:textId="77777777" w:rsidR="00553085" w:rsidRPr="00227215" w:rsidRDefault="00553085" w:rsidP="00553085">
            <w:pPr>
              <w:jc w:val="right"/>
              <w:rPr>
                <w:b/>
                <w:bCs/>
                <w:sz w:val="21"/>
                <w:szCs w:val="21"/>
                <w:lang w:eastAsia="en-CA"/>
              </w:rPr>
            </w:pPr>
            <w:r w:rsidRPr="00227215">
              <w:rPr>
                <w:b/>
                <w:bCs/>
                <w:sz w:val="21"/>
                <w:szCs w:val="21"/>
                <w:lang w:eastAsia="en-CA"/>
              </w:rPr>
              <w:t>9,844</w:t>
            </w:r>
          </w:p>
        </w:tc>
      </w:tr>
    </w:tbl>
    <w:p w14:paraId="3ED2B1E4" w14:textId="77777777" w:rsidR="00837A0F" w:rsidRPr="00227215" w:rsidRDefault="00837A0F" w:rsidP="00837A0F">
      <w:pPr>
        <w:rPr>
          <w:sz w:val="20"/>
          <w:szCs w:val="20"/>
        </w:rPr>
      </w:pPr>
      <w:r w:rsidRPr="00227215">
        <w:rPr>
          <w:sz w:val="20"/>
          <w:szCs w:val="20"/>
        </w:rPr>
        <w:t xml:space="preserve">* Including agency support costs where applicable. </w:t>
      </w:r>
    </w:p>
    <w:p w14:paraId="33FF5916" w14:textId="77777777" w:rsidR="00837A0F" w:rsidRPr="00227215" w:rsidRDefault="00837A0F" w:rsidP="00837A0F">
      <w:pPr>
        <w:pStyle w:val="Heading1"/>
        <w:keepNext/>
        <w:numPr>
          <w:ilvl w:val="0"/>
          <w:numId w:val="0"/>
        </w:numPr>
        <w:spacing w:after="0"/>
        <w:rPr>
          <w:b/>
        </w:rPr>
      </w:pPr>
    </w:p>
    <w:p w14:paraId="660971FD" w14:textId="77777777" w:rsidR="00837A0F" w:rsidRPr="00227215" w:rsidRDefault="00837A0F" w:rsidP="00837A0F">
      <w:pPr>
        <w:pStyle w:val="Heading1"/>
        <w:numPr>
          <w:ilvl w:val="0"/>
          <w:numId w:val="0"/>
        </w:numPr>
        <w:rPr>
          <w:b/>
        </w:rPr>
      </w:pPr>
      <w:r w:rsidRPr="00227215">
        <w:rPr>
          <w:b/>
        </w:rPr>
        <w:t xml:space="preserve">Secretariat’s comments </w:t>
      </w:r>
    </w:p>
    <w:p w14:paraId="1366DE50" w14:textId="77777777" w:rsidR="00837A0F" w:rsidRPr="00227215" w:rsidRDefault="00837A0F" w:rsidP="00837A0F">
      <w:pPr>
        <w:pStyle w:val="Heading1"/>
        <w:numPr>
          <w:ilvl w:val="0"/>
          <w:numId w:val="0"/>
        </w:numPr>
        <w:rPr>
          <w:u w:val="single"/>
        </w:rPr>
      </w:pPr>
      <w:r w:rsidRPr="00227215">
        <w:rPr>
          <w:u w:val="single"/>
        </w:rPr>
        <w:t>HPMP stage III – project preparation</w:t>
      </w:r>
    </w:p>
    <w:p w14:paraId="6C6B7003" w14:textId="6EEBEDA3" w:rsidR="00837A0F" w:rsidRPr="00227215" w:rsidRDefault="00837A0F" w:rsidP="00837A0F">
      <w:pPr>
        <w:pStyle w:val="Heading1"/>
      </w:pPr>
      <w:r w:rsidRPr="00227215">
        <w:t>A total of US $</w:t>
      </w:r>
      <w:r w:rsidR="00EB77AA" w:rsidRPr="00227215">
        <w:t>321,000 is</w:t>
      </w:r>
      <w:r w:rsidRPr="00227215">
        <w:t xml:space="preserve"> included for </w:t>
      </w:r>
      <w:r w:rsidRPr="00227215">
        <w:rPr>
          <w:lang w:val="en-US"/>
        </w:rPr>
        <w:t xml:space="preserve">project preparation for stage III of HPMPs </w:t>
      </w:r>
      <w:r w:rsidRPr="00227215">
        <w:t>in the 202</w:t>
      </w:r>
      <w:r w:rsidR="00EB77AA" w:rsidRPr="00227215">
        <w:t>2</w:t>
      </w:r>
      <w:r w:rsidRPr="00227215">
        <w:t>–202</w:t>
      </w:r>
      <w:r w:rsidR="00EB77AA" w:rsidRPr="00227215">
        <w:t>4</w:t>
      </w:r>
      <w:r w:rsidRPr="00227215">
        <w:t xml:space="preserve"> business plan for countries </w:t>
      </w:r>
      <w:r w:rsidRPr="00227215">
        <w:rPr>
          <w:lang w:val="en-US"/>
        </w:rPr>
        <w:t>with an approved stage II of HPMPs</w:t>
      </w:r>
      <w:r w:rsidR="009871A8">
        <w:rPr>
          <w:lang w:val="en-US"/>
        </w:rPr>
        <w:t>,</w:t>
      </w:r>
      <w:r w:rsidRPr="00227215">
        <w:rPr>
          <w:lang w:val="en-US"/>
        </w:rPr>
        <w:t xml:space="preserve"> </w:t>
      </w:r>
      <w:r w:rsidRPr="00227215">
        <w:t>with reduction targets below the 2025 compliance targets (</w:t>
      </w:r>
      <w:r w:rsidRPr="00227215">
        <w:rPr>
          <w:lang w:val="en-US"/>
        </w:rPr>
        <w:t xml:space="preserve">decision 84/46(e)). </w:t>
      </w:r>
    </w:p>
    <w:p w14:paraId="70B511D5" w14:textId="77777777" w:rsidR="00837A0F" w:rsidRPr="00227215" w:rsidRDefault="00837A0F" w:rsidP="00837A0F">
      <w:pPr>
        <w:rPr>
          <w:u w:val="single"/>
        </w:rPr>
      </w:pPr>
      <w:r w:rsidRPr="00227215">
        <w:rPr>
          <w:u w:val="single"/>
        </w:rPr>
        <w:t>HFC-related activities</w:t>
      </w:r>
    </w:p>
    <w:p w14:paraId="6D7A0433" w14:textId="77777777" w:rsidR="00837A0F" w:rsidRPr="00227215" w:rsidRDefault="00837A0F" w:rsidP="00837A0F">
      <w:pPr>
        <w:rPr>
          <w:b/>
        </w:rPr>
      </w:pPr>
    </w:p>
    <w:p w14:paraId="7D00010D" w14:textId="77777777" w:rsidR="00837A0F" w:rsidRPr="00227215" w:rsidRDefault="00837A0F" w:rsidP="00837A0F">
      <w:pPr>
        <w:pStyle w:val="Heading1"/>
      </w:pPr>
      <w:r w:rsidRPr="00227215">
        <w:t>A total of US $</w:t>
      </w:r>
      <w:r w:rsidR="009F2542" w:rsidRPr="00227215">
        <w:t>470,800</w:t>
      </w:r>
      <w:r w:rsidRPr="00227215">
        <w:t xml:space="preserve"> is included for </w:t>
      </w:r>
      <w:r w:rsidR="00EF6A82">
        <w:t>KIP</w:t>
      </w:r>
      <w:r w:rsidRPr="00227215">
        <w:t xml:space="preserve"> project preparation activities</w:t>
      </w:r>
      <w:r w:rsidRPr="00227215">
        <w:rPr>
          <w:rStyle w:val="FootnoteReference"/>
        </w:rPr>
        <w:footnoteReference w:id="3"/>
      </w:r>
      <w:r w:rsidRPr="00227215">
        <w:t xml:space="preserve"> in the 202</w:t>
      </w:r>
      <w:r w:rsidR="002B532E" w:rsidRPr="00227215">
        <w:t>2</w:t>
      </w:r>
      <w:r w:rsidRPr="00227215">
        <w:noBreakHyphen/>
        <w:t>202</w:t>
      </w:r>
      <w:r w:rsidR="002B532E" w:rsidRPr="00227215">
        <w:t>4</w:t>
      </w:r>
      <w:r w:rsidRPr="00227215">
        <w:t xml:space="preserve"> business plan for two countries (</w:t>
      </w:r>
      <w:r w:rsidR="002B532E" w:rsidRPr="00227215">
        <w:t xml:space="preserve">Indonesia and </w:t>
      </w:r>
      <w:r w:rsidRPr="00227215">
        <w:t xml:space="preserve">Thailand). </w:t>
      </w:r>
      <w:r w:rsidR="00486FF9" w:rsidRPr="00227215">
        <w:t>These</w:t>
      </w:r>
      <w:r w:rsidRPr="00227215">
        <w:t xml:space="preserve"> two countries</w:t>
      </w:r>
      <w:r w:rsidR="00486FF9" w:rsidRPr="00227215">
        <w:t xml:space="preserve"> have not</w:t>
      </w:r>
      <w:r w:rsidRPr="00227215">
        <w:t xml:space="preserve"> ratified the Kigali Amendment </w:t>
      </w:r>
      <w:r w:rsidR="00486FF9" w:rsidRPr="00227215">
        <w:t xml:space="preserve">but </w:t>
      </w:r>
      <w:r w:rsidRPr="00227215">
        <w:t>ha</w:t>
      </w:r>
      <w:r w:rsidR="00486FF9" w:rsidRPr="00227215">
        <w:t>ve</w:t>
      </w:r>
      <w:r w:rsidRPr="00227215">
        <w:t xml:space="preserve"> submitted the required letter from </w:t>
      </w:r>
      <w:r w:rsidR="005A6D8D">
        <w:t>their</w:t>
      </w:r>
      <w:r w:rsidR="005A6D8D" w:rsidRPr="00227215">
        <w:t xml:space="preserve"> </w:t>
      </w:r>
      <w:r w:rsidRPr="00227215">
        <w:t xml:space="preserve">Government indicating </w:t>
      </w:r>
      <w:r w:rsidR="005A6D8D">
        <w:t>their</w:t>
      </w:r>
      <w:r w:rsidR="005A6D8D" w:rsidRPr="00227215">
        <w:t xml:space="preserve"> </w:t>
      </w:r>
      <w:r w:rsidRPr="00227215">
        <w:t xml:space="preserve">intent to make best efforts to ratify the Kigali Amendment. </w:t>
      </w:r>
    </w:p>
    <w:p w14:paraId="0435388D" w14:textId="3448A648" w:rsidR="009F2542" w:rsidRPr="00227215" w:rsidRDefault="009F2542" w:rsidP="009F2542">
      <w:pPr>
        <w:pStyle w:val="Heading1"/>
      </w:pPr>
      <w:r w:rsidRPr="00227215">
        <w:t xml:space="preserve">Regarding </w:t>
      </w:r>
      <w:r w:rsidR="003F5B57">
        <w:t>KIPs</w:t>
      </w:r>
      <w:r w:rsidRPr="00227215">
        <w:t xml:space="preserve">, decision 84/46(g) allowed inclusion of such plans in the business plan only for countries that had ratified the Kigali Amendment. </w:t>
      </w:r>
      <w:r w:rsidR="00486FF9" w:rsidRPr="00227215">
        <w:t>A total of US $10.7</w:t>
      </w:r>
      <w:r w:rsidR="00BB1F74">
        <w:t> </w:t>
      </w:r>
      <w:r w:rsidR="00486FF9" w:rsidRPr="00227215">
        <w:t xml:space="preserve">million is included for </w:t>
      </w:r>
      <w:r w:rsidR="00C975BD">
        <w:t>KIPs</w:t>
      </w:r>
      <w:r w:rsidR="00486FF9" w:rsidRPr="00227215">
        <w:t xml:space="preserve"> for two countries (Malaysia and Viet Nam) that</w:t>
      </w:r>
      <w:r w:rsidRPr="00227215">
        <w:t xml:space="preserve"> have ratified the Kigali Amendment.</w:t>
      </w:r>
    </w:p>
    <w:p w14:paraId="08C73133" w14:textId="77777777" w:rsidR="00837A0F" w:rsidRPr="00227215" w:rsidRDefault="00837A0F" w:rsidP="00837A0F">
      <w:pPr>
        <w:pStyle w:val="Heading1"/>
        <w:keepNext/>
        <w:numPr>
          <w:ilvl w:val="0"/>
          <w:numId w:val="0"/>
        </w:numPr>
        <w:rPr>
          <w:u w:val="single"/>
        </w:rPr>
      </w:pPr>
      <w:r w:rsidRPr="00227215">
        <w:rPr>
          <w:u w:val="single"/>
        </w:rPr>
        <w:t>Core unit costs</w:t>
      </w:r>
    </w:p>
    <w:p w14:paraId="5CB718F0" w14:textId="77777777" w:rsidR="00837A0F" w:rsidRPr="00227215" w:rsidRDefault="00837A0F" w:rsidP="00837A0F">
      <w:pPr>
        <w:pStyle w:val="Heading1"/>
        <w:keepNext/>
      </w:pPr>
      <w:r w:rsidRPr="00227215">
        <w:t>The core unit costs</w:t>
      </w:r>
      <w:r w:rsidRPr="00227215">
        <w:rPr>
          <w:rStyle w:val="FootnoteReference"/>
        </w:rPr>
        <w:footnoteReference w:id="4"/>
      </w:r>
      <w:r w:rsidRPr="00227215">
        <w:t xml:space="preserve"> are expected to increase at an annual rate of 0.7 per cent as agreed. </w:t>
      </w:r>
    </w:p>
    <w:p w14:paraId="77449DDB" w14:textId="77777777" w:rsidR="00837A0F" w:rsidRPr="00227215" w:rsidRDefault="00837A0F" w:rsidP="00837A0F">
      <w:pPr>
        <w:spacing w:after="240"/>
        <w:rPr>
          <w:b/>
        </w:rPr>
      </w:pPr>
      <w:r w:rsidRPr="00227215">
        <w:rPr>
          <w:b/>
          <w:bCs/>
        </w:rPr>
        <w:t>Proposed adjustments by the Secretariat</w:t>
      </w:r>
    </w:p>
    <w:p w14:paraId="1E68BF44" w14:textId="77777777" w:rsidR="00837A0F" w:rsidRPr="00227215" w:rsidRDefault="00837A0F" w:rsidP="00837A0F">
      <w:pPr>
        <w:pStyle w:val="Heading1"/>
      </w:pPr>
      <w:r w:rsidRPr="00227215">
        <w:t>The World Bank business plan for 202</w:t>
      </w:r>
      <w:r w:rsidR="00FE718E" w:rsidRPr="00227215">
        <w:t>2</w:t>
      </w:r>
      <w:r w:rsidRPr="00227215">
        <w:t>–202</w:t>
      </w:r>
      <w:r w:rsidR="00FE718E" w:rsidRPr="00227215">
        <w:t>4</w:t>
      </w:r>
      <w:r w:rsidRPr="00227215">
        <w:t xml:space="preserve"> were </w:t>
      </w:r>
      <w:r w:rsidR="00FE718E" w:rsidRPr="00227215">
        <w:t xml:space="preserve">submitted </w:t>
      </w:r>
      <w:r w:rsidRPr="00227215">
        <w:t xml:space="preserve">based on relevant decisions of the Executive Committee. </w:t>
      </w:r>
      <w:r w:rsidR="00FE718E" w:rsidRPr="00227215">
        <w:t>Therefore, no adjustment was made by the Secretariat. However, f</w:t>
      </w:r>
      <w:r w:rsidRPr="00227215">
        <w:t>urther adjustments may be required pending a decision by the Parties on the level of the replenishment of the Multilateral Fund for the 2021–2023 triennium.</w:t>
      </w:r>
      <w:r w:rsidRPr="00227215">
        <w:rPr>
          <w:rStyle w:val="FootnoteReference"/>
        </w:rPr>
        <w:footnoteReference w:id="5"/>
      </w:r>
      <w:r w:rsidRPr="00227215">
        <w:t xml:space="preserve"> </w:t>
      </w:r>
    </w:p>
    <w:p w14:paraId="337E4BFA" w14:textId="77777777" w:rsidR="00837A0F" w:rsidRPr="00227215" w:rsidRDefault="00837A0F" w:rsidP="00837A0F">
      <w:pPr>
        <w:widowControl w:val="0"/>
        <w:jc w:val="left"/>
        <w:rPr>
          <w:b/>
        </w:rPr>
      </w:pPr>
      <w:r w:rsidRPr="00227215">
        <w:rPr>
          <w:b/>
        </w:rPr>
        <w:t>Performance indicators</w:t>
      </w:r>
    </w:p>
    <w:p w14:paraId="0F35791C" w14:textId="77777777" w:rsidR="00837A0F" w:rsidRPr="00227215" w:rsidRDefault="00837A0F" w:rsidP="00837A0F">
      <w:pPr>
        <w:widowControl w:val="0"/>
        <w:jc w:val="left"/>
      </w:pPr>
    </w:p>
    <w:p w14:paraId="1173DEFF" w14:textId="77777777" w:rsidR="00837A0F" w:rsidRPr="00227215" w:rsidRDefault="00837A0F" w:rsidP="00837A0F">
      <w:pPr>
        <w:pStyle w:val="Heading1"/>
        <w:widowControl w:val="0"/>
      </w:pPr>
      <w:r w:rsidRPr="00227215">
        <w:t xml:space="preserve">The World Bank submitted performance indicators pursuant to decision 71/28 in its business plan </w:t>
      </w:r>
      <w:r w:rsidRPr="00227215">
        <w:lastRenderedPageBreak/>
        <w:t>narrative. The Secretariat informed the World Bank of the targets shown in Table </w:t>
      </w:r>
      <w:r w:rsidR="00F617C3" w:rsidRPr="00227215">
        <w:t>2</w:t>
      </w:r>
      <w:r w:rsidRPr="00227215">
        <w:t>.</w:t>
      </w:r>
    </w:p>
    <w:p w14:paraId="253E9C7A" w14:textId="77777777" w:rsidR="00837A0F" w:rsidRPr="00227215" w:rsidRDefault="00837A0F" w:rsidP="00837A0F">
      <w:pPr>
        <w:pStyle w:val="subhead"/>
        <w:keepNext/>
        <w:jc w:val="left"/>
        <w:rPr>
          <w:b/>
          <w:sz w:val="22"/>
          <w:szCs w:val="22"/>
        </w:rPr>
      </w:pPr>
      <w:r w:rsidRPr="00227215">
        <w:rPr>
          <w:b/>
          <w:sz w:val="22"/>
          <w:szCs w:val="22"/>
        </w:rPr>
        <w:t xml:space="preserve">Table </w:t>
      </w:r>
      <w:r w:rsidR="00F617C3" w:rsidRPr="00227215">
        <w:rPr>
          <w:b/>
          <w:sz w:val="22"/>
          <w:szCs w:val="22"/>
        </w:rPr>
        <w:t>2</w:t>
      </w:r>
      <w:r w:rsidRPr="00227215">
        <w:rPr>
          <w:b/>
          <w:sz w:val="22"/>
          <w:szCs w:val="22"/>
        </w:rPr>
        <w:t xml:space="preserve">. Performance indicators for the World Bank for </w:t>
      </w:r>
      <w:r w:rsidRPr="00227215">
        <w:rPr>
          <w:b/>
          <w:bCs/>
          <w:sz w:val="22"/>
          <w:szCs w:val="22"/>
        </w:rPr>
        <w:t>202</w:t>
      </w:r>
      <w:r w:rsidR="00F617C3" w:rsidRPr="00227215">
        <w:rPr>
          <w:b/>
          <w:bCs/>
          <w:sz w:val="22"/>
          <w:szCs w:val="22"/>
        </w:rPr>
        <w:t>2</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3"/>
        <w:gridCol w:w="3861"/>
        <w:gridCol w:w="1522"/>
      </w:tblGrid>
      <w:tr w:rsidR="00837A0F" w:rsidRPr="00227215" w14:paraId="214B7F12" w14:textId="77777777" w:rsidTr="002E41D2">
        <w:trPr>
          <w:tblHeader/>
          <w:jc w:val="center"/>
        </w:trPr>
        <w:tc>
          <w:tcPr>
            <w:tcW w:w="1701" w:type="dxa"/>
            <w:shd w:val="clear" w:color="auto" w:fill="auto"/>
            <w:hideMark/>
          </w:tcPr>
          <w:p w14:paraId="6E05C4DE" w14:textId="77777777" w:rsidR="00837A0F" w:rsidRPr="00227215" w:rsidRDefault="00837A0F" w:rsidP="002E41D2">
            <w:pPr>
              <w:keepNext/>
              <w:jc w:val="left"/>
              <w:rPr>
                <w:b/>
                <w:bCs/>
                <w:sz w:val="20"/>
                <w:szCs w:val="20"/>
                <w:lang w:eastAsia="en-CA"/>
              </w:rPr>
            </w:pPr>
            <w:r w:rsidRPr="00227215">
              <w:rPr>
                <w:b/>
                <w:bCs/>
                <w:sz w:val="20"/>
                <w:szCs w:val="20"/>
                <w:lang w:eastAsia="en-CA"/>
              </w:rPr>
              <w:t xml:space="preserve">Type of indicator </w:t>
            </w:r>
          </w:p>
        </w:tc>
        <w:tc>
          <w:tcPr>
            <w:tcW w:w="2263" w:type="dxa"/>
            <w:shd w:val="clear" w:color="auto" w:fill="auto"/>
            <w:hideMark/>
          </w:tcPr>
          <w:p w14:paraId="6E5E5C9A" w14:textId="77777777" w:rsidR="00837A0F" w:rsidRPr="00227215" w:rsidRDefault="00837A0F" w:rsidP="002E41D2">
            <w:pPr>
              <w:keepNext/>
              <w:jc w:val="center"/>
              <w:rPr>
                <w:b/>
                <w:bCs/>
                <w:sz w:val="20"/>
                <w:szCs w:val="20"/>
                <w:lang w:eastAsia="en-CA"/>
              </w:rPr>
            </w:pPr>
            <w:r w:rsidRPr="00227215">
              <w:rPr>
                <w:b/>
                <w:bCs/>
                <w:sz w:val="20"/>
                <w:szCs w:val="20"/>
                <w:lang w:eastAsia="en-CA"/>
              </w:rPr>
              <w:t>Short title</w:t>
            </w:r>
          </w:p>
        </w:tc>
        <w:tc>
          <w:tcPr>
            <w:tcW w:w="3861" w:type="dxa"/>
            <w:shd w:val="clear" w:color="auto" w:fill="auto"/>
            <w:hideMark/>
          </w:tcPr>
          <w:p w14:paraId="351365C6" w14:textId="77777777" w:rsidR="00837A0F" w:rsidRPr="00227215" w:rsidRDefault="00837A0F" w:rsidP="002E41D2">
            <w:pPr>
              <w:keepNext/>
              <w:jc w:val="center"/>
              <w:rPr>
                <w:b/>
                <w:bCs/>
                <w:sz w:val="20"/>
                <w:szCs w:val="20"/>
                <w:lang w:eastAsia="en-CA"/>
              </w:rPr>
            </w:pPr>
            <w:r w:rsidRPr="00227215">
              <w:rPr>
                <w:b/>
                <w:bCs/>
                <w:sz w:val="20"/>
                <w:szCs w:val="20"/>
                <w:lang w:eastAsia="en-CA"/>
              </w:rPr>
              <w:t>Calculation</w:t>
            </w:r>
          </w:p>
        </w:tc>
        <w:tc>
          <w:tcPr>
            <w:tcW w:w="1522" w:type="dxa"/>
          </w:tcPr>
          <w:p w14:paraId="44343113" w14:textId="77777777" w:rsidR="00837A0F" w:rsidRPr="00227215" w:rsidRDefault="00837A0F" w:rsidP="002B7B4A">
            <w:pPr>
              <w:keepNext/>
              <w:jc w:val="center"/>
              <w:rPr>
                <w:b/>
                <w:bCs/>
                <w:sz w:val="20"/>
                <w:szCs w:val="20"/>
                <w:lang w:eastAsia="en-CA"/>
              </w:rPr>
            </w:pPr>
            <w:r w:rsidRPr="00227215">
              <w:rPr>
                <w:b/>
                <w:bCs/>
                <w:sz w:val="20"/>
                <w:szCs w:val="20"/>
                <w:lang w:eastAsia="en-CA"/>
              </w:rPr>
              <w:t>202</w:t>
            </w:r>
            <w:r w:rsidR="002B7B4A" w:rsidRPr="00227215">
              <w:rPr>
                <w:b/>
                <w:bCs/>
                <w:sz w:val="20"/>
                <w:szCs w:val="20"/>
                <w:lang w:eastAsia="en-CA"/>
              </w:rPr>
              <w:t>2</w:t>
            </w:r>
            <w:r w:rsidRPr="00227215">
              <w:rPr>
                <w:b/>
                <w:bCs/>
                <w:sz w:val="20"/>
                <w:szCs w:val="20"/>
                <w:lang w:eastAsia="en-CA"/>
              </w:rPr>
              <w:t xml:space="preserve"> target</w:t>
            </w:r>
          </w:p>
        </w:tc>
      </w:tr>
      <w:tr w:rsidR="00837A0F" w:rsidRPr="00227215" w14:paraId="279C65BF" w14:textId="77777777" w:rsidTr="002E41D2">
        <w:trPr>
          <w:jc w:val="center"/>
        </w:trPr>
        <w:tc>
          <w:tcPr>
            <w:tcW w:w="1701" w:type="dxa"/>
            <w:shd w:val="clear" w:color="auto" w:fill="auto"/>
          </w:tcPr>
          <w:p w14:paraId="68568EDB" w14:textId="77777777" w:rsidR="00837A0F" w:rsidRPr="00227215" w:rsidRDefault="00837A0F" w:rsidP="002E41D2">
            <w:pPr>
              <w:widowControl w:val="0"/>
              <w:jc w:val="left"/>
              <w:rPr>
                <w:sz w:val="20"/>
                <w:szCs w:val="20"/>
                <w:lang w:eastAsia="en-CA"/>
              </w:rPr>
            </w:pPr>
            <w:r w:rsidRPr="00227215">
              <w:rPr>
                <w:sz w:val="20"/>
                <w:szCs w:val="20"/>
                <w:lang w:val="en-US"/>
              </w:rPr>
              <w:t>Planning-- Approval</w:t>
            </w:r>
          </w:p>
        </w:tc>
        <w:tc>
          <w:tcPr>
            <w:tcW w:w="2263" w:type="dxa"/>
            <w:shd w:val="clear" w:color="auto" w:fill="auto"/>
          </w:tcPr>
          <w:p w14:paraId="5BB36609" w14:textId="77777777" w:rsidR="00837A0F" w:rsidRPr="00227215" w:rsidRDefault="00837A0F" w:rsidP="002E41D2">
            <w:pPr>
              <w:widowControl w:val="0"/>
              <w:jc w:val="left"/>
              <w:rPr>
                <w:sz w:val="20"/>
                <w:szCs w:val="20"/>
                <w:lang w:eastAsia="en-CA"/>
              </w:rPr>
            </w:pPr>
            <w:r w:rsidRPr="00227215">
              <w:rPr>
                <w:sz w:val="20"/>
                <w:szCs w:val="20"/>
                <w:lang w:val="en-US"/>
              </w:rPr>
              <w:t>Tranches approved</w:t>
            </w:r>
          </w:p>
        </w:tc>
        <w:tc>
          <w:tcPr>
            <w:tcW w:w="3861" w:type="dxa"/>
            <w:shd w:val="clear" w:color="auto" w:fill="auto"/>
          </w:tcPr>
          <w:p w14:paraId="0C5E587D" w14:textId="77777777" w:rsidR="00837A0F" w:rsidRPr="00227215" w:rsidRDefault="00837A0F" w:rsidP="002E41D2">
            <w:pPr>
              <w:widowControl w:val="0"/>
              <w:jc w:val="left"/>
              <w:rPr>
                <w:sz w:val="20"/>
                <w:szCs w:val="20"/>
                <w:lang w:eastAsia="en-CA"/>
              </w:rPr>
            </w:pPr>
            <w:r w:rsidRPr="00227215">
              <w:rPr>
                <w:sz w:val="20"/>
                <w:szCs w:val="20"/>
                <w:lang w:val="en-US"/>
              </w:rPr>
              <w:t>Number of tranches approved vs. those planned*</w:t>
            </w:r>
          </w:p>
        </w:tc>
        <w:tc>
          <w:tcPr>
            <w:tcW w:w="1522" w:type="dxa"/>
          </w:tcPr>
          <w:p w14:paraId="1A75787F" w14:textId="77777777" w:rsidR="00837A0F" w:rsidRPr="00227215" w:rsidRDefault="004E576E" w:rsidP="002E41D2">
            <w:pPr>
              <w:keepNext/>
              <w:jc w:val="right"/>
              <w:rPr>
                <w:sz w:val="20"/>
                <w:szCs w:val="20"/>
                <w:lang w:eastAsia="en-CA"/>
              </w:rPr>
            </w:pPr>
            <w:r w:rsidRPr="00227215">
              <w:rPr>
                <w:iCs/>
                <w:sz w:val="20"/>
                <w:szCs w:val="20"/>
                <w:lang w:eastAsia="zh-CN"/>
              </w:rPr>
              <w:t>4</w:t>
            </w:r>
            <w:r w:rsidR="00837A0F" w:rsidRPr="00227215">
              <w:rPr>
                <w:iCs/>
                <w:sz w:val="20"/>
                <w:szCs w:val="20"/>
                <w:lang w:eastAsia="zh-CN"/>
              </w:rPr>
              <w:t xml:space="preserve"> </w:t>
            </w:r>
          </w:p>
        </w:tc>
      </w:tr>
      <w:tr w:rsidR="00837A0F" w:rsidRPr="00227215" w14:paraId="78DDE8B5" w14:textId="77777777" w:rsidTr="002E41D2">
        <w:trPr>
          <w:jc w:val="center"/>
        </w:trPr>
        <w:tc>
          <w:tcPr>
            <w:tcW w:w="1701" w:type="dxa"/>
            <w:shd w:val="clear" w:color="auto" w:fill="auto"/>
          </w:tcPr>
          <w:p w14:paraId="35F82069" w14:textId="77777777" w:rsidR="00837A0F" w:rsidRPr="00227215" w:rsidRDefault="00837A0F" w:rsidP="002E41D2">
            <w:pPr>
              <w:widowControl w:val="0"/>
              <w:jc w:val="left"/>
              <w:rPr>
                <w:sz w:val="20"/>
                <w:szCs w:val="20"/>
                <w:lang w:eastAsia="en-CA"/>
              </w:rPr>
            </w:pPr>
            <w:r w:rsidRPr="00227215">
              <w:rPr>
                <w:sz w:val="20"/>
                <w:szCs w:val="20"/>
                <w:lang w:val="en-US"/>
              </w:rPr>
              <w:t>Planning-- Approval</w:t>
            </w:r>
          </w:p>
        </w:tc>
        <w:tc>
          <w:tcPr>
            <w:tcW w:w="2263" w:type="dxa"/>
            <w:shd w:val="clear" w:color="auto" w:fill="auto"/>
          </w:tcPr>
          <w:p w14:paraId="0B0035B0" w14:textId="77777777" w:rsidR="00837A0F" w:rsidRPr="00227215" w:rsidRDefault="00837A0F" w:rsidP="002E41D2">
            <w:pPr>
              <w:widowControl w:val="0"/>
              <w:jc w:val="left"/>
              <w:rPr>
                <w:sz w:val="20"/>
                <w:szCs w:val="20"/>
                <w:lang w:eastAsia="en-CA"/>
              </w:rPr>
            </w:pPr>
            <w:r w:rsidRPr="00227215">
              <w:rPr>
                <w:sz w:val="20"/>
                <w:szCs w:val="20"/>
                <w:lang w:val="en-US"/>
              </w:rPr>
              <w:t>Projects/activities approved</w:t>
            </w:r>
          </w:p>
        </w:tc>
        <w:tc>
          <w:tcPr>
            <w:tcW w:w="3861" w:type="dxa"/>
            <w:shd w:val="clear" w:color="auto" w:fill="auto"/>
          </w:tcPr>
          <w:p w14:paraId="221856BD" w14:textId="77777777" w:rsidR="00837A0F" w:rsidRPr="00227215" w:rsidRDefault="00837A0F" w:rsidP="002E41D2">
            <w:pPr>
              <w:widowControl w:val="0"/>
              <w:jc w:val="left"/>
              <w:rPr>
                <w:sz w:val="20"/>
                <w:szCs w:val="20"/>
                <w:lang w:eastAsia="en-CA"/>
              </w:rPr>
            </w:pPr>
            <w:r w:rsidRPr="00227215">
              <w:rPr>
                <w:sz w:val="20"/>
                <w:szCs w:val="20"/>
                <w:lang w:val="en-US"/>
              </w:rPr>
              <w:t>Number of projects/activities approved vs. those planned (including project preparation activities)**</w:t>
            </w:r>
          </w:p>
        </w:tc>
        <w:tc>
          <w:tcPr>
            <w:tcW w:w="1522" w:type="dxa"/>
          </w:tcPr>
          <w:p w14:paraId="1AC4542C" w14:textId="77777777" w:rsidR="00837A0F" w:rsidRPr="00227215" w:rsidRDefault="004E576E" w:rsidP="002E41D2">
            <w:pPr>
              <w:jc w:val="right"/>
              <w:rPr>
                <w:sz w:val="20"/>
                <w:szCs w:val="20"/>
              </w:rPr>
            </w:pPr>
            <w:r w:rsidRPr="00227215">
              <w:rPr>
                <w:sz w:val="20"/>
                <w:szCs w:val="20"/>
              </w:rPr>
              <w:t>4</w:t>
            </w:r>
            <w:r w:rsidR="00837A0F" w:rsidRPr="00227215">
              <w:rPr>
                <w:sz w:val="20"/>
                <w:szCs w:val="20"/>
              </w:rPr>
              <w:t xml:space="preserve"> </w:t>
            </w:r>
          </w:p>
        </w:tc>
      </w:tr>
      <w:tr w:rsidR="00837A0F" w:rsidRPr="00227215" w14:paraId="5F747ACF" w14:textId="77777777" w:rsidTr="002E41D2">
        <w:trPr>
          <w:jc w:val="center"/>
        </w:trPr>
        <w:tc>
          <w:tcPr>
            <w:tcW w:w="1701" w:type="dxa"/>
            <w:shd w:val="clear" w:color="auto" w:fill="auto"/>
          </w:tcPr>
          <w:p w14:paraId="743567F4" w14:textId="77777777" w:rsidR="00837A0F" w:rsidRPr="00227215" w:rsidRDefault="00837A0F" w:rsidP="002E41D2">
            <w:pPr>
              <w:widowControl w:val="0"/>
              <w:jc w:val="left"/>
              <w:rPr>
                <w:sz w:val="20"/>
                <w:szCs w:val="20"/>
                <w:lang w:eastAsia="en-CA"/>
              </w:rPr>
            </w:pPr>
            <w:r w:rsidRPr="00227215">
              <w:rPr>
                <w:sz w:val="20"/>
                <w:szCs w:val="20"/>
                <w:lang w:val="en-US"/>
              </w:rPr>
              <w:t>Implementation</w:t>
            </w:r>
          </w:p>
        </w:tc>
        <w:tc>
          <w:tcPr>
            <w:tcW w:w="2263" w:type="dxa"/>
            <w:shd w:val="clear" w:color="auto" w:fill="auto"/>
          </w:tcPr>
          <w:p w14:paraId="3FE1F3C0" w14:textId="77777777" w:rsidR="00837A0F" w:rsidRPr="00227215" w:rsidRDefault="00837A0F" w:rsidP="002E41D2">
            <w:pPr>
              <w:widowControl w:val="0"/>
              <w:jc w:val="left"/>
              <w:rPr>
                <w:sz w:val="20"/>
                <w:szCs w:val="20"/>
                <w:lang w:eastAsia="en-CA"/>
              </w:rPr>
            </w:pPr>
            <w:r w:rsidRPr="00227215">
              <w:rPr>
                <w:sz w:val="20"/>
                <w:szCs w:val="20"/>
                <w:lang w:val="en-US"/>
              </w:rPr>
              <w:t>Funds disbursed</w:t>
            </w:r>
          </w:p>
        </w:tc>
        <w:tc>
          <w:tcPr>
            <w:tcW w:w="3861" w:type="dxa"/>
            <w:shd w:val="clear" w:color="auto" w:fill="auto"/>
          </w:tcPr>
          <w:p w14:paraId="5A50ED2E" w14:textId="77777777" w:rsidR="00837A0F" w:rsidRPr="00227215" w:rsidRDefault="00837A0F" w:rsidP="002E41D2">
            <w:pPr>
              <w:widowControl w:val="0"/>
              <w:jc w:val="left"/>
              <w:rPr>
                <w:sz w:val="20"/>
                <w:szCs w:val="20"/>
                <w:lang w:eastAsia="en-CA"/>
              </w:rPr>
            </w:pPr>
            <w:r w:rsidRPr="00227215">
              <w:rPr>
                <w:sz w:val="20"/>
                <w:szCs w:val="20"/>
                <w:lang w:val="en-US"/>
              </w:rPr>
              <w:t>Based on estimated disbursement in progress report</w:t>
            </w:r>
          </w:p>
        </w:tc>
        <w:tc>
          <w:tcPr>
            <w:tcW w:w="1522" w:type="dxa"/>
          </w:tcPr>
          <w:p w14:paraId="6DA7F525" w14:textId="77777777" w:rsidR="00837A0F" w:rsidRPr="00227215" w:rsidRDefault="00837A0F" w:rsidP="004E576E">
            <w:pPr>
              <w:jc w:val="right"/>
              <w:rPr>
                <w:sz w:val="20"/>
                <w:szCs w:val="20"/>
                <w:lang w:eastAsia="en-CA"/>
              </w:rPr>
            </w:pPr>
            <w:r w:rsidRPr="00227215">
              <w:rPr>
                <w:sz w:val="20"/>
                <w:szCs w:val="20"/>
                <w:lang w:eastAsia="en-CA"/>
              </w:rPr>
              <w:t>US $</w:t>
            </w:r>
            <w:r w:rsidR="004E576E" w:rsidRPr="00227215">
              <w:rPr>
                <w:sz w:val="20"/>
                <w:szCs w:val="20"/>
                <w:lang w:val="en-US"/>
              </w:rPr>
              <w:t>5,060,187</w:t>
            </w:r>
          </w:p>
        </w:tc>
      </w:tr>
      <w:tr w:rsidR="00837A0F" w:rsidRPr="00227215" w14:paraId="0842D945" w14:textId="77777777" w:rsidTr="002E41D2">
        <w:trPr>
          <w:jc w:val="center"/>
        </w:trPr>
        <w:tc>
          <w:tcPr>
            <w:tcW w:w="1701" w:type="dxa"/>
            <w:shd w:val="clear" w:color="auto" w:fill="auto"/>
          </w:tcPr>
          <w:p w14:paraId="12984679" w14:textId="77777777" w:rsidR="00837A0F" w:rsidRPr="00227215" w:rsidRDefault="00837A0F" w:rsidP="002E41D2">
            <w:pPr>
              <w:widowControl w:val="0"/>
              <w:jc w:val="left"/>
              <w:rPr>
                <w:sz w:val="20"/>
                <w:szCs w:val="20"/>
                <w:lang w:eastAsia="en-CA"/>
              </w:rPr>
            </w:pPr>
            <w:r w:rsidRPr="00227215">
              <w:rPr>
                <w:sz w:val="20"/>
                <w:szCs w:val="20"/>
                <w:lang w:val="en-US"/>
              </w:rPr>
              <w:t>Implementation</w:t>
            </w:r>
          </w:p>
        </w:tc>
        <w:tc>
          <w:tcPr>
            <w:tcW w:w="2263" w:type="dxa"/>
            <w:shd w:val="clear" w:color="auto" w:fill="auto"/>
          </w:tcPr>
          <w:p w14:paraId="76D43950" w14:textId="77777777" w:rsidR="00837A0F" w:rsidRPr="00227215" w:rsidRDefault="00837A0F" w:rsidP="002E41D2">
            <w:pPr>
              <w:widowControl w:val="0"/>
              <w:jc w:val="left"/>
              <w:rPr>
                <w:sz w:val="20"/>
                <w:szCs w:val="20"/>
                <w:lang w:eastAsia="en-CA"/>
              </w:rPr>
            </w:pPr>
            <w:r w:rsidRPr="00227215">
              <w:rPr>
                <w:sz w:val="20"/>
                <w:szCs w:val="20"/>
                <w:lang w:val="en-US"/>
              </w:rPr>
              <w:t>ODS phase-out</w:t>
            </w:r>
          </w:p>
        </w:tc>
        <w:tc>
          <w:tcPr>
            <w:tcW w:w="3861" w:type="dxa"/>
            <w:shd w:val="clear" w:color="auto" w:fill="auto"/>
          </w:tcPr>
          <w:p w14:paraId="46A7BC74" w14:textId="77777777" w:rsidR="00837A0F" w:rsidRPr="00227215" w:rsidRDefault="00837A0F" w:rsidP="002E41D2">
            <w:pPr>
              <w:widowControl w:val="0"/>
              <w:jc w:val="left"/>
              <w:rPr>
                <w:sz w:val="20"/>
                <w:szCs w:val="20"/>
                <w:lang w:eastAsia="en-CA"/>
              </w:rPr>
            </w:pPr>
            <w:r w:rsidRPr="00227215">
              <w:rPr>
                <w:sz w:val="20"/>
                <w:szCs w:val="20"/>
                <w:lang w:val="en-US"/>
              </w:rPr>
              <w:t>ODS phase-out for the tranche when the next tranche is approved vs. those planned per business plans</w:t>
            </w:r>
            <w:r w:rsidR="001F0BAD" w:rsidRPr="00227215">
              <w:rPr>
                <w:sz w:val="20"/>
                <w:szCs w:val="20"/>
                <w:lang w:val="en-US"/>
              </w:rPr>
              <w:t>*</w:t>
            </w:r>
          </w:p>
        </w:tc>
        <w:tc>
          <w:tcPr>
            <w:tcW w:w="1522" w:type="dxa"/>
          </w:tcPr>
          <w:p w14:paraId="2BF59ADD" w14:textId="77777777" w:rsidR="00837A0F" w:rsidRPr="00227215" w:rsidRDefault="004E576E" w:rsidP="002E41D2">
            <w:pPr>
              <w:keepNext/>
              <w:jc w:val="right"/>
              <w:rPr>
                <w:sz w:val="20"/>
                <w:szCs w:val="20"/>
              </w:rPr>
            </w:pPr>
            <w:r w:rsidRPr="00227215">
              <w:rPr>
                <w:sz w:val="20"/>
                <w:szCs w:val="20"/>
                <w:lang w:val="en-US"/>
              </w:rPr>
              <w:t xml:space="preserve">5,362.5 </w:t>
            </w:r>
            <w:r w:rsidR="00837A0F" w:rsidRPr="00227215">
              <w:rPr>
                <w:sz w:val="20"/>
                <w:szCs w:val="20"/>
                <w:lang w:eastAsia="en-CA"/>
              </w:rPr>
              <w:t xml:space="preserve">ODP tonnes </w:t>
            </w:r>
          </w:p>
        </w:tc>
      </w:tr>
      <w:tr w:rsidR="00837A0F" w:rsidRPr="00227215" w14:paraId="471D66AE" w14:textId="77777777" w:rsidTr="002E41D2">
        <w:trPr>
          <w:jc w:val="center"/>
        </w:trPr>
        <w:tc>
          <w:tcPr>
            <w:tcW w:w="1701" w:type="dxa"/>
            <w:shd w:val="clear" w:color="auto" w:fill="auto"/>
          </w:tcPr>
          <w:p w14:paraId="0795DC66" w14:textId="77777777" w:rsidR="00837A0F" w:rsidRPr="00227215" w:rsidRDefault="00837A0F" w:rsidP="002E41D2">
            <w:pPr>
              <w:widowControl w:val="0"/>
              <w:jc w:val="left"/>
              <w:rPr>
                <w:sz w:val="20"/>
                <w:szCs w:val="20"/>
                <w:lang w:eastAsia="en-CA"/>
              </w:rPr>
            </w:pPr>
            <w:r w:rsidRPr="00227215">
              <w:rPr>
                <w:sz w:val="20"/>
                <w:szCs w:val="20"/>
                <w:lang w:val="en-US"/>
              </w:rPr>
              <w:t>Implementation</w:t>
            </w:r>
          </w:p>
        </w:tc>
        <w:tc>
          <w:tcPr>
            <w:tcW w:w="2263" w:type="dxa"/>
            <w:shd w:val="clear" w:color="auto" w:fill="auto"/>
          </w:tcPr>
          <w:p w14:paraId="1B34EE9A" w14:textId="77777777" w:rsidR="00837A0F" w:rsidRPr="00227215" w:rsidRDefault="00837A0F" w:rsidP="002E41D2">
            <w:pPr>
              <w:widowControl w:val="0"/>
              <w:jc w:val="left"/>
              <w:rPr>
                <w:sz w:val="20"/>
                <w:szCs w:val="20"/>
                <w:lang w:eastAsia="en-CA"/>
              </w:rPr>
            </w:pPr>
            <w:r w:rsidRPr="00227215">
              <w:rPr>
                <w:sz w:val="20"/>
                <w:szCs w:val="20"/>
                <w:lang w:val="en-US"/>
              </w:rPr>
              <w:t>Project completion for activities</w:t>
            </w:r>
          </w:p>
        </w:tc>
        <w:tc>
          <w:tcPr>
            <w:tcW w:w="3861" w:type="dxa"/>
            <w:shd w:val="clear" w:color="auto" w:fill="auto"/>
          </w:tcPr>
          <w:p w14:paraId="58B2509A" w14:textId="77777777" w:rsidR="00837A0F" w:rsidRPr="00227215" w:rsidRDefault="00837A0F" w:rsidP="002E41D2">
            <w:pPr>
              <w:widowControl w:val="0"/>
              <w:autoSpaceDE w:val="0"/>
              <w:autoSpaceDN w:val="0"/>
              <w:adjustRightInd w:val="0"/>
              <w:jc w:val="left"/>
              <w:rPr>
                <w:sz w:val="20"/>
                <w:szCs w:val="20"/>
                <w:lang w:val="en-US"/>
              </w:rPr>
            </w:pPr>
            <w:r w:rsidRPr="00227215">
              <w:rPr>
                <w:sz w:val="20"/>
                <w:szCs w:val="20"/>
                <w:lang w:val="en-US"/>
              </w:rPr>
              <w:t>Project completion vs. planned in progress reports for all activities (excluding project preparation)</w:t>
            </w:r>
          </w:p>
        </w:tc>
        <w:tc>
          <w:tcPr>
            <w:tcW w:w="1522" w:type="dxa"/>
          </w:tcPr>
          <w:p w14:paraId="4BCB08CC" w14:textId="77777777" w:rsidR="00837A0F" w:rsidRPr="00227215" w:rsidRDefault="009422D3" w:rsidP="002E41D2">
            <w:pPr>
              <w:jc w:val="right"/>
              <w:rPr>
                <w:sz w:val="20"/>
                <w:szCs w:val="20"/>
              </w:rPr>
            </w:pPr>
            <w:r w:rsidRPr="00227215">
              <w:rPr>
                <w:sz w:val="20"/>
                <w:szCs w:val="20"/>
                <w:lang w:val="en-US"/>
              </w:rPr>
              <w:t>4</w:t>
            </w:r>
          </w:p>
        </w:tc>
      </w:tr>
      <w:tr w:rsidR="00837A0F" w:rsidRPr="00227215" w14:paraId="333077A8" w14:textId="77777777" w:rsidTr="002E41D2">
        <w:trPr>
          <w:jc w:val="center"/>
        </w:trPr>
        <w:tc>
          <w:tcPr>
            <w:tcW w:w="1701" w:type="dxa"/>
            <w:shd w:val="clear" w:color="auto" w:fill="auto"/>
          </w:tcPr>
          <w:p w14:paraId="4DF9029E" w14:textId="77777777" w:rsidR="00837A0F" w:rsidRPr="00227215" w:rsidRDefault="00837A0F" w:rsidP="002E41D2">
            <w:pPr>
              <w:widowControl w:val="0"/>
              <w:jc w:val="left"/>
              <w:rPr>
                <w:sz w:val="20"/>
                <w:szCs w:val="20"/>
                <w:lang w:eastAsia="en-CA"/>
              </w:rPr>
            </w:pPr>
            <w:r w:rsidRPr="00227215">
              <w:rPr>
                <w:sz w:val="20"/>
                <w:szCs w:val="20"/>
                <w:lang w:val="en-US"/>
              </w:rPr>
              <w:t>Administrative</w:t>
            </w:r>
          </w:p>
        </w:tc>
        <w:tc>
          <w:tcPr>
            <w:tcW w:w="2263" w:type="dxa"/>
            <w:shd w:val="clear" w:color="auto" w:fill="auto"/>
          </w:tcPr>
          <w:p w14:paraId="64E64655" w14:textId="77777777" w:rsidR="00837A0F" w:rsidRPr="00227215" w:rsidRDefault="00837A0F" w:rsidP="002E41D2">
            <w:pPr>
              <w:widowControl w:val="0"/>
              <w:jc w:val="left"/>
              <w:rPr>
                <w:sz w:val="20"/>
                <w:szCs w:val="20"/>
                <w:lang w:eastAsia="en-CA"/>
              </w:rPr>
            </w:pPr>
            <w:r w:rsidRPr="00227215">
              <w:rPr>
                <w:sz w:val="20"/>
                <w:szCs w:val="20"/>
                <w:lang w:val="en-US"/>
              </w:rPr>
              <w:t>Speed of financial completion</w:t>
            </w:r>
          </w:p>
        </w:tc>
        <w:tc>
          <w:tcPr>
            <w:tcW w:w="3861" w:type="dxa"/>
            <w:shd w:val="clear" w:color="auto" w:fill="auto"/>
          </w:tcPr>
          <w:p w14:paraId="71250A09" w14:textId="77777777" w:rsidR="00837A0F" w:rsidRPr="00227215" w:rsidRDefault="00837A0F" w:rsidP="002E41D2">
            <w:pPr>
              <w:widowControl w:val="0"/>
              <w:autoSpaceDE w:val="0"/>
              <w:autoSpaceDN w:val="0"/>
              <w:adjustRightInd w:val="0"/>
              <w:jc w:val="left"/>
              <w:rPr>
                <w:sz w:val="20"/>
                <w:szCs w:val="20"/>
                <w:lang w:val="en-US"/>
              </w:rPr>
            </w:pPr>
            <w:r w:rsidRPr="00227215">
              <w:rPr>
                <w:sz w:val="20"/>
                <w:szCs w:val="20"/>
                <w:lang w:val="en-US"/>
              </w:rPr>
              <w:t>The extent to which projects are financially completed 12 months after project completion</w:t>
            </w:r>
          </w:p>
        </w:tc>
        <w:tc>
          <w:tcPr>
            <w:tcW w:w="1522" w:type="dxa"/>
          </w:tcPr>
          <w:p w14:paraId="34FEEF56" w14:textId="77777777" w:rsidR="00837A0F" w:rsidRPr="00227215" w:rsidRDefault="009422D3" w:rsidP="002E41D2">
            <w:pPr>
              <w:jc w:val="right"/>
              <w:rPr>
                <w:sz w:val="20"/>
                <w:szCs w:val="20"/>
                <w:lang w:val="en-US"/>
              </w:rPr>
            </w:pPr>
            <w:r w:rsidRPr="00227215">
              <w:rPr>
                <w:sz w:val="20"/>
                <w:szCs w:val="20"/>
                <w:lang w:val="en-US"/>
              </w:rPr>
              <w:t>90%</w:t>
            </w:r>
          </w:p>
        </w:tc>
      </w:tr>
      <w:tr w:rsidR="00837A0F" w:rsidRPr="00227215" w14:paraId="7C2D90F1" w14:textId="77777777" w:rsidTr="002E41D2">
        <w:trPr>
          <w:jc w:val="center"/>
        </w:trPr>
        <w:tc>
          <w:tcPr>
            <w:tcW w:w="1701" w:type="dxa"/>
            <w:shd w:val="clear" w:color="auto" w:fill="auto"/>
          </w:tcPr>
          <w:p w14:paraId="656B3176" w14:textId="77777777" w:rsidR="00837A0F" w:rsidRPr="00227215" w:rsidRDefault="00837A0F" w:rsidP="002E41D2">
            <w:pPr>
              <w:widowControl w:val="0"/>
              <w:jc w:val="left"/>
              <w:rPr>
                <w:sz w:val="20"/>
                <w:szCs w:val="20"/>
                <w:lang w:eastAsia="en-CA"/>
              </w:rPr>
            </w:pPr>
            <w:r w:rsidRPr="00227215">
              <w:rPr>
                <w:sz w:val="20"/>
                <w:szCs w:val="20"/>
                <w:lang w:val="en-US"/>
              </w:rPr>
              <w:t>Administrative</w:t>
            </w:r>
          </w:p>
        </w:tc>
        <w:tc>
          <w:tcPr>
            <w:tcW w:w="2263" w:type="dxa"/>
            <w:shd w:val="clear" w:color="auto" w:fill="auto"/>
          </w:tcPr>
          <w:p w14:paraId="5C555601" w14:textId="77777777" w:rsidR="00837A0F" w:rsidRPr="00227215" w:rsidRDefault="00837A0F" w:rsidP="002E41D2">
            <w:pPr>
              <w:widowControl w:val="0"/>
              <w:jc w:val="left"/>
              <w:rPr>
                <w:sz w:val="20"/>
                <w:szCs w:val="20"/>
                <w:lang w:eastAsia="en-CA"/>
              </w:rPr>
            </w:pPr>
            <w:r w:rsidRPr="00227215">
              <w:rPr>
                <w:sz w:val="20"/>
                <w:szCs w:val="20"/>
                <w:lang w:val="en-US"/>
              </w:rPr>
              <w:t>Timely submission of project completion reports</w:t>
            </w:r>
          </w:p>
        </w:tc>
        <w:tc>
          <w:tcPr>
            <w:tcW w:w="3861" w:type="dxa"/>
            <w:shd w:val="clear" w:color="auto" w:fill="auto"/>
          </w:tcPr>
          <w:p w14:paraId="50D151E8" w14:textId="77777777" w:rsidR="00837A0F" w:rsidRPr="00227215" w:rsidRDefault="00837A0F" w:rsidP="002E41D2">
            <w:pPr>
              <w:widowControl w:val="0"/>
              <w:autoSpaceDE w:val="0"/>
              <w:autoSpaceDN w:val="0"/>
              <w:adjustRightInd w:val="0"/>
              <w:jc w:val="left"/>
              <w:rPr>
                <w:sz w:val="20"/>
                <w:szCs w:val="20"/>
                <w:lang w:eastAsia="en-CA"/>
              </w:rPr>
            </w:pPr>
            <w:r w:rsidRPr="00227215">
              <w:rPr>
                <w:sz w:val="20"/>
                <w:szCs w:val="20"/>
                <w:lang w:val="en-US"/>
              </w:rPr>
              <w:t>Timely submission of project completion reports vs. those agreed</w:t>
            </w:r>
          </w:p>
        </w:tc>
        <w:tc>
          <w:tcPr>
            <w:tcW w:w="1522" w:type="dxa"/>
          </w:tcPr>
          <w:p w14:paraId="0940208E" w14:textId="77777777" w:rsidR="00837A0F" w:rsidRPr="00227215" w:rsidRDefault="00837A0F" w:rsidP="001F0BAD">
            <w:pPr>
              <w:jc w:val="right"/>
              <w:rPr>
                <w:sz w:val="20"/>
                <w:szCs w:val="20"/>
                <w:lang w:eastAsia="en-CA"/>
              </w:rPr>
            </w:pPr>
            <w:r w:rsidRPr="00227215">
              <w:rPr>
                <w:sz w:val="20"/>
                <w:szCs w:val="20"/>
                <w:lang w:eastAsia="en-CA"/>
              </w:rPr>
              <w:t>On time (</w:t>
            </w:r>
            <w:r w:rsidR="001F0BAD" w:rsidRPr="00227215">
              <w:rPr>
                <w:sz w:val="20"/>
                <w:szCs w:val="20"/>
                <w:lang w:eastAsia="en-CA"/>
              </w:rPr>
              <w:t>10</w:t>
            </w:r>
            <w:r w:rsidRPr="00227215">
              <w:rPr>
                <w:sz w:val="20"/>
                <w:szCs w:val="20"/>
                <w:lang w:eastAsia="en-CA"/>
              </w:rPr>
              <w:t>)</w:t>
            </w:r>
          </w:p>
        </w:tc>
      </w:tr>
      <w:tr w:rsidR="00837A0F" w:rsidRPr="00227215" w14:paraId="09F9B48B" w14:textId="77777777" w:rsidTr="002E41D2">
        <w:trPr>
          <w:jc w:val="center"/>
        </w:trPr>
        <w:tc>
          <w:tcPr>
            <w:tcW w:w="1701" w:type="dxa"/>
            <w:shd w:val="clear" w:color="auto" w:fill="auto"/>
          </w:tcPr>
          <w:p w14:paraId="7B1E77F1" w14:textId="77777777" w:rsidR="00837A0F" w:rsidRPr="00227215" w:rsidRDefault="00837A0F" w:rsidP="002E41D2">
            <w:pPr>
              <w:widowControl w:val="0"/>
              <w:jc w:val="left"/>
              <w:rPr>
                <w:sz w:val="20"/>
                <w:szCs w:val="20"/>
                <w:lang w:eastAsia="en-CA"/>
              </w:rPr>
            </w:pPr>
            <w:r w:rsidRPr="00227215">
              <w:rPr>
                <w:sz w:val="20"/>
                <w:szCs w:val="20"/>
                <w:lang w:val="en-US"/>
              </w:rPr>
              <w:t>Administrative</w:t>
            </w:r>
          </w:p>
        </w:tc>
        <w:tc>
          <w:tcPr>
            <w:tcW w:w="2263" w:type="dxa"/>
            <w:shd w:val="clear" w:color="auto" w:fill="auto"/>
          </w:tcPr>
          <w:p w14:paraId="5AEC4545" w14:textId="77777777" w:rsidR="00837A0F" w:rsidRPr="00227215" w:rsidRDefault="00837A0F" w:rsidP="002E41D2">
            <w:pPr>
              <w:widowControl w:val="0"/>
              <w:jc w:val="left"/>
              <w:rPr>
                <w:sz w:val="20"/>
                <w:szCs w:val="20"/>
                <w:lang w:eastAsia="en-CA"/>
              </w:rPr>
            </w:pPr>
            <w:r w:rsidRPr="00227215">
              <w:rPr>
                <w:sz w:val="20"/>
                <w:szCs w:val="20"/>
                <w:lang w:val="en-US"/>
              </w:rPr>
              <w:t>Timely submission of progress reports</w:t>
            </w:r>
          </w:p>
        </w:tc>
        <w:tc>
          <w:tcPr>
            <w:tcW w:w="3861" w:type="dxa"/>
            <w:shd w:val="clear" w:color="auto" w:fill="auto"/>
          </w:tcPr>
          <w:p w14:paraId="352A577C" w14:textId="77777777" w:rsidR="00837A0F" w:rsidRPr="00227215" w:rsidRDefault="00837A0F" w:rsidP="002E41D2">
            <w:pPr>
              <w:widowControl w:val="0"/>
              <w:autoSpaceDE w:val="0"/>
              <w:autoSpaceDN w:val="0"/>
              <w:adjustRightInd w:val="0"/>
              <w:jc w:val="left"/>
              <w:rPr>
                <w:sz w:val="20"/>
                <w:szCs w:val="20"/>
                <w:lang w:val="en-US"/>
              </w:rPr>
            </w:pPr>
            <w:r w:rsidRPr="00227215">
              <w:rPr>
                <w:sz w:val="20"/>
                <w:szCs w:val="20"/>
                <w:lang w:val="en-US"/>
              </w:rPr>
              <w:t>Timely submission of progress reports and business plans and responses unless otherwise agreed</w:t>
            </w:r>
          </w:p>
        </w:tc>
        <w:tc>
          <w:tcPr>
            <w:tcW w:w="1522" w:type="dxa"/>
          </w:tcPr>
          <w:p w14:paraId="346B0DB5" w14:textId="77777777" w:rsidR="00837A0F" w:rsidRPr="00227215" w:rsidRDefault="00837A0F" w:rsidP="002E41D2">
            <w:pPr>
              <w:jc w:val="right"/>
              <w:rPr>
                <w:sz w:val="20"/>
                <w:szCs w:val="20"/>
                <w:lang w:eastAsia="en-CA"/>
              </w:rPr>
            </w:pPr>
            <w:r w:rsidRPr="00227215">
              <w:rPr>
                <w:sz w:val="20"/>
                <w:szCs w:val="20"/>
                <w:lang w:eastAsia="en-CA"/>
              </w:rPr>
              <w:t>On time</w:t>
            </w:r>
          </w:p>
        </w:tc>
      </w:tr>
    </w:tbl>
    <w:p w14:paraId="4B8FFF87" w14:textId="77777777" w:rsidR="00837A0F" w:rsidRPr="00227215" w:rsidRDefault="00837A0F" w:rsidP="00837A0F">
      <w:pPr>
        <w:autoSpaceDE w:val="0"/>
        <w:autoSpaceDN w:val="0"/>
        <w:adjustRightInd w:val="0"/>
        <w:rPr>
          <w:sz w:val="19"/>
          <w:szCs w:val="19"/>
          <w:lang w:val="en-US"/>
        </w:rPr>
      </w:pPr>
      <w:r w:rsidRPr="00227215">
        <w:rPr>
          <w:sz w:val="19"/>
          <w:szCs w:val="19"/>
          <w:lang w:val="en-US"/>
        </w:rPr>
        <w:t>* The target of an agency would be reduced if it could not submit a tranche owing to another cooperating or lead agency, if agreed by that agency.</w:t>
      </w:r>
    </w:p>
    <w:p w14:paraId="6E4ABF5F" w14:textId="77777777" w:rsidR="00837A0F" w:rsidRPr="00227215" w:rsidRDefault="00837A0F" w:rsidP="00837A0F">
      <w:pPr>
        <w:pStyle w:val="Heading1"/>
        <w:numPr>
          <w:ilvl w:val="0"/>
          <w:numId w:val="0"/>
        </w:numPr>
        <w:spacing w:after="0"/>
        <w:rPr>
          <w:sz w:val="19"/>
          <w:szCs w:val="19"/>
        </w:rPr>
      </w:pPr>
      <w:r w:rsidRPr="00227215">
        <w:rPr>
          <w:sz w:val="19"/>
          <w:szCs w:val="19"/>
          <w:lang w:val="en-US"/>
        </w:rPr>
        <w:t>** Project preparation should not be assessed if the Executive Committee has not taken a decision on its funding.</w:t>
      </w:r>
    </w:p>
    <w:p w14:paraId="449C9DD7" w14:textId="77777777" w:rsidR="00837A0F" w:rsidRPr="00227215" w:rsidRDefault="00837A0F" w:rsidP="00837A0F"/>
    <w:p w14:paraId="47602489" w14:textId="77777777" w:rsidR="00837A0F" w:rsidRPr="00227215" w:rsidRDefault="00837A0F" w:rsidP="00837A0F">
      <w:pPr>
        <w:pStyle w:val="sub-title"/>
        <w:keepNext/>
        <w:spacing w:after="240"/>
        <w:rPr>
          <w:noProof w:val="0"/>
          <w:lang w:val="en-GB"/>
        </w:rPr>
      </w:pPr>
      <w:r w:rsidRPr="00227215">
        <w:rPr>
          <w:noProof w:val="0"/>
          <w:lang w:val="en-GB"/>
        </w:rPr>
        <w:t>RECOMMENDATION</w:t>
      </w:r>
    </w:p>
    <w:p w14:paraId="4E667708" w14:textId="77777777" w:rsidR="00837A0F" w:rsidRPr="00227215" w:rsidRDefault="00837A0F" w:rsidP="00837A0F">
      <w:pPr>
        <w:pStyle w:val="Heading1"/>
      </w:pPr>
      <w:r w:rsidRPr="00227215">
        <w:t>The Executive Committee may wish:</w:t>
      </w:r>
    </w:p>
    <w:p w14:paraId="4BF150E3" w14:textId="753004E5" w:rsidR="00837A0F" w:rsidRPr="00A465FE" w:rsidRDefault="00837A0F" w:rsidP="00837A0F">
      <w:pPr>
        <w:pStyle w:val="Heading2"/>
        <w:numPr>
          <w:ilvl w:val="1"/>
          <w:numId w:val="1"/>
        </w:numPr>
      </w:pPr>
      <w:r w:rsidRPr="00227215">
        <w:t>To note the World Bank business plan for 202</w:t>
      </w:r>
      <w:r w:rsidR="008128A5">
        <w:t>2</w:t>
      </w:r>
      <w:r w:rsidRPr="00227215">
        <w:t>–202</w:t>
      </w:r>
      <w:r w:rsidR="008128A5">
        <w:t>4</w:t>
      </w:r>
      <w:r w:rsidRPr="00227215">
        <w:t xml:space="preserve">, contained in </w:t>
      </w:r>
      <w:r w:rsidRPr="00A465FE">
        <w:t>document UNEP/OzL.Pro/ExCom/8</w:t>
      </w:r>
      <w:r w:rsidR="001F0BAD" w:rsidRPr="00A465FE">
        <w:t>8</w:t>
      </w:r>
      <w:r w:rsidRPr="00A465FE">
        <w:t>/</w:t>
      </w:r>
      <w:r w:rsidR="00A465FE" w:rsidRPr="00A465FE">
        <w:t>27</w:t>
      </w:r>
      <w:r w:rsidRPr="00A465FE">
        <w:t>; and</w:t>
      </w:r>
    </w:p>
    <w:p w14:paraId="03B8EC49" w14:textId="77777777" w:rsidR="00837A0F" w:rsidRPr="00A465FE" w:rsidRDefault="00837A0F" w:rsidP="00837A0F">
      <w:pPr>
        <w:pStyle w:val="Heading2"/>
        <w:numPr>
          <w:ilvl w:val="1"/>
          <w:numId w:val="1"/>
        </w:numPr>
      </w:pPr>
      <w:r w:rsidRPr="00A465FE">
        <w:t xml:space="preserve">To approve the performance indicators for the World Bank as set out in Table </w:t>
      </w:r>
      <w:r w:rsidR="001F0BAD" w:rsidRPr="00A465FE">
        <w:t>2</w:t>
      </w:r>
      <w:r w:rsidRPr="00A465FE">
        <w:t xml:space="preserve"> of document UNEP/OzL.Pro/ExCom/8</w:t>
      </w:r>
      <w:r w:rsidR="001F0BAD" w:rsidRPr="00A465FE">
        <w:t>8</w:t>
      </w:r>
      <w:r w:rsidRPr="00A465FE">
        <w:t>/</w:t>
      </w:r>
      <w:r w:rsidR="00A465FE" w:rsidRPr="00A465FE">
        <w:t>27</w:t>
      </w:r>
      <w:r w:rsidRPr="00A465F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837A0F" w:rsidRPr="009E12C8" w14:paraId="341DD396" w14:textId="77777777" w:rsidTr="002E41D2">
        <w:tc>
          <w:tcPr>
            <w:tcW w:w="1871" w:type="dxa"/>
          </w:tcPr>
          <w:p w14:paraId="684D5B7F" w14:textId="77777777" w:rsidR="00837A0F" w:rsidRPr="009E12C8" w:rsidRDefault="00837A0F" w:rsidP="002E41D2"/>
        </w:tc>
        <w:tc>
          <w:tcPr>
            <w:tcW w:w="1872" w:type="dxa"/>
          </w:tcPr>
          <w:p w14:paraId="7ABC1311" w14:textId="77777777" w:rsidR="00837A0F" w:rsidRPr="009E12C8" w:rsidRDefault="00837A0F" w:rsidP="002E41D2"/>
        </w:tc>
        <w:tc>
          <w:tcPr>
            <w:tcW w:w="1872" w:type="dxa"/>
            <w:tcBorders>
              <w:bottom w:val="single" w:sz="4" w:space="0" w:color="auto"/>
            </w:tcBorders>
          </w:tcPr>
          <w:p w14:paraId="1C345DA7" w14:textId="77777777" w:rsidR="00837A0F" w:rsidRPr="009E12C8" w:rsidRDefault="00837A0F" w:rsidP="002E41D2"/>
        </w:tc>
        <w:tc>
          <w:tcPr>
            <w:tcW w:w="1872" w:type="dxa"/>
          </w:tcPr>
          <w:p w14:paraId="1FF9877E" w14:textId="77777777" w:rsidR="00837A0F" w:rsidRPr="009E12C8" w:rsidRDefault="00837A0F" w:rsidP="002E41D2"/>
        </w:tc>
        <w:tc>
          <w:tcPr>
            <w:tcW w:w="1873" w:type="dxa"/>
          </w:tcPr>
          <w:p w14:paraId="42CFAC9D" w14:textId="77777777" w:rsidR="00837A0F" w:rsidRPr="009E12C8" w:rsidRDefault="00837A0F" w:rsidP="002E41D2"/>
        </w:tc>
      </w:tr>
    </w:tbl>
    <w:p w14:paraId="774ADF15" w14:textId="77777777" w:rsidR="00837A0F" w:rsidRPr="009E12C8" w:rsidRDefault="00837A0F" w:rsidP="00837A0F"/>
    <w:p w14:paraId="0E5D0E4F" w14:textId="77777777" w:rsidR="00C15867" w:rsidRPr="009B0D30" w:rsidRDefault="00C15867" w:rsidP="00857077">
      <w:pPr>
        <w:jc w:val="left"/>
      </w:pPr>
    </w:p>
    <w:sectPr w:rsidR="00C15867" w:rsidRPr="009B0D30"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ABF53" w16cex:dateUtc="2021-10-20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988579" w16cid:durableId="251ABF5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AD4A" w14:textId="77777777" w:rsidR="00353FB4" w:rsidRDefault="00353FB4" w:rsidP="004A504B">
      <w:r>
        <w:separator/>
      </w:r>
    </w:p>
  </w:endnote>
  <w:endnote w:type="continuationSeparator" w:id="0">
    <w:p w14:paraId="506D2E83" w14:textId="77777777" w:rsidR="00353FB4" w:rsidRDefault="00353FB4"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7BE8" w14:textId="5FDFFF95" w:rsidR="00DC6A10" w:rsidRPr="0033525D" w:rsidRDefault="00BC2495">
    <w:pPr>
      <w:jc w:val="center"/>
    </w:pPr>
    <w:r>
      <w:fldChar w:fldCharType="begin"/>
    </w:r>
    <w:r w:rsidR="00851352">
      <w:instrText xml:space="preserve"> PAGE </w:instrText>
    </w:r>
    <w:r>
      <w:fldChar w:fldCharType="separate"/>
    </w:r>
    <w:r w:rsidR="009C4FD0">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FF0C" w14:textId="074DE597" w:rsidR="00DC6A10" w:rsidRPr="0033525D" w:rsidRDefault="00BC2495">
    <w:pPr>
      <w:jc w:val="center"/>
    </w:pPr>
    <w:r>
      <w:fldChar w:fldCharType="begin"/>
    </w:r>
    <w:r w:rsidR="00851352">
      <w:instrText xml:space="preserve"> PAGE </w:instrText>
    </w:r>
    <w:r>
      <w:fldChar w:fldCharType="separate"/>
    </w:r>
    <w:r w:rsidR="009C4FD0">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361EE" w14:textId="77777777"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3F409F5C" w14:textId="77777777"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D40A7" w14:textId="77777777" w:rsidR="00353FB4" w:rsidRDefault="00353FB4" w:rsidP="004A504B">
      <w:r>
        <w:separator/>
      </w:r>
    </w:p>
  </w:footnote>
  <w:footnote w:type="continuationSeparator" w:id="0">
    <w:p w14:paraId="422841D9" w14:textId="77777777" w:rsidR="00353FB4" w:rsidRDefault="00353FB4" w:rsidP="004A504B">
      <w:r>
        <w:continuationSeparator/>
      </w:r>
    </w:p>
  </w:footnote>
  <w:footnote w:id="1">
    <w:p w14:paraId="41E23E40" w14:textId="77777777" w:rsidR="00B86471" w:rsidRPr="00227215" w:rsidRDefault="00B86471">
      <w:pPr>
        <w:pStyle w:val="FootnoteText"/>
        <w:rPr>
          <w:lang w:val="en-US"/>
        </w:rPr>
      </w:pPr>
      <w:r w:rsidRPr="00227215">
        <w:rPr>
          <w:rStyle w:val="FootnoteReference"/>
        </w:rPr>
        <w:footnoteRef/>
      </w:r>
      <w:r w:rsidRPr="00227215">
        <w:t xml:space="preserve"> Online meetings and an intersessional approval process will be held in November and December 2021 due to coronavirus disease (COVID-19)</w:t>
      </w:r>
      <w:r w:rsidR="00190245" w:rsidRPr="00227215">
        <w:t>.</w:t>
      </w:r>
    </w:p>
  </w:footnote>
  <w:footnote w:id="2">
    <w:p w14:paraId="1F7AFF69" w14:textId="77777777" w:rsidR="00837A0F" w:rsidRPr="009E12C8" w:rsidRDefault="00837A0F" w:rsidP="00837A0F">
      <w:pPr>
        <w:pStyle w:val="FootnoteText"/>
      </w:pPr>
      <w:r w:rsidRPr="00227215">
        <w:rPr>
          <w:rStyle w:val="FootnoteReference"/>
        </w:rPr>
        <w:footnoteRef/>
      </w:r>
      <w:r w:rsidRPr="00227215">
        <w:t xml:space="preserve"> Given the constraints imposed by the COVID-19 pandemic, the Secretariat’s comments on the initial submission of the World Bank business plan for 202</w:t>
      </w:r>
      <w:r w:rsidR="00190245" w:rsidRPr="00227215">
        <w:t>2</w:t>
      </w:r>
      <w:r w:rsidRPr="00227215">
        <w:t>–202</w:t>
      </w:r>
      <w:r w:rsidR="00190245" w:rsidRPr="00227215">
        <w:t>4</w:t>
      </w:r>
      <w:r w:rsidRPr="00227215">
        <w:t xml:space="preserve"> were addressed through bilateral discussions and numerous exchanges of electronic messages. All issues were satisfactorily addressed.</w:t>
      </w:r>
    </w:p>
  </w:footnote>
  <w:footnote w:id="3">
    <w:p w14:paraId="4CA510AC" w14:textId="132577AF" w:rsidR="00837A0F" w:rsidRPr="00227215" w:rsidRDefault="00837A0F" w:rsidP="00837A0F">
      <w:pPr>
        <w:pStyle w:val="FootnoteText"/>
      </w:pPr>
      <w:r w:rsidRPr="00227215">
        <w:rPr>
          <w:rStyle w:val="FootnoteReference"/>
        </w:rPr>
        <w:footnoteRef/>
      </w:r>
      <w:r w:rsidRPr="00227215">
        <w:t xml:space="preserve"> Funding for the preparation of national implementation plans to meet initial reduction obligations for the phase-down of HFCs could be provided, at the earliest, five years prior to those obligations, after a country had ratified the Kigali Amendment and on the basis of guidelines to be approved in the future (decision 79/46(b)(iii)). In addition, HFC phase-down preparation activities </w:t>
      </w:r>
      <w:r w:rsidR="009871A8">
        <w:t xml:space="preserve">could be included </w:t>
      </w:r>
      <w:r w:rsidRPr="00227215">
        <w:t>in the business plan for countries that had not ratified the Kigali Amendment but had submitted a letter indicating their Government’s intent to make best efforts to ratify the Kigali Amendment</w:t>
      </w:r>
      <w:r w:rsidR="009871A8">
        <w:t xml:space="preserve"> (</w:t>
      </w:r>
      <w:r w:rsidR="009871A8" w:rsidRPr="00227215">
        <w:t>decision </w:t>
      </w:r>
      <w:r w:rsidR="009871A8">
        <w:t>84/46(f))</w:t>
      </w:r>
      <w:r w:rsidRPr="00227215">
        <w:t>.</w:t>
      </w:r>
      <w:r w:rsidR="009871A8">
        <w:t xml:space="preserve"> </w:t>
      </w:r>
      <w:r w:rsidR="00F50C85" w:rsidRPr="00227215">
        <w:t>The</w:t>
      </w:r>
      <w:r w:rsidR="00BB1F74">
        <w:t xml:space="preserve"> </w:t>
      </w:r>
      <w:r w:rsidR="00BB1F74" w:rsidRPr="00BB1F74">
        <w:t>guidelines for the preparation of KIP</w:t>
      </w:r>
      <w:r w:rsidR="00C975BD">
        <w:t>s</w:t>
      </w:r>
      <w:r w:rsidR="00BB1F74">
        <w:t xml:space="preserve"> </w:t>
      </w:r>
      <w:r w:rsidR="00F50C85" w:rsidRPr="00227215">
        <w:t>w</w:t>
      </w:r>
      <w:r w:rsidR="00C975BD">
        <w:t>ere</w:t>
      </w:r>
      <w:r w:rsidR="00F50C85" w:rsidRPr="00227215">
        <w:t xml:space="preserve"> approved at the 87</w:t>
      </w:r>
      <w:r w:rsidR="00F50C85" w:rsidRPr="00227215">
        <w:rPr>
          <w:vertAlign w:val="superscript"/>
        </w:rPr>
        <w:t>th</w:t>
      </w:r>
      <w:r w:rsidR="00F50C85" w:rsidRPr="00227215">
        <w:t xml:space="preserve"> </w:t>
      </w:r>
      <w:r w:rsidR="00F50C85" w:rsidRPr="00A465FE">
        <w:t>meeting</w:t>
      </w:r>
      <w:r w:rsidR="00A465FE" w:rsidRPr="00A465FE">
        <w:t xml:space="preserve"> (</w:t>
      </w:r>
      <w:r w:rsidR="00C975BD">
        <w:t>d</w:t>
      </w:r>
      <w:r w:rsidR="00A465FE" w:rsidRPr="00A465FE">
        <w:t>ecision 87/50).</w:t>
      </w:r>
      <w:r w:rsidR="00F50C85" w:rsidRPr="00227215">
        <w:t xml:space="preserve"> </w:t>
      </w:r>
    </w:p>
  </w:footnote>
  <w:footnote w:id="4">
    <w:p w14:paraId="737D72CB" w14:textId="1F6D2C66" w:rsidR="00837A0F" w:rsidRPr="00227215" w:rsidRDefault="00837A0F" w:rsidP="00837A0F">
      <w:pPr>
        <w:pStyle w:val="FootnoteText"/>
      </w:pPr>
      <w:r w:rsidRPr="00227215">
        <w:rPr>
          <w:rStyle w:val="FootnoteReference"/>
        </w:rPr>
        <w:footnoteRef/>
      </w:r>
      <w:r w:rsidRPr="00227215">
        <w:t xml:space="preserve"> The World Bank’s 202</w:t>
      </w:r>
      <w:r w:rsidR="00D050A1" w:rsidRPr="00227215">
        <w:t>2</w:t>
      </w:r>
      <w:r w:rsidRPr="00227215">
        <w:t xml:space="preserve"> core unit cost</w:t>
      </w:r>
      <w:r w:rsidR="00C975BD">
        <w:t>s</w:t>
      </w:r>
      <w:r w:rsidRPr="00227215">
        <w:t xml:space="preserve"> </w:t>
      </w:r>
      <w:r w:rsidR="000B7D87" w:rsidRPr="00227215">
        <w:t>will be considered</w:t>
      </w:r>
      <w:r w:rsidRPr="00227215">
        <w:t xml:space="preserve"> at the 8</w:t>
      </w:r>
      <w:r w:rsidR="00D050A1" w:rsidRPr="00227215">
        <w:t>8</w:t>
      </w:r>
      <w:r w:rsidRPr="00227215">
        <w:rPr>
          <w:vertAlign w:val="superscript"/>
        </w:rPr>
        <w:t>th </w:t>
      </w:r>
      <w:r w:rsidRPr="00227215">
        <w:t xml:space="preserve">meeting </w:t>
      </w:r>
      <w:r w:rsidRPr="00A465FE">
        <w:t>(UNEP/OzL.Pro/ExCom/8</w:t>
      </w:r>
      <w:r w:rsidR="00D050A1" w:rsidRPr="00A465FE">
        <w:t>8</w:t>
      </w:r>
      <w:r w:rsidRPr="00A465FE">
        <w:t>/</w:t>
      </w:r>
      <w:r w:rsidR="00A465FE" w:rsidRPr="00A465FE">
        <w:t>35</w:t>
      </w:r>
      <w:r w:rsidRPr="00A465FE">
        <w:t>).</w:t>
      </w:r>
    </w:p>
  </w:footnote>
  <w:footnote w:id="5">
    <w:p w14:paraId="2EA9CD8F" w14:textId="363D7C9F" w:rsidR="00837A0F" w:rsidRPr="009E12C8" w:rsidRDefault="00837A0F" w:rsidP="00837A0F">
      <w:pPr>
        <w:pStyle w:val="FootnoteText"/>
      </w:pPr>
      <w:r w:rsidRPr="00227215">
        <w:rPr>
          <w:rStyle w:val="FootnoteReference"/>
        </w:rPr>
        <w:footnoteRef/>
      </w:r>
      <w:r w:rsidRPr="00227215">
        <w:t xml:space="preserve"> In the absence of a decision by the Parties on the level of the replenishment of the Multilateral Fund for the 2021</w:t>
      </w:r>
      <w:r w:rsidRPr="00227215">
        <w:noBreakHyphen/>
        <w:t>2023 triennium, and in light of decision XXXII/1, the indicative budget for resource allocation of the business plan for 202</w:t>
      </w:r>
      <w:r w:rsidR="009F2542" w:rsidRPr="00227215">
        <w:t>2</w:t>
      </w:r>
      <w:r w:rsidRPr="00227215">
        <w:t>–202</w:t>
      </w:r>
      <w:r w:rsidR="009F2542" w:rsidRPr="00227215">
        <w:t>4</w:t>
      </w:r>
      <w:r w:rsidRPr="00227215">
        <w:t xml:space="preserve"> was assumed at the same level of the replenishment of the 2018–2020 triennium. This </w:t>
      </w:r>
      <w:r w:rsidRPr="00A465FE">
        <w:t xml:space="preserve">issue is discussed in </w:t>
      </w:r>
      <w:r w:rsidR="008128A5">
        <w:t>the consolidated 2022-2024 business plan of the Multilateral Fund (</w:t>
      </w:r>
      <w:r w:rsidRPr="00A465FE">
        <w:t>UNEP/OzL.Pro/ExCom/8</w:t>
      </w:r>
      <w:r w:rsidR="009F2542" w:rsidRPr="00A465FE">
        <w:t>8</w:t>
      </w:r>
      <w:r w:rsidRPr="00A465FE">
        <w:t>/</w:t>
      </w:r>
      <w:r w:rsidR="00A465FE" w:rsidRPr="00A465FE">
        <w:t>22</w:t>
      </w:r>
      <w:r w:rsidR="008128A5">
        <w:t>)</w:t>
      </w:r>
      <w:r w:rsidRPr="00A465FE">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8399" w14:textId="77777777" w:rsidR="00DC6A10" w:rsidRPr="0033525D" w:rsidRDefault="00A325CA">
    <w:fldSimple w:instr=" DOCPROPERTY &quot;Document number&quot;  \* MERGEFORMAT ">
      <w:r w:rsidR="005A6D8D">
        <w:t>UNEP/OzL.Pro/ExCom/88/27</w:t>
      </w:r>
    </w:fldSimple>
  </w:p>
  <w:p w14:paraId="37552B65" w14:textId="77777777" w:rsidR="00DC6A10" w:rsidRPr="0033525D" w:rsidRDefault="00DC6A10"/>
  <w:p w14:paraId="596E9EFA" w14:textId="77777777" w:rsidR="00DC6A10" w:rsidRPr="0033525D" w:rsidRDefault="00DC6A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91EC" w14:textId="77777777" w:rsidR="00DC6A10" w:rsidRPr="0033525D" w:rsidRDefault="00A325CA">
    <w:pPr>
      <w:jc w:val="right"/>
    </w:pPr>
    <w:fldSimple w:instr=" DOCPROPERTY &quot;Document number&quot;  \* MERGEFORMAT ">
      <w:r w:rsidR="005A6D8D">
        <w:t>UNEP/OzL.Pro/ExCom/88/27</w:t>
      </w:r>
    </w:fldSimple>
  </w:p>
  <w:p w14:paraId="6617EB04" w14:textId="77777777" w:rsidR="00DC6A10" w:rsidRPr="0033525D" w:rsidRDefault="00DC6A10"/>
  <w:p w14:paraId="3E9FE1F4" w14:textId="77777777"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5"/>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837A0F"/>
    <w:rsid w:val="00000FED"/>
    <w:rsid w:val="0000434E"/>
    <w:rsid w:val="000211A9"/>
    <w:rsid w:val="00031260"/>
    <w:rsid w:val="0003681A"/>
    <w:rsid w:val="000372B7"/>
    <w:rsid w:val="00050F6E"/>
    <w:rsid w:val="00061EC2"/>
    <w:rsid w:val="00066CE8"/>
    <w:rsid w:val="00080ED0"/>
    <w:rsid w:val="00085B8F"/>
    <w:rsid w:val="00090481"/>
    <w:rsid w:val="000A3826"/>
    <w:rsid w:val="000A6C26"/>
    <w:rsid w:val="000B7D87"/>
    <w:rsid w:val="000C59B5"/>
    <w:rsid w:val="000D52A4"/>
    <w:rsid w:val="000E07BC"/>
    <w:rsid w:val="000E7CF2"/>
    <w:rsid w:val="000F1CD4"/>
    <w:rsid w:val="000F4103"/>
    <w:rsid w:val="000F70A7"/>
    <w:rsid w:val="00113CCA"/>
    <w:rsid w:val="00122F25"/>
    <w:rsid w:val="00135980"/>
    <w:rsid w:val="00164719"/>
    <w:rsid w:val="00166FC4"/>
    <w:rsid w:val="001677AC"/>
    <w:rsid w:val="001804EA"/>
    <w:rsid w:val="00190245"/>
    <w:rsid w:val="00190A61"/>
    <w:rsid w:val="001A2215"/>
    <w:rsid w:val="001A3342"/>
    <w:rsid w:val="001A3E3D"/>
    <w:rsid w:val="001A7049"/>
    <w:rsid w:val="001B1E40"/>
    <w:rsid w:val="001C764E"/>
    <w:rsid w:val="001E1052"/>
    <w:rsid w:val="001E21B1"/>
    <w:rsid w:val="001E2F93"/>
    <w:rsid w:val="001E4554"/>
    <w:rsid w:val="001E61E5"/>
    <w:rsid w:val="001F0BAD"/>
    <w:rsid w:val="001F2159"/>
    <w:rsid w:val="001F3F97"/>
    <w:rsid w:val="00210B8B"/>
    <w:rsid w:val="00214863"/>
    <w:rsid w:val="002156B4"/>
    <w:rsid w:val="00224FCD"/>
    <w:rsid w:val="00227215"/>
    <w:rsid w:val="00253222"/>
    <w:rsid w:val="00262847"/>
    <w:rsid w:val="00281BB2"/>
    <w:rsid w:val="002B254E"/>
    <w:rsid w:val="002B532E"/>
    <w:rsid w:val="002B72E9"/>
    <w:rsid w:val="002B7B4A"/>
    <w:rsid w:val="002C7998"/>
    <w:rsid w:val="002F1E53"/>
    <w:rsid w:val="002F2CAA"/>
    <w:rsid w:val="0030052C"/>
    <w:rsid w:val="003306E1"/>
    <w:rsid w:val="003320E4"/>
    <w:rsid w:val="0033525D"/>
    <w:rsid w:val="003414F3"/>
    <w:rsid w:val="00353FB4"/>
    <w:rsid w:val="0035613E"/>
    <w:rsid w:val="00363EE9"/>
    <w:rsid w:val="00376128"/>
    <w:rsid w:val="0037742E"/>
    <w:rsid w:val="00377D56"/>
    <w:rsid w:val="0038245A"/>
    <w:rsid w:val="003840E6"/>
    <w:rsid w:val="00385CFC"/>
    <w:rsid w:val="0039337A"/>
    <w:rsid w:val="003A3189"/>
    <w:rsid w:val="003A3CA7"/>
    <w:rsid w:val="003B33BD"/>
    <w:rsid w:val="003B569D"/>
    <w:rsid w:val="003C3C0E"/>
    <w:rsid w:val="003D42A6"/>
    <w:rsid w:val="003D4F21"/>
    <w:rsid w:val="003D4FAC"/>
    <w:rsid w:val="003E7906"/>
    <w:rsid w:val="003F3C50"/>
    <w:rsid w:val="003F5B57"/>
    <w:rsid w:val="00406A6A"/>
    <w:rsid w:val="00406B22"/>
    <w:rsid w:val="004328A7"/>
    <w:rsid w:val="00434C74"/>
    <w:rsid w:val="00456EB4"/>
    <w:rsid w:val="004718F3"/>
    <w:rsid w:val="00475040"/>
    <w:rsid w:val="00486FF9"/>
    <w:rsid w:val="00493D40"/>
    <w:rsid w:val="004967B6"/>
    <w:rsid w:val="004A504B"/>
    <w:rsid w:val="004A6911"/>
    <w:rsid w:val="004B54E0"/>
    <w:rsid w:val="004B7384"/>
    <w:rsid w:val="004C4269"/>
    <w:rsid w:val="004D6236"/>
    <w:rsid w:val="004D7F90"/>
    <w:rsid w:val="004E4DBB"/>
    <w:rsid w:val="004E4E41"/>
    <w:rsid w:val="004E576E"/>
    <w:rsid w:val="004E7F9C"/>
    <w:rsid w:val="004F3493"/>
    <w:rsid w:val="004F5143"/>
    <w:rsid w:val="00512B09"/>
    <w:rsid w:val="005220ED"/>
    <w:rsid w:val="00533796"/>
    <w:rsid w:val="00537343"/>
    <w:rsid w:val="00553085"/>
    <w:rsid w:val="00555D75"/>
    <w:rsid w:val="00560DF0"/>
    <w:rsid w:val="0056759C"/>
    <w:rsid w:val="0059513E"/>
    <w:rsid w:val="005A6AA4"/>
    <w:rsid w:val="005A6D8D"/>
    <w:rsid w:val="005A6D9F"/>
    <w:rsid w:val="005B48FF"/>
    <w:rsid w:val="005D363F"/>
    <w:rsid w:val="005F426D"/>
    <w:rsid w:val="00604C15"/>
    <w:rsid w:val="006158D5"/>
    <w:rsid w:val="00625D83"/>
    <w:rsid w:val="006623E7"/>
    <w:rsid w:val="00662B80"/>
    <w:rsid w:val="00670F6C"/>
    <w:rsid w:val="006852C7"/>
    <w:rsid w:val="006852CE"/>
    <w:rsid w:val="00692D14"/>
    <w:rsid w:val="006B65C7"/>
    <w:rsid w:val="006C1727"/>
    <w:rsid w:val="006C1E9F"/>
    <w:rsid w:val="006C32FD"/>
    <w:rsid w:val="006C39CE"/>
    <w:rsid w:val="006D0FCC"/>
    <w:rsid w:val="006D21F5"/>
    <w:rsid w:val="006E126D"/>
    <w:rsid w:val="006E1FC3"/>
    <w:rsid w:val="00704CE9"/>
    <w:rsid w:val="0070616B"/>
    <w:rsid w:val="00706295"/>
    <w:rsid w:val="00706FDA"/>
    <w:rsid w:val="00711F9A"/>
    <w:rsid w:val="00713810"/>
    <w:rsid w:val="0071678B"/>
    <w:rsid w:val="007303A5"/>
    <w:rsid w:val="00730B3E"/>
    <w:rsid w:val="0073420B"/>
    <w:rsid w:val="00747596"/>
    <w:rsid w:val="0074760E"/>
    <w:rsid w:val="00754ABA"/>
    <w:rsid w:val="00782B0D"/>
    <w:rsid w:val="007A1546"/>
    <w:rsid w:val="007A228C"/>
    <w:rsid w:val="007A368E"/>
    <w:rsid w:val="007A5868"/>
    <w:rsid w:val="007B04CE"/>
    <w:rsid w:val="007B6871"/>
    <w:rsid w:val="007B7A2F"/>
    <w:rsid w:val="007C3D33"/>
    <w:rsid w:val="007D294A"/>
    <w:rsid w:val="007D47D2"/>
    <w:rsid w:val="007D6EC0"/>
    <w:rsid w:val="007D7E1D"/>
    <w:rsid w:val="008128A5"/>
    <w:rsid w:val="00831979"/>
    <w:rsid w:val="00837A0F"/>
    <w:rsid w:val="00851352"/>
    <w:rsid w:val="00857077"/>
    <w:rsid w:val="00863230"/>
    <w:rsid w:val="00865BD0"/>
    <w:rsid w:val="008717D8"/>
    <w:rsid w:val="0087215C"/>
    <w:rsid w:val="00875D25"/>
    <w:rsid w:val="00880E35"/>
    <w:rsid w:val="008875FE"/>
    <w:rsid w:val="00887F8E"/>
    <w:rsid w:val="00896234"/>
    <w:rsid w:val="00897E43"/>
    <w:rsid w:val="008C5738"/>
    <w:rsid w:val="008C7EAD"/>
    <w:rsid w:val="008D0CFE"/>
    <w:rsid w:val="008D6152"/>
    <w:rsid w:val="008E7BA9"/>
    <w:rsid w:val="008F0F81"/>
    <w:rsid w:val="008F27BF"/>
    <w:rsid w:val="009142EC"/>
    <w:rsid w:val="009154C3"/>
    <w:rsid w:val="00923540"/>
    <w:rsid w:val="00926767"/>
    <w:rsid w:val="009361D5"/>
    <w:rsid w:val="009422D3"/>
    <w:rsid w:val="009428A4"/>
    <w:rsid w:val="009659F4"/>
    <w:rsid w:val="00970D60"/>
    <w:rsid w:val="009871A8"/>
    <w:rsid w:val="0099390E"/>
    <w:rsid w:val="009960E5"/>
    <w:rsid w:val="009A7ADC"/>
    <w:rsid w:val="009B0D30"/>
    <w:rsid w:val="009C19B7"/>
    <w:rsid w:val="009C4FD0"/>
    <w:rsid w:val="009C5ABB"/>
    <w:rsid w:val="009D7C51"/>
    <w:rsid w:val="009E196C"/>
    <w:rsid w:val="009F1E3D"/>
    <w:rsid w:val="009F2542"/>
    <w:rsid w:val="009F36BF"/>
    <w:rsid w:val="00A111B6"/>
    <w:rsid w:val="00A26D27"/>
    <w:rsid w:val="00A325CA"/>
    <w:rsid w:val="00A376EE"/>
    <w:rsid w:val="00A42A99"/>
    <w:rsid w:val="00A465FE"/>
    <w:rsid w:val="00A5151A"/>
    <w:rsid w:val="00A57E0A"/>
    <w:rsid w:val="00A823F6"/>
    <w:rsid w:val="00A8719E"/>
    <w:rsid w:val="00AA0A89"/>
    <w:rsid w:val="00AA6429"/>
    <w:rsid w:val="00AB6ADA"/>
    <w:rsid w:val="00AC01AA"/>
    <w:rsid w:val="00AC4F72"/>
    <w:rsid w:val="00AF741A"/>
    <w:rsid w:val="00B01ADB"/>
    <w:rsid w:val="00B04161"/>
    <w:rsid w:val="00B056F9"/>
    <w:rsid w:val="00B11E3D"/>
    <w:rsid w:val="00B17E82"/>
    <w:rsid w:val="00B312D1"/>
    <w:rsid w:val="00B4575A"/>
    <w:rsid w:val="00B575BA"/>
    <w:rsid w:val="00B71608"/>
    <w:rsid w:val="00B76429"/>
    <w:rsid w:val="00B86471"/>
    <w:rsid w:val="00B956D4"/>
    <w:rsid w:val="00B97446"/>
    <w:rsid w:val="00BA7432"/>
    <w:rsid w:val="00BB1F74"/>
    <w:rsid w:val="00BB2764"/>
    <w:rsid w:val="00BC1AA0"/>
    <w:rsid w:val="00BC2495"/>
    <w:rsid w:val="00BC7EB9"/>
    <w:rsid w:val="00BD2643"/>
    <w:rsid w:val="00BD56B1"/>
    <w:rsid w:val="00BD6558"/>
    <w:rsid w:val="00BF2F76"/>
    <w:rsid w:val="00BF3022"/>
    <w:rsid w:val="00BF3214"/>
    <w:rsid w:val="00BF5573"/>
    <w:rsid w:val="00C15867"/>
    <w:rsid w:val="00C2296D"/>
    <w:rsid w:val="00C23155"/>
    <w:rsid w:val="00C40C41"/>
    <w:rsid w:val="00C45885"/>
    <w:rsid w:val="00C50F22"/>
    <w:rsid w:val="00C57971"/>
    <w:rsid w:val="00C65BD7"/>
    <w:rsid w:val="00C76BA4"/>
    <w:rsid w:val="00C83A48"/>
    <w:rsid w:val="00C85865"/>
    <w:rsid w:val="00C85E85"/>
    <w:rsid w:val="00C975BD"/>
    <w:rsid w:val="00CA2EAE"/>
    <w:rsid w:val="00CA4AC1"/>
    <w:rsid w:val="00CB0316"/>
    <w:rsid w:val="00CB0B11"/>
    <w:rsid w:val="00CB426A"/>
    <w:rsid w:val="00CB5354"/>
    <w:rsid w:val="00CC3C9E"/>
    <w:rsid w:val="00CC6A14"/>
    <w:rsid w:val="00CC70A3"/>
    <w:rsid w:val="00CD4442"/>
    <w:rsid w:val="00CD53C3"/>
    <w:rsid w:val="00CD574E"/>
    <w:rsid w:val="00CE4C22"/>
    <w:rsid w:val="00CE76E5"/>
    <w:rsid w:val="00CF4149"/>
    <w:rsid w:val="00CF41EC"/>
    <w:rsid w:val="00CF5D04"/>
    <w:rsid w:val="00D04DE4"/>
    <w:rsid w:val="00D050A1"/>
    <w:rsid w:val="00D063F1"/>
    <w:rsid w:val="00D14F22"/>
    <w:rsid w:val="00D4741C"/>
    <w:rsid w:val="00D57918"/>
    <w:rsid w:val="00D73DC6"/>
    <w:rsid w:val="00D74C1A"/>
    <w:rsid w:val="00D754C1"/>
    <w:rsid w:val="00D77393"/>
    <w:rsid w:val="00D77A35"/>
    <w:rsid w:val="00D81B3E"/>
    <w:rsid w:val="00D90C70"/>
    <w:rsid w:val="00D90E49"/>
    <w:rsid w:val="00D96ADE"/>
    <w:rsid w:val="00DA0CE2"/>
    <w:rsid w:val="00DC6A10"/>
    <w:rsid w:val="00DE657E"/>
    <w:rsid w:val="00DF4704"/>
    <w:rsid w:val="00E024AA"/>
    <w:rsid w:val="00E15C77"/>
    <w:rsid w:val="00E250F1"/>
    <w:rsid w:val="00E3550D"/>
    <w:rsid w:val="00E52838"/>
    <w:rsid w:val="00E614E0"/>
    <w:rsid w:val="00E73F7F"/>
    <w:rsid w:val="00E85409"/>
    <w:rsid w:val="00EA429F"/>
    <w:rsid w:val="00EA4F9E"/>
    <w:rsid w:val="00EA63CA"/>
    <w:rsid w:val="00EA6D3B"/>
    <w:rsid w:val="00EB00AD"/>
    <w:rsid w:val="00EB136C"/>
    <w:rsid w:val="00EB480E"/>
    <w:rsid w:val="00EB5EC6"/>
    <w:rsid w:val="00EB77AA"/>
    <w:rsid w:val="00EB7FC9"/>
    <w:rsid w:val="00ED27E8"/>
    <w:rsid w:val="00ED7137"/>
    <w:rsid w:val="00EE126D"/>
    <w:rsid w:val="00EF06EA"/>
    <w:rsid w:val="00EF6A82"/>
    <w:rsid w:val="00F21088"/>
    <w:rsid w:val="00F327E7"/>
    <w:rsid w:val="00F35746"/>
    <w:rsid w:val="00F447C7"/>
    <w:rsid w:val="00F459B4"/>
    <w:rsid w:val="00F50C85"/>
    <w:rsid w:val="00F5211B"/>
    <w:rsid w:val="00F554A9"/>
    <w:rsid w:val="00F617C3"/>
    <w:rsid w:val="00F716FD"/>
    <w:rsid w:val="00F80355"/>
    <w:rsid w:val="00F87C43"/>
    <w:rsid w:val="00FA5722"/>
    <w:rsid w:val="00FB0C81"/>
    <w:rsid w:val="00FC2200"/>
    <w:rsid w:val="00FC2540"/>
    <w:rsid w:val="00FD3067"/>
    <w:rsid w:val="00FE1FA7"/>
    <w:rsid w:val="00FE718E"/>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6D09487"/>
  <w15:docId w15:val="{7A014F4A-46F9-4E37-ADD5-2240D8F5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SubPara (a) Char"/>
    <w:basedOn w:val="Normal"/>
    <w:next w:val="Normal"/>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uiPriority w:val="99"/>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semiHidden/>
    <w:unhideWhenUsed/>
    <w:rsid w:val="006E126D"/>
    <w:rPr>
      <w:sz w:val="20"/>
      <w:szCs w:val="20"/>
    </w:rPr>
  </w:style>
  <w:style w:type="character" w:customStyle="1" w:styleId="FootnoteTextChar">
    <w:name w:val="Footnote Text Char"/>
    <w:basedOn w:val="DefaultParagraphFont"/>
    <w:link w:val="FootnoteText"/>
    <w:semiHidden/>
    <w:rsid w:val="006E126D"/>
    <w:rPr>
      <w:lang w:val="en-GB"/>
    </w:rPr>
  </w:style>
  <w:style w:type="character" w:styleId="FootnoteReference">
    <w:name w:val="footnote reference"/>
    <w:basedOn w:val="DefaultParagraphFont"/>
    <w:semiHidden/>
    <w:unhideWhenUsed/>
    <w:rsid w:val="006E126D"/>
    <w:rPr>
      <w:vertAlign w:val="superscript"/>
    </w:rPr>
  </w:style>
  <w:style w:type="paragraph" w:customStyle="1" w:styleId="Title2">
    <w:name w:val="Title2"/>
    <w:rsid w:val="00837A0F"/>
    <w:pPr>
      <w:jc w:val="center"/>
      <w:outlineLvl w:val="0"/>
    </w:pPr>
    <w:rPr>
      <w:b/>
      <w:caps/>
      <w:sz w:val="22"/>
      <w:szCs w:val="22"/>
      <w:lang w:val="en-GB"/>
    </w:rPr>
  </w:style>
  <w:style w:type="paragraph" w:customStyle="1" w:styleId="subhead">
    <w:name w:val="subhead"/>
    <w:basedOn w:val="Normal"/>
    <w:next w:val="Normal"/>
    <w:uiPriority w:val="99"/>
    <w:rsid w:val="00837A0F"/>
    <w:pPr>
      <w:tabs>
        <w:tab w:val="left" w:pos="-720"/>
        <w:tab w:val="left" w:pos="0"/>
        <w:tab w:val="left" w:pos="720"/>
        <w:tab w:val="left" w:pos="1440"/>
        <w:tab w:val="left" w:pos="2160"/>
        <w:tab w:val="left" w:pos="2880"/>
        <w:tab w:val="left" w:pos="3600"/>
      </w:tabs>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645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26"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8th\Templates\Eec8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UNEP/OzL.Pro/ExCom/88/27</Document_x0020_Number>
    <DocumentType xmlns="64e33b30-101d-41de-b951-961aab25ea29">Pre-session</DocumentType>
  </documentManagement>
</p:properties>
</file>

<file path=customXml/itemProps1.xml><?xml version="1.0" encoding="utf-8"?>
<ds:datastoreItem xmlns:ds="http://schemas.openxmlformats.org/officeDocument/2006/customXml" ds:itemID="{2FF9B46A-0353-422C-A271-4116FBF84BA1}"/>
</file>

<file path=customXml/itemProps2.xml><?xml version="1.0" encoding="utf-8"?>
<ds:datastoreItem xmlns:ds="http://schemas.openxmlformats.org/officeDocument/2006/customXml" ds:itemID="{6E3A9698-39EB-47D5-80ED-E2A01869870C}"/>
</file>

<file path=customXml/itemProps3.xml><?xml version="1.0" encoding="utf-8"?>
<ds:datastoreItem xmlns:ds="http://schemas.openxmlformats.org/officeDocument/2006/customXml" ds:itemID="{04E660A5-C91A-4FFE-B944-8632A7B3AFDC}"/>
</file>

<file path=customXml/itemProps4.xml><?xml version="1.0" encoding="utf-8"?>
<ds:datastoreItem xmlns:ds="http://schemas.openxmlformats.org/officeDocument/2006/customXml" ds:itemID="{D310939E-EF04-4447-BAD8-E4E3216AFE0D}"/>
</file>

<file path=docProps/app.xml><?xml version="1.0" encoding="utf-8"?>
<Properties xmlns="http://schemas.openxmlformats.org/officeDocument/2006/extended-properties" xmlns:vt="http://schemas.openxmlformats.org/officeDocument/2006/docPropsVTypes">
  <Template>Eec88G</Template>
  <TotalTime>12</TotalTime>
  <Pages>3</Pages>
  <Words>763</Words>
  <Characters>4290</Characters>
  <Application>Microsoft Office Word</Application>
  <DocSecurity>0</DocSecurity>
  <Lines>210</Lines>
  <Paragraphs>143</Paragraphs>
  <ScaleCrop>false</ScaleCrop>
  <HeadingPairs>
    <vt:vector size="2" baseType="variant">
      <vt:variant>
        <vt:lpstr>Title</vt:lpstr>
      </vt:variant>
      <vt:variant>
        <vt:i4>1</vt:i4>
      </vt:variant>
    </vt:vector>
  </HeadingPairs>
  <TitlesOfParts>
    <vt:vector size="1" baseType="lpstr">
      <vt:lpstr>2022-2024 business plans of the World Bank</vt:lpstr>
    </vt:vector>
  </TitlesOfParts>
  <Company>UNMFS</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2022-2024 business plans of the World Bank (part 1)</dc:title>
  <dc:creator>Laura Duong</dc:creator>
  <cp:lastModifiedBy>Nanette Guerin</cp:lastModifiedBy>
  <cp:revision>6</cp:revision>
  <cp:lastPrinted>2001-05-26T16:40:00Z</cp:lastPrinted>
  <dcterms:created xsi:type="dcterms:W3CDTF">2021-10-22T00:51:00Z</dcterms:created>
  <dcterms:modified xsi:type="dcterms:W3CDTF">2021-10-26T15:02:00Z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UNEP/OzL.Pro/ExCom/88/27</vt:lpwstr>
  </property>
  <property fmtid="{D5CDD505-2E9C-101B-9397-08002B2CF9AE}" pid="3" name="Revision date">
    <vt:lpwstr>10/26/2021</vt:lpwstr>
  </property>
  <property fmtid="{D5CDD505-2E9C-101B-9397-08002B2CF9AE}" pid="4" name="ContentTypeId">
    <vt:lpwstr>0x010100BE9B89F773C4B04FA1A88A390C771F1B</vt:lpwstr>
  </property>
</Properties>
</file>