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rsidTr="00736DB1">
        <w:trPr>
          <w:trHeight w:val="720"/>
        </w:trPr>
        <w:tc>
          <w:tcPr>
            <w:tcW w:w="5490" w:type="dxa"/>
            <w:gridSpan w:val="2"/>
            <w:tcBorders>
              <w:bottom w:val="single" w:sz="18" w:space="0" w:color="auto"/>
            </w:tcBorders>
          </w:tcPr>
          <w:p w:rsidR="00C15867" w:rsidRPr="009B0D30" w:rsidRDefault="00C15867" w:rsidP="007644D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rsidR="00C15867" w:rsidRPr="009B0D30" w:rsidRDefault="00C15867" w:rsidP="007644D2">
            <w:pPr>
              <w:jc w:val="right"/>
              <w:rPr>
                <w:sz w:val="52"/>
                <w:szCs w:val="52"/>
              </w:rPr>
            </w:pPr>
            <w:r w:rsidRPr="009B0D30">
              <w:rPr>
                <w:rFonts w:ascii="Univers Bold" w:hAnsi="Univers Bold"/>
                <w:b/>
                <w:sz w:val="72"/>
              </w:rPr>
              <w:t>EP</w:t>
            </w:r>
          </w:p>
        </w:tc>
      </w:tr>
      <w:tr w:rsidR="00C15867" w:rsidRPr="009B0D30" w:rsidTr="0073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9B0D30" w:rsidRDefault="00E52838" w:rsidP="007644D2">
            <w:pPr>
              <w:spacing w:before="120"/>
            </w:pPr>
            <w:r w:rsidRPr="009B0D30">
              <w:rPr>
                <w:noProof/>
                <w:lang w:val="en-US"/>
              </w:rPr>
              <mc:AlternateContent>
                <mc:Choice Requires="wpg">
                  <w:drawing>
                    <wp:anchor distT="0" distB="0" distL="114300" distR="114300" simplePos="0" relativeHeight="251660288" behindDoc="0" locked="0" layoutInCell="1" allowOverlap="1" wp14:anchorId="1751CC70" wp14:editId="381CB370">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w:pict>
                    <v:group w14:anchorId="263E8B93"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3"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4" o:title=""/>
                        <v:path arrowok="t"/>
                      </v:shape>
                    </v:group>
                  </w:pict>
                </mc:Fallback>
              </mc:AlternateContent>
            </w:r>
          </w:p>
        </w:tc>
        <w:tc>
          <w:tcPr>
            <w:tcW w:w="3420" w:type="dxa"/>
            <w:tcBorders>
              <w:top w:val="nil"/>
              <w:left w:val="nil"/>
              <w:bottom w:val="single" w:sz="36" w:space="0" w:color="auto"/>
              <w:right w:val="nil"/>
            </w:tcBorders>
          </w:tcPr>
          <w:p w:rsidR="00C15867" w:rsidRPr="009B0D30" w:rsidRDefault="00C15867" w:rsidP="007644D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rsidR="00C15867" w:rsidRPr="009B0D30" w:rsidRDefault="00C15867" w:rsidP="007644D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rsidR="00C15867" w:rsidRPr="009B0D30" w:rsidRDefault="00C15867" w:rsidP="007644D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rsidR="00C15867" w:rsidRPr="009B0D30" w:rsidRDefault="00C15867" w:rsidP="007644D2">
            <w:pPr>
              <w:spacing w:before="720"/>
              <w:ind w:left="158"/>
            </w:pPr>
          </w:p>
        </w:tc>
        <w:tc>
          <w:tcPr>
            <w:tcW w:w="4590" w:type="dxa"/>
            <w:tcBorders>
              <w:top w:val="nil"/>
              <w:left w:val="nil"/>
              <w:bottom w:val="single" w:sz="36" w:space="0" w:color="auto"/>
              <w:right w:val="nil"/>
            </w:tcBorders>
          </w:tcPr>
          <w:p w:rsidR="00C15867" w:rsidRPr="009B0D30" w:rsidRDefault="00C15867" w:rsidP="007644D2">
            <w:r w:rsidRPr="009B0D30">
              <w:t>Distr.</w:t>
            </w:r>
          </w:p>
          <w:p w:rsidR="00923540" w:rsidRPr="009B0D30" w:rsidRDefault="00923540" w:rsidP="007644D2">
            <w:r w:rsidRPr="009B0D30">
              <w:t>GENERAL</w:t>
            </w:r>
          </w:p>
          <w:p w:rsidR="00C15867" w:rsidRPr="009B0D30" w:rsidRDefault="00C15867" w:rsidP="007644D2"/>
          <w:p w:rsidR="00C15867" w:rsidRPr="009B0D30" w:rsidRDefault="00C15867" w:rsidP="007644D2"/>
          <w:p w:rsidR="00C15867" w:rsidRPr="000C7138" w:rsidRDefault="00D41979" w:rsidP="007644D2">
            <w:pPr>
              <w:rPr>
                <w:lang w:val="en-US"/>
              </w:rPr>
            </w:pPr>
            <w:fldSimple w:instr=" DOCPROPERTY &quot;Document number&quot;  \* MERGEFORMAT ">
              <w:r w:rsidR="00101E90">
                <w:t>UNEP/OzL.Pro/ExCom/88/11/Rev.1</w:t>
              </w:r>
            </w:fldSimple>
          </w:p>
          <w:p w:rsidR="00C15867" w:rsidRPr="009B0D30" w:rsidRDefault="00BC2495" w:rsidP="007644D2">
            <w:r w:rsidRPr="009B0D30">
              <w:fldChar w:fldCharType="begin"/>
            </w:r>
            <w:r w:rsidR="00851352" w:rsidRPr="009B0D30">
              <w:instrText xml:space="preserve"> DOCPROPERTY "Revision date" \@ "d MMMM YYYY"  \* MERGEFORMAT </w:instrText>
            </w:r>
            <w:r w:rsidRPr="009B0D30">
              <w:fldChar w:fldCharType="separate"/>
            </w:r>
            <w:r w:rsidR="001D7B2E">
              <w:t>24 November 2021</w:t>
            </w:r>
            <w:r w:rsidRPr="009B0D30">
              <w:fldChar w:fldCharType="end"/>
            </w:r>
          </w:p>
          <w:p w:rsidR="00C15867" w:rsidRPr="009B0D30" w:rsidRDefault="00C15867" w:rsidP="007644D2">
            <w:pPr>
              <w:rPr>
                <w:caps/>
              </w:rPr>
            </w:pPr>
          </w:p>
          <w:p w:rsidR="00C15867" w:rsidRPr="009B0D30" w:rsidRDefault="00C15867" w:rsidP="007644D2">
            <w:r w:rsidRPr="009B0D30">
              <w:t>ORIGINAL: ENGLISH</w:t>
            </w:r>
          </w:p>
        </w:tc>
      </w:tr>
    </w:tbl>
    <w:p w:rsidR="00B86471" w:rsidRPr="00CC6E10" w:rsidRDefault="00C15867" w:rsidP="007644D2">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B86471" w:rsidRPr="00CC6E10">
        <w:t>Eighty-</w:t>
      </w:r>
      <w:r w:rsidR="00B86471">
        <w:t xml:space="preserve">eighth </w:t>
      </w:r>
      <w:r w:rsidR="00B86471" w:rsidRPr="00CC6E10">
        <w:t>Meeting</w:t>
      </w:r>
    </w:p>
    <w:p w:rsidR="00066CE8" w:rsidRPr="009B0D30" w:rsidRDefault="00B86471" w:rsidP="007644D2">
      <w:pPr>
        <w:jc w:val="left"/>
      </w:pPr>
      <w:r w:rsidRPr="00717685">
        <w:t>Montreal, 15-19 November 2021</w:t>
      </w:r>
      <w:r w:rsidRPr="00717685">
        <w:rPr>
          <w:rStyle w:val="FootnoteReference"/>
        </w:rPr>
        <w:footnoteReference w:id="1"/>
      </w:r>
    </w:p>
    <w:p w:rsidR="00C15867" w:rsidRPr="009B0D30" w:rsidRDefault="00C15867" w:rsidP="007644D2">
      <w:pPr>
        <w:jc w:val="left"/>
      </w:pPr>
    </w:p>
    <w:p w:rsidR="00066CE8" w:rsidRPr="00D906AD" w:rsidRDefault="00066CE8" w:rsidP="007644D2">
      <w:pPr>
        <w:jc w:val="left"/>
        <w:rPr>
          <w:lang w:val="en-US"/>
        </w:rPr>
      </w:pPr>
    </w:p>
    <w:p w:rsidR="00753684" w:rsidRPr="009B0D30" w:rsidRDefault="00753684" w:rsidP="007644D2">
      <w:pPr>
        <w:jc w:val="left"/>
      </w:pPr>
    </w:p>
    <w:p w:rsidR="00A37413" w:rsidRPr="00D74100" w:rsidRDefault="00110D69" w:rsidP="007644D2">
      <w:pPr>
        <w:spacing w:after="240"/>
        <w:jc w:val="center"/>
        <w:rPr>
          <w:b/>
          <w:caps/>
          <w:lang w:val="en-US"/>
        </w:rPr>
      </w:pPr>
      <w:r w:rsidRPr="00D74100">
        <w:rPr>
          <w:b/>
          <w:lang w:val="en-US"/>
        </w:rPr>
        <w:t>DRAFT MONITORING AND EVALUATION WORK PROGRAMME</w:t>
      </w:r>
      <w:r>
        <w:rPr>
          <w:b/>
          <w:lang w:val="en-US"/>
        </w:rPr>
        <w:t xml:space="preserve"> FOR THE YEAR 2022</w:t>
      </w:r>
    </w:p>
    <w:p w:rsidR="00A37413" w:rsidRPr="00C957AE" w:rsidRDefault="00A37413" w:rsidP="007644D2">
      <w:pPr>
        <w:spacing w:after="240"/>
        <w:rPr>
          <w:b/>
        </w:rPr>
      </w:pPr>
      <w:r w:rsidRPr="00C957AE">
        <w:rPr>
          <w:b/>
        </w:rPr>
        <w:t>Introduction</w:t>
      </w:r>
    </w:p>
    <w:p w:rsidR="00A37413" w:rsidRDefault="00A37413" w:rsidP="007644D2">
      <w:pPr>
        <w:pStyle w:val="Heading1"/>
        <w:numPr>
          <w:ilvl w:val="0"/>
          <w:numId w:val="43"/>
        </w:numPr>
        <w:ind w:left="0" w:firstLine="0"/>
      </w:pPr>
      <w:r w:rsidRPr="00B66080">
        <w:t>The work programme</w:t>
      </w:r>
      <w:r w:rsidR="00917AE4">
        <w:t xml:space="preserve"> activities for the year 2022</w:t>
      </w:r>
      <w:r w:rsidRPr="00B66080">
        <w:t xml:space="preserve"> have</w:t>
      </w:r>
      <w:r>
        <w:t xml:space="preserve"> </w:t>
      </w:r>
      <w:r w:rsidRPr="00B66080">
        <w:t xml:space="preserve">been proposed </w:t>
      </w:r>
      <w:r>
        <w:t>following previous</w:t>
      </w:r>
      <w:r w:rsidRPr="00B66080">
        <w:t xml:space="preserve"> </w:t>
      </w:r>
      <w:r w:rsidR="00E202F2">
        <w:t>d</w:t>
      </w:r>
      <w:r w:rsidR="00F4589F">
        <w:t xml:space="preserve">ecisions </w:t>
      </w:r>
      <w:r w:rsidRPr="00B66080">
        <w:t xml:space="preserve">by the Executive Committee on issues pertaining to monitoring and evaluation; the review of progress reports of on-going projects </w:t>
      </w:r>
      <w:r w:rsidR="00B7512B">
        <w:t>and project completion reports; co</w:t>
      </w:r>
      <w:r w:rsidR="00917AE4">
        <w:t>n</w:t>
      </w:r>
      <w:r w:rsidR="00917AE4" w:rsidRPr="00A17FF7">
        <w:t>sideration of</w:t>
      </w:r>
      <w:r w:rsidR="00A17FF7">
        <w:t xml:space="preserve"> relevant</w:t>
      </w:r>
      <w:r w:rsidR="00917AE4" w:rsidRPr="00A17FF7">
        <w:t xml:space="preserve"> </w:t>
      </w:r>
      <w:r w:rsidR="00B7512B" w:rsidRPr="00A17FF7">
        <w:t>recommendations</w:t>
      </w:r>
      <w:r w:rsidR="00B7512B">
        <w:t xml:space="preserve"> from the MOPAN assessment</w:t>
      </w:r>
      <w:r w:rsidR="0031709D">
        <w:t xml:space="preserve"> regarding monitoring and evaluation</w:t>
      </w:r>
      <w:r w:rsidR="00B7512B">
        <w:t>; and</w:t>
      </w:r>
      <w:r w:rsidR="00F4589F">
        <w:t>,</w:t>
      </w:r>
      <w:r w:rsidR="00B7512B">
        <w:t xml:space="preserve"> consultations within the </w:t>
      </w:r>
      <w:r w:rsidR="00E202F2">
        <w:t>S</w:t>
      </w:r>
      <w:r w:rsidR="00B7512B">
        <w:t xml:space="preserve">ecretariat. </w:t>
      </w:r>
      <w:r>
        <w:t>The work programme has also taken into account discussions by the Executive Committee on several agenda items relevant to monitoring and evaluation activities.</w:t>
      </w:r>
    </w:p>
    <w:p w:rsidR="00C0651B" w:rsidRDefault="0093558D" w:rsidP="007644D2">
      <w:pPr>
        <w:pStyle w:val="Heading1"/>
        <w:numPr>
          <w:ilvl w:val="0"/>
          <w:numId w:val="43"/>
        </w:numPr>
        <w:ind w:left="0" w:firstLine="0"/>
      </w:pPr>
      <w:r w:rsidRPr="00B66080">
        <w:t>This document presents the draft Monitoring and Ev</w:t>
      </w:r>
      <w:r>
        <w:t>aluation work programme for 2022</w:t>
      </w:r>
      <w:r w:rsidRPr="00B66080">
        <w:t xml:space="preserve"> for consideration by the Executive Committee. </w:t>
      </w:r>
      <w:r w:rsidR="00917AE4">
        <w:t>It</w:t>
      </w:r>
      <w:r w:rsidR="00A37413" w:rsidRPr="00B66080">
        <w:t xml:space="preserve"> </w:t>
      </w:r>
      <w:r w:rsidR="0083128B">
        <w:t>builds upon</w:t>
      </w:r>
      <w:r w:rsidR="00A37413">
        <w:t xml:space="preserve"> the 2019 </w:t>
      </w:r>
      <w:r w:rsidR="007F5447">
        <w:t xml:space="preserve">and 2020 </w:t>
      </w:r>
      <w:r w:rsidR="00A37413">
        <w:t>work programme</w:t>
      </w:r>
      <w:r w:rsidR="00B7512B">
        <w:t>s</w:t>
      </w:r>
      <w:r w:rsidR="00A37413">
        <w:rPr>
          <w:rStyle w:val="FootnoteReference"/>
        </w:rPr>
        <w:footnoteReference w:id="2"/>
      </w:r>
      <w:r w:rsidR="009D2C1F">
        <w:t xml:space="preserve"> approved at </w:t>
      </w:r>
      <w:r w:rsidR="00E202F2">
        <w:t xml:space="preserve">the </w:t>
      </w:r>
      <w:r w:rsidR="009D2C1F">
        <w:t>82</w:t>
      </w:r>
      <w:r w:rsidR="009D2C1F" w:rsidRPr="009D2C1F">
        <w:rPr>
          <w:vertAlign w:val="superscript"/>
        </w:rPr>
        <w:t>nd</w:t>
      </w:r>
      <w:r w:rsidR="009D2C1F">
        <w:t xml:space="preserve"> and 84</w:t>
      </w:r>
      <w:r w:rsidR="009D2C1F" w:rsidRPr="009D2C1F">
        <w:rPr>
          <w:vertAlign w:val="superscript"/>
        </w:rPr>
        <w:t>th</w:t>
      </w:r>
      <w:r w:rsidR="009D2C1F">
        <w:t xml:space="preserve"> meetings,</w:t>
      </w:r>
      <w:r w:rsidR="00D3652D">
        <w:t xml:space="preserve"> noting </w:t>
      </w:r>
      <w:r w:rsidR="001B6DE1">
        <w:t>there was no</w:t>
      </w:r>
      <w:r w:rsidR="00D3652D">
        <w:t xml:space="preserve"> </w:t>
      </w:r>
      <w:r w:rsidR="001B6DE1">
        <w:t xml:space="preserve">work </w:t>
      </w:r>
      <w:r w:rsidR="00D3652D">
        <w:t>programme presented for 2021 du</w:t>
      </w:r>
      <w:r w:rsidR="009D2C1F">
        <w:t>e to</w:t>
      </w:r>
      <w:r w:rsidR="00D3652D">
        <w:t xml:space="preserve"> the transition </w:t>
      </w:r>
      <w:r w:rsidR="009D2C1F">
        <w:t xml:space="preserve">period </w:t>
      </w:r>
      <w:r w:rsidR="00D3652D">
        <w:t xml:space="preserve">between the retirement of </w:t>
      </w:r>
      <w:r w:rsidR="00EF3733">
        <w:t xml:space="preserve">the </w:t>
      </w:r>
      <w:r w:rsidR="00D3652D">
        <w:t xml:space="preserve">former </w:t>
      </w:r>
      <w:r w:rsidR="00342A96">
        <w:t>S</w:t>
      </w:r>
      <w:r w:rsidR="00917AE4">
        <w:t xml:space="preserve">enior </w:t>
      </w:r>
      <w:r w:rsidR="00342A96">
        <w:t>M</w:t>
      </w:r>
      <w:r w:rsidR="00917AE4">
        <w:t xml:space="preserve">onitoring and </w:t>
      </w:r>
      <w:r w:rsidR="00342A96">
        <w:t>E</w:t>
      </w:r>
      <w:r w:rsidR="00917AE4">
        <w:t xml:space="preserve">valuation </w:t>
      </w:r>
      <w:r w:rsidR="00342A96">
        <w:t>O</w:t>
      </w:r>
      <w:r w:rsidR="00917AE4">
        <w:t>fficer</w:t>
      </w:r>
      <w:r w:rsidR="00342A96">
        <w:t xml:space="preserve"> </w:t>
      </w:r>
      <w:r w:rsidR="00917AE4">
        <w:t>(SMEO) and selection and onboarding of t</w:t>
      </w:r>
      <w:r w:rsidR="004366A9">
        <w:t xml:space="preserve">he current </w:t>
      </w:r>
      <w:r w:rsidR="00917AE4">
        <w:t>one</w:t>
      </w:r>
      <w:r w:rsidR="00342A96">
        <w:t>.</w:t>
      </w:r>
      <w:r w:rsidR="003F5E7E">
        <w:t xml:space="preserve"> </w:t>
      </w:r>
    </w:p>
    <w:p w:rsidR="00172E51" w:rsidRPr="00D906AD" w:rsidRDefault="00F83254" w:rsidP="004203E6">
      <w:pPr>
        <w:pStyle w:val="Heading1"/>
        <w:numPr>
          <w:ilvl w:val="0"/>
          <w:numId w:val="43"/>
        </w:numPr>
        <w:ind w:left="0" w:firstLine="0"/>
      </w:pPr>
      <w:r w:rsidRPr="00D906AD">
        <w:t xml:space="preserve">Given the short time since </w:t>
      </w:r>
      <w:r w:rsidR="007702D8" w:rsidRPr="00D906AD">
        <w:t>t</w:t>
      </w:r>
      <w:r w:rsidR="002D126A" w:rsidRPr="00D906AD">
        <w:t xml:space="preserve">he SMEO </w:t>
      </w:r>
      <w:r w:rsidRPr="00D906AD">
        <w:t>joined t</w:t>
      </w:r>
      <w:r w:rsidR="00A17FF7" w:rsidRPr="00D906AD">
        <w:t xml:space="preserve">he </w:t>
      </w:r>
      <w:r w:rsidR="00D906AD" w:rsidRPr="00D906AD">
        <w:t>Multilateral Fund</w:t>
      </w:r>
      <w:r w:rsidR="00A17FF7" w:rsidRPr="00D906AD">
        <w:t xml:space="preserve"> </w:t>
      </w:r>
      <w:r w:rsidR="00740992" w:rsidRPr="00D906AD">
        <w:t>Secretariat</w:t>
      </w:r>
      <w:r w:rsidR="00A17FF7" w:rsidRPr="00D906AD">
        <w:t xml:space="preserve">, </w:t>
      </w:r>
      <w:r w:rsidR="004203E6" w:rsidRPr="00D906AD">
        <w:t xml:space="preserve">this draft work programme ensures continuity in alignment with previous oversight guidance of the Executive Committee, and it proposes discrete initiatives aiming at exploring ways and means to </w:t>
      </w:r>
      <w:r w:rsidRPr="00D906AD">
        <w:t xml:space="preserve">ensure continuity in the work of the Evaluation Office to deliver the planned outputs during the pandemic period. </w:t>
      </w:r>
    </w:p>
    <w:p w:rsidR="0077541D" w:rsidRPr="00D906AD" w:rsidRDefault="00F83254" w:rsidP="004203E6">
      <w:pPr>
        <w:pStyle w:val="Heading1"/>
        <w:numPr>
          <w:ilvl w:val="0"/>
          <w:numId w:val="43"/>
        </w:numPr>
        <w:ind w:left="0" w:firstLine="0"/>
      </w:pPr>
      <w:r w:rsidRPr="00D906AD">
        <w:t xml:space="preserve">The </w:t>
      </w:r>
      <w:r w:rsidR="00C96686" w:rsidRPr="00D906AD">
        <w:t xml:space="preserve">eventual </w:t>
      </w:r>
      <w:r w:rsidRPr="00D906AD">
        <w:t xml:space="preserve">postponement of </w:t>
      </w:r>
      <w:r w:rsidR="00C96686" w:rsidRPr="00D906AD">
        <w:t xml:space="preserve">evaluation </w:t>
      </w:r>
      <w:r w:rsidRPr="00D906AD">
        <w:t xml:space="preserve">field-visits </w:t>
      </w:r>
      <w:r w:rsidR="00C96686" w:rsidRPr="00D906AD">
        <w:t xml:space="preserve">could </w:t>
      </w:r>
      <w:r w:rsidRPr="00D906AD">
        <w:t>be compensated</w:t>
      </w:r>
      <w:r w:rsidR="004203E6" w:rsidRPr="00D906AD">
        <w:t xml:space="preserve"> </w:t>
      </w:r>
      <w:r w:rsidRPr="00D906AD">
        <w:t>through the enhanced used of remote tools</w:t>
      </w:r>
      <w:r w:rsidR="00172E51" w:rsidRPr="00D906AD">
        <w:t xml:space="preserve"> (e.g.</w:t>
      </w:r>
      <w:r w:rsidR="007702D8" w:rsidRPr="00D906AD">
        <w:t>,</w:t>
      </w:r>
      <w:r w:rsidR="00172E51" w:rsidRPr="00D906AD">
        <w:t xml:space="preserve"> for surveys and data analysis)</w:t>
      </w:r>
      <w:r w:rsidRPr="00D906AD">
        <w:t xml:space="preserve"> and the use of local consultants when required.</w:t>
      </w:r>
      <w:r w:rsidR="00172E51" w:rsidRPr="00D906AD">
        <w:t xml:space="preserve"> </w:t>
      </w:r>
    </w:p>
    <w:p w:rsidR="00921AF8" w:rsidRPr="00C957AE" w:rsidRDefault="005B06E6" w:rsidP="007644D2">
      <w:pPr>
        <w:autoSpaceDE w:val="0"/>
        <w:autoSpaceDN w:val="0"/>
        <w:adjustRightInd w:val="0"/>
        <w:spacing w:before="120" w:after="240"/>
        <w:rPr>
          <w:b/>
        </w:rPr>
      </w:pPr>
      <w:r w:rsidRPr="00C957AE">
        <w:rPr>
          <w:b/>
        </w:rPr>
        <w:t xml:space="preserve">Proposed </w:t>
      </w:r>
      <w:r w:rsidR="00E068EF" w:rsidRPr="00C957AE">
        <w:rPr>
          <w:b/>
        </w:rPr>
        <w:t>e</w:t>
      </w:r>
      <w:r w:rsidR="00921AF8" w:rsidRPr="00C957AE">
        <w:rPr>
          <w:b/>
        </w:rPr>
        <w:t>valuation activities</w:t>
      </w:r>
    </w:p>
    <w:p w:rsidR="0083128B" w:rsidRDefault="00EA5088" w:rsidP="007644D2">
      <w:pPr>
        <w:pStyle w:val="Heading1"/>
        <w:numPr>
          <w:ilvl w:val="0"/>
          <w:numId w:val="43"/>
        </w:numPr>
        <w:ind w:left="0" w:firstLine="0"/>
        <w:rPr>
          <w:lang w:val="en-US"/>
        </w:rPr>
      </w:pPr>
      <w:r>
        <w:t>The p</w:t>
      </w:r>
      <w:r w:rsidRPr="00EA5088">
        <w:t>roposals</w:t>
      </w:r>
      <w:r w:rsidR="00EF3733" w:rsidRPr="00EA5088">
        <w:t xml:space="preserve"> for</w:t>
      </w:r>
      <w:r w:rsidR="0083128B">
        <w:rPr>
          <w:lang w:val="en-US"/>
        </w:rPr>
        <w:t xml:space="preserve"> evaluation activities are being developed </w:t>
      </w:r>
      <w:r w:rsidR="00EF3733">
        <w:rPr>
          <w:lang w:val="en-US"/>
        </w:rPr>
        <w:t xml:space="preserve">while </w:t>
      </w:r>
      <w:r w:rsidR="0083128B">
        <w:rPr>
          <w:lang w:val="en-US"/>
        </w:rPr>
        <w:t>the COVID</w:t>
      </w:r>
      <w:r w:rsidR="0083128B">
        <w:rPr>
          <w:lang w:val="en-US"/>
        </w:rPr>
        <w:noBreakHyphen/>
        <w:t>19 pandemic</w:t>
      </w:r>
      <w:r w:rsidR="00EF3733">
        <w:rPr>
          <w:lang w:val="en-US"/>
        </w:rPr>
        <w:t xml:space="preserve"> is still on-going</w:t>
      </w:r>
      <w:r w:rsidR="0083128B">
        <w:rPr>
          <w:lang w:val="en-US"/>
        </w:rPr>
        <w:t xml:space="preserve">, </w:t>
      </w:r>
      <w:r w:rsidR="00EF3733">
        <w:rPr>
          <w:lang w:val="en-US"/>
        </w:rPr>
        <w:t>entailing</w:t>
      </w:r>
      <w:r w:rsidR="0083128B">
        <w:rPr>
          <w:lang w:val="en-US"/>
        </w:rPr>
        <w:t xml:space="preserve"> uncertainties that </w:t>
      </w:r>
      <w:r w:rsidR="00EF3733">
        <w:rPr>
          <w:lang w:val="en-US"/>
        </w:rPr>
        <w:t>may</w:t>
      </w:r>
      <w:r w:rsidR="0083128B">
        <w:rPr>
          <w:lang w:val="en-US"/>
        </w:rPr>
        <w:t xml:space="preserve"> impact </w:t>
      </w:r>
      <w:r w:rsidR="00EF3733">
        <w:rPr>
          <w:lang w:val="en-US"/>
        </w:rPr>
        <w:t xml:space="preserve">on </w:t>
      </w:r>
      <w:r w:rsidR="0083128B">
        <w:rPr>
          <w:lang w:val="en-US"/>
        </w:rPr>
        <w:t xml:space="preserve">the process and methodologies </w:t>
      </w:r>
      <w:r w:rsidR="00EF3733">
        <w:rPr>
          <w:lang w:val="en-US"/>
        </w:rPr>
        <w:t xml:space="preserve">for completing </w:t>
      </w:r>
      <w:r w:rsidR="0083128B">
        <w:rPr>
          <w:lang w:val="en-US"/>
        </w:rPr>
        <w:t xml:space="preserve">the evaluations. Therefore, </w:t>
      </w:r>
      <w:r w:rsidR="00A30457" w:rsidRPr="0083128B">
        <w:rPr>
          <w:lang w:val="en-US"/>
        </w:rPr>
        <w:t>depending on the</w:t>
      </w:r>
      <w:r w:rsidR="0083128B">
        <w:rPr>
          <w:lang w:val="en-US"/>
        </w:rPr>
        <w:t xml:space="preserve"> </w:t>
      </w:r>
      <w:r w:rsidR="00666B36">
        <w:rPr>
          <w:lang w:val="en-US"/>
        </w:rPr>
        <w:t>progress in lifting restrictions relating to COVID-19</w:t>
      </w:r>
      <w:r w:rsidR="00A30457" w:rsidRPr="0083128B">
        <w:rPr>
          <w:lang w:val="en-US"/>
        </w:rPr>
        <w:t xml:space="preserve"> </w:t>
      </w:r>
      <w:r w:rsidR="0083128B">
        <w:rPr>
          <w:lang w:val="en-US"/>
        </w:rPr>
        <w:t xml:space="preserve">and the </w:t>
      </w:r>
      <w:r w:rsidR="00A30457" w:rsidRPr="0083128B">
        <w:rPr>
          <w:lang w:val="en-US"/>
        </w:rPr>
        <w:lastRenderedPageBreak/>
        <w:t xml:space="preserve">number of activities approved by the </w:t>
      </w:r>
      <w:r w:rsidR="000A12A9">
        <w:rPr>
          <w:lang w:val="en-US"/>
        </w:rPr>
        <w:t xml:space="preserve">Executive </w:t>
      </w:r>
      <w:r w:rsidR="00A30457" w:rsidRPr="0083128B">
        <w:rPr>
          <w:lang w:val="en-US"/>
        </w:rPr>
        <w:t>Committee</w:t>
      </w:r>
      <w:r w:rsidR="00DE1DB1">
        <w:rPr>
          <w:lang w:val="en-US"/>
        </w:rPr>
        <w:t xml:space="preserve">, the </w:t>
      </w:r>
      <w:r>
        <w:rPr>
          <w:lang w:val="en-US"/>
        </w:rPr>
        <w:t>timeframe</w:t>
      </w:r>
      <w:r w:rsidR="00EF3733">
        <w:rPr>
          <w:lang w:val="en-US"/>
        </w:rPr>
        <w:t xml:space="preserve"> of</w:t>
      </w:r>
      <w:r w:rsidR="00DE1DB1">
        <w:rPr>
          <w:lang w:val="en-US"/>
        </w:rPr>
        <w:t xml:space="preserve"> </w:t>
      </w:r>
      <w:r w:rsidR="00EF3733">
        <w:rPr>
          <w:lang w:val="en-US"/>
        </w:rPr>
        <w:t xml:space="preserve">evaluation </w:t>
      </w:r>
      <w:r w:rsidR="00DE1DB1">
        <w:rPr>
          <w:lang w:val="en-US"/>
        </w:rPr>
        <w:t xml:space="preserve">activities may </w:t>
      </w:r>
      <w:r w:rsidR="00A409E7">
        <w:rPr>
          <w:lang w:val="en-US"/>
        </w:rPr>
        <w:t>vary, with some of the final results to be presented, most likely, in</w:t>
      </w:r>
      <w:r w:rsidR="00EF3733">
        <w:rPr>
          <w:lang w:val="en-US"/>
        </w:rPr>
        <w:t xml:space="preserve"> 2023. This </w:t>
      </w:r>
      <w:r w:rsidR="00A409E7">
        <w:rPr>
          <w:lang w:val="en-US"/>
        </w:rPr>
        <w:t>will</w:t>
      </w:r>
      <w:r w:rsidR="00EF3733">
        <w:rPr>
          <w:lang w:val="en-US"/>
        </w:rPr>
        <w:t xml:space="preserve"> be the case </w:t>
      </w:r>
      <w:r w:rsidR="00A409E7">
        <w:rPr>
          <w:lang w:val="en-US"/>
        </w:rPr>
        <w:t>for evaluations</w:t>
      </w:r>
      <w:r w:rsidR="008E5B21">
        <w:rPr>
          <w:lang w:val="en-US"/>
        </w:rPr>
        <w:t xml:space="preserve"> which would require final in-p</w:t>
      </w:r>
      <w:r w:rsidR="00A409E7">
        <w:rPr>
          <w:lang w:val="en-US"/>
        </w:rPr>
        <w:t>erson field missions to validate the analytical findings from inception phases and produce robust findings and recommendations</w:t>
      </w:r>
      <w:r w:rsidR="00502379">
        <w:rPr>
          <w:lang w:val="en-US"/>
        </w:rPr>
        <w:t>.</w:t>
      </w:r>
    </w:p>
    <w:p w:rsidR="00FF6152" w:rsidRPr="00753684" w:rsidRDefault="00FF6152" w:rsidP="007644D2">
      <w:pPr>
        <w:pStyle w:val="Heading2"/>
        <w:rPr>
          <w:iCs/>
          <w:u w:val="single"/>
        </w:rPr>
      </w:pPr>
      <w:r w:rsidRPr="00753684">
        <w:rPr>
          <w:iCs/>
          <w:u w:val="single"/>
        </w:rPr>
        <w:t xml:space="preserve">Activity 1: </w:t>
      </w:r>
      <w:r w:rsidRPr="00753684">
        <w:rPr>
          <w:iCs/>
          <w:u w:val="single"/>
          <w:lang w:val="en-US"/>
        </w:rPr>
        <w:t xml:space="preserve">Desk study for the evaluation of the demonstration projects </w:t>
      </w:r>
      <w:r w:rsidR="00731728">
        <w:rPr>
          <w:iCs/>
          <w:u w:val="single"/>
          <w:lang w:val="en-US"/>
        </w:rPr>
        <w:t>for</w:t>
      </w:r>
      <w:r w:rsidRPr="00753684">
        <w:rPr>
          <w:iCs/>
          <w:u w:val="single"/>
          <w:lang w:val="en-US"/>
        </w:rPr>
        <w:t xml:space="preserve"> low-global-warming potential (GWP) alternatives </w:t>
      </w:r>
      <w:r w:rsidR="00731728">
        <w:rPr>
          <w:iCs/>
          <w:u w:val="single"/>
          <w:lang w:val="en-US"/>
        </w:rPr>
        <w:t>to</w:t>
      </w:r>
      <w:r w:rsidRPr="00753684">
        <w:rPr>
          <w:iCs/>
          <w:u w:val="single"/>
          <w:lang w:val="en-US"/>
        </w:rPr>
        <w:t xml:space="preserve"> HCFCs</w:t>
      </w:r>
    </w:p>
    <w:p w:rsidR="00FF6152" w:rsidRPr="004203E6" w:rsidRDefault="00FF6152" w:rsidP="007644D2">
      <w:pPr>
        <w:pStyle w:val="Heading1"/>
        <w:numPr>
          <w:ilvl w:val="0"/>
          <w:numId w:val="43"/>
        </w:numPr>
        <w:ind w:left="0" w:firstLine="0"/>
        <w:rPr>
          <w:lang w:val="en-US"/>
        </w:rPr>
      </w:pPr>
      <w:r w:rsidRPr="004203E6">
        <w:rPr>
          <w:lang w:val="en-US"/>
        </w:rPr>
        <w:t xml:space="preserve">The </w:t>
      </w:r>
      <w:r w:rsidR="001B2A4F" w:rsidRPr="004203E6">
        <w:rPr>
          <w:lang w:val="en-US"/>
        </w:rPr>
        <w:t>terms of reference (</w:t>
      </w:r>
      <w:r w:rsidRPr="004203E6">
        <w:rPr>
          <w:lang w:val="en-US"/>
        </w:rPr>
        <w:t>TOR</w:t>
      </w:r>
      <w:r w:rsidR="001B2A4F" w:rsidRPr="004203E6">
        <w:rPr>
          <w:lang w:val="en-US"/>
        </w:rPr>
        <w:t>)</w:t>
      </w:r>
      <w:r w:rsidRPr="004203E6">
        <w:rPr>
          <w:lang w:val="en-US"/>
        </w:rPr>
        <w:t xml:space="preserve"> for the desk study of the evaluation of the demonstration projects for low-GWP alternatives were</w:t>
      </w:r>
      <w:r w:rsidR="00CF280F" w:rsidRPr="004203E6">
        <w:rPr>
          <w:lang w:val="en-US"/>
        </w:rPr>
        <w:t xml:space="preserve"> </w:t>
      </w:r>
      <w:r w:rsidRPr="004203E6">
        <w:rPr>
          <w:lang w:val="en-US"/>
        </w:rPr>
        <w:t>presented, revised and adopted at the 86</w:t>
      </w:r>
      <w:r w:rsidRPr="004203E6">
        <w:rPr>
          <w:vertAlign w:val="superscript"/>
          <w:lang w:val="en-US"/>
        </w:rPr>
        <w:t>th</w:t>
      </w:r>
      <w:r w:rsidRPr="004203E6">
        <w:rPr>
          <w:lang w:val="en-US"/>
        </w:rPr>
        <w:t xml:space="preserve"> meeting.</w:t>
      </w:r>
      <w:r w:rsidRPr="004203E6">
        <w:rPr>
          <w:rStyle w:val="FootnoteReference"/>
          <w:lang w:val="en-US"/>
        </w:rPr>
        <w:footnoteReference w:id="3"/>
      </w:r>
      <w:r w:rsidRPr="004203E6">
        <w:rPr>
          <w:lang w:val="en-US"/>
        </w:rPr>
        <w:t xml:space="preserve"> </w:t>
      </w:r>
      <w:r w:rsidR="00CF280F" w:rsidRPr="004203E6">
        <w:t xml:space="preserve">The desk study was </w:t>
      </w:r>
      <w:r w:rsidR="00BD3E0E" w:rsidRPr="004203E6">
        <w:rPr>
          <w:lang w:val="en-US"/>
        </w:rPr>
        <w:t>scheduled for submission</w:t>
      </w:r>
      <w:r w:rsidR="00CF280F" w:rsidRPr="004203E6">
        <w:rPr>
          <w:lang w:val="en-US"/>
        </w:rPr>
        <w:t xml:space="preserve"> at the 88</w:t>
      </w:r>
      <w:r w:rsidR="00CF280F" w:rsidRPr="004203E6">
        <w:rPr>
          <w:vertAlign w:val="superscript"/>
          <w:lang w:val="en-US"/>
        </w:rPr>
        <w:t>th</w:t>
      </w:r>
      <w:r w:rsidR="00CF280F" w:rsidRPr="004203E6">
        <w:rPr>
          <w:lang w:val="en-US"/>
        </w:rPr>
        <w:t xml:space="preserve"> meeting, but </w:t>
      </w:r>
      <w:r w:rsidR="00661E37" w:rsidRPr="004203E6">
        <w:rPr>
          <w:lang w:val="en-US"/>
        </w:rPr>
        <w:t>was</w:t>
      </w:r>
      <w:r w:rsidR="00CF280F" w:rsidRPr="004203E6">
        <w:rPr>
          <w:lang w:val="en-US"/>
        </w:rPr>
        <w:t xml:space="preserve"> delayed pending </w:t>
      </w:r>
      <w:r w:rsidR="00661E37" w:rsidRPr="004203E6">
        <w:rPr>
          <w:lang w:val="en-US"/>
        </w:rPr>
        <w:t>on</w:t>
      </w:r>
      <w:r w:rsidR="00CF280F" w:rsidRPr="004203E6">
        <w:rPr>
          <w:lang w:val="en-US"/>
        </w:rPr>
        <w:t xml:space="preserve"> the </w:t>
      </w:r>
      <w:r w:rsidR="00661E37" w:rsidRPr="004203E6">
        <w:rPr>
          <w:lang w:val="en-US"/>
        </w:rPr>
        <w:t xml:space="preserve">recruitment of a new </w:t>
      </w:r>
      <w:r w:rsidR="00CF280F" w:rsidRPr="004203E6">
        <w:rPr>
          <w:lang w:val="en-US"/>
        </w:rPr>
        <w:t>SMEO.</w:t>
      </w:r>
      <w:r w:rsidR="00CF280F" w:rsidRPr="004203E6" w:rsidDel="008015D7">
        <w:rPr>
          <w:lang w:val="en-US"/>
        </w:rPr>
        <w:t xml:space="preserve"> </w:t>
      </w:r>
      <w:r w:rsidR="00661E37" w:rsidRPr="004203E6">
        <w:rPr>
          <w:lang w:val="en-US"/>
        </w:rPr>
        <w:t xml:space="preserve">The desk study will now be presented </w:t>
      </w:r>
      <w:r w:rsidR="00661E37" w:rsidRPr="001D7B2E">
        <w:rPr>
          <w:lang w:val="en-US"/>
        </w:rPr>
        <w:t>to the 90</w:t>
      </w:r>
      <w:r w:rsidR="00661E37" w:rsidRPr="001D7B2E">
        <w:rPr>
          <w:vertAlign w:val="superscript"/>
          <w:lang w:val="en-US"/>
        </w:rPr>
        <w:t>th</w:t>
      </w:r>
      <w:r w:rsidR="00661E37" w:rsidRPr="004203E6">
        <w:rPr>
          <w:lang w:val="en-US"/>
        </w:rPr>
        <w:t xml:space="preserve"> meeting</w:t>
      </w:r>
      <w:r w:rsidR="006E0599">
        <w:rPr>
          <w:lang w:val="en-US"/>
        </w:rPr>
        <w:t xml:space="preserve"> </w:t>
      </w:r>
      <w:r w:rsidR="00FB355E">
        <w:rPr>
          <w:lang w:val="en-US"/>
        </w:rPr>
        <w:t>and based on its findings, possible</w:t>
      </w:r>
      <w:r w:rsidR="006E0599">
        <w:rPr>
          <w:lang w:val="en-US"/>
        </w:rPr>
        <w:t xml:space="preserve"> </w:t>
      </w:r>
      <w:r w:rsidR="00FB355E">
        <w:rPr>
          <w:lang w:val="en-US"/>
        </w:rPr>
        <w:t>follow-up evaluation activities could be</w:t>
      </w:r>
      <w:r w:rsidR="006E0599">
        <w:rPr>
          <w:lang w:val="en-US"/>
        </w:rPr>
        <w:t xml:space="preserve"> </w:t>
      </w:r>
      <w:r w:rsidR="00FB355E">
        <w:rPr>
          <w:lang w:val="en-US"/>
        </w:rPr>
        <w:t>proposed</w:t>
      </w:r>
      <w:r w:rsidR="00661E37" w:rsidRPr="004203E6">
        <w:rPr>
          <w:lang w:val="en-US"/>
        </w:rPr>
        <w:t xml:space="preserve">. </w:t>
      </w:r>
    </w:p>
    <w:p w:rsidR="00D266E7" w:rsidRPr="00753684" w:rsidRDefault="00FF6152" w:rsidP="007644D2">
      <w:pPr>
        <w:pStyle w:val="Heading2"/>
        <w:keepNext/>
        <w:keepLines/>
        <w:widowControl/>
        <w:ind w:left="1080" w:hanging="1080"/>
        <w:rPr>
          <w:iCs/>
          <w:u w:val="single"/>
        </w:rPr>
      </w:pPr>
      <w:r w:rsidRPr="00753684">
        <w:rPr>
          <w:iCs/>
          <w:u w:val="single"/>
        </w:rPr>
        <w:t>Activity 2</w:t>
      </w:r>
      <w:r w:rsidR="00D266E7" w:rsidRPr="00753684">
        <w:rPr>
          <w:iCs/>
          <w:u w:val="single"/>
        </w:rPr>
        <w:t xml:space="preserve">: Second phase of the </w:t>
      </w:r>
      <w:r w:rsidR="00D266E7" w:rsidRPr="00753684">
        <w:rPr>
          <w:iCs/>
          <w:u w:val="single"/>
          <w:lang w:val="en-US"/>
        </w:rPr>
        <w:t>evaluation of regional networks of national ozone officers (NOOs)</w:t>
      </w:r>
    </w:p>
    <w:p w:rsidR="00111AE7" w:rsidRDefault="00A37413" w:rsidP="007644D2">
      <w:pPr>
        <w:pStyle w:val="Heading1"/>
        <w:numPr>
          <w:ilvl w:val="0"/>
          <w:numId w:val="43"/>
        </w:numPr>
        <w:ind w:left="0" w:firstLine="0"/>
      </w:pPr>
      <w:r>
        <w:rPr>
          <w:lang w:val="en-US"/>
        </w:rPr>
        <w:t>The desk study</w:t>
      </w:r>
      <w:r w:rsidR="007F5447">
        <w:rPr>
          <w:lang w:val="en-US"/>
        </w:rPr>
        <w:t xml:space="preserve"> </w:t>
      </w:r>
      <w:r w:rsidR="00B7740D">
        <w:rPr>
          <w:lang w:val="en-US"/>
        </w:rPr>
        <w:t>for the evaluation of the regional networks of NOOs</w:t>
      </w:r>
      <w:r w:rsidR="00896116">
        <w:rPr>
          <w:lang w:val="en-US"/>
        </w:rPr>
        <w:t xml:space="preserve"> </w:t>
      </w:r>
      <w:r w:rsidR="00896116" w:rsidRPr="00504633">
        <w:t>highlighted the important role of the regional networks in contributing to the implementation of the Montreal Protocol</w:t>
      </w:r>
      <w:r w:rsidR="00896116">
        <w:rPr>
          <w:lang w:val="en-US"/>
        </w:rPr>
        <w:t xml:space="preserve">. Subsequently, </w:t>
      </w:r>
      <w:r w:rsidR="007F5447">
        <w:rPr>
          <w:lang w:val="en-US"/>
        </w:rPr>
        <w:t>the</w:t>
      </w:r>
      <w:r w:rsidR="00FC2B4E">
        <w:rPr>
          <w:lang w:val="en-US"/>
        </w:rPr>
        <w:t xml:space="preserve"> </w:t>
      </w:r>
      <w:r w:rsidR="006A735C">
        <w:rPr>
          <w:lang w:val="en-US"/>
        </w:rPr>
        <w:t>TOR</w:t>
      </w:r>
      <w:r w:rsidR="007F5447">
        <w:rPr>
          <w:lang w:val="en-US"/>
        </w:rPr>
        <w:t xml:space="preserve"> for the second phase of th</w:t>
      </w:r>
      <w:r w:rsidR="00B7740D">
        <w:rPr>
          <w:lang w:val="en-US"/>
        </w:rPr>
        <w:t>e</w:t>
      </w:r>
      <w:r w:rsidR="007F5447">
        <w:rPr>
          <w:lang w:val="en-US"/>
        </w:rPr>
        <w:t xml:space="preserve"> evaluation</w:t>
      </w:r>
      <w:r>
        <w:rPr>
          <w:lang w:val="en-US"/>
        </w:rPr>
        <w:t xml:space="preserve"> </w:t>
      </w:r>
      <w:r w:rsidR="007F5447">
        <w:rPr>
          <w:lang w:val="en-US"/>
        </w:rPr>
        <w:t>were</w:t>
      </w:r>
      <w:r>
        <w:rPr>
          <w:lang w:val="en-US"/>
        </w:rPr>
        <w:t xml:space="preserve"> presented</w:t>
      </w:r>
      <w:r w:rsidR="007F5447">
        <w:rPr>
          <w:lang w:val="en-US"/>
        </w:rPr>
        <w:t xml:space="preserve"> </w:t>
      </w:r>
      <w:r w:rsidR="005A5D0A">
        <w:rPr>
          <w:lang w:val="en-US"/>
        </w:rPr>
        <w:t xml:space="preserve">and adopted at </w:t>
      </w:r>
      <w:r w:rsidR="007F5447">
        <w:rPr>
          <w:lang w:val="en-US"/>
        </w:rPr>
        <w:t>the 86</w:t>
      </w:r>
      <w:r w:rsidRPr="009E1BDF">
        <w:rPr>
          <w:vertAlign w:val="superscript"/>
          <w:lang w:val="en-US"/>
        </w:rPr>
        <w:t>th</w:t>
      </w:r>
      <w:r>
        <w:rPr>
          <w:lang w:val="en-US"/>
        </w:rPr>
        <w:t xml:space="preserve"> meeting</w:t>
      </w:r>
      <w:r w:rsidR="00504633">
        <w:rPr>
          <w:lang w:val="en-US"/>
        </w:rPr>
        <w:t>.</w:t>
      </w:r>
      <w:r w:rsidR="007F5447">
        <w:rPr>
          <w:rStyle w:val="FootnoteReference"/>
          <w:lang w:val="en-US"/>
        </w:rPr>
        <w:footnoteReference w:id="4"/>
      </w:r>
      <w:r w:rsidR="00DF0914">
        <w:rPr>
          <w:lang w:val="en-US"/>
        </w:rPr>
        <w:t xml:space="preserve"> </w:t>
      </w:r>
      <w:r w:rsidR="006E3CE7">
        <w:rPr>
          <w:lang w:val="en-US"/>
        </w:rPr>
        <w:t xml:space="preserve">The evaluation will focus on the seven areas reflected in the </w:t>
      </w:r>
      <w:r w:rsidR="003C6108">
        <w:rPr>
          <w:lang w:val="en-US"/>
        </w:rPr>
        <w:t>TOR</w:t>
      </w:r>
      <w:r w:rsidR="005A5D0A">
        <w:rPr>
          <w:lang w:val="en-US"/>
        </w:rPr>
        <w:t>,</w:t>
      </w:r>
      <w:r w:rsidR="00661E37">
        <w:rPr>
          <w:rStyle w:val="FootnoteReference"/>
        </w:rPr>
        <w:t xml:space="preserve"> </w:t>
      </w:r>
      <w:r w:rsidR="00D42787">
        <w:rPr>
          <w:lang w:val="en-US"/>
        </w:rPr>
        <w:t>which were identified by</w:t>
      </w:r>
      <w:r w:rsidR="00111AE7">
        <w:rPr>
          <w:lang w:val="en-US"/>
        </w:rPr>
        <w:t xml:space="preserve"> the desk-study.</w:t>
      </w:r>
      <w:r w:rsidR="00111AE7" w:rsidRPr="00FC2B4E">
        <w:rPr>
          <w:rStyle w:val="FootnoteReference"/>
        </w:rPr>
        <w:footnoteReference w:id="5"/>
      </w:r>
      <w:r w:rsidR="00111AE7">
        <w:rPr>
          <w:lang w:val="en-US"/>
        </w:rPr>
        <w:t xml:space="preserve"> </w:t>
      </w:r>
    </w:p>
    <w:p w:rsidR="007C4002" w:rsidRPr="00D906AD" w:rsidRDefault="004525F1" w:rsidP="007644D2">
      <w:pPr>
        <w:pStyle w:val="Heading1"/>
        <w:numPr>
          <w:ilvl w:val="0"/>
          <w:numId w:val="43"/>
        </w:numPr>
        <w:ind w:left="0" w:firstLine="0"/>
      </w:pPr>
      <w:r w:rsidRPr="00D906AD">
        <w:t>This</w:t>
      </w:r>
      <w:r w:rsidR="00111AE7" w:rsidRPr="00D906AD">
        <w:t xml:space="preserve"> </w:t>
      </w:r>
      <w:r w:rsidR="000F2510" w:rsidRPr="00D906AD">
        <w:t xml:space="preserve">phase </w:t>
      </w:r>
      <w:r w:rsidRPr="00D906AD">
        <w:t>aims at</w:t>
      </w:r>
      <w:r w:rsidR="00111AE7" w:rsidRPr="00D906AD">
        <w:t xml:space="preserve"> </w:t>
      </w:r>
      <w:r w:rsidR="000F2510" w:rsidRPr="00D906AD">
        <w:t xml:space="preserve">evaluating the impact of the regional networks of </w:t>
      </w:r>
      <w:r w:rsidR="007702D8" w:rsidRPr="00D906AD">
        <w:t>NOOs</w:t>
      </w:r>
      <w:r w:rsidR="000F2510" w:rsidRPr="00D906AD">
        <w:t xml:space="preserve">, </w:t>
      </w:r>
      <w:r w:rsidRPr="00D906AD">
        <w:t>identifying</w:t>
      </w:r>
      <w:r w:rsidR="00111AE7" w:rsidRPr="00D906AD">
        <w:t xml:space="preserve"> good practices </w:t>
      </w:r>
      <w:r w:rsidRPr="00D906AD">
        <w:t xml:space="preserve">as well as </w:t>
      </w:r>
      <w:r w:rsidR="00111AE7" w:rsidRPr="00D906AD">
        <w:t>areas for impro</w:t>
      </w:r>
      <w:r w:rsidRPr="00D906AD">
        <w:t>vement</w:t>
      </w:r>
      <w:r w:rsidR="000F2510" w:rsidRPr="00D906AD">
        <w:t xml:space="preserve"> </w:t>
      </w:r>
      <w:r w:rsidRPr="00D906AD">
        <w:t>with the purpose of streamlining</w:t>
      </w:r>
      <w:r w:rsidR="00111AE7" w:rsidRPr="00D906AD">
        <w:t xml:space="preserve"> lessons learnt </w:t>
      </w:r>
      <w:r w:rsidRPr="00D906AD">
        <w:t>when</w:t>
      </w:r>
      <w:r w:rsidR="00111AE7" w:rsidRPr="00D906AD">
        <w:t xml:space="preserve"> </w:t>
      </w:r>
      <w:r w:rsidR="006A735C" w:rsidRPr="00D906AD">
        <w:t>addressing</w:t>
      </w:r>
      <w:r w:rsidR="00111AE7" w:rsidRPr="00D906AD">
        <w:rPr>
          <w:lang w:val="en-US"/>
        </w:rPr>
        <w:t xml:space="preserve"> the new challenges</w:t>
      </w:r>
      <w:r w:rsidRPr="00D906AD">
        <w:rPr>
          <w:lang w:val="en-US"/>
        </w:rPr>
        <w:t xml:space="preserve"> </w:t>
      </w:r>
      <w:r w:rsidR="00111AE7" w:rsidRPr="00D906AD">
        <w:rPr>
          <w:lang w:val="en-US"/>
        </w:rPr>
        <w:t xml:space="preserve">related to the </w:t>
      </w:r>
      <w:r w:rsidR="00C8363A" w:rsidRPr="00D906AD">
        <w:rPr>
          <w:lang w:val="en-US"/>
        </w:rPr>
        <w:t>concurrent phase</w:t>
      </w:r>
      <w:r w:rsidR="00C8363A" w:rsidRPr="00D906AD">
        <w:rPr>
          <w:lang w:val="en-US"/>
        </w:rPr>
        <w:noBreakHyphen/>
      </w:r>
      <w:r w:rsidR="00504633" w:rsidRPr="00D906AD">
        <w:rPr>
          <w:lang w:val="en-US"/>
        </w:rPr>
        <w:t>out of H</w:t>
      </w:r>
      <w:r w:rsidR="004D6EDE" w:rsidRPr="00D906AD">
        <w:rPr>
          <w:lang w:val="en-US"/>
        </w:rPr>
        <w:t>CFCs and the phase-down of HFCs</w:t>
      </w:r>
      <w:r w:rsidR="00111AE7" w:rsidRPr="00D906AD">
        <w:rPr>
          <w:lang w:val="en-US"/>
        </w:rPr>
        <w:t xml:space="preserve">. </w:t>
      </w:r>
      <w:r w:rsidR="009108D9" w:rsidRPr="00D906AD">
        <w:t xml:space="preserve">As </w:t>
      </w:r>
      <w:r w:rsidR="00025ADA" w:rsidRPr="00D906AD">
        <w:t>contemplated</w:t>
      </w:r>
      <w:r w:rsidR="001F7E94" w:rsidRPr="00D906AD">
        <w:t xml:space="preserve"> in</w:t>
      </w:r>
      <w:r w:rsidR="00025ADA" w:rsidRPr="00D906AD">
        <w:t xml:space="preserve"> </w:t>
      </w:r>
      <w:r w:rsidR="009108D9" w:rsidRPr="00D906AD">
        <w:t xml:space="preserve">paragraph 13 of the </w:t>
      </w:r>
      <w:r w:rsidR="006A735C" w:rsidRPr="00D906AD">
        <w:t>TOR</w:t>
      </w:r>
      <w:r w:rsidR="009108D9" w:rsidRPr="00D906AD">
        <w:t xml:space="preserve">, the methodology for the proposed evaluation is being adapted to the current context of virtual and remote work related to the </w:t>
      </w:r>
      <w:r w:rsidR="00CD0FEC" w:rsidRPr="00D906AD">
        <w:t xml:space="preserve">restrictions imposed due to </w:t>
      </w:r>
      <w:r w:rsidR="007F5447" w:rsidRPr="00D906AD">
        <w:t>the COVID-19 pandemic</w:t>
      </w:r>
      <w:r w:rsidR="009108D9" w:rsidRPr="00D906AD">
        <w:t xml:space="preserve">. </w:t>
      </w:r>
    </w:p>
    <w:p w:rsidR="002955A1" w:rsidRPr="001A00E0" w:rsidRDefault="007C4002" w:rsidP="007644D2">
      <w:pPr>
        <w:pStyle w:val="Heading1"/>
        <w:numPr>
          <w:ilvl w:val="0"/>
          <w:numId w:val="43"/>
        </w:numPr>
        <w:ind w:left="0" w:firstLine="0"/>
      </w:pPr>
      <w:r>
        <w:t xml:space="preserve">In order not to delay the undertaking of this evaluation, it is proposed to invert the </w:t>
      </w:r>
      <w:r w:rsidR="003655AC">
        <w:t xml:space="preserve">traditional </w:t>
      </w:r>
      <w:r>
        <w:t>order of evaluation phases, in a way that would lead to a meaningful result through final in</w:t>
      </w:r>
      <w:r w:rsidR="00CD0FEC">
        <w:noBreakHyphen/>
      </w:r>
      <w:r>
        <w:t xml:space="preserve">person validation of the interim results, as soon as </w:t>
      </w:r>
      <w:r w:rsidR="003655AC">
        <w:t xml:space="preserve">the possibility of </w:t>
      </w:r>
      <w:r>
        <w:t>official travel on mission and</w:t>
      </w:r>
      <w:r w:rsidR="004525F1">
        <w:t xml:space="preserve"> in-person</w:t>
      </w:r>
      <w:r>
        <w:t xml:space="preserve"> meetings will </w:t>
      </w:r>
      <w:r w:rsidR="00C30545">
        <w:t>resume</w:t>
      </w:r>
      <w:r>
        <w:t xml:space="preserve">. </w:t>
      </w:r>
      <w:r w:rsidR="003655AC">
        <w:t>The proposal is structured as described below</w:t>
      </w:r>
      <w:r w:rsidR="004525F1">
        <w:t xml:space="preserve">: </w:t>
      </w:r>
    </w:p>
    <w:p w:rsidR="00D266E7" w:rsidRPr="00921AF8" w:rsidRDefault="009C40DE" w:rsidP="007644D2">
      <w:pPr>
        <w:pStyle w:val="Heading2"/>
        <w:tabs>
          <w:tab w:val="left" w:pos="720"/>
        </w:tabs>
        <w:ind w:left="1440" w:hanging="720"/>
        <w:rPr>
          <w:lang w:val="en-US"/>
        </w:rPr>
      </w:pPr>
      <w:r>
        <w:rPr>
          <w:i/>
        </w:rPr>
        <w:t>St</w:t>
      </w:r>
      <w:r w:rsidR="0061091E">
        <w:rPr>
          <w:i/>
        </w:rPr>
        <w:t>age</w:t>
      </w:r>
      <w:r>
        <w:rPr>
          <w:i/>
        </w:rPr>
        <w:t xml:space="preserve"> </w:t>
      </w:r>
      <w:r w:rsidR="009108D9" w:rsidRPr="003655AC">
        <w:rPr>
          <w:i/>
        </w:rPr>
        <w:t>1:</w:t>
      </w:r>
      <w:r w:rsidR="0061091E">
        <w:rPr>
          <w:i/>
        </w:rPr>
        <w:t xml:space="preserve"> Attendance </w:t>
      </w:r>
      <w:r w:rsidR="00CD0FEC">
        <w:rPr>
          <w:i/>
        </w:rPr>
        <w:t>at</w:t>
      </w:r>
      <w:r w:rsidR="009A309C" w:rsidRPr="003655AC">
        <w:rPr>
          <w:i/>
        </w:rPr>
        <w:t xml:space="preserve"> regional n</w:t>
      </w:r>
      <w:r w:rsidR="004E1BBD" w:rsidRPr="003655AC">
        <w:rPr>
          <w:i/>
        </w:rPr>
        <w:t>etwork meetings</w:t>
      </w:r>
      <w:r w:rsidR="00D266E7" w:rsidRPr="00921AF8">
        <w:t xml:space="preserve"> </w:t>
      </w:r>
    </w:p>
    <w:p w:rsidR="00921AF8" w:rsidRDefault="009108D9" w:rsidP="00FB39B8">
      <w:pPr>
        <w:pStyle w:val="Heading1"/>
        <w:numPr>
          <w:ilvl w:val="0"/>
          <w:numId w:val="43"/>
        </w:numPr>
        <w:ind w:left="0" w:firstLine="0"/>
      </w:pPr>
      <w:r>
        <w:t xml:space="preserve">The </w:t>
      </w:r>
      <w:r w:rsidR="00504633">
        <w:t xml:space="preserve">forthcoming </w:t>
      </w:r>
      <w:r>
        <w:t>meetings of the regional networks are planned to take place virtually.</w:t>
      </w:r>
      <w:r w:rsidR="009403BD">
        <w:rPr>
          <w:rStyle w:val="FootnoteReference"/>
        </w:rPr>
        <w:footnoteReference w:id="6"/>
      </w:r>
      <w:r>
        <w:t xml:space="preserve"> Th</w:t>
      </w:r>
      <w:r w:rsidR="00DF2C03">
        <w:t xml:space="preserve">e </w:t>
      </w:r>
      <w:r w:rsidR="004D6EDE">
        <w:t xml:space="preserve">staff of the </w:t>
      </w:r>
      <w:r w:rsidR="00DF2C03">
        <w:t>Evaluation Office, in close coordination with</w:t>
      </w:r>
      <w:r w:rsidR="006B3C2E">
        <w:t xml:space="preserve"> and support from</w:t>
      </w:r>
      <w:r w:rsidR="00DF2C03">
        <w:t xml:space="preserve"> UNEP</w:t>
      </w:r>
      <w:r w:rsidR="00DF2C03" w:rsidRPr="00DF2C03">
        <w:rPr>
          <w:lang w:val="en-US"/>
        </w:rPr>
        <w:t>’s</w:t>
      </w:r>
      <w:r>
        <w:t xml:space="preserve"> </w:t>
      </w:r>
      <w:r w:rsidRPr="00DF2C03">
        <w:rPr>
          <w:i/>
        </w:rPr>
        <w:t>OzonAction</w:t>
      </w:r>
      <w:r>
        <w:t xml:space="preserve"> team</w:t>
      </w:r>
      <w:r w:rsidR="006B3C2E">
        <w:t>,</w:t>
      </w:r>
      <w:r>
        <w:t xml:space="preserve"> w</w:t>
      </w:r>
      <w:r w:rsidR="00867C54">
        <w:t>ill</w:t>
      </w:r>
      <w:r>
        <w:t xml:space="preserve"> participate </w:t>
      </w:r>
      <w:r w:rsidR="00CD0FEC">
        <w:t>in</w:t>
      </w:r>
      <w:r>
        <w:t xml:space="preserve"> a</w:t>
      </w:r>
      <w:r w:rsidR="00504633">
        <w:t>t least one meeting per region</w:t>
      </w:r>
      <w:r w:rsidR="00DF2C03">
        <w:t xml:space="preserve">, </w:t>
      </w:r>
      <w:r w:rsidR="003655AC">
        <w:t>introducing</w:t>
      </w:r>
      <w:r w:rsidR="006B3C2E">
        <w:t xml:space="preserve"> </w:t>
      </w:r>
      <w:r w:rsidR="003655AC">
        <w:t>to the coordinators and participants of the networks the scope of the evaluation. This is expected to</w:t>
      </w:r>
      <w:r w:rsidR="006B3C2E">
        <w:t xml:space="preserve"> </w:t>
      </w:r>
      <w:r>
        <w:t xml:space="preserve">increase the visibility of the evaluation and </w:t>
      </w:r>
      <w:r w:rsidR="00DF2C03">
        <w:t xml:space="preserve">enhance </w:t>
      </w:r>
      <w:r>
        <w:t>the buy-in of</w:t>
      </w:r>
      <w:r w:rsidR="00921AF8">
        <w:t xml:space="preserve"> </w:t>
      </w:r>
      <w:r w:rsidR="006B3C2E">
        <w:t>all relevant</w:t>
      </w:r>
      <w:r>
        <w:t xml:space="preserve"> </w:t>
      </w:r>
      <w:r w:rsidR="006B3C2E">
        <w:t xml:space="preserve">stakeholders in the different regions </w:t>
      </w:r>
      <w:r>
        <w:t>to</w:t>
      </w:r>
      <w:r w:rsidR="00DF2C03">
        <w:t xml:space="preserve"> favour </w:t>
      </w:r>
      <w:r w:rsidR="003655AC">
        <w:t xml:space="preserve">their </w:t>
      </w:r>
      <w:r w:rsidR="00DF2C03">
        <w:t>participation</w:t>
      </w:r>
      <w:r>
        <w:t xml:space="preserve">. </w:t>
      </w:r>
      <w:r w:rsidR="00867C54">
        <w:t>T</w:t>
      </w:r>
      <w:r w:rsidR="00C2054D">
        <w:t xml:space="preserve">he SMEO </w:t>
      </w:r>
      <w:r w:rsidR="006B3C2E">
        <w:t>w</w:t>
      </w:r>
      <w:r w:rsidR="00867C54">
        <w:t>ill</w:t>
      </w:r>
      <w:r w:rsidR="009A309C">
        <w:t xml:space="preserve"> organize follow</w:t>
      </w:r>
      <w:r w:rsidR="009A309C">
        <w:noBreakHyphen/>
      </w:r>
      <w:r w:rsidR="00C2054D">
        <w:t xml:space="preserve">up focus groups with the regional coordinators and relevant stakeholders in the regions. </w:t>
      </w:r>
      <w:r w:rsidR="00FF6152">
        <w:t>A consultant w</w:t>
      </w:r>
      <w:r w:rsidR="00867C54">
        <w:t>ill</w:t>
      </w:r>
      <w:r w:rsidR="00550EB2">
        <w:t xml:space="preserve"> </w:t>
      </w:r>
      <w:r w:rsidR="00FF6152">
        <w:t>be recruited to support the process</w:t>
      </w:r>
      <w:r w:rsidR="004D6EDE">
        <w:t>.</w:t>
      </w:r>
    </w:p>
    <w:p w:rsidR="00C2054D" w:rsidRPr="00BD3E0E" w:rsidRDefault="009C40DE" w:rsidP="007644D2">
      <w:pPr>
        <w:pStyle w:val="Heading2"/>
        <w:tabs>
          <w:tab w:val="left" w:pos="720"/>
        </w:tabs>
        <w:ind w:left="1440" w:hanging="720"/>
        <w:rPr>
          <w:i/>
        </w:rPr>
      </w:pPr>
      <w:r w:rsidRPr="00BD3E0E">
        <w:rPr>
          <w:i/>
        </w:rPr>
        <w:t>S</w:t>
      </w:r>
      <w:r w:rsidR="0061091E" w:rsidRPr="00BD3E0E">
        <w:rPr>
          <w:i/>
        </w:rPr>
        <w:t>tage</w:t>
      </w:r>
      <w:r w:rsidR="00DE1DB1" w:rsidRPr="00BD3E0E">
        <w:rPr>
          <w:i/>
        </w:rPr>
        <w:t xml:space="preserve"> 2: </w:t>
      </w:r>
      <w:r w:rsidR="00550EB2" w:rsidRPr="00BD3E0E">
        <w:rPr>
          <w:i/>
        </w:rPr>
        <w:t>Launch of a global survey, d</w:t>
      </w:r>
      <w:r w:rsidR="00DE1DB1" w:rsidRPr="00BD3E0E">
        <w:rPr>
          <w:i/>
        </w:rPr>
        <w:t xml:space="preserve">ata collection, analysis </w:t>
      </w:r>
    </w:p>
    <w:p w:rsidR="004F71BA" w:rsidRPr="00914A15" w:rsidRDefault="00550EB2" w:rsidP="00FB39B8">
      <w:pPr>
        <w:pStyle w:val="Heading1"/>
        <w:numPr>
          <w:ilvl w:val="0"/>
          <w:numId w:val="43"/>
        </w:numPr>
        <w:ind w:left="0" w:firstLine="0"/>
      </w:pPr>
      <w:r>
        <w:t xml:space="preserve">This stage may run in parallel with stage </w:t>
      </w:r>
      <w:r w:rsidR="00771B13">
        <w:t xml:space="preserve">1. </w:t>
      </w:r>
      <w:r w:rsidRPr="00FF5EFA">
        <w:t xml:space="preserve">The Evaluation Office will </w:t>
      </w:r>
      <w:r w:rsidR="00771B13">
        <w:t xml:space="preserve">prepare and </w:t>
      </w:r>
      <w:r w:rsidRPr="00FF5EFA">
        <w:t>launch a global survey addressed to the regional networks, involving not only the NOU</w:t>
      </w:r>
      <w:r>
        <w:t>’</w:t>
      </w:r>
      <w:r w:rsidRPr="00FF5EFA">
        <w:t>s representatives</w:t>
      </w:r>
      <w:r>
        <w:t>,</w:t>
      </w:r>
      <w:r w:rsidRPr="00FF5EFA">
        <w:t xml:space="preserve"> but also key stakeholders in the regions. The survey w</w:t>
      </w:r>
      <w:r w:rsidR="00771B13">
        <w:t>ill</w:t>
      </w:r>
      <w:r w:rsidRPr="00FF5EFA">
        <w:t xml:space="preserve"> be channelled with the support of the UNEP’</w:t>
      </w:r>
      <w:r>
        <w:t>s</w:t>
      </w:r>
      <w:r w:rsidRPr="00FF5EFA">
        <w:t xml:space="preserve"> </w:t>
      </w:r>
      <w:r w:rsidRPr="003C6108">
        <w:rPr>
          <w:i/>
        </w:rPr>
        <w:t>OzonAction</w:t>
      </w:r>
      <w:r w:rsidRPr="00FF5EFA">
        <w:t xml:space="preserve"> team </w:t>
      </w:r>
      <w:r w:rsidRPr="00FF5EFA">
        <w:lastRenderedPageBreak/>
        <w:t xml:space="preserve">to ensure effective outreach to all the regions and variety of stakeholders. </w:t>
      </w:r>
      <w:r>
        <w:t xml:space="preserve">The same </w:t>
      </w:r>
      <w:r w:rsidRPr="00FF5EFA">
        <w:t>consultant w</w:t>
      </w:r>
      <w:r w:rsidR="00771B13">
        <w:t>ill</w:t>
      </w:r>
      <w:r w:rsidRPr="00FF5EFA">
        <w:t xml:space="preserve"> support the preparation and dissemination of the survey, the data collection and the preliminary analysis of the responses received</w:t>
      </w:r>
      <w:r>
        <w:t>.</w:t>
      </w:r>
      <w:r w:rsidR="004F71BA">
        <w:t xml:space="preserve"> Following the data collection, analysis and preliminary findings, the SMEO will provide an update to the Committee at </w:t>
      </w:r>
      <w:r w:rsidR="00494380">
        <w:t>its</w:t>
      </w:r>
      <w:r w:rsidR="004F71BA">
        <w:t xml:space="preserve"> 90</w:t>
      </w:r>
      <w:r w:rsidR="004F71BA" w:rsidRPr="00457AEE">
        <w:rPr>
          <w:vertAlign w:val="superscript"/>
        </w:rPr>
        <w:t>th</w:t>
      </w:r>
      <w:r w:rsidR="004F71BA">
        <w:t xml:space="preserve"> </w:t>
      </w:r>
      <w:r w:rsidR="00914A15">
        <w:t>and 91</w:t>
      </w:r>
      <w:r w:rsidR="00914A15" w:rsidRPr="00914A15">
        <w:rPr>
          <w:vertAlign w:val="superscript"/>
        </w:rPr>
        <w:t>st</w:t>
      </w:r>
      <w:r w:rsidR="00914A15">
        <w:t xml:space="preserve"> </w:t>
      </w:r>
      <w:r w:rsidR="004F71BA">
        <w:t>meeting</w:t>
      </w:r>
      <w:r w:rsidR="00914A15">
        <w:t>s</w:t>
      </w:r>
      <w:r w:rsidR="004F71BA">
        <w:t>, to take stock of the progress to date and</w:t>
      </w:r>
      <w:r w:rsidR="00494380">
        <w:t xml:space="preserve"> to inform about the plans for </w:t>
      </w:r>
      <w:r w:rsidR="00494380" w:rsidRPr="00914A15">
        <w:t>s</w:t>
      </w:r>
      <w:r w:rsidR="004F71BA" w:rsidRPr="00914A15">
        <w:t xml:space="preserve">tage 3, depending on travel-related issues. </w:t>
      </w:r>
    </w:p>
    <w:p w:rsidR="00C2054D" w:rsidRPr="00914A15" w:rsidRDefault="002C6DB4" w:rsidP="007644D2">
      <w:pPr>
        <w:pStyle w:val="Heading2"/>
        <w:tabs>
          <w:tab w:val="left" w:pos="720"/>
        </w:tabs>
        <w:ind w:left="1440" w:hanging="720"/>
        <w:rPr>
          <w:i/>
        </w:rPr>
      </w:pPr>
      <w:r w:rsidRPr="00914A15">
        <w:rPr>
          <w:i/>
        </w:rPr>
        <w:t>Stage 3</w:t>
      </w:r>
      <w:r w:rsidR="00C2054D" w:rsidRPr="00914A15">
        <w:rPr>
          <w:i/>
        </w:rPr>
        <w:t xml:space="preserve">: </w:t>
      </w:r>
      <w:r w:rsidR="002E7961">
        <w:rPr>
          <w:i/>
        </w:rPr>
        <w:t>V</w:t>
      </w:r>
      <w:r w:rsidR="001D7B2E">
        <w:rPr>
          <w:i/>
        </w:rPr>
        <w:t>alidation</w:t>
      </w:r>
      <w:r w:rsidR="009A309C" w:rsidRPr="00914A15">
        <w:rPr>
          <w:i/>
        </w:rPr>
        <w:t xml:space="preserve"> and </w:t>
      </w:r>
      <w:r w:rsidR="00905D72" w:rsidRPr="00914A15">
        <w:rPr>
          <w:i/>
        </w:rPr>
        <w:t>draft</w:t>
      </w:r>
      <w:r w:rsidR="00DE1DB1" w:rsidRPr="00914A15">
        <w:rPr>
          <w:i/>
        </w:rPr>
        <w:t xml:space="preserve"> report</w:t>
      </w:r>
      <w:r w:rsidR="00905D72" w:rsidRPr="00914A15">
        <w:rPr>
          <w:i/>
        </w:rPr>
        <w:t>s</w:t>
      </w:r>
    </w:p>
    <w:p w:rsidR="00914A15" w:rsidRPr="00914A15" w:rsidRDefault="00774A2B" w:rsidP="00914A15">
      <w:pPr>
        <w:pStyle w:val="Heading1"/>
        <w:numPr>
          <w:ilvl w:val="0"/>
          <w:numId w:val="43"/>
        </w:numPr>
        <w:ind w:left="0" w:firstLine="0"/>
      </w:pPr>
      <w:r w:rsidRPr="00914A15">
        <w:t xml:space="preserve">It is expected that </w:t>
      </w:r>
      <w:r w:rsidR="005E4107">
        <w:t>the</w:t>
      </w:r>
      <w:r w:rsidRPr="00914A15">
        <w:t xml:space="preserve"> validat</w:t>
      </w:r>
      <w:r w:rsidR="005E4107">
        <w:t>ion of</w:t>
      </w:r>
      <w:r w:rsidRPr="00914A15">
        <w:t xml:space="preserve"> the preliminary assessment</w:t>
      </w:r>
      <w:r w:rsidR="005E4107">
        <w:t xml:space="preserve"> w</w:t>
      </w:r>
      <w:r w:rsidRPr="00914A15">
        <w:t xml:space="preserve">ould be </w:t>
      </w:r>
      <w:r w:rsidR="005E4107">
        <w:t xml:space="preserve">conducted virtually and/or on the margins of </w:t>
      </w:r>
      <w:r w:rsidR="009403BD">
        <w:t xml:space="preserve">any in-person regional network meetings that </w:t>
      </w:r>
      <w:r w:rsidR="00A52069">
        <w:t>might</w:t>
      </w:r>
      <w:r w:rsidR="009403BD">
        <w:t xml:space="preserve"> take place</w:t>
      </w:r>
      <w:r w:rsidRPr="00914A15">
        <w:t xml:space="preserve"> in 2022</w:t>
      </w:r>
      <w:r w:rsidR="009403BD">
        <w:t xml:space="preserve"> or early 2023</w:t>
      </w:r>
      <w:r w:rsidR="005E4107">
        <w:t>, which the SMEO and/or consultant would attend</w:t>
      </w:r>
      <w:r w:rsidR="009403BD">
        <w:t>.</w:t>
      </w:r>
      <w:r w:rsidRPr="00914A15">
        <w:t xml:space="preserve"> </w:t>
      </w:r>
      <w:r w:rsidR="0014469D" w:rsidRPr="00914A15">
        <w:t xml:space="preserve">To optimize the use of </w:t>
      </w:r>
      <w:r w:rsidR="006F240B" w:rsidRPr="00914A15">
        <w:t>resources</w:t>
      </w:r>
      <w:r w:rsidR="0014469D" w:rsidRPr="00914A15">
        <w:t>, travel destination</w:t>
      </w:r>
      <w:r w:rsidR="002C6DB4" w:rsidRPr="00914A15">
        <w:t>s</w:t>
      </w:r>
      <w:r w:rsidR="0014469D" w:rsidRPr="00914A15">
        <w:t xml:space="preserve"> </w:t>
      </w:r>
      <w:r w:rsidR="009C1335" w:rsidRPr="00914A15">
        <w:t xml:space="preserve">would </w:t>
      </w:r>
      <w:r w:rsidR="0014469D" w:rsidRPr="00914A15">
        <w:t xml:space="preserve">be shared between the </w:t>
      </w:r>
      <w:r w:rsidR="002C6DB4" w:rsidRPr="00914A15">
        <w:t xml:space="preserve">SMEO and the consultant, </w:t>
      </w:r>
      <w:r w:rsidR="0014469D" w:rsidRPr="00914A15">
        <w:t>to cover as many regions as possible</w:t>
      </w:r>
      <w:r w:rsidR="005E4107">
        <w:t xml:space="preserve">, and any travel would only take place if it included participation in </w:t>
      </w:r>
      <w:r w:rsidR="00F633F6">
        <w:t>in-person regional network meetings</w:t>
      </w:r>
      <w:r w:rsidR="0014469D" w:rsidRPr="00914A15">
        <w:t>.</w:t>
      </w:r>
      <w:r w:rsidR="002C6DB4" w:rsidRPr="00914A15">
        <w:rPr>
          <w:rStyle w:val="FootnoteReference"/>
        </w:rPr>
        <w:footnoteReference w:id="7"/>
      </w:r>
      <w:r w:rsidR="002C6DB4" w:rsidRPr="00914A15">
        <w:t xml:space="preserve"> </w:t>
      </w:r>
      <w:r w:rsidR="00BB2D68" w:rsidRPr="00914A15">
        <w:t>The budget may be revised according to the field mission costs,</w:t>
      </w:r>
      <w:r w:rsidR="00BB2D68" w:rsidRPr="00914A15">
        <w:rPr>
          <w:lang w:val="en-US"/>
        </w:rPr>
        <w:t xml:space="preserve"> depending on the progress in lifting restrictions relating to COVID-19. </w:t>
      </w:r>
      <w:r w:rsidR="00905D72" w:rsidRPr="00914A15">
        <w:rPr>
          <w:lang w:val="en-US"/>
        </w:rPr>
        <w:t>Draft synthesis reports would be prepared for</w:t>
      </w:r>
      <w:r w:rsidR="004625EC" w:rsidRPr="00914A15">
        <w:rPr>
          <w:lang w:val="en-US"/>
        </w:rPr>
        <w:t xml:space="preserve"> each meeting. They would be fe</w:t>
      </w:r>
      <w:r w:rsidR="00905D72" w:rsidRPr="00914A15">
        <w:rPr>
          <w:lang w:val="en-US"/>
        </w:rPr>
        <w:t xml:space="preserve">d into the </w:t>
      </w:r>
      <w:r w:rsidR="00502379" w:rsidRPr="00914A15">
        <w:t xml:space="preserve">final evaluation report </w:t>
      </w:r>
      <w:r w:rsidR="00905D72" w:rsidRPr="00914A15">
        <w:t>which would</w:t>
      </w:r>
      <w:r w:rsidRPr="00914A15">
        <w:t xml:space="preserve"> be presented </w:t>
      </w:r>
      <w:r w:rsidR="009A1D63" w:rsidRPr="00914A15">
        <w:t xml:space="preserve">in 2023, at the earliest possible Committee meeting, after the quality assurance process for the final draft report is completed.  </w:t>
      </w:r>
    </w:p>
    <w:p w:rsidR="004E30EA" w:rsidRPr="009A1D63" w:rsidRDefault="004E30EA" w:rsidP="00914A15">
      <w:pPr>
        <w:pStyle w:val="Heading1"/>
        <w:tabs>
          <w:tab w:val="left" w:pos="1170"/>
        </w:tabs>
        <w:rPr>
          <w:iCs/>
          <w:u w:val="single"/>
        </w:rPr>
      </w:pPr>
      <w:r w:rsidRPr="009A1D63">
        <w:rPr>
          <w:iCs/>
          <w:u w:val="single"/>
        </w:rPr>
        <w:t xml:space="preserve">Activity </w:t>
      </w:r>
      <w:r w:rsidR="004A6E2A" w:rsidRPr="009A1D63">
        <w:rPr>
          <w:iCs/>
          <w:u w:val="single"/>
        </w:rPr>
        <w:t>3</w:t>
      </w:r>
      <w:r w:rsidRPr="009A1D63">
        <w:rPr>
          <w:iCs/>
          <w:u w:val="single"/>
        </w:rPr>
        <w:t>: Evaluation of the enabling ac</w:t>
      </w:r>
      <w:r w:rsidR="007C64BB" w:rsidRPr="009A1D63">
        <w:rPr>
          <w:iCs/>
          <w:u w:val="single"/>
        </w:rPr>
        <w:t xml:space="preserve">tivities </w:t>
      </w:r>
      <w:r w:rsidR="00871A8E" w:rsidRPr="009A1D63">
        <w:rPr>
          <w:iCs/>
          <w:u w:val="single"/>
        </w:rPr>
        <w:t>for HFC phase-down</w:t>
      </w:r>
    </w:p>
    <w:p w:rsidR="00A4301F" w:rsidRPr="00122BB0" w:rsidRDefault="007F7F17" w:rsidP="007644D2">
      <w:pPr>
        <w:pStyle w:val="Heading1"/>
        <w:numPr>
          <w:ilvl w:val="0"/>
          <w:numId w:val="43"/>
        </w:numPr>
        <w:ind w:left="0" w:firstLine="0"/>
      </w:pPr>
      <w:r>
        <w:t>T</w:t>
      </w:r>
      <w:r w:rsidR="00A4301F" w:rsidRPr="00122BB0">
        <w:t xml:space="preserve">he Executive Committee approved </w:t>
      </w:r>
      <w:r w:rsidR="00A4301F" w:rsidRPr="00122BB0">
        <w:rPr>
          <w:color w:val="000000"/>
          <w:kern w:val="28"/>
        </w:rPr>
        <w:t xml:space="preserve">funding for </w:t>
      </w:r>
      <w:r w:rsidR="00A4301F" w:rsidRPr="004625EC">
        <w:rPr>
          <w:color w:val="000000"/>
          <w:kern w:val="28"/>
        </w:rPr>
        <w:t xml:space="preserve">enabling activities </w:t>
      </w:r>
      <w:r w:rsidR="00BB2D68" w:rsidRPr="004625EC">
        <w:rPr>
          <w:color w:val="000000"/>
          <w:kern w:val="28"/>
        </w:rPr>
        <w:t>for</w:t>
      </w:r>
      <w:r w:rsidR="001B1019" w:rsidRPr="004625EC">
        <w:rPr>
          <w:color w:val="000000"/>
          <w:kern w:val="28"/>
        </w:rPr>
        <w:t xml:space="preserve"> </w:t>
      </w:r>
      <w:r w:rsidR="004625EC">
        <w:rPr>
          <w:color w:val="000000"/>
          <w:kern w:val="28"/>
        </w:rPr>
        <w:t xml:space="preserve">HFC phase-down for </w:t>
      </w:r>
      <w:r w:rsidR="004625EC" w:rsidRPr="00D906AD">
        <w:rPr>
          <w:color w:val="000000"/>
          <w:kern w:val="28"/>
        </w:rPr>
        <w:t>1</w:t>
      </w:r>
      <w:r w:rsidR="00F224C5" w:rsidRPr="00D906AD">
        <w:rPr>
          <w:color w:val="000000"/>
          <w:kern w:val="28"/>
        </w:rPr>
        <w:t>37</w:t>
      </w:r>
      <w:r w:rsidR="00981572">
        <w:rPr>
          <w:color w:val="000000"/>
          <w:kern w:val="28"/>
        </w:rPr>
        <w:t> </w:t>
      </w:r>
      <w:r w:rsidR="001B1019" w:rsidRPr="004625EC">
        <w:rPr>
          <w:color w:val="000000"/>
          <w:kern w:val="28"/>
        </w:rPr>
        <w:t>Article</w:t>
      </w:r>
      <w:r w:rsidRPr="004625EC">
        <w:rPr>
          <w:color w:val="000000"/>
          <w:kern w:val="28"/>
        </w:rPr>
        <w:t> </w:t>
      </w:r>
      <w:r w:rsidR="001B1019" w:rsidRPr="004625EC">
        <w:rPr>
          <w:color w:val="000000"/>
          <w:kern w:val="28"/>
        </w:rPr>
        <w:t xml:space="preserve">5 </w:t>
      </w:r>
      <w:r w:rsidR="00A4301F" w:rsidRPr="004625EC">
        <w:rPr>
          <w:color w:val="000000"/>
          <w:kern w:val="28"/>
        </w:rPr>
        <w:t>countries.</w:t>
      </w:r>
      <w:r w:rsidR="00A4301F" w:rsidRPr="004625EC">
        <w:rPr>
          <w:rStyle w:val="FootnoteReference"/>
          <w:color w:val="000000"/>
          <w:kern w:val="28"/>
        </w:rPr>
        <w:footnoteReference w:id="8"/>
      </w:r>
      <w:r w:rsidR="00A4301F" w:rsidRPr="004625EC">
        <w:rPr>
          <w:color w:val="000000"/>
          <w:kern w:val="28"/>
        </w:rPr>
        <w:t xml:space="preserve"> </w:t>
      </w:r>
      <w:r w:rsidR="00DE2932" w:rsidRPr="004625EC">
        <w:rPr>
          <w:color w:val="000000"/>
          <w:kern w:val="28"/>
        </w:rPr>
        <w:t xml:space="preserve">Since </w:t>
      </w:r>
      <w:r w:rsidR="00F87929" w:rsidRPr="004625EC">
        <w:rPr>
          <w:color w:val="000000"/>
          <w:kern w:val="28"/>
        </w:rPr>
        <w:t>a numbe</w:t>
      </w:r>
      <w:r w:rsidR="00F87929">
        <w:rPr>
          <w:color w:val="000000"/>
          <w:kern w:val="28"/>
        </w:rPr>
        <w:t xml:space="preserve">r of </w:t>
      </w:r>
      <w:r w:rsidR="00A4301F" w:rsidRPr="00122BB0">
        <w:t>Article 5 countries have completed their activities and other</w:t>
      </w:r>
      <w:r w:rsidR="00F87929">
        <w:t>s</w:t>
      </w:r>
      <w:r w:rsidR="00A4301F" w:rsidRPr="00122BB0">
        <w:t xml:space="preserve"> are well advanced, the </w:t>
      </w:r>
      <w:r w:rsidR="00BB2D68">
        <w:t>work programme includes a proposal for</w:t>
      </w:r>
      <w:r w:rsidR="00A4301F" w:rsidRPr="00122BB0">
        <w:t xml:space="preserve"> </w:t>
      </w:r>
      <w:r w:rsidR="00A4301F" w:rsidRPr="003C6108">
        <w:t xml:space="preserve">the preparation of </w:t>
      </w:r>
      <w:r w:rsidR="00A4301F" w:rsidRPr="00081F8A">
        <w:t>the</w:t>
      </w:r>
      <w:r w:rsidR="003C6108" w:rsidRPr="00753684">
        <w:t xml:space="preserve"> </w:t>
      </w:r>
      <w:r w:rsidR="00081F8A">
        <w:t>TOR</w:t>
      </w:r>
      <w:r w:rsidR="003C6108" w:rsidRPr="00753684">
        <w:t xml:space="preserve"> for </w:t>
      </w:r>
      <w:r w:rsidR="000C7138">
        <w:t>a</w:t>
      </w:r>
      <w:r w:rsidR="00A4301F" w:rsidRPr="00753684">
        <w:t xml:space="preserve"> desk study on enabling activities</w:t>
      </w:r>
      <w:r w:rsidR="000C7138">
        <w:t xml:space="preserve"> for HFC phase-down</w:t>
      </w:r>
      <w:r w:rsidR="00A4301F" w:rsidRPr="00081F8A">
        <w:t>,</w:t>
      </w:r>
      <w:r w:rsidR="00A4301F" w:rsidRPr="00122BB0">
        <w:t xml:space="preserve"> as an input towa</w:t>
      </w:r>
      <w:r w:rsidR="007F7CE8">
        <w:t xml:space="preserve">rds a full-fledged evaluation </w:t>
      </w:r>
      <w:r w:rsidR="00A4301F" w:rsidRPr="00122BB0">
        <w:t>to be undertaken</w:t>
      </w:r>
      <w:r w:rsidR="007F7CE8">
        <w:t xml:space="preserve"> at a later stage,</w:t>
      </w:r>
      <w:r w:rsidR="00A4301F" w:rsidRPr="00122BB0">
        <w:t xml:space="preserve"> if so decided by the Committee. </w:t>
      </w:r>
    </w:p>
    <w:p w:rsidR="00A4301F" w:rsidRPr="00D906AD" w:rsidRDefault="00A4301F" w:rsidP="00FB39B8">
      <w:pPr>
        <w:pStyle w:val="Heading1"/>
        <w:numPr>
          <w:ilvl w:val="0"/>
          <w:numId w:val="43"/>
        </w:numPr>
        <w:shd w:val="clear" w:color="auto" w:fill="FFFFFF" w:themeFill="background1"/>
        <w:ind w:left="0" w:firstLine="0"/>
      </w:pPr>
      <w:r w:rsidRPr="00D906AD">
        <w:t>The desk study would look into the implementation of enabling activi</w:t>
      </w:r>
      <w:r w:rsidR="007F7CE8" w:rsidRPr="00D906AD">
        <w:t>ties to phase-down HFCs</w:t>
      </w:r>
      <w:r w:rsidRPr="00D906AD">
        <w:t xml:space="preserve"> while implementing technical assistance activities for the HPMPs. It</w:t>
      </w:r>
      <w:r w:rsidR="00F87929" w:rsidRPr="00D906AD">
        <w:t xml:space="preserve"> will aim at</w:t>
      </w:r>
      <w:r w:rsidRPr="00D906AD">
        <w:t xml:space="preserve"> extract</w:t>
      </w:r>
      <w:r w:rsidR="00F87929" w:rsidRPr="00D906AD">
        <w:t>ing</w:t>
      </w:r>
      <w:r w:rsidRPr="00D906AD">
        <w:t xml:space="preserve"> lessons learned from similar activities undertaken for the HPMPs, and explore their value and replicability for the HFC phase</w:t>
      </w:r>
      <w:r w:rsidRPr="00D906AD">
        <w:noBreakHyphen/>
        <w:t>down, identify synergies and areas for complementarity and detect potential duplication of activities and funding, if any, to be avoided in the future</w:t>
      </w:r>
      <w:r w:rsidR="00C2186E" w:rsidRPr="00D906AD">
        <w:t xml:space="preserve">. </w:t>
      </w:r>
      <w:r w:rsidR="00C2186E" w:rsidRPr="00914A15">
        <w:t>The</w:t>
      </w:r>
      <w:r w:rsidR="002F4696" w:rsidRPr="00914A15">
        <w:t xml:space="preserve"> TOR </w:t>
      </w:r>
      <w:r w:rsidR="00B72076" w:rsidRPr="00914A15">
        <w:t>would</w:t>
      </w:r>
      <w:r w:rsidRPr="00914A15">
        <w:t xml:space="preserve"> be presented to the 9</w:t>
      </w:r>
      <w:r w:rsidR="00101E90" w:rsidRPr="00914A15">
        <w:t>0</w:t>
      </w:r>
      <w:r w:rsidR="00F360E8" w:rsidRPr="00914A15">
        <w:rPr>
          <w:vertAlign w:val="superscript"/>
        </w:rPr>
        <w:t>t</w:t>
      </w:r>
      <w:r w:rsidR="009403BD">
        <w:rPr>
          <w:vertAlign w:val="superscript"/>
        </w:rPr>
        <w:t>h</w:t>
      </w:r>
      <w:r w:rsidR="008A009E" w:rsidRPr="00914A15">
        <w:t> </w:t>
      </w:r>
      <w:r w:rsidR="00494380" w:rsidRPr="00914A15">
        <w:t>m</w:t>
      </w:r>
      <w:r w:rsidRPr="00914A15">
        <w:t>eeting</w:t>
      </w:r>
      <w:r w:rsidR="00F87929" w:rsidRPr="00914A15">
        <w:t>.</w:t>
      </w:r>
      <w:r w:rsidR="00F87929" w:rsidRPr="00D906AD">
        <w:t xml:space="preserve"> </w:t>
      </w:r>
    </w:p>
    <w:p w:rsidR="00556953" w:rsidRPr="00753684" w:rsidRDefault="00556953" w:rsidP="007644D2">
      <w:pPr>
        <w:keepNext/>
        <w:keepLines/>
        <w:autoSpaceDE w:val="0"/>
        <w:autoSpaceDN w:val="0"/>
        <w:adjustRightInd w:val="0"/>
        <w:spacing w:before="120" w:after="240"/>
        <w:rPr>
          <w:b/>
          <w:bCs/>
          <w:lang w:val="en-US"/>
        </w:rPr>
      </w:pPr>
      <w:r w:rsidRPr="00753684">
        <w:rPr>
          <w:b/>
          <w:bCs/>
          <w:lang w:val="en-US"/>
        </w:rPr>
        <w:t xml:space="preserve">Proposed </w:t>
      </w:r>
      <w:r w:rsidR="00BB5A10" w:rsidRPr="00753684">
        <w:rPr>
          <w:b/>
          <w:bCs/>
          <w:lang w:val="en-US"/>
        </w:rPr>
        <w:t>m</w:t>
      </w:r>
      <w:r w:rsidR="00A37413" w:rsidRPr="00753684">
        <w:rPr>
          <w:b/>
          <w:bCs/>
          <w:lang w:val="en-US"/>
        </w:rPr>
        <w:t>onitoring activities</w:t>
      </w:r>
    </w:p>
    <w:p w:rsidR="00585E8C" w:rsidRPr="00556953" w:rsidRDefault="00585E8C" w:rsidP="00585E8C">
      <w:pPr>
        <w:pStyle w:val="Heading1"/>
        <w:numPr>
          <w:ilvl w:val="0"/>
          <w:numId w:val="43"/>
        </w:numPr>
        <w:ind w:left="0" w:firstLine="0"/>
      </w:pPr>
      <w:r>
        <w:t>As per established practices, t</w:t>
      </w:r>
      <w:r w:rsidRPr="00955FE0">
        <w:t xml:space="preserve">he </w:t>
      </w:r>
      <w:r>
        <w:t xml:space="preserve">SMEO </w:t>
      </w:r>
      <w:r w:rsidRPr="00955FE0">
        <w:t xml:space="preserve">will </w:t>
      </w:r>
      <w:r>
        <w:t xml:space="preserve">continue to </w:t>
      </w:r>
      <w:r w:rsidRPr="00955FE0">
        <w:t xml:space="preserve">work closely with relevant bilateral and </w:t>
      </w:r>
      <w:r>
        <w:t>implementing agencies</w:t>
      </w:r>
      <w:r w:rsidRPr="00955FE0">
        <w:t xml:space="preserve"> to submit outstanding </w:t>
      </w:r>
      <w:r w:rsidRPr="00A937AE">
        <w:rPr>
          <w:lang w:val="en-US"/>
        </w:rPr>
        <w:t>project completion report</w:t>
      </w:r>
      <w:r>
        <w:rPr>
          <w:lang w:val="en-US"/>
        </w:rPr>
        <w:t>s</w:t>
      </w:r>
      <w:r w:rsidRPr="00A937AE">
        <w:rPr>
          <w:lang w:val="en-US"/>
        </w:rPr>
        <w:t xml:space="preserve"> </w:t>
      </w:r>
      <w:r>
        <w:rPr>
          <w:lang w:val="en-US"/>
        </w:rPr>
        <w:t xml:space="preserve">(PCRs) </w:t>
      </w:r>
      <w:r w:rsidRPr="00955FE0">
        <w:t xml:space="preserve">related to </w:t>
      </w:r>
      <w:r w:rsidRPr="00A937AE">
        <w:rPr>
          <w:lang w:val="en-US"/>
        </w:rPr>
        <w:t>multi</w:t>
      </w:r>
      <w:r w:rsidRPr="00A937AE">
        <w:rPr>
          <w:lang w:val="en-US"/>
        </w:rPr>
        <w:noBreakHyphen/>
        <w:t>year</w:t>
      </w:r>
      <w:r w:rsidRPr="00A937AE">
        <w:t xml:space="preserve"> agreement</w:t>
      </w:r>
      <w:r w:rsidR="00981572">
        <w:t>s</w:t>
      </w:r>
      <w:r>
        <w:t xml:space="preserve"> (MYAs) and individual projects </w:t>
      </w:r>
      <w:r w:rsidRPr="00955FE0">
        <w:t xml:space="preserve">to the </w:t>
      </w:r>
      <w:r>
        <w:t>90</w:t>
      </w:r>
      <w:r w:rsidRPr="003C6108">
        <w:rPr>
          <w:vertAlign w:val="superscript"/>
        </w:rPr>
        <w:t>th</w:t>
      </w:r>
      <w:r>
        <w:t xml:space="preserve"> and 91</w:t>
      </w:r>
      <w:r w:rsidRPr="003C6108">
        <w:rPr>
          <w:vertAlign w:val="superscript"/>
        </w:rPr>
        <w:t>st</w:t>
      </w:r>
      <w:r>
        <w:t xml:space="preserve"> meetings, and to identify options to streamline the preparation and submission of PCRs.</w:t>
      </w:r>
    </w:p>
    <w:p w:rsidR="00585E8C" w:rsidRDefault="00A37413" w:rsidP="00585E8C">
      <w:pPr>
        <w:pStyle w:val="Heading1"/>
        <w:numPr>
          <w:ilvl w:val="0"/>
          <w:numId w:val="43"/>
        </w:numPr>
        <w:ind w:left="0" w:firstLine="0"/>
      </w:pPr>
      <w:r w:rsidRPr="00955FE0">
        <w:t>The consolidated PCR</w:t>
      </w:r>
      <w:r w:rsidR="000C7138">
        <w:t xml:space="preserve"> documents</w:t>
      </w:r>
      <w:r>
        <w:t xml:space="preserve"> </w:t>
      </w:r>
      <w:r w:rsidRPr="00955FE0">
        <w:t>will provide the Executive Committee with an overview of</w:t>
      </w:r>
      <w:r>
        <w:t xml:space="preserve"> the results and lessons learnt</w:t>
      </w:r>
      <w:r w:rsidR="000C7138">
        <w:t xml:space="preserve"> as reported i</w:t>
      </w:r>
      <w:r w:rsidRPr="00955FE0">
        <w:t>n the completion reports.</w:t>
      </w:r>
    </w:p>
    <w:p w:rsidR="00585E8C" w:rsidRPr="004203E6" w:rsidRDefault="00585E8C" w:rsidP="004203E6">
      <w:pPr>
        <w:rPr>
          <w:b/>
        </w:rPr>
      </w:pPr>
      <w:r w:rsidRPr="004203E6">
        <w:rPr>
          <w:b/>
        </w:rPr>
        <w:t>Other</w:t>
      </w:r>
    </w:p>
    <w:p w:rsidR="00585E8C" w:rsidRPr="00585E8C" w:rsidRDefault="00585E8C" w:rsidP="004203E6"/>
    <w:p w:rsidR="00D74B4F" w:rsidRDefault="00A37413" w:rsidP="007644D2">
      <w:pPr>
        <w:pStyle w:val="Heading1"/>
        <w:numPr>
          <w:ilvl w:val="0"/>
          <w:numId w:val="43"/>
        </w:numPr>
        <w:ind w:left="0" w:firstLine="0"/>
      </w:pPr>
      <w:r w:rsidRPr="00B66080">
        <w:t>Additional issues of interest may arise duri</w:t>
      </w:r>
      <w:r>
        <w:t>n</w:t>
      </w:r>
      <w:r w:rsidR="000B4F11">
        <w:t>g the implementation of the 2022</w:t>
      </w:r>
      <w:r w:rsidRPr="00B66080">
        <w:t xml:space="preserve"> work programme that may need to be addressed by the Executive Committee. A certain degree of flexibility therefore might be allowed in its implementation as well as in the allocation of its budget in order to accommodate any such issues. </w:t>
      </w:r>
    </w:p>
    <w:p w:rsidR="003A2E32" w:rsidRPr="00D74B4F" w:rsidRDefault="003A2E32" w:rsidP="000C7138">
      <w:pPr>
        <w:pStyle w:val="Heading1"/>
        <w:keepNext/>
        <w:keepLines/>
      </w:pPr>
      <w:r w:rsidRPr="00D74B4F">
        <w:rPr>
          <w:b/>
        </w:rPr>
        <w:lastRenderedPageBreak/>
        <w:t>Schedule for submission</w:t>
      </w:r>
    </w:p>
    <w:p w:rsidR="003A2E32" w:rsidRPr="00955FE0" w:rsidRDefault="003A2E32" w:rsidP="007644D2">
      <w:pPr>
        <w:pStyle w:val="Heading1"/>
        <w:numPr>
          <w:ilvl w:val="0"/>
          <w:numId w:val="43"/>
        </w:numPr>
        <w:ind w:left="0" w:firstLine="0"/>
      </w:pPr>
      <w:r w:rsidRPr="00955FE0">
        <w:t>An overview of the activities contained in the proposed draft monitoring and ev</w:t>
      </w:r>
      <w:r>
        <w:t>aluation work programme for 2022</w:t>
      </w:r>
      <w:r w:rsidRPr="00955FE0">
        <w:t xml:space="preserve"> is presented in Table 1</w:t>
      </w:r>
      <w:r>
        <w:t>, together with the expected timeline</w:t>
      </w:r>
      <w:r w:rsidRPr="00955FE0">
        <w:t>.</w:t>
      </w:r>
      <w:r>
        <w:t xml:space="preserve"> </w:t>
      </w:r>
    </w:p>
    <w:p w:rsidR="003A2E32" w:rsidRPr="00981572" w:rsidRDefault="003A2E32" w:rsidP="007644D2">
      <w:pPr>
        <w:keepNext/>
        <w:keepLines/>
        <w:spacing w:after="240"/>
        <w:contextualSpacing/>
        <w:rPr>
          <w:b/>
          <w:sz w:val="21"/>
          <w:szCs w:val="21"/>
        </w:rPr>
      </w:pPr>
      <w:r w:rsidRPr="00981572">
        <w:rPr>
          <w:b/>
          <w:sz w:val="21"/>
          <w:szCs w:val="21"/>
        </w:rPr>
        <w:t>Table 1</w:t>
      </w:r>
      <w:r w:rsidRPr="00914A15">
        <w:rPr>
          <w:b/>
          <w:sz w:val="21"/>
          <w:szCs w:val="21"/>
        </w:rPr>
        <w:t>. Schedule for submission of activities in the monitoring and evaluation work programme for 202</w:t>
      </w:r>
      <w:r w:rsidR="001C1DF7" w:rsidRPr="00914A15">
        <w:rPr>
          <w:b/>
          <w:sz w:val="21"/>
          <w:szCs w:val="21"/>
        </w:rPr>
        <w:t>2</w:t>
      </w:r>
      <w:r w:rsidR="00101E90" w:rsidRPr="00914A15">
        <w:rPr>
          <w:b/>
          <w:sz w:val="21"/>
          <w:szCs w:val="21"/>
        </w:rPr>
        <w:t xml:space="preserve"> </w:t>
      </w:r>
    </w:p>
    <w:tbl>
      <w:tblPr>
        <w:tblStyle w:val="TableGrid"/>
        <w:tblW w:w="9426" w:type="dxa"/>
        <w:tblInd w:w="-5" w:type="dxa"/>
        <w:tblLook w:val="04A0" w:firstRow="1" w:lastRow="0" w:firstColumn="1" w:lastColumn="0" w:noHBand="0" w:noVBand="1"/>
      </w:tblPr>
      <w:tblGrid>
        <w:gridCol w:w="3142"/>
        <w:gridCol w:w="3142"/>
        <w:gridCol w:w="3142"/>
      </w:tblGrid>
      <w:tr w:rsidR="00855B5A" w:rsidRPr="00AB3F24" w:rsidTr="001D7B2E">
        <w:trPr>
          <w:trHeight w:val="179"/>
          <w:tblHeader/>
        </w:trPr>
        <w:tc>
          <w:tcPr>
            <w:tcW w:w="3142" w:type="dxa"/>
          </w:tcPr>
          <w:p w:rsidR="00855B5A" w:rsidRPr="00FB4102" w:rsidRDefault="00855B5A" w:rsidP="001D7B2E">
            <w:pPr>
              <w:contextualSpacing/>
              <w:jc w:val="center"/>
              <w:rPr>
                <w:sz w:val="20"/>
                <w:szCs w:val="20"/>
              </w:rPr>
            </w:pPr>
            <w:r w:rsidRPr="00FB4102">
              <w:rPr>
                <w:b/>
                <w:sz w:val="20"/>
                <w:szCs w:val="20"/>
              </w:rPr>
              <w:t>90</w:t>
            </w:r>
            <w:r w:rsidRPr="00FB4102">
              <w:rPr>
                <w:b/>
                <w:sz w:val="20"/>
                <w:szCs w:val="20"/>
                <w:vertAlign w:val="superscript"/>
              </w:rPr>
              <w:t>th</w:t>
            </w:r>
            <w:r w:rsidRPr="00FB4102">
              <w:rPr>
                <w:b/>
                <w:sz w:val="20"/>
                <w:szCs w:val="20"/>
              </w:rPr>
              <w:t xml:space="preserve"> meeting</w:t>
            </w:r>
          </w:p>
        </w:tc>
        <w:tc>
          <w:tcPr>
            <w:tcW w:w="3142" w:type="dxa"/>
          </w:tcPr>
          <w:p w:rsidR="00855B5A" w:rsidRPr="00FB4102" w:rsidRDefault="00855B5A" w:rsidP="001D7B2E">
            <w:pPr>
              <w:pStyle w:val="Heading4"/>
              <w:keepNext w:val="0"/>
              <w:spacing w:before="0"/>
              <w:contextualSpacing/>
              <w:jc w:val="center"/>
              <w:outlineLvl w:val="3"/>
              <w:rPr>
                <w:b/>
                <w:i/>
                <w:iCs/>
                <w:sz w:val="20"/>
                <w:szCs w:val="20"/>
              </w:rPr>
            </w:pPr>
            <w:r w:rsidRPr="00FB4102">
              <w:rPr>
                <w:b/>
                <w:sz w:val="20"/>
                <w:szCs w:val="20"/>
              </w:rPr>
              <w:t>91</w:t>
            </w:r>
            <w:r w:rsidRPr="00FB4102">
              <w:rPr>
                <w:b/>
                <w:sz w:val="20"/>
                <w:szCs w:val="20"/>
                <w:vertAlign w:val="superscript"/>
              </w:rPr>
              <w:t>st</w:t>
            </w:r>
            <w:r w:rsidRPr="00FB4102">
              <w:rPr>
                <w:b/>
                <w:sz w:val="20"/>
                <w:szCs w:val="20"/>
              </w:rPr>
              <w:t xml:space="preserve"> meeting</w:t>
            </w:r>
          </w:p>
        </w:tc>
        <w:tc>
          <w:tcPr>
            <w:tcW w:w="3142" w:type="dxa"/>
          </w:tcPr>
          <w:p w:rsidR="00855B5A" w:rsidRPr="00FB4102" w:rsidRDefault="00101E90" w:rsidP="001D7B2E">
            <w:pPr>
              <w:pStyle w:val="Heading4"/>
              <w:keepNext w:val="0"/>
              <w:spacing w:before="0" w:after="0"/>
              <w:contextualSpacing/>
              <w:jc w:val="center"/>
              <w:outlineLvl w:val="3"/>
              <w:rPr>
                <w:b/>
                <w:sz w:val="20"/>
                <w:szCs w:val="20"/>
              </w:rPr>
            </w:pPr>
            <w:r>
              <w:rPr>
                <w:b/>
                <w:sz w:val="20"/>
                <w:szCs w:val="20"/>
              </w:rPr>
              <w:t xml:space="preserve">2023 </w:t>
            </w:r>
          </w:p>
        </w:tc>
      </w:tr>
      <w:tr w:rsidR="00914A15" w:rsidRPr="00AB3F24" w:rsidTr="00914A15">
        <w:trPr>
          <w:trHeight w:val="287"/>
          <w:tblHeader/>
        </w:trPr>
        <w:tc>
          <w:tcPr>
            <w:tcW w:w="3142" w:type="dxa"/>
            <w:vAlign w:val="center"/>
          </w:tcPr>
          <w:p w:rsidR="00914A15" w:rsidRPr="00FB4102" w:rsidRDefault="00914A15" w:rsidP="00914A15">
            <w:pPr>
              <w:jc w:val="left"/>
              <w:rPr>
                <w:b/>
                <w:sz w:val="20"/>
                <w:szCs w:val="20"/>
              </w:rPr>
            </w:pPr>
            <w:r w:rsidRPr="00FB4102">
              <w:rPr>
                <w:sz w:val="20"/>
                <w:szCs w:val="20"/>
              </w:rPr>
              <w:t xml:space="preserve">Consolidated PCR for MYA and individual projects </w:t>
            </w:r>
          </w:p>
        </w:tc>
        <w:tc>
          <w:tcPr>
            <w:tcW w:w="3142" w:type="dxa"/>
            <w:vAlign w:val="center"/>
          </w:tcPr>
          <w:p w:rsidR="00914A15" w:rsidRPr="00FB4102" w:rsidRDefault="00914A15" w:rsidP="00914A15">
            <w:pPr>
              <w:pStyle w:val="Heading4"/>
              <w:keepNext w:val="0"/>
              <w:spacing w:before="0"/>
              <w:jc w:val="left"/>
              <w:outlineLvl w:val="3"/>
              <w:rPr>
                <w:b/>
                <w:sz w:val="20"/>
                <w:szCs w:val="20"/>
              </w:rPr>
            </w:pPr>
            <w:r w:rsidRPr="00FB4102">
              <w:rPr>
                <w:sz w:val="20"/>
                <w:szCs w:val="20"/>
              </w:rPr>
              <w:t>Consolidated PCR for MYA and individual projects</w:t>
            </w:r>
          </w:p>
        </w:tc>
        <w:tc>
          <w:tcPr>
            <w:tcW w:w="3142" w:type="dxa"/>
            <w:vAlign w:val="center"/>
          </w:tcPr>
          <w:p w:rsidR="00914A15" w:rsidRDefault="00914A15" w:rsidP="00914A15">
            <w:pPr>
              <w:pStyle w:val="Heading4"/>
              <w:keepNext w:val="0"/>
              <w:spacing w:before="0" w:after="0"/>
              <w:contextualSpacing/>
              <w:jc w:val="left"/>
              <w:outlineLvl w:val="3"/>
              <w:rPr>
                <w:b/>
                <w:sz w:val="20"/>
                <w:szCs w:val="20"/>
              </w:rPr>
            </w:pPr>
            <w:r w:rsidRPr="00FB4102">
              <w:rPr>
                <w:sz w:val="20"/>
                <w:szCs w:val="20"/>
              </w:rPr>
              <w:t>Consolidated PCR for MYA and individual projects</w:t>
            </w:r>
          </w:p>
        </w:tc>
      </w:tr>
      <w:tr w:rsidR="00914A15" w:rsidRPr="00AB3F24" w:rsidTr="00914A15">
        <w:trPr>
          <w:trHeight w:val="510"/>
        </w:trPr>
        <w:tc>
          <w:tcPr>
            <w:tcW w:w="3142" w:type="dxa"/>
            <w:vAlign w:val="center"/>
          </w:tcPr>
          <w:p w:rsidR="00914A15" w:rsidRPr="00FB4102" w:rsidRDefault="00914A15" w:rsidP="00914A15">
            <w:pPr>
              <w:jc w:val="left"/>
              <w:rPr>
                <w:sz w:val="20"/>
                <w:szCs w:val="20"/>
              </w:rPr>
            </w:pPr>
            <w:r w:rsidRPr="00FB4102">
              <w:rPr>
                <w:sz w:val="20"/>
                <w:szCs w:val="20"/>
              </w:rPr>
              <w:t xml:space="preserve">Update on the status of the evaluation of the </w:t>
            </w:r>
            <w:r w:rsidRPr="00FB4102">
              <w:rPr>
                <w:iCs/>
                <w:sz w:val="20"/>
                <w:szCs w:val="20"/>
              </w:rPr>
              <w:t>regional networks of NOOs</w:t>
            </w:r>
          </w:p>
        </w:tc>
        <w:tc>
          <w:tcPr>
            <w:tcW w:w="3142" w:type="dxa"/>
            <w:vAlign w:val="center"/>
          </w:tcPr>
          <w:p w:rsidR="00914A15" w:rsidRPr="00FB4102" w:rsidRDefault="00094508" w:rsidP="00914A15">
            <w:pPr>
              <w:pStyle w:val="Heading4"/>
              <w:keepNext w:val="0"/>
              <w:spacing w:before="0"/>
              <w:jc w:val="left"/>
              <w:outlineLvl w:val="3"/>
              <w:rPr>
                <w:i/>
                <w:iCs/>
                <w:sz w:val="20"/>
                <w:szCs w:val="20"/>
              </w:rPr>
            </w:pPr>
            <w:r w:rsidRPr="00FB4102">
              <w:rPr>
                <w:sz w:val="20"/>
                <w:szCs w:val="20"/>
              </w:rPr>
              <w:t xml:space="preserve">Update on the status of the evaluation of the </w:t>
            </w:r>
            <w:r w:rsidRPr="00FB4102">
              <w:rPr>
                <w:iCs/>
                <w:sz w:val="20"/>
                <w:szCs w:val="20"/>
              </w:rPr>
              <w:t>regional networks of NOOs</w:t>
            </w:r>
          </w:p>
        </w:tc>
        <w:tc>
          <w:tcPr>
            <w:tcW w:w="3142" w:type="dxa"/>
            <w:vAlign w:val="center"/>
          </w:tcPr>
          <w:p w:rsidR="00914A15" w:rsidRPr="00FB4102" w:rsidRDefault="00914A15" w:rsidP="00914A15">
            <w:pPr>
              <w:pStyle w:val="Heading4"/>
              <w:keepNext w:val="0"/>
              <w:spacing w:before="0"/>
              <w:jc w:val="left"/>
              <w:outlineLvl w:val="3"/>
              <w:rPr>
                <w:sz w:val="20"/>
                <w:szCs w:val="20"/>
              </w:rPr>
            </w:pPr>
            <w:r w:rsidRPr="00FB4102">
              <w:rPr>
                <w:sz w:val="20"/>
                <w:szCs w:val="20"/>
              </w:rPr>
              <w:t>Final report of the evaluation of the regional networks of NOOs</w:t>
            </w:r>
            <w:r>
              <w:rPr>
                <w:sz w:val="20"/>
                <w:szCs w:val="20"/>
              </w:rPr>
              <w:t xml:space="preserve"> </w:t>
            </w:r>
            <w:r w:rsidRPr="00914A15">
              <w:rPr>
                <w:sz w:val="20"/>
                <w:szCs w:val="20"/>
              </w:rPr>
              <w:t>(meeting to be determined)</w:t>
            </w:r>
          </w:p>
        </w:tc>
      </w:tr>
      <w:tr w:rsidR="00914A15" w:rsidRPr="00AB3F24" w:rsidTr="00914A15">
        <w:trPr>
          <w:trHeight w:val="510"/>
        </w:trPr>
        <w:tc>
          <w:tcPr>
            <w:tcW w:w="3142" w:type="dxa"/>
            <w:vAlign w:val="center"/>
          </w:tcPr>
          <w:p w:rsidR="00914A15" w:rsidRPr="00FB4102" w:rsidRDefault="00914A15" w:rsidP="00914A15">
            <w:pPr>
              <w:jc w:val="left"/>
              <w:rPr>
                <w:sz w:val="20"/>
                <w:szCs w:val="20"/>
              </w:rPr>
            </w:pPr>
            <w:r w:rsidRPr="00FB4102">
              <w:rPr>
                <w:sz w:val="20"/>
                <w:szCs w:val="20"/>
              </w:rPr>
              <w:t>Desk study for the evaluation of the</w:t>
            </w:r>
            <w:r w:rsidR="00EE2080">
              <w:rPr>
                <w:sz w:val="20"/>
                <w:szCs w:val="20"/>
              </w:rPr>
              <w:t xml:space="preserve"> demonstration projects for low</w:t>
            </w:r>
            <w:r w:rsidR="00EE2080">
              <w:rPr>
                <w:sz w:val="20"/>
                <w:szCs w:val="20"/>
              </w:rPr>
              <w:noBreakHyphen/>
            </w:r>
            <w:bookmarkStart w:id="0" w:name="_GoBack"/>
            <w:bookmarkEnd w:id="0"/>
            <w:r w:rsidRPr="00FB4102">
              <w:rPr>
                <w:sz w:val="20"/>
                <w:szCs w:val="20"/>
              </w:rPr>
              <w:t>GWP alternatives to HCFCs</w:t>
            </w:r>
          </w:p>
        </w:tc>
        <w:tc>
          <w:tcPr>
            <w:tcW w:w="3142" w:type="dxa"/>
            <w:vAlign w:val="center"/>
          </w:tcPr>
          <w:p w:rsidR="00914A15" w:rsidRPr="00FB4102" w:rsidRDefault="00914A15" w:rsidP="00914A15">
            <w:pPr>
              <w:pStyle w:val="Heading4"/>
              <w:keepNext w:val="0"/>
              <w:spacing w:before="0"/>
              <w:jc w:val="left"/>
              <w:outlineLvl w:val="3"/>
              <w:rPr>
                <w:iCs/>
                <w:sz w:val="20"/>
                <w:szCs w:val="20"/>
              </w:rPr>
            </w:pPr>
          </w:p>
        </w:tc>
        <w:tc>
          <w:tcPr>
            <w:tcW w:w="3142" w:type="dxa"/>
            <w:vAlign w:val="center"/>
          </w:tcPr>
          <w:p w:rsidR="00914A15" w:rsidRPr="00FB4102" w:rsidRDefault="00DB6FDD" w:rsidP="00914A15">
            <w:pPr>
              <w:pStyle w:val="Heading4"/>
              <w:keepNext w:val="0"/>
              <w:spacing w:before="0"/>
              <w:jc w:val="left"/>
              <w:outlineLvl w:val="3"/>
              <w:rPr>
                <w:sz w:val="20"/>
                <w:szCs w:val="20"/>
              </w:rPr>
            </w:pPr>
            <w:r>
              <w:rPr>
                <w:iCs/>
                <w:sz w:val="20"/>
                <w:szCs w:val="20"/>
              </w:rPr>
              <w:t>D</w:t>
            </w:r>
            <w:r w:rsidRPr="00FB4102">
              <w:rPr>
                <w:iCs/>
                <w:sz w:val="20"/>
                <w:szCs w:val="20"/>
              </w:rPr>
              <w:t>esk study of the evaluation of the enabling activities for HFC phase</w:t>
            </w:r>
            <w:r w:rsidRPr="00FB4102">
              <w:rPr>
                <w:iCs/>
                <w:sz w:val="20"/>
                <w:szCs w:val="20"/>
              </w:rPr>
              <w:noBreakHyphen/>
              <w:t>down</w:t>
            </w:r>
            <w:r>
              <w:rPr>
                <w:iCs/>
                <w:sz w:val="20"/>
                <w:szCs w:val="20"/>
              </w:rPr>
              <w:t xml:space="preserve"> (meeting to be determined)</w:t>
            </w:r>
          </w:p>
        </w:tc>
      </w:tr>
      <w:tr w:rsidR="00914A15" w:rsidRPr="00AB3F24" w:rsidTr="00914A15">
        <w:trPr>
          <w:trHeight w:val="287"/>
        </w:trPr>
        <w:tc>
          <w:tcPr>
            <w:tcW w:w="3142" w:type="dxa"/>
            <w:vAlign w:val="center"/>
          </w:tcPr>
          <w:p w:rsidR="00914A15" w:rsidRPr="00FB4102" w:rsidRDefault="00914A15" w:rsidP="00914A15">
            <w:pPr>
              <w:jc w:val="left"/>
              <w:rPr>
                <w:sz w:val="20"/>
                <w:szCs w:val="20"/>
              </w:rPr>
            </w:pPr>
            <w:r w:rsidRPr="00FB4102">
              <w:rPr>
                <w:sz w:val="20"/>
                <w:szCs w:val="20"/>
              </w:rPr>
              <w:t xml:space="preserve">TOR </w:t>
            </w:r>
            <w:r w:rsidRPr="00FB4102">
              <w:rPr>
                <w:iCs/>
                <w:sz w:val="20"/>
                <w:szCs w:val="20"/>
              </w:rPr>
              <w:t>for the desk study of the evaluation of the enabling activities for HFC phase</w:t>
            </w:r>
            <w:r w:rsidRPr="00FB4102">
              <w:rPr>
                <w:iCs/>
                <w:sz w:val="20"/>
                <w:szCs w:val="20"/>
              </w:rPr>
              <w:noBreakHyphen/>
              <w:t>down</w:t>
            </w:r>
          </w:p>
        </w:tc>
        <w:tc>
          <w:tcPr>
            <w:tcW w:w="3142" w:type="dxa"/>
            <w:vAlign w:val="center"/>
          </w:tcPr>
          <w:p w:rsidR="00914A15" w:rsidRPr="00FB4102" w:rsidRDefault="00914A15" w:rsidP="00914A15">
            <w:pPr>
              <w:pStyle w:val="Heading4"/>
              <w:keepNext w:val="0"/>
              <w:spacing w:before="0"/>
              <w:jc w:val="left"/>
              <w:outlineLvl w:val="3"/>
              <w:rPr>
                <w:sz w:val="20"/>
                <w:szCs w:val="20"/>
              </w:rPr>
            </w:pPr>
          </w:p>
        </w:tc>
        <w:tc>
          <w:tcPr>
            <w:tcW w:w="3142" w:type="dxa"/>
            <w:vAlign w:val="center"/>
          </w:tcPr>
          <w:p w:rsidR="00914A15" w:rsidRPr="00FB4102" w:rsidRDefault="00914A15" w:rsidP="00914A15">
            <w:pPr>
              <w:pStyle w:val="Heading4"/>
              <w:keepNext w:val="0"/>
              <w:spacing w:before="0"/>
              <w:jc w:val="left"/>
              <w:outlineLvl w:val="3"/>
              <w:rPr>
                <w:sz w:val="20"/>
                <w:szCs w:val="20"/>
              </w:rPr>
            </w:pPr>
          </w:p>
        </w:tc>
      </w:tr>
    </w:tbl>
    <w:p w:rsidR="003A2E32" w:rsidRPr="003A2E32" w:rsidRDefault="003A2E32" w:rsidP="007644D2">
      <w:pPr>
        <w:keepNext/>
        <w:keepLines/>
        <w:spacing w:before="240" w:after="240"/>
        <w:rPr>
          <w:b/>
        </w:rPr>
      </w:pPr>
      <w:r w:rsidRPr="003D5FE0">
        <w:rPr>
          <w:b/>
        </w:rPr>
        <w:t>Budget</w:t>
      </w:r>
    </w:p>
    <w:p w:rsidR="003A2E32" w:rsidRPr="00FB4102" w:rsidRDefault="003A2E32" w:rsidP="007644D2">
      <w:pPr>
        <w:pStyle w:val="Heading1"/>
        <w:keepNext/>
        <w:keepLines/>
        <w:contextualSpacing/>
        <w:jc w:val="left"/>
        <w:rPr>
          <w:b/>
          <w:sz w:val="21"/>
          <w:szCs w:val="21"/>
        </w:rPr>
      </w:pPr>
      <w:r w:rsidRPr="00783585">
        <w:rPr>
          <w:b/>
          <w:sz w:val="21"/>
          <w:szCs w:val="21"/>
        </w:rPr>
        <w:t>Table 2. Proposed budget for the monitoring and evaluation work programme for 2022</w:t>
      </w:r>
    </w:p>
    <w:tbl>
      <w:tblPr>
        <w:tblStyle w:val="TableGrid"/>
        <w:tblW w:w="9360" w:type="dxa"/>
        <w:tblInd w:w="-5" w:type="dxa"/>
        <w:tblLook w:val="04A0" w:firstRow="1" w:lastRow="0" w:firstColumn="1" w:lastColumn="0" w:noHBand="0" w:noVBand="1"/>
      </w:tblPr>
      <w:tblGrid>
        <w:gridCol w:w="8072"/>
        <w:gridCol w:w="1288"/>
      </w:tblGrid>
      <w:tr w:rsidR="00D04028" w:rsidRPr="00AB3F24" w:rsidTr="004702C4">
        <w:trPr>
          <w:tblHeader/>
        </w:trPr>
        <w:tc>
          <w:tcPr>
            <w:tcW w:w="0" w:type="auto"/>
            <w:vAlign w:val="center"/>
          </w:tcPr>
          <w:p w:rsidR="003A2E32" w:rsidRPr="00FB4102" w:rsidRDefault="003A2E32" w:rsidP="007644D2">
            <w:pPr>
              <w:pStyle w:val="Heading1"/>
              <w:spacing w:after="0"/>
              <w:outlineLvl w:val="0"/>
              <w:rPr>
                <w:sz w:val="20"/>
                <w:szCs w:val="20"/>
              </w:rPr>
            </w:pPr>
            <w:r w:rsidRPr="00FB4102">
              <w:rPr>
                <w:b/>
                <w:sz w:val="20"/>
                <w:szCs w:val="20"/>
              </w:rPr>
              <w:t>Description</w:t>
            </w:r>
          </w:p>
        </w:tc>
        <w:tc>
          <w:tcPr>
            <w:tcW w:w="0" w:type="auto"/>
            <w:vAlign w:val="center"/>
          </w:tcPr>
          <w:p w:rsidR="003A2E32" w:rsidRPr="00FB4102" w:rsidRDefault="003A2E32" w:rsidP="007644D2">
            <w:pPr>
              <w:pStyle w:val="Heading1"/>
              <w:spacing w:after="0"/>
              <w:jc w:val="center"/>
              <w:outlineLvl w:val="0"/>
              <w:rPr>
                <w:sz w:val="20"/>
                <w:szCs w:val="20"/>
              </w:rPr>
            </w:pPr>
            <w:r w:rsidRPr="00FB4102">
              <w:rPr>
                <w:b/>
                <w:sz w:val="20"/>
                <w:szCs w:val="20"/>
              </w:rPr>
              <w:t>Amount (</w:t>
            </w:r>
            <w:r w:rsidR="00FC64B4" w:rsidRPr="00FB4102">
              <w:rPr>
                <w:b/>
                <w:sz w:val="20"/>
                <w:szCs w:val="20"/>
              </w:rPr>
              <w:t>US $</w:t>
            </w:r>
            <w:r w:rsidRPr="00FB4102">
              <w:rPr>
                <w:b/>
                <w:sz w:val="20"/>
                <w:szCs w:val="20"/>
              </w:rPr>
              <w:t>)</w:t>
            </w:r>
          </w:p>
        </w:tc>
      </w:tr>
      <w:tr w:rsidR="003A2E32" w:rsidRPr="00AB3F24" w:rsidTr="004702C4">
        <w:tc>
          <w:tcPr>
            <w:tcW w:w="0" w:type="auto"/>
            <w:gridSpan w:val="2"/>
          </w:tcPr>
          <w:p w:rsidR="003A2E32" w:rsidRPr="00FB4102" w:rsidRDefault="003A2E32" w:rsidP="007644D2">
            <w:pPr>
              <w:pStyle w:val="Heading1"/>
              <w:spacing w:after="0"/>
              <w:ind w:right="1320"/>
              <w:jc w:val="left"/>
              <w:outlineLvl w:val="0"/>
              <w:rPr>
                <w:sz w:val="20"/>
                <w:szCs w:val="20"/>
              </w:rPr>
            </w:pPr>
            <w:r w:rsidRPr="00FB4102">
              <w:rPr>
                <w:b/>
                <w:sz w:val="20"/>
                <w:szCs w:val="20"/>
              </w:rPr>
              <w:t>Activity 1</w:t>
            </w:r>
            <w:r w:rsidR="007644D2" w:rsidRPr="00FB4102">
              <w:rPr>
                <w:b/>
                <w:sz w:val="20"/>
                <w:szCs w:val="20"/>
              </w:rPr>
              <w:t xml:space="preserve">: </w:t>
            </w:r>
            <w:r w:rsidRPr="00FB4102">
              <w:rPr>
                <w:b/>
                <w:sz w:val="20"/>
                <w:szCs w:val="20"/>
              </w:rPr>
              <w:t xml:space="preserve">Desk study for </w:t>
            </w:r>
            <w:r w:rsidRPr="00FB4102">
              <w:rPr>
                <w:b/>
                <w:sz w:val="20"/>
                <w:szCs w:val="20"/>
                <w:lang w:val="en-US"/>
              </w:rPr>
              <w:t xml:space="preserve">the </w:t>
            </w:r>
            <w:r w:rsidRPr="00FB4102">
              <w:rPr>
                <w:b/>
                <w:sz w:val="20"/>
                <w:szCs w:val="20"/>
              </w:rPr>
              <w:t xml:space="preserve">evaluation of the demonstration projects </w:t>
            </w:r>
            <w:r w:rsidR="00DE0DA1" w:rsidRPr="00FB4102">
              <w:rPr>
                <w:b/>
                <w:sz w:val="20"/>
                <w:szCs w:val="20"/>
              </w:rPr>
              <w:t>for</w:t>
            </w:r>
            <w:r w:rsidRPr="00FB4102">
              <w:rPr>
                <w:b/>
                <w:sz w:val="20"/>
                <w:szCs w:val="20"/>
              </w:rPr>
              <w:t xml:space="preserve"> low-</w:t>
            </w:r>
            <w:r w:rsidR="002A2C4E" w:rsidRPr="00FB4102">
              <w:rPr>
                <w:b/>
                <w:sz w:val="20"/>
                <w:szCs w:val="20"/>
              </w:rPr>
              <w:t>GWP</w:t>
            </w:r>
            <w:r w:rsidRPr="00FB4102">
              <w:rPr>
                <w:b/>
                <w:sz w:val="20"/>
                <w:szCs w:val="20"/>
              </w:rPr>
              <w:t xml:space="preserve"> alternatives </w:t>
            </w:r>
            <w:r w:rsidR="00DE0DA1" w:rsidRPr="00FB4102">
              <w:rPr>
                <w:b/>
                <w:sz w:val="20"/>
                <w:szCs w:val="20"/>
              </w:rPr>
              <w:t>to</w:t>
            </w:r>
            <w:r w:rsidRPr="00FB4102">
              <w:rPr>
                <w:b/>
                <w:sz w:val="20"/>
                <w:szCs w:val="20"/>
              </w:rPr>
              <w:t xml:space="preserve"> HCFCs</w:t>
            </w:r>
          </w:p>
        </w:tc>
      </w:tr>
      <w:tr w:rsidR="00D04028" w:rsidRPr="00AB3F24" w:rsidTr="004702C4">
        <w:tc>
          <w:tcPr>
            <w:tcW w:w="0" w:type="auto"/>
          </w:tcPr>
          <w:p w:rsidR="003A2E32" w:rsidRPr="00FB4102" w:rsidRDefault="003A2E32" w:rsidP="007644D2">
            <w:pPr>
              <w:pStyle w:val="Heading1"/>
              <w:spacing w:after="0"/>
              <w:jc w:val="left"/>
              <w:outlineLvl w:val="0"/>
              <w:rPr>
                <w:sz w:val="20"/>
                <w:szCs w:val="20"/>
              </w:rPr>
            </w:pPr>
            <w:r w:rsidRPr="00FB4102">
              <w:rPr>
                <w:sz w:val="20"/>
                <w:szCs w:val="20"/>
              </w:rPr>
              <w:t>Report writing (30 days*</w:t>
            </w:r>
            <w:r w:rsidR="00FC64B4" w:rsidRPr="00FB4102">
              <w:rPr>
                <w:sz w:val="20"/>
                <w:szCs w:val="20"/>
              </w:rPr>
              <w:t>US $</w:t>
            </w:r>
            <w:r w:rsidRPr="00FB4102">
              <w:rPr>
                <w:sz w:val="20"/>
                <w:szCs w:val="20"/>
              </w:rPr>
              <w:t>500/day)</w:t>
            </w:r>
          </w:p>
        </w:tc>
        <w:tc>
          <w:tcPr>
            <w:tcW w:w="0" w:type="auto"/>
            <w:vAlign w:val="center"/>
          </w:tcPr>
          <w:p w:rsidR="003A2E32" w:rsidRPr="00FB4102" w:rsidRDefault="000D710D" w:rsidP="007644D2">
            <w:pPr>
              <w:pStyle w:val="Heading1"/>
              <w:spacing w:after="0"/>
              <w:jc w:val="right"/>
              <w:outlineLvl w:val="0"/>
              <w:rPr>
                <w:sz w:val="20"/>
                <w:szCs w:val="20"/>
              </w:rPr>
            </w:pPr>
            <w:r w:rsidRPr="00FB4102">
              <w:rPr>
                <w:sz w:val="20"/>
                <w:szCs w:val="20"/>
              </w:rPr>
              <w:t>0*</w:t>
            </w:r>
          </w:p>
        </w:tc>
      </w:tr>
      <w:tr w:rsidR="003A2E32" w:rsidRPr="00AB3F24" w:rsidTr="004702C4">
        <w:tc>
          <w:tcPr>
            <w:tcW w:w="0" w:type="auto"/>
            <w:gridSpan w:val="2"/>
          </w:tcPr>
          <w:p w:rsidR="003A2E32" w:rsidRPr="00FB4102" w:rsidRDefault="00D635B2" w:rsidP="007644D2">
            <w:pPr>
              <w:pStyle w:val="Heading1"/>
              <w:spacing w:after="0"/>
              <w:ind w:right="-110"/>
              <w:jc w:val="left"/>
              <w:outlineLvl w:val="0"/>
              <w:rPr>
                <w:b/>
                <w:sz w:val="20"/>
                <w:szCs w:val="20"/>
              </w:rPr>
            </w:pPr>
            <w:r w:rsidRPr="00FB4102">
              <w:rPr>
                <w:b/>
                <w:sz w:val="20"/>
                <w:szCs w:val="20"/>
              </w:rPr>
              <w:t>Activity 2</w:t>
            </w:r>
            <w:r w:rsidR="007644D2" w:rsidRPr="00FB4102">
              <w:rPr>
                <w:b/>
                <w:sz w:val="20"/>
                <w:szCs w:val="20"/>
              </w:rPr>
              <w:t xml:space="preserve">: </w:t>
            </w:r>
            <w:r w:rsidR="003A2E32" w:rsidRPr="00FB4102">
              <w:rPr>
                <w:b/>
                <w:sz w:val="20"/>
                <w:szCs w:val="20"/>
              </w:rPr>
              <w:t xml:space="preserve">Second phase of the evaluation of </w:t>
            </w:r>
            <w:r w:rsidR="00DE0DA1" w:rsidRPr="00FB4102">
              <w:rPr>
                <w:b/>
                <w:sz w:val="20"/>
                <w:szCs w:val="20"/>
              </w:rPr>
              <w:t xml:space="preserve">the </w:t>
            </w:r>
            <w:r w:rsidR="003A2E32" w:rsidRPr="00FB4102">
              <w:rPr>
                <w:b/>
                <w:sz w:val="20"/>
                <w:szCs w:val="20"/>
              </w:rPr>
              <w:t xml:space="preserve">regional networks of </w:t>
            </w:r>
            <w:r w:rsidR="00DE0DA1" w:rsidRPr="00FB4102">
              <w:rPr>
                <w:b/>
                <w:sz w:val="20"/>
                <w:szCs w:val="20"/>
              </w:rPr>
              <w:t>NOOs</w:t>
            </w:r>
          </w:p>
        </w:tc>
      </w:tr>
      <w:tr w:rsidR="003A2E32" w:rsidRPr="00AB3F24" w:rsidTr="004702C4">
        <w:tc>
          <w:tcPr>
            <w:tcW w:w="0" w:type="auto"/>
            <w:gridSpan w:val="2"/>
          </w:tcPr>
          <w:p w:rsidR="003A2E32" w:rsidRPr="00FB4102" w:rsidRDefault="003A2E32" w:rsidP="007644D2">
            <w:pPr>
              <w:pStyle w:val="Heading1"/>
              <w:spacing w:after="0"/>
              <w:jc w:val="left"/>
              <w:outlineLvl w:val="0"/>
              <w:rPr>
                <w:sz w:val="20"/>
                <w:szCs w:val="20"/>
              </w:rPr>
            </w:pPr>
            <w:r w:rsidRPr="00FB4102">
              <w:rPr>
                <w:i/>
                <w:sz w:val="20"/>
                <w:szCs w:val="20"/>
              </w:rPr>
              <w:t xml:space="preserve">Stages </w:t>
            </w:r>
            <w:r w:rsidR="00871A8E" w:rsidRPr="00FB4102">
              <w:rPr>
                <w:i/>
                <w:sz w:val="20"/>
                <w:szCs w:val="20"/>
              </w:rPr>
              <w:t>1 and 2</w:t>
            </w:r>
          </w:p>
        </w:tc>
      </w:tr>
      <w:tr w:rsidR="003A2E32" w:rsidRPr="00AB3F24" w:rsidTr="004702C4">
        <w:tc>
          <w:tcPr>
            <w:tcW w:w="0" w:type="auto"/>
            <w:gridSpan w:val="2"/>
          </w:tcPr>
          <w:p w:rsidR="003A2E32" w:rsidRPr="00FB4102" w:rsidRDefault="003A2E32" w:rsidP="007644D2">
            <w:pPr>
              <w:pStyle w:val="Heading1"/>
              <w:spacing w:after="0"/>
              <w:jc w:val="left"/>
              <w:outlineLvl w:val="0"/>
              <w:rPr>
                <w:sz w:val="20"/>
                <w:szCs w:val="20"/>
              </w:rPr>
            </w:pPr>
            <w:r w:rsidRPr="00FB4102">
              <w:rPr>
                <w:sz w:val="20"/>
                <w:szCs w:val="20"/>
              </w:rPr>
              <w:t>Consultan</w:t>
            </w:r>
            <w:r w:rsidR="0009397B" w:rsidRPr="00FB4102">
              <w:rPr>
                <w:sz w:val="20"/>
                <w:szCs w:val="20"/>
              </w:rPr>
              <w:t>cy</w:t>
            </w:r>
            <w:r w:rsidR="00C410E4" w:rsidRPr="00FB4102">
              <w:rPr>
                <w:sz w:val="20"/>
                <w:szCs w:val="20"/>
              </w:rPr>
              <w:t>:</w:t>
            </w:r>
          </w:p>
        </w:tc>
      </w:tr>
      <w:tr w:rsidR="00D04028" w:rsidRPr="00AB3F24" w:rsidTr="004702C4">
        <w:tc>
          <w:tcPr>
            <w:tcW w:w="0" w:type="auto"/>
          </w:tcPr>
          <w:p w:rsidR="003A2E32" w:rsidRPr="00FB4102" w:rsidRDefault="003A2E32" w:rsidP="007644D2">
            <w:pPr>
              <w:pStyle w:val="Heading1"/>
              <w:numPr>
                <w:ilvl w:val="0"/>
                <w:numId w:val="23"/>
              </w:numPr>
              <w:spacing w:after="0"/>
              <w:jc w:val="left"/>
              <w:outlineLvl w:val="0"/>
              <w:rPr>
                <w:sz w:val="20"/>
                <w:szCs w:val="20"/>
              </w:rPr>
            </w:pPr>
            <w:r w:rsidRPr="00FB4102">
              <w:rPr>
                <w:sz w:val="20"/>
                <w:szCs w:val="20"/>
              </w:rPr>
              <w:t>P</w:t>
            </w:r>
            <w:r w:rsidR="002A2C4E" w:rsidRPr="00FB4102">
              <w:rPr>
                <w:sz w:val="20"/>
                <w:szCs w:val="20"/>
              </w:rPr>
              <w:t xml:space="preserve">articipation at </w:t>
            </w:r>
            <w:r w:rsidRPr="00FB4102">
              <w:rPr>
                <w:sz w:val="20"/>
                <w:szCs w:val="20"/>
              </w:rPr>
              <w:t>virtual meetings (10)</w:t>
            </w:r>
            <w:r w:rsidR="002A2C4E" w:rsidRPr="00FB4102">
              <w:rPr>
                <w:sz w:val="20"/>
                <w:szCs w:val="20"/>
              </w:rPr>
              <w:t>:</w:t>
            </w:r>
            <w:r w:rsidRPr="00FB4102">
              <w:rPr>
                <w:sz w:val="20"/>
                <w:szCs w:val="20"/>
              </w:rPr>
              <w:t xml:space="preserve"> </w:t>
            </w:r>
            <w:r w:rsidR="002A2C4E" w:rsidRPr="00FB4102">
              <w:rPr>
                <w:sz w:val="20"/>
                <w:szCs w:val="20"/>
              </w:rPr>
              <w:t xml:space="preserve">preparation of </w:t>
            </w:r>
            <w:r w:rsidRPr="00FB4102">
              <w:rPr>
                <w:sz w:val="20"/>
                <w:szCs w:val="20"/>
              </w:rPr>
              <w:t>background documentation, coordination of meetings, summary reports</w:t>
            </w:r>
          </w:p>
        </w:tc>
        <w:tc>
          <w:tcPr>
            <w:tcW w:w="0" w:type="auto"/>
            <w:vAlign w:val="center"/>
          </w:tcPr>
          <w:p w:rsidR="003A2E32" w:rsidRPr="00FB4102" w:rsidRDefault="003A2E32" w:rsidP="007644D2">
            <w:pPr>
              <w:pStyle w:val="Heading1"/>
              <w:spacing w:after="0"/>
              <w:jc w:val="right"/>
              <w:outlineLvl w:val="0"/>
              <w:rPr>
                <w:sz w:val="20"/>
                <w:szCs w:val="20"/>
              </w:rPr>
            </w:pPr>
            <w:r w:rsidRPr="00FB4102">
              <w:rPr>
                <w:sz w:val="20"/>
                <w:szCs w:val="20"/>
              </w:rPr>
              <w:t>10,000</w:t>
            </w:r>
          </w:p>
        </w:tc>
      </w:tr>
      <w:tr w:rsidR="00D04028" w:rsidRPr="00AB3F24" w:rsidTr="004702C4">
        <w:tc>
          <w:tcPr>
            <w:tcW w:w="0" w:type="auto"/>
          </w:tcPr>
          <w:p w:rsidR="003A2E32" w:rsidRPr="00FB4102" w:rsidRDefault="003A2E32" w:rsidP="007644D2">
            <w:pPr>
              <w:pStyle w:val="Heading1"/>
              <w:numPr>
                <w:ilvl w:val="0"/>
                <w:numId w:val="23"/>
              </w:numPr>
              <w:spacing w:after="0"/>
              <w:jc w:val="left"/>
              <w:outlineLvl w:val="0"/>
              <w:rPr>
                <w:sz w:val="20"/>
                <w:szCs w:val="20"/>
              </w:rPr>
            </w:pPr>
            <w:r w:rsidRPr="00FB4102">
              <w:rPr>
                <w:sz w:val="20"/>
                <w:szCs w:val="20"/>
              </w:rPr>
              <w:t xml:space="preserve">Surveys: preparing surveys, monitoring responses, </w:t>
            </w:r>
            <w:r w:rsidR="002A2C4E" w:rsidRPr="00FB4102">
              <w:rPr>
                <w:sz w:val="20"/>
                <w:szCs w:val="20"/>
              </w:rPr>
              <w:t xml:space="preserve">sending </w:t>
            </w:r>
            <w:r w:rsidRPr="00FB4102">
              <w:rPr>
                <w:sz w:val="20"/>
                <w:szCs w:val="20"/>
              </w:rPr>
              <w:t xml:space="preserve">reminders, </w:t>
            </w:r>
            <w:r w:rsidR="002A2C4E" w:rsidRPr="00FB4102">
              <w:rPr>
                <w:sz w:val="20"/>
                <w:szCs w:val="20"/>
              </w:rPr>
              <w:t xml:space="preserve">collecting </w:t>
            </w:r>
            <w:r w:rsidRPr="00FB4102">
              <w:rPr>
                <w:sz w:val="20"/>
                <w:szCs w:val="20"/>
              </w:rPr>
              <w:t xml:space="preserve">data, </w:t>
            </w:r>
            <w:r w:rsidR="002A2C4E" w:rsidRPr="00FB4102">
              <w:rPr>
                <w:sz w:val="20"/>
                <w:szCs w:val="20"/>
              </w:rPr>
              <w:t>o</w:t>
            </w:r>
            <w:r w:rsidR="00BB2D68" w:rsidRPr="00FB4102">
              <w:rPr>
                <w:sz w:val="20"/>
                <w:szCs w:val="20"/>
              </w:rPr>
              <w:t xml:space="preserve">rganizing </w:t>
            </w:r>
            <w:r w:rsidRPr="00FB4102">
              <w:rPr>
                <w:sz w:val="20"/>
                <w:szCs w:val="20"/>
              </w:rPr>
              <w:t>focus groups</w:t>
            </w:r>
          </w:p>
        </w:tc>
        <w:tc>
          <w:tcPr>
            <w:tcW w:w="0" w:type="auto"/>
            <w:vAlign w:val="center"/>
          </w:tcPr>
          <w:p w:rsidR="003A2E32" w:rsidRPr="00FB4102" w:rsidRDefault="003A2E32" w:rsidP="007644D2">
            <w:pPr>
              <w:pStyle w:val="Heading1"/>
              <w:spacing w:after="0"/>
              <w:jc w:val="right"/>
              <w:outlineLvl w:val="0"/>
              <w:rPr>
                <w:sz w:val="20"/>
                <w:szCs w:val="20"/>
              </w:rPr>
            </w:pPr>
            <w:r w:rsidRPr="00FB4102">
              <w:rPr>
                <w:sz w:val="20"/>
                <w:szCs w:val="20"/>
              </w:rPr>
              <w:t>9,000</w:t>
            </w:r>
          </w:p>
        </w:tc>
      </w:tr>
      <w:tr w:rsidR="00D04028" w:rsidRPr="00AB3F24" w:rsidTr="004702C4">
        <w:tc>
          <w:tcPr>
            <w:tcW w:w="0" w:type="auto"/>
          </w:tcPr>
          <w:p w:rsidR="003A2E32" w:rsidRPr="00FB4102" w:rsidRDefault="003A2E32" w:rsidP="007644D2">
            <w:pPr>
              <w:pStyle w:val="Heading1"/>
              <w:numPr>
                <w:ilvl w:val="0"/>
                <w:numId w:val="23"/>
              </w:numPr>
              <w:spacing w:after="0"/>
              <w:jc w:val="left"/>
              <w:outlineLvl w:val="0"/>
              <w:rPr>
                <w:sz w:val="20"/>
                <w:szCs w:val="20"/>
              </w:rPr>
            </w:pPr>
            <w:r w:rsidRPr="00FB4102">
              <w:rPr>
                <w:sz w:val="20"/>
                <w:szCs w:val="20"/>
              </w:rPr>
              <w:t xml:space="preserve">Draft analysis of survey results </w:t>
            </w:r>
            <w:r w:rsidR="00871A8E" w:rsidRPr="00FB4102">
              <w:rPr>
                <w:sz w:val="20"/>
                <w:szCs w:val="20"/>
              </w:rPr>
              <w:t>and</w:t>
            </w:r>
            <w:r w:rsidRPr="00FB4102">
              <w:rPr>
                <w:sz w:val="20"/>
                <w:szCs w:val="20"/>
              </w:rPr>
              <w:t xml:space="preserve"> focus groups outcomes</w:t>
            </w:r>
          </w:p>
        </w:tc>
        <w:tc>
          <w:tcPr>
            <w:tcW w:w="0" w:type="auto"/>
            <w:vAlign w:val="center"/>
          </w:tcPr>
          <w:p w:rsidR="003A2E32" w:rsidRPr="00FB4102" w:rsidRDefault="003A2E32" w:rsidP="007644D2">
            <w:pPr>
              <w:pStyle w:val="Heading1"/>
              <w:spacing w:after="0"/>
              <w:jc w:val="right"/>
              <w:outlineLvl w:val="0"/>
              <w:rPr>
                <w:sz w:val="20"/>
                <w:szCs w:val="20"/>
              </w:rPr>
            </w:pPr>
            <w:r w:rsidRPr="00FB4102">
              <w:rPr>
                <w:sz w:val="20"/>
                <w:szCs w:val="20"/>
              </w:rPr>
              <w:t>6,000</w:t>
            </w:r>
          </w:p>
        </w:tc>
      </w:tr>
      <w:tr w:rsidR="0014135B" w:rsidRPr="00AB3F24" w:rsidTr="004203E6">
        <w:tc>
          <w:tcPr>
            <w:tcW w:w="0" w:type="auto"/>
            <w:gridSpan w:val="2"/>
            <w:shd w:val="clear" w:color="auto" w:fill="auto"/>
          </w:tcPr>
          <w:p w:rsidR="0014135B" w:rsidRPr="00FB4102" w:rsidRDefault="0014135B" w:rsidP="007644D2">
            <w:pPr>
              <w:pStyle w:val="Heading1"/>
              <w:spacing w:after="0"/>
              <w:jc w:val="left"/>
              <w:outlineLvl w:val="0"/>
              <w:rPr>
                <w:sz w:val="20"/>
                <w:szCs w:val="20"/>
              </w:rPr>
            </w:pPr>
            <w:r w:rsidRPr="00FB4102">
              <w:rPr>
                <w:sz w:val="20"/>
                <w:szCs w:val="20"/>
              </w:rPr>
              <w:t>Support to meeting preparation – logistics &amp; miscellaneous</w:t>
            </w:r>
            <w:r w:rsidR="003947AA" w:rsidRPr="00FB4102">
              <w:rPr>
                <w:sz w:val="20"/>
                <w:szCs w:val="20"/>
              </w:rPr>
              <w:t>:</w:t>
            </w:r>
          </w:p>
        </w:tc>
      </w:tr>
      <w:tr w:rsidR="00D04028" w:rsidRPr="00AB3F24" w:rsidTr="004203E6">
        <w:tc>
          <w:tcPr>
            <w:tcW w:w="0" w:type="auto"/>
            <w:shd w:val="clear" w:color="auto" w:fill="auto"/>
          </w:tcPr>
          <w:p w:rsidR="00D04028" w:rsidRPr="00FB4102" w:rsidRDefault="00D04028" w:rsidP="007644D2">
            <w:pPr>
              <w:pStyle w:val="Heading1"/>
              <w:numPr>
                <w:ilvl w:val="0"/>
                <w:numId w:val="23"/>
              </w:numPr>
              <w:spacing w:after="0"/>
              <w:jc w:val="left"/>
              <w:outlineLvl w:val="0"/>
              <w:rPr>
                <w:sz w:val="20"/>
                <w:szCs w:val="20"/>
              </w:rPr>
            </w:pPr>
            <w:r w:rsidRPr="00FB4102">
              <w:rPr>
                <w:sz w:val="20"/>
                <w:szCs w:val="20"/>
              </w:rPr>
              <w:t xml:space="preserve">Meetings logistics, translation/interpretation, documentation for participants </w:t>
            </w:r>
          </w:p>
        </w:tc>
        <w:tc>
          <w:tcPr>
            <w:tcW w:w="0" w:type="auto"/>
            <w:shd w:val="clear" w:color="auto" w:fill="auto"/>
            <w:vAlign w:val="center"/>
          </w:tcPr>
          <w:p w:rsidR="00D04028" w:rsidRPr="00FB4102" w:rsidRDefault="00D04028" w:rsidP="007644D2">
            <w:pPr>
              <w:pStyle w:val="Heading1"/>
              <w:spacing w:after="0"/>
              <w:jc w:val="right"/>
              <w:outlineLvl w:val="0"/>
              <w:rPr>
                <w:sz w:val="20"/>
                <w:szCs w:val="20"/>
              </w:rPr>
            </w:pPr>
            <w:r w:rsidRPr="00FB4102">
              <w:rPr>
                <w:sz w:val="20"/>
                <w:szCs w:val="20"/>
              </w:rPr>
              <w:t>3,000</w:t>
            </w:r>
          </w:p>
        </w:tc>
      </w:tr>
      <w:tr w:rsidR="00D04028" w:rsidRPr="00AB3F24" w:rsidTr="004702C4">
        <w:tc>
          <w:tcPr>
            <w:tcW w:w="0" w:type="auto"/>
          </w:tcPr>
          <w:p w:rsidR="003A2E32" w:rsidRPr="00FB4102" w:rsidRDefault="003A2E32" w:rsidP="007644D2">
            <w:pPr>
              <w:pStyle w:val="Heading1"/>
              <w:spacing w:after="0"/>
              <w:jc w:val="left"/>
              <w:outlineLvl w:val="0"/>
              <w:rPr>
                <w:bCs/>
                <w:i/>
                <w:sz w:val="20"/>
                <w:szCs w:val="20"/>
              </w:rPr>
            </w:pPr>
            <w:r w:rsidRPr="00FB4102">
              <w:rPr>
                <w:bCs/>
                <w:i/>
                <w:sz w:val="20"/>
                <w:szCs w:val="20"/>
              </w:rPr>
              <w:t>Sub</w:t>
            </w:r>
            <w:r w:rsidR="00532CCB" w:rsidRPr="00FB4102">
              <w:rPr>
                <w:bCs/>
                <w:i/>
                <w:sz w:val="20"/>
                <w:szCs w:val="20"/>
              </w:rPr>
              <w:t>-</w:t>
            </w:r>
            <w:r w:rsidRPr="00FB4102">
              <w:rPr>
                <w:bCs/>
                <w:i/>
                <w:sz w:val="20"/>
                <w:szCs w:val="20"/>
              </w:rPr>
              <w:t xml:space="preserve">total for stages </w:t>
            </w:r>
            <w:r w:rsidR="002A2C4E" w:rsidRPr="00FB4102">
              <w:rPr>
                <w:bCs/>
                <w:i/>
                <w:sz w:val="20"/>
                <w:szCs w:val="20"/>
              </w:rPr>
              <w:t>1</w:t>
            </w:r>
            <w:r w:rsidRPr="00FB4102">
              <w:rPr>
                <w:bCs/>
                <w:i/>
                <w:sz w:val="20"/>
                <w:szCs w:val="20"/>
              </w:rPr>
              <w:t xml:space="preserve"> and </w:t>
            </w:r>
            <w:r w:rsidR="002A2C4E" w:rsidRPr="00FB4102">
              <w:rPr>
                <w:bCs/>
                <w:i/>
                <w:sz w:val="20"/>
                <w:szCs w:val="20"/>
              </w:rPr>
              <w:t>2</w:t>
            </w:r>
          </w:p>
        </w:tc>
        <w:tc>
          <w:tcPr>
            <w:tcW w:w="0" w:type="auto"/>
            <w:vAlign w:val="center"/>
          </w:tcPr>
          <w:p w:rsidR="003A2E32" w:rsidRPr="00FB4102" w:rsidRDefault="0009397B" w:rsidP="007644D2">
            <w:pPr>
              <w:pStyle w:val="Heading1"/>
              <w:spacing w:after="0"/>
              <w:jc w:val="right"/>
              <w:outlineLvl w:val="0"/>
              <w:rPr>
                <w:bCs/>
                <w:sz w:val="20"/>
                <w:szCs w:val="20"/>
              </w:rPr>
            </w:pPr>
            <w:r w:rsidRPr="00FB4102">
              <w:rPr>
                <w:bCs/>
                <w:sz w:val="20"/>
                <w:szCs w:val="20"/>
              </w:rPr>
              <w:t>28</w:t>
            </w:r>
            <w:r w:rsidR="003A2E32" w:rsidRPr="00FB4102">
              <w:rPr>
                <w:bCs/>
                <w:sz w:val="20"/>
                <w:szCs w:val="20"/>
              </w:rPr>
              <w:t>,000</w:t>
            </w:r>
          </w:p>
        </w:tc>
      </w:tr>
      <w:tr w:rsidR="003A2E32" w:rsidRPr="00AB3F24" w:rsidTr="004702C4">
        <w:tc>
          <w:tcPr>
            <w:tcW w:w="0" w:type="auto"/>
            <w:gridSpan w:val="2"/>
          </w:tcPr>
          <w:p w:rsidR="003A2E32" w:rsidRPr="00FB4102" w:rsidRDefault="003A2E32" w:rsidP="007644D2">
            <w:pPr>
              <w:pStyle w:val="Heading1"/>
              <w:spacing w:after="0"/>
              <w:jc w:val="left"/>
              <w:outlineLvl w:val="0"/>
              <w:rPr>
                <w:sz w:val="20"/>
                <w:szCs w:val="20"/>
              </w:rPr>
            </w:pPr>
            <w:r w:rsidRPr="00FB4102">
              <w:rPr>
                <w:i/>
                <w:sz w:val="20"/>
                <w:szCs w:val="20"/>
              </w:rPr>
              <w:t xml:space="preserve">Stage </w:t>
            </w:r>
            <w:r w:rsidR="00871A8E" w:rsidRPr="00FB4102">
              <w:rPr>
                <w:i/>
                <w:sz w:val="20"/>
                <w:szCs w:val="20"/>
              </w:rPr>
              <w:t>3</w:t>
            </w:r>
            <w:r w:rsidR="00D04028" w:rsidRPr="00FB4102">
              <w:rPr>
                <w:i/>
                <w:sz w:val="20"/>
                <w:szCs w:val="20"/>
              </w:rPr>
              <w:t xml:space="preserve"> **</w:t>
            </w:r>
          </w:p>
        </w:tc>
      </w:tr>
      <w:tr w:rsidR="00D04028" w:rsidRPr="00AB3F24" w:rsidTr="004702C4">
        <w:tc>
          <w:tcPr>
            <w:tcW w:w="0" w:type="auto"/>
          </w:tcPr>
          <w:p w:rsidR="003A2E32" w:rsidRPr="00FB4102" w:rsidRDefault="003A2E32" w:rsidP="007644D2">
            <w:pPr>
              <w:pStyle w:val="Heading1"/>
              <w:spacing w:after="0"/>
              <w:jc w:val="left"/>
              <w:outlineLvl w:val="0"/>
              <w:rPr>
                <w:sz w:val="20"/>
                <w:szCs w:val="20"/>
              </w:rPr>
            </w:pPr>
            <w:r w:rsidRPr="00FB4102">
              <w:rPr>
                <w:sz w:val="20"/>
                <w:szCs w:val="20"/>
              </w:rPr>
              <w:t>Field visits (</w:t>
            </w:r>
            <w:r w:rsidR="000466C4" w:rsidRPr="00FB4102">
              <w:rPr>
                <w:sz w:val="20"/>
                <w:szCs w:val="20"/>
              </w:rPr>
              <w:t xml:space="preserve">10 </w:t>
            </w:r>
            <w:r w:rsidRPr="00FB4102">
              <w:rPr>
                <w:sz w:val="20"/>
                <w:szCs w:val="20"/>
              </w:rPr>
              <w:t>regions, 5 days/region)</w:t>
            </w:r>
          </w:p>
        </w:tc>
        <w:tc>
          <w:tcPr>
            <w:tcW w:w="0" w:type="auto"/>
            <w:vAlign w:val="center"/>
          </w:tcPr>
          <w:p w:rsidR="003A2E32" w:rsidRPr="00FB4102" w:rsidRDefault="003A2E32" w:rsidP="007644D2">
            <w:pPr>
              <w:pStyle w:val="Heading1"/>
              <w:spacing w:after="0"/>
              <w:jc w:val="right"/>
              <w:outlineLvl w:val="0"/>
              <w:rPr>
                <w:sz w:val="20"/>
                <w:szCs w:val="20"/>
              </w:rPr>
            </w:pPr>
          </w:p>
        </w:tc>
      </w:tr>
      <w:tr w:rsidR="00D04028" w:rsidRPr="00AB3F24" w:rsidTr="004702C4">
        <w:tc>
          <w:tcPr>
            <w:tcW w:w="0" w:type="auto"/>
          </w:tcPr>
          <w:p w:rsidR="003A2E32" w:rsidRPr="00FB4102" w:rsidRDefault="003A2E32" w:rsidP="007644D2">
            <w:pPr>
              <w:pStyle w:val="Heading1"/>
              <w:spacing w:after="0"/>
              <w:jc w:val="left"/>
              <w:outlineLvl w:val="0"/>
              <w:rPr>
                <w:i/>
                <w:sz w:val="20"/>
                <w:szCs w:val="20"/>
              </w:rPr>
            </w:pPr>
            <w:r w:rsidRPr="00FB4102">
              <w:rPr>
                <w:i/>
                <w:sz w:val="20"/>
                <w:szCs w:val="20"/>
              </w:rPr>
              <w:t>Staff:</w:t>
            </w:r>
          </w:p>
        </w:tc>
        <w:tc>
          <w:tcPr>
            <w:tcW w:w="0" w:type="auto"/>
            <w:vAlign w:val="center"/>
          </w:tcPr>
          <w:p w:rsidR="003A2E32" w:rsidRPr="00FB4102" w:rsidRDefault="003A2E32" w:rsidP="007644D2">
            <w:pPr>
              <w:pStyle w:val="Heading1"/>
              <w:spacing w:after="0"/>
              <w:jc w:val="right"/>
              <w:outlineLvl w:val="0"/>
              <w:rPr>
                <w:sz w:val="20"/>
                <w:szCs w:val="20"/>
              </w:rPr>
            </w:pPr>
          </w:p>
        </w:tc>
      </w:tr>
      <w:tr w:rsidR="00D04028" w:rsidRPr="00AB3F24" w:rsidTr="004702C4">
        <w:tc>
          <w:tcPr>
            <w:tcW w:w="0" w:type="auto"/>
          </w:tcPr>
          <w:p w:rsidR="003A2E32" w:rsidRPr="00FB4102" w:rsidRDefault="003A2E32" w:rsidP="007644D2">
            <w:pPr>
              <w:pStyle w:val="Heading1"/>
              <w:numPr>
                <w:ilvl w:val="0"/>
                <w:numId w:val="23"/>
              </w:numPr>
              <w:spacing w:after="0"/>
              <w:jc w:val="left"/>
              <w:outlineLvl w:val="0"/>
              <w:rPr>
                <w:sz w:val="20"/>
                <w:szCs w:val="20"/>
              </w:rPr>
            </w:pPr>
            <w:r w:rsidRPr="00FB4102">
              <w:rPr>
                <w:sz w:val="20"/>
                <w:szCs w:val="20"/>
              </w:rPr>
              <w:t>Travel (</w:t>
            </w:r>
            <w:r w:rsidR="000466C4" w:rsidRPr="00FB4102">
              <w:rPr>
                <w:sz w:val="20"/>
                <w:szCs w:val="20"/>
              </w:rPr>
              <w:t xml:space="preserve">6 </w:t>
            </w:r>
            <w:r w:rsidR="00D04028" w:rsidRPr="00FB4102">
              <w:rPr>
                <w:sz w:val="20"/>
                <w:szCs w:val="20"/>
              </w:rPr>
              <w:t xml:space="preserve">regions - </w:t>
            </w:r>
            <w:r w:rsidR="00FC64B4" w:rsidRPr="00FB4102">
              <w:rPr>
                <w:sz w:val="20"/>
                <w:szCs w:val="20"/>
              </w:rPr>
              <w:t>US $</w:t>
            </w:r>
            <w:r w:rsidR="0009397B" w:rsidRPr="00FB4102">
              <w:rPr>
                <w:sz w:val="20"/>
                <w:szCs w:val="20"/>
              </w:rPr>
              <w:t>5</w:t>
            </w:r>
            <w:r w:rsidRPr="00FB4102">
              <w:rPr>
                <w:sz w:val="20"/>
                <w:szCs w:val="20"/>
              </w:rPr>
              <w:t>,000</w:t>
            </w:r>
            <w:r w:rsidR="00D04028" w:rsidRPr="00FB4102">
              <w:rPr>
                <w:sz w:val="20"/>
                <w:szCs w:val="20"/>
              </w:rPr>
              <w:t>/ticket</w:t>
            </w:r>
            <w:r w:rsidRPr="00FB4102">
              <w:rPr>
                <w:sz w:val="20"/>
                <w:szCs w:val="20"/>
              </w:rPr>
              <w:t>)</w:t>
            </w:r>
          </w:p>
        </w:tc>
        <w:tc>
          <w:tcPr>
            <w:tcW w:w="0" w:type="auto"/>
            <w:vAlign w:val="center"/>
          </w:tcPr>
          <w:p w:rsidR="003A2E32" w:rsidRPr="00FB4102" w:rsidRDefault="000466C4" w:rsidP="007644D2">
            <w:pPr>
              <w:pStyle w:val="Heading1"/>
              <w:spacing w:after="0"/>
              <w:jc w:val="right"/>
              <w:outlineLvl w:val="0"/>
              <w:rPr>
                <w:sz w:val="20"/>
                <w:szCs w:val="20"/>
              </w:rPr>
            </w:pPr>
            <w:r w:rsidRPr="00FB4102">
              <w:rPr>
                <w:sz w:val="20"/>
                <w:szCs w:val="20"/>
              </w:rPr>
              <w:t>3</w:t>
            </w:r>
            <w:r w:rsidR="0009397B" w:rsidRPr="00FB4102">
              <w:rPr>
                <w:sz w:val="20"/>
                <w:szCs w:val="20"/>
              </w:rPr>
              <w:t>0</w:t>
            </w:r>
            <w:r w:rsidR="003A2E32" w:rsidRPr="00FB4102">
              <w:rPr>
                <w:sz w:val="20"/>
                <w:szCs w:val="20"/>
              </w:rPr>
              <w:t>,000</w:t>
            </w:r>
          </w:p>
        </w:tc>
      </w:tr>
      <w:tr w:rsidR="00D04028" w:rsidRPr="00AB3F24" w:rsidTr="004702C4">
        <w:tc>
          <w:tcPr>
            <w:tcW w:w="0" w:type="auto"/>
          </w:tcPr>
          <w:p w:rsidR="003A2E32" w:rsidRPr="00FB4102" w:rsidRDefault="00BC2897" w:rsidP="007644D2">
            <w:pPr>
              <w:pStyle w:val="Heading1"/>
              <w:numPr>
                <w:ilvl w:val="0"/>
                <w:numId w:val="23"/>
              </w:numPr>
              <w:spacing w:after="0"/>
              <w:jc w:val="left"/>
              <w:outlineLvl w:val="0"/>
              <w:rPr>
                <w:sz w:val="20"/>
                <w:szCs w:val="20"/>
              </w:rPr>
            </w:pPr>
            <w:r w:rsidRPr="00FB4102">
              <w:rPr>
                <w:sz w:val="20"/>
                <w:szCs w:val="20"/>
              </w:rPr>
              <w:t>D</w:t>
            </w:r>
            <w:r w:rsidR="00F224C5" w:rsidRPr="00FB4102">
              <w:rPr>
                <w:sz w:val="20"/>
                <w:szCs w:val="20"/>
              </w:rPr>
              <w:t xml:space="preserve">aily Subsistence </w:t>
            </w:r>
            <w:r w:rsidRPr="00FB4102">
              <w:rPr>
                <w:sz w:val="20"/>
                <w:szCs w:val="20"/>
              </w:rPr>
              <w:t>A</w:t>
            </w:r>
            <w:r w:rsidR="00F224C5" w:rsidRPr="00FB4102">
              <w:rPr>
                <w:sz w:val="20"/>
                <w:szCs w:val="20"/>
              </w:rPr>
              <w:t>llowance (DSA)</w:t>
            </w:r>
            <w:r w:rsidR="000466C4" w:rsidRPr="00FB4102">
              <w:rPr>
                <w:sz w:val="20"/>
                <w:szCs w:val="20"/>
              </w:rPr>
              <w:t xml:space="preserve"> (3</w:t>
            </w:r>
            <w:r w:rsidR="003A2E32" w:rsidRPr="00FB4102">
              <w:rPr>
                <w:sz w:val="20"/>
                <w:szCs w:val="20"/>
              </w:rPr>
              <w:t>0 days</w:t>
            </w:r>
            <w:r w:rsidR="00D04028" w:rsidRPr="00FB4102">
              <w:rPr>
                <w:sz w:val="20"/>
                <w:szCs w:val="20"/>
              </w:rPr>
              <w:t xml:space="preserve"> - </w:t>
            </w:r>
            <w:r w:rsidR="00FC64B4" w:rsidRPr="00FB4102">
              <w:rPr>
                <w:sz w:val="20"/>
                <w:szCs w:val="20"/>
              </w:rPr>
              <w:t>US $</w:t>
            </w:r>
            <w:r w:rsidR="003A2E32" w:rsidRPr="00FB4102">
              <w:rPr>
                <w:sz w:val="20"/>
                <w:szCs w:val="20"/>
              </w:rPr>
              <w:t>350/day)</w:t>
            </w:r>
          </w:p>
        </w:tc>
        <w:tc>
          <w:tcPr>
            <w:tcW w:w="0" w:type="auto"/>
            <w:vAlign w:val="center"/>
          </w:tcPr>
          <w:p w:rsidR="003A2E32" w:rsidRPr="00FB4102" w:rsidRDefault="000466C4" w:rsidP="007644D2">
            <w:pPr>
              <w:pStyle w:val="Heading1"/>
              <w:spacing w:after="0"/>
              <w:jc w:val="right"/>
              <w:outlineLvl w:val="0"/>
              <w:rPr>
                <w:sz w:val="20"/>
                <w:szCs w:val="20"/>
              </w:rPr>
            </w:pPr>
            <w:r w:rsidRPr="00FB4102">
              <w:rPr>
                <w:sz w:val="20"/>
                <w:szCs w:val="20"/>
              </w:rPr>
              <w:t>10,500</w:t>
            </w:r>
          </w:p>
        </w:tc>
      </w:tr>
      <w:tr w:rsidR="003A2E32" w:rsidRPr="00AB3F24" w:rsidTr="004702C4">
        <w:tc>
          <w:tcPr>
            <w:tcW w:w="0" w:type="auto"/>
            <w:gridSpan w:val="2"/>
          </w:tcPr>
          <w:p w:rsidR="003A2E32" w:rsidRPr="00FB4102" w:rsidRDefault="0009397B" w:rsidP="00BC2897">
            <w:pPr>
              <w:pStyle w:val="Heading1"/>
              <w:spacing w:after="0"/>
              <w:jc w:val="left"/>
              <w:outlineLvl w:val="0"/>
              <w:rPr>
                <w:i/>
                <w:sz w:val="20"/>
                <w:szCs w:val="20"/>
              </w:rPr>
            </w:pPr>
            <w:r w:rsidRPr="00FB4102">
              <w:rPr>
                <w:i/>
                <w:sz w:val="20"/>
                <w:szCs w:val="20"/>
              </w:rPr>
              <w:t>Consultan</w:t>
            </w:r>
            <w:r w:rsidR="00BC2897" w:rsidRPr="00FB4102">
              <w:rPr>
                <w:i/>
                <w:sz w:val="20"/>
                <w:szCs w:val="20"/>
              </w:rPr>
              <w:t>t:</w:t>
            </w:r>
          </w:p>
        </w:tc>
      </w:tr>
      <w:tr w:rsidR="00D04028" w:rsidRPr="00AB3F24" w:rsidTr="004702C4">
        <w:tc>
          <w:tcPr>
            <w:tcW w:w="0" w:type="auto"/>
          </w:tcPr>
          <w:p w:rsidR="003A2E32" w:rsidRPr="00FB4102" w:rsidRDefault="00BC2897" w:rsidP="00AB3F24">
            <w:pPr>
              <w:pStyle w:val="Heading1"/>
              <w:numPr>
                <w:ilvl w:val="0"/>
                <w:numId w:val="23"/>
              </w:numPr>
              <w:spacing w:after="0"/>
              <w:jc w:val="left"/>
              <w:outlineLvl w:val="0"/>
              <w:rPr>
                <w:sz w:val="20"/>
                <w:szCs w:val="20"/>
              </w:rPr>
            </w:pPr>
            <w:r w:rsidRPr="00FB4102">
              <w:rPr>
                <w:sz w:val="20"/>
                <w:szCs w:val="20"/>
              </w:rPr>
              <w:t xml:space="preserve">Fee - </w:t>
            </w:r>
            <w:r w:rsidR="000466C4" w:rsidRPr="00FB4102">
              <w:rPr>
                <w:sz w:val="20"/>
                <w:szCs w:val="20"/>
              </w:rPr>
              <w:t>4</w:t>
            </w:r>
            <w:r w:rsidRPr="00FB4102">
              <w:rPr>
                <w:sz w:val="20"/>
                <w:szCs w:val="20"/>
              </w:rPr>
              <w:t xml:space="preserve"> regions 5 days </w:t>
            </w:r>
            <w:r w:rsidR="00FC64B4" w:rsidRPr="00FB4102">
              <w:rPr>
                <w:sz w:val="20"/>
                <w:szCs w:val="20"/>
              </w:rPr>
              <w:t>US $</w:t>
            </w:r>
            <w:r w:rsidR="003A2E32" w:rsidRPr="00FB4102">
              <w:rPr>
                <w:sz w:val="20"/>
                <w:szCs w:val="20"/>
              </w:rPr>
              <w:t>500/day</w:t>
            </w:r>
          </w:p>
        </w:tc>
        <w:tc>
          <w:tcPr>
            <w:tcW w:w="0" w:type="auto"/>
            <w:vAlign w:val="center"/>
          </w:tcPr>
          <w:p w:rsidR="003A2E32" w:rsidRPr="00FB4102" w:rsidRDefault="00D04028" w:rsidP="007644D2">
            <w:pPr>
              <w:pStyle w:val="Heading1"/>
              <w:spacing w:after="0"/>
              <w:jc w:val="right"/>
              <w:outlineLvl w:val="0"/>
              <w:rPr>
                <w:sz w:val="20"/>
                <w:szCs w:val="20"/>
              </w:rPr>
            </w:pPr>
            <w:r w:rsidRPr="00FB4102">
              <w:rPr>
                <w:sz w:val="20"/>
                <w:szCs w:val="20"/>
              </w:rPr>
              <w:t>10</w:t>
            </w:r>
            <w:r w:rsidR="003A2E32" w:rsidRPr="00FB4102">
              <w:rPr>
                <w:sz w:val="20"/>
                <w:szCs w:val="20"/>
              </w:rPr>
              <w:t>,000</w:t>
            </w:r>
          </w:p>
        </w:tc>
      </w:tr>
      <w:tr w:rsidR="00D04028" w:rsidRPr="00AB3F24" w:rsidTr="004702C4">
        <w:tc>
          <w:tcPr>
            <w:tcW w:w="0" w:type="auto"/>
          </w:tcPr>
          <w:p w:rsidR="003A2E32" w:rsidRPr="00FB4102" w:rsidRDefault="003A2E32" w:rsidP="00BC2897">
            <w:pPr>
              <w:pStyle w:val="Heading1"/>
              <w:spacing w:after="0"/>
              <w:jc w:val="left"/>
              <w:outlineLvl w:val="0"/>
              <w:rPr>
                <w:sz w:val="20"/>
                <w:szCs w:val="20"/>
              </w:rPr>
            </w:pPr>
            <w:r w:rsidRPr="00FB4102">
              <w:rPr>
                <w:sz w:val="20"/>
                <w:szCs w:val="20"/>
              </w:rPr>
              <w:t xml:space="preserve">Travel </w:t>
            </w:r>
          </w:p>
        </w:tc>
        <w:tc>
          <w:tcPr>
            <w:tcW w:w="0" w:type="auto"/>
            <w:vAlign w:val="center"/>
          </w:tcPr>
          <w:p w:rsidR="003A2E32" w:rsidRPr="00FB4102" w:rsidRDefault="003A2E32" w:rsidP="007644D2">
            <w:pPr>
              <w:pStyle w:val="Heading1"/>
              <w:spacing w:after="0"/>
              <w:jc w:val="right"/>
              <w:outlineLvl w:val="0"/>
              <w:rPr>
                <w:sz w:val="20"/>
                <w:szCs w:val="20"/>
              </w:rPr>
            </w:pPr>
          </w:p>
        </w:tc>
      </w:tr>
      <w:tr w:rsidR="00BC2897" w:rsidRPr="00AB3F24" w:rsidTr="004702C4">
        <w:tc>
          <w:tcPr>
            <w:tcW w:w="0" w:type="auto"/>
          </w:tcPr>
          <w:p w:rsidR="00BC2897" w:rsidRPr="00FB4102" w:rsidRDefault="00BC2897" w:rsidP="00BC2897">
            <w:pPr>
              <w:pStyle w:val="Heading1"/>
              <w:numPr>
                <w:ilvl w:val="0"/>
                <w:numId w:val="23"/>
              </w:numPr>
              <w:spacing w:after="0"/>
              <w:jc w:val="left"/>
              <w:outlineLvl w:val="0"/>
              <w:rPr>
                <w:sz w:val="20"/>
                <w:szCs w:val="20"/>
              </w:rPr>
            </w:pPr>
            <w:r w:rsidRPr="00FB4102">
              <w:rPr>
                <w:sz w:val="20"/>
                <w:szCs w:val="20"/>
              </w:rPr>
              <w:t>Ticket - 4 regions - US $3,000/ ticket</w:t>
            </w:r>
          </w:p>
        </w:tc>
        <w:tc>
          <w:tcPr>
            <w:tcW w:w="0" w:type="auto"/>
            <w:vAlign w:val="center"/>
          </w:tcPr>
          <w:p w:rsidR="00BC2897" w:rsidRPr="00FB4102" w:rsidRDefault="00BC2897" w:rsidP="00BC2897">
            <w:pPr>
              <w:pStyle w:val="Heading1"/>
              <w:spacing w:after="0"/>
              <w:jc w:val="right"/>
              <w:outlineLvl w:val="0"/>
              <w:rPr>
                <w:sz w:val="20"/>
                <w:szCs w:val="20"/>
              </w:rPr>
            </w:pPr>
            <w:r w:rsidRPr="00FB4102">
              <w:rPr>
                <w:sz w:val="20"/>
                <w:szCs w:val="20"/>
              </w:rPr>
              <w:t>12,000</w:t>
            </w:r>
          </w:p>
        </w:tc>
      </w:tr>
      <w:tr w:rsidR="00BC2897" w:rsidRPr="00AB3F24" w:rsidTr="004702C4">
        <w:tc>
          <w:tcPr>
            <w:tcW w:w="0" w:type="auto"/>
          </w:tcPr>
          <w:p w:rsidR="00BC2897" w:rsidRPr="00FB4102" w:rsidRDefault="00F224C5" w:rsidP="00BC2897">
            <w:pPr>
              <w:pStyle w:val="Heading1"/>
              <w:numPr>
                <w:ilvl w:val="0"/>
                <w:numId w:val="23"/>
              </w:numPr>
              <w:spacing w:after="0"/>
              <w:jc w:val="left"/>
              <w:outlineLvl w:val="0"/>
              <w:rPr>
                <w:sz w:val="20"/>
                <w:szCs w:val="20"/>
              </w:rPr>
            </w:pPr>
            <w:r w:rsidRPr="00FB4102">
              <w:rPr>
                <w:sz w:val="20"/>
                <w:szCs w:val="20"/>
              </w:rPr>
              <w:t xml:space="preserve">DSA </w:t>
            </w:r>
            <w:r w:rsidR="00BC2897" w:rsidRPr="00FB4102">
              <w:rPr>
                <w:sz w:val="20"/>
                <w:szCs w:val="20"/>
              </w:rPr>
              <w:t xml:space="preserve">- 20 days - US $350/day </w:t>
            </w:r>
          </w:p>
        </w:tc>
        <w:tc>
          <w:tcPr>
            <w:tcW w:w="0" w:type="auto"/>
            <w:vAlign w:val="center"/>
          </w:tcPr>
          <w:p w:rsidR="00BC2897" w:rsidRPr="00FB4102" w:rsidRDefault="00BC2897" w:rsidP="00BC2897">
            <w:pPr>
              <w:pStyle w:val="Heading1"/>
              <w:spacing w:after="0"/>
              <w:jc w:val="right"/>
              <w:outlineLvl w:val="0"/>
              <w:rPr>
                <w:sz w:val="20"/>
                <w:szCs w:val="20"/>
              </w:rPr>
            </w:pPr>
            <w:r w:rsidRPr="00FB4102">
              <w:rPr>
                <w:sz w:val="20"/>
                <w:szCs w:val="20"/>
              </w:rPr>
              <w:t>7,000</w:t>
            </w:r>
          </w:p>
        </w:tc>
      </w:tr>
      <w:tr w:rsidR="00BC2897" w:rsidRPr="00AB3F24" w:rsidTr="004702C4">
        <w:tc>
          <w:tcPr>
            <w:tcW w:w="0" w:type="auto"/>
          </w:tcPr>
          <w:p w:rsidR="00BC2897" w:rsidRPr="00FB4102" w:rsidRDefault="00BC2897" w:rsidP="00BC2897">
            <w:pPr>
              <w:pStyle w:val="Heading1"/>
              <w:spacing w:after="0"/>
              <w:jc w:val="left"/>
              <w:outlineLvl w:val="0"/>
              <w:rPr>
                <w:sz w:val="20"/>
                <w:szCs w:val="20"/>
                <w:highlight w:val="yellow"/>
              </w:rPr>
            </w:pPr>
            <w:r w:rsidRPr="00FB4102">
              <w:rPr>
                <w:sz w:val="20"/>
                <w:szCs w:val="20"/>
              </w:rPr>
              <w:t>Mission report writing</w:t>
            </w:r>
            <w:r w:rsidRPr="00FB4102">
              <w:rPr>
                <w:b/>
                <w:sz w:val="20"/>
                <w:szCs w:val="20"/>
              </w:rPr>
              <w:t xml:space="preserve"> </w:t>
            </w:r>
            <w:r w:rsidRPr="00FB4102">
              <w:rPr>
                <w:sz w:val="20"/>
                <w:szCs w:val="20"/>
              </w:rPr>
              <w:t>(4 regions - 7 days US $500/day)</w:t>
            </w:r>
          </w:p>
        </w:tc>
        <w:tc>
          <w:tcPr>
            <w:tcW w:w="0" w:type="auto"/>
            <w:vAlign w:val="center"/>
          </w:tcPr>
          <w:p w:rsidR="00BC2897" w:rsidRPr="00FB4102" w:rsidRDefault="00BC2897" w:rsidP="00BC2897">
            <w:pPr>
              <w:pStyle w:val="Heading1"/>
              <w:spacing w:after="0"/>
              <w:jc w:val="right"/>
              <w:outlineLvl w:val="0"/>
              <w:rPr>
                <w:sz w:val="20"/>
                <w:szCs w:val="20"/>
              </w:rPr>
            </w:pPr>
            <w:r w:rsidRPr="00FB4102">
              <w:rPr>
                <w:sz w:val="20"/>
                <w:szCs w:val="20"/>
              </w:rPr>
              <w:t>14,000</w:t>
            </w:r>
          </w:p>
        </w:tc>
      </w:tr>
      <w:tr w:rsidR="00BC2897" w:rsidRPr="00AB3F24" w:rsidTr="004702C4">
        <w:tc>
          <w:tcPr>
            <w:tcW w:w="0" w:type="auto"/>
          </w:tcPr>
          <w:p w:rsidR="00BC2897" w:rsidRPr="00FB4102" w:rsidRDefault="00BC2897" w:rsidP="00BC2897">
            <w:pPr>
              <w:pStyle w:val="Heading1"/>
              <w:spacing w:after="0"/>
              <w:jc w:val="left"/>
              <w:outlineLvl w:val="0"/>
              <w:rPr>
                <w:sz w:val="20"/>
                <w:szCs w:val="20"/>
              </w:rPr>
            </w:pPr>
            <w:r w:rsidRPr="00FB4102">
              <w:rPr>
                <w:sz w:val="20"/>
                <w:szCs w:val="20"/>
              </w:rPr>
              <w:t>Synthesis report 10 regions (12 days - US $500/day)</w:t>
            </w:r>
          </w:p>
        </w:tc>
        <w:tc>
          <w:tcPr>
            <w:tcW w:w="0" w:type="auto"/>
            <w:vAlign w:val="center"/>
          </w:tcPr>
          <w:p w:rsidR="00BC2897" w:rsidRPr="00FB4102" w:rsidRDefault="00BC2897" w:rsidP="00BC2897">
            <w:pPr>
              <w:pStyle w:val="Heading1"/>
              <w:spacing w:after="0"/>
              <w:jc w:val="right"/>
              <w:outlineLvl w:val="0"/>
              <w:rPr>
                <w:sz w:val="20"/>
                <w:szCs w:val="20"/>
              </w:rPr>
            </w:pPr>
            <w:r w:rsidRPr="00FB4102">
              <w:rPr>
                <w:sz w:val="20"/>
                <w:szCs w:val="20"/>
              </w:rPr>
              <w:t>6,000</w:t>
            </w:r>
          </w:p>
        </w:tc>
      </w:tr>
      <w:tr w:rsidR="00BC2897" w:rsidRPr="00AB3F24" w:rsidTr="004702C4">
        <w:tc>
          <w:tcPr>
            <w:tcW w:w="0" w:type="auto"/>
          </w:tcPr>
          <w:p w:rsidR="00BC2897" w:rsidRPr="00FB4102" w:rsidRDefault="00BC2897" w:rsidP="00BC2897">
            <w:pPr>
              <w:pStyle w:val="Heading1"/>
              <w:spacing w:after="0"/>
              <w:jc w:val="left"/>
              <w:outlineLvl w:val="0"/>
              <w:rPr>
                <w:bCs/>
                <w:i/>
                <w:sz w:val="20"/>
                <w:szCs w:val="20"/>
              </w:rPr>
            </w:pPr>
            <w:r w:rsidRPr="00FB4102">
              <w:rPr>
                <w:bCs/>
                <w:i/>
                <w:sz w:val="20"/>
                <w:szCs w:val="20"/>
              </w:rPr>
              <w:t>Sub-total for stage 3</w:t>
            </w:r>
          </w:p>
        </w:tc>
        <w:tc>
          <w:tcPr>
            <w:tcW w:w="0" w:type="auto"/>
            <w:vAlign w:val="center"/>
          </w:tcPr>
          <w:p w:rsidR="00BC2897" w:rsidRPr="00FB4102" w:rsidRDefault="00BC2897" w:rsidP="00BC2897">
            <w:pPr>
              <w:pStyle w:val="Heading1"/>
              <w:spacing w:after="0"/>
              <w:jc w:val="right"/>
              <w:outlineLvl w:val="0"/>
              <w:rPr>
                <w:bCs/>
                <w:sz w:val="20"/>
                <w:szCs w:val="20"/>
              </w:rPr>
            </w:pPr>
            <w:r w:rsidRPr="00FB4102">
              <w:rPr>
                <w:bCs/>
                <w:sz w:val="20"/>
                <w:szCs w:val="20"/>
              </w:rPr>
              <w:t>89,500</w:t>
            </w:r>
          </w:p>
        </w:tc>
      </w:tr>
      <w:tr w:rsidR="00BC2897" w:rsidRPr="00AB3F24" w:rsidTr="004702C4">
        <w:tc>
          <w:tcPr>
            <w:tcW w:w="0" w:type="auto"/>
          </w:tcPr>
          <w:p w:rsidR="00BC2897" w:rsidRPr="00FB4102" w:rsidRDefault="00BC2897" w:rsidP="00BC2897">
            <w:pPr>
              <w:pStyle w:val="Heading1"/>
              <w:spacing w:after="0"/>
              <w:jc w:val="left"/>
              <w:outlineLvl w:val="0"/>
              <w:rPr>
                <w:b/>
                <w:bCs/>
                <w:sz w:val="20"/>
                <w:szCs w:val="20"/>
              </w:rPr>
            </w:pPr>
            <w:r w:rsidRPr="00FB4102">
              <w:rPr>
                <w:b/>
                <w:bCs/>
                <w:sz w:val="20"/>
                <w:szCs w:val="20"/>
              </w:rPr>
              <w:t xml:space="preserve">Total Activity 2 - All stages </w:t>
            </w:r>
          </w:p>
        </w:tc>
        <w:tc>
          <w:tcPr>
            <w:tcW w:w="0" w:type="auto"/>
            <w:vAlign w:val="center"/>
          </w:tcPr>
          <w:p w:rsidR="00BC2897" w:rsidRPr="00FB4102" w:rsidRDefault="00BC2897" w:rsidP="00BC2897">
            <w:pPr>
              <w:pStyle w:val="Heading1"/>
              <w:spacing w:after="0"/>
              <w:jc w:val="right"/>
              <w:outlineLvl w:val="0"/>
              <w:rPr>
                <w:b/>
                <w:bCs/>
                <w:sz w:val="20"/>
                <w:szCs w:val="20"/>
              </w:rPr>
            </w:pPr>
            <w:r w:rsidRPr="00FB4102">
              <w:rPr>
                <w:b/>
                <w:bCs/>
                <w:sz w:val="20"/>
                <w:szCs w:val="20"/>
              </w:rPr>
              <w:t>117,500</w:t>
            </w:r>
          </w:p>
        </w:tc>
      </w:tr>
      <w:tr w:rsidR="00094508" w:rsidRPr="00FB4102" w:rsidTr="0085370A">
        <w:tc>
          <w:tcPr>
            <w:tcW w:w="0" w:type="auto"/>
            <w:gridSpan w:val="2"/>
            <w:shd w:val="clear" w:color="auto" w:fill="auto"/>
          </w:tcPr>
          <w:p w:rsidR="00094508" w:rsidRPr="00FB4102" w:rsidRDefault="00094508" w:rsidP="0085370A">
            <w:pPr>
              <w:pStyle w:val="Heading1"/>
              <w:spacing w:after="0"/>
              <w:ind w:right="-110"/>
              <w:jc w:val="left"/>
              <w:outlineLvl w:val="0"/>
              <w:rPr>
                <w:b/>
                <w:sz w:val="20"/>
                <w:szCs w:val="20"/>
                <w:lang w:val="en-US"/>
              </w:rPr>
            </w:pPr>
            <w:r w:rsidRPr="00FB4102">
              <w:rPr>
                <w:b/>
                <w:sz w:val="20"/>
                <w:szCs w:val="20"/>
                <w:lang w:val="en-US"/>
              </w:rPr>
              <w:t>Activity 3: Desk study for the evaluation of the enabling activities for HFC phase-down</w:t>
            </w:r>
          </w:p>
        </w:tc>
      </w:tr>
      <w:tr w:rsidR="00094508" w:rsidRPr="00FB4102" w:rsidTr="0085370A">
        <w:tc>
          <w:tcPr>
            <w:tcW w:w="0" w:type="auto"/>
            <w:shd w:val="clear" w:color="auto" w:fill="auto"/>
          </w:tcPr>
          <w:p w:rsidR="00094508" w:rsidRPr="00D906AD" w:rsidRDefault="00094508" w:rsidP="0085370A">
            <w:pPr>
              <w:pStyle w:val="Heading1"/>
              <w:spacing w:after="0"/>
              <w:jc w:val="left"/>
              <w:outlineLvl w:val="0"/>
              <w:rPr>
                <w:sz w:val="20"/>
                <w:szCs w:val="20"/>
              </w:rPr>
            </w:pPr>
            <w:r w:rsidRPr="00D906AD">
              <w:rPr>
                <w:sz w:val="20"/>
                <w:szCs w:val="20"/>
              </w:rPr>
              <w:t>Report writing (30 days - US $500/day)</w:t>
            </w:r>
          </w:p>
        </w:tc>
        <w:tc>
          <w:tcPr>
            <w:tcW w:w="0" w:type="auto"/>
            <w:vAlign w:val="center"/>
          </w:tcPr>
          <w:p w:rsidR="00094508" w:rsidRPr="00FB4102" w:rsidRDefault="00094508" w:rsidP="0085370A">
            <w:pPr>
              <w:pStyle w:val="Heading1"/>
              <w:spacing w:after="0"/>
              <w:jc w:val="right"/>
              <w:outlineLvl w:val="0"/>
              <w:rPr>
                <w:b/>
                <w:sz w:val="20"/>
                <w:szCs w:val="20"/>
              </w:rPr>
            </w:pPr>
            <w:r w:rsidRPr="00FB4102">
              <w:rPr>
                <w:b/>
                <w:sz w:val="20"/>
                <w:szCs w:val="20"/>
              </w:rPr>
              <w:t>15,000</w:t>
            </w:r>
          </w:p>
        </w:tc>
      </w:tr>
      <w:tr w:rsidR="00BC2897" w:rsidRPr="00AB3F24" w:rsidTr="00172E51">
        <w:tc>
          <w:tcPr>
            <w:tcW w:w="0" w:type="auto"/>
            <w:gridSpan w:val="2"/>
            <w:shd w:val="clear" w:color="auto" w:fill="auto"/>
          </w:tcPr>
          <w:p w:rsidR="00BC2897" w:rsidRPr="00D906AD" w:rsidRDefault="00172E51" w:rsidP="00BC2897">
            <w:pPr>
              <w:pStyle w:val="Heading1"/>
              <w:spacing w:after="0"/>
              <w:ind w:right="1590"/>
              <w:jc w:val="left"/>
              <w:outlineLvl w:val="0"/>
              <w:rPr>
                <w:sz w:val="20"/>
                <w:szCs w:val="20"/>
              </w:rPr>
            </w:pPr>
            <w:r w:rsidRPr="00D906AD">
              <w:rPr>
                <w:b/>
                <w:sz w:val="20"/>
                <w:szCs w:val="20"/>
              </w:rPr>
              <w:lastRenderedPageBreak/>
              <w:t>Other</w:t>
            </w:r>
          </w:p>
        </w:tc>
      </w:tr>
      <w:tr w:rsidR="00BC2897" w:rsidRPr="00AB3F24" w:rsidTr="00172E51">
        <w:tc>
          <w:tcPr>
            <w:tcW w:w="0" w:type="auto"/>
            <w:shd w:val="clear" w:color="auto" w:fill="auto"/>
          </w:tcPr>
          <w:p w:rsidR="00BC2897" w:rsidRPr="00D906AD" w:rsidRDefault="00172E51" w:rsidP="00BC2897">
            <w:pPr>
              <w:pStyle w:val="Heading1"/>
              <w:spacing w:after="0"/>
              <w:jc w:val="left"/>
              <w:outlineLvl w:val="0"/>
              <w:rPr>
                <w:b/>
                <w:sz w:val="20"/>
                <w:szCs w:val="20"/>
              </w:rPr>
            </w:pPr>
            <w:r w:rsidRPr="00D906AD">
              <w:rPr>
                <w:sz w:val="20"/>
                <w:szCs w:val="20"/>
              </w:rPr>
              <w:t>Support to evaluation function – remote tools for surveys and data analysis</w:t>
            </w:r>
            <w:r w:rsidRPr="00D906AD">
              <w:rPr>
                <w:sz w:val="20"/>
                <w:szCs w:val="20"/>
                <w:vertAlign w:val="superscript"/>
              </w:rPr>
              <w:t>***</w:t>
            </w:r>
          </w:p>
        </w:tc>
        <w:tc>
          <w:tcPr>
            <w:tcW w:w="0" w:type="auto"/>
            <w:shd w:val="clear" w:color="auto" w:fill="auto"/>
            <w:vAlign w:val="center"/>
          </w:tcPr>
          <w:p w:rsidR="00BC2897" w:rsidRPr="00D906AD" w:rsidRDefault="00BC2897" w:rsidP="00BC2897">
            <w:pPr>
              <w:pStyle w:val="Heading1"/>
              <w:spacing w:after="0"/>
              <w:jc w:val="right"/>
              <w:outlineLvl w:val="0"/>
              <w:rPr>
                <w:sz w:val="20"/>
                <w:szCs w:val="20"/>
              </w:rPr>
            </w:pPr>
            <w:r w:rsidRPr="00D906AD">
              <w:rPr>
                <w:sz w:val="20"/>
                <w:szCs w:val="20"/>
              </w:rPr>
              <w:t>8,000</w:t>
            </w:r>
          </w:p>
        </w:tc>
      </w:tr>
      <w:tr w:rsidR="00BC2897" w:rsidRPr="00AB3F24" w:rsidTr="00D906AD">
        <w:tc>
          <w:tcPr>
            <w:tcW w:w="0" w:type="auto"/>
            <w:shd w:val="clear" w:color="auto" w:fill="auto"/>
          </w:tcPr>
          <w:p w:rsidR="00BC2897" w:rsidRPr="00D906AD" w:rsidRDefault="00BC2897" w:rsidP="00BC2897">
            <w:pPr>
              <w:pStyle w:val="Heading1"/>
              <w:spacing w:after="0"/>
              <w:jc w:val="left"/>
              <w:outlineLvl w:val="0"/>
              <w:rPr>
                <w:sz w:val="20"/>
                <w:szCs w:val="20"/>
              </w:rPr>
            </w:pPr>
            <w:r w:rsidRPr="00D906AD">
              <w:rPr>
                <w:sz w:val="20"/>
                <w:szCs w:val="20"/>
              </w:rPr>
              <w:t>Miscellaneous</w:t>
            </w:r>
            <w:r w:rsidRPr="00D906AD">
              <w:rPr>
                <w:sz w:val="20"/>
                <w:szCs w:val="20"/>
                <w:vertAlign w:val="superscript"/>
              </w:rPr>
              <w:t>***</w:t>
            </w:r>
            <w:r w:rsidR="00172E51" w:rsidRPr="00D906AD">
              <w:rPr>
                <w:sz w:val="20"/>
                <w:szCs w:val="20"/>
                <w:vertAlign w:val="superscript"/>
              </w:rPr>
              <w:t>*</w:t>
            </w:r>
          </w:p>
        </w:tc>
        <w:tc>
          <w:tcPr>
            <w:tcW w:w="0" w:type="auto"/>
            <w:vAlign w:val="center"/>
          </w:tcPr>
          <w:p w:rsidR="00BC2897" w:rsidRPr="00D906AD" w:rsidRDefault="00BC2897" w:rsidP="00BC2897">
            <w:pPr>
              <w:pStyle w:val="Heading1"/>
              <w:spacing w:after="0"/>
              <w:jc w:val="right"/>
              <w:outlineLvl w:val="0"/>
              <w:rPr>
                <w:sz w:val="20"/>
                <w:szCs w:val="20"/>
              </w:rPr>
            </w:pPr>
            <w:r w:rsidRPr="00D906AD">
              <w:rPr>
                <w:sz w:val="20"/>
                <w:szCs w:val="20"/>
              </w:rPr>
              <w:t>4,000</w:t>
            </w:r>
          </w:p>
        </w:tc>
      </w:tr>
      <w:tr w:rsidR="00BC2897" w:rsidRPr="00AB3F24" w:rsidTr="00D906AD">
        <w:tc>
          <w:tcPr>
            <w:tcW w:w="0" w:type="auto"/>
            <w:shd w:val="clear" w:color="auto" w:fill="auto"/>
          </w:tcPr>
          <w:p w:rsidR="00BC2897" w:rsidRPr="00D906AD" w:rsidRDefault="00BC2897" w:rsidP="00BC2897">
            <w:pPr>
              <w:pStyle w:val="Heading1"/>
              <w:spacing w:after="0"/>
              <w:jc w:val="left"/>
              <w:outlineLvl w:val="0"/>
              <w:rPr>
                <w:sz w:val="20"/>
                <w:szCs w:val="20"/>
              </w:rPr>
            </w:pPr>
            <w:r w:rsidRPr="00D906AD">
              <w:rPr>
                <w:b/>
                <w:sz w:val="20"/>
                <w:szCs w:val="20"/>
              </w:rPr>
              <w:t>Total</w:t>
            </w:r>
          </w:p>
        </w:tc>
        <w:tc>
          <w:tcPr>
            <w:tcW w:w="0" w:type="auto"/>
            <w:vAlign w:val="center"/>
          </w:tcPr>
          <w:p w:rsidR="00BC2897" w:rsidRPr="00D906AD" w:rsidRDefault="00855B5A" w:rsidP="00855B5A">
            <w:pPr>
              <w:pStyle w:val="Heading1"/>
              <w:spacing w:after="0"/>
              <w:jc w:val="right"/>
              <w:outlineLvl w:val="0"/>
              <w:rPr>
                <w:b/>
                <w:sz w:val="20"/>
                <w:szCs w:val="20"/>
              </w:rPr>
            </w:pPr>
            <w:r w:rsidRPr="00D906AD">
              <w:rPr>
                <w:b/>
                <w:sz w:val="20"/>
                <w:szCs w:val="20"/>
              </w:rPr>
              <w:t>1</w:t>
            </w:r>
            <w:r w:rsidR="00094508">
              <w:rPr>
                <w:b/>
                <w:sz w:val="20"/>
                <w:szCs w:val="20"/>
              </w:rPr>
              <w:t>44</w:t>
            </w:r>
            <w:r w:rsidR="00172E51" w:rsidRPr="00D906AD">
              <w:rPr>
                <w:b/>
                <w:sz w:val="20"/>
                <w:szCs w:val="20"/>
              </w:rPr>
              <w:t>,5</w:t>
            </w:r>
            <w:r w:rsidR="00BC2897" w:rsidRPr="00D906AD">
              <w:rPr>
                <w:b/>
                <w:sz w:val="20"/>
                <w:szCs w:val="20"/>
              </w:rPr>
              <w:t>00</w:t>
            </w:r>
          </w:p>
        </w:tc>
      </w:tr>
    </w:tbl>
    <w:p w:rsidR="002A2C4E" w:rsidRPr="00FB4102" w:rsidRDefault="001F3F4F" w:rsidP="007644D2">
      <w:pPr>
        <w:rPr>
          <w:sz w:val="19"/>
          <w:szCs w:val="19"/>
          <w:lang w:eastAsia="ja-JP"/>
        </w:rPr>
      </w:pPr>
      <w:r w:rsidRPr="00FB4102">
        <w:rPr>
          <w:sz w:val="19"/>
          <w:szCs w:val="19"/>
          <w:lang w:eastAsia="ja-JP"/>
        </w:rPr>
        <w:t xml:space="preserve">* The </w:t>
      </w:r>
      <w:r w:rsidR="00FC64B4" w:rsidRPr="00FB4102">
        <w:rPr>
          <w:sz w:val="19"/>
          <w:szCs w:val="19"/>
          <w:lang w:eastAsia="ja-JP"/>
        </w:rPr>
        <w:t>US $</w:t>
      </w:r>
      <w:r w:rsidRPr="00FB4102">
        <w:rPr>
          <w:sz w:val="19"/>
          <w:szCs w:val="19"/>
          <w:lang w:eastAsia="ja-JP"/>
        </w:rPr>
        <w:t>15,000</w:t>
      </w:r>
      <w:r w:rsidR="002A2C4E" w:rsidRPr="00FB4102">
        <w:rPr>
          <w:sz w:val="19"/>
          <w:szCs w:val="19"/>
          <w:lang w:eastAsia="ja-JP"/>
        </w:rPr>
        <w:t xml:space="preserve"> </w:t>
      </w:r>
      <w:r w:rsidR="00665707" w:rsidRPr="00FB4102">
        <w:rPr>
          <w:sz w:val="19"/>
          <w:szCs w:val="19"/>
          <w:lang w:eastAsia="ja-JP"/>
        </w:rPr>
        <w:t xml:space="preserve">previously </w:t>
      </w:r>
      <w:r w:rsidR="002A2C4E" w:rsidRPr="00FB4102">
        <w:rPr>
          <w:sz w:val="19"/>
          <w:szCs w:val="19"/>
          <w:lang w:eastAsia="ja-JP"/>
        </w:rPr>
        <w:t>allocated for the desk study for the evaluation of the demonstration projects for low</w:t>
      </w:r>
      <w:r w:rsidR="00C2186E" w:rsidRPr="00FB4102">
        <w:rPr>
          <w:sz w:val="19"/>
          <w:szCs w:val="19"/>
          <w:lang w:eastAsia="ja-JP"/>
        </w:rPr>
        <w:noBreakHyphen/>
      </w:r>
      <w:r w:rsidR="00814A58" w:rsidRPr="00FB4102">
        <w:rPr>
          <w:sz w:val="19"/>
          <w:szCs w:val="19"/>
          <w:lang w:eastAsia="ja-JP"/>
        </w:rPr>
        <w:t>GWP alternatives to HCFCs</w:t>
      </w:r>
      <w:r w:rsidR="002A2C4E" w:rsidRPr="00FB4102">
        <w:rPr>
          <w:sz w:val="19"/>
          <w:szCs w:val="19"/>
          <w:lang w:eastAsia="ja-JP"/>
        </w:rPr>
        <w:t xml:space="preserve"> in the 2020 work programme will be reallocated to the 2022 work programme.</w:t>
      </w:r>
      <w:r w:rsidR="000466C4" w:rsidRPr="00FB4102">
        <w:rPr>
          <w:sz w:val="19"/>
          <w:szCs w:val="19"/>
          <w:lang w:eastAsia="ja-JP"/>
        </w:rPr>
        <w:t xml:space="preserve"> </w:t>
      </w:r>
    </w:p>
    <w:p w:rsidR="003A2E32" w:rsidRPr="00FB4102" w:rsidRDefault="003A2E32" w:rsidP="007644D2">
      <w:pPr>
        <w:rPr>
          <w:sz w:val="19"/>
          <w:szCs w:val="19"/>
          <w:lang w:eastAsia="ja-JP"/>
        </w:rPr>
      </w:pPr>
      <w:r w:rsidRPr="00FB4102">
        <w:rPr>
          <w:sz w:val="19"/>
          <w:szCs w:val="19"/>
          <w:lang w:eastAsia="ja-JP"/>
        </w:rPr>
        <w:t>*</w:t>
      </w:r>
      <w:r w:rsidR="002A2C4E" w:rsidRPr="00FB4102">
        <w:rPr>
          <w:sz w:val="19"/>
          <w:szCs w:val="19"/>
          <w:lang w:eastAsia="ja-JP"/>
        </w:rPr>
        <w:t>*</w:t>
      </w:r>
      <w:r w:rsidRPr="00FB4102">
        <w:rPr>
          <w:sz w:val="19"/>
          <w:szCs w:val="19"/>
          <w:lang w:eastAsia="ja-JP"/>
        </w:rPr>
        <w:t xml:space="preserve"> Funds allocated for stage </w:t>
      </w:r>
      <w:r w:rsidR="00871A8E" w:rsidRPr="00FB4102">
        <w:rPr>
          <w:sz w:val="19"/>
          <w:szCs w:val="19"/>
          <w:lang w:eastAsia="ja-JP"/>
        </w:rPr>
        <w:t>3</w:t>
      </w:r>
      <w:r w:rsidRPr="00FB4102">
        <w:rPr>
          <w:sz w:val="19"/>
          <w:szCs w:val="19"/>
          <w:lang w:eastAsia="ja-JP"/>
        </w:rPr>
        <w:t xml:space="preserve"> may vary in relation to the evolution of the COVID-19</w:t>
      </w:r>
      <w:r w:rsidR="00BF4E3B" w:rsidRPr="00FB4102">
        <w:rPr>
          <w:sz w:val="19"/>
          <w:szCs w:val="19"/>
          <w:lang w:eastAsia="ja-JP"/>
        </w:rPr>
        <w:t xml:space="preserve"> situation</w:t>
      </w:r>
      <w:r w:rsidR="000466C4" w:rsidRPr="00FB4102">
        <w:rPr>
          <w:sz w:val="19"/>
          <w:szCs w:val="19"/>
          <w:lang w:eastAsia="ja-JP"/>
        </w:rPr>
        <w:t xml:space="preserve"> and its impact on travel</w:t>
      </w:r>
      <w:r w:rsidR="00BF4E3B" w:rsidRPr="00FB4102">
        <w:rPr>
          <w:sz w:val="19"/>
          <w:szCs w:val="19"/>
          <w:lang w:eastAsia="ja-JP"/>
        </w:rPr>
        <w:t xml:space="preserve">, which will determine </w:t>
      </w:r>
      <w:r w:rsidR="0042017F" w:rsidRPr="00FB4102">
        <w:rPr>
          <w:sz w:val="19"/>
          <w:szCs w:val="19"/>
          <w:lang w:eastAsia="ja-JP"/>
        </w:rPr>
        <w:t>the feasibility and</w:t>
      </w:r>
      <w:r w:rsidRPr="00FB4102">
        <w:rPr>
          <w:sz w:val="19"/>
          <w:szCs w:val="19"/>
          <w:lang w:eastAsia="ja-JP"/>
        </w:rPr>
        <w:t xml:space="preserve"> the</w:t>
      </w:r>
      <w:r w:rsidR="000466C4" w:rsidRPr="00FB4102">
        <w:rPr>
          <w:sz w:val="19"/>
          <w:szCs w:val="19"/>
          <w:lang w:eastAsia="ja-JP"/>
        </w:rPr>
        <w:t xml:space="preserve"> final number of</w:t>
      </w:r>
      <w:r w:rsidRPr="00FB4102">
        <w:rPr>
          <w:sz w:val="19"/>
          <w:szCs w:val="19"/>
          <w:lang w:eastAsia="ja-JP"/>
        </w:rPr>
        <w:t xml:space="preserve"> field missions.</w:t>
      </w:r>
      <w:r w:rsidR="0009397B" w:rsidRPr="00FB4102">
        <w:rPr>
          <w:sz w:val="19"/>
          <w:szCs w:val="19"/>
          <w:lang w:eastAsia="ja-JP"/>
        </w:rPr>
        <w:t xml:space="preserve"> Estimated travel costs could be reduced by undertaking round-trip missions. </w:t>
      </w:r>
      <w:r w:rsidR="00585E8C" w:rsidRPr="00FB4102">
        <w:rPr>
          <w:sz w:val="19"/>
          <w:szCs w:val="19"/>
          <w:lang w:eastAsia="ja-JP"/>
        </w:rPr>
        <w:t xml:space="preserve">The distribution of missions between SMEO and consultant may also vary depending on the calendar of regional network’ meetings in the regions. </w:t>
      </w:r>
    </w:p>
    <w:p w:rsidR="00BC2897" w:rsidRPr="00FB4102" w:rsidRDefault="00BC2897" w:rsidP="007644D2">
      <w:pPr>
        <w:rPr>
          <w:sz w:val="19"/>
          <w:szCs w:val="19"/>
          <w:lang w:eastAsia="ja-JP"/>
        </w:rPr>
      </w:pPr>
      <w:r w:rsidRPr="00FB4102">
        <w:rPr>
          <w:sz w:val="19"/>
          <w:szCs w:val="19"/>
          <w:lang w:eastAsia="ja-JP"/>
        </w:rPr>
        <w:t>***</w:t>
      </w:r>
      <w:r w:rsidRPr="00FB4102">
        <w:rPr>
          <w:sz w:val="19"/>
          <w:szCs w:val="19"/>
          <w:vertAlign w:val="superscript"/>
        </w:rPr>
        <w:t xml:space="preserve"> </w:t>
      </w:r>
      <w:r w:rsidRPr="00FB4102">
        <w:rPr>
          <w:sz w:val="19"/>
          <w:szCs w:val="19"/>
          <w:lang w:eastAsia="ja-JP"/>
        </w:rPr>
        <w:t xml:space="preserve">This budget line intends to provide for the acquisition of survey tools to support evaluation work to continue on remote basis. Tools will be identified by the Evaluation Office on the basis of the requirements for the evaluations planned for 2022. </w:t>
      </w:r>
    </w:p>
    <w:p w:rsidR="00A17FF7" w:rsidRPr="00FB4102" w:rsidRDefault="003A2E32" w:rsidP="007644D2">
      <w:pPr>
        <w:spacing w:after="240"/>
        <w:rPr>
          <w:sz w:val="19"/>
          <w:szCs w:val="19"/>
          <w:lang w:eastAsia="ja-JP"/>
        </w:rPr>
      </w:pPr>
      <w:r w:rsidRPr="00FB4102">
        <w:rPr>
          <w:sz w:val="19"/>
          <w:szCs w:val="19"/>
          <w:lang w:eastAsia="ja-JP"/>
        </w:rPr>
        <w:t>**</w:t>
      </w:r>
      <w:r w:rsidR="0042017F" w:rsidRPr="00FB4102">
        <w:rPr>
          <w:sz w:val="19"/>
          <w:szCs w:val="19"/>
          <w:lang w:eastAsia="ja-JP"/>
        </w:rPr>
        <w:t>*</w:t>
      </w:r>
      <w:r w:rsidR="00172E51" w:rsidRPr="00FB4102">
        <w:rPr>
          <w:sz w:val="19"/>
          <w:szCs w:val="19"/>
          <w:lang w:eastAsia="ja-JP"/>
        </w:rPr>
        <w:t>*</w:t>
      </w:r>
      <w:r w:rsidRPr="00FB4102">
        <w:rPr>
          <w:sz w:val="19"/>
          <w:szCs w:val="19"/>
          <w:lang w:eastAsia="ja-JP"/>
        </w:rPr>
        <w:t xml:space="preserve"> Miscellaneous</w:t>
      </w:r>
      <w:r w:rsidR="00BF4E3B" w:rsidRPr="00FB4102">
        <w:rPr>
          <w:sz w:val="19"/>
          <w:szCs w:val="19"/>
          <w:lang w:eastAsia="ja-JP"/>
        </w:rPr>
        <w:t xml:space="preserve"> funds </w:t>
      </w:r>
      <w:r w:rsidR="00BD3E0E" w:rsidRPr="00FB4102">
        <w:rPr>
          <w:sz w:val="19"/>
          <w:szCs w:val="19"/>
          <w:lang w:eastAsia="ja-JP"/>
        </w:rPr>
        <w:t>would c</w:t>
      </w:r>
      <w:r w:rsidR="00BF4E3B" w:rsidRPr="00FB4102">
        <w:rPr>
          <w:sz w:val="19"/>
          <w:szCs w:val="19"/>
          <w:lang w:eastAsia="ja-JP"/>
        </w:rPr>
        <w:t>over unforeseen</w:t>
      </w:r>
      <w:r w:rsidRPr="00FB4102">
        <w:rPr>
          <w:sz w:val="19"/>
          <w:szCs w:val="19"/>
          <w:lang w:eastAsia="ja-JP"/>
        </w:rPr>
        <w:t xml:space="preserve"> </w:t>
      </w:r>
      <w:r w:rsidR="00BF4E3B" w:rsidRPr="00FB4102">
        <w:rPr>
          <w:sz w:val="19"/>
          <w:szCs w:val="19"/>
          <w:lang w:eastAsia="ja-JP"/>
        </w:rPr>
        <w:t xml:space="preserve">minor </w:t>
      </w:r>
      <w:r w:rsidRPr="00FB4102">
        <w:rPr>
          <w:sz w:val="19"/>
          <w:szCs w:val="19"/>
          <w:lang w:eastAsia="ja-JP"/>
        </w:rPr>
        <w:t xml:space="preserve">expenses </w:t>
      </w:r>
      <w:r w:rsidR="00BF4E3B" w:rsidRPr="00FB4102">
        <w:rPr>
          <w:sz w:val="19"/>
          <w:szCs w:val="19"/>
          <w:lang w:eastAsia="ja-JP"/>
        </w:rPr>
        <w:t xml:space="preserve">arising during the </w:t>
      </w:r>
      <w:r w:rsidR="00BD3E0E" w:rsidRPr="00FB4102">
        <w:rPr>
          <w:sz w:val="19"/>
          <w:szCs w:val="19"/>
          <w:lang w:eastAsia="ja-JP"/>
        </w:rPr>
        <w:t>year.</w:t>
      </w:r>
    </w:p>
    <w:p w:rsidR="00A37413" w:rsidRPr="0080319D" w:rsidRDefault="00A37413" w:rsidP="007644D2">
      <w:pPr>
        <w:keepNext/>
        <w:keepLines/>
        <w:rPr>
          <w:b/>
        </w:rPr>
      </w:pPr>
      <w:r w:rsidRPr="0080319D">
        <w:rPr>
          <w:b/>
        </w:rPr>
        <w:t>Action expected from the Executive Committee</w:t>
      </w:r>
    </w:p>
    <w:p w:rsidR="000D710D" w:rsidRDefault="00A37413" w:rsidP="00FB4102">
      <w:pPr>
        <w:pStyle w:val="Heading1"/>
        <w:numPr>
          <w:ilvl w:val="0"/>
          <w:numId w:val="43"/>
        </w:numPr>
        <w:spacing w:before="240" w:after="0"/>
        <w:ind w:left="0" w:firstLine="0"/>
      </w:pPr>
      <w:r w:rsidRPr="00DF0289">
        <w:t>The Executive Committee may wish</w:t>
      </w:r>
      <w:r w:rsidR="000D710D">
        <w:t>:</w:t>
      </w:r>
    </w:p>
    <w:p w:rsidR="002F52A1" w:rsidRDefault="00EB5687" w:rsidP="00FB4102">
      <w:pPr>
        <w:pStyle w:val="Heading2"/>
        <w:numPr>
          <w:ilvl w:val="0"/>
          <w:numId w:val="46"/>
        </w:numPr>
        <w:spacing w:before="240" w:after="0"/>
        <w:ind w:left="1440" w:hanging="720"/>
      </w:pPr>
      <w:r>
        <w:t>T</w:t>
      </w:r>
      <w:r w:rsidR="00A37413">
        <w:t>o approve</w:t>
      </w:r>
      <w:r w:rsidR="00A37413" w:rsidRPr="00DF0289">
        <w:t xml:space="preserve"> the proposed monitoring and e</w:t>
      </w:r>
      <w:r w:rsidR="00A37413">
        <w:t>v</w:t>
      </w:r>
      <w:r w:rsidR="00E75497">
        <w:t>aluation work programme for 2022</w:t>
      </w:r>
      <w:r w:rsidR="00A37413">
        <w:t xml:space="preserve"> contained in</w:t>
      </w:r>
      <w:r w:rsidR="00A37413" w:rsidRPr="00DF0289">
        <w:t xml:space="preserve"> </w:t>
      </w:r>
      <w:r w:rsidR="006B3DEE">
        <w:t>document UNEP/OzL.Pro</w:t>
      </w:r>
      <w:r w:rsidR="006B3DEE" w:rsidRPr="003C6108">
        <w:t>/ExCom/88</w:t>
      </w:r>
      <w:r w:rsidR="00A37413" w:rsidRPr="003C6108">
        <w:t>/</w:t>
      </w:r>
      <w:r w:rsidR="00AB3F24">
        <w:t>11</w:t>
      </w:r>
      <w:r w:rsidR="009403BD">
        <w:t>/Rev.1</w:t>
      </w:r>
      <w:r w:rsidR="00AB3F24">
        <w:t xml:space="preserve"> </w:t>
      </w:r>
      <w:r w:rsidR="00A37413">
        <w:t xml:space="preserve">and the related </w:t>
      </w:r>
      <w:r w:rsidR="00A37413" w:rsidRPr="00DF0289">
        <w:t xml:space="preserve">budget </w:t>
      </w:r>
      <w:r w:rsidR="00A37413" w:rsidRPr="00783585">
        <w:t xml:space="preserve">of </w:t>
      </w:r>
      <w:r w:rsidR="00303905" w:rsidRPr="00783585">
        <w:t>US</w:t>
      </w:r>
      <w:r w:rsidR="00A37413" w:rsidRPr="00783585">
        <w:t>$</w:t>
      </w:r>
      <w:r w:rsidR="009462C5" w:rsidRPr="00783585">
        <w:t> </w:t>
      </w:r>
      <w:r w:rsidR="00094508">
        <w:t>144</w:t>
      </w:r>
      <w:r w:rsidR="00D635B2" w:rsidRPr="00783585">
        <w:t>,</w:t>
      </w:r>
      <w:r w:rsidR="00172E51" w:rsidRPr="00783585">
        <w:t>5</w:t>
      </w:r>
      <w:r w:rsidR="00D635B2" w:rsidRPr="00783585">
        <w:t>00</w:t>
      </w:r>
      <w:r w:rsidR="00303905" w:rsidRPr="00783585">
        <w:t xml:space="preserve"> </w:t>
      </w:r>
      <w:r w:rsidR="00A37413" w:rsidRPr="00783585">
        <w:t>as</w:t>
      </w:r>
      <w:r w:rsidR="00A37413" w:rsidRPr="00DF0289">
        <w:t xml:space="preserve"> </w:t>
      </w:r>
      <w:r w:rsidR="00AB3F24">
        <w:t>reflected</w:t>
      </w:r>
      <w:r w:rsidR="00AB3F24" w:rsidRPr="00DF0289">
        <w:t xml:space="preserve"> </w:t>
      </w:r>
      <w:r w:rsidR="00A37413" w:rsidRPr="00DF0289">
        <w:t>in Table 2 o</w:t>
      </w:r>
      <w:r w:rsidR="00A37413">
        <w:t>f that document</w:t>
      </w:r>
      <w:r>
        <w:t xml:space="preserve">; </w:t>
      </w:r>
      <w:r w:rsidR="002F52A1">
        <w:t xml:space="preserve">and </w:t>
      </w:r>
    </w:p>
    <w:p w:rsidR="00A37413" w:rsidRDefault="002F52A1" w:rsidP="00FB4102">
      <w:pPr>
        <w:pStyle w:val="Heading2"/>
        <w:numPr>
          <w:ilvl w:val="0"/>
          <w:numId w:val="46"/>
        </w:numPr>
        <w:spacing w:before="240" w:after="0"/>
        <w:ind w:left="1440" w:hanging="720"/>
        <w:rPr>
          <w:lang w:eastAsia="ja-JP"/>
        </w:rPr>
      </w:pPr>
      <w:r>
        <w:t>To reallocate t</w:t>
      </w:r>
      <w:r w:rsidRPr="00814A58">
        <w:rPr>
          <w:lang w:eastAsia="ja-JP"/>
        </w:rPr>
        <w:t xml:space="preserve">he </w:t>
      </w:r>
      <w:r>
        <w:rPr>
          <w:lang w:eastAsia="ja-JP"/>
        </w:rPr>
        <w:t xml:space="preserve">amount of </w:t>
      </w:r>
      <w:r w:rsidR="00FC64B4">
        <w:rPr>
          <w:lang w:eastAsia="ja-JP"/>
        </w:rPr>
        <w:t>US $</w:t>
      </w:r>
      <w:r w:rsidRPr="00814A58">
        <w:rPr>
          <w:lang w:eastAsia="ja-JP"/>
        </w:rPr>
        <w:t>15,000 for the desk study for the evaluation of the demonstration projects for low</w:t>
      </w:r>
      <w:r>
        <w:rPr>
          <w:lang w:eastAsia="ja-JP"/>
        </w:rPr>
        <w:t xml:space="preserve">-global-warming potential alternatives to HCFCs from the monitoring and evaluation work programme for </w:t>
      </w:r>
      <w:r w:rsidRPr="00814A58">
        <w:rPr>
          <w:lang w:eastAsia="ja-JP"/>
        </w:rPr>
        <w:t xml:space="preserve">2020 </w:t>
      </w:r>
      <w:r>
        <w:rPr>
          <w:lang w:eastAsia="ja-JP"/>
        </w:rPr>
        <w:t>to the budget for 2</w:t>
      </w:r>
      <w:r w:rsidRPr="00814A58">
        <w:rPr>
          <w:lang w:eastAsia="ja-JP"/>
        </w:rPr>
        <w:t>022</w:t>
      </w:r>
      <w:r>
        <w:rPr>
          <w:lang w:eastAsia="ja-JP"/>
        </w:rPr>
        <w:t>.</w:t>
      </w:r>
    </w:p>
    <w:p w:rsidR="00FB39B8" w:rsidRDefault="00FB39B8" w:rsidP="00FB39B8">
      <w:pPr>
        <w:rPr>
          <w:lang w:eastAsia="ja-JP"/>
        </w:rPr>
      </w:pPr>
    </w:p>
    <w:p w:rsidR="00FB39B8" w:rsidRPr="00FB39B8" w:rsidRDefault="00FB39B8" w:rsidP="00FB39B8">
      <w:pPr>
        <w:rPr>
          <w:lang w:eastAsia="ja-JP"/>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893"/>
        <w:gridCol w:w="1893"/>
        <w:gridCol w:w="1893"/>
        <w:gridCol w:w="1787"/>
      </w:tblGrid>
      <w:tr w:rsidR="00A37413" w:rsidTr="00736DB1">
        <w:tc>
          <w:tcPr>
            <w:tcW w:w="1807" w:type="dxa"/>
          </w:tcPr>
          <w:p w:rsidR="00A37413" w:rsidRDefault="00A37413" w:rsidP="007644D2"/>
        </w:tc>
        <w:tc>
          <w:tcPr>
            <w:tcW w:w="1915" w:type="dxa"/>
          </w:tcPr>
          <w:p w:rsidR="00A37413" w:rsidRDefault="00A37413" w:rsidP="007644D2"/>
        </w:tc>
        <w:tc>
          <w:tcPr>
            <w:tcW w:w="1915" w:type="dxa"/>
            <w:tcBorders>
              <w:bottom w:val="single" w:sz="4" w:space="0" w:color="auto"/>
            </w:tcBorders>
          </w:tcPr>
          <w:p w:rsidR="00A37413" w:rsidRDefault="00A37413" w:rsidP="007644D2"/>
        </w:tc>
        <w:tc>
          <w:tcPr>
            <w:tcW w:w="1915" w:type="dxa"/>
          </w:tcPr>
          <w:p w:rsidR="00A37413" w:rsidRDefault="00A37413" w:rsidP="007644D2"/>
        </w:tc>
        <w:tc>
          <w:tcPr>
            <w:tcW w:w="1808" w:type="dxa"/>
          </w:tcPr>
          <w:p w:rsidR="00A37413" w:rsidRDefault="00A37413" w:rsidP="007644D2"/>
        </w:tc>
      </w:tr>
    </w:tbl>
    <w:p w:rsidR="00E85409" w:rsidRPr="009B0D30" w:rsidRDefault="00E85409" w:rsidP="007644D2">
      <w:pPr>
        <w:pStyle w:val="Title1"/>
        <w:jc w:val="both"/>
      </w:pPr>
    </w:p>
    <w:sectPr w:rsidR="00E85409" w:rsidRPr="009B0D30" w:rsidSect="00831573">
      <w:headerReference w:type="even" r:id="rId15"/>
      <w:headerReference w:type="default" r:id="rId16"/>
      <w:footerReference w:type="even" r:id="rId17"/>
      <w:footerReference w:type="default" r:id="rId18"/>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6DE" w:rsidRDefault="00A456DE" w:rsidP="004A504B">
      <w:r>
        <w:separator/>
      </w:r>
    </w:p>
  </w:endnote>
  <w:endnote w:type="continuationSeparator" w:id="0">
    <w:p w:rsidR="00A456DE" w:rsidRDefault="00A456D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19" w:rsidRPr="0033525D" w:rsidRDefault="001B1019">
    <w:pPr>
      <w:jc w:val="center"/>
    </w:pPr>
    <w:r>
      <w:fldChar w:fldCharType="begin"/>
    </w:r>
    <w:r>
      <w:instrText xml:space="preserve"> PAGE </w:instrText>
    </w:r>
    <w:r>
      <w:fldChar w:fldCharType="separate"/>
    </w:r>
    <w:r w:rsidR="00EE2080">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19" w:rsidRPr="0033525D" w:rsidRDefault="001B1019">
    <w:pPr>
      <w:jc w:val="center"/>
    </w:pPr>
    <w:r>
      <w:fldChar w:fldCharType="begin"/>
    </w:r>
    <w:r>
      <w:instrText xml:space="preserve"> PAGE </w:instrText>
    </w:r>
    <w:r>
      <w:fldChar w:fldCharType="separate"/>
    </w:r>
    <w:r w:rsidR="00EE208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6DE" w:rsidRDefault="00A456DE" w:rsidP="004A504B">
      <w:r>
        <w:separator/>
      </w:r>
    </w:p>
  </w:footnote>
  <w:footnote w:type="continuationSeparator" w:id="0">
    <w:p w:rsidR="00A456DE" w:rsidRDefault="00A456DE" w:rsidP="004A504B">
      <w:r>
        <w:continuationSeparator/>
      </w:r>
    </w:p>
  </w:footnote>
  <w:footnote w:id="1">
    <w:p w:rsidR="001B1019" w:rsidRPr="007F5447" w:rsidRDefault="001B1019">
      <w:pPr>
        <w:pStyle w:val="FootnoteText"/>
      </w:pPr>
      <w:r>
        <w:rPr>
          <w:rStyle w:val="FootnoteReference"/>
        </w:rPr>
        <w:footnoteRef/>
      </w:r>
      <w:r>
        <w:t xml:space="preserve"> </w:t>
      </w:r>
      <w:r w:rsidRPr="007F7D65">
        <w:t xml:space="preserve">Online meetings and an intersessional approval process will be held in </w:t>
      </w:r>
      <w:r>
        <w:t xml:space="preserve">November </w:t>
      </w:r>
      <w:r w:rsidRPr="007F7D65">
        <w:t xml:space="preserve">and </w:t>
      </w:r>
      <w:r>
        <w:t>December</w:t>
      </w:r>
      <w:r w:rsidRPr="007F7D65">
        <w:t xml:space="preserve"> 2021 due to coronavirus disease (COVID-19)</w:t>
      </w:r>
    </w:p>
  </w:footnote>
  <w:footnote w:id="2">
    <w:p w:rsidR="001B1019" w:rsidRPr="00FC796E" w:rsidRDefault="001B1019" w:rsidP="007F5447">
      <w:pPr>
        <w:pStyle w:val="FootnoteText"/>
      </w:pPr>
      <w:r>
        <w:rPr>
          <w:rStyle w:val="FootnoteReference"/>
        </w:rPr>
        <w:footnoteRef/>
      </w:r>
      <w:r>
        <w:t xml:space="preserve"> UNEP/OzL.Pro/ExCom/82/13/Rev.1 and UNEP/OzL.Pro/ExCom/84/15/Rev.1</w:t>
      </w:r>
    </w:p>
  </w:footnote>
  <w:footnote w:id="3">
    <w:p w:rsidR="001B1019" w:rsidRPr="00FF6152" w:rsidRDefault="001B1019" w:rsidP="00FF6152">
      <w:pPr>
        <w:pStyle w:val="FootnoteText"/>
        <w:rPr>
          <w:lang w:val="en-US"/>
        </w:rPr>
      </w:pPr>
      <w:r>
        <w:rPr>
          <w:rStyle w:val="FootnoteReference"/>
        </w:rPr>
        <w:footnoteRef/>
      </w:r>
      <w:r>
        <w:t xml:space="preserve"> UNEP/OzL.Pro/ExCom/86/12/Rev.1</w:t>
      </w:r>
    </w:p>
  </w:footnote>
  <w:footnote w:id="4">
    <w:p w:rsidR="001B1019" w:rsidRPr="008E2089" w:rsidRDefault="001B1019" w:rsidP="007F5447">
      <w:pPr>
        <w:pStyle w:val="FootnoteText"/>
      </w:pPr>
      <w:r>
        <w:rPr>
          <w:rStyle w:val="FootnoteReference"/>
        </w:rPr>
        <w:footnoteRef/>
      </w:r>
      <w:r>
        <w:t xml:space="preserve"> UNEP/OzL.Pro/ExCom/86/11/ and Corr.1</w:t>
      </w:r>
    </w:p>
  </w:footnote>
  <w:footnote w:id="5">
    <w:p w:rsidR="001B1019" w:rsidRPr="00774F0F" w:rsidRDefault="001B1019" w:rsidP="00661E37">
      <w:pPr>
        <w:pStyle w:val="FootnoteText"/>
      </w:pPr>
      <w:r>
        <w:rPr>
          <w:rStyle w:val="FootnoteReference"/>
        </w:rPr>
        <w:footnoteRef/>
      </w:r>
      <w:r>
        <w:t xml:space="preserve"> </w:t>
      </w:r>
      <w:r w:rsidR="00661E37" w:rsidRPr="00494380">
        <w:rPr>
          <w:lang w:val="en-US"/>
        </w:rPr>
        <w:t>UNEP/OzL.Pro/ExCom/86/11/Corr.1, paragraph 9</w:t>
      </w:r>
      <w:r w:rsidR="00661E37">
        <w:rPr>
          <w:lang w:val="en-US"/>
        </w:rPr>
        <w:t>.</w:t>
      </w:r>
    </w:p>
  </w:footnote>
  <w:footnote w:id="6">
    <w:p w:rsidR="009403BD" w:rsidRPr="009403BD" w:rsidRDefault="009403BD">
      <w:pPr>
        <w:pStyle w:val="FootnoteText"/>
      </w:pPr>
      <w:r>
        <w:rPr>
          <w:rStyle w:val="FootnoteReference"/>
        </w:rPr>
        <w:footnoteRef/>
      </w:r>
      <w:r>
        <w:t xml:space="preserve"> If any of the upcoming regional network meetings do take place in-person, travel costs for participation</w:t>
      </w:r>
      <w:r w:rsidR="00A52069">
        <w:t xml:space="preserve"> by the SMEO and/or consultant</w:t>
      </w:r>
      <w:r>
        <w:t xml:space="preserve"> could be cove</w:t>
      </w:r>
      <w:r w:rsidR="001D7B2E">
        <w:t>red by the proposed budget for s</w:t>
      </w:r>
      <w:r>
        <w:t xml:space="preserve">tage 3. </w:t>
      </w:r>
    </w:p>
  </w:footnote>
  <w:footnote w:id="7">
    <w:p w:rsidR="001B1019" w:rsidRPr="002C6DB4" w:rsidRDefault="001B1019">
      <w:pPr>
        <w:pStyle w:val="FootnoteText"/>
        <w:rPr>
          <w:lang w:val="en-US"/>
        </w:rPr>
      </w:pPr>
      <w:r>
        <w:rPr>
          <w:rStyle w:val="FootnoteReference"/>
        </w:rPr>
        <w:footnoteRef/>
      </w:r>
      <w:r>
        <w:t xml:space="preserve"> </w:t>
      </w:r>
      <w:hyperlink r:id="rId1" w:history="1">
        <w:r w:rsidRPr="00CC3F26">
          <w:rPr>
            <w:rStyle w:val="Hyperlink"/>
            <w:lang w:val="en-US"/>
          </w:rPr>
          <w:t>https://www.unep.org/ozonaction/networks/</w:t>
        </w:r>
      </w:hyperlink>
      <w:r>
        <w:rPr>
          <w:lang w:val="en-US"/>
        </w:rPr>
        <w:t xml:space="preserve"> </w:t>
      </w:r>
    </w:p>
  </w:footnote>
  <w:footnote w:id="8">
    <w:p w:rsidR="001B1019" w:rsidRPr="001B1019" w:rsidRDefault="001B1019" w:rsidP="00A4301F">
      <w:pPr>
        <w:pStyle w:val="FootnoteText"/>
      </w:pPr>
      <w:r w:rsidRPr="007020C4">
        <w:rPr>
          <w:rStyle w:val="FootnoteReference"/>
        </w:rPr>
        <w:footnoteRef/>
      </w:r>
      <w:r w:rsidRPr="007020C4">
        <w:t xml:space="preserve"> </w:t>
      </w:r>
      <w:r w:rsidR="003947AA">
        <w:t xml:space="preserve">Of which </w:t>
      </w:r>
      <w:r w:rsidR="00F224C5" w:rsidRPr="00D906AD">
        <w:t>116</w:t>
      </w:r>
      <w:r w:rsidRPr="007020C4">
        <w:t xml:space="preserve"> Article 5 countries were</w:t>
      </w:r>
      <w:r w:rsidRPr="001B1019">
        <w:t xml:space="preserve"> funded f</w:t>
      </w:r>
      <w:r>
        <w:t xml:space="preserve">rom </w:t>
      </w:r>
      <w:r w:rsidR="003947AA">
        <w:t xml:space="preserve">the </w:t>
      </w:r>
      <w:r>
        <w:t>additional contribution</w:t>
      </w:r>
      <w:r w:rsidR="004625EC">
        <w:t>s provided by a group of non</w:t>
      </w:r>
      <w:r w:rsidR="004625EC">
        <w:noBreakHyphen/>
      </w:r>
      <w:r>
        <w:t>Article</w:t>
      </w:r>
      <w:r w:rsidR="00981572">
        <w:t> </w:t>
      </w:r>
      <w:r>
        <w:t>5 countries</w:t>
      </w:r>
      <w:r w:rsidRPr="001B1019">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19" w:rsidRPr="0033525D" w:rsidRDefault="00D41979">
    <w:fldSimple w:instr=" DOCPROPERTY &quot;Document number&quot;  \* MERGEFORMAT ">
      <w:r w:rsidR="00101E90">
        <w:t>UNEP/OzL.Pro/ExCom/88/11/Rev.1</w:t>
      </w:r>
    </w:fldSimple>
  </w:p>
  <w:p w:rsidR="001B1019" w:rsidRPr="0033525D" w:rsidRDefault="001B1019"/>
  <w:p w:rsidR="001B1019" w:rsidRPr="0033525D" w:rsidRDefault="001B101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19" w:rsidRPr="0033525D" w:rsidRDefault="00D41979">
    <w:pPr>
      <w:jc w:val="right"/>
    </w:pPr>
    <w:fldSimple w:instr=" DOCPROPERTY &quot;Document number&quot;  \* MERGEFORMAT ">
      <w:r w:rsidR="00101E90">
        <w:t>UNEP/OzL.Pro/ExCom/88/11/Rev.1</w:t>
      </w:r>
    </w:fldSimple>
  </w:p>
  <w:p w:rsidR="001B1019" w:rsidRPr="0033525D" w:rsidRDefault="001B1019"/>
  <w:p w:rsidR="001B1019" w:rsidRPr="0033525D" w:rsidRDefault="001B10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3361A5A"/>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1" w15:restartNumberingAfterBreak="0">
    <w:nsid w:val="1BBE6D3F"/>
    <w:multiLevelType w:val="hybridMultilevel"/>
    <w:tmpl w:val="BA2828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5F26339"/>
    <w:multiLevelType w:val="hybridMultilevel"/>
    <w:tmpl w:val="72602E6E"/>
    <w:lvl w:ilvl="0" w:tplc="0409000F">
      <w:start w:val="1"/>
      <w:numFmt w:val="decimal"/>
      <w:lvlText w:val="%1."/>
      <w:lvlJc w:val="left"/>
      <w:pPr>
        <w:ind w:left="36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2C55BC8"/>
    <w:multiLevelType w:val="hybridMultilevel"/>
    <w:tmpl w:val="9C108C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55638"/>
    <w:multiLevelType w:val="hybridMultilevel"/>
    <w:tmpl w:val="BD04FB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172C34"/>
    <w:multiLevelType w:val="hybridMultilevel"/>
    <w:tmpl w:val="179C034E"/>
    <w:lvl w:ilvl="0" w:tplc="86B43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4D04A6"/>
    <w:multiLevelType w:val="hybridMultilevel"/>
    <w:tmpl w:val="179C034E"/>
    <w:lvl w:ilvl="0" w:tplc="86B43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D6E16B6"/>
    <w:multiLevelType w:val="hybridMultilevel"/>
    <w:tmpl w:val="1298A2D6"/>
    <w:lvl w:ilvl="0" w:tplc="7B4229E2">
      <w:start w:val="1"/>
      <w:numFmt w:val="lowerLetter"/>
      <w:lvlText w:val="(%1)"/>
      <w:lvlJc w:val="left"/>
      <w:pPr>
        <w:ind w:left="6390" w:hanging="360"/>
      </w:pPr>
      <w:rPr>
        <w:rFonts w:hint="default"/>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22" w15:restartNumberingAfterBreak="0">
    <w:nsid w:val="611E7804"/>
    <w:multiLevelType w:val="multilevel"/>
    <w:tmpl w:val="00B8C9C0"/>
    <w:lvl w:ilvl="0">
      <w:start w:val="1"/>
      <w:numFmt w:val="lowerLetter"/>
      <w:lvlText w:val="%1)"/>
      <w:lvlJc w:val="left"/>
      <w:pPr>
        <w:tabs>
          <w:tab w:val="num" w:pos="0"/>
        </w:tabs>
        <w:ind w:left="0" w:firstLine="0"/>
      </w:pPr>
      <w:rPr>
        <w:b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3" w15:restartNumberingAfterBreak="0">
    <w:nsid w:val="616A6190"/>
    <w:multiLevelType w:val="hybridMultilevel"/>
    <w:tmpl w:val="024A4708"/>
    <w:lvl w:ilvl="0" w:tplc="10090001">
      <w:start w:val="1"/>
      <w:numFmt w:val="bullet"/>
      <w:lvlText w:val=""/>
      <w:lvlJc w:val="left"/>
      <w:pPr>
        <w:ind w:left="742" w:hanging="360"/>
      </w:pPr>
      <w:rPr>
        <w:rFonts w:ascii="Symbol" w:hAnsi="Symbol"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4" w15:restartNumberingAfterBreak="0">
    <w:nsid w:val="62703405"/>
    <w:multiLevelType w:val="multilevel"/>
    <w:tmpl w:val="AD065E3C"/>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5" w15:restartNumberingAfterBreak="0">
    <w:nsid w:val="656C2208"/>
    <w:multiLevelType w:val="hybridMultilevel"/>
    <w:tmpl w:val="179C034E"/>
    <w:lvl w:ilvl="0" w:tplc="86B43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4E2983"/>
    <w:multiLevelType w:val="hybridMultilevel"/>
    <w:tmpl w:val="8A9AB3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9012E3"/>
    <w:multiLevelType w:val="hybridMultilevel"/>
    <w:tmpl w:val="A320761E"/>
    <w:lvl w:ilvl="0" w:tplc="AC1E84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0"/>
  </w:num>
  <w:num w:numId="19">
    <w:abstractNumId w:val="28"/>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0"/>
  </w:num>
  <w:num w:numId="25">
    <w:abstractNumId w:val="10"/>
  </w:num>
  <w:num w:numId="26">
    <w:abstractNumId w:val="10"/>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24"/>
  </w:num>
  <w:num w:numId="37">
    <w:abstractNumId w:val="22"/>
  </w:num>
  <w:num w:numId="38">
    <w:abstractNumId w:val="15"/>
  </w:num>
  <w:num w:numId="39">
    <w:abstractNumId w:val="16"/>
  </w:num>
  <w:num w:numId="40">
    <w:abstractNumId w:val="26"/>
  </w:num>
  <w:num w:numId="41">
    <w:abstractNumId w:val="10"/>
  </w:num>
  <w:num w:numId="42">
    <w:abstractNumId w:val="17"/>
  </w:num>
  <w:num w:numId="43">
    <w:abstractNumId w:val="12"/>
  </w:num>
  <w:num w:numId="44">
    <w:abstractNumId w:val="25"/>
  </w:num>
  <w:num w:numId="45">
    <w:abstractNumId w:val="18"/>
  </w:num>
  <w:num w:numId="4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A37413"/>
    <w:rsid w:val="00000FED"/>
    <w:rsid w:val="00002380"/>
    <w:rsid w:val="0000434E"/>
    <w:rsid w:val="00007132"/>
    <w:rsid w:val="00007FDE"/>
    <w:rsid w:val="000211A9"/>
    <w:rsid w:val="00025ADA"/>
    <w:rsid w:val="00031260"/>
    <w:rsid w:val="0003681A"/>
    <w:rsid w:val="000372B7"/>
    <w:rsid w:val="00042901"/>
    <w:rsid w:val="000466C4"/>
    <w:rsid w:val="0004780D"/>
    <w:rsid w:val="00050F6E"/>
    <w:rsid w:val="000537EE"/>
    <w:rsid w:val="0006021F"/>
    <w:rsid w:val="00061707"/>
    <w:rsid w:val="00061EC2"/>
    <w:rsid w:val="0006691A"/>
    <w:rsid w:val="00066CE8"/>
    <w:rsid w:val="00066D0A"/>
    <w:rsid w:val="00067EEF"/>
    <w:rsid w:val="00077812"/>
    <w:rsid w:val="00080ED0"/>
    <w:rsid w:val="00081F8A"/>
    <w:rsid w:val="00085B8F"/>
    <w:rsid w:val="00090481"/>
    <w:rsid w:val="0009397B"/>
    <w:rsid w:val="00093B10"/>
    <w:rsid w:val="00094508"/>
    <w:rsid w:val="00095947"/>
    <w:rsid w:val="00096D0F"/>
    <w:rsid w:val="000A12A9"/>
    <w:rsid w:val="000A204F"/>
    <w:rsid w:val="000A3826"/>
    <w:rsid w:val="000A54CF"/>
    <w:rsid w:val="000A6C26"/>
    <w:rsid w:val="000B4F11"/>
    <w:rsid w:val="000C4DAA"/>
    <w:rsid w:val="000C7138"/>
    <w:rsid w:val="000D52A4"/>
    <w:rsid w:val="000D696D"/>
    <w:rsid w:val="000D710D"/>
    <w:rsid w:val="000E07BC"/>
    <w:rsid w:val="000F1CD4"/>
    <w:rsid w:val="000F2510"/>
    <w:rsid w:val="000F2FEB"/>
    <w:rsid w:val="000F3EA1"/>
    <w:rsid w:val="000F4103"/>
    <w:rsid w:val="000F70A7"/>
    <w:rsid w:val="00101E90"/>
    <w:rsid w:val="00110D69"/>
    <w:rsid w:val="00111AE7"/>
    <w:rsid w:val="00113CCA"/>
    <w:rsid w:val="00116D75"/>
    <w:rsid w:val="00122F25"/>
    <w:rsid w:val="00122F7D"/>
    <w:rsid w:val="00135980"/>
    <w:rsid w:val="0014135B"/>
    <w:rsid w:val="0014469D"/>
    <w:rsid w:val="00160B39"/>
    <w:rsid w:val="00164719"/>
    <w:rsid w:val="00165870"/>
    <w:rsid w:val="00166FC4"/>
    <w:rsid w:val="001677AC"/>
    <w:rsid w:val="00172E51"/>
    <w:rsid w:val="00174F28"/>
    <w:rsid w:val="001804EA"/>
    <w:rsid w:val="00181336"/>
    <w:rsid w:val="00182D0F"/>
    <w:rsid w:val="00185FE1"/>
    <w:rsid w:val="00190A61"/>
    <w:rsid w:val="001A00E0"/>
    <w:rsid w:val="001A2215"/>
    <w:rsid w:val="001A3342"/>
    <w:rsid w:val="001A3E3D"/>
    <w:rsid w:val="001A7049"/>
    <w:rsid w:val="001B1019"/>
    <w:rsid w:val="001B1E40"/>
    <w:rsid w:val="001B2A4F"/>
    <w:rsid w:val="001B6DE1"/>
    <w:rsid w:val="001C1DF7"/>
    <w:rsid w:val="001C764E"/>
    <w:rsid w:val="001D03E9"/>
    <w:rsid w:val="001D4A7C"/>
    <w:rsid w:val="001D5EC8"/>
    <w:rsid w:val="001D615B"/>
    <w:rsid w:val="001D6FF2"/>
    <w:rsid w:val="001D7B2E"/>
    <w:rsid w:val="001E1052"/>
    <w:rsid w:val="001E1D57"/>
    <w:rsid w:val="001E21B1"/>
    <w:rsid w:val="001E2F93"/>
    <w:rsid w:val="001E4554"/>
    <w:rsid w:val="001E61E5"/>
    <w:rsid w:val="001F141E"/>
    <w:rsid w:val="001F2159"/>
    <w:rsid w:val="001F3F4F"/>
    <w:rsid w:val="001F7E94"/>
    <w:rsid w:val="002042FB"/>
    <w:rsid w:val="00206D03"/>
    <w:rsid w:val="00210B8B"/>
    <w:rsid w:val="00214250"/>
    <w:rsid w:val="00214863"/>
    <w:rsid w:val="002156B4"/>
    <w:rsid w:val="00222254"/>
    <w:rsid w:val="00224FCD"/>
    <w:rsid w:val="00234EFC"/>
    <w:rsid w:val="00253222"/>
    <w:rsid w:val="00262847"/>
    <w:rsid w:val="00267344"/>
    <w:rsid w:val="0026782D"/>
    <w:rsid w:val="00281BB2"/>
    <w:rsid w:val="00281FEA"/>
    <w:rsid w:val="002955A1"/>
    <w:rsid w:val="002A2C4E"/>
    <w:rsid w:val="002A4EBF"/>
    <w:rsid w:val="002B22E5"/>
    <w:rsid w:val="002B254E"/>
    <w:rsid w:val="002B72E9"/>
    <w:rsid w:val="002C0EBF"/>
    <w:rsid w:val="002C6DB4"/>
    <w:rsid w:val="002C7998"/>
    <w:rsid w:val="002D126A"/>
    <w:rsid w:val="002E284E"/>
    <w:rsid w:val="002E7961"/>
    <w:rsid w:val="002F1E53"/>
    <w:rsid w:val="002F239E"/>
    <w:rsid w:val="002F2CAA"/>
    <w:rsid w:val="002F4696"/>
    <w:rsid w:val="002F52A1"/>
    <w:rsid w:val="0030052C"/>
    <w:rsid w:val="00302D5D"/>
    <w:rsid w:val="00303905"/>
    <w:rsid w:val="00313C09"/>
    <w:rsid w:val="0031709D"/>
    <w:rsid w:val="003204FF"/>
    <w:rsid w:val="003306E1"/>
    <w:rsid w:val="003320E4"/>
    <w:rsid w:val="0033525D"/>
    <w:rsid w:val="003414F3"/>
    <w:rsid w:val="00342A96"/>
    <w:rsid w:val="00355B46"/>
    <w:rsid w:val="0035613E"/>
    <w:rsid w:val="00362C11"/>
    <w:rsid w:val="00363EE9"/>
    <w:rsid w:val="003655AC"/>
    <w:rsid w:val="00376128"/>
    <w:rsid w:val="0037742E"/>
    <w:rsid w:val="00377D56"/>
    <w:rsid w:val="0038245A"/>
    <w:rsid w:val="00383756"/>
    <w:rsid w:val="003840E6"/>
    <w:rsid w:val="00385CFC"/>
    <w:rsid w:val="0039337A"/>
    <w:rsid w:val="00393E99"/>
    <w:rsid w:val="003947AA"/>
    <w:rsid w:val="003A2E32"/>
    <w:rsid w:val="003A3189"/>
    <w:rsid w:val="003A3CA7"/>
    <w:rsid w:val="003A7129"/>
    <w:rsid w:val="003B2010"/>
    <w:rsid w:val="003B33BD"/>
    <w:rsid w:val="003B569D"/>
    <w:rsid w:val="003C3C0E"/>
    <w:rsid w:val="003C50F3"/>
    <w:rsid w:val="003C6108"/>
    <w:rsid w:val="003D2839"/>
    <w:rsid w:val="003D42A6"/>
    <w:rsid w:val="003D4F21"/>
    <w:rsid w:val="003D4FAC"/>
    <w:rsid w:val="003D609B"/>
    <w:rsid w:val="003D6896"/>
    <w:rsid w:val="003E7906"/>
    <w:rsid w:val="003F34D2"/>
    <w:rsid w:val="003F3C50"/>
    <w:rsid w:val="003F5E7E"/>
    <w:rsid w:val="003F7D4D"/>
    <w:rsid w:val="00406A6A"/>
    <w:rsid w:val="00406B22"/>
    <w:rsid w:val="0042017F"/>
    <w:rsid w:val="004203E6"/>
    <w:rsid w:val="004328A7"/>
    <w:rsid w:val="00434C74"/>
    <w:rsid w:val="004366A9"/>
    <w:rsid w:val="00444E2A"/>
    <w:rsid w:val="004525F1"/>
    <w:rsid w:val="00456BD5"/>
    <w:rsid w:val="00456EB4"/>
    <w:rsid w:val="00456EDE"/>
    <w:rsid w:val="004625EC"/>
    <w:rsid w:val="004702C4"/>
    <w:rsid w:val="004718F3"/>
    <w:rsid w:val="00475040"/>
    <w:rsid w:val="004817FC"/>
    <w:rsid w:val="00485D67"/>
    <w:rsid w:val="00493D40"/>
    <w:rsid w:val="00494380"/>
    <w:rsid w:val="00495EEF"/>
    <w:rsid w:val="004967B6"/>
    <w:rsid w:val="004A12FB"/>
    <w:rsid w:val="004A39D1"/>
    <w:rsid w:val="004A504B"/>
    <w:rsid w:val="004A6911"/>
    <w:rsid w:val="004A6E2A"/>
    <w:rsid w:val="004A7721"/>
    <w:rsid w:val="004B4757"/>
    <w:rsid w:val="004B54E0"/>
    <w:rsid w:val="004B7384"/>
    <w:rsid w:val="004C4269"/>
    <w:rsid w:val="004D2A5C"/>
    <w:rsid w:val="004D56EB"/>
    <w:rsid w:val="004D6236"/>
    <w:rsid w:val="004D6EDE"/>
    <w:rsid w:val="004D7F90"/>
    <w:rsid w:val="004E17DF"/>
    <w:rsid w:val="004E1BBD"/>
    <w:rsid w:val="004E30EA"/>
    <w:rsid w:val="004E4569"/>
    <w:rsid w:val="004E4DBB"/>
    <w:rsid w:val="004E4E41"/>
    <w:rsid w:val="004E7F9C"/>
    <w:rsid w:val="004F3493"/>
    <w:rsid w:val="004F5143"/>
    <w:rsid w:val="004F71BA"/>
    <w:rsid w:val="00502379"/>
    <w:rsid w:val="00504633"/>
    <w:rsid w:val="00512B09"/>
    <w:rsid w:val="005220ED"/>
    <w:rsid w:val="00523F1E"/>
    <w:rsid w:val="005276D9"/>
    <w:rsid w:val="00532CCB"/>
    <w:rsid w:val="00533796"/>
    <w:rsid w:val="00537343"/>
    <w:rsid w:val="0054007C"/>
    <w:rsid w:val="00550EB2"/>
    <w:rsid w:val="00555D75"/>
    <w:rsid w:val="00556953"/>
    <w:rsid w:val="00560DF0"/>
    <w:rsid w:val="00567370"/>
    <w:rsid w:val="0056759C"/>
    <w:rsid w:val="005760A0"/>
    <w:rsid w:val="0057699C"/>
    <w:rsid w:val="00580FA9"/>
    <w:rsid w:val="00585E8C"/>
    <w:rsid w:val="0059513E"/>
    <w:rsid w:val="005A519E"/>
    <w:rsid w:val="005A5D0A"/>
    <w:rsid w:val="005A6AA4"/>
    <w:rsid w:val="005A6D9F"/>
    <w:rsid w:val="005B06E6"/>
    <w:rsid w:val="005B3875"/>
    <w:rsid w:val="005B48FF"/>
    <w:rsid w:val="005C0C33"/>
    <w:rsid w:val="005D16DB"/>
    <w:rsid w:val="005D363F"/>
    <w:rsid w:val="005E2F48"/>
    <w:rsid w:val="005E4107"/>
    <w:rsid w:val="00604C15"/>
    <w:rsid w:val="0061091E"/>
    <w:rsid w:val="00610C13"/>
    <w:rsid w:val="006158D5"/>
    <w:rsid w:val="00625D83"/>
    <w:rsid w:val="00635814"/>
    <w:rsid w:val="00646BE3"/>
    <w:rsid w:val="0066171A"/>
    <w:rsid w:val="00661E37"/>
    <w:rsid w:val="006623E7"/>
    <w:rsid w:val="00662B80"/>
    <w:rsid w:val="00665707"/>
    <w:rsid w:val="00666B36"/>
    <w:rsid w:val="00670F6C"/>
    <w:rsid w:val="00677DE2"/>
    <w:rsid w:val="006852C7"/>
    <w:rsid w:val="006852CE"/>
    <w:rsid w:val="00692D14"/>
    <w:rsid w:val="00697F97"/>
    <w:rsid w:val="006A1BB0"/>
    <w:rsid w:val="006A735C"/>
    <w:rsid w:val="006B1B31"/>
    <w:rsid w:val="006B2D03"/>
    <w:rsid w:val="006B3C2E"/>
    <w:rsid w:val="006B3DEE"/>
    <w:rsid w:val="006B5DBB"/>
    <w:rsid w:val="006B65C7"/>
    <w:rsid w:val="006B73B4"/>
    <w:rsid w:val="006C1727"/>
    <w:rsid w:val="006C2355"/>
    <w:rsid w:val="006C32FD"/>
    <w:rsid w:val="006C39CE"/>
    <w:rsid w:val="006D0FCC"/>
    <w:rsid w:val="006D21F5"/>
    <w:rsid w:val="006D6493"/>
    <w:rsid w:val="006E0599"/>
    <w:rsid w:val="006E126D"/>
    <w:rsid w:val="006E15E0"/>
    <w:rsid w:val="006E1FC3"/>
    <w:rsid w:val="006E3CE7"/>
    <w:rsid w:val="006F240B"/>
    <w:rsid w:val="007020C4"/>
    <w:rsid w:val="00702FBD"/>
    <w:rsid w:val="00704CE9"/>
    <w:rsid w:val="0070616B"/>
    <w:rsid w:val="00706295"/>
    <w:rsid w:val="007063BE"/>
    <w:rsid w:val="00706FDA"/>
    <w:rsid w:val="00711F9A"/>
    <w:rsid w:val="00713810"/>
    <w:rsid w:val="00717685"/>
    <w:rsid w:val="00722ED8"/>
    <w:rsid w:val="00725D77"/>
    <w:rsid w:val="007303A5"/>
    <w:rsid w:val="00730B3E"/>
    <w:rsid w:val="00731728"/>
    <w:rsid w:val="00733B51"/>
    <w:rsid w:val="0073420B"/>
    <w:rsid w:val="00736DB1"/>
    <w:rsid w:val="00740992"/>
    <w:rsid w:val="0074651C"/>
    <w:rsid w:val="0074760E"/>
    <w:rsid w:val="00753684"/>
    <w:rsid w:val="00754ABA"/>
    <w:rsid w:val="00757BD5"/>
    <w:rsid w:val="007601AD"/>
    <w:rsid w:val="007644D2"/>
    <w:rsid w:val="007702D8"/>
    <w:rsid w:val="00771B13"/>
    <w:rsid w:val="00774A2B"/>
    <w:rsid w:val="0077541D"/>
    <w:rsid w:val="00782B0D"/>
    <w:rsid w:val="00783100"/>
    <w:rsid w:val="00783585"/>
    <w:rsid w:val="0078369B"/>
    <w:rsid w:val="007854AD"/>
    <w:rsid w:val="007A1546"/>
    <w:rsid w:val="007A15E5"/>
    <w:rsid w:val="007A228C"/>
    <w:rsid w:val="007A368E"/>
    <w:rsid w:val="007A5868"/>
    <w:rsid w:val="007B04CE"/>
    <w:rsid w:val="007B15D2"/>
    <w:rsid w:val="007B397B"/>
    <w:rsid w:val="007B6871"/>
    <w:rsid w:val="007B7A2F"/>
    <w:rsid w:val="007C3D33"/>
    <w:rsid w:val="007C4002"/>
    <w:rsid w:val="007C64BB"/>
    <w:rsid w:val="007D294A"/>
    <w:rsid w:val="007D47D2"/>
    <w:rsid w:val="007D6EC0"/>
    <w:rsid w:val="007D7E1D"/>
    <w:rsid w:val="007E6CF2"/>
    <w:rsid w:val="007E7988"/>
    <w:rsid w:val="007F17EB"/>
    <w:rsid w:val="007F5447"/>
    <w:rsid w:val="007F7CE8"/>
    <w:rsid w:val="007F7F17"/>
    <w:rsid w:val="008015D7"/>
    <w:rsid w:val="00810FE8"/>
    <w:rsid w:val="00814A58"/>
    <w:rsid w:val="00817CA0"/>
    <w:rsid w:val="0083128B"/>
    <w:rsid w:val="00831573"/>
    <w:rsid w:val="00831979"/>
    <w:rsid w:val="00835525"/>
    <w:rsid w:val="00837D05"/>
    <w:rsid w:val="00837DD3"/>
    <w:rsid w:val="008420A7"/>
    <w:rsid w:val="00851352"/>
    <w:rsid w:val="00854312"/>
    <w:rsid w:val="00855B5A"/>
    <w:rsid w:val="00857077"/>
    <w:rsid w:val="008570EA"/>
    <w:rsid w:val="00863230"/>
    <w:rsid w:val="00865148"/>
    <w:rsid w:val="00865BD0"/>
    <w:rsid w:val="00867C54"/>
    <w:rsid w:val="008717D8"/>
    <w:rsid w:val="00871A8E"/>
    <w:rsid w:val="0087215C"/>
    <w:rsid w:val="0087234E"/>
    <w:rsid w:val="00875D25"/>
    <w:rsid w:val="00880E35"/>
    <w:rsid w:val="008875FE"/>
    <w:rsid w:val="00887A04"/>
    <w:rsid w:val="00887F8E"/>
    <w:rsid w:val="00894245"/>
    <w:rsid w:val="00896116"/>
    <w:rsid w:val="00896234"/>
    <w:rsid w:val="00897E43"/>
    <w:rsid w:val="008A009E"/>
    <w:rsid w:val="008A78EF"/>
    <w:rsid w:val="008B6268"/>
    <w:rsid w:val="008C0DDB"/>
    <w:rsid w:val="008C427B"/>
    <w:rsid w:val="008C5738"/>
    <w:rsid w:val="008C7EAD"/>
    <w:rsid w:val="008D0CFE"/>
    <w:rsid w:val="008D6152"/>
    <w:rsid w:val="008D6C61"/>
    <w:rsid w:val="008D78BE"/>
    <w:rsid w:val="008E5B21"/>
    <w:rsid w:val="008E6851"/>
    <w:rsid w:val="008E7BA9"/>
    <w:rsid w:val="008F0F81"/>
    <w:rsid w:val="008F27BF"/>
    <w:rsid w:val="00901952"/>
    <w:rsid w:val="00905D72"/>
    <w:rsid w:val="00907745"/>
    <w:rsid w:val="009108D9"/>
    <w:rsid w:val="00910F94"/>
    <w:rsid w:val="009142EC"/>
    <w:rsid w:val="00914A15"/>
    <w:rsid w:val="009154C3"/>
    <w:rsid w:val="00917AE4"/>
    <w:rsid w:val="00921AF8"/>
    <w:rsid w:val="009229E7"/>
    <w:rsid w:val="00923540"/>
    <w:rsid w:val="00926767"/>
    <w:rsid w:val="0093558D"/>
    <w:rsid w:val="009360D3"/>
    <w:rsid w:val="009361D5"/>
    <w:rsid w:val="009403BD"/>
    <w:rsid w:val="009428A4"/>
    <w:rsid w:val="009462C5"/>
    <w:rsid w:val="0095189F"/>
    <w:rsid w:val="009613C5"/>
    <w:rsid w:val="009659F4"/>
    <w:rsid w:val="00970D60"/>
    <w:rsid w:val="00981572"/>
    <w:rsid w:val="009827AC"/>
    <w:rsid w:val="00987132"/>
    <w:rsid w:val="0099390E"/>
    <w:rsid w:val="009960E5"/>
    <w:rsid w:val="009A098E"/>
    <w:rsid w:val="009A1D63"/>
    <w:rsid w:val="009A309C"/>
    <w:rsid w:val="009A5DE6"/>
    <w:rsid w:val="009A70E0"/>
    <w:rsid w:val="009A7308"/>
    <w:rsid w:val="009A7ADC"/>
    <w:rsid w:val="009B0D30"/>
    <w:rsid w:val="009C1335"/>
    <w:rsid w:val="009C19B7"/>
    <w:rsid w:val="009C40DE"/>
    <w:rsid w:val="009C5ABB"/>
    <w:rsid w:val="009D2B1A"/>
    <w:rsid w:val="009D2C1F"/>
    <w:rsid w:val="009D3E77"/>
    <w:rsid w:val="009D7C51"/>
    <w:rsid w:val="009E12D7"/>
    <w:rsid w:val="009E196C"/>
    <w:rsid w:val="009E24FD"/>
    <w:rsid w:val="009E4A78"/>
    <w:rsid w:val="009F0081"/>
    <w:rsid w:val="009F36BF"/>
    <w:rsid w:val="00A111B6"/>
    <w:rsid w:val="00A17FF7"/>
    <w:rsid w:val="00A200E1"/>
    <w:rsid w:val="00A248D7"/>
    <w:rsid w:val="00A2612A"/>
    <w:rsid w:val="00A26D27"/>
    <w:rsid w:val="00A30457"/>
    <w:rsid w:val="00A33FAC"/>
    <w:rsid w:val="00A37413"/>
    <w:rsid w:val="00A37454"/>
    <w:rsid w:val="00A376EE"/>
    <w:rsid w:val="00A409E7"/>
    <w:rsid w:val="00A42A99"/>
    <w:rsid w:val="00A4301F"/>
    <w:rsid w:val="00A456DE"/>
    <w:rsid w:val="00A5151A"/>
    <w:rsid w:val="00A52069"/>
    <w:rsid w:val="00A57E0A"/>
    <w:rsid w:val="00A629FA"/>
    <w:rsid w:val="00A652D3"/>
    <w:rsid w:val="00A73476"/>
    <w:rsid w:val="00A7776C"/>
    <w:rsid w:val="00A823F6"/>
    <w:rsid w:val="00A82EC0"/>
    <w:rsid w:val="00A8719E"/>
    <w:rsid w:val="00AA0A89"/>
    <w:rsid w:val="00AA1FEC"/>
    <w:rsid w:val="00AA539B"/>
    <w:rsid w:val="00AA6429"/>
    <w:rsid w:val="00AB3F24"/>
    <w:rsid w:val="00AC01AA"/>
    <w:rsid w:val="00AC4F72"/>
    <w:rsid w:val="00AF32F2"/>
    <w:rsid w:val="00AF4597"/>
    <w:rsid w:val="00AF741A"/>
    <w:rsid w:val="00B01ADB"/>
    <w:rsid w:val="00B04161"/>
    <w:rsid w:val="00B056F9"/>
    <w:rsid w:val="00B11E3D"/>
    <w:rsid w:val="00B17E82"/>
    <w:rsid w:val="00B253F0"/>
    <w:rsid w:val="00B3048C"/>
    <w:rsid w:val="00B3223B"/>
    <w:rsid w:val="00B42050"/>
    <w:rsid w:val="00B4575A"/>
    <w:rsid w:val="00B575BA"/>
    <w:rsid w:val="00B60ED7"/>
    <w:rsid w:val="00B6266F"/>
    <w:rsid w:val="00B71608"/>
    <w:rsid w:val="00B72076"/>
    <w:rsid w:val="00B7512B"/>
    <w:rsid w:val="00B76429"/>
    <w:rsid w:val="00B7740D"/>
    <w:rsid w:val="00B82F15"/>
    <w:rsid w:val="00B86471"/>
    <w:rsid w:val="00B9524F"/>
    <w:rsid w:val="00B956D4"/>
    <w:rsid w:val="00B97446"/>
    <w:rsid w:val="00BA7432"/>
    <w:rsid w:val="00BB219D"/>
    <w:rsid w:val="00BB2764"/>
    <w:rsid w:val="00BB2D68"/>
    <w:rsid w:val="00BB5A10"/>
    <w:rsid w:val="00BC1AA0"/>
    <w:rsid w:val="00BC2495"/>
    <w:rsid w:val="00BC2897"/>
    <w:rsid w:val="00BC7EB9"/>
    <w:rsid w:val="00BD2643"/>
    <w:rsid w:val="00BD3E0E"/>
    <w:rsid w:val="00BD56B1"/>
    <w:rsid w:val="00BD6558"/>
    <w:rsid w:val="00BE36C3"/>
    <w:rsid w:val="00BF216C"/>
    <w:rsid w:val="00BF2404"/>
    <w:rsid w:val="00BF2F76"/>
    <w:rsid w:val="00BF3022"/>
    <w:rsid w:val="00BF3214"/>
    <w:rsid w:val="00BF4E3B"/>
    <w:rsid w:val="00BF5573"/>
    <w:rsid w:val="00C0651B"/>
    <w:rsid w:val="00C07027"/>
    <w:rsid w:val="00C106FE"/>
    <w:rsid w:val="00C15867"/>
    <w:rsid w:val="00C2054D"/>
    <w:rsid w:val="00C2186E"/>
    <w:rsid w:val="00C2296D"/>
    <w:rsid w:val="00C23155"/>
    <w:rsid w:val="00C30545"/>
    <w:rsid w:val="00C40C41"/>
    <w:rsid w:val="00C410E4"/>
    <w:rsid w:val="00C45885"/>
    <w:rsid w:val="00C50F22"/>
    <w:rsid w:val="00C57971"/>
    <w:rsid w:val="00C619E4"/>
    <w:rsid w:val="00C64365"/>
    <w:rsid w:val="00C65BD7"/>
    <w:rsid w:val="00C67AC1"/>
    <w:rsid w:val="00C74647"/>
    <w:rsid w:val="00C757E0"/>
    <w:rsid w:val="00C76BA4"/>
    <w:rsid w:val="00C8363A"/>
    <w:rsid w:val="00C83A48"/>
    <w:rsid w:val="00C85865"/>
    <w:rsid w:val="00C85E85"/>
    <w:rsid w:val="00C957AE"/>
    <w:rsid w:val="00C96686"/>
    <w:rsid w:val="00CA2EAE"/>
    <w:rsid w:val="00CA4AC1"/>
    <w:rsid w:val="00CA4FE9"/>
    <w:rsid w:val="00CB0316"/>
    <w:rsid w:val="00CB0A8B"/>
    <w:rsid w:val="00CB0B11"/>
    <w:rsid w:val="00CB20C3"/>
    <w:rsid w:val="00CB426A"/>
    <w:rsid w:val="00CB5354"/>
    <w:rsid w:val="00CC3C9E"/>
    <w:rsid w:val="00CC6A14"/>
    <w:rsid w:val="00CC70A3"/>
    <w:rsid w:val="00CD0FEC"/>
    <w:rsid w:val="00CD4442"/>
    <w:rsid w:val="00CD53C3"/>
    <w:rsid w:val="00CD574E"/>
    <w:rsid w:val="00CE43D9"/>
    <w:rsid w:val="00CE4C22"/>
    <w:rsid w:val="00CE5522"/>
    <w:rsid w:val="00CE68B0"/>
    <w:rsid w:val="00CE76E5"/>
    <w:rsid w:val="00CF0124"/>
    <w:rsid w:val="00CF22B3"/>
    <w:rsid w:val="00CF280F"/>
    <w:rsid w:val="00CF41EC"/>
    <w:rsid w:val="00CF4BB9"/>
    <w:rsid w:val="00CF5D04"/>
    <w:rsid w:val="00D00435"/>
    <w:rsid w:val="00D02493"/>
    <w:rsid w:val="00D04028"/>
    <w:rsid w:val="00D04DE4"/>
    <w:rsid w:val="00D063F1"/>
    <w:rsid w:val="00D14F22"/>
    <w:rsid w:val="00D15F64"/>
    <w:rsid w:val="00D266E7"/>
    <w:rsid w:val="00D34329"/>
    <w:rsid w:val="00D35F8A"/>
    <w:rsid w:val="00D3652D"/>
    <w:rsid w:val="00D41979"/>
    <w:rsid w:val="00D42787"/>
    <w:rsid w:val="00D447EA"/>
    <w:rsid w:val="00D4741C"/>
    <w:rsid w:val="00D57918"/>
    <w:rsid w:val="00D635B2"/>
    <w:rsid w:val="00D73DC6"/>
    <w:rsid w:val="00D74B4F"/>
    <w:rsid w:val="00D74C1A"/>
    <w:rsid w:val="00D754C1"/>
    <w:rsid w:val="00D77393"/>
    <w:rsid w:val="00D77A35"/>
    <w:rsid w:val="00D80156"/>
    <w:rsid w:val="00D81B22"/>
    <w:rsid w:val="00D81B3E"/>
    <w:rsid w:val="00D87611"/>
    <w:rsid w:val="00D906AD"/>
    <w:rsid w:val="00D90C70"/>
    <w:rsid w:val="00D90E49"/>
    <w:rsid w:val="00D93110"/>
    <w:rsid w:val="00D95823"/>
    <w:rsid w:val="00D96ADE"/>
    <w:rsid w:val="00DA0CE2"/>
    <w:rsid w:val="00DA20D8"/>
    <w:rsid w:val="00DB2008"/>
    <w:rsid w:val="00DB6FDD"/>
    <w:rsid w:val="00DC6A10"/>
    <w:rsid w:val="00DC76B1"/>
    <w:rsid w:val="00DD589D"/>
    <w:rsid w:val="00DD6C07"/>
    <w:rsid w:val="00DE0DA1"/>
    <w:rsid w:val="00DE1DB1"/>
    <w:rsid w:val="00DE2932"/>
    <w:rsid w:val="00DE657E"/>
    <w:rsid w:val="00DF0914"/>
    <w:rsid w:val="00DF2C03"/>
    <w:rsid w:val="00DF4704"/>
    <w:rsid w:val="00DF723D"/>
    <w:rsid w:val="00E024AA"/>
    <w:rsid w:val="00E028FE"/>
    <w:rsid w:val="00E068EF"/>
    <w:rsid w:val="00E1301D"/>
    <w:rsid w:val="00E15C77"/>
    <w:rsid w:val="00E202F2"/>
    <w:rsid w:val="00E24461"/>
    <w:rsid w:val="00E250F1"/>
    <w:rsid w:val="00E26751"/>
    <w:rsid w:val="00E3550D"/>
    <w:rsid w:val="00E40697"/>
    <w:rsid w:val="00E52838"/>
    <w:rsid w:val="00E567AB"/>
    <w:rsid w:val="00E614E0"/>
    <w:rsid w:val="00E73F7F"/>
    <w:rsid w:val="00E75497"/>
    <w:rsid w:val="00E75AAA"/>
    <w:rsid w:val="00E85409"/>
    <w:rsid w:val="00EA429F"/>
    <w:rsid w:val="00EA4F9E"/>
    <w:rsid w:val="00EA5088"/>
    <w:rsid w:val="00EA63CA"/>
    <w:rsid w:val="00EA6D3B"/>
    <w:rsid w:val="00EB00AD"/>
    <w:rsid w:val="00EB136C"/>
    <w:rsid w:val="00EB480E"/>
    <w:rsid w:val="00EB5687"/>
    <w:rsid w:val="00EB5EC6"/>
    <w:rsid w:val="00EB7FC9"/>
    <w:rsid w:val="00EC01BD"/>
    <w:rsid w:val="00ED042A"/>
    <w:rsid w:val="00ED13E1"/>
    <w:rsid w:val="00ED27E8"/>
    <w:rsid w:val="00ED63C2"/>
    <w:rsid w:val="00ED7137"/>
    <w:rsid w:val="00EE2080"/>
    <w:rsid w:val="00EE3DB5"/>
    <w:rsid w:val="00EE4A41"/>
    <w:rsid w:val="00EF06EA"/>
    <w:rsid w:val="00EF217E"/>
    <w:rsid w:val="00EF3733"/>
    <w:rsid w:val="00EF4B79"/>
    <w:rsid w:val="00EF66E9"/>
    <w:rsid w:val="00F04EE5"/>
    <w:rsid w:val="00F05EFA"/>
    <w:rsid w:val="00F13AB5"/>
    <w:rsid w:val="00F148E8"/>
    <w:rsid w:val="00F15783"/>
    <w:rsid w:val="00F21088"/>
    <w:rsid w:val="00F224C5"/>
    <w:rsid w:val="00F26B80"/>
    <w:rsid w:val="00F3217C"/>
    <w:rsid w:val="00F327E7"/>
    <w:rsid w:val="00F35746"/>
    <w:rsid w:val="00F360E8"/>
    <w:rsid w:val="00F447C7"/>
    <w:rsid w:val="00F4589F"/>
    <w:rsid w:val="00F459B4"/>
    <w:rsid w:val="00F50DEA"/>
    <w:rsid w:val="00F5211B"/>
    <w:rsid w:val="00F554A9"/>
    <w:rsid w:val="00F633F6"/>
    <w:rsid w:val="00F64FAE"/>
    <w:rsid w:val="00F716FD"/>
    <w:rsid w:val="00F71714"/>
    <w:rsid w:val="00F80355"/>
    <w:rsid w:val="00F81A03"/>
    <w:rsid w:val="00F82FF4"/>
    <w:rsid w:val="00F83254"/>
    <w:rsid w:val="00F87929"/>
    <w:rsid w:val="00F87C43"/>
    <w:rsid w:val="00F915B8"/>
    <w:rsid w:val="00F9165F"/>
    <w:rsid w:val="00F9558B"/>
    <w:rsid w:val="00F9718C"/>
    <w:rsid w:val="00F9776A"/>
    <w:rsid w:val="00FA04B1"/>
    <w:rsid w:val="00FA2D0A"/>
    <w:rsid w:val="00FA3F72"/>
    <w:rsid w:val="00FA5722"/>
    <w:rsid w:val="00FB0C81"/>
    <w:rsid w:val="00FB355E"/>
    <w:rsid w:val="00FB39B8"/>
    <w:rsid w:val="00FB4102"/>
    <w:rsid w:val="00FC2200"/>
    <w:rsid w:val="00FC2540"/>
    <w:rsid w:val="00FC2B4E"/>
    <w:rsid w:val="00FC64B4"/>
    <w:rsid w:val="00FF0204"/>
    <w:rsid w:val="00FF3AED"/>
    <w:rsid w:val="00FF5EFA"/>
    <w:rsid w:val="00FF6152"/>
    <w:rsid w:val="00FF7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4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08"/>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spacing w:after="240"/>
      <w:outlineLvl w:val="2"/>
    </w:pPr>
  </w:style>
  <w:style w:type="paragraph" w:styleId="Heading4">
    <w:name w:val="heading 4"/>
    <w:aliases w:val="Heading 11,para 4,Título 41,heading 4,Heading 41"/>
    <w:basedOn w:val="Normal"/>
    <w:next w:val="Heading9"/>
    <w:link w:val="Heading4Char"/>
    <w:qFormat/>
    <w:rsid w:val="007B6871"/>
    <w:pPr>
      <w:keepNext/>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spacing w:before="240" w:after="60"/>
      <w:outlineLvl w:val="5"/>
    </w:pPr>
    <w:rPr>
      <w:rFonts w:ascii="Arial" w:hAnsi="Arial"/>
      <w:i/>
    </w:rPr>
  </w:style>
  <w:style w:type="paragraph" w:styleId="Heading7">
    <w:name w:val="heading 7"/>
    <w:basedOn w:val="Normal"/>
    <w:next w:val="Normal"/>
    <w:qFormat/>
    <w:rsid w:val="00A5151A"/>
    <w:p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rsid w:val="006E126D"/>
    <w:rPr>
      <w:sz w:val="20"/>
      <w:szCs w:val="20"/>
    </w:rPr>
  </w:style>
  <w:style w:type="character" w:customStyle="1" w:styleId="FootnoteTextChar">
    <w:name w:val="Footnote Text Char"/>
    <w:basedOn w:val="DefaultParagraphFont"/>
    <w:link w:val="FootnoteText"/>
    <w:uiPriority w:val="99"/>
    <w:rsid w:val="006E126D"/>
    <w:rPr>
      <w:lang w:val="en-GB"/>
    </w:rPr>
  </w:style>
  <w:style w:type="character" w:styleId="FootnoteReference">
    <w:name w:val="footnote reference"/>
    <w:basedOn w:val="DefaultParagraphFont"/>
    <w:uiPriority w:val="99"/>
    <w:semiHidden/>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A37413"/>
    <w:rPr>
      <w:sz w:val="22"/>
      <w:szCs w:val="22"/>
      <w:lang w:val="en-CA"/>
    </w:rPr>
  </w:style>
  <w:style w:type="character" w:customStyle="1" w:styleId="Heading4Char">
    <w:name w:val="Heading 4 Char"/>
    <w:aliases w:val="Heading 11 Char,para 4 Char,Título 41 Char,heading 4 Char,Heading 41 Char"/>
    <w:basedOn w:val="DefaultParagraphFont"/>
    <w:link w:val="Heading4"/>
    <w:rsid w:val="00A37413"/>
    <w:rPr>
      <w:sz w:val="22"/>
      <w:szCs w:val="22"/>
      <w:lang w:val="en-CA"/>
    </w:rPr>
  </w:style>
  <w:style w:type="paragraph" w:styleId="ListParagraph">
    <w:name w:val="List Paragraph"/>
    <w:basedOn w:val="Normal"/>
    <w:uiPriority w:val="34"/>
    <w:qFormat/>
    <w:rsid w:val="0004780D"/>
    <w:pPr>
      <w:ind w:left="720"/>
      <w:contextualSpacing/>
    </w:pPr>
  </w:style>
  <w:style w:type="paragraph" w:styleId="NormalWeb">
    <w:name w:val="Normal (Web)"/>
    <w:basedOn w:val="Normal"/>
    <w:uiPriority w:val="99"/>
    <w:semiHidden/>
    <w:unhideWhenUsed/>
    <w:rsid w:val="00ED042A"/>
    <w:pPr>
      <w:spacing w:before="100" w:beforeAutospacing="1" w:after="100" w:afterAutospacing="1"/>
      <w:jc w:val="left"/>
    </w:pPr>
    <w:rPr>
      <w:sz w:val="24"/>
      <w:szCs w:val="24"/>
      <w:lang w:val="en-US"/>
    </w:rPr>
  </w:style>
  <w:style w:type="character" w:styleId="Strong">
    <w:name w:val="Strong"/>
    <w:basedOn w:val="DefaultParagraphFont"/>
    <w:uiPriority w:val="22"/>
    <w:qFormat/>
    <w:rsid w:val="00ED042A"/>
    <w:rPr>
      <w:b/>
      <w:bCs/>
    </w:rPr>
  </w:style>
  <w:style w:type="character" w:styleId="Hyperlink">
    <w:name w:val="Hyperlink"/>
    <w:basedOn w:val="DefaultParagraphFont"/>
    <w:uiPriority w:val="99"/>
    <w:unhideWhenUsed/>
    <w:rsid w:val="00ED042A"/>
    <w:rPr>
      <w:color w:val="0000FF"/>
      <w:u w:val="single"/>
    </w:rPr>
  </w:style>
  <w:style w:type="paragraph" w:styleId="Revision">
    <w:name w:val="Revision"/>
    <w:hidden/>
    <w:uiPriority w:val="99"/>
    <w:semiHidden/>
    <w:rsid w:val="002F52A1"/>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527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unep.org/ozonaction/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UNEP/OzL.Pro/ExCom/88/11/Rev.1</Document_x0020_Number>
    <DocumentType xmlns="64e33b30-101d-41de-b951-961aab25ea29">Pre-session</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A0B3-3F66-4642-90E7-5732663C8267}"/>
</file>

<file path=customXml/itemProps2.xml><?xml version="1.0" encoding="utf-8"?>
<ds:datastoreItem xmlns:ds="http://schemas.openxmlformats.org/officeDocument/2006/customXml" ds:itemID="{825DC49D-999C-4B34-B58B-0564E827F26F}"/>
</file>

<file path=customXml/itemProps3.xml><?xml version="1.0" encoding="utf-8"?>
<ds:datastoreItem xmlns:ds="http://schemas.openxmlformats.org/officeDocument/2006/customXml" ds:itemID="{C184EA4B-E354-432A-86C2-280C71C40782}"/>
</file>

<file path=customXml/itemProps4.xml><?xml version="1.0" encoding="utf-8"?>
<ds:datastoreItem xmlns:ds="http://schemas.openxmlformats.org/officeDocument/2006/customXml" ds:itemID="{7A9CB844-196F-4534-8FCC-5AC999C6A549}"/>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11399</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monitoring and evaluation work programme for the year 2022</vt:lpstr>
      <vt:lpstr>Draft monitoring and evaluation work programme for the year 2022</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monitoring and evaluation work programme for the year 2022</dc:title>
  <dc:subject/>
  <dc:creator/>
  <cp:keywords/>
  <dc:description/>
  <cp:lastModifiedBy/>
  <cp:revision>1</cp:revision>
  <dcterms:created xsi:type="dcterms:W3CDTF">2021-11-24T16:58:00Z</dcterms:created>
  <dcterms:modified xsi:type="dcterms:W3CDTF">2021-11-24T17:06:00Z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UNEP/OzL.Pro/ExCom/88/11/Rev.1</vt:lpwstr>
  </property>
  <property fmtid="{D5CDD505-2E9C-101B-9397-08002B2CF9AE}" pid="3" name="Revision date">
    <vt:lpwstr>11/24/2021</vt:lpwstr>
  </property>
  <property fmtid="{D5CDD505-2E9C-101B-9397-08002B2CF9AE}" pid="4" name="ContentTypeId">
    <vt:lpwstr>0x010100BE9B89F773C4B04FA1A88A390C771F1B</vt:lpwstr>
  </property>
</Properties>
</file>