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 w14:paraId="16ABFE0C" w14:textId="77777777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14:paraId="39B9F526" w14:textId="77777777"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14:paraId="2DFE7A71" w14:textId="77777777"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 w14:paraId="2FE56F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5F3DC04A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50956757" wp14:editId="0EAA4D40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36623F28" wp14:editId="721DB02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14:paraId="5F06BDFC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14:paraId="20B343FE" w14:textId="77777777"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14:paraId="184419C7" w14:textId="73FDC1D8" w:rsidR="007E5D09" w:rsidRDefault="00C869B1" w:rsidP="0027378D">
            <w:pPr>
              <w:rPr>
                <w:rtl/>
              </w:rPr>
            </w:pPr>
            <w:r>
              <w:fldChar w:fldCharType="begin"/>
            </w:r>
            <w:r>
              <w:instrText xml:space="preserve"> DOCPROPERTY "Document number"  \* MERGEFORMAT </w:instrText>
            </w:r>
            <w:r>
              <w:fldChar w:fldCharType="separate"/>
            </w:r>
            <w:r w:rsidR="00532D4A">
              <w:t>UNEP/</w:t>
            </w:r>
            <w:proofErr w:type="spellStart"/>
            <w:r w:rsidR="00532D4A">
              <w:t>OzL.Pro</w:t>
            </w:r>
            <w:proofErr w:type="spellEnd"/>
            <w:r w:rsidR="00532D4A">
              <w:t>/</w:t>
            </w:r>
            <w:proofErr w:type="spellStart"/>
            <w:r w:rsidR="00532D4A">
              <w:t>ExCom</w:t>
            </w:r>
            <w:proofErr w:type="spellEnd"/>
            <w:r w:rsidR="00532D4A">
              <w:t>/88/35</w:t>
            </w:r>
            <w:r>
              <w:fldChar w:fldCharType="end"/>
            </w:r>
          </w:p>
          <w:p w14:paraId="079DAB1B" w14:textId="77777777" w:rsidR="00662A73" w:rsidRPr="003F73BA" w:rsidRDefault="00662A73" w:rsidP="0027378D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27378D">
              <w:rPr>
                <w:lang w:val="en-US"/>
              </w:rPr>
              <w:t>1 November</w:t>
            </w:r>
            <w:r w:rsidR="002C4C1B" w:rsidRPr="002C4C1B">
              <w:t xml:space="preserve"> 2021</w:t>
            </w:r>
            <w:r>
              <w:fldChar w:fldCharType="end"/>
            </w:r>
          </w:p>
          <w:p w14:paraId="46B9ED0C" w14:textId="77777777"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14:paraId="65C7AEB6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14:paraId="388675A7" w14:textId="77777777"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95C52F9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14:paraId="05E7E2FE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14:paraId="2BFBD728" w14:textId="77777777"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14:paraId="7779EBCD" w14:textId="77777777"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B58023F" w14:textId="77777777" w:rsidR="007E5D09" w:rsidRDefault="007E5D09">
            <w:pPr>
              <w:rPr>
                <w:caps/>
                <w:lang w:val="en-US"/>
              </w:rPr>
            </w:pPr>
          </w:p>
          <w:p w14:paraId="1A5AFE96" w14:textId="77777777" w:rsidR="007E5D09" w:rsidRDefault="007E5D09">
            <w:pPr>
              <w:rPr>
                <w:lang w:val="en-US"/>
              </w:rPr>
            </w:pPr>
          </w:p>
        </w:tc>
      </w:tr>
    </w:tbl>
    <w:p w14:paraId="1000A9E2" w14:textId="77777777"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14:paraId="0481F29C" w14:textId="77777777"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14:paraId="0845044C" w14:textId="77777777"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14:paraId="5AC27EDF" w14:textId="77777777" w:rsidR="007E5D09" w:rsidRPr="00A755B6" w:rsidRDefault="00E1360E" w:rsidP="0035441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 w:rsidRPr="00A755B6">
        <w:rPr>
          <w:sz w:val="28"/>
          <w:szCs w:val="28"/>
          <w:rtl/>
          <w:lang w:val="en-US" w:eastAsia="en-CA"/>
        </w:rPr>
        <w:t xml:space="preserve">الاجتمــــــاع </w:t>
      </w:r>
      <w:r w:rsidR="0035441C">
        <w:rPr>
          <w:rFonts w:hint="cs"/>
          <w:sz w:val="28"/>
          <w:szCs w:val="28"/>
          <w:rtl/>
          <w:lang w:val="en-US" w:eastAsia="en-CA"/>
        </w:rPr>
        <w:t>الثامن</w:t>
      </w:r>
      <w:r w:rsidR="006F2A2C" w:rsidRPr="00A755B6">
        <w:rPr>
          <w:rFonts w:hint="cs"/>
          <w:sz w:val="28"/>
          <w:szCs w:val="28"/>
          <w:rtl/>
          <w:lang w:val="en-US" w:eastAsia="en-CA"/>
        </w:rPr>
        <w:t xml:space="preserve"> </w:t>
      </w:r>
      <w:r w:rsidR="00786775" w:rsidRPr="00A755B6">
        <w:rPr>
          <w:rFonts w:hint="cs"/>
          <w:sz w:val="28"/>
          <w:szCs w:val="28"/>
          <w:rtl/>
          <w:lang w:val="en-US" w:eastAsia="en-CA"/>
        </w:rPr>
        <w:t>و</w:t>
      </w:r>
      <w:r w:rsidRPr="00A755B6">
        <w:rPr>
          <w:rFonts w:hint="cs"/>
          <w:sz w:val="28"/>
          <w:szCs w:val="28"/>
          <w:rtl/>
          <w:lang w:val="en-US" w:eastAsia="en-CA"/>
        </w:rPr>
        <w:t>الثمانون</w:t>
      </w:r>
    </w:p>
    <w:p w14:paraId="728A11BE" w14:textId="77777777" w:rsidR="007E5D09" w:rsidRDefault="00E1360E" w:rsidP="007D141D">
      <w:pPr>
        <w:pStyle w:val="0Heading0"/>
        <w:bidi/>
        <w:ind w:left="4"/>
        <w:rPr>
          <w:rFonts w:cs="Arabic Transparent"/>
          <w:sz w:val="28"/>
          <w:szCs w:val="28"/>
          <w:lang w:bidi="ar-DZ"/>
        </w:rPr>
      </w:pPr>
      <w:r w:rsidRPr="00A755B6">
        <w:rPr>
          <w:rFonts w:hint="cs"/>
          <w:sz w:val="28"/>
          <w:szCs w:val="28"/>
          <w:rtl/>
        </w:rPr>
        <w:t>مونتريال</w:t>
      </w:r>
      <w:r w:rsidRPr="00A755B6">
        <w:rPr>
          <w:sz w:val="28"/>
          <w:szCs w:val="28"/>
          <w:rtl/>
        </w:rPr>
        <w:t>،</w:t>
      </w:r>
      <w:r w:rsidR="00C0337B" w:rsidRPr="00A755B6">
        <w:rPr>
          <w:rFonts w:hint="cs"/>
          <w:sz w:val="28"/>
          <w:szCs w:val="28"/>
          <w:rtl/>
        </w:rPr>
        <w:t xml:space="preserve">  من </w:t>
      </w:r>
      <w:r w:rsidR="00A755B6" w:rsidRPr="00A755B6">
        <w:rPr>
          <w:rFonts w:hint="cs"/>
          <w:sz w:val="28"/>
          <w:szCs w:val="28"/>
          <w:rtl/>
        </w:rPr>
        <w:t xml:space="preserve">15 </w:t>
      </w:r>
      <w:r w:rsidR="002B535E">
        <w:rPr>
          <w:rFonts w:hint="cs"/>
          <w:sz w:val="28"/>
          <w:szCs w:val="28"/>
          <w:rtl/>
        </w:rPr>
        <w:t>إلى</w:t>
      </w:r>
      <w:r w:rsidR="00A755B6" w:rsidRPr="00A755B6">
        <w:rPr>
          <w:rFonts w:hint="cs"/>
          <w:sz w:val="28"/>
          <w:szCs w:val="28"/>
          <w:rtl/>
        </w:rPr>
        <w:t xml:space="preserve"> 19 نوفمب</w:t>
      </w:r>
      <w:r w:rsidR="007D141D">
        <w:rPr>
          <w:rFonts w:hint="cs"/>
          <w:sz w:val="28"/>
          <w:szCs w:val="28"/>
          <w:rtl/>
        </w:rPr>
        <w:t>ر</w:t>
      </w:r>
      <w:r w:rsidR="006F2A2C" w:rsidRPr="00A755B6">
        <w:rPr>
          <w:rFonts w:asciiTheme="majorBidi" w:hAnsiTheme="majorBidi" w:cstheme="majorBidi" w:hint="cs"/>
          <w:sz w:val="28"/>
          <w:szCs w:val="28"/>
          <w:rtl/>
          <w:lang w:bidi="ar-SY"/>
        </w:rPr>
        <w:t>/</w:t>
      </w:r>
      <w:r w:rsidR="006F2A2C" w:rsidRPr="00A755B6">
        <w:rPr>
          <w:rFonts w:hint="cs"/>
          <w:sz w:val="28"/>
          <w:szCs w:val="28"/>
          <w:rtl/>
        </w:rPr>
        <w:t xml:space="preserve"> </w:t>
      </w:r>
      <w:r w:rsidR="00A755B6" w:rsidRPr="00A755B6">
        <w:rPr>
          <w:rFonts w:ascii="Arial" w:hAnsi="Arial" w:cs="Arial"/>
          <w:color w:val="474747"/>
          <w:sz w:val="28"/>
          <w:szCs w:val="28"/>
          <w:rtl/>
          <w:lang w:val="en-US"/>
        </w:rPr>
        <w:t>تشرين الثاني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C0337B">
        <w:rPr>
          <w:rFonts w:asciiTheme="majorBidi" w:hAnsiTheme="majorBidi" w:cstheme="majorBidi" w:hint="cs"/>
          <w:sz w:val="26"/>
          <w:szCs w:val="26"/>
          <w:rtl/>
          <w:lang w:bidi="ar-SY"/>
        </w:rPr>
        <w:t xml:space="preserve">2021 </w:t>
      </w:r>
      <w:r w:rsidR="00C0337B">
        <w:rPr>
          <w:rStyle w:val="FootnoteReference"/>
          <w:rFonts w:asciiTheme="majorBidi" w:hAnsiTheme="majorBidi" w:cstheme="majorBidi"/>
          <w:sz w:val="26"/>
          <w:szCs w:val="26"/>
          <w:rtl/>
          <w:lang w:bidi="ar-SY"/>
        </w:rPr>
        <w:footnoteReference w:id="1"/>
      </w:r>
    </w:p>
    <w:p w14:paraId="35D792F8" w14:textId="77777777" w:rsidR="007E5D09" w:rsidRDefault="007E5D09">
      <w:pPr>
        <w:pStyle w:val="Heading2"/>
        <w:numPr>
          <w:ilvl w:val="0"/>
          <w:numId w:val="0"/>
        </w:numPr>
        <w:ind w:left="4"/>
        <w:rPr>
          <w:rtl/>
          <w:lang w:val="en-CA"/>
        </w:rPr>
      </w:pPr>
    </w:p>
    <w:p w14:paraId="2A2E1221" w14:textId="77777777" w:rsidR="00B33FA9" w:rsidRPr="00616CD6" w:rsidRDefault="009E6143" w:rsidP="00DC38EA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  <w:rtl/>
        </w:rPr>
      </w:pPr>
      <w:r w:rsidRPr="00616CD6">
        <w:rPr>
          <w:b/>
          <w:bCs/>
          <w:sz w:val="32"/>
          <w:szCs w:val="32"/>
          <w:rtl/>
        </w:rPr>
        <w:t>تكاليف الوحدة الأساسية لبرنامج الأمم المتحدة الإنمائي</w:t>
      </w:r>
      <w:r w:rsidR="006D6858" w:rsidRPr="00616CD6">
        <w:rPr>
          <w:rFonts w:hint="cs"/>
          <w:b/>
          <w:bCs/>
          <w:sz w:val="32"/>
          <w:szCs w:val="32"/>
          <w:rtl/>
        </w:rPr>
        <w:t xml:space="preserve"> (اليوئنديبي)</w:t>
      </w:r>
      <w:r w:rsidRPr="00616CD6">
        <w:rPr>
          <w:b/>
          <w:bCs/>
          <w:sz w:val="32"/>
          <w:szCs w:val="32"/>
          <w:rtl/>
        </w:rPr>
        <w:t xml:space="preserve"> </w:t>
      </w:r>
    </w:p>
    <w:p w14:paraId="447A5441" w14:textId="77777777" w:rsidR="009E6143" w:rsidRPr="00616CD6" w:rsidRDefault="009E6143" w:rsidP="00DC38EA">
      <w:pPr>
        <w:pStyle w:val="StyleHeader4Para4Left0Firstline0"/>
        <w:numPr>
          <w:ilvl w:val="0"/>
          <w:numId w:val="0"/>
        </w:numPr>
        <w:bidi/>
        <w:spacing w:after="0"/>
        <w:jc w:val="center"/>
        <w:rPr>
          <w:b/>
          <w:bCs/>
          <w:sz w:val="32"/>
          <w:szCs w:val="32"/>
        </w:rPr>
      </w:pPr>
      <w:r w:rsidRPr="00616CD6">
        <w:rPr>
          <w:b/>
          <w:bCs/>
          <w:sz w:val="32"/>
          <w:szCs w:val="32"/>
          <w:rtl/>
        </w:rPr>
        <w:t>ومنظمة الأمم المتحدة للتنمية الصناعية</w:t>
      </w:r>
      <w:r w:rsidR="006D6858" w:rsidRPr="00616CD6">
        <w:rPr>
          <w:rFonts w:hint="cs"/>
          <w:b/>
          <w:bCs/>
          <w:sz w:val="32"/>
          <w:szCs w:val="32"/>
          <w:rtl/>
        </w:rPr>
        <w:t xml:space="preserve"> (اليونيدو)</w:t>
      </w:r>
      <w:r w:rsidRPr="00616CD6">
        <w:rPr>
          <w:b/>
          <w:bCs/>
          <w:sz w:val="32"/>
          <w:szCs w:val="32"/>
          <w:rtl/>
        </w:rPr>
        <w:t xml:space="preserve"> والبنك الدولي</w:t>
      </w:r>
      <w:r w:rsidR="00ED652E" w:rsidRPr="00616CD6">
        <w:rPr>
          <w:rFonts w:hint="cs"/>
          <w:b/>
          <w:bCs/>
          <w:sz w:val="32"/>
          <w:szCs w:val="32"/>
          <w:rtl/>
        </w:rPr>
        <w:t xml:space="preserve"> لعام </w:t>
      </w:r>
      <w:r w:rsidR="00ED652E" w:rsidRPr="00616CD6">
        <w:rPr>
          <w:b/>
          <w:bCs/>
          <w:sz w:val="32"/>
          <w:szCs w:val="32"/>
          <w:rtl/>
        </w:rPr>
        <w:t>2022</w:t>
      </w:r>
    </w:p>
    <w:p w14:paraId="23FF1A68" w14:textId="77777777" w:rsidR="009E6143" w:rsidRPr="009E6143" w:rsidRDefault="009E6143" w:rsidP="009E6143">
      <w:pPr>
        <w:pStyle w:val="StyleHeader4Para4Left0Firstline0"/>
        <w:numPr>
          <w:ilvl w:val="0"/>
          <w:numId w:val="0"/>
        </w:numPr>
        <w:bidi/>
        <w:rPr>
          <w:sz w:val="24"/>
          <w:szCs w:val="24"/>
        </w:rPr>
      </w:pPr>
    </w:p>
    <w:p w14:paraId="0CA4C4A0" w14:textId="77777777" w:rsidR="009E6143" w:rsidRPr="00616CD6" w:rsidRDefault="009E6143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تقيِّم هذه الوثيقة طلبات تكاليف الوحدة الأساسية لعام 2022 ومتطلبات التكلفة الإدارية</w:t>
      </w:r>
      <w:r w:rsidR="00546951" w:rsidRPr="00616CD6">
        <w:rPr>
          <w:rStyle w:val="FootnoteReference"/>
          <w:sz w:val="26"/>
          <w:szCs w:val="26"/>
          <w:rtl/>
        </w:rPr>
        <w:footnoteReference w:id="2"/>
      </w:r>
      <w:r w:rsidRPr="00616CD6">
        <w:rPr>
          <w:sz w:val="26"/>
          <w:szCs w:val="26"/>
          <w:rtl/>
        </w:rPr>
        <w:t xml:space="preserve"> </w:t>
      </w:r>
      <w:r w:rsidR="00DC38EA" w:rsidRPr="00616CD6">
        <w:rPr>
          <w:rFonts w:hint="cs"/>
          <w:sz w:val="26"/>
          <w:szCs w:val="26"/>
          <w:rtl/>
        </w:rPr>
        <w:t>لليوئنديبي</w:t>
      </w:r>
      <w:r w:rsidR="00DC38EA" w:rsidRPr="00616CD6">
        <w:rPr>
          <w:sz w:val="26"/>
          <w:szCs w:val="26"/>
          <w:rtl/>
        </w:rPr>
        <w:t xml:space="preserve"> واليونيدو والبنك الدولي</w:t>
      </w:r>
      <w:r w:rsidRPr="00616CD6">
        <w:rPr>
          <w:sz w:val="26"/>
          <w:szCs w:val="26"/>
          <w:rtl/>
        </w:rPr>
        <w:t xml:space="preserve">، ومدى قدرة الموارد المتاحة لإجمالي التكاليف الإدارية في عام 2022 على تغطية التكاليف المتوقعة لعام 2022. </w:t>
      </w:r>
      <w:r w:rsidR="00DC38EA" w:rsidRPr="00616CD6">
        <w:rPr>
          <w:rFonts w:hint="cs"/>
          <w:sz w:val="26"/>
          <w:szCs w:val="26"/>
          <w:rtl/>
        </w:rPr>
        <w:t>وي</w:t>
      </w:r>
      <w:r w:rsidR="005F4183" w:rsidRPr="00616CD6">
        <w:rPr>
          <w:rFonts w:hint="cs"/>
          <w:sz w:val="26"/>
          <w:szCs w:val="26"/>
          <w:rtl/>
        </w:rPr>
        <w:t>ُ</w:t>
      </w:r>
      <w:r w:rsidR="00DC38EA" w:rsidRPr="00616CD6">
        <w:rPr>
          <w:rFonts w:hint="cs"/>
          <w:sz w:val="26"/>
          <w:szCs w:val="26"/>
          <w:rtl/>
        </w:rPr>
        <w:t>عرض</w:t>
      </w:r>
      <w:r w:rsidRPr="00616CD6">
        <w:rPr>
          <w:sz w:val="26"/>
          <w:szCs w:val="26"/>
          <w:rtl/>
        </w:rPr>
        <w:t xml:space="preserve"> التقييم منفصل</w:t>
      </w:r>
      <w:r w:rsidR="00DC38EA" w:rsidRPr="00616CD6">
        <w:rPr>
          <w:rFonts w:hint="cs"/>
          <w:sz w:val="26"/>
          <w:szCs w:val="26"/>
          <w:rtl/>
        </w:rPr>
        <w:t>ا</w:t>
      </w:r>
      <w:r w:rsidRPr="00616CD6">
        <w:rPr>
          <w:sz w:val="26"/>
          <w:szCs w:val="26"/>
          <w:rtl/>
        </w:rPr>
        <w:t xml:space="preserve"> لكل</w:t>
      </w:r>
      <w:r w:rsidR="00DC38EA" w:rsidRPr="00616CD6">
        <w:rPr>
          <w:rFonts w:hint="cs"/>
          <w:sz w:val="26"/>
          <w:szCs w:val="26"/>
          <w:rtl/>
        </w:rPr>
        <w:t xml:space="preserve"> وكالة</w:t>
      </w:r>
      <w:r w:rsidRPr="00616CD6">
        <w:rPr>
          <w:sz w:val="26"/>
          <w:szCs w:val="26"/>
          <w:rtl/>
        </w:rPr>
        <w:t xml:space="preserve"> من الوكالات المنفذة الثلاث. </w:t>
      </w:r>
      <w:r w:rsidR="00DC38EA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تقدم الوثيقة توصية</w:t>
      </w:r>
      <w:r w:rsidR="00DC38EA" w:rsidRPr="00616CD6">
        <w:rPr>
          <w:rFonts w:hint="cs"/>
          <w:sz w:val="26"/>
          <w:szCs w:val="26"/>
          <w:rtl/>
        </w:rPr>
        <w:t xml:space="preserve"> </w:t>
      </w:r>
      <w:r w:rsidR="00DC38EA" w:rsidRPr="00616CD6">
        <w:rPr>
          <w:sz w:val="26"/>
          <w:szCs w:val="26"/>
          <w:rtl/>
        </w:rPr>
        <w:t>أيضا</w:t>
      </w:r>
      <w:r w:rsidRPr="00616CD6">
        <w:rPr>
          <w:sz w:val="26"/>
          <w:szCs w:val="26"/>
          <w:rtl/>
        </w:rPr>
        <w:t>.</w:t>
      </w:r>
    </w:p>
    <w:p w14:paraId="2817F47C" w14:textId="77777777" w:rsidR="009E6143" w:rsidRPr="00616CD6" w:rsidRDefault="009E6143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 xml:space="preserve">تستند هذه الوثيقة إلى المعلومات التي قدمتها الوكالات المنفذة الثلاث </w:t>
      </w:r>
      <w:r w:rsidR="00546951" w:rsidRPr="00616CD6">
        <w:rPr>
          <w:rFonts w:hint="cs"/>
          <w:sz w:val="26"/>
          <w:szCs w:val="26"/>
          <w:rtl/>
        </w:rPr>
        <w:t>عن</w:t>
      </w:r>
      <w:r w:rsidRPr="00616CD6">
        <w:rPr>
          <w:sz w:val="26"/>
          <w:szCs w:val="26"/>
          <w:rtl/>
        </w:rPr>
        <w:t xml:space="preserve"> التكاليف الأسا</w:t>
      </w:r>
      <w:r w:rsidR="00546951" w:rsidRPr="00616CD6">
        <w:rPr>
          <w:sz w:val="26"/>
          <w:szCs w:val="26"/>
          <w:rtl/>
        </w:rPr>
        <w:t>سية والإدارية الفعلية لعام 2020</w:t>
      </w:r>
      <w:r w:rsidRPr="00616CD6">
        <w:rPr>
          <w:sz w:val="26"/>
          <w:szCs w:val="26"/>
          <w:rtl/>
        </w:rPr>
        <w:t>، والتكاليف التقديرية لعام 20</w:t>
      </w:r>
      <w:r w:rsidR="00546951" w:rsidRPr="00616CD6">
        <w:rPr>
          <w:sz w:val="26"/>
          <w:szCs w:val="26"/>
          <w:rtl/>
        </w:rPr>
        <w:t>21</w:t>
      </w:r>
      <w:r w:rsidRPr="00616CD6">
        <w:rPr>
          <w:sz w:val="26"/>
          <w:szCs w:val="26"/>
          <w:rtl/>
        </w:rPr>
        <w:t>، والميزانية المقترحة لعام 2022.</w:t>
      </w:r>
      <w:r w:rsidR="00546951" w:rsidRPr="00616CD6">
        <w:rPr>
          <w:rStyle w:val="FootnoteReference"/>
          <w:sz w:val="26"/>
          <w:szCs w:val="26"/>
          <w:rtl/>
        </w:rPr>
        <w:footnoteReference w:id="3"/>
      </w:r>
      <w:r w:rsidRPr="00616CD6">
        <w:rPr>
          <w:sz w:val="26"/>
          <w:szCs w:val="26"/>
          <w:rtl/>
        </w:rPr>
        <w:t xml:space="preserve"> و</w:t>
      </w:r>
      <w:r w:rsidR="007E1B34" w:rsidRPr="00616CD6">
        <w:rPr>
          <w:sz w:val="26"/>
          <w:szCs w:val="26"/>
          <w:rtl/>
        </w:rPr>
        <w:t>أثناء استعراض المعلومات المقدمة</w:t>
      </w:r>
      <w:r w:rsidRPr="00616CD6">
        <w:rPr>
          <w:sz w:val="26"/>
          <w:szCs w:val="26"/>
          <w:rtl/>
        </w:rPr>
        <w:t>، أجرت الأمانة مناقشات مستفيضة مع كل</w:t>
      </w:r>
      <w:r w:rsidR="007E1B34" w:rsidRPr="00616CD6">
        <w:rPr>
          <w:rFonts w:hint="cs"/>
          <w:sz w:val="26"/>
          <w:szCs w:val="26"/>
          <w:rtl/>
        </w:rPr>
        <w:t xml:space="preserve"> وكالة</w:t>
      </w:r>
      <w:r w:rsidR="007E1B34" w:rsidRPr="00616CD6">
        <w:rPr>
          <w:sz w:val="26"/>
          <w:szCs w:val="26"/>
          <w:rtl/>
        </w:rPr>
        <w:t xml:space="preserve"> من الوكالات المنفذة الثلاث</w:t>
      </w:r>
      <w:r w:rsidRPr="00616CD6">
        <w:rPr>
          <w:sz w:val="26"/>
          <w:szCs w:val="26"/>
          <w:rtl/>
        </w:rPr>
        <w:t xml:space="preserve">، حيث تمت معالجة جميع </w:t>
      </w:r>
      <w:r w:rsidR="007E1B34" w:rsidRPr="00616CD6">
        <w:rPr>
          <w:rFonts w:hint="cs"/>
          <w:sz w:val="26"/>
          <w:szCs w:val="26"/>
          <w:rtl/>
        </w:rPr>
        <w:t>المشكلات</w:t>
      </w:r>
      <w:r w:rsidRPr="00616CD6">
        <w:rPr>
          <w:sz w:val="26"/>
          <w:szCs w:val="26"/>
          <w:rtl/>
        </w:rPr>
        <w:t xml:space="preserve">. </w:t>
      </w:r>
      <w:r w:rsidRPr="00616CD6">
        <w:rPr>
          <w:sz w:val="26"/>
          <w:szCs w:val="26"/>
          <w:rtl/>
        </w:rPr>
        <w:lastRenderedPageBreak/>
        <w:t>وتلاحظ الأمانة مع التقدير التعاون الذي قدمته الوكالات المنفذة الثلاث أثناء عملية الاستعراض.</w:t>
      </w:r>
    </w:p>
    <w:p w14:paraId="3A0B0207" w14:textId="77777777" w:rsidR="000709A5" w:rsidRPr="00616CD6" w:rsidRDefault="009E6143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لتسهيل ال</w:t>
      </w:r>
      <w:r w:rsidR="005E4646" w:rsidRPr="00616CD6">
        <w:rPr>
          <w:sz w:val="26"/>
          <w:szCs w:val="26"/>
          <w:rtl/>
        </w:rPr>
        <w:t>استعراض من قبل اللجنة التنفيذية</w:t>
      </w:r>
      <w:r w:rsidRPr="00616CD6">
        <w:rPr>
          <w:sz w:val="26"/>
          <w:szCs w:val="26"/>
          <w:rtl/>
        </w:rPr>
        <w:t xml:space="preserve">، تم تقديم بيانات ميزانية الوحدة الأساسية والتكاليف الإدارية الأخرى لكل وكالة منفذة للسنوات الثلاث الماضية </w:t>
      </w:r>
      <w:r w:rsidR="005E4646" w:rsidRPr="00616CD6">
        <w:rPr>
          <w:sz w:val="26"/>
          <w:szCs w:val="26"/>
          <w:rtl/>
        </w:rPr>
        <w:t>(2018-2020) في الوثيقة الرئيسية</w:t>
      </w:r>
      <w:r w:rsidRPr="00616CD6">
        <w:rPr>
          <w:sz w:val="26"/>
          <w:szCs w:val="26"/>
          <w:rtl/>
        </w:rPr>
        <w:t xml:space="preserve">، </w:t>
      </w:r>
      <w:r w:rsidR="005E4646" w:rsidRPr="00616CD6">
        <w:rPr>
          <w:rFonts w:hint="cs"/>
          <w:sz w:val="26"/>
          <w:szCs w:val="26"/>
          <w:rtl/>
        </w:rPr>
        <w:t>فيما</w:t>
      </w:r>
      <w:r w:rsidRPr="00616CD6">
        <w:rPr>
          <w:sz w:val="26"/>
          <w:szCs w:val="26"/>
          <w:rtl/>
        </w:rPr>
        <w:t xml:space="preserve"> ترد البيانات التاريخية من عام 2011 في المرفق </w:t>
      </w:r>
      <w:r w:rsidR="005E4646" w:rsidRPr="00616CD6">
        <w:rPr>
          <w:rFonts w:hint="cs"/>
          <w:sz w:val="26"/>
          <w:szCs w:val="26"/>
          <w:rtl/>
        </w:rPr>
        <w:t>الأول</w:t>
      </w:r>
      <w:r w:rsidRPr="00616CD6">
        <w:rPr>
          <w:sz w:val="26"/>
          <w:szCs w:val="26"/>
          <w:rtl/>
        </w:rPr>
        <w:t xml:space="preserve"> </w:t>
      </w:r>
      <w:r w:rsidR="005E4646" w:rsidRPr="00616CD6">
        <w:rPr>
          <w:rFonts w:hint="cs"/>
          <w:sz w:val="26"/>
          <w:szCs w:val="26"/>
          <w:rtl/>
        </w:rPr>
        <w:t>ب</w:t>
      </w:r>
      <w:r w:rsidRPr="00616CD6">
        <w:rPr>
          <w:sz w:val="26"/>
          <w:szCs w:val="26"/>
          <w:rtl/>
        </w:rPr>
        <w:t>هذه الوثيقة.</w:t>
      </w:r>
    </w:p>
    <w:p w14:paraId="53599D3C" w14:textId="77777777" w:rsidR="000709A5" w:rsidRPr="00616CD6" w:rsidRDefault="000709A5" w:rsidP="000709A5">
      <w:pPr>
        <w:pStyle w:val="StyleHeader4Para4Left0Firstline0"/>
        <w:numPr>
          <w:ilvl w:val="0"/>
          <w:numId w:val="0"/>
        </w:numPr>
        <w:bidi/>
        <w:rPr>
          <w:b/>
          <w:bCs/>
          <w:sz w:val="26"/>
          <w:szCs w:val="26"/>
        </w:rPr>
      </w:pPr>
      <w:r w:rsidRPr="00616CD6">
        <w:rPr>
          <w:b/>
          <w:bCs/>
          <w:sz w:val="26"/>
          <w:szCs w:val="26"/>
          <w:rtl/>
        </w:rPr>
        <w:t>برنامج الأمم المتحدة الإنمائي</w:t>
      </w:r>
      <w:r w:rsidRPr="00616CD6">
        <w:rPr>
          <w:rFonts w:hint="cs"/>
          <w:b/>
          <w:bCs/>
          <w:sz w:val="26"/>
          <w:szCs w:val="26"/>
          <w:rtl/>
        </w:rPr>
        <w:t xml:space="preserve"> (اليوئنديبي)</w:t>
      </w:r>
      <w:r w:rsidRPr="00616CD6">
        <w:rPr>
          <w:b/>
          <w:bCs/>
          <w:sz w:val="26"/>
          <w:szCs w:val="26"/>
        </w:rPr>
        <w:t xml:space="preserve"> </w:t>
      </w:r>
    </w:p>
    <w:p w14:paraId="2FF1E6B5" w14:textId="77777777" w:rsidR="009E6143" w:rsidRPr="00616CD6" w:rsidRDefault="009E6143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وافقت اللجنة التنفيذية على طلب</w:t>
      </w:r>
      <w:r w:rsidR="000709A5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2021 لتمويل الوحدة الأساسية </w:t>
      </w:r>
      <w:r w:rsidR="000709A5" w:rsidRPr="00616CD6">
        <w:rPr>
          <w:rFonts w:hint="cs"/>
          <w:sz w:val="26"/>
          <w:szCs w:val="26"/>
          <w:rtl/>
        </w:rPr>
        <w:t>لليوئنديبي</w:t>
      </w:r>
      <w:r w:rsidRPr="00616CD6">
        <w:rPr>
          <w:sz w:val="26"/>
          <w:szCs w:val="26"/>
          <w:rtl/>
        </w:rPr>
        <w:t xml:space="preserve"> بمبلغ</w:t>
      </w:r>
      <w:r w:rsidR="000709A5" w:rsidRPr="00616CD6">
        <w:rPr>
          <w:rFonts w:hint="cs"/>
          <w:sz w:val="26"/>
          <w:szCs w:val="26"/>
          <w:rtl/>
        </w:rPr>
        <w:t xml:space="preserve"> قدره</w:t>
      </w:r>
      <w:r w:rsidRPr="00616CD6">
        <w:rPr>
          <w:sz w:val="26"/>
          <w:szCs w:val="26"/>
          <w:rtl/>
        </w:rPr>
        <w:t xml:space="preserve"> 2</w:t>
      </w:r>
      <w:r w:rsidR="000709A5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113</w:t>
      </w:r>
      <w:r w:rsidR="000709A5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148 دولار أمريكي (المقرر 86/62 (ب)). </w:t>
      </w:r>
      <w:r w:rsidR="000709A5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يعرض الجدول 1 ميزانية الوحدة الأساسية والتكاليف الإدارية التي قدمها </w:t>
      </w:r>
      <w:r w:rsidR="000709A5" w:rsidRPr="00616CD6">
        <w:rPr>
          <w:rFonts w:hint="cs"/>
          <w:sz w:val="26"/>
          <w:szCs w:val="26"/>
          <w:rtl/>
        </w:rPr>
        <w:t>اليوئنديبي</w:t>
      </w:r>
      <w:r w:rsidR="000709A5" w:rsidRPr="00616CD6">
        <w:rPr>
          <w:sz w:val="26"/>
          <w:szCs w:val="26"/>
          <w:rtl/>
        </w:rPr>
        <w:t xml:space="preserve"> </w:t>
      </w:r>
      <w:r w:rsidRPr="00616CD6">
        <w:rPr>
          <w:sz w:val="26"/>
          <w:szCs w:val="26"/>
          <w:rtl/>
        </w:rPr>
        <w:t>من</w:t>
      </w:r>
      <w:r w:rsidR="000709A5" w:rsidRPr="00616CD6">
        <w:rPr>
          <w:rFonts w:hint="cs"/>
          <w:sz w:val="26"/>
          <w:szCs w:val="26"/>
          <w:rtl/>
        </w:rPr>
        <w:t xml:space="preserve"> عام </w:t>
      </w:r>
      <w:r w:rsidRPr="00616CD6">
        <w:rPr>
          <w:sz w:val="26"/>
          <w:szCs w:val="26"/>
          <w:rtl/>
        </w:rPr>
        <w:t xml:space="preserve"> 2018 إلى</w:t>
      </w:r>
      <w:r w:rsidR="000709A5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2022.</w:t>
      </w:r>
    </w:p>
    <w:p w14:paraId="6E2C7469" w14:textId="77777777" w:rsidR="007E5D09" w:rsidRPr="00616CD6" w:rsidRDefault="000709A5" w:rsidP="004421B4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</w:rPr>
      </w:pPr>
      <w:r w:rsidRPr="00616CD6">
        <w:rPr>
          <w:b/>
          <w:bCs/>
          <w:sz w:val="26"/>
          <w:szCs w:val="26"/>
          <w:rtl/>
        </w:rPr>
        <w:t>الجدول 1</w:t>
      </w:r>
      <w:r w:rsidRPr="00616CD6">
        <w:rPr>
          <w:rFonts w:hint="cs"/>
          <w:b/>
          <w:bCs/>
          <w:sz w:val="26"/>
          <w:szCs w:val="26"/>
          <w:rtl/>
        </w:rPr>
        <w:t>-</w:t>
      </w:r>
      <w:r w:rsidR="009E6143" w:rsidRPr="00616CD6">
        <w:rPr>
          <w:b/>
          <w:bCs/>
          <w:sz w:val="26"/>
          <w:szCs w:val="26"/>
          <w:rtl/>
        </w:rPr>
        <w:t xml:space="preserve"> بيانات ميزانية الوحدة الأساسية والتكاليف الإدارية الأخرى للفترة من</w:t>
      </w:r>
      <w:r w:rsidR="004421B4" w:rsidRPr="00616CD6">
        <w:rPr>
          <w:rFonts w:hint="cs"/>
          <w:b/>
          <w:bCs/>
          <w:sz w:val="26"/>
          <w:szCs w:val="26"/>
          <w:rtl/>
        </w:rPr>
        <w:t xml:space="preserve">عام </w:t>
      </w:r>
      <w:r w:rsidR="009E6143" w:rsidRPr="00616CD6">
        <w:rPr>
          <w:b/>
          <w:bCs/>
          <w:sz w:val="26"/>
          <w:szCs w:val="26"/>
          <w:rtl/>
        </w:rPr>
        <w:t xml:space="preserve"> 2018 إلى</w:t>
      </w:r>
      <w:r w:rsidR="004421B4" w:rsidRPr="00616CD6">
        <w:rPr>
          <w:rFonts w:hint="cs"/>
          <w:b/>
          <w:bCs/>
          <w:sz w:val="26"/>
          <w:szCs w:val="26"/>
          <w:rtl/>
        </w:rPr>
        <w:t xml:space="preserve"> عام</w:t>
      </w:r>
      <w:r w:rsidR="009E6143" w:rsidRPr="00616CD6">
        <w:rPr>
          <w:b/>
          <w:bCs/>
          <w:sz w:val="26"/>
          <w:szCs w:val="26"/>
          <w:rtl/>
        </w:rPr>
        <w:t xml:space="preserve"> 2022 </w:t>
      </w:r>
      <w:r w:rsidR="004421B4" w:rsidRPr="00616CD6">
        <w:rPr>
          <w:rFonts w:hint="cs"/>
          <w:b/>
          <w:bCs/>
          <w:sz w:val="26"/>
          <w:szCs w:val="26"/>
          <w:rtl/>
        </w:rPr>
        <w:t>لليوئنديبي</w:t>
      </w:r>
      <w:r w:rsidR="009E6143" w:rsidRPr="00616CD6">
        <w:rPr>
          <w:b/>
          <w:bCs/>
          <w:sz w:val="26"/>
          <w:szCs w:val="26"/>
          <w:rtl/>
        </w:rPr>
        <w:t xml:space="preserve"> (بالدولار الأمريكي)</w:t>
      </w:r>
    </w:p>
    <w:tbl>
      <w:tblPr>
        <w:bidiVisual/>
        <w:tblW w:w="9286" w:type="dxa"/>
        <w:tblInd w:w="30" w:type="dxa"/>
        <w:tblLook w:val="04A0" w:firstRow="1" w:lastRow="0" w:firstColumn="1" w:lastColumn="0" w:noHBand="0" w:noVBand="1"/>
      </w:tblPr>
      <w:tblGrid>
        <w:gridCol w:w="2636"/>
        <w:gridCol w:w="1096"/>
        <w:gridCol w:w="1096"/>
        <w:gridCol w:w="1096"/>
        <w:gridCol w:w="1096"/>
        <w:gridCol w:w="1170"/>
        <w:gridCol w:w="1096"/>
      </w:tblGrid>
      <w:tr w:rsidR="009E6143" w:rsidRPr="00FE26D1" w14:paraId="468ECE73" w14:textId="77777777" w:rsidTr="008A008E">
        <w:trPr>
          <w:tblHeader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14:paraId="3A7AC500" w14:textId="77777777" w:rsidR="009E6143" w:rsidRPr="008A008E" w:rsidRDefault="0054593B" w:rsidP="0054593B">
            <w:pPr>
              <w:bidi/>
              <w:jc w:val="center"/>
              <w:rPr>
                <w:b/>
                <w:bCs/>
                <w:color w:val="000000"/>
                <w:sz w:val="20"/>
                <w:lang w:val="en-US"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بند التكلفة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75C" w14:textId="77777777" w:rsidR="009E6143" w:rsidRPr="00FE26D1" w:rsidRDefault="009E6143" w:rsidP="00C869B1">
            <w:pPr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2D67" w14:textId="77777777" w:rsidR="009E6143" w:rsidRPr="00FE26D1" w:rsidRDefault="009E6143" w:rsidP="00C869B1">
            <w:pPr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9F1C" w14:textId="77777777" w:rsidR="009E6143" w:rsidRPr="00FE26D1" w:rsidRDefault="009E6143" w:rsidP="00C869B1">
            <w:pPr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2020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D514" w14:textId="77777777" w:rsidR="009E6143" w:rsidRPr="00FE26D1" w:rsidRDefault="009E6143" w:rsidP="00C869B1">
            <w:pPr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2021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4D4A" w14:textId="77777777" w:rsidR="009E6143" w:rsidRPr="00FE26D1" w:rsidRDefault="009E6143" w:rsidP="00C869B1">
            <w:pPr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2022</w:t>
            </w:r>
          </w:p>
        </w:tc>
      </w:tr>
      <w:tr w:rsidR="009E6143" w:rsidRPr="00FE26D1" w14:paraId="39AD85EB" w14:textId="77777777" w:rsidTr="008A008E">
        <w:trPr>
          <w:tblHeader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hideMark/>
          </w:tcPr>
          <w:p w14:paraId="6F92DEF3" w14:textId="77777777" w:rsidR="009E6143" w:rsidRPr="00FE26D1" w:rsidRDefault="009E6143" w:rsidP="00C869B1">
            <w:pPr>
              <w:jc w:val="left"/>
              <w:rPr>
                <w:b/>
                <w:bCs/>
                <w:color w:val="000000"/>
                <w:sz w:val="20"/>
                <w:lang w:eastAsia="en-C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13EC" w14:textId="77777777" w:rsidR="009E6143" w:rsidRPr="00FE26D1" w:rsidRDefault="008A008E" w:rsidP="008A008E">
            <w:pPr>
              <w:bidi/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الفعلية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4A7A" w14:textId="77777777" w:rsidR="009E6143" w:rsidRPr="00FE26D1" w:rsidRDefault="008A008E" w:rsidP="008A008E">
            <w:pPr>
              <w:bidi/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الفعلية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335D" w14:textId="77777777" w:rsidR="009E6143" w:rsidRPr="00FE26D1" w:rsidRDefault="008A008E" w:rsidP="008A008E">
            <w:pPr>
              <w:bidi/>
              <w:jc w:val="center"/>
              <w:rPr>
                <w:b/>
                <w:bCs/>
                <w:color w:val="000000"/>
                <w:sz w:val="20"/>
                <w:rtl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الفعلية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592A" w14:textId="77777777" w:rsidR="009E6143" w:rsidRPr="00FE26D1" w:rsidRDefault="008A008E" w:rsidP="008A008E">
            <w:pPr>
              <w:bidi/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الميزانية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8D0D" w14:textId="77777777" w:rsidR="009E6143" w:rsidRPr="00FE26D1" w:rsidRDefault="008A008E" w:rsidP="008A008E">
            <w:pPr>
              <w:bidi/>
              <w:jc w:val="center"/>
              <w:rPr>
                <w:b/>
                <w:bCs/>
                <w:color w:val="000000"/>
                <w:sz w:val="20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التقديرية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2208" w14:textId="77777777" w:rsidR="009E6143" w:rsidRPr="00FE26D1" w:rsidRDefault="008A008E" w:rsidP="008A008E">
            <w:pPr>
              <w:bidi/>
              <w:jc w:val="center"/>
              <w:rPr>
                <w:b/>
                <w:bCs/>
                <w:color w:val="000000"/>
                <w:sz w:val="20"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CA"/>
              </w:rPr>
              <w:t>المقترحة</w:t>
            </w:r>
          </w:p>
        </w:tc>
      </w:tr>
      <w:tr w:rsidR="009E6143" w:rsidRPr="00FE26D1" w14:paraId="3E35A35E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50F74955" w14:textId="77777777" w:rsidR="00377AF2" w:rsidRPr="00377AF2" w:rsidRDefault="00377AF2" w:rsidP="00377AF2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العاملون في الوحدة الأساسية والموظفون المتعاقدون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39C52E3A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2,375,437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392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2,379,866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5356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2,316,147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E848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2,524,800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C41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2,385,632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4C3E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2,457,201</w:t>
            </w:r>
          </w:p>
        </w:tc>
      </w:tr>
      <w:tr w:rsidR="009E6143" w:rsidRPr="00FE26D1" w14:paraId="543B92C6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2AC91383" w14:textId="77777777" w:rsidR="00377AF2" w:rsidRPr="00377AF2" w:rsidRDefault="00377AF2" w:rsidP="00377AF2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السفر (الموظفون والاستشاريون)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7EFE4235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176,170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DF3D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182,129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2E42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17,032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60A2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0BB4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E4F6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150,000</w:t>
            </w:r>
          </w:p>
        </w:tc>
      </w:tr>
      <w:tr w:rsidR="009E6143" w:rsidRPr="00FE26D1" w14:paraId="004C1C3B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0C7A94DE" w14:textId="77777777" w:rsidR="00377AF2" w:rsidRPr="00377AF2" w:rsidRDefault="00377AF2" w:rsidP="00377AF2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55ADC171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164,998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001E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153,176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403C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130,925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269F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168,877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8018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130,925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0CDB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130,925</w:t>
            </w:r>
          </w:p>
        </w:tc>
      </w:tr>
      <w:tr w:rsidR="009E6143" w:rsidRPr="00FE26D1" w14:paraId="3A58AD5E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02E3C1C7" w14:textId="77777777" w:rsidR="00377AF2" w:rsidRPr="00377AF2" w:rsidRDefault="002D311B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المعدات والإمدادات والتكاليف الأخرى (أجهزة الكمبيوتر والإمدادات)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768DA79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12,146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3756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8,351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B7C8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15,777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4FD2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EECC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FB34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10,000</w:t>
            </w:r>
          </w:p>
        </w:tc>
      </w:tr>
      <w:tr w:rsidR="009E6143" w:rsidRPr="00FE26D1" w14:paraId="622B5F72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76FFC0D1" w14:textId="77777777" w:rsidR="002D311B" w:rsidRPr="002D311B" w:rsidRDefault="002D311B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الخدمات التعاقدية (الشركات)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4C9511AE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13,510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0E84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24,300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8A5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1,648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E6EC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A6A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3F7C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25,000</w:t>
            </w:r>
          </w:p>
        </w:tc>
      </w:tr>
      <w:tr w:rsidR="009E6143" w:rsidRPr="00FE26D1" w14:paraId="66FA4597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34F98BBB" w14:textId="77777777" w:rsidR="002D311B" w:rsidRPr="002D311B" w:rsidRDefault="001C4003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سداد </w:t>
            </w:r>
            <w:r w:rsidR="00157FDF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نفقات</w:t>
            </w:r>
            <w:r w:rsidR="002D311B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 الخدمات المركزية لموظفي الوحدة الأساسية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64724D5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381,004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E1BD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240,968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C3CF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251,221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C63A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535E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351C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250,000</w:t>
            </w:r>
          </w:p>
        </w:tc>
      </w:tr>
      <w:tr w:rsidR="009E6143" w:rsidRPr="00FE26D1" w14:paraId="198DDD54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2A4CAA91" w14:textId="77777777" w:rsidR="002D311B" w:rsidRPr="002D311B" w:rsidRDefault="002D311B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البدلات (+ = الناقص و- = الفائض)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5A38480D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-1,053,880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1096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-904,918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199E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-601,414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950C" w14:textId="77777777" w:rsidR="009E6143" w:rsidRPr="00FE26D1" w:rsidRDefault="009E6143" w:rsidP="00C869B1">
            <w:pPr>
              <w:ind w:left="-120"/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-1,015,528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AE3F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-673,909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8C43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-895,186</w:t>
            </w:r>
          </w:p>
        </w:tc>
      </w:tr>
      <w:tr w:rsidR="009E6143" w:rsidRPr="00FE26D1" w14:paraId="124B2686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7270A412" w14:textId="77777777" w:rsidR="002D311B" w:rsidRPr="002D311B" w:rsidRDefault="002D311B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66534E75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CB87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88A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-32,878**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25FA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C93A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9501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</w:tr>
      <w:tr w:rsidR="009E6143" w:rsidRPr="00FE26D1" w14:paraId="6C2641C5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6811B061" w14:textId="77777777" w:rsidR="002D311B" w:rsidRPr="002D311B" w:rsidRDefault="002D311B" w:rsidP="002D311B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ألف- المجموع الفرعي لتكاليف الوحدة الأساسية*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14:paraId="09A860F1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2,069,385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C004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2,083,871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115A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2,098,458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7080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2,113,148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D14A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2,113,148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E836" w14:textId="77777777" w:rsidR="009E6143" w:rsidRPr="00FE26D1" w:rsidRDefault="009E6143" w:rsidP="00C869B1">
            <w:pPr>
              <w:jc w:val="right"/>
              <w:rPr>
                <w:b/>
                <w:color w:val="000000"/>
                <w:sz w:val="20"/>
                <w:lang w:eastAsia="en-CA"/>
              </w:rPr>
            </w:pPr>
            <w:r w:rsidRPr="00FE26D1">
              <w:rPr>
                <w:b/>
                <w:color w:val="000000"/>
                <w:sz w:val="20"/>
                <w:lang w:eastAsia="en-CA"/>
              </w:rPr>
              <w:t>2,127,940</w:t>
            </w:r>
          </w:p>
        </w:tc>
      </w:tr>
      <w:tr w:rsidR="009E6143" w:rsidRPr="00FE26D1" w14:paraId="3F25D680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12B620D3" w14:textId="77777777" w:rsidR="002D311B" w:rsidRPr="002D311B" w:rsidRDefault="001C4003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سداد </w:t>
            </w:r>
            <w:r w:rsidR="00157FDF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نفقات </w:t>
            </w:r>
            <w:r w:rsidR="002D311B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المكاتب القطرية والتنفيذ الوطني، بما في ذلك النفقات الثابتة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F4AC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2,214,588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6944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488,288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161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1,077,150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6524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742,500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DD56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742,500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FC1D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742,500</w:t>
            </w:r>
          </w:p>
        </w:tc>
      </w:tr>
      <w:tr w:rsidR="009E6143" w:rsidRPr="00FE26D1" w14:paraId="71A189B3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29A2D0E8" w14:textId="77777777" w:rsidR="002D311B" w:rsidRPr="002D311B" w:rsidRDefault="002D311B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دعم الوكالة المنفذة (داخليا)، بما في ذلك النفقات الثابتة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170A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D4C5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3FE4" w14:textId="77777777" w:rsidR="009E6143" w:rsidRPr="00FE26D1" w:rsidRDefault="009E6143" w:rsidP="00C869B1">
            <w:pPr>
              <w:jc w:val="right"/>
              <w:rPr>
                <w:sz w:val="20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DBC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515B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C86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</w:tr>
      <w:tr w:rsidR="009E6143" w:rsidRPr="00FE26D1" w14:paraId="042F5ED4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5D2C7AA2" w14:textId="77777777" w:rsidR="002D311B" w:rsidRPr="002D311B" w:rsidRDefault="002D311B" w:rsidP="002D311B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الوسائط المالية، </w:t>
            </w:r>
            <w:r w:rsidR="007F7CCC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بما في ذلك النفقات الثابتة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7431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3F62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8CA9" w14:textId="77777777" w:rsidR="009E6143" w:rsidRPr="00FE26D1" w:rsidRDefault="009E6143" w:rsidP="00C869B1">
            <w:pPr>
              <w:jc w:val="right"/>
              <w:rPr>
                <w:sz w:val="20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0531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DB74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C2E4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</w:tr>
      <w:tr w:rsidR="009E6143" w:rsidRPr="00FE26D1" w14:paraId="78F61D33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28558EC2" w14:textId="77777777" w:rsidR="007F7CCC" w:rsidRPr="007F7CCC" w:rsidRDefault="00F75B50" w:rsidP="007F7CCC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سداد </w:t>
            </w:r>
            <w:r w:rsidR="00157FDF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نفقات </w:t>
            </w:r>
            <w:r w:rsidR="007F7CCC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الخدمات المركزية لموظفي الوحدة الأساسية (بما في ذلك النفقات الثابتة)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749A" w14:textId="77777777" w:rsidR="009E6143" w:rsidRPr="00FE26D1" w:rsidRDefault="009E6143" w:rsidP="00C869B1">
            <w:pPr>
              <w:jc w:val="lef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26C3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F98E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9A05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9F1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FC5B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</w:tr>
      <w:tr w:rsidR="009E6143" w:rsidRPr="00FE26D1" w14:paraId="2C374439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14CB2E2F" w14:textId="77777777" w:rsidR="009E6143" w:rsidRPr="00FE26D1" w:rsidRDefault="002B23AB" w:rsidP="002B23AB">
            <w:pPr>
              <w:bidi/>
              <w:jc w:val="left"/>
              <w:rPr>
                <w:color w:val="000000"/>
                <w:sz w:val="20"/>
                <w:lang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استعادة التكلفة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FE7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381,004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DEEB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240,968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835B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251,221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3DC9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0816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F315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250,000</w:t>
            </w:r>
          </w:p>
        </w:tc>
      </w:tr>
      <w:tr w:rsidR="009E6143" w:rsidRPr="00FE26D1" w14:paraId="0D1867F6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5F40FF25" w14:textId="77777777" w:rsidR="001A4901" w:rsidRPr="001A4901" w:rsidRDefault="00C620F0" w:rsidP="00C620F0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البدلات</w:t>
            </w:r>
            <w:r w:rsidR="001A4901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 (+ = </w:t>
            </w: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 xml:space="preserve">الفائض </w:t>
            </w:r>
            <w:r w:rsidR="001A4901"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و- = الناقص)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105F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1,053,880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F5DD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904,918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E198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601,414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7AE8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1,015,528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E555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673,909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B98F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895,186</w:t>
            </w:r>
          </w:p>
        </w:tc>
      </w:tr>
      <w:tr w:rsidR="009E6143" w:rsidRPr="00FE26D1" w14:paraId="09678E39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7C590701" w14:textId="77777777" w:rsidR="00C620F0" w:rsidRPr="00C620F0" w:rsidRDefault="00C620F0" w:rsidP="00C620F0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المشروع (- = الذي سيخصم وبالتالي سيلغى)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ABDE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6340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74FA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75DB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46FF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88D1" w14:textId="77777777" w:rsidR="009E6143" w:rsidRPr="00FE26D1" w:rsidRDefault="009E6143" w:rsidP="00C869B1">
            <w:pPr>
              <w:jc w:val="right"/>
              <w:rPr>
                <w:color w:val="000000"/>
                <w:sz w:val="20"/>
                <w:lang w:eastAsia="en-CA"/>
              </w:rPr>
            </w:pPr>
            <w:r w:rsidRPr="00FE26D1">
              <w:rPr>
                <w:color w:val="000000"/>
                <w:sz w:val="20"/>
                <w:lang w:eastAsia="en-CA"/>
              </w:rPr>
              <w:t> </w:t>
            </w:r>
          </w:p>
        </w:tc>
      </w:tr>
      <w:tr w:rsidR="009E6143" w:rsidRPr="00FE26D1" w14:paraId="5071F5DA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64C7E171" w14:textId="77777777" w:rsidR="00C620F0" w:rsidRPr="00C620F0" w:rsidRDefault="00C620F0" w:rsidP="00C620F0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المجموع الفرعي لتكاليف دعم الوكالة / تكاليف التنفيذ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A9DB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3,649,473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0F6C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1,634,174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8C68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1,929,785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5A74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2,008,028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0AD4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1,666,409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3611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1,887,686</w:t>
            </w:r>
          </w:p>
        </w:tc>
      </w:tr>
      <w:tr w:rsidR="009E6143" w:rsidRPr="00FE26D1" w14:paraId="1DF10327" w14:textId="77777777" w:rsidTr="008A008E"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hideMark/>
          </w:tcPr>
          <w:p w14:paraId="3EF19791" w14:textId="77777777" w:rsidR="00C620F0" w:rsidRPr="00C620F0" w:rsidRDefault="00C620F0" w:rsidP="00C620F0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المجموع الكلي (ألف + باء)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AAE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5,718,858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395C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3,718,046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13A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4,028,243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3764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4,121,176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CF72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3,779,557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1344" w14:textId="77777777" w:rsidR="009E6143" w:rsidRPr="00FE26D1" w:rsidRDefault="009E6143" w:rsidP="00C869B1">
            <w:pPr>
              <w:jc w:val="right"/>
              <w:rPr>
                <w:b/>
                <w:bCs/>
                <w:color w:val="000000"/>
                <w:sz w:val="20"/>
                <w:lang w:eastAsia="en-CA"/>
              </w:rPr>
            </w:pPr>
            <w:r w:rsidRPr="00FE26D1">
              <w:rPr>
                <w:b/>
                <w:bCs/>
                <w:color w:val="000000"/>
                <w:sz w:val="20"/>
                <w:lang w:eastAsia="en-CA"/>
              </w:rPr>
              <w:t>4,015,626</w:t>
            </w:r>
          </w:p>
        </w:tc>
      </w:tr>
    </w:tbl>
    <w:p w14:paraId="4212B4C7" w14:textId="77777777" w:rsidR="009E6143" w:rsidRPr="00D83458" w:rsidRDefault="009E6143" w:rsidP="00F41CE5">
      <w:pPr>
        <w:pStyle w:val="StyleHeader4Para4Left0Firstline0"/>
        <w:numPr>
          <w:ilvl w:val="0"/>
          <w:numId w:val="0"/>
        </w:numPr>
        <w:bidi/>
        <w:rPr>
          <w:rtl/>
          <w:lang w:bidi="ar-SA"/>
        </w:rPr>
      </w:pPr>
      <w:r w:rsidRPr="009B7DF8">
        <w:rPr>
          <w:rtl/>
        </w:rPr>
        <w:t xml:space="preserve">* تكلفة الوحدة الأساسية أعلى من المجموع الفرعي المسموح به </w:t>
      </w:r>
      <w:r w:rsidR="004F5F58">
        <w:rPr>
          <w:rFonts w:hint="cs"/>
          <w:rtl/>
        </w:rPr>
        <w:t>وقدره</w:t>
      </w:r>
      <w:r w:rsidRPr="009B7DF8">
        <w:rPr>
          <w:rtl/>
        </w:rPr>
        <w:t xml:space="preserve"> 2</w:t>
      </w:r>
      <w:r w:rsidR="004F5F58">
        <w:rPr>
          <w:rFonts w:hint="cs"/>
          <w:rtl/>
        </w:rPr>
        <w:t>,</w:t>
      </w:r>
      <w:r w:rsidRPr="009B7DF8">
        <w:rPr>
          <w:rtl/>
        </w:rPr>
        <w:t>069</w:t>
      </w:r>
      <w:r w:rsidR="004F5F58">
        <w:rPr>
          <w:rFonts w:hint="cs"/>
          <w:rtl/>
        </w:rPr>
        <w:t>,</w:t>
      </w:r>
      <w:r w:rsidRPr="009B7DF8">
        <w:rPr>
          <w:rtl/>
        </w:rPr>
        <w:t>3</w:t>
      </w:r>
      <w:r w:rsidR="004F5F58">
        <w:rPr>
          <w:rtl/>
        </w:rPr>
        <w:t>85 دولارًا أمريكيًا في عام 2018</w:t>
      </w:r>
      <w:r w:rsidRPr="009B7DF8">
        <w:rPr>
          <w:rtl/>
        </w:rPr>
        <w:t>، و 2</w:t>
      </w:r>
      <w:r w:rsidR="004F5F58">
        <w:rPr>
          <w:rFonts w:hint="cs"/>
          <w:rtl/>
        </w:rPr>
        <w:t>,</w:t>
      </w:r>
      <w:r w:rsidRPr="009B7DF8">
        <w:rPr>
          <w:rtl/>
        </w:rPr>
        <w:t>083</w:t>
      </w:r>
      <w:r w:rsidR="004F5F58">
        <w:rPr>
          <w:rFonts w:hint="cs"/>
          <w:rtl/>
        </w:rPr>
        <w:t>,</w:t>
      </w:r>
      <w:r w:rsidRPr="009B7DF8">
        <w:rPr>
          <w:rtl/>
        </w:rPr>
        <w:t>8</w:t>
      </w:r>
      <w:r w:rsidR="004F5F58">
        <w:rPr>
          <w:rtl/>
        </w:rPr>
        <w:t>71 دولارًا أمريكيًا في عام 2019</w:t>
      </w:r>
      <w:r w:rsidRPr="009B7DF8">
        <w:rPr>
          <w:rtl/>
        </w:rPr>
        <w:t>، و 2</w:t>
      </w:r>
      <w:r w:rsidR="004F5F58">
        <w:rPr>
          <w:rFonts w:hint="cs"/>
          <w:rtl/>
        </w:rPr>
        <w:t>,</w:t>
      </w:r>
      <w:r w:rsidRPr="009B7DF8">
        <w:rPr>
          <w:rtl/>
        </w:rPr>
        <w:t>098</w:t>
      </w:r>
      <w:r w:rsidR="004F5F58">
        <w:rPr>
          <w:rFonts w:hint="cs"/>
          <w:rtl/>
        </w:rPr>
        <w:t>,</w:t>
      </w:r>
      <w:r w:rsidRPr="009B7DF8">
        <w:rPr>
          <w:rtl/>
        </w:rPr>
        <w:t>4</w:t>
      </w:r>
      <w:r w:rsidR="004F5F58">
        <w:rPr>
          <w:rtl/>
        </w:rPr>
        <w:t>58 دولارًا أمريكيًا في عام 2020</w:t>
      </w:r>
      <w:r w:rsidRPr="009B7DF8">
        <w:rPr>
          <w:rtl/>
        </w:rPr>
        <w:t>، و 2</w:t>
      </w:r>
      <w:r w:rsidR="004F5F58">
        <w:rPr>
          <w:rFonts w:hint="cs"/>
          <w:rtl/>
        </w:rPr>
        <w:t>,</w:t>
      </w:r>
      <w:r w:rsidRPr="009B7DF8">
        <w:rPr>
          <w:rtl/>
        </w:rPr>
        <w:t>113</w:t>
      </w:r>
      <w:r w:rsidR="004F5F58">
        <w:rPr>
          <w:rFonts w:hint="cs"/>
          <w:rtl/>
        </w:rPr>
        <w:t>,</w:t>
      </w:r>
      <w:r w:rsidRPr="009B7DF8">
        <w:rPr>
          <w:rtl/>
        </w:rPr>
        <w:t>148</w:t>
      </w:r>
      <w:r w:rsidR="004F5F58">
        <w:rPr>
          <w:rtl/>
        </w:rPr>
        <w:t xml:space="preserve"> دولارًا أمريكيًا في عام 2021. لذلك</w:t>
      </w:r>
      <w:r w:rsidRPr="009B7DF8">
        <w:rPr>
          <w:rtl/>
        </w:rPr>
        <w:t xml:space="preserve">، تم إدخال بند </w:t>
      </w:r>
      <w:r w:rsidR="000477FB">
        <w:rPr>
          <w:rFonts w:hint="cs"/>
          <w:rtl/>
        </w:rPr>
        <w:t>تسوية</w:t>
      </w:r>
      <w:r w:rsidRPr="009B7DF8">
        <w:rPr>
          <w:rtl/>
        </w:rPr>
        <w:t xml:space="preserve"> وتعديل سلبي</w:t>
      </w:r>
      <w:r w:rsidR="004F5F58">
        <w:rPr>
          <w:rtl/>
        </w:rPr>
        <w:t xml:space="preserve"> للوصول إلى </w:t>
      </w:r>
      <w:r w:rsidR="000477FB" w:rsidRPr="00451D92">
        <w:rPr>
          <w:rtl/>
        </w:rPr>
        <w:t xml:space="preserve">الحد الأقصى </w:t>
      </w:r>
      <w:r w:rsidR="004F5F58">
        <w:rPr>
          <w:rtl/>
        </w:rPr>
        <w:t xml:space="preserve">المطلوب. كما </w:t>
      </w:r>
      <w:r w:rsidRPr="009B7DF8">
        <w:rPr>
          <w:rtl/>
        </w:rPr>
        <w:t xml:space="preserve">تم </w:t>
      </w:r>
      <w:r w:rsidR="004F5F58">
        <w:rPr>
          <w:rFonts w:hint="cs"/>
          <w:rtl/>
        </w:rPr>
        <w:t>تقديم</w:t>
      </w:r>
      <w:r w:rsidRPr="009B7DF8">
        <w:rPr>
          <w:rtl/>
        </w:rPr>
        <w:t xml:space="preserve"> تعديل إيجابي مقابل في إطار تكاليف دعم الوكالة</w:t>
      </w:r>
      <w:r w:rsidR="004F5F58">
        <w:rPr>
          <w:rFonts w:hint="cs"/>
          <w:rtl/>
        </w:rPr>
        <w:t>/ التنفيذ</w:t>
      </w:r>
      <w:r w:rsidRPr="009B7DF8">
        <w:rPr>
          <w:rtl/>
        </w:rPr>
        <w:t xml:space="preserve"> </w:t>
      </w:r>
      <w:r w:rsidR="00F41CE5">
        <w:rPr>
          <w:rFonts w:hint="cs"/>
          <w:rtl/>
        </w:rPr>
        <w:t>كي يضمن أن يوضح</w:t>
      </w:r>
      <w:r w:rsidRPr="009B7DF8">
        <w:rPr>
          <w:rtl/>
        </w:rPr>
        <w:t xml:space="preserve"> </w:t>
      </w:r>
      <w:r w:rsidR="00C323F6">
        <w:rPr>
          <w:rtl/>
        </w:rPr>
        <w:t xml:space="preserve">إجمالي التكاليف المتكبدة </w:t>
      </w:r>
      <w:r w:rsidR="00C323F6">
        <w:rPr>
          <w:rFonts w:hint="cs"/>
          <w:rtl/>
        </w:rPr>
        <w:t>ل</w:t>
      </w:r>
      <w:r w:rsidRPr="009B7DF8">
        <w:rPr>
          <w:rtl/>
        </w:rPr>
        <w:t>لتكاليف الإدارية أيضًا المبلغ الذي تجاوزته الوكالة.</w:t>
      </w:r>
    </w:p>
    <w:p w14:paraId="62AE0651" w14:textId="77777777" w:rsidR="009E6143" w:rsidRPr="00616CD6" w:rsidRDefault="009E6143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 xml:space="preserve">يمثل طلب </w:t>
      </w:r>
      <w:r w:rsidR="00B92648" w:rsidRPr="00616CD6">
        <w:rPr>
          <w:rFonts w:hint="cs"/>
          <w:sz w:val="26"/>
          <w:szCs w:val="26"/>
          <w:rtl/>
        </w:rPr>
        <w:t>اليوئنديبي</w:t>
      </w:r>
      <w:r w:rsidRPr="00616CD6">
        <w:rPr>
          <w:sz w:val="26"/>
          <w:szCs w:val="26"/>
          <w:rtl/>
        </w:rPr>
        <w:t xml:space="preserve"> </w:t>
      </w:r>
      <w:r w:rsidR="00DE0484" w:rsidRPr="00616CD6">
        <w:rPr>
          <w:rFonts w:hint="cs"/>
          <w:sz w:val="26"/>
          <w:szCs w:val="26"/>
          <w:rtl/>
        </w:rPr>
        <w:t>المبلغ</w:t>
      </w:r>
      <w:r w:rsidRPr="00616CD6">
        <w:rPr>
          <w:sz w:val="26"/>
          <w:szCs w:val="26"/>
          <w:rtl/>
        </w:rPr>
        <w:t xml:space="preserve"> 2</w:t>
      </w:r>
      <w:r w:rsidR="00B92648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127</w:t>
      </w:r>
      <w:r w:rsidR="00B92648" w:rsidRPr="00616CD6">
        <w:rPr>
          <w:rFonts w:hint="cs"/>
          <w:sz w:val="26"/>
          <w:szCs w:val="26"/>
          <w:rtl/>
        </w:rPr>
        <w:t>,</w:t>
      </w:r>
      <w:r w:rsidR="00B92648" w:rsidRPr="00616CD6">
        <w:rPr>
          <w:sz w:val="26"/>
          <w:szCs w:val="26"/>
          <w:rtl/>
        </w:rPr>
        <w:t>940 دولارًا أمريكيًا لميزانية وحد</w:t>
      </w:r>
      <w:r w:rsidR="00B92648" w:rsidRPr="00616CD6">
        <w:rPr>
          <w:rFonts w:hint="cs"/>
          <w:sz w:val="26"/>
          <w:szCs w:val="26"/>
          <w:rtl/>
        </w:rPr>
        <w:t>ته</w:t>
      </w:r>
      <w:r w:rsidRPr="00616CD6">
        <w:rPr>
          <w:sz w:val="26"/>
          <w:szCs w:val="26"/>
          <w:rtl/>
        </w:rPr>
        <w:t xml:space="preserve"> الأساسية لعام 2022 زيادة بنسبة </w:t>
      </w:r>
      <w:r w:rsidRPr="00616CD6">
        <w:rPr>
          <w:sz w:val="26"/>
          <w:szCs w:val="26"/>
          <w:rtl/>
        </w:rPr>
        <w:lastRenderedPageBreak/>
        <w:t>0.7 في المائة في الميزانية المعتمدة لعام 2021.</w:t>
      </w:r>
      <w:r w:rsidR="00B92648" w:rsidRPr="00616CD6">
        <w:rPr>
          <w:rStyle w:val="FootnoteReference"/>
          <w:sz w:val="26"/>
          <w:szCs w:val="26"/>
          <w:rtl/>
        </w:rPr>
        <w:footnoteReference w:id="4"/>
      </w:r>
      <w:r w:rsidRPr="00616CD6">
        <w:rPr>
          <w:sz w:val="26"/>
          <w:szCs w:val="26"/>
          <w:rtl/>
        </w:rPr>
        <w:t xml:space="preserve"> ويتوقع </w:t>
      </w:r>
      <w:r w:rsidR="00040C8B" w:rsidRPr="00616CD6">
        <w:rPr>
          <w:rFonts w:hint="cs"/>
          <w:sz w:val="26"/>
          <w:szCs w:val="26"/>
          <w:rtl/>
        </w:rPr>
        <w:t>اليوئنديبي</w:t>
      </w:r>
      <w:r w:rsidRPr="00616CD6">
        <w:rPr>
          <w:sz w:val="26"/>
          <w:szCs w:val="26"/>
          <w:rtl/>
        </w:rPr>
        <w:t xml:space="preserve"> أن تتجاوز تكاليف وحدته الأساسية هذا المبلغ </w:t>
      </w:r>
      <w:r w:rsidR="00040C8B" w:rsidRPr="00616CD6">
        <w:rPr>
          <w:rFonts w:hint="cs"/>
          <w:sz w:val="26"/>
          <w:szCs w:val="26"/>
          <w:rtl/>
        </w:rPr>
        <w:t xml:space="preserve">بقيمة 895,186 </w:t>
      </w:r>
      <w:r w:rsidRPr="00616CD6">
        <w:rPr>
          <w:sz w:val="26"/>
          <w:szCs w:val="26"/>
          <w:rtl/>
        </w:rPr>
        <w:t xml:space="preserve">دولارًا أمريكيًا (يشار إليه باسم "تعديل" في الجدول 1 ). وقد تجاوز </w:t>
      </w:r>
      <w:r w:rsidR="00040C8B" w:rsidRPr="00616CD6">
        <w:rPr>
          <w:rFonts w:hint="cs"/>
          <w:sz w:val="26"/>
          <w:szCs w:val="26"/>
          <w:rtl/>
        </w:rPr>
        <w:t>اليوئنديبي</w:t>
      </w:r>
      <w:r w:rsidR="00040C8B" w:rsidRPr="00616CD6">
        <w:rPr>
          <w:sz w:val="26"/>
          <w:szCs w:val="26"/>
          <w:rtl/>
        </w:rPr>
        <w:t xml:space="preserve"> مخصصاته في </w:t>
      </w:r>
      <w:r w:rsidR="00040C8B" w:rsidRPr="00616CD6">
        <w:rPr>
          <w:rFonts w:hint="cs"/>
          <w:sz w:val="26"/>
          <w:szCs w:val="26"/>
          <w:rtl/>
        </w:rPr>
        <w:t>ال</w:t>
      </w:r>
      <w:r w:rsidR="00040C8B" w:rsidRPr="00616CD6">
        <w:rPr>
          <w:sz w:val="26"/>
          <w:szCs w:val="26"/>
          <w:rtl/>
        </w:rPr>
        <w:t xml:space="preserve">ميزانية </w:t>
      </w:r>
      <w:r w:rsidR="00040C8B" w:rsidRPr="00616CD6">
        <w:rPr>
          <w:rFonts w:hint="cs"/>
          <w:sz w:val="26"/>
          <w:szCs w:val="26"/>
          <w:rtl/>
        </w:rPr>
        <w:t>ل</w:t>
      </w:r>
      <w:r w:rsidRPr="00616CD6">
        <w:rPr>
          <w:sz w:val="26"/>
          <w:szCs w:val="26"/>
          <w:rtl/>
        </w:rPr>
        <w:t xml:space="preserve">وحدته الأساسية </w:t>
      </w:r>
      <w:r w:rsidR="00040C8B" w:rsidRPr="00616CD6">
        <w:rPr>
          <w:rFonts w:hint="cs"/>
          <w:sz w:val="26"/>
          <w:szCs w:val="26"/>
          <w:rtl/>
        </w:rPr>
        <w:t>كالمعتاد</w:t>
      </w:r>
      <w:r w:rsidR="00040C8B" w:rsidRPr="00616CD6">
        <w:rPr>
          <w:rStyle w:val="FootnoteReference"/>
          <w:sz w:val="26"/>
          <w:szCs w:val="26"/>
          <w:rtl/>
        </w:rPr>
        <w:footnoteReference w:id="5"/>
      </w:r>
      <w:r w:rsidR="00040C8B" w:rsidRPr="00616CD6">
        <w:rPr>
          <w:rFonts w:hint="cs"/>
          <w:sz w:val="26"/>
          <w:szCs w:val="26"/>
          <w:rtl/>
        </w:rPr>
        <w:t xml:space="preserve"> </w:t>
      </w:r>
      <w:r w:rsidRPr="00616CD6">
        <w:rPr>
          <w:sz w:val="26"/>
          <w:szCs w:val="26"/>
          <w:rtl/>
        </w:rPr>
        <w:t xml:space="preserve">واسترد تلك التكاليف من تكاليف الدعم المكتسبة </w:t>
      </w:r>
      <w:r w:rsidR="00040C8B" w:rsidRPr="00616CD6">
        <w:rPr>
          <w:sz w:val="26"/>
          <w:szCs w:val="26"/>
          <w:rtl/>
        </w:rPr>
        <w:t>خلال تنفيذ مشر</w:t>
      </w:r>
      <w:r w:rsidR="00040C8B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ع</w:t>
      </w:r>
      <w:r w:rsidR="00040C8B" w:rsidRPr="00616CD6">
        <w:rPr>
          <w:rFonts w:hint="cs"/>
          <w:sz w:val="26"/>
          <w:szCs w:val="26"/>
          <w:rtl/>
        </w:rPr>
        <w:t>ات</w:t>
      </w:r>
      <w:r w:rsidRPr="00616CD6">
        <w:rPr>
          <w:sz w:val="26"/>
          <w:szCs w:val="26"/>
          <w:rtl/>
        </w:rPr>
        <w:t xml:space="preserve"> الصندوق متعدد الأطراف.</w:t>
      </w:r>
    </w:p>
    <w:p w14:paraId="49352AF7" w14:textId="77777777" w:rsidR="009E6143" w:rsidRPr="00616CD6" w:rsidRDefault="009E6143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تتألف ميزانية الوحدة ا</w:t>
      </w:r>
      <w:r w:rsidRPr="00616CD6">
        <w:rPr>
          <w:rFonts w:hint="cs"/>
          <w:sz w:val="26"/>
          <w:szCs w:val="26"/>
          <w:rtl/>
        </w:rPr>
        <w:t>ﻷ</w:t>
      </w:r>
      <w:r w:rsidRPr="00616CD6">
        <w:rPr>
          <w:rFonts w:hint="eastAsia"/>
          <w:sz w:val="26"/>
          <w:szCs w:val="26"/>
          <w:rtl/>
        </w:rPr>
        <w:t>ساسية</w:t>
      </w:r>
      <w:r w:rsidRPr="00616CD6">
        <w:rPr>
          <w:sz w:val="26"/>
          <w:szCs w:val="26"/>
          <w:rtl/>
        </w:rPr>
        <w:t xml:space="preserve"> لبرنامج ا</w:t>
      </w:r>
      <w:r w:rsidRPr="00616CD6">
        <w:rPr>
          <w:rFonts w:hint="cs"/>
          <w:sz w:val="26"/>
          <w:szCs w:val="26"/>
          <w:rtl/>
        </w:rPr>
        <w:t>ﻷ</w:t>
      </w:r>
      <w:r w:rsidRPr="00616CD6">
        <w:rPr>
          <w:rFonts w:hint="eastAsia"/>
          <w:sz w:val="26"/>
          <w:szCs w:val="26"/>
          <w:rtl/>
        </w:rPr>
        <w:t>مم</w:t>
      </w:r>
      <w:r w:rsidRPr="00616CD6">
        <w:rPr>
          <w:sz w:val="26"/>
          <w:szCs w:val="26"/>
          <w:rtl/>
        </w:rPr>
        <w:t xml:space="preserve"> المتحدة ا</w:t>
      </w:r>
      <w:r w:rsidRPr="00616CD6">
        <w:rPr>
          <w:rFonts w:hint="cs"/>
          <w:sz w:val="26"/>
          <w:szCs w:val="26"/>
          <w:rtl/>
        </w:rPr>
        <w:t>ﻹ</w:t>
      </w:r>
      <w:r w:rsidRPr="00616CD6">
        <w:rPr>
          <w:rFonts w:hint="eastAsia"/>
          <w:sz w:val="26"/>
          <w:szCs w:val="26"/>
          <w:rtl/>
        </w:rPr>
        <w:t>نمائي</w:t>
      </w:r>
      <w:r w:rsidRPr="00616CD6">
        <w:rPr>
          <w:sz w:val="26"/>
          <w:szCs w:val="26"/>
          <w:rtl/>
        </w:rPr>
        <w:t xml:space="preserve"> </w:t>
      </w:r>
      <w:r w:rsidR="00040C8B" w:rsidRPr="00616CD6">
        <w:rPr>
          <w:sz w:val="26"/>
          <w:szCs w:val="26"/>
          <w:rtl/>
        </w:rPr>
        <w:t xml:space="preserve">المقترحة </w:t>
      </w:r>
      <w:r w:rsidRPr="00616CD6">
        <w:rPr>
          <w:sz w:val="26"/>
          <w:szCs w:val="26"/>
          <w:rtl/>
        </w:rPr>
        <w:t>لعام ٢٠٢٢ مما يلي:</w:t>
      </w:r>
    </w:p>
    <w:p w14:paraId="17BE21E5" w14:textId="77777777" w:rsidR="009E6143" w:rsidRPr="00616CD6" w:rsidRDefault="008E7F42" w:rsidP="00517464">
      <w:pPr>
        <w:pStyle w:val="StyleHeader4Para4Left0Firstline0"/>
        <w:numPr>
          <w:ilvl w:val="0"/>
          <w:numId w:val="11"/>
        </w:numPr>
        <w:bidi/>
        <w:ind w:left="1080" w:hanging="54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رواتب</w:t>
      </w:r>
      <w:r w:rsidR="009E6143" w:rsidRPr="00616CD6">
        <w:rPr>
          <w:sz w:val="26"/>
          <w:szCs w:val="26"/>
          <w:rtl/>
        </w:rPr>
        <w:t xml:space="preserve"> الموظفين (81.3 في ال</w:t>
      </w:r>
      <w:r w:rsidR="00040C8B" w:rsidRPr="00616CD6">
        <w:rPr>
          <w:sz w:val="26"/>
          <w:szCs w:val="26"/>
          <w:rtl/>
        </w:rPr>
        <w:t>مائة من الميزانية). في عام 2021</w:t>
      </w:r>
      <w:r w:rsidR="009E6143" w:rsidRPr="00616CD6">
        <w:rPr>
          <w:sz w:val="26"/>
          <w:szCs w:val="26"/>
          <w:rtl/>
        </w:rPr>
        <w:t>، كانت الميزانية المقدرة للموظفين 85.6 في المائة من الميزانية الإجمالية (تتراوح من 70.5 إ</w:t>
      </w:r>
      <w:r w:rsidR="00040C8B" w:rsidRPr="00616CD6">
        <w:rPr>
          <w:sz w:val="26"/>
          <w:szCs w:val="26"/>
          <w:rtl/>
        </w:rPr>
        <w:t>لى 85.6 في المائة منذ عام 2011)</w:t>
      </w:r>
      <w:r w:rsidR="009E6143" w:rsidRPr="00616CD6">
        <w:rPr>
          <w:sz w:val="26"/>
          <w:szCs w:val="26"/>
          <w:rtl/>
        </w:rPr>
        <w:t>؛</w:t>
      </w:r>
    </w:p>
    <w:p w14:paraId="742711B3" w14:textId="77777777" w:rsidR="009E6143" w:rsidRPr="00616CD6" w:rsidRDefault="00040C8B" w:rsidP="00517464">
      <w:pPr>
        <w:pStyle w:val="StyleHeader4Para4Left0Firstline0"/>
        <w:numPr>
          <w:ilvl w:val="0"/>
          <w:numId w:val="11"/>
        </w:numPr>
        <w:bidi/>
        <w:ind w:left="1080" w:hanging="54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و</w:t>
      </w:r>
      <w:r w:rsidR="009E6143" w:rsidRPr="00616CD6">
        <w:rPr>
          <w:sz w:val="26"/>
          <w:szCs w:val="26"/>
          <w:rtl/>
        </w:rPr>
        <w:t xml:space="preserve">سداد </w:t>
      </w:r>
      <w:r w:rsidR="00BE19DB" w:rsidRPr="00616CD6">
        <w:rPr>
          <w:rFonts w:hint="cs"/>
          <w:sz w:val="26"/>
          <w:szCs w:val="26"/>
          <w:rtl/>
        </w:rPr>
        <w:t xml:space="preserve">نفقات </w:t>
      </w:r>
      <w:r w:rsidR="009E6143" w:rsidRPr="00616CD6">
        <w:rPr>
          <w:sz w:val="26"/>
          <w:szCs w:val="26"/>
          <w:rtl/>
        </w:rPr>
        <w:t xml:space="preserve">الخدمات المركزية (8.3 في المائة من الميزانية). المبلغ المدرج في الميزانية (250.000 دولار أمريكي) أقل قليلاً من التكاليف الفعلية في عام 2020 (251.221 دولار أمريكي) </w:t>
      </w:r>
      <w:r w:rsidR="00BE19DB" w:rsidRPr="00616CD6">
        <w:rPr>
          <w:sz w:val="26"/>
          <w:szCs w:val="26"/>
          <w:rtl/>
        </w:rPr>
        <w:t>ونفس التكاليف المقدرة لعام 2021</w:t>
      </w:r>
      <w:r w:rsidR="009E6143" w:rsidRPr="00616CD6">
        <w:rPr>
          <w:sz w:val="26"/>
          <w:szCs w:val="26"/>
          <w:rtl/>
        </w:rPr>
        <w:t>؛</w:t>
      </w:r>
    </w:p>
    <w:p w14:paraId="19DEF31F" w14:textId="77777777" w:rsidR="009E6143" w:rsidRPr="00616CD6" w:rsidRDefault="00BE19DB" w:rsidP="00517464">
      <w:pPr>
        <w:pStyle w:val="StyleHeader4Para4Left0Firstline0"/>
        <w:numPr>
          <w:ilvl w:val="0"/>
          <w:numId w:val="11"/>
        </w:numPr>
        <w:bidi/>
        <w:ind w:left="1080" w:hanging="54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إيجار</w:t>
      </w:r>
      <w:r w:rsidR="009E6143" w:rsidRPr="00616CD6">
        <w:rPr>
          <w:sz w:val="26"/>
          <w:szCs w:val="26"/>
          <w:rtl/>
        </w:rPr>
        <w:t xml:space="preserve"> الأماكن (4.3 في المائة من الميزانية): تُدرج تكاليف استئجار الأماكن في الميزانية بنفس مستوى التكاليف الفعلية لعام 2020 والتكاليف المقدرة لعام 2021. </w:t>
      </w:r>
      <w:r w:rsidRPr="00616CD6">
        <w:rPr>
          <w:rFonts w:hint="cs"/>
          <w:sz w:val="26"/>
          <w:szCs w:val="26"/>
          <w:rtl/>
        </w:rPr>
        <w:t>و</w:t>
      </w:r>
      <w:r w:rsidR="009E6143" w:rsidRPr="00616CD6">
        <w:rPr>
          <w:sz w:val="26"/>
          <w:szCs w:val="26"/>
          <w:rtl/>
        </w:rPr>
        <w:t>تكاليف الخدمة التعاقدية (0.8 في المائة من الميزانية) مدرجة في الميزانية بمستويات أعلى من التكاليف ا</w:t>
      </w:r>
      <w:r w:rsidR="009E6143" w:rsidRPr="00616CD6">
        <w:rPr>
          <w:rFonts w:hint="eastAsia"/>
          <w:sz w:val="26"/>
          <w:szCs w:val="26"/>
          <w:rtl/>
        </w:rPr>
        <w:t>لمقدرة</w:t>
      </w:r>
      <w:r w:rsidRPr="00616CD6">
        <w:rPr>
          <w:sz w:val="26"/>
          <w:szCs w:val="26"/>
          <w:rtl/>
        </w:rPr>
        <w:t xml:space="preserve"> لعام 2021</w:t>
      </w:r>
      <w:r w:rsidR="009E6143" w:rsidRPr="00616CD6">
        <w:rPr>
          <w:sz w:val="26"/>
          <w:szCs w:val="26"/>
          <w:rtl/>
        </w:rPr>
        <w:t xml:space="preserve">، وتكاليف المعدات مدرجة في الميزانية بمستويات أقل من التكاليف المقدرة لعام 2021. </w:t>
      </w:r>
      <w:r w:rsidRPr="00616CD6">
        <w:rPr>
          <w:rFonts w:hint="cs"/>
          <w:sz w:val="26"/>
          <w:szCs w:val="26"/>
          <w:rtl/>
        </w:rPr>
        <w:t>وأفاد</w:t>
      </w:r>
      <w:r w:rsidR="009E6143" w:rsidRPr="00616CD6">
        <w:rPr>
          <w:sz w:val="26"/>
          <w:szCs w:val="26"/>
          <w:rtl/>
        </w:rPr>
        <w:t xml:space="preserve"> برنامج الأمم المتحدة الإنمائي </w:t>
      </w:r>
      <w:r w:rsidRPr="00616CD6">
        <w:rPr>
          <w:rFonts w:hint="cs"/>
          <w:sz w:val="26"/>
          <w:szCs w:val="26"/>
          <w:rtl/>
        </w:rPr>
        <w:t>ب</w:t>
      </w:r>
      <w:r w:rsidR="009E6143" w:rsidRPr="00616CD6">
        <w:rPr>
          <w:sz w:val="26"/>
          <w:szCs w:val="26"/>
          <w:rtl/>
        </w:rPr>
        <w:t xml:space="preserve">أن المشاورات جارية داخل المنظمة على </w:t>
      </w:r>
      <w:r w:rsidRPr="00616CD6">
        <w:rPr>
          <w:rFonts w:hint="cs"/>
          <w:sz w:val="26"/>
          <w:szCs w:val="26"/>
          <w:rtl/>
        </w:rPr>
        <w:t>أساس تأثير جائحة كوفيد-19 على</w:t>
      </w:r>
      <w:r w:rsidR="009E6143" w:rsidRPr="00616CD6">
        <w:rPr>
          <w:sz w:val="26"/>
          <w:szCs w:val="26"/>
          <w:rtl/>
        </w:rPr>
        <w:t xml:space="preserve"> المدى</w:t>
      </w:r>
      <w:r w:rsidRPr="00616CD6">
        <w:rPr>
          <w:rFonts w:hint="cs"/>
          <w:sz w:val="26"/>
          <w:szCs w:val="26"/>
          <w:rtl/>
        </w:rPr>
        <w:t xml:space="preserve"> المتوسط</w:t>
      </w:r>
      <w:r w:rsidR="009E6143" w:rsidRPr="00616CD6">
        <w:rPr>
          <w:sz w:val="26"/>
          <w:szCs w:val="26"/>
          <w:rtl/>
        </w:rPr>
        <w:t xml:space="preserve"> والطويل وكيف</w:t>
      </w:r>
      <w:r w:rsidR="007456E2" w:rsidRPr="00616CD6">
        <w:rPr>
          <w:rFonts w:hint="cs"/>
          <w:sz w:val="26"/>
          <w:szCs w:val="26"/>
          <w:rtl/>
        </w:rPr>
        <w:t>ية</w:t>
      </w:r>
      <w:r w:rsidR="009E6143" w:rsidRPr="00616CD6">
        <w:rPr>
          <w:sz w:val="26"/>
          <w:szCs w:val="26"/>
          <w:rtl/>
        </w:rPr>
        <w:t xml:space="preserve"> </w:t>
      </w:r>
      <w:r w:rsidR="007456E2" w:rsidRPr="00616CD6">
        <w:rPr>
          <w:rFonts w:hint="cs"/>
          <w:sz w:val="26"/>
          <w:szCs w:val="26"/>
          <w:rtl/>
        </w:rPr>
        <w:t>وجوب</w:t>
      </w:r>
      <w:r w:rsidR="009E6143" w:rsidRPr="00616CD6">
        <w:rPr>
          <w:sz w:val="26"/>
          <w:szCs w:val="26"/>
          <w:rtl/>
        </w:rPr>
        <w:t xml:space="preserve"> تغيير عمل</w:t>
      </w:r>
      <w:r w:rsidR="007456E2" w:rsidRPr="00616CD6">
        <w:rPr>
          <w:sz w:val="26"/>
          <w:szCs w:val="26"/>
          <w:rtl/>
        </w:rPr>
        <w:t xml:space="preserve">يات </w:t>
      </w:r>
      <w:r w:rsidR="007456E2" w:rsidRPr="00616CD6">
        <w:rPr>
          <w:rFonts w:hint="cs"/>
          <w:sz w:val="26"/>
          <w:szCs w:val="26"/>
          <w:rtl/>
        </w:rPr>
        <w:t>أعمالهم</w:t>
      </w:r>
      <w:r w:rsidR="007456E2" w:rsidRPr="00616CD6">
        <w:rPr>
          <w:sz w:val="26"/>
          <w:szCs w:val="26"/>
          <w:rtl/>
        </w:rPr>
        <w:t xml:space="preserve"> (</w:t>
      </w:r>
      <w:r w:rsidR="007456E2" w:rsidRPr="00616CD6">
        <w:rPr>
          <w:rFonts w:hint="cs"/>
          <w:sz w:val="26"/>
          <w:szCs w:val="26"/>
          <w:rtl/>
        </w:rPr>
        <w:t>مثل</w:t>
      </w:r>
      <w:r w:rsidR="009E6143" w:rsidRPr="00616CD6">
        <w:rPr>
          <w:sz w:val="26"/>
          <w:szCs w:val="26"/>
          <w:rtl/>
        </w:rPr>
        <w:t>، سياسة السفر والاجتم</w:t>
      </w:r>
      <w:r w:rsidR="007456E2" w:rsidRPr="00616CD6">
        <w:rPr>
          <w:sz w:val="26"/>
          <w:szCs w:val="26"/>
          <w:rtl/>
        </w:rPr>
        <w:t>اعات والمشاورات الإلكترونية)؛</w:t>
      </w:r>
    </w:p>
    <w:p w14:paraId="19219FBD" w14:textId="77777777" w:rsidR="009E6143" w:rsidRPr="00616CD6" w:rsidRDefault="009E6143" w:rsidP="00517464">
      <w:pPr>
        <w:pStyle w:val="StyleHeader4Para4Left0Firstline0"/>
        <w:numPr>
          <w:ilvl w:val="0"/>
          <w:numId w:val="11"/>
        </w:numPr>
        <w:bidi/>
        <w:ind w:left="1080" w:hanging="540"/>
        <w:rPr>
          <w:sz w:val="26"/>
          <w:szCs w:val="26"/>
          <w:rtl/>
        </w:rPr>
      </w:pPr>
      <w:r w:rsidRPr="00616CD6">
        <w:rPr>
          <w:sz w:val="26"/>
          <w:szCs w:val="26"/>
          <w:rtl/>
        </w:rPr>
        <w:t xml:space="preserve">السفر (5.0 في المائة من الميزانية). </w:t>
      </w:r>
      <w:r w:rsidR="00B00B80" w:rsidRPr="00616CD6">
        <w:rPr>
          <w:rFonts w:hint="cs"/>
          <w:sz w:val="26"/>
          <w:szCs w:val="26"/>
          <w:rtl/>
        </w:rPr>
        <w:t xml:space="preserve">تمثل </w:t>
      </w:r>
      <w:r w:rsidRPr="00616CD6">
        <w:rPr>
          <w:sz w:val="26"/>
          <w:szCs w:val="26"/>
          <w:rtl/>
        </w:rPr>
        <w:t>الميزانية المقترحة (150</w:t>
      </w:r>
      <w:r w:rsidR="00B00B80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000 دولار أمريكي) </w:t>
      </w:r>
      <w:r w:rsidR="00B00B80" w:rsidRPr="00616CD6">
        <w:rPr>
          <w:rFonts w:hint="cs"/>
          <w:sz w:val="26"/>
          <w:szCs w:val="26"/>
          <w:rtl/>
        </w:rPr>
        <w:t>حوالي</w:t>
      </w:r>
      <w:r w:rsidRPr="00616CD6">
        <w:rPr>
          <w:sz w:val="26"/>
          <w:szCs w:val="26"/>
          <w:rtl/>
        </w:rPr>
        <w:t xml:space="preserve"> 9 أضعاف التكاليف الفعلية لعام 2020 (17</w:t>
      </w:r>
      <w:r w:rsidR="00B00B80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032 دولارًا أمريكيًا). </w:t>
      </w:r>
      <w:r w:rsidR="00B00B80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يتوقع برنامج الأمم </w:t>
      </w:r>
      <w:r w:rsidR="00B00B80" w:rsidRPr="00616CD6">
        <w:rPr>
          <w:sz w:val="26"/>
          <w:szCs w:val="26"/>
          <w:rtl/>
        </w:rPr>
        <w:t>المتحدة الإنمائي أن تعود عمليات</w:t>
      </w:r>
      <w:r w:rsidR="00B00B80" w:rsidRPr="00616CD6">
        <w:rPr>
          <w:rFonts w:hint="cs"/>
          <w:sz w:val="26"/>
          <w:szCs w:val="26"/>
          <w:rtl/>
        </w:rPr>
        <w:t xml:space="preserve"> أعماله</w:t>
      </w:r>
      <w:r w:rsidRPr="00616CD6">
        <w:rPr>
          <w:sz w:val="26"/>
          <w:szCs w:val="26"/>
          <w:rtl/>
        </w:rPr>
        <w:t xml:space="preserve"> في عام 2022 إلى المستويات المماثلة لفت</w:t>
      </w:r>
      <w:r w:rsidRPr="00616CD6">
        <w:rPr>
          <w:rFonts w:hint="eastAsia"/>
          <w:sz w:val="26"/>
          <w:szCs w:val="26"/>
          <w:rtl/>
        </w:rPr>
        <w:t>رة</w:t>
      </w:r>
      <w:r w:rsidRPr="00616CD6">
        <w:rPr>
          <w:sz w:val="26"/>
          <w:szCs w:val="26"/>
          <w:rtl/>
        </w:rPr>
        <w:t xml:space="preserve"> ما قبل</w:t>
      </w:r>
      <w:r w:rsidR="00B00B80" w:rsidRPr="00616CD6">
        <w:rPr>
          <w:rFonts w:hint="cs"/>
          <w:sz w:val="26"/>
          <w:szCs w:val="26"/>
          <w:rtl/>
        </w:rPr>
        <w:t xml:space="preserve"> كوفيد-19 </w:t>
      </w:r>
      <w:r w:rsidRPr="00616CD6">
        <w:rPr>
          <w:sz w:val="26"/>
          <w:szCs w:val="26"/>
          <w:rtl/>
        </w:rPr>
        <w:t>(أي</w:t>
      </w:r>
      <w:r w:rsidR="00B00B80" w:rsidRPr="00616CD6">
        <w:rPr>
          <w:rFonts w:hint="cs"/>
          <w:sz w:val="26"/>
          <w:szCs w:val="26"/>
          <w:rtl/>
        </w:rPr>
        <w:t xml:space="preserve"> عامي</w:t>
      </w:r>
      <w:r w:rsidR="00B00B80" w:rsidRPr="00616CD6">
        <w:rPr>
          <w:sz w:val="26"/>
          <w:szCs w:val="26"/>
          <w:rtl/>
        </w:rPr>
        <w:t xml:space="preserve"> 2018 و 2019)</w:t>
      </w:r>
      <w:r w:rsidRPr="00616CD6">
        <w:rPr>
          <w:sz w:val="26"/>
          <w:szCs w:val="26"/>
          <w:rtl/>
        </w:rPr>
        <w:t xml:space="preserve">؛ وستحتاج بلدان المادة 5 أيضاً إلى دعم </w:t>
      </w:r>
      <w:r w:rsidR="00B00B80" w:rsidRPr="00616CD6">
        <w:rPr>
          <w:rFonts w:hint="cs"/>
          <w:sz w:val="26"/>
          <w:szCs w:val="26"/>
          <w:rtl/>
        </w:rPr>
        <w:t>فائق</w:t>
      </w:r>
      <w:r w:rsidRPr="00616CD6">
        <w:rPr>
          <w:sz w:val="26"/>
          <w:szCs w:val="26"/>
          <w:rtl/>
        </w:rPr>
        <w:t xml:space="preserve"> لأنشطة </w:t>
      </w:r>
      <w:r w:rsidR="00B00B80" w:rsidRPr="00616CD6">
        <w:rPr>
          <w:rFonts w:hint="cs"/>
          <w:sz w:val="26"/>
          <w:szCs w:val="26"/>
          <w:rtl/>
        </w:rPr>
        <w:t xml:space="preserve">إزالة المواد الهيدروكلوروفلوروكربونية </w:t>
      </w:r>
      <w:r w:rsidRPr="00616CD6">
        <w:rPr>
          <w:sz w:val="26"/>
          <w:szCs w:val="26"/>
          <w:rtl/>
        </w:rPr>
        <w:t xml:space="preserve">وأنشطة </w:t>
      </w:r>
      <w:r w:rsidR="00B00B80" w:rsidRPr="00616CD6">
        <w:rPr>
          <w:rFonts w:hint="cs"/>
          <w:sz w:val="26"/>
          <w:szCs w:val="26"/>
          <w:rtl/>
        </w:rPr>
        <w:t>التخفيض التدريجي للمواد الهيدروفلوروكربونية</w:t>
      </w:r>
      <w:r w:rsidRPr="00616CD6">
        <w:rPr>
          <w:sz w:val="26"/>
          <w:szCs w:val="26"/>
          <w:rtl/>
        </w:rPr>
        <w:t>.</w:t>
      </w:r>
    </w:p>
    <w:p w14:paraId="39F9E755" w14:textId="77777777" w:rsidR="00267012" w:rsidRPr="00616CD6" w:rsidRDefault="00267012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 xml:space="preserve"> سيعيد برنامج الأمم المتحدة الإنمائي 32</w:t>
      </w:r>
      <w:r w:rsidR="001F4BB3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878 دولارًا أمريكيًا كوفورات من تكاليف الوحدة الأساسية من عام 2020 إلى الاجتماع الثامن والثمانين. </w:t>
      </w:r>
      <w:r w:rsidR="001F4BB3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قد تود اللجنة التنفيذية أن </w:t>
      </w:r>
      <w:r w:rsidR="001F4BB3" w:rsidRPr="00616CD6">
        <w:rPr>
          <w:rFonts w:hint="cs"/>
          <w:sz w:val="26"/>
          <w:szCs w:val="26"/>
          <w:rtl/>
        </w:rPr>
        <w:t>تشير</w:t>
      </w:r>
      <w:r w:rsidR="001F4BB3" w:rsidRPr="00616CD6">
        <w:rPr>
          <w:sz w:val="26"/>
          <w:szCs w:val="26"/>
          <w:rtl/>
        </w:rPr>
        <w:t>، مع التقدير</w:t>
      </w:r>
      <w:r w:rsidRPr="00616CD6">
        <w:rPr>
          <w:sz w:val="26"/>
          <w:szCs w:val="26"/>
          <w:rtl/>
        </w:rPr>
        <w:t>،</w:t>
      </w:r>
      <w:r w:rsidR="001F4BB3" w:rsidRPr="00616CD6">
        <w:rPr>
          <w:rFonts w:hint="cs"/>
          <w:sz w:val="26"/>
          <w:szCs w:val="26"/>
          <w:rtl/>
        </w:rPr>
        <w:t xml:space="preserve"> إلى</w:t>
      </w:r>
      <w:r w:rsidRPr="00616CD6">
        <w:rPr>
          <w:sz w:val="26"/>
          <w:szCs w:val="26"/>
          <w:rtl/>
        </w:rPr>
        <w:t xml:space="preserve"> أن برنامج الأمم المتحدة الإنمائي سيعيد الأرصدة غير المستخدمة.</w:t>
      </w:r>
    </w:p>
    <w:p w14:paraId="432C8145" w14:textId="77777777" w:rsidR="00267012" w:rsidRPr="00616CD6" w:rsidRDefault="00267012" w:rsidP="00267012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</w:rPr>
      </w:pPr>
      <w:r w:rsidRPr="00616CD6">
        <w:rPr>
          <w:sz w:val="26"/>
          <w:szCs w:val="26"/>
          <w:u w:val="single"/>
          <w:rtl/>
        </w:rPr>
        <w:t>إجمالي التكاليف الإدارية</w:t>
      </w:r>
    </w:p>
    <w:p w14:paraId="1D68024B" w14:textId="77777777" w:rsidR="00267012" w:rsidRPr="00616CD6" w:rsidRDefault="00267012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 xml:space="preserve">يتوقع </w:t>
      </w:r>
      <w:r w:rsidR="00BD6717" w:rsidRPr="00616CD6">
        <w:rPr>
          <w:rFonts w:hint="cs"/>
          <w:sz w:val="26"/>
          <w:szCs w:val="26"/>
          <w:rtl/>
        </w:rPr>
        <w:t>اليوئنديبي</w:t>
      </w:r>
      <w:r w:rsidRPr="00616CD6">
        <w:rPr>
          <w:sz w:val="26"/>
          <w:szCs w:val="26"/>
          <w:rtl/>
        </w:rPr>
        <w:t xml:space="preserve"> أن تبلغ التكاليف الإدارية 4</w:t>
      </w:r>
      <w:r w:rsidR="00BD6717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015</w:t>
      </w:r>
      <w:r w:rsidR="00BD6717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6</w:t>
      </w:r>
      <w:r w:rsidR="00BD6717" w:rsidRPr="00616CD6">
        <w:rPr>
          <w:sz w:val="26"/>
          <w:szCs w:val="26"/>
          <w:rtl/>
        </w:rPr>
        <w:t>26 دولارًا أمريكيًا في عام 2022</w:t>
      </w:r>
      <w:r w:rsidRPr="00616CD6">
        <w:rPr>
          <w:sz w:val="26"/>
          <w:szCs w:val="26"/>
          <w:rtl/>
        </w:rPr>
        <w:t xml:space="preserve">، وهو ما يزيد قليلاً عن التكاليف </w:t>
      </w:r>
      <w:r w:rsidR="00BD6717" w:rsidRPr="00616CD6">
        <w:rPr>
          <w:rFonts w:hint="cs"/>
          <w:sz w:val="26"/>
          <w:szCs w:val="26"/>
          <w:rtl/>
        </w:rPr>
        <w:t>التقديرية</w:t>
      </w:r>
      <w:r w:rsidRPr="00616CD6">
        <w:rPr>
          <w:sz w:val="26"/>
          <w:szCs w:val="26"/>
          <w:rtl/>
        </w:rPr>
        <w:t xml:space="preserve"> لعام 2021 </w:t>
      </w:r>
      <w:r w:rsidR="00BD6717" w:rsidRPr="00616CD6">
        <w:rPr>
          <w:rFonts w:hint="cs"/>
          <w:sz w:val="26"/>
          <w:szCs w:val="26"/>
          <w:rtl/>
        </w:rPr>
        <w:t>وقدرها</w:t>
      </w:r>
      <w:r w:rsidRPr="00616CD6">
        <w:rPr>
          <w:sz w:val="26"/>
          <w:szCs w:val="26"/>
          <w:rtl/>
        </w:rPr>
        <w:t xml:space="preserve"> 3</w:t>
      </w:r>
      <w:r w:rsidR="00BD6717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779</w:t>
      </w:r>
      <w:r w:rsidR="00BD6717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557 دولارًا أمريكيًا.</w:t>
      </w:r>
    </w:p>
    <w:p w14:paraId="3A2CC300" w14:textId="77777777" w:rsidR="00267012" w:rsidRPr="00616CD6" w:rsidRDefault="00BD6717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="00267012" w:rsidRPr="00616CD6">
        <w:rPr>
          <w:sz w:val="26"/>
          <w:szCs w:val="26"/>
          <w:rtl/>
        </w:rPr>
        <w:t>من المتوقع أن يكون مستوى التمويل لسداد تكاليف المكاتب القطرية والتنفيذ الوطني على نفس مستوى التكاليف المقدرة في عام 2021 (742</w:t>
      </w:r>
      <w:r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>500 دولار أمريكي). هذا أقل من التكاليف الفعلية لعام 2020 (1</w:t>
      </w:r>
      <w:r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>077</w:t>
      </w:r>
      <w:r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>150 دولارًا أمريكيًا) ولكنه أعلى من التكلفة الفعلية في عام 2019 (488</w:t>
      </w:r>
      <w:r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 xml:space="preserve">288 دولارًا أمريكيًا). </w:t>
      </w:r>
      <w:r w:rsidRPr="00616CD6">
        <w:rPr>
          <w:rFonts w:hint="cs"/>
          <w:sz w:val="26"/>
          <w:szCs w:val="26"/>
          <w:rtl/>
        </w:rPr>
        <w:t>و</w:t>
      </w:r>
      <w:r w:rsidR="00267012" w:rsidRPr="00616CD6">
        <w:rPr>
          <w:sz w:val="26"/>
          <w:szCs w:val="26"/>
          <w:rtl/>
        </w:rPr>
        <w:t xml:space="preserve">مستوى التمويل هذا أيضًا </w:t>
      </w:r>
      <w:r w:rsidR="00267012" w:rsidRPr="00616CD6">
        <w:rPr>
          <w:sz w:val="26"/>
          <w:szCs w:val="26"/>
          <w:rtl/>
        </w:rPr>
        <w:lastRenderedPageBreak/>
        <w:t xml:space="preserve">أقل من </w:t>
      </w:r>
      <w:r w:rsidR="00D44AD8" w:rsidRPr="00616CD6">
        <w:rPr>
          <w:rFonts w:hint="cs"/>
          <w:sz w:val="26"/>
          <w:szCs w:val="26"/>
          <w:rtl/>
        </w:rPr>
        <w:t>قيمة</w:t>
      </w:r>
      <w:r w:rsidR="00267012" w:rsidRPr="00616CD6">
        <w:rPr>
          <w:sz w:val="26"/>
          <w:szCs w:val="26"/>
          <w:rtl/>
        </w:rPr>
        <w:t xml:space="preserve"> التكاليف بين عامي 2011 و 2018 (2</w:t>
      </w:r>
      <w:r w:rsidR="00D44AD8"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>442</w:t>
      </w:r>
      <w:r w:rsidR="00D44AD8"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>896 دولارًا أمريكيًا في عام 2013 إلى 1</w:t>
      </w:r>
      <w:r w:rsidR="00D44AD8"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>472</w:t>
      </w:r>
      <w:r w:rsidR="00D44AD8" w:rsidRPr="00616CD6">
        <w:rPr>
          <w:rFonts w:hint="cs"/>
          <w:sz w:val="26"/>
          <w:szCs w:val="26"/>
          <w:rtl/>
        </w:rPr>
        <w:t>,</w:t>
      </w:r>
      <w:r w:rsidR="00267012" w:rsidRPr="00616CD6">
        <w:rPr>
          <w:sz w:val="26"/>
          <w:szCs w:val="26"/>
          <w:rtl/>
        </w:rPr>
        <w:t>814 دولارًا أمريكيًا في عام 2016).</w:t>
      </w:r>
    </w:p>
    <w:p w14:paraId="6241A2FA" w14:textId="77777777" w:rsidR="00267012" w:rsidRPr="00616CD6" w:rsidRDefault="00E26135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rtl/>
        </w:rPr>
      </w:pPr>
      <w:r w:rsidRPr="00616CD6">
        <w:rPr>
          <w:rFonts w:hint="cs"/>
          <w:sz w:val="26"/>
          <w:szCs w:val="26"/>
          <w:rtl/>
        </w:rPr>
        <w:t>و</w:t>
      </w:r>
      <w:r w:rsidR="00267012" w:rsidRPr="00616CD6">
        <w:rPr>
          <w:sz w:val="26"/>
          <w:szCs w:val="26"/>
          <w:rtl/>
        </w:rPr>
        <w:t xml:space="preserve">تشمل الموارد المتوقعة المتاحة </w:t>
      </w:r>
      <w:r w:rsidRPr="00616CD6">
        <w:rPr>
          <w:rFonts w:hint="cs"/>
          <w:sz w:val="26"/>
          <w:szCs w:val="26"/>
          <w:rtl/>
        </w:rPr>
        <w:t>لليوئنديبي</w:t>
      </w:r>
      <w:r w:rsidR="00267012" w:rsidRPr="00616CD6">
        <w:rPr>
          <w:sz w:val="26"/>
          <w:szCs w:val="26"/>
          <w:rtl/>
        </w:rPr>
        <w:t xml:space="preserve"> للتكاليف الإدارية تكاليف الوحدة الأساسية وتكاليف دعم الوكالة بالإضافة إلى أي رصيد في الإيرادات للتكاليف الإدارية لم يُستخدم من قبل. </w:t>
      </w:r>
      <w:r w:rsidRPr="00616CD6">
        <w:rPr>
          <w:rFonts w:hint="cs"/>
          <w:sz w:val="26"/>
          <w:szCs w:val="26"/>
          <w:rtl/>
        </w:rPr>
        <w:t>و</w:t>
      </w:r>
      <w:r w:rsidR="00267012" w:rsidRPr="00616CD6">
        <w:rPr>
          <w:sz w:val="26"/>
          <w:szCs w:val="26"/>
          <w:rtl/>
        </w:rPr>
        <w:t xml:space="preserve">لا تتاح تكاليف دعم الوكالة لبرنامج الأمم المتحدة الإنمائي إلا بعد صرف تكاليف المشروع المعتمدة. </w:t>
      </w:r>
      <w:r w:rsidRPr="00616CD6">
        <w:rPr>
          <w:rFonts w:hint="cs"/>
          <w:sz w:val="26"/>
          <w:szCs w:val="26"/>
          <w:rtl/>
        </w:rPr>
        <w:t>و</w:t>
      </w:r>
      <w:r w:rsidR="00267012" w:rsidRPr="00616CD6">
        <w:rPr>
          <w:sz w:val="26"/>
          <w:szCs w:val="26"/>
          <w:rtl/>
        </w:rPr>
        <w:t>يعرض الجدول 2 هذا التقييم للفترة من 2018 إلى 2021.</w:t>
      </w:r>
    </w:p>
    <w:p w14:paraId="0B1631B5" w14:textId="77777777" w:rsidR="00267012" w:rsidRPr="00616CD6" w:rsidRDefault="00E26135" w:rsidP="00E26135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</w:rPr>
      </w:pPr>
      <w:r w:rsidRPr="00616CD6">
        <w:rPr>
          <w:b/>
          <w:bCs/>
          <w:sz w:val="26"/>
          <w:szCs w:val="26"/>
          <w:rtl/>
        </w:rPr>
        <w:t>الجدول 2</w:t>
      </w:r>
      <w:r w:rsidRPr="00616CD6">
        <w:rPr>
          <w:rFonts w:hint="cs"/>
          <w:b/>
          <w:bCs/>
          <w:sz w:val="26"/>
          <w:szCs w:val="26"/>
          <w:rtl/>
        </w:rPr>
        <w:t>-</w:t>
      </w:r>
      <w:r w:rsidR="00267012" w:rsidRPr="00616CD6">
        <w:rPr>
          <w:b/>
          <w:bCs/>
          <w:sz w:val="26"/>
          <w:szCs w:val="26"/>
          <w:rtl/>
        </w:rPr>
        <w:t xml:space="preserve"> تقييم مدى توافر الدخل للتكاليف الإدارية المستقبلية لبرنامج الأمم المتحدة الإنمائي (دولار أمريكي)</w:t>
      </w:r>
    </w:p>
    <w:tbl>
      <w:tblPr>
        <w:bidiVisual/>
        <w:tblW w:w="9355" w:type="dxa"/>
        <w:tblLayout w:type="fixed"/>
        <w:tblLook w:val="04A0" w:firstRow="1" w:lastRow="0" w:firstColumn="1" w:lastColumn="0" w:noHBand="0" w:noVBand="1"/>
      </w:tblPr>
      <w:tblGrid>
        <w:gridCol w:w="4045"/>
        <w:gridCol w:w="1327"/>
        <w:gridCol w:w="1328"/>
        <w:gridCol w:w="1327"/>
        <w:gridCol w:w="1328"/>
      </w:tblGrid>
      <w:tr w:rsidR="00267012" w:rsidRPr="00616CD6" w14:paraId="4E5E6178" w14:textId="77777777" w:rsidTr="00E26135">
        <w:trPr>
          <w:tblHeader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9AE8" w14:textId="77777777" w:rsidR="00267012" w:rsidRPr="00616CD6" w:rsidRDefault="00E26135" w:rsidP="00E26135">
            <w:pPr>
              <w:keepNext/>
              <w:bidi/>
              <w:jc w:val="center"/>
              <w:rPr>
                <w:b/>
                <w:bCs/>
                <w:sz w:val="26"/>
                <w:szCs w:val="26"/>
                <w:lang w:eastAsia="en-CA"/>
              </w:rPr>
            </w:pPr>
            <w:r w:rsidRPr="00616CD6">
              <w:rPr>
                <w:rFonts w:hint="cs"/>
                <w:b/>
                <w:bCs/>
                <w:sz w:val="26"/>
                <w:szCs w:val="26"/>
                <w:rtl/>
                <w:lang w:eastAsia="en-CA"/>
              </w:rPr>
              <w:t>الوصف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24B" w14:textId="77777777" w:rsidR="00267012" w:rsidRPr="00616CD6" w:rsidRDefault="00267012" w:rsidP="00C869B1">
            <w:pPr>
              <w:keepNext/>
              <w:jc w:val="center"/>
              <w:rPr>
                <w:b/>
                <w:bCs/>
                <w:sz w:val="26"/>
                <w:szCs w:val="26"/>
                <w:lang w:eastAsia="en-CA"/>
              </w:rPr>
            </w:pPr>
            <w:r w:rsidRPr="00616CD6">
              <w:rPr>
                <w:b/>
                <w:bCs/>
                <w:sz w:val="26"/>
                <w:szCs w:val="26"/>
                <w:lang w:eastAsia="en-CA"/>
              </w:rPr>
              <w:t>2018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C0A" w14:textId="77777777" w:rsidR="00267012" w:rsidRPr="00616CD6" w:rsidRDefault="00267012" w:rsidP="00C869B1">
            <w:pPr>
              <w:keepNext/>
              <w:jc w:val="center"/>
              <w:rPr>
                <w:b/>
                <w:bCs/>
                <w:sz w:val="26"/>
                <w:szCs w:val="26"/>
                <w:lang w:eastAsia="en-CA"/>
              </w:rPr>
            </w:pPr>
            <w:r w:rsidRPr="00616CD6">
              <w:rPr>
                <w:b/>
                <w:bCs/>
                <w:sz w:val="26"/>
                <w:szCs w:val="26"/>
                <w:lang w:eastAsia="en-CA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163B" w14:textId="77777777" w:rsidR="00267012" w:rsidRPr="00616CD6" w:rsidRDefault="00267012" w:rsidP="00C869B1">
            <w:pPr>
              <w:keepNext/>
              <w:jc w:val="center"/>
              <w:rPr>
                <w:b/>
                <w:bCs/>
                <w:sz w:val="26"/>
                <w:szCs w:val="26"/>
                <w:lang w:eastAsia="en-CA"/>
              </w:rPr>
            </w:pPr>
            <w:r w:rsidRPr="00616CD6">
              <w:rPr>
                <w:b/>
                <w:bCs/>
                <w:sz w:val="26"/>
                <w:szCs w:val="26"/>
                <w:lang w:eastAsia="en-CA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8A8F" w14:textId="77777777" w:rsidR="00267012" w:rsidRPr="00616CD6" w:rsidRDefault="00267012" w:rsidP="00E26135">
            <w:pPr>
              <w:keepNext/>
              <w:bidi/>
              <w:jc w:val="center"/>
              <w:rPr>
                <w:b/>
                <w:bCs/>
                <w:sz w:val="26"/>
                <w:szCs w:val="26"/>
                <w:lang w:eastAsia="en-CA"/>
              </w:rPr>
            </w:pPr>
            <w:r w:rsidRPr="00616CD6">
              <w:rPr>
                <w:b/>
                <w:bCs/>
                <w:sz w:val="26"/>
                <w:szCs w:val="26"/>
                <w:lang w:eastAsia="en-CA"/>
              </w:rPr>
              <w:t>2021</w:t>
            </w:r>
            <w:r w:rsidR="00E26135" w:rsidRPr="00616CD6">
              <w:rPr>
                <w:rFonts w:hint="cs"/>
                <w:b/>
                <w:bCs/>
                <w:sz w:val="26"/>
                <w:szCs w:val="26"/>
                <w:rtl/>
                <w:lang w:eastAsia="en-CA"/>
              </w:rPr>
              <w:t>*</w:t>
            </w:r>
          </w:p>
        </w:tc>
      </w:tr>
      <w:tr w:rsidR="00267012" w:rsidRPr="00616CD6" w14:paraId="18F22BD5" w14:textId="77777777" w:rsidTr="00E26135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2A6A" w14:textId="77777777" w:rsidR="00182A78" w:rsidRPr="00616CD6" w:rsidRDefault="00182A78" w:rsidP="00182A78">
            <w:pPr>
              <w:keepNext/>
              <w:bidi/>
              <w:jc w:val="left"/>
              <w:rPr>
                <w:sz w:val="26"/>
                <w:szCs w:val="26"/>
                <w:rtl/>
                <w:lang w:val="en-US" w:eastAsia="en-CA" w:bidi="ar-SA"/>
              </w:rPr>
            </w:pPr>
            <w:r w:rsidRPr="00616CD6">
              <w:rPr>
                <w:rFonts w:hint="cs"/>
                <w:sz w:val="26"/>
                <w:szCs w:val="26"/>
                <w:rtl/>
                <w:lang w:val="en-US" w:eastAsia="en-CA" w:bidi="ar-SA"/>
              </w:rPr>
              <w:t>صافي تكاليف دعم الوكالة زائد تكاليف الوحدة الأساسية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  <w:hideMark/>
          </w:tcPr>
          <w:p w14:paraId="213DD49D" w14:textId="77777777" w:rsidR="00267012" w:rsidRPr="00616CD6" w:rsidRDefault="00267012" w:rsidP="00C869B1">
            <w:pPr>
              <w:keepNext/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5,007,070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  <w:hideMark/>
          </w:tcPr>
          <w:p w14:paraId="5C125609" w14:textId="77777777" w:rsidR="00267012" w:rsidRPr="00616CD6" w:rsidRDefault="00267012" w:rsidP="00C869B1">
            <w:pPr>
              <w:keepNext/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2,829,316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  <w:hideMark/>
          </w:tcPr>
          <w:p w14:paraId="467B90A7" w14:textId="77777777" w:rsidR="00267012" w:rsidRPr="00616CD6" w:rsidRDefault="00267012" w:rsidP="00C869B1">
            <w:pPr>
              <w:keepNext/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4,236,224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  <w:hideMark/>
          </w:tcPr>
          <w:p w14:paraId="0D693A67" w14:textId="77777777" w:rsidR="00267012" w:rsidRPr="00616CD6" w:rsidRDefault="00267012" w:rsidP="00C869B1">
            <w:pPr>
              <w:keepNext/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4,203,082</w:t>
            </w:r>
          </w:p>
        </w:tc>
      </w:tr>
      <w:tr w:rsidR="00267012" w:rsidRPr="00616CD6" w14:paraId="309E6FEC" w14:textId="77777777" w:rsidTr="00E26135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684" w14:textId="77777777" w:rsidR="00182A78" w:rsidRPr="00616CD6" w:rsidRDefault="00182A78" w:rsidP="00182A78">
            <w:pPr>
              <w:keepNext/>
              <w:bidi/>
              <w:ind w:right="-105"/>
              <w:jc w:val="left"/>
              <w:rPr>
                <w:sz w:val="26"/>
                <w:szCs w:val="26"/>
                <w:rtl/>
                <w:lang w:val="en-US" w:eastAsia="en-CA" w:bidi="ar-SA"/>
              </w:rPr>
            </w:pPr>
            <w:r w:rsidRPr="00616CD6">
              <w:rPr>
                <w:rFonts w:hint="cs"/>
                <w:sz w:val="26"/>
                <w:szCs w:val="26"/>
                <w:rtl/>
                <w:lang w:val="en-US" w:eastAsia="en-CA" w:bidi="ar-SA"/>
              </w:rPr>
              <w:t>مجموع التكاليف الإدارية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  <w:hideMark/>
          </w:tcPr>
          <w:p w14:paraId="0DA018E8" w14:textId="77777777" w:rsidR="00267012" w:rsidRPr="00616CD6" w:rsidRDefault="00267012" w:rsidP="00C869B1">
            <w:pPr>
              <w:keepNext/>
              <w:jc w:val="right"/>
              <w:rPr>
                <w:color w:val="000000"/>
                <w:sz w:val="26"/>
                <w:szCs w:val="26"/>
              </w:rPr>
            </w:pPr>
            <w:r w:rsidRPr="00616CD6">
              <w:rPr>
                <w:color w:val="000000"/>
                <w:sz w:val="26"/>
                <w:szCs w:val="26"/>
              </w:rPr>
              <w:t>5,718,858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  <w:hideMark/>
          </w:tcPr>
          <w:p w14:paraId="51E8438A" w14:textId="77777777" w:rsidR="00267012" w:rsidRPr="00616CD6" w:rsidRDefault="00267012" w:rsidP="00C869B1">
            <w:pPr>
              <w:keepNext/>
              <w:jc w:val="right"/>
              <w:rPr>
                <w:color w:val="000000"/>
                <w:sz w:val="26"/>
                <w:szCs w:val="26"/>
              </w:rPr>
            </w:pPr>
            <w:r w:rsidRPr="00616CD6">
              <w:rPr>
                <w:color w:val="000000"/>
                <w:sz w:val="26"/>
                <w:szCs w:val="26"/>
              </w:rPr>
              <w:t>3,718,046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  <w:hideMark/>
          </w:tcPr>
          <w:p w14:paraId="5673D501" w14:textId="77777777" w:rsidR="00267012" w:rsidRPr="00616CD6" w:rsidRDefault="00267012" w:rsidP="00C869B1">
            <w:pPr>
              <w:keepNext/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4,028,243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34BF7955" w14:textId="77777777" w:rsidR="00267012" w:rsidRPr="00616CD6" w:rsidRDefault="00267012" w:rsidP="00C869B1">
            <w:pPr>
              <w:keepNext/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3,779,557</w:t>
            </w:r>
          </w:p>
        </w:tc>
      </w:tr>
      <w:tr w:rsidR="00267012" w:rsidRPr="00616CD6" w14:paraId="1459B3EA" w14:textId="77777777" w:rsidTr="00E26135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737F" w14:textId="77777777" w:rsidR="00182A78" w:rsidRPr="00616CD6" w:rsidRDefault="00182A78" w:rsidP="00182A78">
            <w:pPr>
              <w:keepNext/>
              <w:bidi/>
              <w:jc w:val="left"/>
              <w:rPr>
                <w:sz w:val="26"/>
                <w:szCs w:val="26"/>
                <w:rtl/>
                <w:lang w:val="en-US" w:eastAsia="en-CA" w:bidi="ar-SA"/>
              </w:rPr>
            </w:pPr>
            <w:r w:rsidRPr="00616CD6">
              <w:rPr>
                <w:rFonts w:hint="cs"/>
                <w:sz w:val="26"/>
                <w:szCs w:val="26"/>
                <w:rtl/>
                <w:lang w:val="en-US" w:eastAsia="en-CA" w:bidi="ar-SA"/>
              </w:rPr>
              <w:t>الرصيد لكل سنة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5B3A2E9" w14:textId="77777777" w:rsidR="00267012" w:rsidRPr="00616CD6" w:rsidRDefault="00267012" w:rsidP="00C869B1">
            <w:pPr>
              <w:jc w:val="right"/>
              <w:rPr>
                <w:color w:val="000000"/>
                <w:sz w:val="26"/>
                <w:szCs w:val="26"/>
              </w:rPr>
            </w:pPr>
            <w:r w:rsidRPr="00616CD6">
              <w:rPr>
                <w:color w:val="000000"/>
                <w:sz w:val="26"/>
                <w:szCs w:val="26"/>
              </w:rPr>
              <w:t>(711,788)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277D7AF8" w14:textId="77777777" w:rsidR="00267012" w:rsidRPr="00616CD6" w:rsidRDefault="00267012" w:rsidP="00C869B1">
            <w:pPr>
              <w:jc w:val="right"/>
              <w:rPr>
                <w:color w:val="000000"/>
                <w:sz w:val="26"/>
                <w:szCs w:val="26"/>
              </w:rPr>
            </w:pPr>
            <w:r w:rsidRPr="00616CD6">
              <w:rPr>
                <w:color w:val="000000"/>
                <w:sz w:val="26"/>
                <w:szCs w:val="26"/>
              </w:rPr>
              <w:t>(888,730)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3E34A06" w14:textId="77777777" w:rsidR="00267012" w:rsidRPr="00616CD6" w:rsidRDefault="00267012" w:rsidP="00C869B1">
            <w:pPr>
              <w:jc w:val="right"/>
              <w:rPr>
                <w:color w:val="000000"/>
                <w:sz w:val="26"/>
                <w:szCs w:val="26"/>
              </w:rPr>
            </w:pPr>
            <w:r w:rsidRPr="00616CD6">
              <w:rPr>
                <w:color w:val="000000"/>
                <w:sz w:val="26"/>
                <w:szCs w:val="26"/>
              </w:rPr>
              <w:t>207,981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119B7810" w14:textId="77777777" w:rsidR="00267012" w:rsidRPr="00616CD6" w:rsidRDefault="00267012" w:rsidP="00C869B1">
            <w:pPr>
              <w:jc w:val="right"/>
              <w:rPr>
                <w:color w:val="000000"/>
                <w:sz w:val="26"/>
                <w:szCs w:val="26"/>
              </w:rPr>
            </w:pPr>
            <w:r w:rsidRPr="00616CD6">
              <w:rPr>
                <w:color w:val="000000"/>
                <w:sz w:val="26"/>
                <w:szCs w:val="26"/>
              </w:rPr>
              <w:t>423,525</w:t>
            </w:r>
          </w:p>
        </w:tc>
      </w:tr>
      <w:tr w:rsidR="00267012" w:rsidRPr="00616CD6" w14:paraId="6FE9BDF3" w14:textId="77777777" w:rsidTr="00E26135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D107" w14:textId="77777777" w:rsidR="00267012" w:rsidRPr="00616CD6" w:rsidRDefault="00182A78" w:rsidP="00182A78">
            <w:pPr>
              <w:keepNext/>
              <w:bidi/>
              <w:ind w:right="-105"/>
              <w:jc w:val="left"/>
              <w:rPr>
                <w:sz w:val="26"/>
                <w:szCs w:val="26"/>
                <w:lang w:eastAsia="en-CA"/>
              </w:rPr>
            </w:pPr>
            <w:r w:rsidRPr="00616CD6">
              <w:rPr>
                <w:rFonts w:hint="cs"/>
                <w:sz w:val="26"/>
                <w:szCs w:val="26"/>
                <w:rtl/>
                <w:lang w:eastAsia="en-CA"/>
              </w:rPr>
              <w:t>الرصيد الجاري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3FADC26" w14:textId="77777777" w:rsidR="00267012" w:rsidRPr="00616CD6" w:rsidRDefault="00267012" w:rsidP="00C869B1">
            <w:pPr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(411,987)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59DC7924" w14:textId="77777777" w:rsidR="00267012" w:rsidRPr="00616CD6" w:rsidRDefault="00267012" w:rsidP="00C869B1">
            <w:pPr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(1,300,717)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7A204406" w14:textId="77777777" w:rsidR="00267012" w:rsidRPr="00616CD6" w:rsidRDefault="00267012" w:rsidP="00C869B1">
            <w:pPr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(1,092,736)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vAlign w:val="center"/>
            <w:hideMark/>
          </w:tcPr>
          <w:p w14:paraId="42DE943D" w14:textId="77777777" w:rsidR="00267012" w:rsidRPr="00616CD6" w:rsidRDefault="00267012" w:rsidP="00C869B1">
            <w:pPr>
              <w:jc w:val="right"/>
              <w:rPr>
                <w:sz w:val="26"/>
                <w:szCs w:val="26"/>
              </w:rPr>
            </w:pPr>
            <w:r w:rsidRPr="00616CD6">
              <w:rPr>
                <w:sz w:val="26"/>
                <w:szCs w:val="26"/>
              </w:rPr>
              <w:t>(669,211)</w:t>
            </w:r>
          </w:p>
        </w:tc>
      </w:tr>
    </w:tbl>
    <w:p w14:paraId="752912A7" w14:textId="77777777" w:rsidR="00267012" w:rsidRPr="00616CD6" w:rsidRDefault="00267012" w:rsidP="00295833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rtl/>
          <w:lang w:bidi="ar-SA"/>
        </w:rPr>
      </w:pPr>
      <w:r w:rsidRPr="00616CD6">
        <w:rPr>
          <w:sz w:val="26"/>
          <w:szCs w:val="26"/>
          <w:rtl/>
        </w:rPr>
        <w:t>* بما في ذلك تكاليف دعم الوكالة المعتم</w:t>
      </w:r>
      <w:r w:rsidR="00295833" w:rsidRPr="00616CD6">
        <w:rPr>
          <w:sz w:val="26"/>
          <w:szCs w:val="26"/>
          <w:rtl/>
        </w:rPr>
        <w:t>دة في الاجتماع السابع والثمانين</w:t>
      </w:r>
      <w:r w:rsidRPr="00616CD6">
        <w:rPr>
          <w:sz w:val="26"/>
          <w:szCs w:val="26"/>
          <w:rtl/>
        </w:rPr>
        <w:t xml:space="preserve">، وقيمة تكاليف دعم الوكالة وتكاليف الوحدة الأساسية من </w:t>
      </w:r>
      <w:r w:rsidR="00295833" w:rsidRPr="00616CD6">
        <w:rPr>
          <w:rFonts w:hint="cs"/>
          <w:sz w:val="26"/>
          <w:szCs w:val="26"/>
          <w:rtl/>
        </w:rPr>
        <w:t>الطلبات المقدمة</w:t>
      </w:r>
      <w:r w:rsidRPr="00616CD6">
        <w:rPr>
          <w:sz w:val="26"/>
          <w:szCs w:val="26"/>
          <w:rtl/>
        </w:rPr>
        <w:t xml:space="preserve"> إلى الاجتماع الثامن والثمانين.</w:t>
      </w:r>
    </w:p>
    <w:p w14:paraId="43BD88C7" w14:textId="77777777" w:rsidR="00267012" w:rsidRPr="00616CD6" w:rsidRDefault="00267012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بناءً على التحليل الوارد في</w:t>
      </w:r>
      <w:r w:rsidR="00B72D06" w:rsidRPr="00616CD6">
        <w:rPr>
          <w:sz w:val="26"/>
          <w:szCs w:val="26"/>
          <w:rtl/>
        </w:rPr>
        <w:t xml:space="preserve"> الجدول 2، في نهاية عام 2021</w:t>
      </w:r>
      <w:r w:rsidRPr="00616CD6">
        <w:rPr>
          <w:sz w:val="26"/>
          <w:szCs w:val="26"/>
          <w:rtl/>
        </w:rPr>
        <w:t xml:space="preserve">، يمكن أن </w:t>
      </w:r>
      <w:r w:rsidR="00B72D06" w:rsidRPr="00616CD6">
        <w:rPr>
          <w:rFonts w:hint="cs"/>
          <w:sz w:val="26"/>
          <w:szCs w:val="26"/>
          <w:rtl/>
        </w:rPr>
        <w:t>يتجمع</w:t>
      </w:r>
      <w:r w:rsidRPr="00616CD6">
        <w:rPr>
          <w:sz w:val="26"/>
          <w:szCs w:val="26"/>
          <w:rtl/>
        </w:rPr>
        <w:t xml:space="preserve"> لدى برنامج الأمم المتحدة الإنمائي رصيد متراكم سلبي </w:t>
      </w:r>
      <w:r w:rsidR="00B72D06" w:rsidRPr="00616CD6">
        <w:rPr>
          <w:rFonts w:hint="cs"/>
          <w:sz w:val="26"/>
          <w:szCs w:val="26"/>
          <w:rtl/>
        </w:rPr>
        <w:t>قدره</w:t>
      </w:r>
      <w:r w:rsidRPr="00616CD6">
        <w:rPr>
          <w:sz w:val="26"/>
          <w:szCs w:val="26"/>
          <w:rtl/>
        </w:rPr>
        <w:t xml:space="preserve"> 669</w:t>
      </w:r>
      <w:r w:rsidR="00B72D0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211 دولارًا أمريكيًا. </w:t>
      </w:r>
      <w:r w:rsidR="00B72D06" w:rsidRPr="00616CD6">
        <w:rPr>
          <w:rFonts w:hint="cs"/>
          <w:sz w:val="26"/>
          <w:szCs w:val="26"/>
          <w:rtl/>
        </w:rPr>
        <w:t>و</w:t>
      </w:r>
      <w:r w:rsidR="00B72D06" w:rsidRPr="00616CD6">
        <w:rPr>
          <w:sz w:val="26"/>
          <w:szCs w:val="26"/>
          <w:rtl/>
        </w:rPr>
        <w:t>في عام 2022</w:t>
      </w:r>
      <w:r w:rsidRPr="00616CD6">
        <w:rPr>
          <w:sz w:val="26"/>
          <w:szCs w:val="26"/>
          <w:rtl/>
        </w:rPr>
        <w:t>، سيتعين على برنامج الأمم المتحدة الإنمائي أن يدر ما لا يقل عن 4</w:t>
      </w:r>
      <w:r w:rsidR="00B72D0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684</w:t>
      </w:r>
      <w:r w:rsidR="00B72D0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837 دولارًا أمريكيًا لتكاليف دعم الوكالة وتكاليف الوحدة الأساسية لتغطية إجمالي التكاليف الإدارية المتوقعة </w:t>
      </w:r>
      <w:r w:rsidR="00B72D06" w:rsidRPr="00616CD6">
        <w:rPr>
          <w:rFonts w:hint="cs"/>
          <w:sz w:val="26"/>
          <w:szCs w:val="26"/>
          <w:rtl/>
        </w:rPr>
        <w:t>وقدره</w:t>
      </w:r>
      <w:r w:rsidRPr="00616CD6">
        <w:rPr>
          <w:sz w:val="26"/>
          <w:szCs w:val="26"/>
          <w:rtl/>
        </w:rPr>
        <w:t xml:space="preserve"> 4</w:t>
      </w:r>
      <w:r w:rsidR="00B72D0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015</w:t>
      </w:r>
      <w:r w:rsidR="00B72D0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626 دولارًا أمريكيًا.</w:t>
      </w:r>
      <w:r w:rsidR="0033115A" w:rsidRPr="00616CD6">
        <w:rPr>
          <w:rStyle w:val="FootnoteReference"/>
          <w:sz w:val="26"/>
          <w:szCs w:val="26"/>
        </w:rPr>
        <w:footnoteReference w:id="6"/>
      </w:r>
    </w:p>
    <w:p w14:paraId="59351AB9" w14:textId="77777777" w:rsidR="00B72D06" w:rsidRPr="00616CD6" w:rsidRDefault="00B72D06" w:rsidP="00B76CF9">
      <w:pPr>
        <w:pStyle w:val="StyleHeader4Para4Left0Firstline0"/>
        <w:numPr>
          <w:ilvl w:val="0"/>
          <w:numId w:val="0"/>
        </w:numPr>
        <w:bidi/>
        <w:rPr>
          <w:b/>
          <w:bCs/>
          <w:sz w:val="26"/>
          <w:szCs w:val="26"/>
        </w:rPr>
      </w:pPr>
      <w:r w:rsidRPr="00616CD6">
        <w:rPr>
          <w:b/>
          <w:bCs/>
          <w:sz w:val="26"/>
          <w:szCs w:val="26"/>
          <w:rtl/>
        </w:rPr>
        <w:t>اليونيدو</w:t>
      </w:r>
    </w:p>
    <w:p w14:paraId="654F22A4" w14:textId="77777777" w:rsidR="00267012" w:rsidRPr="00616CD6" w:rsidRDefault="00267012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وافقت اللجنة التنفيذية على طلب</w:t>
      </w:r>
      <w:r w:rsidR="005F05FC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2021 لتمويل الوحدة الأساسية لليونيدو بمبلغ</w:t>
      </w:r>
      <w:r w:rsidR="005F05FC" w:rsidRPr="00616CD6">
        <w:rPr>
          <w:rFonts w:hint="cs"/>
          <w:sz w:val="26"/>
          <w:szCs w:val="26"/>
          <w:rtl/>
        </w:rPr>
        <w:t xml:space="preserve"> قدره</w:t>
      </w:r>
      <w:r w:rsidRPr="00616CD6">
        <w:rPr>
          <w:sz w:val="26"/>
          <w:szCs w:val="26"/>
          <w:rtl/>
        </w:rPr>
        <w:t xml:space="preserve"> 2</w:t>
      </w:r>
      <w:r w:rsidR="005F05FC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022</w:t>
      </w:r>
      <w:r w:rsidR="005F05FC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000 دولار أمريكي (المقرر 86/62 (ب)). </w:t>
      </w:r>
      <w:r w:rsidR="005F05FC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يعرض الجدول 3 ميزانية الوحدة الأساسية والتكاليف الإدارية التي قدمتها اليونيدو من</w:t>
      </w:r>
      <w:r w:rsidR="005F05FC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2018 إلى</w:t>
      </w:r>
      <w:r w:rsidR="005F05FC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2022.</w:t>
      </w:r>
      <w:r w:rsidR="005F05FC" w:rsidRPr="00616CD6">
        <w:rPr>
          <w:rStyle w:val="FootnoteReference"/>
          <w:sz w:val="26"/>
          <w:szCs w:val="26"/>
          <w:rtl/>
        </w:rPr>
        <w:footnoteReference w:id="7"/>
      </w:r>
      <w:r w:rsidRPr="00616CD6">
        <w:rPr>
          <w:sz w:val="26"/>
          <w:szCs w:val="26"/>
          <w:rtl/>
        </w:rPr>
        <w:t xml:space="preserve"> وتستند الأرقام المدرجة على أنها "فعلية" إلى نموذج أعدته اليونيدو لتقدير تكلفة دعم وحدة بروتوكول مونتريال عملاً بالمقرر 56/41.</w:t>
      </w:r>
    </w:p>
    <w:p w14:paraId="3842F126" w14:textId="77777777" w:rsidR="00616CD6" w:rsidRDefault="00616CD6">
      <w:pPr>
        <w:jc w:val="lef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p w14:paraId="27F0DBF3" w14:textId="3D6DCC49" w:rsidR="00267012" w:rsidRPr="00616CD6" w:rsidRDefault="00891159" w:rsidP="00891159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</w:rPr>
      </w:pPr>
      <w:r w:rsidRPr="00616CD6">
        <w:rPr>
          <w:b/>
          <w:bCs/>
          <w:sz w:val="26"/>
          <w:szCs w:val="26"/>
          <w:rtl/>
        </w:rPr>
        <w:lastRenderedPageBreak/>
        <w:t>الجدول 3</w:t>
      </w:r>
      <w:r w:rsidRPr="00616CD6">
        <w:rPr>
          <w:rFonts w:hint="cs"/>
          <w:b/>
          <w:bCs/>
          <w:sz w:val="26"/>
          <w:szCs w:val="26"/>
          <w:rtl/>
        </w:rPr>
        <w:t>-</w:t>
      </w:r>
      <w:r w:rsidR="00267012" w:rsidRPr="00616CD6">
        <w:rPr>
          <w:b/>
          <w:bCs/>
          <w:sz w:val="26"/>
          <w:szCs w:val="26"/>
          <w:rtl/>
        </w:rPr>
        <w:t xml:space="preserve"> بيانات ميزانية الوحدة الأساسية والتكاليف الإدارية الأخرى لليونيدو من 2018 إلى 2022 (بالدولار الأمريكي)</w:t>
      </w:r>
    </w:p>
    <w:tbl>
      <w:tblPr>
        <w:bidiVisual/>
        <w:tblW w:w="9430" w:type="dxa"/>
        <w:tblInd w:w="-18" w:type="dxa"/>
        <w:tblLook w:val="04A0" w:firstRow="1" w:lastRow="0" w:firstColumn="1" w:lastColumn="0" w:noHBand="0" w:noVBand="1"/>
      </w:tblPr>
      <w:tblGrid>
        <w:gridCol w:w="3510"/>
        <w:gridCol w:w="976"/>
        <w:gridCol w:w="976"/>
        <w:gridCol w:w="976"/>
        <w:gridCol w:w="976"/>
        <w:gridCol w:w="1040"/>
        <w:gridCol w:w="976"/>
      </w:tblGrid>
      <w:tr w:rsidR="00267012" w:rsidRPr="00410515" w14:paraId="1D81A31E" w14:textId="77777777" w:rsidTr="000129BD">
        <w:trPr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0" w:type="dxa"/>
            </w:tcMar>
            <w:vAlign w:val="center"/>
            <w:hideMark/>
          </w:tcPr>
          <w:p w14:paraId="5E32C21B" w14:textId="77777777" w:rsidR="00267012" w:rsidRPr="00EB3DB3" w:rsidRDefault="00FD6398" w:rsidP="00EB3DB3">
            <w:pPr>
              <w:keepNext/>
              <w:keepLines/>
              <w:bidi/>
              <w:jc w:val="center"/>
              <w:rPr>
                <w:b/>
                <w:bCs/>
                <w:sz w:val="19"/>
                <w:szCs w:val="19"/>
                <w:lang w:val="en-US" w:eastAsia="en-CA" w:bidi="ar-S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بند التكلفة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74ED" w14:textId="77777777" w:rsidR="00267012" w:rsidRPr="00410515" w:rsidRDefault="00267012" w:rsidP="00C869B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9040" w14:textId="77777777" w:rsidR="00267012" w:rsidRPr="00410515" w:rsidRDefault="00267012" w:rsidP="00C869B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2019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D28" w14:textId="77777777" w:rsidR="00267012" w:rsidRPr="00410515" w:rsidRDefault="00267012" w:rsidP="00C869B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C36D" w14:textId="77777777" w:rsidR="00267012" w:rsidRPr="00410515" w:rsidRDefault="00267012" w:rsidP="00C869B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A1C04" w14:textId="77777777" w:rsidR="00267012" w:rsidRPr="00410515" w:rsidRDefault="00267012" w:rsidP="00C869B1">
            <w:pPr>
              <w:keepNext/>
              <w:keepLines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2022</w:t>
            </w:r>
          </w:p>
        </w:tc>
      </w:tr>
      <w:tr w:rsidR="00EB3DB3" w:rsidRPr="00410515" w14:paraId="322CD9A7" w14:textId="77777777" w:rsidTr="000129BD">
        <w:trPr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  <w:hideMark/>
          </w:tcPr>
          <w:p w14:paraId="115B6B53" w14:textId="77777777" w:rsidR="00EB3DB3" w:rsidRPr="00410515" w:rsidRDefault="00EB3DB3" w:rsidP="00C869B1">
            <w:pPr>
              <w:jc w:val="left"/>
              <w:rPr>
                <w:b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162E" w14:textId="77777777" w:rsidR="00EB3DB3" w:rsidRPr="00410515" w:rsidRDefault="00EB3DB3" w:rsidP="00EB3DB3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فعلية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EA68" w14:textId="77777777" w:rsidR="00EB3DB3" w:rsidRDefault="00EB3DB3" w:rsidP="00EB3DB3">
            <w:pPr>
              <w:bidi/>
              <w:jc w:val="center"/>
            </w:pPr>
            <w:r w:rsidRPr="00B840A9"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فعلية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FD2" w14:textId="77777777" w:rsidR="00EB3DB3" w:rsidRDefault="00EB3DB3" w:rsidP="00EB3DB3">
            <w:pPr>
              <w:bidi/>
              <w:jc w:val="center"/>
            </w:pPr>
            <w:r w:rsidRPr="00B840A9"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فعلية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B58A" w14:textId="77777777" w:rsidR="00EB3DB3" w:rsidRPr="00410515" w:rsidRDefault="00EB3DB3" w:rsidP="00EB3DB3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الميزانية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3856" w14:textId="77777777" w:rsidR="00EB3DB3" w:rsidRPr="00410515" w:rsidRDefault="00EB3DB3" w:rsidP="00EB3DB3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التقديرية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626D6" w14:textId="77777777" w:rsidR="00EB3DB3" w:rsidRPr="00410515" w:rsidRDefault="00EB3DB3" w:rsidP="00EB3DB3">
            <w:pPr>
              <w:bidi/>
              <w:jc w:val="center"/>
              <w:rPr>
                <w:b/>
                <w:bCs/>
                <w:sz w:val="19"/>
                <w:szCs w:val="19"/>
                <w:lang w:eastAsia="en-CA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المقترحة</w:t>
            </w:r>
          </w:p>
        </w:tc>
      </w:tr>
      <w:tr w:rsidR="000129BD" w:rsidRPr="00410515" w14:paraId="52E57EE0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DA6A372" w14:textId="77777777" w:rsidR="000129BD" w:rsidRPr="00377AF2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العاملون في الوحدة الأساسية والموظفون المتعاقدون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4D10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1,307,624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5A5F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1,351,602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638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856D92">
              <w:rPr>
                <w:sz w:val="19"/>
                <w:szCs w:val="19"/>
              </w:rPr>
              <w:t>1,416,184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55A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1,294,600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33FF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1,289,700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2A449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1,395,100</w:t>
            </w:r>
          </w:p>
        </w:tc>
      </w:tr>
      <w:tr w:rsidR="000129BD" w:rsidRPr="00410515" w14:paraId="10B8675C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941490A" w14:textId="77777777" w:rsidR="000129BD" w:rsidRPr="00377AF2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السفر (الموظفون والاستشاريون)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F386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196,736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554A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137,864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A27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16,004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24F1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121,700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4053E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A179C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200,000</w:t>
            </w:r>
          </w:p>
        </w:tc>
      </w:tr>
      <w:tr w:rsidR="000129BD" w:rsidRPr="00410515" w14:paraId="68496059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0D61E3EE" w14:textId="77777777" w:rsidR="000129BD" w:rsidRPr="00377AF2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DB14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80,548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8241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84,323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D858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84,131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94E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73,900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4B2E5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73,300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FC585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71,800</w:t>
            </w:r>
          </w:p>
        </w:tc>
      </w:tr>
      <w:tr w:rsidR="000129BD" w:rsidRPr="00410515" w14:paraId="6123C32C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20218C9" w14:textId="77777777" w:rsidR="000129BD" w:rsidRPr="00377AF2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المعدات والإمدادات والتكاليف الأخرى (أجهزة الكمبيوتر والإمدادات)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CACA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33,842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4CD9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63,164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F3C7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33,721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F60E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48,000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4BF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34,800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AE4E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49,800</w:t>
            </w:r>
          </w:p>
        </w:tc>
      </w:tr>
      <w:tr w:rsidR="000129BD" w:rsidRPr="00410515" w14:paraId="40D580A3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4034AD9" w14:textId="77777777" w:rsidR="000129BD" w:rsidRPr="002D311B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الخدمات التعاقدية (الشركات)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34D4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580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6AC97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6,356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533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2,455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5EEC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16,700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62D2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FD905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19,000</w:t>
            </w:r>
          </w:p>
        </w:tc>
      </w:tr>
      <w:tr w:rsidR="000129BD" w:rsidRPr="00410515" w14:paraId="71228B8F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9B4D5AA" w14:textId="77777777" w:rsidR="000129BD" w:rsidRPr="002D311B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نفقات الخدمات المركزية لموظفي الوحدة الأساسية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BC8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442,123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D58D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464,626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66B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496,559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58015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467,100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7BB9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421,900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36BC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541,200</w:t>
            </w:r>
          </w:p>
        </w:tc>
      </w:tr>
      <w:tr w:rsidR="000129BD" w:rsidRPr="00410515" w14:paraId="5B9F990E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550CECE" w14:textId="77777777" w:rsidR="000129BD" w:rsidRPr="002D311B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الناقص و- = الفائض)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975F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7,931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C584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-24,066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706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49,404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8480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FBBD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202,300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684F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-240,746</w:t>
            </w:r>
          </w:p>
        </w:tc>
      </w:tr>
      <w:tr w:rsidR="000129BD" w:rsidRPr="00410515" w14:paraId="0681AE8E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4BF9FAE" w14:textId="77777777" w:rsidR="000129BD" w:rsidRPr="002D311B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97C7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-7,931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5E4C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B82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856D92">
              <w:rPr>
                <w:sz w:val="19"/>
                <w:szCs w:val="19"/>
                <w:lang w:eastAsia="en-CA"/>
              </w:rPr>
              <w:t>-49,404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5229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B0C1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CF5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</w:tr>
      <w:tr w:rsidR="000129BD" w:rsidRPr="00410515" w14:paraId="3C752B95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8121E8E" w14:textId="77777777" w:rsidR="000129BD" w:rsidRPr="002D311B" w:rsidRDefault="000129BD" w:rsidP="00887D75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ألف- المجموع الفرعي لتكاليف الوحدة الأساسية*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046E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2,061,454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B771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2,083,870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ED5" w14:textId="77777777" w:rsidR="000129BD" w:rsidRPr="00856D92" w:rsidRDefault="000129BD" w:rsidP="00C869B1">
            <w:pPr>
              <w:jc w:val="right"/>
              <w:rPr>
                <w:b/>
                <w:sz w:val="19"/>
                <w:szCs w:val="19"/>
                <w:lang w:eastAsia="en-CA"/>
              </w:rPr>
            </w:pPr>
            <w:r w:rsidRPr="00856D92">
              <w:rPr>
                <w:b/>
                <w:sz w:val="19"/>
                <w:szCs w:val="19"/>
                <w:lang w:eastAsia="en-CA"/>
              </w:rPr>
              <w:t>2,049,054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009D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sz w:val="19"/>
                <w:szCs w:val="19"/>
              </w:rPr>
              <w:t>2,022,000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092ED" w14:textId="77777777" w:rsidR="000129BD" w:rsidRPr="00410515" w:rsidRDefault="000129BD" w:rsidP="00C869B1">
            <w:pPr>
              <w:jc w:val="right"/>
              <w:rPr>
                <w:b/>
                <w:sz w:val="19"/>
                <w:szCs w:val="19"/>
                <w:lang w:eastAsia="en-CA"/>
              </w:rPr>
            </w:pPr>
            <w:r w:rsidRPr="00410515">
              <w:rPr>
                <w:b/>
                <w:sz w:val="19"/>
                <w:szCs w:val="19"/>
                <w:lang w:eastAsia="en-CA"/>
              </w:rPr>
              <w:t>2,022,000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16CBB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2,036,154</w:t>
            </w:r>
          </w:p>
        </w:tc>
      </w:tr>
      <w:tr w:rsidR="000129BD" w:rsidRPr="00410515" w14:paraId="67CE1D2E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7615D150" w14:textId="77777777" w:rsidR="000129BD" w:rsidRPr="002D311B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نفقات المكاتب القطرية والتنفيذ الوطني، بما في ذلك النفقات الثابتة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D044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729,854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9140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1,339,603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833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814,755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93892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1,444,000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FF3F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916,900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BF54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906,800</w:t>
            </w:r>
          </w:p>
        </w:tc>
      </w:tr>
      <w:tr w:rsidR="000129BD" w:rsidRPr="00410515" w14:paraId="1D4D900E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9424CDE" w14:textId="77777777" w:rsidR="000129BD" w:rsidRPr="002D311B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دعم الوكالة المنفذة (داخليا)، بما في ذلك النفقات الثابتة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D4B7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1,354,611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31D2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1,386,593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7C1" w14:textId="77777777" w:rsidR="000129BD" w:rsidRPr="00410515" w:rsidRDefault="000129BD" w:rsidP="00C869B1">
            <w:pPr>
              <w:jc w:val="right"/>
              <w:rPr>
                <w:sz w:val="19"/>
                <w:szCs w:val="19"/>
              </w:rPr>
            </w:pPr>
            <w:r w:rsidRPr="00410515">
              <w:rPr>
                <w:sz w:val="19"/>
                <w:szCs w:val="19"/>
              </w:rPr>
              <w:t>1,352,699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2F04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1,586,200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64CE5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762,100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DFF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1,686,200</w:t>
            </w:r>
          </w:p>
        </w:tc>
      </w:tr>
      <w:tr w:rsidR="000129BD" w:rsidRPr="00410515" w14:paraId="6500241D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39C23E8" w14:textId="77777777" w:rsidR="000129BD" w:rsidRPr="002D311B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الوسائط المالية، بما في ذلك النفقات الثابتة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454F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D33A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E49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8026E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DA27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AD9BE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</w:tr>
      <w:tr w:rsidR="000129BD" w:rsidRPr="00410515" w14:paraId="47D21FAF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5176616C" w14:textId="77777777" w:rsidR="000129BD" w:rsidRPr="007F7CCC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نفقات الخدمات المركزية لموظفي الوحدة الأساسية (بما في ذلك النفقات الثابتة)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53DC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00C8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4AC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1749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00A4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8B76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</w:p>
        </w:tc>
      </w:tr>
      <w:tr w:rsidR="000129BD" w:rsidRPr="00410515" w14:paraId="5CAE948F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6316530A" w14:textId="77777777" w:rsidR="000129BD" w:rsidRPr="00FE26D1" w:rsidRDefault="000129BD" w:rsidP="00887D75">
            <w:pPr>
              <w:bidi/>
              <w:jc w:val="left"/>
              <w:rPr>
                <w:color w:val="000000"/>
                <w:sz w:val="20"/>
                <w:lang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استعادة التكلفة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97FF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0B05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28C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A5A2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20A58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D1A6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</w:tr>
      <w:tr w:rsidR="000129BD" w:rsidRPr="00410515" w14:paraId="11C77CD6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30862830" w14:textId="77777777" w:rsidR="000129BD" w:rsidRPr="001A4901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الفائض و- = الناقص)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850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B509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24,066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366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0D76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448E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-202,300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8C983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240,746</w:t>
            </w:r>
          </w:p>
        </w:tc>
      </w:tr>
      <w:tr w:rsidR="000129BD" w:rsidRPr="00410515" w14:paraId="5B045340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2D0CD3D8" w14:textId="77777777" w:rsidR="000129BD" w:rsidRPr="00C620F0" w:rsidRDefault="000129BD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المشروع (- = الذي سيخصم وبالتالي سيلغى)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BE7D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-136,283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A403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</w:rPr>
              <w:t>-38,099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8CB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61767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CB72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5A62A" w14:textId="77777777" w:rsidR="000129BD" w:rsidRPr="00410515" w:rsidRDefault="000129BD" w:rsidP="00C869B1">
            <w:pPr>
              <w:jc w:val="right"/>
              <w:rPr>
                <w:sz w:val="19"/>
                <w:szCs w:val="19"/>
                <w:lang w:eastAsia="en-CA"/>
              </w:rPr>
            </w:pPr>
            <w:r w:rsidRPr="00410515">
              <w:rPr>
                <w:sz w:val="19"/>
                <w:szCs w:val="19"/>
                <w:lang w:eastAsia="en-CA"/>
              </w:rPr>
              <w:t>0</w:t>
            </w:r>
          </w:p>
        </w:tc>
      </w:tr>
      <w:tr w:rsidR="000129BD" w:rsidRPr="00410515" w14:paraId="73B228F5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4FFAAEB7" w14:textId="77777777" w:rsidR="000129BD" w:rsidRPr="00C620F0" w:rsidRDefault="000129BD" w:rsidP="00887D75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المجموع الفرعي لتكاليف دعم الوكالة / تكاليف التنفيذ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94F8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1,948,182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DCEA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2,712,163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948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856D92">
              <w:rPr>
                <w:b/>
                <w:bCs/>
                <w:sz w:val="19"/>
                <w:szCs w:val="19"/>
                <w:lang w:eastAsia="en-CA"/>
              </w:rPr>
              <w:t>2,167,455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9CBE9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3,030,200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0941F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1,476,700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2103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2,833,746</w:t>
            </w:r>
          </w:p>
        </w:tc>
      </w:tr>
      <w:tr w:rsidR="000129BD" w:rsidRPr="00E2441A" w14:paraId="3BC89C5E" w14:textId="77777777" w:rsidTr="000129BD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hideMark/>
          </w:tcPr>
          <w:p w14:paraId="14DA3A0A" w14:textId="77777777" w:rsidR="000129BD" w:rsidRPr="00C620F0" w:rsidRDefault="000129BD" w:rsidP="00887D75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المجموع الكلي (ألف + باء)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4F01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4,009,636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83C6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4,796,033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56D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856D92">
              <w:rPr>
                <w:b/>
                <w:bCs/>
                <w:sz w:val="19"/>
                <w:szCs w:val="19"/>
                <w:lang w:eastAsia="en-CA"/>
              </w:rPr>
              <w:t>4,216,509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ECFEA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5,052,200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B0B43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3,498,700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FF93" w14:textId="77777777" w:rsidR="000129BD" w:rsidRPr="00410515" w:rsidRDefault="000129BD" w:rsidP="00C869B1">
            <w:pPr>
              <w:jc w:val="right"/>
              <w:rPr>
                <w:b/>
                <w:bCs/>
                <w:sz w:val="19"/>
                <w:szCs w:val="19"/>
                <w:lang w:eastAsia="en-CA"/>
              </w:rPr>
            </w:pPr>
            <w:r w:rsidRPr="00410515">
              <w:rPr>
                <w:b/>
                <w:bCs/>
                <w:sz w:val="19"/>
                <w:szCs w:val="19"/>
                <w:lang w:eastAsia="en-CA"/>
              </w:rPr>
              <w:t>4,869,900</w:t>
            </w:r>
          </w:p>
        </w:tc>
      </w:tr>
    </w:tbl>
    <w:p w14:paraId="1A23A6A1" w14:textId="77777777" w:rsidR="00C7500C" w:rsidRDefault="00490CA8" w:rsidP="00C7500C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</w:rPr>
      </w:pPr>
      <w:r w:rsidRPr="00451D92">
        <w:rPr>
          <w:rtl/>
        </w:rPr>
        <w:t xml:space="preserve">* تكلفة الوحدة الأساسية أعلى من المجموع الفرعي المسموح به </w:t>
      </w:r>
      <w:r w:rsidR="000477FB">
        <w:rPr>
          <w:rFonts w:hint="cs"/>
          <w:rtl/>
        </w:rPr>
        <w:t>وقدره</w:t>
      </w:r>
      <w:r w:rsidR="000477FB" w:rsidRPr="000477FB">
        <w:t xml:space="preserve">2,083,870 </w:t>
      </w:r>
      <w:r w:rsidRPr="000477FB">
        <w:rPr>
          <w:rtl/>
        </w:rPr>
        <w:t xml:space="preserve"> </w:t>
      </w:r>
      <w:r w:rsidR="000477FB">
        <w:rPr>
          <w:rtl/>
        </w:rPr>
        <w:t>دولارًا في عام 2019. وبالتالي</w:t>
      </w:r>
      <w:r w:rsidRPr="00451D92">
        <w:rPr>
          <w:rtl/>
        </w:rPr>
        <w:t xml:space="preserve">، تم إدخال بند تسوية وتعديل سلبي للوصول إلى الحد الأقصى المطلوب. </w:t>
      </w:r>
      <w:r w:rsidR="00C7500C">
        <w:rPr>
          <w:rtl/>
        </w:rPr>
        <w:t xml:space="preserve">كما </w:t>
      </w:r>
      <w:r w:rsidR="00C7500C" w:rsidRPr="009B7DF8">
        <w:rPr>
          <w:rtl/>
        </w:rPr>
        <w:t xml:space="preserve">تم </w:t>
      </w:r>
      <w:r w:rsidR="00C7500C">
        <w:rPr>
          <w:rFonts w:hint="cs"/>
          <w:rtl/>
        </w:rPr>
        <w:t>تقديم</w:t>
      </w:r>
      <w:r w:rsidR="00C7500C" w:rsidRPr="009B7DF8">
        <w:rPr>
          <w:rtl/>
        </w:rPr>
        <w:t xml:space="preserve"> تعديل إيجابي مقابل في إطار تكاليف دعم الوكالة</w:t>
      </w:r>
      <w:r w:rsidR="00C7500C">
        <w:rPr>
          <w:rFonts w:hint="cs"/>
          <w:rtl/>
        </w:rPr>
        <w:t>/ التنفيذ</w:t>
      </w:r>
      <w:r w:rsidR="00C7500C" w:rsidRPr="009B7DF8">
        <w:rPr>
          <w:rtl/>
        </w:rPr>
        <w:t xml:space="preserve"> </w:t>
      </w:r>
      <w:r w:rsidR="00C7500C">
        <w:rPr>
          <w:rFonts w:hint="cs"/>
          <w:rtl/>
        </w:rPr>
        <w:t>كي يضمن أن يوضح</w:t>
      </w:r>
      <w:r w:rsidR="00C7500C">
        <w:rPr>
          <w:rtl/>
        </w:rPr>
        <w:t xml:space="preserve"> إجمالي التكاليف المتكبدة </w:t>
      </w:r>
      <w:r w:rsidR="00C7500C">
        <w:rPr>
          <w:rFonts w:hint="cs"/>
          <w:rtl/>
        </w:rPr>
        <w:t>ل</w:t>
      </w:r>
      <w:r w:rsidR="00C7500C" w:rsidRPr="009B7DF8">
        <w:rPr>
          <w:rtl/>
        </w:rPr>
        <w:t>لتكاليف الإدارية أيضًا المبلغ الذي تجاوزته الوكالة.</w:t>
      </w:r>
    </w:p>
    <w:p w14:paraId="64BC3837" w14:textId="77777777" w:rsidR="00490CA8" w:rsidRPr="00616CD6" w:rsidRDefault="00490CA8" w:rsidP="00C7500C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</w:rPr>
      </w:pPr>
      <w:r w:rsidRPr="00616CD6">
        <w:rPr>
          <w:sz w:val="26"/>
          <w:szCs w:val="26"/>
          <w:u w:val="single"/>
          <w:rtl/>
        </w:rPr>
        <w:t>تكاليف الوحدة الأساسية</w:t>
      </w:r>
    </w:p>
    <w:p w14:paraId="23C58BFF" w14:textId="77777777" w:rsidR="00490CA8" w:rsidRPr="00616CD6" w:rsidRDefault="00490CA8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 xml:space="preserve"> يمثل طلب اليونيدو </w:t>
      </w:r>
      <w:r w:rsidR="00AF0F9D" w:rsidRPr="00616CD6">
        <w:rPr>
          <w:rFonts w:hint="cs"/>
          <w:sz w:val="26"/>
          <w:szCs w:val="26"/>
          <w:rtl/>
        </w:rPr>
        <w:t>المبلغ</w:t>
      </w:r>
      <w:r w:rsidRPr="00616CD6">
        <w:rPr>
          <w:sz w:val="26"/>
          <w:szCs w:val="26"/>
          <w:rtl/>
        </w:rPr>
        <w:t xml:space="preserve"> 2</w:t>
      </w:r>
      <w:r w:rsidR="00AF0F9D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036</w:t>
      </w:r>
      <w:r w:rsidR="00AF0F9D" w:rsidRPr="00616CD6">
        <w:rPr>
          <w:rFonts w:hint="cs"/>
          <w:sz w:val="26"/>
          <w:szCs w:val="26"/>
          <w:rtl/>
        </w:rPr>
        <w:t>,</w:t>
      </w:r>
      <w:r w:rsidR="00AF0F9D" w:rsidRPr="00616CD6">
        <w:rPr>
          <w:sz w:val="26"/>
          <w:szCs w:val="26"/>
          <w:rtl/>
        </w:rPr>
        <w:t>154 دولارًا أمريكيًا لميزانية وحد</w:t>
      </w:r>
      <w:r w:rsidR="00AF0F9D" w:rsidRPr="00616CD6">
        <w:rPr>
          <w:rFonts w:hint="cs"/>
          <w:sz w:val="26"/>
          <w:szCs w:val="26"/>
          <w:rtl/>
        </w:rPr>
        <w:t>تها</w:t>
      </w:r>
      <w:r w:rsidRPr="00616CD6">
        <w:rPr>
          <w:sz w:val="26"/>
          <w:szCs w:val="26"/>
          <w:rtl/>
        </w:rPr>
        <w:t xml:space="preserve"> الأساسية لعام 2022 زيادة بنسبة 0.7 في المائة في الميزانية المعتمدة لعام 2021. وتتوقع اليونيدو أن تتجاوز تكاليف وحدتها الأساسية هذا المبلغ </w:t>
      </w:r>
      <w:r w:rsidR="00AF0F9D" w:rsidRPr="00616CD6">
        <w:rPr>
          <w:rFonts w:hint="cs"/>
          <w:sz w:val="26"/>
          <w:szCs w:val="26"/>
          <w:rtl/>
        </w:rPr>
        <w:t>بقيمة</w:t>
      </w:r>
      <w:r w:rsidRPr="00616CD6">
        <w:rPr>
          <w:sz w:val="26"/>
          <w:szCs w:val="26"/>
          <w:rtl/>
        </w:rPr>
        <w:t xml:space="preserve"> 240</w:t>
      </w:r>
      <w:r w:rsidR="00AF0F9D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746 دولارًا أمريكيًا (</w:t>
      </w:r>
      <w:r w:rsidR="00AF0F9D" w:rsidRPr="00616CD6">
        <w:rPr>
          <w:rFonts w:hint="cs"/>
          <w:sz w:val="26"/>
          <w:szCs w:val="26"/>
          <w:rtl/>
        </w:rPr>
        <w:t>المذكور</w:t>
      </w:r>
      <w:r w:rsidRPr="00616CD6">
        <w:rPr>
          <w:sz w:val="26"/>
          <w:szCs w:val="26"/>
          <w:rtl/>
        </w:rPr>
        <w:t xml:space="preserve"> في الصف "</w:t>
      </w:r>
      <w:r w:rsidR="005135D3" w:rsidRPr="00616CD6">
        <w:rPr>
          <w:rFonts w:hint="cs"/>
          <w:sz w:val="26"/>
          <w:szCs w:val="26"/>
          <w:rtl/>
        </w:rPr>
        <w:t>التسوية</w:t>
      </w:r>
      <w:r w:rsidRPr="00616CD6">
        <w:rPr>
          <w:sz w:val="26"/>
          <w:szCs w:val="26"/>
          <w:rtl/>
        </w:rPr>
        <w:t>" في الجدول 3).</w:t>
      </w:r>
    </w:p>
    <w:p w14:paraId="6C986C55" w14:textId="079E3307" w:rsidR="00490CA8" w:rsidRPr="00616CD6" w:rsidRDefault="00490CA8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تتألف ميزانية الوحدة ا</w:t>
      </w:r>
      <w:r w:rsidRPr="00616CD6">
        <w:rPr>
          <w:rFonts w:hint="cs"/>
          <w:sz w:val="26"/>
          <w:szCs w:val="26"/>
          <w:rtl/>
        </w:rPr>
        <w:t>ﻷ</w:t>
      </w:r>
      <w:r w:rsidRPr="00616CD6">
        <w:rPr>
          <w:rFonts w:hint="eastAsia"/>
          <w:sz w:val="26"/>
          <w:szCs w:val="26"/>
          <w:rtl/>
        </w:rPr>
        <w:t>ساسية</w:t>
      </w:r>
      <w:r w:rsidRPr="00616CD6">
        <w:rPr>
          <w:sz w:val="26"/>
          <w:szCs w:val="26"/>
          <w:rtl/>
        </w:rPr>
        <w:t xml:space="preserve"> لليونيدو لعام</w:t>
      </w:r>
      <w:r w:rsidR="0070667E">
        <w:rPr>
          <w:sz w:val="26"/>
          <w:szCs w:val="26"/>
        </w:rPr>
        <w:t xml:space="preserve">2022 </w:t>
      </w:r>
      <w:r w:rsidR="001E71A5" w:rsidRPr="00616CD6">
        <w:rPr>
          <w:sz w:val="26"/>
          <w:szCs w:val="26"/>
          <w:rtl/>
        </w:rPr>
        <w:t xml:space="preserve">المقترحة </w:t>
      </w:r>
      <w:r w:rsidRPr="00616CD6">
        <w:rPr>
          <w:sz w:val="26"/>
          <w:szCs w:val="26"/>
          <w:rtl/>
        </w:rPr>
        <w:t>مما يلي:</w:t>
      </w:r>
    </w:p>
    <w:p w14:paraId="2E80E9A6" w14:textId="77777777" w:rsidR="00490CA8" w:rsidRPr="00616CD6" w:rsidRDefault="00490CA8" w:rsidP="00517464">
      <w:pPr>
        <w:pStyle w:val="StyleHeader4Para4Left0Firstline0"/>
        <w:numPr>
          <w:ilvl w:val="0"/>
          <w:numId w:val="12"/>
        </w:numPr>
        <w:bidi/>
        <w:ind w:left="1170" w:hanging="630"/>
        <w:rPr>
          <w:sz w:val="26"/>
          <w:szCs w:val="26"/>
        </w:rPr>
      </w:pPr>
      <w:r w:rsidRPr="00616CD6">
        <w:rPr>
          <w:sz w:val="26"/>
          <w:szCs w:val="26"/>
          <w:rtl/>
        </w:rPr>
        <w:t>رواتب الموظفين (61.3 في المائة من الميزانية تتألف من 7.</w:t>
      </w:r>
      <w:r w:rsidR="008E7F42" w:rsidRPr="00616CD6">
        <w:rPr>
          <w:sz w:val="26"/>
          <w:szCs w:val="26"/>
          <w:rtl/>
        </w:rPr>
        <w:t>4 موظفين). في عام 2021</w:t>
      </w:r>
      <w:r w:rsidRPr="00616CD6">
        <w:rPr>
          <w:sz w:val="26"/>
          <w:szCs w:val="26"/>
          <w:rtl/>
        </w:rPr>
        <w:t>، كانت الميزانية المقدرة للموظفين 70.9 في المائة من الميزانية الإجمالية (تتراوح من 60.7 إ</w:t>
      </w:r>
      <w:r w:rsidR="008E7F42" w:rsidRPr="00616CD6">
        <w:rPr>
          <w:sz w:val="26"/>
          <w:szCs w:val="26"/>
          <w:rtl/>
        </w:rPr>
        <w:t>لى 69.1 في المائة منذ عام 2011)</w:t>
      </w:r>
      <w:r w:rsidRPr="00616CD6">
        <w:rPr>
          <w:sz w:val="26"/>
          <w:szCs w:val="26"/>
          <w:rtl/>
        </w:rPr>
        <w:t xml:space="preserve">؛ </w:t>
      </w:r>
      <w:r w:rsidR="008E7F42" w:rsidRPr="00616CD6">
        <w:rPr>
          <w:rFonts w:hint="cs"/>
          <w:sz w:val="26"/>
          <w:szCs w:val="26"/>
          <w:rtl/>
        </w:rPr>
        <w:t>و</w:t>
      </w:r>
      <w:r w:rsidR="008E7F42" w:rsidRPr="00616CD6">
        <w:rPr>
          <w:sz w:val="26"/>
          <w:szCs w:val="26"/>
          <w:rtl/>
        </w:rPr>
        <w:t xml:space="preserve">عدد الموظفين </w:t>
      </w:r>
      <w:r w:rsidR="008E7F42" w:rsidRPr="00616CD6">
        <w:rPr>
          <w:rFonts w:hint="cs"/>
          <w:sz w:val="26"/>
          <w:szCs w:val="26"/>
          <w:rtl/>
        </w:rPr>
        <w:t xml:space="preserve">في </w:t>
      </w:r>
      <w:r w:rsidRPr="00616CD6">
        <w:rPr>
          <w:sz w:val="26"/>
          <w:szCs w:val="26"/>
          <w:rtl/>
        </w:rPr>
        <w:t xml:space="preserve">عام 2022 أعلى </w:t>
      </w:r>
      <w:r w:rsidR="008E7F42" w:rsidRPr="00616CD6">
        <w:rPr>
          <w:rFonts w:hint="cs"/>
          <w:sz w:val="26"/>
          <w:szCs w:val="26"/>
          <w:rtl/>
        </w:rPr>
        <w:t>قليلا</w:t>
      </w:r>
      <w:r w:rsidRPr="00616CD6">
        <w:rPr>
          <w:sz w:val="26"/>
          <w:szCs w:val="26"/>
          <w:rtl/>
        </w:rPr>
        <w:t xml:space="preserve"> من عام 2021 بسبب </w:t>
      </w:r>
      <w:r w:rsidR="008E7F42" w:rsidRPr="00616CD6">
        <w:rPr>
          <w:rFonts w:hint="cs"/>
          <w:sz w:val="26"/>
          <w:szCs w:val="26"/>
          <w:rtl/>
        </w:rPr>
        <w:t>تنقلات</w:t>
      </w:r>
      <w:r w:rsidR="008E7F42" w:rsidRPr="00616CD6">
        <w:rPr>
          <w:sz w:val="26"/>
          <w:szCs w:val="26"/>
          <w:rtl/>
        </w:rPr>
        <w:t xml:space="preserve"> الموظفين ومخصصات تدفق العمل</w:t>
      </w:r>
      <w:r w:rsidRPr="00616CD6">
        <w:rPr>
          <w:sz w:val="26"/>
          <w:szCs w:val="26"/>
          <w:rtl/>
        </w:rPr>
        <w:t xml:space="preserve">؛ </w:t>
      </w:r>
      <w:r w:rsidR="008E7F42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تمت تلبية متطلبات التوظيف من خلال تعيين استشاريين لملء ال</w:t>
      </w:r>
      <w:r w:rsidR="008E7F42" w:rsidRPr="00616CD6">
        <w:rPr>
          <w:sz w:val="26"/>
          <w:szCs w:val="26"/>
          <w:rtl/>
        </w:rPr>
        <w:t>شواغر مؤقتًا لدعم تنفيذ المشروع</w:t>
      </w:r>
      <w:r w:rsidRPr="00616CD6">
        <w:rPr>
          <w:sz w:val="26"/>
          <w:szCs w:val="26"/>
          <w:rtl/>
        </w:rPr>
        <w:t>؛</w:t>
      </w:r>
    </w:p>
    <w:p w14:paraId="22904705" w14:textId="77777777" w:rsidR="00490CA8" w:rsidRPr="00616CD6" w:rsidRDefault="00C93975" w:rsidP="00517464">
      <w:pPr>
        <w:pStyle w:val="StyleHeader4Para4Left0Firstline0"/>
        <w:numPr>
          <w:ilvl w:val="0"/>
          <w:numId w:val="12"/>
        </w:numPr>
        <w:bidi/>
        <w:ind w:left="1170" w:hanging="63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 xml:space="preserve">الخدمات المركزية (23.8 في المائة من الميزانية). وتتعلق هذه المصروفات بتكاليف الهيئات الإدارية لأمانة اليونيدو والإدارة العامة الموزعة على أساس عدد الموظفين في وحدة بروتوكول مونتريال. </w:t>
      </w:r>
      <w:r w:rsidR="008E7F42"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>ترجع التكاليف المتزايدة في عام 2020 بشكل أساسي إلى ارتفاع عدد موظفي ا</w:t>
      </w:r>
      <w:r w:rsidR="00490CA8" w:rsidRPr="00616CD6">
        <w:rPr>
          <w:rFonts w:hint="eastAsia"/>
          <w:sz w:val="26"/>
          <w:szCs w:val="26"/>
          <w:rtl/>
        </w:rPr>
        <w:t>لوحدة</w:t>
      </w:r>
      <w:r w:rsidR="00490CA8" w:rsidRPr="00616CD6">
        <w:rPr>
          <w:sz w:val="26"/>
          <w:szCs w:val="26"/>
          <w:rtl/>
        </w:rPr>
        <w:t xml:space="preserve"> الأساسية مما أدى إلى ارتفاع نسبة تخصيص التكاليف والاستثمار لإنشاء مرافق اجتماعات إلكترونية موثوقة وآمنة نتيجة لوباء</w:t>
      </w:r>
      <w:r w:rsidR="008E7F42" w:rsidRPr="00616CD6">
        <w:rPr>
          <w:rFonts w:hint="cs"/>
          <w:sz w:val="26"/>
          <w:szCs w:val="26"/>
          <w:rtl/>
        </w:rPr>
        <w:t xml:space="preserve"> كوفيد-19</w:t>
      </w:r>
      <w:r w:rsidR="00490CA8" w:rsidRPr="00616CD6">
        <w:rPr>
          <w:sz w:val="26"/>
          <w:szCs w:val="26"/>
          <w:rtl/>
        </w:rPr>
        <w:t xml:space="preserve">. </w:t>
      </w:r>
      <w:r w:rsidR="0023682E"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 xml:space="preserve">من المتوقع أن تنخفض التكاليف في عام 2021 </w:t>
      </w:r>
      <w:r w:rsidR="0023682E" w:rsidRPr="00616CD6">
        <w:rPr>
          <w:rFonts w:hint="cs"/>
          <w:sz w:val="26"/>
          <w:szCs w:val="26"/>
          <w:rtl/>
        </w:rPr>
        <w:t>ل</w:t>
      </w:r>
      <w:r w:rsidR="00490CA8" w:rsidRPr="00616CD6">
        <w:rPr>
          <w:sz w:val="26"/>
          <w:szCs w:val="26"/>
          <w:rtl/>
        </w:rPr>
        <w:t xml:space="preserve">أن عدد الموظفين المشاركين </w:t>
      </w:r>
      <w:r w:rsidR="0023682E" w:rsidRPr="00616CD6">
        <w:rPr>
          <w:sz w:val="26"/>
          <w:szCs w:val="26"/>
          <w:rtl/>
        </w:rPr>
        <w:t xml:space="preserve">في عمليات </w:t>
      </w:r>
      <w:r w:rsidR="0023682E" w:rsidRPr="00616CD6">
        <w:rPr>
          <w:sz w:val="26"/>
          <w:szCs w:val="26"/>
          <w:rtl/>
        </w:rPr>
        <w:lastRenderedPageBreak/>
        <w:t>بروتوكول مونتريال أقل</w:t>
      </w:r>
      <w:r w:rsidR="00490CA8" w:rsidRPr="00616CD6">
        <w:rPr>
          <w:sz w:val="26"/>
          <w:szCs w:val="26"/>
          <w:rtl/>
        </w:rPr>
        <w:t xml:space="preserve">؛ </w:t>
      </w:r>
      <w:r w:rsidR="0023682E"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 xml:space="preserve">يتم تقدير موازنات </w:t>
      </w:r>
      <w:r w:rsidR="0023682E" w:rsidRPr="00616CD6">
        <w:rPr>
          <w:rFonts w:hint="cs"/>
          <w:sz w:val="26"/>
          <w:szCs w:val="26"/>
          <w:rtl/>
        </w:rPr>
        <w:t>ل</w:t>
      </w:r>
      <w:r w:rsidR="00490CA8" w:rsidRPr="00616CD6">
        <w:rPr>
          <w:sz w:val="26"/>
          <w:szCs w:val="26"/>
          <w:rtl/>
        </w:rPr>
        <w:t>ع</w:t>
      </w:r>
      <w:r w:rsidR="00490CA8" w:rsidRPr="00616CD6">
        <w:rPr>
          <w:rFonts w:hint="eastAsia"/>
          <w:sz w:val="26"/>
          <w:szCs w:val="26"/>
          <w:rtl/>
        </w:rPr>
        <w:t>ام</w:t>
      </w:r>
      <w:r w:rsidR="00490CA8" w:rsidRPr="00616CD6">
        <w:rPr>
          <w:sz w:val="26"/>
          <w:szCs w:val="26"/>
          <w:rtl/>
        </w:rPr>
        <w:t xml:space="preserve"> 2022 بناءً على </w:t>
      </w:r>
      <w:r w:rsidR="0023682E" w:rsidRPr="00616CD6">
        <w:rPr>
          <w:rFonts w:hint="cs"/>
          <w:sz w:val="26"/>
          <w:szCs w:val="26"/>
          <w:rtl/>
        </w:rPr>
        <w:t>المخصصات</w:t>
      </w:r>
      <w:r w:rsidR="00490CA8" w:rsidRPr="00616CD6">
        <w:rPr>
          <w:sz w:val="26"/>
          <w:szCs w:val="26"/>
          <w:rtl/>
        </w:rPr>
        <w:t xml:space="preserve"> المعتمدة لعام 2022 مع الأخذ في الاعتبار المستويات الأعلى للأنشطة في عام 2022.</w:t>
      </w:r>
    </w:p>
    <w:p w14:paraId="140149C2" w14:textId="77777777" w:rsidR="00490CA8" w:rsidRPr="00616CD6" w:rsidRDefault="00C93975" w:rsidP="00517464">
      <w:pPr>
        <w:pStyle w:val="StyleHeader4Para4Left0Firstline0"/>
        <w:numPr>
          <w:ilvl w:val="0"/>
          <w:numId w:val="12"/>
        </w:numPr>
        <w:bidi/>
        <w:ind w:left="1170" w:hanging="63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>الخدمات التعاقدية (0.8 في المائة من الميزانية). المبلغ المدرج في الميزانية لعام 2022 (19</w:t>
      </w:r>
      <w:r w:rsidR="00241B8D"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000 دولار أمريكي) هو أكثر من</w:t>
      </w:r>
      <w:r w:rsidR="00241B8D" w:rsidRPr="00616CD6">
        <w:rPr>
          <w:rFonts w:hint="cs"/>
          <w:sz w:val="26"/>
          <w:szCs w:val="26"/>
          <w:rtl/>
        </w:rPr>
        <w:t xml:space="preserve"> المدرج</w:t>
      </w:r>
      <w:r w:rsidR="00490CA8" w:rsidRPr="00616CD6">
        <w:rPr>
          <w:sz w:val="26"/>
          <w:szCs w:val="26"/>
          <w:rtl/>
        </w:rPr>
        <w:t xml:space="preserve"> </w:t>
      </w:r>
      <w:r w:rsidR="00241B8D" w:rsidRPr="00616CD6">
        <w:rPr>
          <w:rFonts w:hint="cs"/>
          <w:sz w:val="26"/>
          <w:szCs w:val="26"/>
          <w:rtl/>
        </w:rPr>
        <w:t>ل</w:t>
      </w:r>
      <w:r w:rsidR="00490CA8" w:rsidRPr="00616CD6">
        <w:rPr>
          <w:sz w:val="26"/>
          <w:szCs w:val="26"/>
          <w:rtl/>
        </w:rPr>
        <w:t>عام 2021 (16</w:t>
      </w:r>
      <w:r w:rsidR="00241B8D" w:rsidRPr="00616CD6">
        <w:rPr>
          <w:rFonts w:hint="cs"/>
          <w:sz w:val="26"/>
          <w:szCs w:val="26"/>
          <w:rtl/>
        </w:rPr>
        <w:t>,</w:t>
      </w:r>
      <w:r w:rsidR="00241B8D" w:rsidRPr="00616CD6">
        <w:rPr>
          <w:sz w:val="26"/>
          <w:szCs w:val="26"/>
          <w:rtl/>
        </w:rPr>
        <w:t>700 دولار أمريكي)</w:t>
      </w:r>
      <w:r w:rsidR="00490CA8" w:rsidRPr="00616CD6">
        <w:rPr>
          <w:sz w:val="26"/>
          <w:szCs w:val="26"/>
          <w:rtl/>
        </w:rPr>
        <w:t xml:space="preserve">؛ </w:t>
      </w:r>
      <w:r w:rsidR="00241B8D"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>من المتوقع أن تكون التكاليف المقدرة لعام 2021 صفراً بسبب تحقيق المزيد من الوفورات في إطار الطباعة والتر</w:t>
      </w:r>
      <w:r w:rsidR="00490CA8" w:rsidRPr="00616CD6">
        <w:rPr>
          <w:rFonts w:hint="eastAsia"/>
          <w:sz w:val="26"/>
          <w:szCs w:val="26"/>
          <w:rtl/>
        </w:rPr>
        <w:t>جمة</w:t>
      </w:r>
      <w:r w:rsidR="00490CA8" w:rsidRPr="00616CD6">
        <w:rPr>
          <w:sz w:val="26"/>
          <w:szCs w:val="26"/>
          <w:rtl/>
        </w:rPr>
        <w:t xml:space="preserve">. </w:t>
      </w:r>
      <w:r w:rsidRPr="00616CD6">
        <w:rPr>
          <w:rFonts w:hint="cs"/>
          <w:sz w:val="26"/>
          <w:szCs w:val="26"/>
          <w:rtl/>
        </w:rPr>
        <w:t>وذكرت</w:t>
      </w:r>
      <w:r w:rsidR="00490CA8" w:rsidRPr="00616CD6">
        <w:rPr>
          <w:sz w:val="26"/>
          <w:szCs w:val="26"/>
          <w:rtl/>
        </w:rPr>
        <w:t xml:space="preserve"> </w:t>
      </w:r>
      <w:r w:rsidRPr="00616CD6">
        <w:rPr>
          <w:sz w:val="26"/>
          <w:szCs w:val="26"/>
          <w:rtl/>
        </w:rPr>
        <w:t>اليونيدو</w:t>
      </w:r>
      <w:r w:rsidR="00490CA8" w:rsidRPr="00616CD6">
        <w:rPr>
          <w:sz w:val="26"/>
          <w:szCs w:val="26"/>
          <w:rtl/>
        </w:rPr>
        <w:t xml:space="preserve"> أن النفقات الفعلية لعام 2020 </w:t>
      </w:r>
      <w:r w:rsidRPr="00616CD6">
        <w:rPr>
          <w:sz w:val="26"/>
          <w:szCs w:val="26"/>
          <w:rtl/>
        </w:rPr>
        <w:t>جاءت عند المستوى المقدر تقريبًا</w:t>
      </w:r>
      <w:r w:rsidR="00490CA8" w:rsidRPr="00616CD6">
        <w:rPr>
          <w:sz w:val="26"/>
          <w:szCs w:val="26"/>
          <w:rtl/>
        </w:rPr>
        <w:t>؛</w:t>
      </w:r>
    </w:p>
    <w:p w14:paraId="10776122" w14:textId="77777777" w:rsidR="00490CA8" w:rsidRPr="00616CD6" w:rsidRDefault="00C93975" w:rsidP="00517464">
      <w:pPr>
        <w:pStyle w:val="StyleHeader4Para4Left0Firstline0"/>
        <w:numPr>
          <w:ilvl w:val="0"/>
          <w:numId w:val="12"/>
        </w:numPr>
        <w:bidi/>
        <w:ind w:left="1170" w:hanging="63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 xml:space="preserve">السفر (8.8 في المائة من الميزانية). </w:t>
      </w:r>
      <w:r w:rsidRPr="00616CD6">
        <w:rPr>
          <w:rFonts w:hint="cs"/>
          <w:sz w:val="26"/>
          <w:szCs w:val="26"/>
          <w:rtl/>
        </w:rPr>
        <w:t xml:space="preserve">إن </w:t>
      </w:r>
      <w:r w:rsidR="00490CA8" w:rsidRPr="00616CD6">
        <w:rPr>
          <w:sz w:val="26"/>
          <w:szCs w:val="26"/>
          <w:rtl/>
        </w:rPr>
        <w:t>الميزانية المقترحة (200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000 دولار أمريكي) أعلى من ميزانية عام 2021 (121</w:t>
      </w:r>
      <w:r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700 دولار أمريكي)</w:t>
      </w:r>
      <w:r w:rsidR="00490CA8" w:rsidRPr="00616CD6">
        <w:rPr>
          <w:sz w:val="26"/>
          <w:szCs w:val="26"/>
          <w:rtl/>
        </w:rPr>
        <w:t>، ولكنها تقع في نطاق التكلفة المتكبدة منذ عام 2011 (16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004 دولار أمريكي إلى 284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 xml:space="preserve">000 دولار أمريكي). </w:t>
      </w:r>
      <w:r w:rsidRPr="00616CD6">
        <w:rPr>
          <w:rFonts w:hint="cs"/>
          <w:sz w:val="26"/>
          <w:szCs w:val="26"/>
          <w:rtl/>
        </w:rPr>
        <w:t>وأفادت</w:t>
      </w:r>
      <w:r w:rsidR="00490CA8" w:rsidRPr="00616CD6">
        <w:rPr>
          <w:sz w:val="26"/>
          <w:szCs w:val="26"/>
          <w:rtl/>
        </w:rPr>
        <w:t xml:space="preserve"> </w:t>
      </w:r>
      <w:r w:rsidRPr="00616CD6">
        <w:rPr>
          <w:sz w:val="26"/>
          <w:szCs w:val="26"/>
          <w:rtl/>
        </w:rPr>
        <w:t>اليونيدو</w:t>
      </w:r>
      <w:r w:rsidR="00490CA8" w:rsidRPr="00616CD6">
        <w:rPr>
          <w:sz w:val="26"/>
          <w:szCs w:val="26"/>
          <w:rtl/>
        </w:rPr>
        <w:t xml:space="preserve"> </w:t>
      </w:r>
      <w:r w:rsidRPr="00616CD6">
        <w:rPr>
          <w:rFonts w:hint="cs"/>
          <w:sz w:val="26"/>
          <w:szCs w:val="26"/>
          <w:rtl/>
        </w:rPr>
        <w:t>ب</w:t>
      </w:r>
      <w:r w:rsidRPr="00616CD6">
        <w:rPr>
          <w:sz w:val="26"/>
          <w:szCs w:val="26"/>
          <w:rtl/>
        </w:rPr>
        <w:t>أن جائحة كوفيد-19 أد</w:t>
      </w:r>
      <w:r w:rsidRPr="00616CD6">
        <w:rPr>
          <w:rFonts w:hint="cs"/>
          <w:sz w:val="26"/>
          <w:szCs w:val="26"/>
          <w:rtl/>
        </w:rPr>
        <w:t>ت</w:t>
      </w:r>
      <w:r w:rsidR="00490CA8" w:rsidRPr="00616CD6">
        <w:rPr>
          <w:sz w:val="26"/>
          <w:szCs w:val="26"/>
          <w:rtl/>
        </w:rPr>
        <w:t xml:space="preserve"> إلى فرض مزيد </w:t>
      </w:r>
      <w:r w:rsidRPr="00616CD6">
        <w:rPr>
          <w:sz w:val="26"/>
          <w:szCs w:val="26"/>
          <w:rtl/>
        </w:rPr>
        <w:t>من القيود على السفر في عام 2021</w:t>
      </w:r>
      <w:r w:rsidR="00490CA8" w:rsidRPr="00616CD6">
        <w:rPr>
          <w:sz w:val="26"/>
          <w:szCs w:val="26"/>
          <w:rtl/>
        </w:rPr>
        <w:t xml:space="preserve">، وبالتالي لم يتم تقدير أي نفقات. </w:t>
      </w:r>
      <w:r w:rsidRPr="00616CD6">
        <w:rPr>
          <w:rFonts w:hint="cs"/>
          <w:sz w:val="26"/>
          <w:szCs w:val="26"/>
          <w:rtl/>
        </w:rPr>
        <w:t>و</w:t>
      </w:r>
      <w:r w:rsidR="00490CA8" w:rsidRPr="00616CD6">
        <w:rPr>
          <w:sz w:val="26"/>
          <w:szCs w:val="26"/>
          <w:rtl/>
        </w:rPr>
        <w:t>من المتوقع استئناف السفر في عام 2022 لأن بلدان المادة 5 ستحتاج إلى دعم لتنفيذ أنشطة خطة إدارة إزالة المواد الهيدروكلوروفلوروك</w:t>
      </w:r>
      <w:r w:rsidR="00490CA8" w:rsidRPr="00616CD6">
        <w:rPr>
          <w:rFonts w:hint="eastAsia"/>
          <w:sz w:val="26"/>
          <w:szCs w:val="26"/>
          <w:rtl/>
        </w:rPr>
        <w:t>ربونية</w:t>
      </w:r>
      <w:r w:rsidR="00490CA8" w:rsidRPr="00616CD6">
        <w:rPr>
          <w:sz w:val="26"/>
          <w:szCs w:val="26"/>
          <w:rtl/>
        </w:rPr>
        <w:t xml:space="preserve"> والتحضير لأنشطة </w:t>
      </w:r>
      <w:r w:rsidRPr="00616CD6">
        <w:rPr>
          <w:rFonts w:hint="cs"/>
          <w:sz w:val="26"/>
          <w:szCs w:val="26"/>
          <w:rtl/>
        </w:rPr>
        <w:t>التخفيض التدريجي للمواد الهيدروفلوروكربونية</w:t>
      </w:r>
      <w:r w:rsidRPr="00616CD6">
        <w:rPr>
          <w:sz w:val="26"/>
          <w:szCs w:val="26"/>
          <w:rtl/>
        </w:rPr>
        <w:t>؛</w:t>
      </w:r>
    </w:p>
    <w:p w14:paraId="4ED61E08" w14:textId="77777777" w:rsidR="00267012" w:rsidRPr="00616CD6" w:rsidRDefault="00A64530" w:rsidP="00517464">
      <w:pPr>
        <w:pStyle w:val="StyleHeader4Para4Left0Firstline0"/>
        <w:numPr>
          <w:ilvl w:val="0"/>
          <w:numId w:val="12"/>
        </w:numPr>
        <w:bidi/>
        <w:ind w:left="1170" w:hanging="630"/>
        <w:rPr>
          <w:sz w:val="26"/>
          <w:szCs w:val="26"/>
          <w:rtl/>
        </w:rPr>
      </w:pPr>
      <w:r w:rsidRPr="00616CD6">
        <w:rPr>
          <w:rFonts w:hint="cs"/>
          <w:sz w:val="26"/>
          <w:szCs w:val="26"/>
          <w:rtl/>
        </w:rPr>
        <w:t>وإيجار</w:t>
      </w:r>
      <w:r w:rsidR="00490CA8" w:rsidRPr="00616CD6">
        <w:rPr>
          <w:sz w:val="26"/>
          <w:szCs w:val="26"/>
          <w:rtl/>
        </w:rPr>
        <w:t xml:space="preserve"> الأماكن (3.2 في المائة من الميزانية).</w:t>
      </w:r>
    </w:p>
    <w:p w14:paraId="074AFA18" w14:textId="77777777" w:rsidR="006B516B" w:rsidRPr="00616CD6" w:rsidRDefault="00490CA8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rtl/>
        </w:rPr>
      </w:pPr>
      <w:r w:rsidRPr="00616CD6">
        <w:rPr>
          <w:sz w:val="26"/>
          <w:szCs w:val="26"/>
          <w:rtl/>
        </w:rPr>
        <w:t>ستعيد اليونيدو 49</w:t>
      </w:r>
      <w:r w:rsidR="00A336E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404 دولارات أمريكية من الوفورات من تكاليف الوحدة الأساسية </w:t>
      </w:r>
      <w:r w:rsidR="00A336E6" w:rsidRPr="00616CD6">
        <w:rPr>
          <w:rFonts w:hint="cs"/>
          <w:sz w:val="26"/>
          <w:szCs w:val="26"/>
          <w:rtl/>
        </w:rPr>
        <w:t>في</w:t>
      </w:r>
      <w:r w:rsidRPr="00616CD6">
        <w:rPr>
          <w:sz w:val="26"/>
          <w:szCs w:val="26"/>
          <w:rtl/>
        </w:rPr>
        <w:t xml:space="preserve"> عام 2020 إلى الاجتماع الثامن والثمانين. </w:t>
      </w:r>
      <w:r w:rsidR="00A336E6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ق</w:t>
      </w:r>
      <w:r w:rsidR="00A336E6" w:rsidRPr="00616CD6">
        <w:rPr>
          <w:sz w:val="26"/>
          <w:szCs w:val="26"/>
          <w:rtl/>
        </w:rPr>
        <w:t xml:space="preserve">د تود اللجنة التنفيذية أن </w:t>
      </w:r>
      <w:r w:rsidR="00A336E6" w:rsidRPr="00616CD6">
        <w:rPr>
          <w:rFonts w:hint="cs"/>
          <w:sz w:val="26"/>
          <w:szCs w:val="26"/>
          <w:rtl/>
        </w:rPr>
        <w:t>تشير</w:t>
      </w:r>
      <w:r w:rsidR="00A336E6" w:rsidRPr="00616CD6">
        <w:rPr>
          <w:sz w:val="26"/>
          <w:szCs w:val="26"/>
          <w:rtl/>
        </w:rPr>
        <w:t>، مع التقدير</w:t>
      </w:r>
      <w:r w:rsidRPr="00616CD6">
        <w:rPr>
          <w:sz w:val="26"/>
          <w:szCs w:val="26"/>
          <w:rtl/>
        </w:rPr>
        <w:t xml:space="preserve">، </w:t>
      </w:r>
      <w:r w:rsidR="00A336E6" w:rsidRPr="00616CD6">
        <w:rPr>
          <w:rFonts w:hint="cs"/>
          <w:sz w:val="26"/>
          <w:szCs w:val="26"/>
          <w:rtl/>
        </w:rPr>
        <w:t xml:space="preserve">إلى </w:t>
      </w:r>
      <w:r w:rsidRPr="00616CD6">
        <w:rPr>
          <w:sz w:val="26"/>
          <w:szCs w:val="26"/>
          <w:rtl/>
        </w:rPr>
        <w:t>أن اليونيدو ستعيد الأرصدة غير المستخدمة.</w:t>
      </w:r>
      <w:r w:rsidR="006B516B" w:rsidRPr="00616CD6">
        <w:rPr>
          <w:rFonts w:hint="cs"/>
          <w:sz w:val="26"/>
          <w:szCs w:val="26"/>
          <w:rtl/>
          <w:lang w:bidi="ar-SA"/>
        </w:rPr>
        <w:t xml:space="preserve"> </w:t>
      </w:r>
    </w:p>
    <w:p w14:paraId="62690E62" w14:textId="77777777" w:rsidR="00280FF6" w:rsidRPr="00616CD6" w:rsidRDefault="00280FF6" w:rsidP="006B516B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</w:rPr>
      </w:pPr>
      <w:r w:rsidRPr="00616CD6">
        <w:rPr>
          <w:sz w:val="26"/>
          <w:szCs w:val="26"/>
          <w:u w:val="single"/>
          <w:rtl/>
        </w:rPr>
        <w:t>إجمالي التكاليف الإدارية</w:t>
      </w:r>
    </w:p>
    <w:p w14:paraId="7359B11F" w14:textId="77777777" w:rsidR="00490CA8" w:rsidRPr="00616CD6" w:rsidRDefault="004322F1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 xml:space="preserve">يقترح صافي </w:t>
      </w:r>
      <w:r w:rsidR="00490CA8" w:rsidRPr="00616CD6">
        <w:rPr>
          <w:sz w:val="26"/>
          <w:szCs w:val="26"/>
          <w:rtl/>
        </w:rPr>
        <w:t>إجمالي التكاليف الإدارية بمبلغ</w:t>
      </w:r>
      <w:r w:rsidRPr="00616CD6">
        <w:rPr>
          <w:rFonts w:hint="cs"/>
          <w:sz w:val="26"/>
          <w:szCs w:val="26"/>
          <w:rtl/>
        </w:rPr>
        <w:t xml:space="preserve"> قدره</w:t>
      </w:r>
      <w:r w:rsidR="00490CA8" w:rsidRPr="00616CD6">
        <w:rPr>
          <w:sz w:val="26"/>
          <w:szCs w:val="26"/>
          <w:rtl/>
        </w:rPr>
        <w:t xml:space="preserve"> 4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869</w:t>
      </w:r>
      <w:r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900 دولار أمريكي لعام 2022</w:t>
      </w:r>
      <w:r w:rsidR="00490CA8" w:rsidRPr="00616CD6">
        <w:rPr>
          <w:sz w:val="26"/>
          <w:szCs w:val="26"/>
          <w:rtl/>
        </w:rPr>
        <w:t xml:space="preserve">، وهو أعلى من التكاليف </w:t>
      </w:r>
      <w:r w:rsidRPr="00616CD6">
        <w:rPr>
          <w:rFonts w:hint="cs"/>
          <w:sz w:val="26"/>
          <w:szCs w:val="26"/>
          <w:rtl/>
        </w:rPr>
        <w:t>التقديرية</w:t>
      </w:r>
      <w:r w:rsidR="00490CA8" w:rsidRPr="00616CD6">
        <w:rPr>
          <w:sz w:val="26"/>
          <w:szCs w:val="26"/>
          <w:rtl/>
        </w:rPr>
        <w:t xml:space="preserve"> لعام 2021 </w:t>
      </w:r>
      <w:r w:rsidRPr="00616CD6">
        <w:rPr>
          <w:rFonts w:hint="cs"/>
          <w:sz w:val="26"/>
          <w:szCs w:val="26"/>
          <w:rtl/>
        </w:rPr>
        <w:t>وقدرها</w:t>
      </w:r>
      <w:r w:rsidR="00490CA8" w:rsidRPr="00616CD6">
        <w:rPr>
          <w:sz w:val="26"/>
          <w:szCs w:val="26"/>
          <w:rtl/>
        </w:rPr>
        <w:t xml:space="preserve"> 3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498</w:t>
      </w:r>
      <w:r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700 دولار أمريكي</w:t>
      </w:r>
      <w:r w:rsidR="00490CA8" w:rsidRPr="00616CD6">
        <w:rPr>
          <w:sz w:val="26"/>
          <w:szCs w:val="26"/>
          <w:rtl/>
        </w:rPr>
        <w:t>، ولكن</w:t>
      </w:r>
      <w:r w:rsidRPr="00616CD6">
        <w:rPr>
          <w:rFonts w:hint="cs"/>
          <w:sz w:val="26"/>
          <w:szCs w:val="26"/>
          <w:rtl/>
        </w:rPr>
        <w:t>ها</w:t>
      </w:r>
      <w:r w:rsidR="00490CA8" w:rsidRPr="00616CD6">
        <w:rPr>
          <w:sz w:val="26"/>
          <w:szCs w:val="26"/>
          <w:rtl/>
        </w:rPr>
        <w:t xml:space="preserve"> في نطاق التكاليف بين عامي 2011 و 2021 (4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009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636 دولار أمريكي إلى 6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821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000 دولار أمريكي).</w:t>
      </w:r>
    </w:p>
    <w:p w14:paraId="52ECE533" w14:textId="77777777" w:rsidR="00490CA8" w:rsidRPr="00616CD6" w:rsidRDefault="0091455A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إن</w:t>
      </w:r>
      <w:r w:rsidR="00490CA8" w:rsidRPr="00616CD6">
        <w:rPr>
          <w:sz w:val="26"/>
          <w:szCs w:val="26"/>
          <w:rtl/>
        </w:rPr>
        <w:t xml:space="preserve"> تسديد تكاليف المكاتب القطرية والتنفيذ الوطني في الميزانية </w:t>
      </w:r>
      <w:r w:rsidRPr="00616CD6">
        <w:rPr>
          <w:rFonts w:hint="cs"/>
          <w:sz w:val="26"/>
          <w:szCs w:val="26"/>
          <w:rtl/>
        </w:rPr>
        <w:t>بقيمة</w:t>
      </w:r>
      <w:r w:rsidR="00490CA8" w:rsidRPr="00616CD6">
        <w:rPr>
          <w:sz w:val="26"/>
          <w:szCs w:val="26"/>
          <w:rtl/>
        </w:rPr>
        <w:t xml:space="preserve"> 906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800 دولار أمريكي لع</w:t>
      </w:r>
      <w:r w:rsidRPr="00616CD6">
        <w:rPr>
          <w:sz w:val="26"/>
          <w:szCs w:val="26"/>
          <w:rtl/>
        </w:rPr>
        <w:t>ام 2022</w:t>
      </w:r>
      <w:r w:rsidR="00490CA8" w:rsidRPr="00616CD6">
        <w:rPr>
          <w:sz w:val="26"/>
          <w:szCs w:val="26"/>
          <w:rtl/>
        </w:rPr>
        <w:t xml:space="preserve"> أقل من التكاليف المقدرة لعام 2021 (</w:t>
      </w:r>
      <w:r w:rsidRPr="00616CD6">
        <w:rPr>
          <w:rFonts w:hint="cs"/>
          <w:sz w:val="26"/>
          <w:szCs w:val="26"/>
          <w:rtl/>
        </w:rPr>
        <w:t xml:space="preserve">916,900 </w:t>
      </w:r>
      <w:r w:rsidR="00490CA8" w:rsidRPr="00616CD6">
        <w:rPr>
          <w:sz w:val="26"/>
          <w:szCs w:val="26"/>
          <w:rtl/>
        </w:rPr>
        <w:t>دولار أمريكي) ولكنه</w:t>
      </w:r>
      <w:r w:rsidRPr="00616CD6">
        <w:rPr>
          <w:rFonts w:hint="cs"/>
          <w:sz w:val="26"/>
          <w:szCs w:val="26"/>
          <w:rtl/>
        </w:rPr>
        <w:t>ا</w:t>
      </w:r>
      <w:r w:rsidR="00490CA8" w:rsidRPr="00616CD6">
        <w:rPr>
          <w:sz w:val="26"/>
          <w:szCs w:val="26"/>
          <w:rtl/>
        </w:rPr>
        <w:t xml:space="preserve"> أعلى من التكاليف الفعلية لعام 2020 (814</w:t>
      </w:r>
      <w:r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755 دولار أمريكي). ومع ذلك</w:t>
      </w:r>
      <w:r w:rsidR="00490CA8" w:rsidRPr="00616CD6">
        <w:rPr>
          <w:sz w:val="26"/>
          <w:szCs w:val="26"/>
          <w:rtl/>
        </w:rPr>
        <w:t xml:space="preserve">، هذا </w:t>
      </w:r>
      <w:r w:rsidRPr="00616CD6">
        <w:rPr>
          <w:sz w:val="26"/>
          <w:szCs w:val="26"/>
          <w:rtl/>
        </w:rPr>
        <w:t>المبلغ أقل من السنوات السابقة (</w:t>
      </w:r>
      <w:r w:rsidRPr="00616CD6">
        <w:rPr>
          <w:rFonts w:hint="cs"/>
          <w:sz w:val="26"/>
          <w:szCs w:val="26"/>
          <w:rtl/>
        </w:rPr>
        <w:t>ي</w:t>
      </w:r>
      <w:r w:rsidR="00490CA8" w:rsidRPr="00616CD6">
        <w:rPr>
          <w:sz w:val="26"/>
          <w:szCs w:val="26"/>
          <w:rtl/>
        </w:rPr>
        <w:t>تراوح بين 1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814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900 دولار أمريكي إلى 3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602</w:t>
      </w:r>
      <w:r w:rsidRPr="00616CD6">
        <w:rPr>
          <w:rFonts w:hint="cs"/>
          <w:sz w:val="26"/>
          <w:szCs w:val="26"/>
          <w:rtl/>
        </w:rPr>
        <w:t>,</w:t>
      </w:r>
      <w:r w:rsidR="00490CA8" w:rsidRPr="00616CD6">
        <w:rPr>
          <w:sz w:val="26"/>
          <w:szCs w:val="26"/>
          <w:rtl/>
        </w:rPr>
        <w:t>000 دولار أمريكي بين عامي 2011 و 2014). وأوضحت اليونيدو أن التكاليف الفعلية في عام 2020 والتكاليف المقدرة لعام 2021 انخفضت بسبب استقرار عمليات مكاتب اليونيدو القطرية بعد تعييناتها الأولية بناءً على عملياتها المعاد هيكلتها.</w:t>
      </w:r>
    </w:p>
    <w:p w14:paraId="6521C7F1" w14:textId="77777777" w:rsidR="00490CA8" w:rsidRPr="00616CD6" w:rsidRDefault="00490CA8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تزيد تكلفة الوكالة المنفذة لعام 2022 (1</w:t>
      </w:r>
      <w:r w:rsidR="00004EC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686</w:t>
      </w:r>
      <w:r w:rsidR="00004EC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200 دولار أمريكي) عن التكاليف المقدرة لعام 2021 </w:t>
      </w:r>
      <w:r w:rsidR="00004EC6" w:rsidRPr="00616CD6">
        <w:rPr>
          <w:rFonts w:hint="cs"/>
          <w:sz w:val="26"/>
          <w:szCs w:val="26"/>
          <w:rtl/>
        </w:rPr>
        <w:t>بقيمة</w:t>
      </w:r>
      <w:r w:rsidRPr="00616CD6">
        <w:rPr>
          <w:sz w:val="26"/>
          <w:szCs w:val="26"/>
          <w:rtl/>
        </w:rPr>
        <w:t xml:space="preserve"> 924</w:t>
      </w:r>
      <w:r w:rsidR="00004EC6" w:rsidRPr="00616CD6">
        <w:rPr>
          <w:rFonts w:hint="cs"/>
          <w:sz w:val="26"/>
          <w:szCs w:val="26"/>
          <w:rtl/>
        </w:rPr>
        <w:t>,</w:t>
      </w:r>
      <w:r w:rsidR="00004EC6" w:rsidRPr="00616CD6">
        <w:rPr>
          <w:sz w:val="26"/>
          <w:szCs w:val="26"/>
          <w:rtl/>
        </w:rPr>
        <w:t>100 دولار أمريكي</w:t>
      </w:r>
      <w:r w:rsidRPr="00616CD6">
        <w:rPr>
          <w:sz w:val="26"/>
          <w:szCs w:val="26"/>
          <w:rtl/>
        </w:rPr>
        <w:t xml:space="preserve">، وأعلى </w:t>
      </w:r>
      <w:r w:rsidR="00004EC6" w:rsidRPr="00616CD6">
        <w:rPr>
          <w:rFonts w:hint="cs"/>
          <w:sz w:val="26"/>
          <w:szCs w:val="26"/>
          <w:rtl/>
        </w:rPr>
        <w:t>بقيمة</w:t>
      </w:r>
      <w:r w:rsidRPr="00616CD6">
        <w:rPr>
          <w:sz w:val="26"/>
          <w:szCs w:val="26"/>
          <w:rtl/>
        </w:rPr>
        <w:t xml:space="preserve"> 333</w:t>
      </w:r>
      <w:r w:rsidR="00004EC6" w:rsidRPr="00616CD6">
        <w:rPr>
          <w:rFonts w:hint="cs"/>
          <w:sz w:val="26"/>
          <w:szCs w:val="26"/>
          <w:rtl/>
        </w:rPr>
        <w:t>,</w:t>
      </w:r>
      <w:r w:rsidR="00004EC6" w:rsidRPr="00616CD6">
        <w:rPr>
          <w:sz w:val="26"/>
          <w:szCs w:val="26"/>
          <w:rtl/>
        </w:rPr>
        <w:t xml:space="preserve">501 دولارًا أمريكيًا </w:t>
      </w:r>
      <w:r w:rsidR="00004EC6" w:rsidRPr="00616CD6">
        <w:rPr>
          <w:rFonts w:hint="cs"/>
          <w:sz w:val="26"/>
          <w:szCs w:val="26"/>
          <w:rtl/>
        </w:rPr>
        <w:t>م</w:t>
      </w:r>
      <w:r w:rsidRPr="00616CD6">
        <w:rPr>
          <w:sz w:val="26"/>
          <w:szCs w:val="26"/>
          <w:rtl/>
        </w:rPr>
        <w:t xml:space="preserve">ن التكاليف الفعلية لعام 2020. </w:t>
      </w:r>
      <w:r w:rsidR="00004EC6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تراوحت تكاليف الوكالة المنفذة من 762</w:t>
      </w:r>
      <w:r w:rsidR="00004EC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100 دولار أمريكي إلى 3</w:t>
      </w:r>
      <w:r w:rsidR="00004EC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302</w:t>
      </w:r>
      <w:r w:rsidR="00004EC6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800 دولار أمريكي للفترة 2011-2021. </w:t>
      </w:r>
      <w:r w:rsidR="00004EC6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أوضحت </w:t>
      </w:r>
      <w:r w:rsidR="00004EC6" w:rsidRPr="00616CD6">
        <w:rPr>
          <w:sz w:val="26"/>
          <w:szCs w:val="26"/>
          <w:rtl/>
        </w:rPr>
        <w:t>اليونيدو</w:t>
      </w:r>
      <w:r w:rsidRPr="00616CD6">
        <w:rPr>
          <w:sz w:val="26"/>
          <w:szCs w:val="26"/>
          <w:rtl/>
        </w:rPr>
        <w:t xml:space="preserve"> أنه بال</w:t>
      </w:r>
      <w:r w:rsidR="00004EC6" w:rsidRPr="00616CD6">
        <w:rPr>
          <w:sz w:val="26"/>
          <w:szCs w:val="26"/>
          <w:rtl/>
        </w:rPr>
        <w:t>نسبة لتكلفة دعم الوكالة المنفذة</w:t>
      </w:r>
      <w:r w:rsidRPr="00616CD6">
        <w:rPr>
          <w:sz w:val="26"/>
          <w:szCs w:val="26"/>
          <w:rtl/>
        </w:rPr>
        <w:t xml:space="preserve">، </w:t>
      </w:r>
      <w:r w:rsidR="00004EC6" w:rsidRPr="00616CD6">
        <w:rPr>
          <w:rFonts w:hint="cs"/>
          <w:sz w:val="26"/>
          <w:szCs w:val="26"/>
          <w:rtl/>
        </w:rPr>
        <w:t>يعزى</w:t>
      </w:r>
      <w:r w:rsidRPr="00616CD6">
        <w:rPr>
          <w:sz w:val="26"/>
          <w:szCs w:val="26"/>
          <w:rtl/>
        </w:rPr>
        <w:t xml:space="preserve"> الانخفاض في عام 2020 </w:t>
      </w:r>
      <w:r w:rsidR="00004EC6" w:rsidRPr="00616CD6">
        <w:rPr>
          <w:rFonts w:hint="cs"/>
          <w:sz w:val="26"/>
          <w:szCs w:val="26"/>
          <w:rtl/>
        </w:rPr>
        <w:t>إلى</w:t>
      </w:r>
      <w:r w:rsidRPr="00616CD6">
        <w:rPr>
          <w:sz w:val="26"/>
          <w:szCs w:val="26"/>
          <w:rtl/>
        </w:rPr>
        <w:t xml:space="preserve"> التغيير في نموذج التنفيذ مع مكتب الت</w:t>
      </w:r>
      <w:r w:rsidR="00004EC6" w:rsidRPr="00616CD6">
        <w:rPr>
          <w:sz w:val="26"/>
          <w:szCs w:val="26"/>
          <w:rtl/>
        </w:rPr>
        <w:t>عاون الاقتصادي الأجنبي في الصين</w:t>
      </w:r>
      <w:r w:rsidRPr="00616CD6">
        <w:rPr>
          <w:sz w:val="26"/>
          <w:szCs w:val="26"/>
          <w:rtl/>
        </w:rPr>
        <w:t>، وكان الانخفاض المتوقع لعام 2021 (824</w:t>
      </w:r>
      <w:r w:rsidR="00004EC6" w:rsidRPr="00616CD6">
        <w:rPr>
          <w:rFonts w:hint="cs"/>
          <w:sz w:val="26"/>
          <w:szCs w:val="26"/>
          <w:rtl/>
        </w:rPr>
        <w:t>,</w:t>
      </w:r>
      <w:r w:rsidR="00004EC6" w:rsidRPr="00616CD6">
        <w:rPr>
          <w:sz w:val="26"/>
          <w:szCs w:val="26"/>
          <w:rtl/>
        </w:rPr>
        <w:t xml:space="preserve">100 دولار أمريكي) بسبب </w:t>
      </w:r>
      <w:r w:rsidRPr="00616CD6">
        <w:rPr>
          <w:sz w:val="26"/>
          <w:szCs w:val="26"/>
          <w:rtl/>
        </w:rPr>
        <w:t>تعديلات الاحتياجات الف</w:t>
      </w:r>
      <w:r w:rsidR="00004EC6" w:rsidRPr="00616CD6">
        <w:rPr>
          <w:sz w:val="26"/>
          <w:szCs w:val="26"/>
          <w:rtl/>
        </w:rPr>
        <w:t>علية، و</w:t>
      </w:r>
      <w:r w:rsidR="00004EC6" w:rsidRPr="00616CD6">
        <w:rPr>
          <w:rFonts w:hint="cs"/>
          <w:sz w:val="26"/>
          <w:szCs w:val="26"/>
          <w:rtl/>
        </w:rPr>
        <w:t xml:space="preserve">تعزى </w:t>
      </w:r>
      <w:r w:rsidRPr="00616CD6">
        <w:rPr>
          <w:sz w:val="26"/>
          <w:szCs w:val="26"/>
          <w:rtl/>
        </w:rPr>
        <w:t xml:space="preserve">الزيادة المدرجة في الميزانية لعام 2022 </w:t>
      </w:r>
      <w:r w:rsidR="00004EC6" w:rsidRPr="00616CD6">
        <w:rPr>
          <w:rFonts w:hint="cs"/>
          <w:sz w:val="26"/>
          <w:szCs w:val="26"/>
          <w:rtl/>
        </w:rPr>
        <w:t>أساسا</w:t>
      </w:r>
      <w:r w:rsidRPr="00616CD6">
        <w:rPr>
          <w:sz w:val="26"/>
          <w:szCs w:val="26"/>
          <w:rtl/>
        </w:rPr>
        <w:t xml:space="preserve"> إلى الزيادة المتوقعة في أنشطة المشروع إلى مستويات ما قبل</w:t>
      </w:r>
      <w:r w:rsidR="00101F99" w:rsidRPr="00616CD6">
        <w:rPr>
          <w:rFonts w:hint="cs"/>
          <w:sz w:val="26"/>
          <w:szCs w:val="26"/>
          <w:rtl/>
        </w:rPr>
        <w:t xml:space="preserve"> كوفيد</w:t>
      </w:r>
      <w:r w:rsidRPr="00616CD6">
        <w:rPr>
          <w:sz w:val="26"/>
          <w:szCs w:val="26"/>
          <w:rtl/>
        </w:rPr>
        <w:t>.</w:t>
      </w:r>
    </w:p>
    <w:p w14:paraId="5C005066" w14:textId="77777777" w:rsidR="00490CA8" w:rsidRPr="00616CD6" w:rsidRDefault="00490CA8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تشمل الموارد المتوقعة المتاحة من الصندوق متعدد الأطراف للتكاليف الإدارية تكاليف الوح</w:t>
      </w:r>
      <w:r w:rsidR="00880596" w:rsidRPr="00616CD6">
        <w:rPr>
          <w:sz w:val="26"/>
          <w:szCs w:val="26"/>
          <w:rtl/>
        </w:rPr>
        <w:t>دة الأساسية وتكاليف دعم الوكالة</w:t>
      </w:r>
      <w:r w:rsidRPr="00616CD6">
        <w:rPr>
          <w:sz w:val="26"/>
          <w:szCs w:val="26"/>
          <w:rtl/>
        </w:rPr>
        <w:t xml:space="preserve">، بالإضافة إلى أي رصيد في الإيرادات للتكاليف الإدارية لم يُستخدم من قبل. </w:t>
      </w:r>
      <w:r w:rsidR="00880596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تتاح تكاليف دعم الوكالة لليونيدو بعد صرف تكاليف المشروع المعتمدة</w:t>
      </w:r>
      <w:r w:rsidR="00E328B7" w:rsidRPr="00616CD6">
        <w:rPr>
          <w:sz w:val="26"/>
          <w:szCs w:val="26"/>
          <w:rtl/>
        </w:rPr>
        <w:t xml:space="preserve"> فقط</w:t>
      </w:r>
      <w:r w:rsidRPr="00616CD6">
        <w:rPr>
          <w:sz w:val="26"/>
          <w:szCs w:val="26"/>
          <w:rtl/>
        </w:rPr>
        <w:t xml:space="preserve">. </w:t>
      </w:r>
      <w:r w:rsidR="00E328B7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يعرض الجدول 4 التقييم للفترة من</w:t>
      </w:r>
      <w:r w:rsidR="00166C49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2018 إلى</w:t>
      </w:r>
      <w:r w:rsidR="00166C49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2021.</w:t>
      </w:r>
    </w:p>
    <w:p w14:paraId="13194FD2" w14:textId="77777777" w:rsidR="00490CA8" w:rsidRPr="00616CD6" w:rsidRDefault="00490CA8" w:rsidP="00166C49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</w:rPr>
      </w:pPr>
      <w:r w:rsidRPr="00616CD6">
        <w:rPr>
          <w:b/>
          <w:bCs/>
          <w:sz w:val="26"/>
          <w:szCs w:val="26"/>
          <w:rtl/>
        </w:rPr>
        <w:lastRenderedPageBreak/>
        <w:t>الجدول 4- تقييم مدى توافر الدخل للتكاليف الإدارية المستقبلية لليونيدو (</w:t>
      </w:r>
      <w:r w:rsidR="00166C49" w:rsidRPr="00616CD6">
        <w:rPr>
          <w:rFonts w:hint="cs"/>
          <w:b/>
          <w:bCs/>
          <w:sz w:val="26"/>
          <w:szCs w:val="26"/>
          <w:rtl/>
        </w:rPr>
        <w:t>دولار أمريكي</w:t>
      </w:r>
      <w:r w:rsidRPr="00616CD6">
        <w:rPr>
          <w:b/>
          <w:bCs/>
          <w:sz w:val="26"/>
          <w:szCs w:val="26"/>
          <w:rtl/>
        </w:rPr>
        <w:t>)</w:t>
      </w:r>
    </w:p>
    <w:tbl>
      <w:tblPr>
        <w:tblpPr w:leftFromText="180" w:rightFromText="180" w:vertAnchor="text" w:tblpY="1"/>
        <w:tblOverlap w:val="never"/>
        <w:bidiVisual/>
        <w:tblW w:w="9355" w:type="dxa"/>
        <w:tblLayout w:type="fixed"/>
        <w:tblLook w:val="04A0" w:firstRow="1" w:lastRow="0" w:firstColumn="1" w:lastColumn="0" w:noHBand="0" w:noVBand="1"/>
      </w:tblPr>
      <w:tblGrid>
        <w:gridCol w:w="4135"/>
        <w:gridCol w:w="1350"/>
        <w:gridCol w:w="1350"/>
        <w:gridCol w:w="1260"/>
        <w:gridCol w:w="1260"/>
      </w:tblGrid>
      <w:tr w:rsidR="00490CA8" w:rsidRPr="00FE26D1" w14:paraId="04E5CC3C" w14:textId="77777777" w:rsidTr="00166C49">
        <w:trPr>
          <w:trHeight w:val="58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14:paraId="4D17DAF1" w14:textId="77777777" w:rsidR="00490CA8" w:rsidRPr="00FE26D1" w:rsidRDefault="00166C49" w:rsidP="00166C49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الوصف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3D79" w14:textId="77777777" w:rsidR="00490CA8" w:rsidRPr="00FE26D1" w:rsidRDefault="00490CA8" w:rsidP="00C869B1">
            <w:pPr>
              <w:jc w:val="center"/>
              <w:rPr>
                <w:b/>
                <w:bCs/>
                <w:sz w:val="20"/>
                <w:lang w:eastAsia="en-C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1058" w14:textId="77777777" w:rsidR="00490CA8" w:rsidRPr="00FE26D1" w:rsidRDefault="00490CA8" w:rsidP="00C869B1">
            <w:pPr>
              <w:jc w:val="center"/>
              <w:rPr>
                <w:b/>
                <w:bCs/>
                <w:sz w:val="20"/>
                <w:lang w:eastAsia="en-C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BB17" w14:textId="77777777" w:rsidR="00490CA8" w:rsidRPr="00FE26D1" w:rsidRDefault="00490CA8" w:rsidP="00C869B1">
            <w:pPr>
              <w:jc w:val="center"/>
              <w:rPr>
                <w:b/>
                <w:bCs/>
                <w:sz w:val="20"/>
                <w:lang w:eastAsia="en-C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0E4" w14:textId="77777777" w:rsidR="00490CA8" w:rsidRPr="00FE26D1" w:rsidRDefault="00490CA8" w:rsidP="00166C49">
            <w:pPr>
              <w:bidi/>
              <w:jc w:val="center"/>
              <w:rPr>
                <w:b/>
                <w:bCs/>
                <w:sz w:val="20"/>
                <w:lang w:eastAsia="en-C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2021</w:t>
            </w:r>
            <w:r w:rsidR="00166C49">
              <w:rPr>
                <w:rFonts w:hint="cs"/>
                <w:b/>
                <w:bCs/>
                <w:sz w:val="20"/>
                <w:rtl/>
                <w:lang w:eastAsia="en-CA"/>
              </w:rPr>
              <w:t>*</w:t>
            </w:r>
          </w:p>
        </w:tc>
      </w:tr>
      <w:tr w:rsidR="00490CA8" w:rsidRPr="00FE26D1" w14:paraId="36AD41D0" w14:textId="77777777" w:rsidTr="00166C49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14:paraId="7ED8C195" w14:textId="77777777" w:rsidR="00166C49" w:rsidRPr="00166C49" w:rsidRDefault="00166C49" w:rsidP="00166C49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صافي تكاليف دعم الوكالة زائد تكاليف الوحدة الأساسية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14:paraId="5C875C46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4,378,967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14:paraId="4FEBE00A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3,469,402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14:paraId="26FECE14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3,142,479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14:paraId="1834A511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3,841,253</w:t>
            </w:r>
          </w:p>
        </w:tc>
      </w:tr>
      <w:tr w:rsidR="00490CA8" w:rsidRPr="00FE26D1" w14:paraId="2E975C00" w14:textId="77777777" w:rsidTr="00166C49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14:paraId="2FC28ABA" w14:textId="77777777" w:rsidR="00166C49" w:rsidRPr="00166C49" w:rsidRDefault="00166C49" w:rsidP="00166C49">
            <w:pPr>
              <w:bidi/>
              <w:ind w:right="-105"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إجمالي التكاليف الإدارية باستثناء تكاليف المشروع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14:paraId="5550C3F5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4,009,636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14:paraId="167A654C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4,796,033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hideMark/>
          </w:tcPr>
          <w:p w14:paraId="708CDF89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4,216,509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67687D2F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3,498,700</w:t>
            </w:r>
          </w:p>
        </w:tc>
      </w:tr>
      <w:tr w:rsidR="00490CA8" w:rsidRPr="00FE26D1" w14:paraId="01033158" w14:textId="77777777" w:rsidTr="00166C49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14:paraId="7FB1435D" w14:textId="77777777" w:rsidR="00166C49" w:rsidRPr="00166C49" w:rsidRDefault="00166C49" w:rsidP="00166C49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الرصيد لكل سنة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4E723F0B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369,331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FE9775E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(1,326,631)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A9519FB" w14:textId="77777777" w:rsidR="00490CA8" w:rsidRPr="00FE26D1" w:rsidRDefault="00490CA8" w:rsidP="00C869B1">
            <w:pPr>
              <w:ind w:left="-156"/>
              <w:jc w:val="right"/>
              <w:rPr>
                <w:sz w:val="20"/>
              </w:rPr>
            </w:pPr>
            <w:r w:rsidRPr="00FE26D1">
              <w:rPr>
                <w:sz w:val="20"/>
              </w:rPr>
              <w:t>(1,074,030)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15127AF1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342,553</w:t>
            </w:r>
          </w:p>
        </w:tc>
      </w:tr>
      <w:tr w:rsidR="00490CA8" w:rsidRPr="00FE26D1" w14:paraId="56E70A6B" w14:textId="77777777" w:rsidTr="00166C49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14:paraId="72889C83" w14:textId="77777777" w:rsidR="00166C49" w:rsidRPr="00166C49" w:rsidRDefault="00166C49" w:rsidP="00166C49">
            <w:pPr>
              <w:bidi/>
              <w:ind w:right="-105"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الرصيد الجاري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DE9397C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(2,743,484)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774F4500" w14:textId="77777777" w:rsidR="00490CA8" w:rsidRPr="00FE26D1" w:rsidRDefault="00490CA8" w:rsidP="00C869B1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(4,070,115)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3717140D" w14:textId="77777777" w:rsidR="00490CA8" w:rsidRPr="00FE26D1" w:rsidRDefault="00490CA8" w:rsidP="00C869B1">
            <w:pPr>
              <w:ind w:left="-156"/>
              <w:jc w:val="right"/>
              <w:rPr>
                <w:sz w:val="20"/>
              </w:rPr>
            </w:pPr>
            <w:r w:rsidRPr="00FE26D1">
              <w:rPr>
                <w:sz w:val="20"/>
              </w:rPr>
              <w:t>(5,144,145)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73" w:type="dxa"/>
            </w:tcMar>
            <w:hideMark/>
          </w:tcPr>
          <w:p w14:paraId="0B6904BA" w14:textId="77777777" w:rsidR="00490CA8" w:rsidRPr="00FE26D1" w:rsidRDefault="00490CA8" w:rsidP="00C869B1">
            <w:pPr>
              <w:ind w:left="-140"/>
              <w:jc w:val="right"/>
              <w:rPr>
                <w:sz w:val="20"/>
              </w:rPr>
            </w:pPr>
            <w:r w:rsidRPr="00FE26D1">
              <w:rPr>
                <w:sz w:val="20"/>
              </w:rPr>
              <w:t>(4,801,592)</w:t>
            </w:r>
          </w:p>
        </w:tc>
      </w:tr>
    </w:tbl>
    <w:p w14:paraId="78878335" w14:textId="77777777" w:rsidR="00490CA8" w:rsidRDefault="00490CA8" w:rsidP="001228CE">
      <w:pPr>
        <w:pStyle w:val="StyleHeader4Para4Left0Firstline0"/>
        <w:numPr>
          <w:ilvl w:val="0"/>
          <w:numId w:val="0"/>
        </w:numPr>
        <w:bidi/>
        <w:rPr>
          <w:rtl/>
          <w:lang w:bidi="ar-SA"/>
        </w:rPr>
      </w:pPr>
      <w:r w:rsidRPr="001228CE">
        <w:rPr>
          <w:rtl/>
        </w:rPr>
        <w:t>* بما في ذلك تكاليف دعم الوكالة المعتم</w:t>
      </w:r>
      <w:r w:rsidR="001228CE">
        <w:rPr>
          <w:rtl/>
        </w:rPr>
        <w:t>دة في الاجتماع السابع والثمانين</w:t>
      </w:r>
      <w:r w:rsidRPr="001228CE">
        <w:rPr>
          <w:rtl/>
        </w:rPr>
        <w:t xml:space="preserve">، وقيمة تكاليف دعم الوكالة وتكاليف الوحدة الأساسية من </w:t>
      </w:r>
      <w:r w:rsidR="001228CE">
        <w:rPr>
          <w:rFonts w:hint="cs"/>
          <w:rtl/>
        </w:rPr>
        <w:t>الطلبات المقدمة</w:t>
      </w:r>
      <w:r w:rsidRPr="001228CE">
        <w:rPr>
          <w:rtl/>
        </w:rPr>
        <w:t xml:space="preserve"> إلى الاجتماع الثامن والثمانين.</w:t>
      </w:r>
    </w:p>
    <w:p w14:paraId="797FD81B" w14:textId="77777777" w:rsidR="00F55D3D" w:rsidRPr="00616CD6" w:rsidRDefault="00490CA8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rtl/>
        </w:rPr>
      </w:pPr>
      <w:r w:rsidRPr="00490CA8">
        <w:rPr>
          <w:sz w:val="24"/>
          <w:szCs w:val="24"/>
          <w:rtl/>
        </w:rPr>
        <w:t>بناءً</w:t>
      </w:r>
      <w:r w:rsidR="00E80F0E">
        <w:rPr>
          <w:sz w:val="24"/>
          <w:szCs w:val="24"/>
          <w:rtl/>
        </w:rPr>
        <w:t xml:space="preserve"> على التحليل الوارد في الجدول 4</w:t>
      </w:r>
      <w:r w:rsidRPr="00490CA8">
        <w:rPr>
          <w:sz w:val="24"/>
          <w:szCs w:val="24"/>
          <w:rtl/>
        </w:rPr>
        <w:t xml:space="preserve">، يمكن أن </w:t>
      </w:r>
      <w:r w:rsidR="00E80F0E">
        <w:rPr>
          <w:rFonts w:hint="cs"/>
          <w:sz w:val="24"/>
          <w:szCs w:val="24"/>
          <w:rtl/>
        </w:rPr>
        <w:t>يتجمع لدى</w:t>
      </w:r>
      <w:r w:rsidR="00E80F0E">
        <w:rPr>
          <w:sz w:val="24"/>
          <w:szCs w:val="24"/>
          <w:rtl/>
        </w:rPr>
        <w:t xml:space="preserve"> </w:t>
      </w:r>
      <w:r w:rsidR="00E80F0E">
        <w:rPr>
          <w:rFonts w:hint="cs"/>
          <w:sz w:val="24"/>
          <w:szCs w:val="24"/>
          <w:rtl/>
        </w:rPr>
        <w:t>ا</w:t>
      </w:r>
      <w:r w:rsidRPr="00490CA8">
        <w:rPr>
          <w:sz w:val="24"/>
          <w:szCs w:val="24"/>
          <w:rtl/>
        </w:rPr>
        <w:t xml:space="preserve">ليونيدو رصيد متراكم سلبي في نهاية عام 2021 </w:t>
      </w:r>
      <w:r w:rsidR="00E80F0E">
        <w:rPr>
          <w:rFonts w:hint="cs"/>
          <w:sz w:val="24"/>
          <w:szCs w:val="24"/>
          <w:rtl/>
        </w:rPr>
        <w:t>قدره</w:t>
      </w:r>
      <w:r w:rsidRPr="00490CA8">
        <w:rPr>
          <w:sz w:val="24"/>
          <w:szCs w:val="24"/>
          <w:rtl/>
        </w:rPr>
        <w:t xml:space="preserve"> 4</w:t>
      </w:r>
      <w:r w:rsidR="00E80F0E">
        <w:rPr>
          <w:rFonts w:hint="cs"/>
          <w:sz w:val="24"/>
          <w:szCs w:val="24"/>
          <w:rtl/>
        </w:rPr>
        <w:t>,</w:t>
      </w:r>
      <w:r w:rsidRPr="00490CA8">
        <w:rPr>
          <w:sz w:val="24"/>
          <w:szCs w:val="24"/>
          <w:rtl/>
        </w:rPr>
        <w:t>801</w:t>
      </w:r>
      <w:r w:rsidR="00E80F0E">
        <w:rPr>
          <w:rFonts w:hint="cs"/>
          <w:sz w:val="24"/>
          <w:szCs w:val="24"/>
          <w:rtl/>
        </w:rPr>
        <w:t>,</w:t>
      </w:r>
      <w:r w:rsidRPr="00616CD6">
        <w:rPr>
          <w:sz w:val="26"/>
          <w:szCs w:val="26"/>
          <w:rtl/>
        </w:rPr>
        <w:t xml:space="preserve">592 دولارًا أمريكيًا. سيتعين على اليونيدو أن </w:t>
      </w:r>
      <w:r w:rsidR="00E80F0E" w:rsidRPr="00616CD6">
        <w:rPr>
          <w:rFonts w:hint="cs"/>
          <w:sz w:val="26"/>
          <w:szCs w:val="26"/>
          <w:rtl/>
        </w:rPr>
        <w:t>تدر</w:t>
      </w:r>
      <w:r w:rsidRPr="00616CD6">
        <w:rPr>
          <w:sz w:val="26"/>
          <w:szCs w:val="26"/>
          <w:rtl/>
        </w:rPr>
        <w:t xml:space="preserve"> ما لا يقل عن 9</w:t>
      </w:r>
      <w:r w:rsidR="00E80F0E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671</w:t>
      </w:r>
      <w:r w:rsidR="00E80F0E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492 دولارًا أمريكيًا في تكاليف دعم الوكالة وتكاليف الوحدة الأساسية في عام 2022 لتغطية إجمالي التكاليف الإدارية لعام 2022 </w:t>
      </w:r>
      <w:r w:rsidR="00E80F0E" w:rsidRPr="00616CD6">
        <w:rPr>
          <w:rFonts w:hint="cs"/>
          <w:sz w:val="26"/>
          <w:szCs w:val="26"/>
          <w:rtl/>
        </w:rPr>
        <w:t>وقدرها</w:t>
      </w:r>
      <w:r w:rsidRPr="00616CD6">
        <w:rPr>
          <w:sz w:val="26"/>
          <w:szCs w:val="26"/>
          <w:rtl/>
        </w:rPr>
        <w:t xml:space="preserve"> 4</w:t>
      </w:r>
      <w:r w:rsidR="00E80F0E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869</w:t>
      </w:r>
      <w:r w:rsidR="00E80F0E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900 دولار أمريكي. وذكرت </w:t>
      </w:r>
      <w:r w:rsidR="00E80F0E" w:rsidRPr="00616CD6">
        <w:rPr>
          <w:sz w:val="26"/>
          <w:szCs w:val="26"/>
          <w:rtl/>
        </w:rPr>
        <w:t>اليونيدو أنها ستواصل، كما في الماضي</w:t>
      </w:r>
      <w:r w:rsidRPr="00616CD6">
        <w:rPr>
          <w:sz w:val="26"/>
          <w:szCs w:val="26"/>
          <w:rtl/>
        </w:rPr>
        <w:t>، إدارة عملياتها بناءً على تنفيذها لعمليات المشروع وتمويل الوحدة الأساسية الذي تتلقاه.</w:t>
      </w:r>
    </w:p>
    <w:p w14:paraId="38927ED8" w14:textId="77777777" w:rsidR="00490CA8" w:rsidRPr="00616CD6" w:rsidRDefault="00E80F0E" w:rsidP="00F55D3D">
      <w:pPr>
        <w:pStyle w:val="StyleHeader4Para4Left0Firstline0"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616CD6">
        <w:rPr>
          <w:rFonts w:hint="cs"/>
          <w:b/>
          <w:bCs/>
          <w:sz w:val="26"/>
          <w:szCs w:val="26"/>
          <w:rtl/>
        </w:rPr>
        <w:t>البنك الدولي</w:t>
      </w:r>
    </w:p>
    <w:p w14:paraId="6718F8C3" w14:textId="77777777" w:rsidR="00490CA8" w:rsidRPr="00616CD6" w:rsidRDefault="00490CA8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 xml:space="preserve"> وافقت اللجنة التنفيذية على طلب</w:t>
      </w:r>
      <w:r w:rsidR="002625DB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2021 ل</w:t>
      </w:r>
      <w:r w:rsidR="002625DB" w:rsidRPr="00616CD6">
        <w:rPr>
          <w:rFonts w:hint="cs"/>
          <w:sz w:val="26"/>
          <w:szCs w:val="26"/>
          <w:rtl/>
        </w:rPr>
        <w:t xml:space="preserve">تمويل </w:t>
      </w:r>
      <w:r w:rsidRPr="00616CD6">
        <w:rPr>
          <w:sz w:val="26"/>
          <w:szCs w:val="26"/>
          <w:rtl/>
        </w:rPr>
        <w:t xml:space="preserve">وحدة أساسية </w:t>
      </w:r>
      <w:r w:rsidR="002625DB" w:rsidRPr="00616CD6">
        <w:rPr>
          <w:rFonts w:hint="cs"/>
          <w:sz w:val="26"/>
          <w:szCs w:val="26"/>
          <w:rtl/>
        </w:rPr>
        <w:t>ل</w:t>
      </w:r>
      <w:r w:rsidRPr="00616CD6">
        <w:rPr>
          <w:sz w:val="26"/>
          <w:szCs w:val="26"/>
          <w:rtl/>
        </w:rPr>
        <w:t>لبنك الدولي بمبلغ</w:t>
      </w:r>
      <w:r w:rsidR="002625DB" w:rsidRPr="00616CD6">
        <w:rPr>
          <w:rFonts w:hint="cs"/>
          <w:sz w:val="26"/>
          <w:szCs w:val="26"/>
          <w:rtl/>
        </w:rPr>
        <w:t xml:space="preserve"> قدره</w:t>
      </w:r>
      <w:r w:rsidRPr="00616CD6">
        <w:rPr>
          <w:sz w:val="26"/>
          <w:szCs w:val="26"/>
          <w:rtl/>
        </w:rPr>
        <w:t xml:space="preserve"> 1</w:t>
      </w:r>
      <w:r w:rsidR="002625DB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735</w:t>
      </w:r>
      <w:r w:rsidR="002625DB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000 دولار أمريكي (المقرر 86/62 (ب)). </w:t>
      </w:r>
      <w:r w:rsidR="002625DB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يعرض الجدول 5 ميزانية الوحدة الأساسية والتكاليف الإدارية التي قدمها البنك الدولي من</w:t>
      </w:r>
      <w:r w:rsidR="002625DB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2018 إلى</w:t>
      </w:r>
      <w:r w:rsidR="002625DB"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2022.</w:t>
      </w:r>
    </w:p>
    <w:p w14:paraId="440C37F1" w14:textId="77777777" w:rsidR="00490CA8" w:rsidRPr="00616CD6" w:rsidRDefault="002625DB" w:rsidP="002625DB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</w:rPr>
      </w:pPr>
      <w:r w:rsidRPr="00616CD6">
        <w:rPr>
          <w:b/>
          <w:bCs/>
          <w:sz w:val="26"/>
          <w:szCs w:val="26"/>
          <w:rtl/>
        </w:rPr>
        <w:t>الجدول 5</w:t>
      </w:r>
      <w:r w:rsidRPr="00616CD6">
        <w:rPr>
          <w:rFonts w:hint="cs"/>
          <w:b/>
          <w:bCs/>
          <w:sz w:val="26"/>
          <w:szCs w:val="26"/>
          <w:rtl/>
        </w:rPr>
        <w:t>-</w:t>
      </w:r>
      <w:r w:rsidR="00490CA8" w:rsidRPr="00616CD6">
        <w:rPr>
          <w:b/>
          <w:bCs/>
          <w:sz w:val="26"/>
          <w:szCs w:val="26"/>
          <w:rtl/>
        </w:rPr>
        <w:t xml:space="preserve"> بيانات ميزانية الوحدة الأساسية والتكاليف الإدارية الأخرى للفترة من 2018 إلى 2022 للبنك الدولي (بالدولار الأمريكي)</w:t>
      </w:r>
    </w:p>
    <w:tbl>
      <w:tblPr>
        <w:bidiVisual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2"/>
        <w:gridCol w:w="992"/>
        <w:gridCol w:w="993"/>
        <w:gridCol w:w="992"/>
      </w:tblGrid>
      <w:tr w:rsidR="00490CA8" w:rsidRPr="00FE26D1" w14:paraId="4AF1EF11" w14:textId="77777777" w:rsidTr="00111CA8">
        <w:trPr>
          <w:trHeight w:val="6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3CAEFFF" w14:textId="77777777" w:rsidR="00490CA8" w:rsidRPr="00FE26D1" w:rsidRDefault="00FD6398" w:rsidP="00FD6398">
            <w:pPr>
              <w:keepNext/>
              <w:bidi/>
              <w:jc w:val="center"/>
              <w:rPr>
                <w:sz w:val="19"/>
                <w:szCs w:val="19"/>
              </w:rPr>
            </w:pPr>
            <w:r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>بند التكلفة</w:t>
            </w:r>
            <w:r w:rsidR="009858AB">
              <w:rPr>
                <w:rFonts w:hint="cs"/>
                <w:b/>
                <w:bCs/>
                <w:sz w:val="19"/>
                <w:szCs w:val="19"/>
                <w:rtl/>
                <w:lang w:eastAsia="en-C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B65BC24" w14:textId="77777777" w:rsidR="00490CA8" w:rsidRPr="00FE26D1" w:rsidRDefault="00490CA8" w:rsidP="00C869B1">
            <w:pPr>
              <w:keepNext/>
              <w:jc w:val="center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8EF74E3" w14:textId="77777777" w:rsidR="00490CA8" w:rsidRPr="00FE26D1" w:rsidRDefault="00490CA8" w:rsidP="00C869B1">
            <w:pPr>
              <w:keepNext/>
              <w:jc w:val="center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5641111" w14:textId="77777777" w:rsidR="00490CA8" w:rsidRPr="00FE26D1" w:rsidRDefault="00490CA8" w:rsidP="00C869B1">
            <w:pPr>
              <w:keepNext/>
              <w:jc w:val="center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AEF8289" w14:textId="77777777" w:rsidR="00490CA8" w:rsidRPr="00FE26D1" w:rsidRDefault="00490CA8" w:rsidP="00C869B1">
            <w:pPr>
              <w:keepNext/>
              <w:jc w:val="center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16F6E94" w14:textId="77777777" w:rsidR="00490CA8" w:rsidRPr="00FE26D1" w:rsidRDefault="00490CA8" w:rsidP="00C869B1">
            <w:pPr>
              <w:keepNext/>
              <w:jc w:val="center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2022</w:t>
            </w:r>
          </w:p>
        </w:tc>
      </w:tr>
      <w:tr w:rsidR="00DB74C3" w:rsidRPr="00FE26D1" w14:paraId="2C371460" w14:textId="77777777" w:rsidTr="00111CA8">
        <w:trPr>
          <w:trHeight w:val="135"/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hideMark/>
          </w:tcPr>
          <w:p w14:paraId="3E6D4E12" w14:textId="77777777" w:rsidR="00DB74C3" w:rsidRPr="00FE26D1" w:rsidRDefault="00DB74C3" w:rsidP="00C869B1">
            <w:pPr>
              <w:keepNext/>
              <w:jc w:val="left"/>
              <w:rPr>
                <w:b/>
                <w:bCs/>
                <w:sz w:val="19"/>
                <w:szCs w:val="19"/>
                <w:lang w:eastAsia="en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258DBCA" w14:textId="77777777" w:rsidR="00DB74C3" w:rsidRPr="00DB74C3" w:rsidRDefault="00DB74C3" w:rsidP="00DB74C3">
            <w:pPr>
              <w:keepNext/>
              <w:bidi/>
              <w:jc w:val="center"/>
              <w:rPr>
                <w:bCs/>
                <w:sz w:val="19"/>
                <w:szCs w:val="19"/>
                <w:lang w:eastAsia="en-CA"/>
              </w:rPr>
            </w:pPr>
            <w:r w:rsidRPr="00DB74C3">
              <w:rPr>
                <w:rFonts w:hint="cs"/>
                <w:bCs/>
                <w:sz w:val="19"/>
                <w:szCs w:val="19"/>
                <w:rtl/>
              </w:rPr>
              <w:t>الفعلية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5F4804B" w14:textId="77777777" w:rsidR="00DB74C3" w:rsidRPr="00DB74C3" w:rsidRDefault="00DB74C3" w:rsidP="00DB74C3">
            <w:pPr>
              <w:jc w:val="center"/>
              <w:rPr>
                <w:bCs/>
              </w:rPr>
            </w:pPr>
            <w:r w:rsidRPr="00DB74C3">
              <w:rPr>
                <w:rFonts w:hint="cs"/>
                <w:bCs/>
                <w:sz w:val="19"/>
                <w:szCs w:val="19"/>
                <w:rtl/>
              </w:rPr>
              <w:t>الفعلية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FEA81A9" w14:textId="77777777" w:rsidR="00DB74C3" w:rsidRPr="00DB74C3" w:rsidRDefault="00DB74C3" w:rsidP="00DB74C3">
            <w:pPr>
              <w:jc w:val="center"/>
              <w:rPr>
                <w:bCs/>
              </w:rPr>
            </w:pPr>
            <w:r w:rsidRPr="00DB74C3">
              <w:rPr>
                <w:rFonts w:hint="cs"/>
                <w:bCs/>
                <w:sz w:val="19"/>
                <w:szCs w:val="19"/>
                <w:rtl/>
              </w:rPr>
              <w:t>الفعلية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27CF4A7" w14:textId="77777777" w:rsidR="00DB74C3" w:rsidRPr="00DB74C3" w:rsidRDefault="00DB74C3" w:rsidP="00DB74C3">
            <w:pPr>
              <w:keepNext/>
              <w:bidi/>
              <w:jc w:val="center"/>
              <w:rPr>
                <w:bCs/>
                <w:sz w:val="19"/>
                <w:szCs w:val="19"/>
                <w:lang w:eastAsia="en-CA"/>
              </w:rPr>
            </w:pPr>
            <w:r w:rsidRPr="00DB74C3">
              <w:rPr>
                <w:rFonts w:hint="cs"/>
                <w:bCs/>
                <w:sz w:val="19"/>
                <w:szCs w:val="19"/>
                <w:rtl/>
              </w:rPr>
              <w:t>الميزانية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EC296B8" w14:textId="77777777" w:rsidR="00DB74C3" w:rsidRPr="00DB74C3" w:rsidRDefault="00DB74C3" w:rsidP="00DB74C3">
            <w:pPr>
              <w:keepNext/>
              <w:bidi/>
              <w:ind w:left="-101" w:right="-114"/>
              <w:jc w:val="center"/>
              <w:rPr>
                <w:bCs/>
                <w:sz w:val="19"/>
                <w:szCs w:val="19"/>
                <w:lang w:eastAsia="en-CA"/>
              </w:rPr>
            </w:pPr>
            <w:r w:rsidRPr="00DB74C3">
              <w:rPr>
                <w:rFonts w:hint="cs"/>
                <w:bCs/>
                <w:sz w:val="19"/>
                <w:szCs w:val="19"/>
                <w:rtl/>
              </w:rPr>
              <w:t>التقديرية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A1CC179" w14:textId="77777777" w:rsidR="00DB74C3" w:rsidRPr="00DB74C3" w:rsidRDefault="00DB74C3" w:rsidP="00DB74C3">
            <w:pPr>
              <w:keepNext/>
              <w:bidi/>
              <w:ind w:left="-102" w:right="-112"/>
              <w:jc w:val="center"/>
              <w:rPr>
                <w:bCs/>
                <w:sz w:val="19"/>
                <w:szCs w:val="19"/>
                <w:lang w:eastAsia="en-CA"/>
              </w:rPr>
            </w:pPr>
            <w:r w:rsidRPr="00DB74C3">
              <w:rPr>
                <w:rFonts w:hint="cs"/>
                <w:bCs/>
                <w:sz w:val="19"/>
                <w:szCs w:val="19"/>
                <w:rtl/>
              </w:rPr>
              <w:t>المقترحة</w:t>
            </w:r>
          </w:p>
        </w:tc>
      </w:tr>
      <w:tr w:rsidR="009858AB" w:rsidRPr="00FE26D1" w14:paraId="5D66F08A" w14:textId="77777777" w:rsidTr="00887D75">
        <w:trPr>
          <w:trHeight w:val="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8158369" w14:textId="77777777" w:rsidR="009858AB" w:rsidRPr="00377AF2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العاملون في الوحدة الأساسية والموظفون المتعاقدون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C5F397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1,226,215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C2D9B9E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1,250,888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CB7FE7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1,055,231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9AA4E62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1,235,000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58DEB21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1,235,000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0822F8C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1,235,000</w:t>
            </w:r>
          </w:p>
        </w:tc>
      </w:tr>
      <w:tr w:rsidR="009858AB" w:rsidRPr="00FE26D1" w14:paraId="65E12A3C" w14:textId="77777777" w:rsidTr="00887D75">
        <w:trPr>
          <w:trHeight w:val="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126C070" w14:textId="77777777" w:rsidR="009858AB" w:rsidRPr="00377AF2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السفر (الموظفون والاستشاريون)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6B16E8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180,873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FE99205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151,281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E93C260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13,481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594C0C1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6B38AE6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0E46AC7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200,000</w:t>
            </w:r>
          </w:p>
        </w:tc>
      </w:tr>
      <w:tr w:rsidR="009858AB" w:rsidRPr="00FE26D1" w14:paraId="3488CA52" w14:textId="77777777" w:rsidTr="00887D75">
        <w:trPr>
          <w:trHeight w:val="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A1E26C1" w14:textId="77777777" w:rsidR="009858AB" w:rsidRPr="00377AF2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1C15D41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22367B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34EE745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50B0B5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3BF218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6765431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734F5393" w14:textId="77777777" w:rsidTr="00887D75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EC682A1" w14:textId="77777777" w:rsidR="009858AB" w:rsidRPr="00377AF2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المعدات والإمدادات والتكاليف الأخرى (أجهزة الكمبيوتر والإمدادات)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08E4856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D79C9D0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43FD761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0365B2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0541333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4718D87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7FF1287F" w14:textId="77777777" w:rsidTr="00887D75">
        <w:trPr>
          <w:trHeight w:val="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5461EF2" w14:textId="77777777" w:rsidR="009858AB" w:rsidRPr="002D311B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الخدمات التعاقدية (الشركات)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E1DFD2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73,389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F85E02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38,983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DF59607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10,292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1898487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3ADFDCC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4EE2AE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85,000</w:t>
            </w:r>
          </w:p>
        </w:tc>
      </w:tr>
      <w:tr w:rsidR="009858AB" w:rsidRPr="00FE26D1" w14:paraId="3BF400C6" w14:textId="77777777" w:rsidTr="00887D75">
        <w:trPr>
          <w:trHeight w:val="1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1AB9A01" w14:textId="77777777" w:rsidR="009858AB" w:rsidRPr="002D311B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نفقات الخدمات المركزية لموظفي الوحدة الأساسية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F3FFA9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245,946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47D781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249,954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C746F7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212,792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9E4AD5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4DA307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182A4A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215,000</w:t>
            </w:r>
          </w:p>
        </w:tc>
      </w:tr>
      <w:tr w:rsidR="009858AB" w:rsidRPr="00FE26D1" w14:paraId="481A1C4E" w14:textId="77777777" w:rsidTr="00887D75">
        <w:trPr>
          <w:trHeight w:val="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ACE7EE1" w14:textId="77777777" w:rsidR="009858AB" w:rsidRPr="002D311B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الناقص و- = الفائض)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EE63422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6,940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06AF79B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43,894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2A9EDD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443,204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C17417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336D6E3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9DE817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67190490" w14:textId="77777777" w:rsidTr="00887D75">
        <w:trPr>
          <w:trHeight w:val="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CBCC743" w14:textId="77777777" w:rsidR="009858AB" w:rsidRPr="002D311B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135108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-6,940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BC81E47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-43,894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73E60B5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-443,204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F10F492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8833F56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-150,000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E2185D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595F1FC6" w14:textId="77777777" w:rsidTr="00887D75">
        <w:trPr>
          <w:trHeight w:val="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5D0F8A1" w14:textId="77777777" w:rsidR="009858AB" w:rsidRPr="002D311B" w:rsidRDefault="009858AB" w:rsidP="00887D75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ألف- المجموع الفرعي لتكاليف الوحدة الأساسية*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CDF1D0A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1,728,060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669FFB2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1,691,106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B831B43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1,291,796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FB9E41B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1,735,000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970C8EF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1,585,000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6D94CAC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1,735,000</w:t>
            </w:r>
          </w:p>
        </w:tc>
      </w:tr>
      <w:tr w:rsidR="009858AB" w:rsidRPr="00FE26D1" w14:paraId="416EBBA7" w14:textId="77777777" w:rsidTr="00111CA8">
        <w:trPr>
          <w:trHeight w:val="1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152DF19" w14:textId="77777777" w:rsidR="009858AB" w:rsidRPr="002D311B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نفقات المكاتب القطرية والتنفيذ الوطني، بما في ذلك النفقات الثابتة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34598B3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2,114,429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FFFE3F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1,258,437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6D96BE0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1,172,183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E0C2E7D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4606182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0896183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2,000,000</w:t>
            </w:r>
          </w:p>
        </w:tc>
      </w:tr>
      <w:tr w:rsidR="009858AB" w:rsidRPr="00FE26D1" w14:paraId="08222AEA" w14:textId="77777777" w:rsidTr="00111CA8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021C012" w14:textId="77777777" w:rsidR="009858AB" w:rsidRPr="002D311B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دعم الوكالة المنفذة (داخليا)، بما في ذلك النفقات الثابتة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9D25A8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5E83E77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9B14F5E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23EB7D2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B1EB1A2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3914C1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78F72731" w14:textId="77777777" w:rsidTr="00111CA8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1D50AD5" w14:textId="77777777" w:rsidR="009858AB" w:rsidRPr="002D311B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الوسائط المالية، بما في ذلك النفقات الثابتة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50D4D3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6A582DE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3E567C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2CB4956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BC92E5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004F351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3168F8AE" w14:textId="77777777" w:rsidTr="00111CA8">
        <w:trPr>
          <w:trHeight w:val="1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CA7688E" w14:textId="77777777" w:rsidR="009858AB" w:rsidRPr="007F7CCC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نفقات الخدمات المركزية لموظفي الوحدة الأساسية (بما في ذلك النفقات الثابتة)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D62DCD5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4BEE1F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9F0CEF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6411067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91F397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DECD30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</w:tr>
      <w:tr w:rsidR="009858AB" w:rsidRPr="00FE26D1" w14:paraId="4FDD7A78" w14:textId="77777777" w:rsidTr="00111CA8">
        <w:trPr>
          <w:trHeight w:val="1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3190128" w14:textId="77777777" w:rsidR="009858AB" w:rsidRPr="00FE26D1" w:rsidRDefault="009858AB" w:rsidP="00887D75">
            <w:pPr>
              <w:bidi/>
              <w:jc w:val="left"/>
              <w:rPr>
                <w:color w:val="000000"/>
                <w:sz w:val="20"/>
                <w:lang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استعادة التكلفة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14E1C1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C999AC3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BD33250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03DEA1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24B96E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68E90E7B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16C19F1B" w14:textId="77777777" w:rsidTr="00111CA8">
        <w:trPr>
          <w:trHeight w:val="10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7EB03C1C" w14:textId="77777777" w:rsidR="009858AB" w:rsidRPr="001A4901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الفائض و- = الناقص)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49FEFB4D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5FB9FF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135F07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D572EF1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4B0BD5A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B5CEB7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>0</w:t>
            </w:r>
          </w:p>
        </w:tc>
      </w:tr>
      <w:tr w:rsidR="009858AB" w:rsidRPr="00FE26D1" w14:paraId="090FCD0E" w14:textId="77777777" w:rsidTr="00111CA8">
        <w:trPr>
          <w:trHeight w:val="1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D0179BF" w14:textId="77777777" w:rsidR="009858AB" w:rsidRPr="00C620F0" w:rsidRDefault="009858AB" w:rsidP="00887D75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المشروع (- = الذي سيخصم وبالتالي سيلغى)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CA84AEF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  <w:r w:rsidRPr="00FE26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F4F95A8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B2D17E9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BFB233B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</w:tcPr>
          <w:p w14:paraId="2C836354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47865FA3" w14:textId="77777777" w:rsidR="009858AB" w:rsidRPr="00FE26D1" w:rsidRDefault="009858AB" w:rsidP="00C869B1">
            <w:pPr>
              <w:jc w:val="right"/>
              <w:rPr>
                <w:sz w:val="19"/>
                <w:szCs w:val="19"/>
              </w:rPr>
            </w:pPr>
          </w:p>
        </w:tc>
      </w:tr>
      <w:tr w:rsidR="009858AB" w:rsidRPr="00FE26D1" w14:paraId="3648AB6E" w14:textId="77777777" w:rsidTr="00111CA8">
        <w:trPr>
          <w:trHeight w:val="1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3E3A4796" w14:textId="77777777" w:rsidR="009858AB" w:rsidRPr="00C620F0" w:rsidRDefault="009858AB" w:rsidP="00887D75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المجموع الفرعي لتكاليف دعم الوكالة / تكاليف التنفيذ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5CD9137E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2,114,429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ECDA5FD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1,258,437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02658CE4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1,172,183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CDAC03A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2,000,000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F0D29CB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7092E78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2,000,000</w:t>
            </w:r>
          </w:p>
        </w:tc>
      </w:tr>
      <w:tr w:rsidR="009858AB" w:rsidRPr="00FE26D1" w14:paraId="6AF9C2C0" w14:textId="77777777" w:rsidTr="00111CA8">
        <w:trPr>
          <w:trHeight w:val="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1CE55BED" w14:textId="77777777" w:rsidR="009858AB" w:rsidRPr="00C620F0" w:rsidRDefault="009858AB" w:rsidP="00887D75">
            <w:pPr>
              <w:bidi/>
              <w:jc w:val="left"/>
              <w:rPr>
                <w:b/>
                <w:bCs/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المجموع الكلي (ألف + باء)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26045915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3,842,489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hideMark/>
          </w:tcPr>
          <w:p w14:paraId="0FDA4722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2,949,544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3E7A849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2,463,979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92FD68E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3,735,000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B46DDDA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2,385,000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8B9CCFC" w14:textId="77777777" w:rsidR="009858AB" w:rsidRPr="00FE26D1" w:rsidRDefault="009858AB" w:rsidP="00C869B1">
            <w:pPr>
              <w:jc w:val="right"/>
              <w:rPr>
                <w:b/>
                <w:sz w:val="19"/>
                <w:szCs w:val="19"/>
              </w:rPr>
            </w:pPr>
            <w:r w:rsidRPr="00FE26D1">
              <w:rPr>
                <w:b/>
                <w:sz w:val="19"/>
                <w:szCs w:val="19"/>
              </w:rPr>
              <w:t>3,735,000</w:t>
            </w:r>
          </w:p>
        </w:tc>
      </w:tr>
    </w:tbl>
    <w:p w14:paraId="45EC4311" w14:textId="77777777" w:rsidR="0070667E" w:rsidRDefault="0070667E" w:rsidP="00A7188F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</w:rPr>
      </w:pPr>
    </w:p>
    <w:p w14:paraId="4A03E703" w14:textId="083720A6" w:rsidR="00F02E1B" w:rsidRPr="00616CD6" w:rsidRDefault="00F02E1B" w:rsidP="0070667E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</w:rPr>
      </w:pPr>
      <w:r w:rsidRPr="00616CD6">
        <w:rPr>
          <w:sz w:val="26"/>
          <w:szCs w:val="26"/>
          <w:u w:val="single"/>
          <w:rtl/>
        </w:rPr>
        <w:lastRenderedPageBreak/>
        <w:t>تكاليف الوحدة الأساسية</w:t>
      </w:r>
    </w:p>
    <w:p w14:paraId="12C23BC1" w14:textId="77777777" w:rsidR="00F02E1B" w:rsidRPr="00616CD6" w:rsidRDefault="00F02E1B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إن طلب البنك الدولي لميزانية الوحدة الأساسية لعام 2022 بمبلغ 1</w:t>
      </w:r>
      <w:r w:rsidR="003E1CF0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735</w:t>
      </w:r>
      <w:r w:rsidR="003E1CF0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000 دول</w:t>
      </w:r>
      <w:r w:rsidR="003E1CF0" w:rsidRPr="00616CD6">
        <w:rPr>
          <w:sz w:val="26"/>
          <w:szCs w:val="26"/>
          <w:rtl/>
        </w:rPr>
        <w:t>ار أمريكي هو نفس مبلغ ميزانية وحد</w:t>
      </w:r>
      <w:r w:rsidR="003E1CF0" w:rsidRPr="00616CD6">
        <w:rPr>
          <w:rFonts w:hint="cs"/>
          <w:sz w:val="26"/>
          <w:szCs w:val="26"/>
          <w:rtl/>
        </w:rPr>
        <w:t>ته</w:t>
      </w:r>
      <w:r w:rsidRPr="00616CD6">
        <w:rPr>
          <w:sz w:val="26"/>
          <w:szCs w:val="26"/>
          <w:rtl/>
        </w:rPr>
        <w:t xml:space="preserve"> الأساسية ل</w:t>
      </w:r>
      <w:r w:rsidR="003E1CF0" w:rsidRPr="00616CD6">
        <w:rPr>
          <w:sz w:val="26"/>
          <w:szCs w:val="26"/>
          <w:rtl/>
        </w:rPr>
        <w:t>عام 2021 التي تمت الموافقة عليه</w:t>
      </w:r>
      <w:r w:rsidRPr="00616CD6">
        <w:rPr>
          <w:sz w:val="26"/>
          <w:szCs w:val="26"/>
          <w:rtl/>
        </w:rPr>
        <w:t xml:space="preserve">. </w:t>
      </w:r>
      <w:r w:rsidR="003E1CF0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على عكس </w:t>
      </w:r>
      <w:r w:rsidR="003E1CF0" w:rsidRPr="00616CD6">
        <w:rPr>
          <w:rFonts w:hint="cs"/>
          <w:sz w:val="26"/>
          <w:szCs w:val="26"/>
          <w:rtl/>
        </w:rPr>
        <w:t>اليوئنديبي و</w:t>
      </w:r>
      <w:r w:rsidR="003E1CF0" w:rsidRPr="00616CD6">
        <w:rPr>
          <w:sz w:val="26"/>
          <w:szCs w:val="26"/>
          <w:rtl/>
        </w:rPr>
        <w:t>اليونيدو</w:t>
      </w:r>
      <w:r w:rsidRPr="00616CD6">
        <w:rPr>
          <w:sz w:val="26"/>
          <w:szCs w:val="26"/>
          <w:rtl/>
        </w:rPr>
        <w:t xml:space="preserve">، البنك الدولي </w:t>
      </w:r>
      <w:r w:rsidR="003E1CF0" w:rsidRPr="00616CD6">
        <w:rPr>
          <w:rFonts w:hint="cs"/>
          <w:sz w:val="26"/>
          <w:szCs w:val="26"/>
          <w:rtl/>
        </w:rPr>
        <w:t>غير مدعوم</w:t>
      </w:r>
      <w:r w:rsidRPr="00616CD6">
        <w:rPr>
          <w:sz w:val="26"/>
          <w:szCs w:val="26"/>
          <w:rtl/>
        </w:rPr>
        <w:t xml:space="preserve"> من الإيرادات </w:t>
      </w:r>
      <w:r w:rsidR="003E1CF0" w:rsidRPr="00616CD6">
        <w:rPr>
          <w:rFonts w:hint="cs"/>
          <w:sz w:val="26"/>
          <w:szCs w:val="26"/>
          <w:rtl/>
        </w:rPr>
        <w:t>الآتية</w:t>
      </w:r>
      <w:r w:rsidRPr="00616CD6">
        <w:rPr>
          <w:sz w:val="26"/>
          <w:szCs w:val="26"/>
          <w:rtl/>
        </w:rPr>
        <w:t xml:space="preserve"> من </w:t>
      </w:r>
      <w:r w:rsidR="003E1CF0" w:rsidRPr="00616CD6">
        <w:rPr>
          <w:sz w:val="26"/>
          <w:szCs w:val="26"/>
          <w:rtl/>
        </w:rPr>
        <w:t>تكاليف دعم الوكالة أو من صندوقه</w:t>
      </w:r>
      <w:r w:rsidRPr="00616CD6">
        <w:rPr>
          <w:sz w:val="26"/>
          <w:szCs w:val="26"/>
          <w:rtl/>
        </w:rPr>
        <w:t xml:space="preserve"> العام.</w:t>
      </w:r>
    </w:p>
    <w:p w14:paraId="407B108A" w14:textId="77777777" w:rsidR="00F02E1B" w:rsidRPr="00616CD6" w:rsidRDefault="00F02E1B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تتألف ميزانية الوحدة ا</w:t>
      </w:r>
      <w:r w:rsidRPr="00616CD6">
        <w:rPr>
          <w:rFonts w:hint="cs"/>
          <w:sz w:val="26"/>
          <w:szCs w:val="26"/>
          <w:rtl/>
        </w:rPr>
        <w:t>ﻷ</w:t>
      </w:r>
      <w:r w:rsidRPr="00616CD6">
        <w:rPr>
          <w:rFonts w:hint="eastAsia"/>
          <w:sz w:val="26"/>
          <w:szCs w:val="26"/>
          <w:rtl/>
        </w:rPr>
        <w:t>ساسية</w:t>
      </w:r>
      <w:r w:rsidRPr="00616CD6">
        <w:rPr>
          <w:sz w:val="26"/>
          <w:szCs w:val="26"/>
          <w:rtl/>
        </w:rPr>
        <w:t xml:space="preserve"> للبنك الدولي</w:t>
      </w:r>
      <w:r w:rsidR="00E47914" w:rsidRPr="00616CD6">
        <w:rPr>
          <w:rFonts w:hint="cs"/>
          <w:sz w:val="26"/>
          <w:szCs w:val="26"/>
          <w:rtl/>
        </w:rPr>
        <w:t xml:space="preserve"> </w:t>
      </w:r>
      <w:r w:rsidR="00E47914" w:rsidRPr="00616CD6">
        <w:rPr>
          <w:sz w:val="26"/>
          <w:szCs w:val="26"/>
          <w:rtl/>
        </w:rPr>
        <w:t>المقترحة</w:t>
      </w:r>
      <w:r w:rsidRPr="00616CD6">
        <w:rPr>
          <w:sz w:val="26"/>
          <w:szCs w:val="26"/>
          <w:rtl/>
        </w:rPr>
        <w:t xml:space="preserve"> لعام ٢٠٢٢ مما يلي:</w:t>
      </w:r>
    </w:p>
    <w:p w14:paraId="4C36452A" w14:textId="77777777" w:rsidR="00F02E1B" w:rsidRPr="00616CD6" w:rsidRDefault="00E47914" w:rsidP="00517464">
      <w:pPr>
        <w:pStyle w:val="StyleHeader4Para4Left0Firstline0"/>
        <w:numPr>
          <w:ilvl w:val="0"/>
          <w:numId w:val="13"/>
        </w:numPr>
        <w:bidi/>
        <w:ind w:left="1170" w:hanging="63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رواتب</w:t>
      </w:r>
      <w:r w:rsidR="00F02E1B" w:rsidRPr="00616CD6">
        <w:rPr>
          <w:sz w:val="26"/>
          <w:szCs w:val="26"/>
          <w:rtl/>
        </w:rPr>
        <w:t xml:space="preserve"> الموظفين (71.2 في المائة من ال</w:t>
      </w:r>
      <w:r w:rsidRPr="00616CD6">
        <w:rPr>
          <w:sz w:val="26"/>
          <w:szCs w:val="26"/>
          <w:rtl/>
        </w:rPr>
        <w:t xml:space="preserve">ميزانية). كانت تكاليف الموظفين </w:t>
      </w:r>
      <w:r w:rsidRPr="00616CD6">
        <w:rPr>
          <w:rFonts w:hint="cs"/>
          <w:sz w:val="26"/>
          <w:szCs w:val="26"/>
          <w:rtl/>
        </w:rPr>
        <w:t xml:space="preserve">في </w:t>
      </w:r>
      <w:r w:rsidR="00F02E1B" w:rsidRPr="00616CD6">
        <w:rPr>
          <w:sz w:val="26"/>
          <w:szCs w:val="26"/>
          <w:rtl/>
        </w:rPr>
        <w:t>عام 2020 (1</w:t>
      </w:r>
      <w:r w:rsidRPr="00616CD6">
        <w:rPr>
          <w:rFonts w:hint="cs"/>
          <w:sz w:val="26"/>
          <w:szCs w:val="26"/>
          <w:rtl/>
        </w:rPr>
        <w:t>,</w:t>
      </w:r>
      <w:r w:rsidR="00F02E1B" w:rsidRPr="00616CD6">
        <w:rPr>
          <w:sz w:val="26"/>
          <w:szCs w:val="26"/>
          <w:rtl/>
        </w:rPr>
        <w:t>055</w:t>
      </w:r>
      <w:r w:rsidRPr="00616CD6">
        <w:rPr>
          <w:rFonts w:hint="cs"/>
          <w:sz w:val="26"/>
          <w:szCs w:val="26"/>
          <w:rtl/>
        </w:rPr>
        <w:t>,</w:t>
      </w:r>
      <w:r w:rsidR="00F02E1B" w:rsidRPr="00616CD6">
        <w:rPr>
          <w:sz w:val="26"/>
          <w:szCs w:val="26"/>
          <w:rtl/>
        </w:rPr>
        <w:t>231 دولارًا أمريكيًا) أعلى بنسبة 6.4٪ من التكاليف المقدرة لعام 2020 (991</w:t>
      </w:r>
      <w:r w:rsidRPr="00616CD6">
        <w:rPr>
          <w:rFonts w:hint="cs"/>
          <w:sz w:val="26"/>
          <w:szCs w:val="26"/>
          <w:rtl/>
        </w:rPr>
        <w:t>,</w:t>
      </w:r>
      <w:r w:rsidR="00F02E1B" w:rsidRPr="00616CD6">
        <w:rPr>
          <w:sz w:val="26"/>
          <w:szCs w:val="26"/>
          <w:rtl/>
        </w:rPr>
        <w:t xml:space="preserve">571 دولارًا أمريكيًا). </w:t>
      </w:r>
      <w:r w:rsidRPr="00616CD6">
        <w:rPr>
          <w:rFonts w:hint="cs"/>
          <w:sz w:val="26"/>
          <w:szCs w:val="26"/>
          <w:rtl/>
        </w:rPr>
        <w:t>و</w:t>
      </w:r>
      <w:r w:rsidR="00F02E1B" w:rsidRPr="00616CD6">
        <w:rPr>
          <w:sz w:val="26"/>
          <w:szCs w:val="26"/>
          <w:rtl/>
        </w:rPr>
        <w:t xml:space="preserve">كان من المتوقع ارتفاع تكاليف </w:t>
      </w:r>
      <w:r w:rsidRPr="00616CD6">
        <w:rPr>
          <w:sz w:val="26"/>
          <w:szCs w:val="26"/>
          <w:rtl/>
        </w:rPr>
        <w:t>الموظفين وقت إعداد ميزانية</w:t>
      </w:r>
      <w:r w:rsidRPr="00616CD6">
        <w:rPr>
          <w:rFonts w:hint="cs"/>
          <w:sz w:val="26"/>
          <w:szCs w:val="26"/>
          <w:rtl/>
        </w:rPr>
        <w:t xml:space="preserve"> عام</w:t>
      </w:r>
      <w:r w:rsidRPr="00616CD6">
        <w:rPr>
          <w:sz w:val="26"/>
          <w:szCs w:val="26"/>
          <w:rtl/>
        </w:rPr>
        <w:t xml:space="preserve"> 2020؛ </w:t>
      </w:r>
      <w:r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اعتبارًا من عام 2021</w:t>
      </w:r>
      <w:r w:rsidR="00F02E1B" w:rsidRPr="00616CD6">
        <w:rPr>
          <w:sz w:val="26"/>
          <w:szCs w:val="26"/>
          <w:rtl/>
        </w:rPr>
        <w:t>، أصبحت وحدة بروتوكول مونتريال كاملة الموظفين وستظل الرواتب عن</w:t>
      </w:r>
      <w:r w:rsidRPr="00616CD6">
        <w:rPr>
          <w:sz w:val="26"/>
          <w:szCs w:val="26"/>
          <w:rtl/>
        </w:rPr>
        <w:t>د نفس المستويات في عام 2022</w:t>
      </w:r>
      <w:r w:rsidR="00F02E1B" w:rsidRPr="00616CD6">
        <w:rPr>
          <w:sz w:val="26"/>
          <w:szCs w:val="26"/>
          <w:rtl/>
        </w:rPr>
        <w:t>؛</w:t>
      </w:r>
    </w:p>
    <w:p w14:paraId="59083D97" w14:textId="77777777" w:rsidR="00F02E1B" w:rsidRPr="00616CD6" w:rsidRDefault="00E47914" w:rsidP="00517464">
      <w:pPr>
        <w:pStyle w:val="StyleHeader4Para4Left0Firstline0"/>
        <w:numPr>
          <w:ilvl w:val="0"/>
          <w:numId w:val="13"/>
        </w:numPr>
        <w:bidi/>
        <w:ind w:left="1170" w:hanging="63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و</w:t>
      </w:r>
      <w:r w:rsidR="00F02E1B" w:rsidRPr="00616CD6">
        <w:rPr>
          <w:sz w:val="26"/>
          <w:szCs w:val="26"/>
          <w:rtl/>
        </w:rPr>
        <w:t>سداد تكاليف الخدمات المركزية (12.4 في المائة من الميزانية). التكاليف التقديرية والفعلية لعام 2020 لهذا ا</w:t>
      </w:r>
      <w:r w:rsidRPr="00616CD6">
        <w:rPr>
          <w:sz w:val="26"/>
          <w:szCs w:val="26"/>
          <w:rtl/>
        </w:rPr>
        <w:t>لعنصر عند نفس المستويات تقريبًا</w:t>
      </w:r>
      <w:r w:rsidR="00F02E1B" w:rsidRPr="00616CD6">
        <w:rPr>
          <w:sz w:val="26"/>
          <w:szCs w:val="26"/>
          <w:rtl/>
        </w:rPr>
        <w:t xml:space="preserve">؛ </w:t>
      </w:r>
      <w:r w:rsidRPr="00616CD6">
        <w:rPr>
          <w:rFonts w:hint="cs"/>
          <w:sz w:val="26"/>
          <w:szCs w:val="26"/>
          <w:rtl/>
        </w:rPr>
        <w:t>و</w:t>
      </w:r>
      <w:r w:rsidR="00F02E1B" w:rsidRPr="00616CD6">
        <w:rPr>
          <w:sz w:val="26"/>
          <w:szCs w:val="26"/>
          <w:rtl/>
        </w:rPr>
        <w:t>من المتوقع أن تزداد تقديرات عام 2021 للخ</w:t>
      </w:r>
      <w:r w:rsidRPr="00616CD6">
        <w:rPr>
          <w:sz w:val="26"/>
          <w:szCs w:val="26"/>
          <w:rtl/>
        </w:rPr>
        <w:t xml:space="preserve">دمات المركزية بسبب تخصيص تكلفة </w:t>
      </w:r>
      <w:r w:rsidR="00F02E1B" w:rsidRPr="00616CD6">
        <w:rPr>
          <w:sz w:val="26"/>
          <w:szCs w:val="26"/>
          <w:rtl/>
        </w:rPr>
        <w:t>ل</w:t>
      </w:r>
      <w:r w:rsidRPr="00616CD6">
        <w:rPr>
          <w:rFonts w:hint="cs"/>
          <w:sz w:val="26"/>
          <w:szCs w:val="26"/>
          <w:rtl/>
        </w:rPr>
        <w:t>ل</w:t>
      </w:r>
      <w:r w:rsidR="00F02E1B" w:rsidRPr="00616CD6">
        <w:rPr>
          <w:sz w:val="26"/>
          <w:szCs w:val="26"/>
          <w:rtl/>
        </w:rPr>
        <w:t xml:space="preserve">مراجعة </w:t>
      </w:r>
      <w:r w:rsidRPr="00616CD6">
        <w:rPr>
          <w:rFonts w:hint="cs"/>
          <w:sz w:val="26"/>
          <w:szCs w:val="26"/>
          <w:rtl/>
        </w:rPr>
        <w:t>قدرها 40,000</w:t>
      </w:r>
      <w:r w:rsidRPr="00616CD6">
        <w:rPr>
          <w:sz w:val="26"/>
          <w:szCs w:val="26"/>
          <w:rtl/>
        </w:rPr>
        <w:t xml:space="preserve"> دولار أمريكي</w:t>
      </w:r>
      <w:r w:rsidR="00F02E1B" w:rsidRPr="00616CD6">
        <w:rPr>
          <w:sz w:val="26"/>
          <w:szCs w:val="26"/>
          <w:rtl/>
        </w:rPr>
        <w:t>؛</w:t>
      </w:r>
    </w:p>
    <w:p w14:paraId="2C2FA1D3" w14:textId="77777777" w:rsidR="00F02E1B" w:rsidRPr="00616CD6" w:rsidRDefault="00E47914" w:rsidP="00517464">
      <w:pPr>
        <w:pStyle w:val="StyleHeader4Para4Left0Firstline0"/>
        <w:numPr>
          <w:ilvl w:val="0"/>
          <w:numId w:val="13"/>
        </w:numPr>
        <w:bidi/>
        <w:ind w:left="1170" w:hanging="630"/>
        <w:rPr>
          <w:sz w:val="26"/>
          <w:szCs w:val="26"/>
        </w:rPr>
      </w:pPr>
      <w:r w:rsidRPr="00616CD6">
        <w:rPr>
          <w:rFonts w:hint="cs"/>
          <w:sz w:val="26"/>
          <w:szCs w:val="26"/>
          <w:rtl/>
        </w:rPr>
        <w:t>و</w:t>
      </w:r>
      <w:r w:rsidR="00F02E1B" w:rsidRPr="00616CD6">
        <w:rPr>
          <w:sz w:val="26"/>
          <w:szCs w:val="26"/>
          <w:rtl/>
        </w:rPr>
        <w:t xml:space="preserve">السفر (11.5 في المائة من الميزانية). تُقدَّر تكاليف السفر المقترحة لعام 2022 على أساس استئناف الأنشطة </w:t>
      </w:r>
      <w:r w:rsidR="00484498" w:rsidRPr="00616CD6">
        <w:rPr>
          <w:rFonts w:hint="cs"/>
          <w:sz w:val="26"/>
          <w:szCs w:val="26"/>
          <w:rtl/>
        </w:rPr>
        <w:t>ب</w:t>
      </w:r>
      <w:r w:rsidR="00484498" w:rsidRPr="00616CD6">
        <w:rPr>
          <w:sz w:val="26"/>
          <w:szCs w:val="26"/>
          <w:rtl/>
        </w:rPr>
        <w:t>المستويات العادية في عام 2022</w:t>
      </w:r>
      <w:r w:rsidR="00F02E1B" w:rsidRPr="00616CD6">
        <w:rPr>
          <w:sz w:val="26"/>
          <w:szCs w:val="26"/>
          <w:rtl/>
        </w:rPr>
        <w:t xml:space="preserve">؛ </w:t>
      </w:r>
      <w:r w:rsidR="00484498" w:rsidRPr="00616CD6">
        <w:rPr>
          <w:rFonts w:hint="cs"/>
          <w:sz w:val="26"/>
          <w:szCs w:val="26"/>
          <w:rtl/>
        </w:rPr>
        <w:t>و</w:t>
      </w:r>
      <w:r w:rsidR="00F02E1B" w:rsidRPr="00616CD6">
        <w:rPr>
          <w:sz w:val="26"/>
          <w:szCs w:val="26"/>
          <w:rtl/>
        </w:rPr>
        <w:t>ميز</w:t>
      </w:r>
      <w:r w:rsidR="00484498" w:rsidRPr="00616CD6">
        <w:rPr>
          <w:sz w:val="26"/>
          <w:szCs w:val="26"/>
          <w:rtl/>
        </w:rPr>
        <w:t>انية</w:t>
      </w:r>
      <w:r w:rsidR="003F5ADB" w:rsidRPr="00616CD6">
        <w:rPr>
          <w:rFonts w:hint="cs"/>
          <w:sz w:val="26"/>
          <w:szCs w:val="26"/>
          <w:rtl/>
        </w:rPr>
        <w:t xml:space="preserve"> عام</w:t>
      </w:r>
      <w:r w:rsidR="00484498" w:rsidRPr="00616CD6">
        <w:rPr>
          <w:sz w:val="26"/>
          <w:szCs w:val="26"/>
          <w:rtl/>
        </w:rPr>
        <w:t xml:space="preserve"> 2022 هي نفس </w:t>
      </w:r>
      <w:r w:rsidR="00484498" w:rsidRPr="00616CD6">
        <w:rPr>
          <w:rFonts w:hint="cs"/>
          <w:sz w:val="26"/>
          <w:szCs w:val="26"/>
          <w:rtl/>
        </w:rPr>
        <w:t xml:space="preserve">ميزانية </w:t>
      </w:r>
      <w:r w:rsidRPr="00616CD6">
        <w:rPr>
          <w:sz w:val="26"/>
          <w:szCs w:val="26"/>
          <w:rtl/>
        </w:rPr>
        <w:t>عام 2021؛</w:t>
      </w:r>
    </w:p>
    <w:p w14:paraId="3A5FD892" w14:textId="77777777" w:rsidR="00433DC5" w:rsidRPr="00616CD6" w:rsidRDefault="00E47914" w:rsidP="00517464">
      <w:pPr>
        <w:pStyle w:val="StyleHeader4Para4Left0Firstline0"/>
        <w:numPr>
          <w:ilvl w:val="0"/>
          <w:numId w:val="13"/>
        </w:numPr>
        <w:bidi/>
        <w:ind w:left="1170" w:hanging="630"/>
        <w:rPr>
          <w:sz w:val="26"/>
          <w:szCs w:val="26"/>
          <w:rtl/>
        </w:rPr>
      </w:pPr>
      <w:r w:rsidRPr="00616CD6">
        <w:rPr>
          <w:rFonts w:hint="cs"/>
          <w:sz w:val="26"/>
          <w:szCs w:val="26"/>
          <w:rtl/>
        </w:rPr>
        <w:t>و</w:t>
      </w:r>
      <w:r w:rsidR="00F02E1B" w:rsidRPr="00616CD6">
        <w:rPr>
          <w:sz w:val="26"/>
          <w:szCs w:val="26"/>
          <w:rtl/>
        </w:rPr>
        <w:t xml:space="preserve">الخدمات التعاقدية (4.9 في المائة من الميزانية). تكاليف الخدمات التعاقدية المقترحة لعام 2022 (الشركات) أعلى من التكاليف الفعلية لعام 2020 ولكن بنفس مستويات التكاليف </w:t>
      </w:r>
      <w:r w:rsidR="003F5ADB" w:rsidRPr="00616CD6">
        <w:rPr>
          <w:rFonts w:hint="cs"/>
          <w:sz w:val="26"/>
          <w:szCs w:val="26"/>
          <w:rtl/>
        </w:rPr>
        <w:t>التقديرية</w:t>
      </w:r>
      <w:r w:rsidR="00F02E1B" w:rsidRPr="00616CD6">
        <w:rPr>
          <w:sz w:val="26"/>
          <w:szCs w:val="26"/>
          <w:rtl/>
        </w:rPr>
        <w:t xml:space="preserve"> لعام 2021. </w:t>
      </w:r>
      <w:r w:rsidR="003F5ADB" w:rsidRPr="00616CD6">
        <w:rPr>
          <w:rFonts w:hint="cs"/>
          <w:sz w:val="26"/>
          <w:szCs w:val="26"/>
          <w:rtl/>
        </w:rPr>
        <w:t>و</w:t>
      </w:r>
      <w:r w:rsidR="00F02E1B" w:rsidRPr="00616CD6">
        <w:rPr>
          <w:sz w:val="26"/>
          <w:szCs w:val="26"/>
          <w:rtl/>
        </w:rPr>
        <w:t xml:space="preserve">كانت التكاليف الفعلية لعام 2020 </w:t>
      </w:r>
      <w:r w:rsidR="003F5ADB" w:rsidRPr="00616CD6">
        <w:rPr>
          <w:rFonts w:hint="cs"/>
          <w:sz w:val="26"/>
          <w:szCs w:val="26"/>
          <w:rtl/>
        </w:rPr>
        <w:t>للأماكن</w:t>
      </w:r>
      <w:r w:rsidR="003F5ADB" w:rsidRPr="00616CD6">
        <w:rPr>
          <w:sz w:val="26"/>
          <w:szCs w:val="26"/>
          <w:rtl/>
        </w:rPr>
        <w:t xml:space="preserve"> والمعدات / الإمدادات صفر</w:t>
      </w:r>
      <w:r w:rsidR="00F02E1B" w:rsidRPr="00616CD6">
        <w:rPr>
          <w:sz w:val="26"/>
          <w:szCs w:val="26"/>
          <w:rtl/>
        </w:rPr>
        <w:t xml:space="preserve"> </w:t>
      </w:r>
      <w:r w:rsidR="003F5ADB" w:rsidRPr="00616CD6">
        <w:rPr>
          <w:rFonts w:hint="cs"/>
          <w:sz w:val="26"/>
          <w:szCs w:val="26"/>
          <w:rtl/>
        </w:rPr>
        <w:t>لأن</w:t>
      </w:r>
      <w:r w:rsidR="00F02E1B" w:rsidRPr="00616CD6">
        <w:rPr>
          <w:sz w:val="26"/>
          <w:szCs w:val="26"/>
          <w:rtl/>
        </w:rPr>
        <w:t xml:space="preserve"> </w:t>
      </w:r>
      <w:r w:rsidR="003F5ADB" w:rsidRPr="00616CD6">
        <w:rPr>
          <w:sz w:val="26"/>
          <w:szCs w:val="26"/>
          <w:rtl/>
        </w:rPr>
        <w:t xml:space="preserve">ميزانية </w:t>
      </w:r>
      <w:r w:rsidR="00F02E1B" w:rsidRPr="00616CD6">
        <w:rPr>
          <w:sz w:val="26"/>
          <w:szCs w:val="26"/>
          <w:rtl/>
        </w:rPr>
        <w:t xml:space="preserve">البنك الدولي </w:t>
      </w:r>
      <w:r w:rsidR="00433DC5" w:rsidRPr="00616CD6">
        <w:rPr>
          <w:rFonts w:hint="cs"/>
          <w:sz w:val="26"/>
          <w:szCs w:val="26"/>
          <w:rtl/>
        </w:rPr>
        <w:t xml:space="preserve">استوعبت </w:t>
      </w:r>
      <w:r w:rsidR="00433DC5" w:rsidRPr="00616CD6">
        <w:rPr>
          <w:sz w:val="26"/>
          <w:szCs w:val="26"/>
          <w:rtl/>
        </w:rPr>
        <w:t xml:space="preserve">هذه التكاليف </w:t>
      </w:r>
      <w:r w:rsidR="00F02E1B" w:rsidRPr="00616CD6">
        <w:rPr>
          <w:sz w:val="26"/>
          <w:szCs w:val="26"/>
          <w:rtl/>
        </w:rPr>
        <w:t>(بدلاً من ميزانية الوحدة الأساسية).</w:t>
      </w:r>
    </w:p>
    <w:p w14:paraId="0A04265E" w14:textId="77777777" w:rsidR="00A7188F" w:rsidRPr="00616CD6" w:rsidRDefault="00A7188F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سيعيد البنك الدولي 443</w:t>
      </w:r>
      <w:r w:rsidR="00433DC5" w:rsidRPr="00616CD6">
        <w:rPr>
          <w:rFonts w:hint="cs"/>
          <w:sz w:val="26"/>
          <w:szCs w:val="26"/>
          <w:rtl/>
        </w:rPr>
        <w:t>,</w:t>
      </w:r>
      <w:r w:rsidR="00433DC5" w:rsidRPr="00616CD6">
        <w:rPr>
          <w:sz w:val="26"/>
          <w:szCs w:val="26"/>
          <w:rtl/>
        </w:rPr>
        <w:t>204 دولار أمريكي</w:t>
      </w:r>
      <w:r w:rsidRPr="00616CD6">
        <w:rPr>
          <w:sz w:val="26"/>
          <w:szCs w:val="26"/>
          <w:rtl/>
        </w:rPr>
        <w:t xml:space="preserve"> كوفورات من تكاليف الوحدة الأساسية من عام 2020 إلى الاجتماع الثامن والثمانين. </w:t>
      </w:r>
      <w:r w:rsidR="00433DC5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قد تود اللجنة التنفيذية أن </w:t>
      </w:r>
      <w:r w:rsidR="00433DC5" w:rsidRPr="00616CD6">
        <w:rPr>
          <w:rFonts w:hint="cs"/>
          <w:sz w:val="26"/>
          <w:szCs w:val="26"/>
          <w:rtl/>
        </w:rPr>
        <w:t>تشير</w:t>
      </w:r>
      <w:r w:rsidR="00433DC5" w:rsidRPr="00616CD6">
        <w:rPr>
          <w:sz w:val="26"/>
          <w:szCs w:val="26"/>
          <w:rtl/>
        </w:rPr>
        <w:t>، مع التقدير</w:t>
      </w:r>
      <w:r w:rsidRPr="00616CD6">
        <w:rPr>
          <w:sz w:val="26"/>
          <w:szCs w:val="26"/>
          <w:rtl/>
        </w:rPr>
        <w:t>،</w:t>
      </w:r>
      <w:r w:rsidR="00433DC5" w:rsidRPr="00616CD6">
        <w:rPr>
          <w:rFonts w:hint="cs"/>
          <w:sz w:val="26"/>
          <w:szCs w:val="26"/>
          <w:rtl/>
        </w:rPr>
        <w:t xml:space="preserve"> إلى</w:t>
      </w:r>
      <w:r w:rsidRPr="00616CD6">
        <w:rPr>
          <w:sz w:val="26"/>
          <w:szCs w:val="26"/>
          <w:rtl/>
        </w:rPr>
        <w:t xml:space="preserve"> أن البنك الدولي سيعيد الأرصدة غير المستخدمة.</w:t>
      </w:r>
    </w:p>
    <w:p w14:paraId="5C40A902" w14:textId="77777777" w:rsidR="00A7188F" w:rsidRPr="00616CD6" w:rsidRDefault="00A7188F" w:rsidP="00A7188F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u w:val="single"/>
        </w:rPr>
      </w:pPr>
      <w:r w:rsidRPr="00616CD6">
        <w:rPr>
          <w:sz w:val="26"/>
          <w:szCs w:val="26"/>
          <w:u w:val="single"/>
          <w:rtl/>
        </w:rPr>
        <w:t>إجمالي التكاليف الإدارية</w:t>
      </w:r>
    </w:p>
    <w:p w14:paraId="37A088CB" w14:textId="77777777" w:rsidR="00A7188F" w:rsidRPr="00616CD6" w:rsidRDefault="00A7188F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>إن ميزانية سداد تكاليف المكاتب القطرية المقترحة لعام 2022 (2</w:t>
      </w:r>
      <w:r w:rsidR="002E2A6A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000</w:t>
      </w:r>
      <w:r w:rsidR="002E2A6A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 xml:space="preserve">000 دولار أمريكي) أعلى من التكاليف المقدرة لعام 2021 </w:t>
      </w:r>
      <w:r w:rsidR="002E2A6A" w:rsidRPr="00616CD6">
        <w:rPr>
          <w:rFonts w:hint="cs"/>
          <w:sz w:val="26"/>
          <w:szCs w:val="26"/>
          <w:rtl/>
        </w:rPr>
        <w:t>وقدرها</w:t>
      </w:r>
      <w:r w:rsidRPr="00616CD6">
        <w:rPr>
          <w:sz w:val="26"/>
          <w:szCs w:val="26"/>
          <w:rtl/>
        </w:rPr>
        <w:t xml:space="preserve"> 800</w:t>
      </w:r>
      <w:r w:rsidR="002E2A6A" w:rsidRPr="00616CD6">
        <w:rPr>
          <w:rFonts w:hint="cs"/>
          <w:sz w:val="26"/>
          <w:szCs w:val="26"/>
          <w:rtl/>
        </w:rPr>
        <w:t>,</w:t>
      </w:r>
      <w:r w:rsidR="002E2A6A" w:rsidRPr="00616CD6">
        <w:rPr>
          <w:sz w:val="26"/>
          <w:szCs w:val="26"/>
          <w:rtl/>
        </w:rPr>
        <w:t>000 دولار أمريكي، ولكنها على نفس المستوى المدرج</w:t>
      </w:r>
      <w:r w:rsidRPr="00616CD6">
        <w:rPr>
          <w:sz w:val="26"/>
          <w:szCs w:val="26"/>
          <w:rtl/>
        </w:rPr>
        <w:t xml:space="preserve"> في الميزانية لعام 2021 </w:t>
      </w:r>
      <w:r w:rsidR="002E2A6A" w:rsidRPr="00616CD6">
        <w:rPr>
          <w:rFonts w:hint="cs"/>
          <w:sz w:val="26"/>
          <w:szCs w:val="26"/>
          <w:rtl/>
        </w:rPr>
        <w:t>لتقديم</w:t>
      </w:r>
      <w:r w:rsidRPr="00616CD6">
        <w:rPr>
          <w:sz w:val="26"/>
          <w:szCs w:val="26"/>
          <w:rtl/>
        </w:rPr>
        <w:t xml:space="preserve"> الدعم للإدارة والإشراف على أنشطة بروتوكول مونتريال. </w:t>
      </w:r>
      <w:r w:rsidR="002E2A6A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تقدر التكاليف الإدارية الإجمالية </w:t>
      </w:r>
      <w:r w:rsidR="002E2A6A" w:rsidRPr="00616CD6">
        <w:rPr>
          <w:rFonts w:hint="cs"/>
          <w:sz w:val="26"/>
          <w:szCs w:val="26"/>
          <w:rtl/>
        </w:rPr>
        <w:t>بقيمة</w:t>
      </w:r>
      <w:r w:rsidRPr="00616CD6">
        <w:rPr>
          <w:sz w:val="26"/>
          <w:szCs w:val="26"/>
          <w:rtl/>
        </w:rPr>
        <w:t xml:space="preserve"> 3</w:t>
      </w:r>
      <w:r w:rsidR="002E2A6A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735</w:t>
      </w:r>
      <w:r w:rsidR="002E2A6A" w:rsidRPr="00616CD6">
        <w:rPr>
          <w:rFonts w:hint="cs"/>
          <w:sz w:val="26"/>
          <w:szCs w:val="26"/>
          <w:rtl/>
        </w:rPr>
        <w:t>,</w:t>
      </w:r>
      <w:r w:rsidR="002E2A6A" w:rsidRPr="00616CD6">
        <w:rPr>
          <w:sz w:val="26"/>
          <w:szCs w:val="26"/>
          <w:rtl/>
        </w:rPr>
        <w:t>000 دولار أمريكي في عام 2022</w:t>
      </w:r>
      <w:r w:rsidRPr="00616CD6">
        <w:rPr>
          <w:sz w:val="26"/>
          <w:szCs w:val="26"/>
          <w:rtl/>
        </w:rPr>
        <w:t xml:space="preserve">، أعلى من التكاليف المقدرة لعام 2021 </w:t>
      </w:r>
      <w:r w:rsidR="002E2A6A" w:rsidRPr="00616CD6">
        <w:rPr>
          <w:rFonts w:hint="cs"/>
          <w:sz w:val="26"/>
          <w:szCs w:val="26"/>
          <w:rtl/>
        </w:rPr>
        <w:t>وقيمتها</w:t>
      </w:r>
      <w:r w:rsidRPr="00616CD6">
        <w:rPr>
          <w:sz w:val="26"/>
          <w:szCs w:val="26"/>
          <w:rtl/>
        </w:rPr>
        <w:t xml:space="preserve"> 2</w:t>
      </w:r>
      <w:r w:rsidR="002E2A6A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385</w:t>
      </w:r>
      <w:r w:rsidR="002E2A6A" w:rsidRPr="00616CD6">
        <w:rPr>
          <w:rFonts w:hint="cs"/>
          <w:sz w:val="26"/>
          <w:szCs w:val="26"/>
          <w:rtl/>
        </w:rPr>
        <w:t>,</w:t>
      </w:r>
      <w:r w:rsidRPr="00616CD6">
        <w:rPr>
          <w:sz w:val="26"/>
          <w:szCs w:val="26"/>
          <w:rtl/>
        </w:rPr>
        <w:t>000 دولار أمريكي.</w:t>
      </w:r>
    </w:p>
    <w:p w14:paraId="24ACB022" w14:textId="77777777" w:rsidR="00A7188F" w:rsidRPr="00616CD6" w:rsidRDefault="00A7188F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</w:rPr>
      </w:pPr>
      <w:r w:rsidRPr="00616CD6">
        <w:rPr>
          <w:sz w:val="26"/>
          <w:szCs w:val="26"/>
          <w:rtl/>
        </w:rPr>
        <w:t xml:space="preserve">تشمل الموارد المتوقعة المتاحة للبنك الدولي للتكاليف الإدارية تكاليف الوحدة الأساسية وتكاليف دعم الوكالة بالإضافة إلى أي رصيد في الإيرادات للتكاليف الإدارية لم </w:t>
      </w:r>
      <w:r w:rsidR="002E2A6A" w:rsidRPr="00616CD6">
        <w:rPr>
          <w:rFonts w:hint="cs"/>
          <w:sz w:val="26"/>
          <w:szCs w:val="26"/>
          <w:rtl/>
        </w:rPr>
        <w:t>يستخدم</w:t>
      </w:r>
      <w:r w:rsidRPr="00616CD6">
        <w:rPr>
          <w:sz w:val="26"/>
          <w:szCs w:val="26"/>
          <w:rtl/>
        </w:rPr>
        <w:t xml:space="preserve"> من قبل. </w:t>
      </w:r>
      <w:r w:rsidR="002E2A6A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 xml:space="preserve">يتم </w:t>
      </w:r>
      <w:r w:rsidR="002E2A6A" w:rsidRPr="00616CD6">
        <w:rPr>
          <w:rFonts w:hint="cs"/>
          <w:sz w:val="26"/>
          <w:szCs w:val="26"/>
          <w:rtl/>
        </w:rPr>
        <w:t>تقديم</w:t>
      </w:r>
      <w:r w:rsidRPr="00616CD6">
        <w:rPr>
          <w:sz w:val="26"/>
          <w:szCs w:val="26"/>
          <w:rtl/>
        </w:rPr>
        <w:t xml:space="preserve"> تكاليف دعم الوكالة للبنك الدولي بعد صرف تكاليف المشروع المعتمدة</w:t>
      </w:r>
      <w:r w:rsidR="002E2A6A" w:rsidRPr="00616CD6">
        <w:rPr>
          <w:sz w:val="26"/>
          <w:szCs w:val="26"/>
          <w:rtl/>
        </w:rPr>
        <w:t xml:space="preserve"> فقط</w:t>
      </w:r>
      <w:r w:rsidRPr="00616CD6">
        <w:rPr>
          <w:sz w:val="26"/>
          <w:szCs w:val="26"/>
          <w:rtl/>
        </w:rPr>
        <w:t xml:space="preserve">. </w:t>
      </w:r>
      <w:r w:rsidR="002E2A6A" w:rsidRPr="00616CD6">
        <w:rPr>
          <w:rFonts w:hint="cs"/>
          <w:sz w:val="26"/>
          <w:szCs w:val="26"/>
          <w:rtl/>
        </w:rPr>
        <w:t>و</w:t>
      </w:r>
      <w:r w:rsidRPr="00616CD6">
        <w:rPr>
          <w:sz w:val="26"/>
          <w:szCs w:val="26"/>
          <w:rtl/>
        </w:rPr>
        <w:t>يعرض الجدول 6 التقييم لعامي 2018 و 2021.</w:t>
      </w:r>
    </w:p>
    <w:p w14:paraId="0FEDE0C5" w14:textId="77777777" w:rsidR="00A7188F" w:rsidRPr="00616CD6" w:rsidRDefault="002E2A6A" w:rsidP="002E2A6A">
      <w:pPr>
        <w:pStyle w:val="StyleHeader4Para4Left0Firstline0"/>
        <w:numPr>
          <w:ilvl w:val="0"/>
          <w:numId w:val="0"/>
        </w:numPr>
        <w:bidi/>
        <w:spacing w:after="0"/>
        <w:rPr>
          <w:b/>
          <w:bCs/>
          <w:sz w:val="26"/>
          <w:szCs w:val="26"/>
          <w:rtl/>
        </w:rPr>
      </w:pPr>
      <w:r w:rsidRPr="00616CD6">
        <w:rPr>
          <w:b/>
          <w:bCs/>
          <w:sz w:val="26"/>
          <w:szCs w:val="26"/>
          <w:rtl/>
        </w:rPr>
        <w:t>الجدول 6</w:t>
      </w:r>
      <w:r w:rsidRPr="00616CD6">
        <w:rPr>
          <w:rFonts w:hint="cs"/>
          <w:b/>
          <w:bCs/>
          <w:sz w:val="26"/>
          <w:szCs w:val="26"/>
          <w:rtl/>
        </w:rPr>
        <w:t>-</w:t>
      </w:r>
      <w:r w:rsidRPr="00616CD6">
        <w:rPr>
          <w:b/>
          <w:bCs/>
          <w:sz w:val="26"/>
          <w:szCs w:val="26"/>
          <w:rtl/>
        </w:rPr>
        <w:t xml:space="preserve"> تقييم مدى توافر </w:t>
      </w:r>
      <w:r w:rsidR="00A7188F" w:rsidRPr="00616CD6">
        <w:rPr>
          <w:b/>
          <w:bCs/>
          <w:sz w:val="26"/>
          <w:szCs w:val="26"/>
          <w:rtl/>
        </w:rPr>
        <w:t>دخل للتكاليف الإدارية المستقبلية للبنك الدولي (بالدولار الأمريكي)</w:t>
      </w:r>
    </w:p>
    <w:tbl>
      <w:tblPr>
        <w:tblpPr w:leftFromText="180" w:rightFromText="180" w:vertAnchor="text" w:tblpY="1"/>
        <w:tblOverlap w:val="never"/>
        <w:bidiVisual/>
        <w:tblW w:w="9367" w:type="dxa"/>
        <w:tblLayout w:type="fixed"/>
        <w:tblLook w:val="04A0" w:firstRow="1" w:lastRow="0" w:firstColumn="1" w:lastColumn="0" w:noHBand="0" w:noVBand="1"/>
      </w:tblPr>
      <w:tblGrid>
        <w:gridCol w:w="4315"/>
        <w:gridCol w:w="1263"/>
        <w:gridCol w:w="1263"/>
        <w:gridCol w:w="1263"/>
        <w:gridCol w:w="1263"/>
      </w:tblGrid>
      <w:tr w:rsidR="00A7188F" w:rsidRPr="00FE26D1" w14:paraId="5D09F5DB" w14:textId="77777777" w:rsidTr="002E2A6A">
        <w:trPr>
          <w:trHeight w:val="24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A5EE" w14:textId="77777777" w:rsidR="00A7188F" w:rsidRPr="00FE26D1" w:rsidRDefault="00DE2C8B" w:rsidP="00DE2C8B">
            <w:pPr>
              <w:bidi/>
              <w:jc w:val="center"/>
              <w:rPr>
                <w:sz w:val="20"/>
                <w:lang w:eastAsia="en-CA"/>
              </w:rPr>
            </w:pPr>
            <w:r>
              <w:rPr>
                <w:rFonts w:hint="cs"/>
                <w:b/>
                <w:bCs/>
                <w:sz w:val="20"/>
                <w:rtl/>
                <w:lang w:eastAsia="en-CA"/>
              </w:rPr>
              <w:t>الوصف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66C" w14:textId="77777777" w:rsidR="00A7188F" w:rsidRPr="00FE26D1" w:rsidRDefault="00A7188F" w:rsidP="00C869B1">
            <w:pPr>
              <w:jc w:val="center"/>
              <w:rPr>
                <w:b/>
                <w:bCs/>
                <w:sz w:val="20"/>
                <w:lang w:eastAsia="en-C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AB4" w14:textId="77777777" w:rsidR="00A7188F" w:rsidRPr="00FE26D1" w:rsidRDefault="00A7188F" w:rsidP="00C869B1">
            <w:pPr>
              <w:jc w:val="center"/>
              <w:rPr>
                <w:b/>
                <w:bCs/>
                <w:sz w:val="20"/>
                <w:lang w:eastAsia="en-C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2019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3C4" w14:textId="77777777" w:rsidR="00A7188F" w:rsidRPr="00FE26D1" w:rsidRDefault="00A7188F" w:rsidP="00C869B1">
            <w:pPr>
              <w:jc w:val="center"/>
              <w:rPr>
                <w:b/>
                <w:bCs/>
                <w:sz w:val="20"/>
                <w:lang w:eastAsia="en-C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118" w14:textId="77777777" w:rsidR="00A7188F" w:rsidRPr="00FE26D1" w:rsidRDefault="00A7188F" w:rsidP="00DE2C8B">
            <w:pPr>
              <w:bidi/>
              <w:jc w:val="center"/>
              <w:rPr>
                <w:b/>
                <w:bCs/>
                <w:sz w:val="20"/>
                <w:rtl/>
                <w:lang w:eastAsia="en-CA" w:bidi="ar-SA"/>
              </w:rPr>
            </w:pPr>
            <w:r w:rsidRPr="00FE26D1">
              <w:rPr>
                <w:b/>
                <w:bCs/>
                <w:sz w:val="20"/>
                <w:lang w:eastAsia="en-CA"/>
              </w:rPr>
              <w:t>2021</w:t>
            </w:r>
            <w:r w:rsidR="00DE2C8B">
              <w:rPr>
                <w:rFonts w:hint="cs"/>
                <w:b/>
                <w:bCs/>
                <w:sz w:val="20"/>
                <w:rtl/>
                <w:lang w:eastAsia="en-CA" w:bidi="ar-SA"/>
              </w:rPr>
              <w:t>*</w:t>
            </w:r>
          </w:p>
        </w:tc>
      </w:tr>
      <w:tr w:rsidR="00DE2C8B" w:rsidRPr="00FE26D1" w14:paraId="7D36B21E" w14:textId="77777777" w:rsidTr="002E2A6A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EFA" w14:textId="77777777" w:rsidR="00DE2C8B" w:rsidRPr="00166C49" w:rsidRDefault="00DE2C8B" w:rsidP="00DE2C8B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صافي تكاليف دعم الوكالة زائد تكاليف الوحدة الأساسية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76A7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3,251,742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CBD9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1,915,543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FBF4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1,879,691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9B5A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2,412,800</w:t>
            </w:r>
          </w:p>
        </w:tc>
      </w:tr>
      <w:tr w:rsidR="00DE2C8B" w:rsidRPr="00FE26D1" w14:paraId="4BB82B2E" w14:textId="77777777" w:rsidTr="002E2A6A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34B7" w14:textId="77777777" w:rsidR="00DE2C8B" w:rsidRPr="00166C49" w:rsidRDefault="00DE2C8B" w:rsidP="00DE2C8B">
            <w:pPr>
              <w:bidi/>
              <w:ind w:right="-105"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إجمالي التكاليف الإدارية باستثناء تكاليف المشروع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283A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3,842,489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E114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2,949,544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BC51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2,463,979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5999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2,385,000</w:t>
            </w:r>
          </w:p>
        </w:tc>
      </w:tr>
      <w:tr w:rsidR="00DE2C8B" w:rsidRPr="00FE26D1" w14:paraId="39920DA1" w14:textId="77777777" w:rsidTr="002E2A6A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36D" w14:textId="77777777" w:rsidR="00DE2C8B" w:rsidRPr="00166C49" w:rsidRDefault="00DE2C8B" w:rsidP="00DE2C8B">
            <w:pPr>
              <w:bidi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الرصيد لكل سنة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1621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(590,747)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E1CE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(1,034,001)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724F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(584,288)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E556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27,800</w:t>
            </w:r>
          </w:p>
        </w:tc>
      </w:tr>
      <w:tr w:rsidR="00DE2C8B" w:rsidRPr="00FE26D1" w14:paraId="4D95D895" w14:textId="77777777" w:rsidTr="002E2A6A">
        <w:trPr>
          <w:trHeight w:val="24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ADEF" w14:textId="77777777" w:rsidR="00DE2C8B" w:rsidRPr="00166C49" w:rsidRDefault="00DE2C8B" w:rsidP="00DE2C8B">
            <w:pPr>
              <w:bidi/>
              <w:ind w:right="-105"/>
              <w:jc w:val="left"/>
              <w:rPr>
                <w:sz w:val="20"/>
                <w:rtl/>
                <w:lang w:val="en-US" w:eastAsia="en-CA" w:bidi="ar-SA"/>
              </w:rPr>
            </w:pPr>
            <w:r>
              <w:rPr>
                <w:rFonts w:hint="cs"/>
                <w:sz w:val="20"/>
                <w:rtl/>
                <w:lang w:val="en-US" w:eastAsia="en-CA" w:bidi="ar-SA"/>
              </w:rPr>
              <w:t>الرصيد الجاري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7880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3,365,723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95B3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2,331,723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CDA3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1,747,435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EFB6" w14:textId="77777777" w:rsidR="00DE2C8B" w:rsidRPr="00FE26D1" w:rsidRDefault="00DE2C8B" w:rsidP="00DE2C8B">
            <w:pPr>
              <w:jc w:val="right"/>
              <w:rPr>
                <w:sz w:val="20"/>
              </w:rPr>
            </w:pPr>
            <w:r w:rsidRPr="00FE26D1">
              <w:rPr>
                <w:sz w:val="20"/>
              </w:rPr>
              <w:t>1,775,235</w:t>
            </w:r>
          </w:p>
        </w:tc>
      </w:tr>
    </w:tbl>
    <w:p w14:paraId="08A2A034" w14:textId="77777777" w:rsidR="0030280D" w:rsidRPr="0033586B" w:rsidRDefault="0033586B" w:rsidP="0033586B">
      <w:pPr>
        <w:pStyle w:val="StyleHeader4Para4Left0Firstline0"/>
        <w:numPr>
          <w:ilvl w:val="0"/>
          <w:numId w:val="0"/>
        </w:numPr>
        <w:bidi/>
        <w:rPr>
          <w:lang w:bidi="ar-SA"/>
        </w:rPr>
      </w:pPr>
      <w:r>
        <w:rPr>
          <w:rFonts w:hint="cs"/>
          <w:rtl/>
          <w:lang w:bidi="ar-SA"/>
        </w:rPr>
        <w:t xml:space="preserve">* </w:t>
      </w:r>
      <w:r w:rsidR="0030280D" w:rsidRPr="0033586B">
        <w:rPr>
          <w:rtl/>
          <w:lang w:bidi="ar-SA"/>
        </w:rPr>
        <w:t>بما في ذلك تكاليف دعم الوكالة المعتم</w:t>
      </w:r>
      <w:r>
        <w:rPr>
          <w:rtl/>
          <w:lang w:bidi="ar-SA"/>
        </w:rPr>
        <w:t>دة في الاجتماع السابع والثمانين</w:t>
      </w:r>
      <w:r w:rsidR="0030280D" w:rsidRPr="0033586B">
        <w:rPr>
          <w:rtl/>
          <w:lang w:bidi="ar-SA"/>
        </w:rPr>
        <w:t xml:space="preserve">، وقيمة تكاليف دعم الوكالة وتكاليف الوحدة الأساسية من </w:t>
      </w:r>
      <w:r>
        <w:rPr>
          <w:rFonts w:hint="cs"/>
          <w:rtl/>
          <w:lang w:bidi="ar-SA"/>
        </w:rPr>
        <w:t>الطلبات المقدمة</w:t>
      </w:r>
      <w:r w:rsidR="0030280D" w:rsidRPr="0033586B">
        <w:rPr>
          <w:rtl/>
          <w:lang w:bidi="ar-SA"/>
        </w:rPr>
        <w:t xml:space="preserve"> إلى </w:t>
      </w:r>
      <w:r w:rsidR="0030280D" w:rsidRPr="0033586B">
        <w:rPr>
          <w:rtl/>
          <w:lang w:bidi="ar-SA"/>
        </w:rPr>
        <w:lastRenderedPageBreak/>
        <w:t>الاجتماع الثامن والثمانين.</w:t>
      </w:r>
    </w:p>
    <w:p w14:paraId="61E896B9" w14:textId="77777777" w:rsidR="0030280D" w:rsidRPr="00616CD6" w:rsidRDefault="0030280D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استناداً</w:t>
      </w:r>
      <w:r w:rsidR="0033586B" w:rsidRPr="00616CD6">
        <w:rPr>
          <w:sz w:val="26"/>
          <w:szCs w:val="26"/>
          <w:rtl/>
          <w:lang w:bidi="ar-SA"/>
        </w:rPr>
        <w:t xml:space="preserve"> إلى التحليل الوارد في الجدول 6</w:t>
      </w:r>
      <w:r w:rsidRPr="00616CD6">
        <w:rPr>
          <w:sz w:val="26"/>
          <w:szCs w:val="26"/>
          <w:rtl/>
          <w:lang w:bidi="ar-SA"/>
        </w:rPr>
        <w:t xml:space="preserve">، يمكن للبنك الدولي أن يجمع رصيداً </w:t>
      </w:r>
      <w:r w:rsidR="0033586B" w:rsidRPr="00616CD6">
        <w:rPr>
          <w:rFonts w:hint="cs"/>
          <w:sz w:val="26"/>
          <w:szCs w:val="26"/>
          <w:rtl/>
          <w:lang w:bidi="ar-SA"/>
        </w:rPr>
        <w:t xml:space="preserve">تراكميا </w:t>
      </w:r>
      <w:r w:rsidRPr="00616CD6">
        <w:rPr>
          <w:sz w:val="26"/>
          <w:szCs w:val="26"/>
          <w:rtl/>
          <w:lang w:bidi="ar-SA"/>
        </w:rPr>
        <w:t>قدره 1</w:t>
      </w:r>
      <w:r w:rsidR="0033586B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775</w:t>
      </w:r>
      <w:r w:rsidR="0033586B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 xml:space="preserve">235 دولاراً أمريكياً على أساس الموافقات في الاجتماع السابع والثمانين </w:t>
      </w:r>
      <w:r w:rsidR="0033586B" w:rsidRPr="00616CD6">
        <w:rPr>
          <w:rFonts w:hint="cs"/>
          <w:sz w:val="26"/>
          <w:szCs w:val="26"/>
          <w:rtl/>
          <w:lang w:bidi="ar-SA"/>
        </w:rPr>
        <w:t>والطلبات</w:t>
      </w:r>
      <w:r w:rsidRPr="00616CD6">
        <w:rPr>
          <w:sz w:val="26"/>
          <w:szCs w:val="26"/>
          <w:rtl/>
          <w:lang w:bidi="ar-SA"/>
        </w:rPr>
        <w:t xml:space="preserve"> المقدمة إلى الاجتماع الثامن والثمانين. </w:t>
      </w:r>
      <w:r w:rsidR="0033586B" w:rsidRPr="00616CD6">
        <w:rPr>
          <w:rFonts w:hint="cs"/>
          <w:sz w:val="26"/>
          <w:szCs w:val="26"/>
          <w:rtl/>
          <w:lang w:bidi="ar-SA"/>
        </w:rPr>
        <w:t>يجب أن يدر</w:t>
      </w:r>
      <w:r w:rsidRPr="00616CD6">
        <w:rPr>
          <w:sz w:val="26"/>
          <w:szCs w:val="26"/>
          <w:rtl/>
          <w:lang w:bidi="ar-SA"/>
        </w:rPr>
        <w:t xml:space="preserve"> البنك الدولي 1</w:t>
      </w:r>
      <w:r w:rsidR="0033586B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959</w:t>
      </w:r>
      <w:r w:rsidR="0033586B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 xml:space="preserve">765 دولارًا أمريكيًا </w:t>
      </w:r>
      <w:r w:rsidR="0033586B" w:rsidRPr="00616CD6">
        <w:rPr>
          <w:rFonts w:hint="cs"/>
          <w:sz w:val="26"/>
          <w:szCs w:val="26"/>
          <w:rtl/>
          <w:lang w:bidi="ar-SA"/>
        </w:rPr>
        <w:t xml:space="preserve">على الأقل </w:t>
      </w:r>
      <w:r w:rsidRPr="00616CD6">
        <w:rPr>
          <w:sz w:val="26"/>
          <w:szCs w:val="26"/>
          <w:rtl/>
          <w:lang w:bidi="ar-SA"/>
        </w:rPr>
        <w:t xml:space="preserve">لتكاليف دعم الوكالة وتكاليف الوحدة الأساسية في عام 2022 لتغطية إجمالي التكاليف الإدارية المتوقعة لعام 2022 </w:t>
      </w:r>
      <w:r w:rsidR="0033586B" w:rsidRPr="00616CD6">
        <w:rPr>
          <w:rFonts w:hint="cs"/>
          <w:sz w:val="26"/>
          <w:szCs w:val="26"/>
          <w:rtl/>
          <w:lang w:bidi="ar-SA"/>
        </w:rPr>
        <w:t>وقدرها</w:t>
      </w:r>
      <w:r w:rsidRPr="00616CD6">
        <w:rPr>
          <w:sz w:val="26"/>
          <w:szCs w:val="26"/>
          <w:rtl/>
          <w:lang w:bidi="ar-SA"/>
        </w:rPr>
        <w:t xml:space="preserve"> 3</w:t>
      </w:r>
      <w:r w:rsidR="0033586B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735</w:t>
      </w:r>
      <w:r w:rsidR="0033586B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000 دولار أمريكي.</w:t>
      </w:r>
    </w:p>
    <w:p w14:paraId="32EB1B03" w14:textId="77777777" w:rsidR="0030280D" w:rsidRPr="00616CD6" w:rsidRDefault="0033586B" w:rsidP="0033586B">
      <w:pPr>
        <w:pStyle w:val="StyleHeader4Para4Left0Firstline0"/>
        <w:numPr>
          <w:ilvl w:val="0"/>
          <w:numId w:val="0"/>
        </w:numPr>
        <w:bidi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إعادة</w:t>
      </w:r>
      <w:r w:rsidR="0030280D" w:rsidRPr="00616CD6">
        <w:rPr>
          <w:sz w:val="26"/>
          <w:szCs w:val="26"/>
          <w:rtl/>
          <w:lang w:bidi="ar-SA"/>
        </w:rPr>
        <w:t xml:space="preserve"> الأرصدة غير </w:t>
      </w:r>
      <w:r w:rsidRPr="00616CD6">
        <w:rPr>
          <w:rFonts w:hint="cs"/>
          <w:sz w:val="26"/>
          <w:szCs w:val="26"/>
          <w:rtl/>
          <w:lang w:bidi="ar-SA"/>
        </w:rPr>
        <w:t>المصروفة</w:t>
      </w:r>
      <w:r w:rsidR="0030280D" w:rsidRPr="00616CD6">
        <w:rPr>
          <w:sz w:val="26"/>
          <w:szCs w:val="26"/>
          <w:rtl/>
          <w:lang w:bidi="ar-SA"/>
        </w:rPr>
        <w:t xml:space="preserve"> لعام 2020</w:t>
      </w:r>
    </w:p>
    <w:p w14:paraId="007819D6" w14:textId="77777777" w:rsidR="0030280D" w:rsidRPr="00616CD6" w:rsidRDefault="0033586B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أعاد</w:t>
      </w:r>
      <w:r w:rsidR="0030280D" w:rsidRPr="00616CD6">
        <w:rPr>
          <w:sz w:val="26"/>
          <w:szCs w:val="26"/>
          <w:rtl/>
          <w:lang w:bidi="ar-SA"/>
        </w:rPr>
        <w:t xml:space="preserve"> برنامج الأمم المتحدة الإنمائي</w:t>
      </w:r>
      <w:r w:rsidR="00F541AD" w:rsidRPr="00616CD6">
        <w:rPr>
          <w:rFonts w:hint="cs"/>
          <w:sz w:val="26"/>
          <w:szCs w:val="26"/>
          <w:rtl/>
          <w:lang w:bidi="ar-SA"/>
        </w:rPr>
        <w:t xml:space="preserve"> (اليوئنديبي)</w:t>
      </w:r>
      <w:r w:rsidR="0030280D" w:rsidRPr="00616CD6">
        <w:rPr>
          <w:sz w:val="26"/>
          <w:szCs w:val="26"/>
          <w:rtl/>
          <w:lang w:bidi="ar-SA"/>
        </w:rPr>
        <w:t xml:space="preserve"> ومنظمة الأمم المتحدة للتنمية الصناعية</w:t>
      </w:r>
      <w:r w:rsidR="00F541AD" w:rsidRPr="00616CD6">
        <w:rPr>
          <w:rFonts w:hint="cs"/>
          <w:sz w:val="26"/>
          <w:szCs w:val="26"/>
          <w:rtl/>
          <w:lang w:bidi="ar-SA"/>
        </w:rPr>
        <w:t xml:space="preserve"> (اليونيدو)</w:t>
      </w:r>
      <w:r w:rsidR="0030280D" w:rsidRPr="00616CD6">
        <w:rPr>
          <w:sz w:val="26"/>
          <w:szCs w:val="26"/>
          <w:rtl/>
          <w:lang w:bidi="ar-SA"/>
        </w:rPr>
        <w:t xml:space="preserve"> والبنك الدولي</w:t>
      </w:r>
      <w:r w:rsidRPr="00616CD6">
        <w:rPr>
          <w:rFonts w:hint="cs"/>
          <w:sz w:val="26"/>
          <w:szCs w:val="26"/>
          <w:rtl/>
          <w:lang w:bidi="ar-SA"/>
        </w:rPr>
        <w:t xml:space="preserve"> أرصدة تبلغ قيمتها</w:t>
      </w:r>
      <w:r w:rsidR="0030280D" w:rsidRPr="00616CD6">
        <w:rPr>
          <w:sz w:val="26"/>
          <w:szCs w:val="26"/>
          <w:rtl/>
          <w:lang w:bidi="ar-SA"/>
        </w:rPr>
        <w:t xml:space="preserve"> 32</w:t>
      </w:r>
      <w:r w:rsidRPr="00616CD6">
        <w:rPr>
          <w:rFonts w:hint="cs"/>
          <w:sz w:val="26"/>
          <w:szCs w:val="26"/>
          <w:rtl/>
          <w:lang w:bidi="ar-SA"/>
        </w:rPr>
        <w:t>,</w:t>
      </w:r>
      <w:r w:rsidR="0030280D" w:rsidRPr="00616CD6">
        <w:rPr>
          <w:sz w:val="26"/>
          <w:szCs w:val="26"/>
          <w:rtl/>
          <w:lang w:bidi="ar-SA"/>
        </w:rPr>
        <w:t>878 دولارًا أمريكيًا و 49</w:t>
      </w:r>
      <w:r w:rsidRPr="00616CD6">
        <w:rPr>
          <w:rFonts w:hint="cs"/>
          <w:sz w:val="26"/>
          <w:szCs w:val="26"/>
          <w:rtl/>
          <w:lang w:bidi="ar-SA"/>
        </w:rPr>
        <w:t>,</w:t>
      </w:r>
      <w:r w:rsidR="0030280D" w:rsidRPr="00616CD6">
        <w:rPr>
          <w:sz w:val="26"/>
          <w:szCs w:val="26"/>
          <w:rtl/>
          <w:lang w:bidi="ar-SA"/>
        </w:rPr>
        <w:t>404 دولارًا أمريكيًا و 443</w:t>
      </w:r>
      <w:r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204 دولارا أمريكي</w:t>
      </w:r>
      <w:r w:rsidRPr="00616CD6">
        <w:rPr>
          <w:rFonts w:hint="cs"/>
          <w:sz w:val="26"/>
          <w:szCs w:val="26"/>
          <w:rtl/>
          <w:lang w:bidi="ar-SA"/>
        </w:rPr>
        <w:t>ا،</w:t>
      </w:r>
      <w:r w:rsidR="0030280D" w:rsidRPr="00616CD6">
        <w:rPr>
          <w:sz w:val="26"/>
          <w:szCs w:val="26"/>
          <w:rtl/>
          <w:lang w:bidi="ar-SA"/>
        </w:rPr>
        <w:t xml:space="preserve"> على التوالي لعام 2020.</w:t>
      </w:r>
      <w:r w:rsidR="00656519" w:rsidRPr="00616CD6">
        <w:rPr>
          <w:rFonts w:hint="cs"/>
          <w:sz w:val="26"/>
          <w:szCs w:val="26"/>
          <w:rtl/>
          <w:lang w:bidi="ar-SA"/>
        </w:rPr>
        <w:t>وإذ تلاحظ</w:t>
      </w:r>
      <w:r w:rsidR="0030280D" w:rsidRPr="00616CD6">
        <w:rPr>
          <w:sz w:val="26"/>
          <w:szCs w:val="26"/>
          <w:rtl/>
          <w:lang w:bidi="ar-SA"/>
        </w:rPr>
        <w:t xml:space="preserve"> أن عودة الأرصدة تختلف اختلافًا كبي</w:t>
      </w:r>
      <w:r w:rsidR="00656519" w:rsidRPr="00616CD6">
        <w:rPr>
          <w:sz w:val="26"/>
          <w:szCs w:val="26"/>
          <w:rtl/>
          <w:lang w:bidi="ar-SA"/>
        </w:rPr>
        <w:t>رًا عبر الوكالات المنفذة الثلاث</w:t>
      </w:r>
      <w:r w:rsidR="0030280D" w:rsidRPr="00616CD6">
        <w:rPr>
          <w:sz w:val="26"/>
          <w:szCs w:val="26"/>
          <w:rtl/>
          <w:lang w:bidi="ar-SA"/>
        </w:rPr>
        <w:t>، ناقش</w:t>
      </w:r>
      <w:r w:rsidR="00656519" w:rsidRPr="00616CD6">
        <w:rPr>
          <w:sz w:val="26"/>
          <w:szCs w:val="26"/>
          <w:rtl/>
          <w:lang w:bidi="ar-SA"/>
        </w:rPr>
        <w:t>ت الأمانة معها العمليات المتبعة</w:t>
      </w:r>
      <w:r w:rsidR="0030280D" w:rsidRPr="00616CD6">
        <w:rPr>
          <w:sz w:val="26"/>
          <w:szCs w:val="26"/>
          <w:rtl/>
          <w:lang w:bidi="ar-SA"/>
        </w:rPr>
        <w:t xml:space="preserve"> لتقدير </w:t>
      </w:r>
      <w:r w:rsidR="00656519" w:rsidRPr="00616CD6">
        <w:rPr>
          <w:rFonts w:hint="cs"/>
          <w:sz w:val="26"/>
          <w:szCs w:val="26"/>
          <w:rtl/>
          <w:lang w:bidi="ar-SA"/>
        </w:rPr>
        <w:t>إعادة</w:t>
      </w:r>
      <w:r w:rsidR="00656519" w:rsidRPr="00616CD6">
        <w:rPr>
          <w:sz w:val="26"/>
          <w:szCs w:val="26"/>
          <w:rtl/>
          <w:lang w:bidi="ar-SA"/>
        </w:rPr>
        <w:t xml:space="preserve"> الأرصدة لعام 2020</w:t>
      </w:r>
      <w:r w:rsidR="0030280D" w:rsidRPr="00616CD6">
        <w:rPr>
          <w:sz w:val="26"/>
          <w:szCs w:val="26"/>
          <w:rtl/>
          <w:lang w:bidi="ar-SA"/>
        </w:rPr>
        <w:t xml:space="preserve">، مع الأخذ في الاعتبار أن بعض النفقات (مثل السفر والخدمات التعاقدية) كان لها حد أدنى من النفقات خلال </w:t>
      </w:r>
      <w:r w:rsidR="00656519" w:rsidRPr="00616CD6">
        <w:rPr>
          <w:rFonts w:hint="cs"/>
          <w:sz w:val="26"/>
          <w:szCs w:val="26"/>
          <w:rtl/>
          <w:lang w:bidi="ar-SA"/>
        </w:rPr>
        <w:t xml:space="preserve">هذا </w:t>
      </w:r>
      <w:r w:rsidR="0030280D" w:rsidRPr="00616CD6">
        <w:rPr>
          <w:sz w:val="26"/>
          <w:szCs w:val="26"/>
          <w:rtl/>
          <w:lang w:bidi="ar-SA"/>
        </w:rPr>
        <w:t xml:space="preserve">العام بسبب الوباء. </w:t>
      </w:r>
      <w:r w:rsidR="00656519" w:rsidRPr="00616CD6">
        <w:rPr>
          <w:rFonts w:hint="cs"/>
          <w:sz w:val="26"/>
          <w:szCs w:val="26"/>
          <w:rtl/>
          <w:lang w:bidi="ar-SA"/>
        </w:rPr>
        <w:t>و</w:t>
      </w:r>
      <w:r w:rsidR="0030280D" w:rsidRPr="00616CD6">
        <w:rPr>
          <w:sz w:val="26"/>
          <w:szCs w:val="26"/>
          <w:rtl/>
          <w:lang w:bidi="ar-SA"/>
        </w:rPr>
        <w:t>في الرد</w:t>
      </w:r>
      <w:r w:rsidR="00656519" w:rsidRPr="00616CD6">
        <w:rPr>
          <w:rFonts w:hint="cs"/>
          <w:sz w:val="26"/>
          <w:szCs w:val="26"/>
          <w:rtl/>
          <w:lang w:bidi="ar-SA"/>
        </w:rPr>
        <w:t>ود</w:t>
      </w:r>
      <w:r w:rsidR="0030280D" w:rsidRPr="00616CD6">
        <w:rPr>
          <w:sz w:val="26"/>
          <w:szCs w:val="26"/>
          <w:rtl/>
          <w:lang w:bidi="ar-SA"/>
        </w:rPr>
        <w:t>:</w:t>
      </w:r>
    </w:p>
    <w:p w14:paraId="1A83CEC2" w14:textId="77777777" w:rsidR="0030280D" w:rsidRPr="00616CD6" w:rsidRDefault="0030280D" w:rsidP="00517464">
      <w:pPr>
        <w:pStyle w:val="StyleHeader4Para4Left0Firstline0"/>
        <w:numPr>
          <w:ilvl w:val="0"/>
          <w:numId w:val="14"/>
        </w:numPr>
        <w:bidi/>
        <w:ind w:left="1170" w:hanging="63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أوضح برنامج الأمم المتحدة الإنمائي أنه يعتبر ميزانية الوحدة الأساسية المعتمدة إلى جانب تكاليف دعم البرامج المكتسبة م</w:t>
      </w:r>
      <w:r w:rsidR="00F541AD" w:rsidRPr="00616CD6">
        <w:rPr>
          <w:sz w:val="26"/>
          <w:szCs w:val="26"/>
          <w:rtl/>
          <w:lang w:bidi="ar-SA"/>
        </w:rPr>
        <w:t>صادر للأموال التي ستمول أنشطته</w:t>
      </w:r>
      <w:r w:rsidR="00F541AD" w:rsidRPr="00616CD6">
        <w:rPr>
          <w:rFonts w:hint="cs"/>
          <w:sz w:val="26"/>
          <w:szCs w:val="26"/>
          <w:rtl/>
          <w:lang w:bidi="ar-SA"/>
        </w:rPr>
        <w:t xml:space="preserve"> و</w:t>
      </w:r>
      <w:r w:rsidR="00F541AD" w:rsidRPr="00616CD6">
        <w:rPr>
          <w:sz w:val="26"/>
          <w:szCs w:val="26"/>
          <w:rtl/>
          <w:lang w:bidi="ar-SA"/>
        </w:rPr>
        <w:t>، من ثم</w:t>
      </w:r>
      <w:r w:rsidRPr="00616CD6">
        <w:rPr>
          <w:sz w:val="26"/>
          <w:szCs w:val="26"/>
          <w:rtl/>
          <w:lang w:bidi="ar-SA"/>
        </w:rPr>
        <w:t>، يستخدم تكاليف الدعم الإداري لتمويل الفرق بين تكاليف وحدته ال</w:t>
      </w:r>
      <w:r w:rsidR="00F541AD" w:rsidRPr="00616CD6">
        <w:rPr>
          <w:sz w:val="26"/>
          <w:szCs w:val="26"/>
          <w:rtl/>
          <w:lang w:bidi="ar-SA"/>
        </w:rPr>
        <w:t>أساسية وميزانية الوحدة الأساسية</w:t>
      </w:r>
      <w:r w:rsidRPr="00616CD6">
        <w:rPr>
          <w:sz w:val="26"/>
          <w:szCs w:val="26"/>
          <w:rtl/>
          <w:lang w:bidi="ar-SA"/>
        </w:rPr>
        <w:t xml:space="preserve">؛ </w:t>
      </w:r>
      <w:r w:rsidR="00F541AD" w:rsidRPr="00616CD6">
        <w:rPr>
          <w:rFonts w:hint="cs"/>
          <w:sz w:val="26"/>
          <w:szCs w:val="26"/>
          <w:rtl/>
          <w:lang w:bidi="ar-SA"/>
        </w:rPr>
        <w:t>وت</w:t>
      </w:r>
      <w:r w:rsidRPr="00616CD6">
        <w:rPr>
          <w:sz w:val="26"/>
          <w:szCs w:val="26"/>
          <w:rtl/>
          <w:lang w:bidi="ar-SA"/>
        </w:rPr>
        <w:t xml:space="preserve">تعلق </w:t>
      </w:r>
      <w:r w:rsidR="00F541AD" w:rsidRPr="00616CD6">
        <w:rPr>
          <w:rFonts w:hint="cs"/>
          <w:sz w:val="26"/>
          <w:szCs w:val="26"/>
          <w:rtl/>
          <w:lang w:bidi="ar-SA"/>
        </w:rPr>
        <w:t>إعادة</w:t>
      </w:r>
      <w:r w:rsidRPr="00616CD6">
        <w:rPr>
          <w:sz w:val="26"/>
          <w:szCs w:val="26"/>
          <w:rtl/>
          <w:lang w:bidi="ar-SA"/>
        </w:rPr>
        <w:t xml:space="preserve"> الأموال لعام 2020 بالوفورات في بنود تكاليف السفر </w:t>
      </w:r>
      <w:r w:rsidR="00F541AD" w:rsidRPr="00616CD6">
        <w:rPr>
          <w:rFonts w:hint="cs"/>
          <w:sz w:val="26"/>
          <w:szCs w:val="26"/>
          <w:rtl/>
          <w:lang w:bidi="ar-SA"/>
        </w:rPr>
        <w:t>والأماكن</w:t>
      </w:r>
      <w:r w:rsidRPr="00616CD6">
        <w:rPr>
          <w:sz w:val="26"/>
          <w:szCs w:val="26"/>
          <w:rtl/>
          <w:lang w:bidi="ar-SA"/>
        </w:rPr>
        <w:t xml:space="preserve"> (أي الفرق بين التكاليف الفعلية لعام 2020 مقارنة بتقديرات عام 2020 لبنود التكلفة هذه). </w:t>
      </w:r>
      <w:r w:rsidR="00F541AD" w:rsidRPr="00616CD6">
        <w:rPr>
          <w:rFonts w:hint="cs"/>
          <w:sz w:val="26"/>
          <w:szCs w:val="26"/>
          <w:rtl/>
          <w:lang w:bidi="ar-SA"/>
        </w:rPr>
        <w:t>و</w:t>
      </w:r>
      <w:r w:rsidR="00F541AD" w:rsidRPr="00616CD6">
        <w:rPr>
          <w:sz w:val="26"/>
          <w:szCs w:val="26"/>
          <w:rtl/>
          <w:lang w:bidi="ar-SA"/>
        </w:rPr>
        <w:t>على غرار السنوات السابقة</w:t>
      </w:r>
      <w:r w:rsidRPr="00616CD6">
        <w:rPr>
          <w:sz w:val="26"/>
          <w:szCs w:val="26"/>
          <w:rtl/>
          <w:lang w:bidi="ar-SA"/>
        </w:rPr>
        <w:t xml:space="preserve">، تم استخدام تكاليف دعم البرنامج </w:t>
      </w:r>
      <w:r w:rsidR="00F541AD" w:rsidRPr="00616CD6">
        <w:rPr>
          <w:rFonts w:hint="cs"/>
          <w:sz w:val="26"/>
          <w:szCs w:val="26"/>
          <w:rtl/>
          <w:lang w:bidi="ar-SA"/>
        </w:rPr>
        <w:t>وقدرها</w:t>
      </w:r>
      <w:r w:rsidRPr="00616CD6">
        <w:rPr>
          <w:sz w:val="26"/>
          <w:szCs w:val="26"/>
          <w:rtl/>
          <w:lang w:bidi="ar-SA"/>
        </w:rPr>
        <w:t xml:space="preserve"> 601</w:t>
      </w:r>
      <w:r w:rsidR="00F541AD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 xml:space="preserve">414 دولارًا أمريكيًا وميزانية الوحدة الأساسية </w:t>
      </w:r>
      <w:r w:rsidR="00F541AD" w:rsidRPr="00616CD6">
        <w:rPr>
          <w:rFonts w:hint="cs"/>
          <w:sz w:val="26"/>
          <w:szCs w:val="26"/>
          <w:rtl/>
          <w:lang w:bidi="ar-SA"/>
        </w:rPr>
        <w:t>وقدرها</w:t>
      </w:r>
      <w:r w:rsidRPr="00616CD6">
        <w:rPr>
          <w:sz w:val="26"/>
          <w:szCs w:val="26"/>
          <w:rtl/>
          <w:lang w:bidi="ar-SA"/>
        </w:rPr>
        <w:t xml:space="preserve"> 2</w:t>
      </w:r>
      <w:r w:rsidR="00F541AD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098</w:t>
      </w:r>
      <w:r w:rsidR="00F541AD"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458 دولارًا أمري</w:t>
      </w:r>
      <w:r w:rsidR="00F541AD" w:rsidRPr="00616CD6">
        <w:rPr>
          <w:sz w:val="26"/>
          <w:szCs w:val="26"/>
          <w:rtl/>
          <w:lang w:bidi="ar-SA"/>
        </w:rPr>
        <w:t>كيًا لتمويل الأنشطة في عام 2020</w:t>
      </w:r>
      <w:r w:rsidRPr="00616CD6">
        <w:rPr>
          <w:sz w:val="26"/>
          <w:szCs w:val="26"/>
          <w:rtl/>
          <w:lang w:bidi="ar-SA"/>
        </w:rPr>
        <w:t>؛</w:t>
      </w:r>
    </w:p>
    <w:p w14:paraId="4D9F9BCE" w14:textId="77777777" w:rsidR="0030280D" w:rsidRPr="00616CD6" w:rsidRDefault="00AC0991" w:rsidP="00517464">
      <w:pPr>
        <w:pStyle w:val="StyleHeader4Para4Left0Firstline0"/>
        <w:numPr>
          <w:ilvl w:val="0"/>
          <w:numId w:val="14"/>
        </w:numPr>
        <w:bidi/>
        <w:ind w:left="1170" w:hanging="63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="0030280D" w:rsidRPr="00616CD6">
        <w:rPr>
          <w:sz w:val="26"/>
          <w:szCs w:val="26"/>
          <w:rtl/>
          <w:lang w:bidi="ar-SA"/>
        </w:rPr>
        <w:t>أ</w:t>
      </w:r>
      <w:r w:rsidR="00F541AD" w:rsidRPr="00616CD6">
        <w:rPr>
          <w:sz w:val="26"/>
          <w:szCs w:val="26"/>
          <w:rtl/>
          <w:lang w:bidi="ar-SA"/>
        </w:rPr>
        <w:t>وضحت منظمة الأمم المتحدة للتنمية الصناعية</w:t>
      </w:r>
      <w:r w:rsidR="00F541AD" w:rsidRPr="00616CD6">
        <w:rPr>
          <w:rFonts w:hint="cs"/>
          <w:sz w:val="26"/>
          <w:szCs w:val="26"/>
          <w:rtl/>
          <w:lang w:bidi="ar-SA"/>
        </w:rPr>
        <w:t xml:space="preserve"> (</w:t>
      </w:r>
      <w:r w:rsidR="00F541AD" w:rsidRPr="00616CD6">
        <w:rPr>
          <w:sz w:val="26"/>
          <w:szCs w:val="26"/>
          <w:rtl/>
          <w:lang w:bidi="ar-SA"/>
        </w:rPr>
        <w:t>اليونيدو</w:t>
      </w:r>
      <w:r w:rsidR="00F541AD" w:rsidRPr="00616CD6">
        <w:rPr>
          <w:rFonts w:hint="cs"/>
          <w:sz w:val="26"/>
          <w:szCs w:val="26"/>
          <w:rtl/>
          <w:lang w:bidi="ar-SA"/>
        </w:rPr>
        <w:t>)</w:t>
      </w:r>
      <w:r w:rsidR="00F541AD" w:rsidRPr="00616CD6">
        <w:rPr>
          <w:sz w:val="26"/>
          <w:szCs w:val="26"/>
          <w:rtl/>
          <w:lang w:bidi="ar-SA"/>
        </w:rPr>
        <w:t xml:space="preserve"> أنه خلال عام 2020</w:t>
      </w:r>
      <w:r w:rsidR="0030280D" w:rsidRPr="00616CD6">
        <w:rPr>
          <w:sz w:val="26"/>
          <w:szCs w:val="26"/>
          <w:rtl/>
          <w:lang w:bidi="ar-SA"/>
        </w:rPr>
        <w:t>، تجاوزت ميزانيات موظفي الوحدة الأساسية</w:t>
      </w:r>
      <w:r w:rsidR="00F541AD" w:rsidRPr="00616CD6">
        <w:rPr>
          <w:sz w:val="26"/>
          <w:szCs w:val="26"/>
          <w:rtl/>
          <w:lang w:bidi="ar-SA"/>
        </w:rPr>
        <w:t xml:space="preserve"> والاستشاريين المستويات المقدرة</w:t>
      </w:r>
      <w:r w:rsidR="0030280D" w:rsidRPr="00616CD6">
        <w:rPr>
          <w:sz w:val="26"/>
          <w:szCs w:val="26"/>
          <w:rtl/>
          <w:lang w:bidi="ar-SA"/>
        </w:rPr>
        <w:t xml:space="preserve">، </w:t>
      </w:r>
      <w:r w:rsidR="00F541AD" w:rsidRPr="00616CD6">
        <w:rPr>
          <w:rFonts w:hint="cs"/>
          <w:sz w:val="26"/>
          <w:szCs w:val="26"/>
          <w:rtl/>
          <w:lang w:bidi="ar-SA"/>
        </w:rPr>
        <w:t>ويعزى</w:t>
      </w:r>
      <w:r w:rsidR="0030280D" w:rsidRPr="00616CD6">
        <w:rPr>
          <w:sz w:val="26"/>
          <w:szCs w:val="26"/>
          <w:rtl/>
          <w:lang w:bidi="ar-SA"/>
        </w:rPr>
        <w:t xml:space="preserve"> ذلك أساسًا إلى </w:t>
      </w:r>
      <w:r w:rsidR="00F541AD" w:rsidRPr="00616CD6">
        <w:rPr>
          <w:rFonts w:hint="cs"/>
          <w:sz w:val="26"/>
          <w:szCs w:val="26"/>
          <w:rtl/>
          <w:lang w:bidi="ar-SA"/>
        </w:rPr>
        <w:t>مصروفات</w:t>
      </w:r>
      <w:r w:rsidR="00F541AD" w:rsidRPr="00616CD6">
        <w:rPr>
          <w:sz w:val="26"/>
          <w:szCs w:val="26"/>
          <w:rtl/>
          <w:lang w:bidi="ar-SA"/>
        </w:rPr>
        <w:t xml:space="preserve"> تنقل الموظفين و</w:t>
      </w:r>
      <w:r w:rsidR="0030280D" w:rsidRPr="00616CD6">
        <w:rPr>
          <w:sz w:val="26"/>
          <w:szCs w:val="26"/>
          <w:rtl/>
          <w:lang w:bidi="ar-SA"/>
        </w:rPr>
        <w:t xml:space="preserve">تعيين </w:t>
      </w:r>
      <w:r w:rsidR="00F541AD" w:rsidRPr="00616CD6">
        <w:rPr>
          <w:rFonts w:hint="cs"/>
          <w:sz w:val="26"/>
          <w:szCs w:val="26"/>
          <w:rtl/>
          <w:lang w:bidi="ar-SA"/>
        </w:rPr>
        <w:t>ا</w:t>
      </w:r>
      <w:r w:rsidR="0030280D" w:rsidRPr="00616CD6">
        <w:rPr>
          <w:sz w:val="26"/>
          <w:szCs w:val="26"/>
          <w:rtl/>
          <w:lang w:bidi="ar-SA"/>
        </w:rPr>
        <w:t>لاستشاريين</w:t>
      </w:r>
      <w:r w:rsidR="00F541AD" w:rsidRPr="00616CD6">
        <w:rPr>
          <w:rFonts w:hint="cs"/>
          <w:sz w:val="26"/>
          <w:szCs w:val="26"/>
          <w:rtl/>
          <w:lang w:bidi="ar-SA"/>
        </w:rPr>
        <w:t xml:space="preserve"> مؤقتا</w:t>
      </w:r>
      <w:r w:rsidR="00F541AD" w:rsidRPr="00616CD6">
        <w:rPr>
          <w:sz w:val="26"/>
          <w:szCs w:val="26"/>
          <w:rtl/>
          <w:lang w:bidi="ar-SA"/>
        </w:rPr>
        <w:t xml:space="preserve"> لإدارة أنشطة بروتوكول مونتريال</w:t>
      </w:r>
      <w:r w:rsidR="0030280D" w:rsidRPr="00616CD6">
        <w:rPr>
          <w:sz w:val="26"/>
          <w:szCs w:val="26"/>
          <w:rtl/>
          <w:lang w:bidi="ar-SA"/>
        </w:rPr>
        <w:t>؛ بعد الأخذ في الاعتبار التكاليف الإضافية والوفور</w:t>
      </w:r>
      <w:r w:rsidR="00F541AD" w:rsidRPr="00616CD6">
        <w:rPr>
          <w:sz w:val="26"/>
          <w:szCs w:val="26"/>
          <w:rtl/>
          <w:lang w:bidi="ar-SA"/>
        </w:rPr>
        <w:t>ات تحت بنود مختلفة من الميزانية</w:t>
      </w:r>
      <w:r w:rsidR="0030280D" w:rsidRPr="00616CD6">
        <w:rPr>
          <w:sz w:val="26"/>
          <w:szCs w:val="26"/>
          <w:rtl/>
          <w:lang w:bidi="ar-SA"/>
        </w:rPr>
        <w:t xml:space="preserve">، تمت إعادة صافي الوفورات </w:t>
      </w:r>
      <w:r w:rsidR="00F541AD" w:rsidRPr="00616CD6">
        <w:rPr>
          <w:rFonts w:hint="cs"/>
          <w:sz w:val="26"/>
          <w:szCs w:val="26"/>
          <w:rtl/>
          <w:lang w:bidi="ar-SA"/>
        </w:rPr>
        <w:t>في ضوء</w:t>
      </w:r>
      <w:r w:rsidR="0030280D" w:rsidRPr="00616CD6">
        <w:rPr>
          <w:sz w:val="26"/>
          <w:szCs w:val="26"/>
          <w:rtl/>
          <w:lang w:bidi="ar-SA"/>
        </w:rPr>
        <w:t xml:space="preserve"> ميزا</w:t>
      </w:r>
      <w:r w:rsidR="00F541AD" w:rsidRPr="00616CD6">
        <w:rPr>
          <w:sz w:val="26"/>
          <w:szCs w:val="26"/>
          <w:rtl/>
          <w:lang w:bidi="ar-SA"/>
        </w:rPr>
        <w:t>نية الوحدة الأساسية المعتمدة</w:t>
      </w:r>
      <w:r w:rsidRPr="00616CD6">
        <w:rPr>
          <w:sz w:val="26"/>
          <w:szCs w:val="26"/>
          <w:rtl/>
          <w:lang w:bidi="ar-SA"/>
        </w:rPr>
        <w:t xml:space="preserve">؛ </w:t>
      </w:r>
    </w:p>
    <w:p w14:paraId="7F28FD12" w14:textId="77777777" w:rsidR="00490CA8" w:rsidRPr="00616CD6" w:rsidRDefault="0030280D" w:rsidP="00517464">
      <w:pPr>
        <w:pStyle w:val="StyleHeader4Para4Left0Firstline0"/>
        <w:numPr>
          <w:ilvl w:val="0"/>
          <w:numId w:val="14"/>
        </w:numPr>
        <w:bidi/>
        <w:ind w:left="1170" w:hanging="630"/>
        <w:rPr>
          <w:sz w:val="26"/>
          <w:szCs w:val="26"/>
          <w:rtl/>
          <w:lang w:bidi="ar-SA"/>
        </w:rPr>
      </w:pPr>
      <w:r w:rsidRPr="00616CD6">
        <w:rPr>
          <w:sz w:val="26"/>
          <w:szCs w:val="26"/>
          <w:rtl/>
          <w:lang w:bidi="ar-SA"/>
        </w:rPr>
        <w:t>حقق البنك الد</w:t>
      </w:r>
      <w:r w:rsidR="00F541AD" w:rsidRPr="00616CD6">
        <w:rPr>
          <w:sz w:val="26"/>
          <w:szCs w:val="26"/>
          <w:rtl/>
          <w:lang w:bidi="ar-SA"/>
        </w:rPr>
        <w:t>ولي وفورات في جميع بنود التكلفة</w:t>
      </w:r>
      <w:r w:rsidRPr="00616CD6">
        <w:rPr>
          <w:sz w:val="26"/>
          <w:szCs w:val="26"/>
          <w:rtl/>
          <w:lang w:bidi="ar-SA"/>
        </w:rPr>
        <w:t xml:space="preserve">، باستثناء موظفي الوحدة الأساسية والموظفين </w:t>
      </w:r>
      <w:r w:rsidR="00F541AD" w:rsidRPr="00616CD6">
        <w:rPr>
          <w:rFonts w:hint="cs"/>
          <w:sz w:val="26"/>
          <w:szCs w:val="26"/>
          <w:rtl/>
          <w:lang w:bidi="ar-SA"/>
        </w:rPr>
        <w:t>المتعاقدين</w:t>
      </w:r>
      <w:r w:rsidRPr="00616CD6">
        <w:rPr>
          <w:sz w:val="26"/>
          <w:szCs w:val="26"/>
          <w:rtl/>
          <w:lang w:bidi="ar-SA"/>
        </w:rPr>
        <w:t xml:space="preserve"> وتسديد تكال</w:t>
      </w:r>
      <w:r w:rsidR="00F541AD" w:rsidRPr="00616CD6">
        <w:rPr>
          <w:sz w:val="26"/>
          <w:szCs w:val="26"/>
          <w:rtl/>
          <w:lang w:bidi="ar-SA"/>
        </w:rPr>
        <w:t>يف الخدمات المركزية في عام 2020</w:t>
      </w:r>
      <w:r w:rsidRPr="00616CD6">
        <w:rPr>
          <w:sz w:val="26"/>
          <w:szCs w:val="26"/>
          <w:rtl/>
          <w:lang w:bidi="ar-SA"/>
        </w:rPr>
        <w:t xml:space="preserve">، وأعاد الوفورات </w:t>
      </w:r>
      <w:r w:rsidR="00F541AD" w:rsidRPr="00616CD6">
        <w:rPr>
          <w:rFonts w:hint="cs"/>
          <w:sz w:val="26"/>
          <w:szCs w:val="26"/>
          <w:rtl/>
          <w:lang w:bidi="ar-SA"/>
        </w:rPr>
        <w:t>في ضوء</w:t>
      </w:r>
      <w:r w:rsidRPr="00616CD6">
        <w:rPr>
          <w:sz w:val="26"/>
          <w:szCs w:val="26"/>
          <w:rtl/>
          <w:lang w:bidi="ar-SA"/>
        </w:rPr>
        <w:t xml:space="preserve"> إجمالي ميزانية الوحدة الأساسية المعتمدة.</w:t>
      </w:r>
    </w:p>
    <w:p w14:paraId="62818BC8" w14:textId="77777777" w:rsidR="007451E3" w:rsidRPr="00616CD6" w:rsidRDefault="007451E3" w:rsidP="00616CD6">
      <w:pPr>
        <w:pStyle w:val="StyleHeader4Para4Left0Firstline0"/>
        <w:keepNext/>
        <w:keepLines/>
        <w:numPr>
          <w:ilvl w:val="0"/>
          <w:numId w:val="0"/>
        </w:numPr>
        <w:tabs>
          <w:tab w:val="right" w:pos="571"/>
        </w:tabs>
        <w:bidi/>
        <w:rPr>
          <w:b/>
          <w:bCs/>
          <w:sz w:val="26"/>
          <w:szCs w:val="26"/>
          <w:lang w:bidi="ar-SA"/>
        </w:rPr>
      </w:pPr>
      <w:r w:rsidRPr="00616CD6">
        <w:rPr>
          <w:b/>
          <w:bCs/>
          <w:sz w:val="26"/>
          <w:szCs w:val="26"/>
          <w:rtl/>
          <w:lang w:bidi="ar-SA"/>
        </w:rPr>
        <w:t>قرارات بشأن تجديد موارد الصندوق متعدد الأطراف للفترة 2021-2023 وتحليل نظام التكاليف الإدارية</w:t>
      </w:r>
    </w:p>
    <w:p w14:paraId="1EDC5565" w14:textId="77777777" w:rsidR="007451E3" w:rsidRPr="00616CD6" w:rsidRDefault="007451E3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بسبب الوضع الناجم عن جائحة</w:t>
      </w:r>
      <w:r w:rsidR="00887D75" w:rsidRPr="00616CD6">
        <w:rPr>
          <w:rFonts w:hint="cs"/>
          <w:sz w:val="26"/>
          <w:szCs w:val="26"/>
          <w:rtl/>
          <w:lang w:bidi="ar-SA"/>
        </w:rPr>
        <w:t xml:space="preserve"> كوفيد-19</w:t>
      </w:r>
      <w:r w:rsidR="00887D75" w:rsidRPr="00616CD6">
        <w:rPr>
          <w:sz w:val="26"/>
          <w:szCs w:val="26"/>
          <w:rtl/>
          <w:lang w:bidi="ar-SA"/>
        </w:rPr>
        <w:t xml:space="preserve">، لم </w:t>
      </w:r>
      <w:r w:rsidR="00887D75" w:rsidRPr="00616CD6">
        <w:rPr>
          <w:rFonts w:hint="cs"/>
          <w:sz w:val="26"/>
          <w:szCs w:val="26"/>
          <w:rtl/>
          <w:lang w:bidi="ar-SA"/>
        </w:rPr>
        <w:t>ي</w:t>
      </w:r>
      <w:r w:rsidRPr="00616CD6">
        <w:rPr>
          <w:sz w:val="26"/>
          <w:szCs w:val="26"/>
          <w:rtl/>
          <w:lang w:bidi="ar-SA"/>
        </w:rPr>
        <w:t>تمكن الأطراف في بروتوكول مونتريال من عقد اجتماعات شخصية في ع</w:t>
      </w:r>
      <w:r w:rsidR="00CA5194" w:rsidRPr="00616CD6">
        <w:rPr>
          <w:sz w:val="26"/>
          <w:szCs w:val="26"/>
          <w:rtl/>
          <w:lang w:bidi="ar-SA"/>
        </w:rPr>
        <w:t>ام 2020 كما كان مقررًا في الأصل؛</w:t>
      </w:r>
      <w:r w:rsidR="00CA5194" w:rsidRPr="00616CD6">
        <w:rPr>
          <w:rStyle w:val="FootnoteReference"/>
          <w:sz w:val="26"/>
          <w:szCs w:val="26"/>
          <w:rtl/>
          <w:lang w:bidi="ar-SA"/>
        </w:rPr>
        <w:footnoteReference w:id="8"/>
      </w:r>
      <w:r w:rsidR="00CA5194" w:rsidRPr="00616CD6">
        <w:rPr>
          <w:sz w:val="26"/>
          <w:szCs w:val="26"/>
          <w:rtl/>
          <w:lang w:bidi="ar-SA"/>
        </w:rPr>
        <w:t xml:space="preserve"> وبدلاً من ذلك</w:t>
      </w:r>
      <w:r w:rsidRPr="00616CD6">
        <w:rPr>
          <w:sz w:val="26"/>
          <w:szCs w:val="26"/>
          <w:rtl/>
          <w:lang w:bidi="ar-SA"/>
        </w:rPr>
        <w:t xml:space="preserve">، عُقدت الاجتماعات في شكل </w:t>
      </w:r>
      <w:r w:rsidR="00C62856" w:rsidRPr="00616CD6">
        <w:rPr>
          <w:rFonts w:hint="cs"/>
          <w:sz w:val="26"/>
          <w:szCs w:val="26"/>
          <w:rtl/>
          <w:lang w:bidi="ar-SA"/>
        </w:rPr>
        <w:t>ال</w:t>
      </w:r>
      <w:r w:rsidRPr="00616CD6">
        <w:rPr>
          <w:sz w:val="26"/>
          <w:szCs w:val="26"/>
          <w:rtl/>
          <w:lang w:bidi="ar-SA"/>
        </w:rPr>
        <w:t xml:space="preserve">عمل </w:t>
      </w:r>
      <w:r w:rsidR="00C62856" w:rsidRPr="00616CD6">
        <w:rPr>
          <w:sz w:val="26"/>
          <w:szCs w:val="26"/>
          <w:rtl/>
          <w:lang w:bidi="ar-SA"/>
        </w:rPr>
        <w:t>عبر الإنترنت. وفي ظل هذه الظروف</w:t>
      </w:r>
      <w:r w:rsidRPr="00616CD6">
        <w:rPr>
          <w:sz w:val="26"/>
          <w:szCs w:val="26"/>
          <w:rtl/>
          <w:lang w:bidi="ar-SA"/>
        </w:rPr>
        <w:t xml:space="preserve">، لم </w:t>
      </w:r>
      <w:r w:rsidR="00C62856" w:rsidRPr="00616CD6">
        <w:rPr>
          <w:rFonts w:hint="cs"/>
          <w:sz w:val="26"/>
          <w:szCs w:val="26"/>
          <w:rtl/>
          <w:lang w:bidi="ar-SA"/>
        </w:rPr>
        <w:t xml:space="preserve">يتمكن </w:t>
      </w:r>
      <w:r w:rsidRPr="00616CD6">
        <w:rPr>
          <w:sz w:val="26"/>
          <w:szCs w:val="26"/>
          <w:rtl/>
          <w:lang w:bidi="ar-SA"/>
        </w:rPr>
        <w:t xml:space="preserve">الأطراف من اعتماد </w:t>
      </w:r>
      <w:r w:rsidR="00C62856" w:rsidRPr="00616CD6">
        <w:rPr>
          <w:rFonts w:hint="cs"/>
          <w:sz w:val="26"/>
          <w:szCs w:val="26"/>
          <w:rtl/>
          <w:lang w:bidi="ar-SA"/>
        </w:rPr>
        <w:t>قرار</w:t>
      </w:r>
      <w:r w:rsidRPr="00616CD6">
        <w:rPr>
          <w:sz w:val="26"/>
          <w:szCs w:val="26"/>
          <w:rtl/>
          <w:lang w:bidi="ar-SA"/>
        </w:rPr>
        <w:t xml:space="preserve"> بشأن تجديد موارد الصندوق متعدد الأطراف لتنفيذ بروتوكول مونتريال للفترة 2021</w:t>
      </w:r>
      <w:r w:rsidR="00C62856" w:rsidRPr="00616CD6">
        <w:rPr>
          <w:rFonts w:hint="cs"/>
          <w:sz w:val="26"/>
          <w:szCs w:val="26"/>
          <w:rtl/>
          <w:lang w:bidi="ar-SA"/>
        </w:rPr>
        <w:t xml:space="preserve"> -</w:t>
      </w:r>
      <w:r w:rsidRPr="00616CD6">
        <w:rPr>
          <w:sz w:val="26"/>
          <w:szCs w:val="26"/>
          <w:rtl/>
          <w:lang w:bidi="ar-SA"/>
        </w:rPr>
        <w:t xml:space="preserve"> 2023.</w:t>
      </w:r>
    </w:p>
    <w:p w14:paraId="05C4C016" w14:textId="77777777" w:rsidR="007451E3" w:rsidRPr="00616CD6" w:rsidRDefault="00DC22FB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="007451E3" w:rsidRPr="00616CD6">
        <w:rPr>
          <w:sz w:val="26"/>
          <w:szCs w:val="26"/>
          <w:rtl/>
          <w:lang w:bidi="ar-SA"/>
        </w:rPr>
        <w:t>فيما يتعلق بالمسائل المتعلقة بتج</w:t>
      </w:r>
      <w:r w:rsidRPr="00616CD6">
        <w:rPr>
          <w:sz w:val="26"/>
          <w:szCs w:val="26"/>
          <w:rtl/>
          <w:lang w:bidi="ar-SA"/>
        </w:rPr>
        <w:t>ديد موارد الصندوق متعدد الأطراف</w:t>
      </w:r>
      <w:r w:rsidR="007451E3" w:rsidRPr="00616CD6">
        <w:rPr>
          <w:sz w:val="26"/>
          <w:szCs w:val="26"/>
          <w:rtl/>
          <w:lang w:bidi="ar-SA"/>
        </w:rPr>
        <w:t xml:space="preserve">، </w:t>
      </w:r>
      <w:r w:rsidRPr="00616CD6">
        <w:rPr>
          <w:sz w:val="26"/>
          <w:szCs w:val="26"/>
          <w:rtl/>
          <w:lang w:bidi="ar-SA"/>
        </w:rPr>
        <w:t>أثناء الاجتماع الثاني والثلاثين</w:t>
      </w:r>
      <w:r w:rsidR="007451E3" w:rsidRPr="00616CD6">
        <w:rPr>
          <w:sz w:val="26"/>
          <w:szCs w:val="26"/>
          <w:rtl/>
          <w:lang w:bidi="ar-SA"/>
        </w:rPr>
        <w:t>،</w:t>
      </w:r>
      <w:r w:rsidRPr="00616CD6">
        <w:rPr>
          <w:rStyle w:val="FootnoteReference"/>
          <w:sz w:val="26"/>
          <w:szCs w:val="26"/>
          <w:rtl/>
          <w:lang w:bidi="ar-SA"/>
        </w:rPr>
        <w:footnoteReference w:id="9"/>
      </w:r>
      <w:r w:rsidR="007451E3" w:rsidRPr="00616CD6">
        <w:rPr>
          <w:sz w:val="26"/>
          <w:szCs w:val="26"/>
          <w:rtl/>
          <w:lang w:bidi="ar-SA"/>
        </w:rPr>
        <w:t xml:space="preserve"> </w:t>
      </w:r>
      <w:r w:rsidRPr="00616CD6">
        <w:rPr>
          <w:rFonts w:hint="cs"/>
          <w:sz w:val="26"/>
          <w:szCs w:val="26"/>
          <w:rtl/>
          <w:lang w:bidi="ar-SA"/>
        </w:rPr>
        <w:t>ذكر</w:t>
      </w:r>
      <w:r w:rsidR="007451E3" w:rsidRPr="00616CD6">
        <w:rPr>
          <w:sz w:val="26"/>
          <w:szCs w:val="26"/>
          <w:rtl/>
          <w:lang w:bidi="ar-SA"/>
        </w:rPr>
        <w:t xml:space="preserve"> الأطراف </w:t>
      </w:r>
      <w:r w:rsidRPr="00616CD6">
        <w:rPr>
          <w:sz w:val="26"/>
          <w:szCs w:val="26"/>
          <w:rtl/>
          <w:lang w:bidi="ar-SA"/>
        </w:rPr>
        <w:t>أنه</w:t>
      </w:r>
      <w:r w:rsidRPr="00616CD6">
        <w:rPr>
          <w:rFonts w:hint="cs"/>
          <w:sz w:val="26"/>
          <w:szCs w:val="26"/>
          <w:rtl/>
          <w:lang w:bidi="ar-SA"/>
        </w:rPr>
        <w:t>م</w:t>
      </w:r>
      <w:r w:rsidRPr="00616CD6">
        <w:rPr>
          <w:sz w:val="26"/>
          <w:szCs w:val="26"/>
          <w:rtl/>
          <w:lang w:bidi="ar-SA"/>
        </w:rPr>
        <w:t xml:space="preserve"> س</w:t>
      </w:r>
      <w:r w:rsidRPr="00616CD6">
        <w:rPr>
          <w:rFonts w:hint="cs"/>
          <w:sz w:val="26"/>
          <w:szCs w:val="26"/>
          <w:rtl/>
          <w:lang w:bidi="ar-SA"/>
        </w:rPr>
        <w:t>ي</w:t>
      </w:r>
      <w:r w:rsidR="007451E3" w:rsidRPr="00616CD6">
        <w:rPr>
          <w:sz w:val="26"/>
          <w:szCs w:val="26"/>
          <w:rtl/>
          <w:lang w:bidi="ar-SA"/>
        </w:rPr>
        <w:t>تخذ</w:t>
      </w:r>
      <w:r w:rsidRPr="00616CD6">
        <w:rPr>
          <w:rFonts w:hint="cs"/>
          <w:sz w:val="26"/>
          <w:szCs w:val="26"/>
          <w:rtl/>
          <w:lang w:bidi="ar-SA"/>
        </w:rPr>
        <w:t>ون</w:t>
      </w:r>
      <w:r w:rsidR="007451E3" w:rsidRPr="00616CD6">
        <w:rPr>
          <w:sz w:val="26"/>
          <w:szCs w:val="26"/>
          <w:rtl/>
          <w:lang w:bidi="ar-SA"/>
        </w:rPr>
        <w:t xml:space="preserve"> قراراً في عام 2021 بشأن تجديد موارد الصندوق لاعتماد ميزان</w:t>
      </w:r>
      <w:r w:rsidRPr="00616CD6">
        <w:rPr>
          <w:sz w:val="26"/>
          <w:szCs w:val="26"/>
          <w:rtl/>
          <w:lang w:bidi="ar-SA"/>
        </w:rPr>
        <w:t>ية لفترة الثلاث سنوات 2021-</w:t>
      </w:r>
      <w:r w:rsidRPr="00616CD6">
        <w:rPr>
          <w:sz w:val="26"/>
          <w:szCs w:val="26"/>
          <w:rtl/>
          <w:lang w:bidi="ar-SA"/>
        </w:rPr>
        <w:lastRenderedPageBreak/>
        <w:t>2023</w:t>
      </w:r>
      <w:r w:rsidR="007451E3" w:rsidRPr="00616CD6">
        <w:rPr>
          <w:sz w:val="26"/>
          <w:szCs w:val="26"/>
          <w:rtl/>
          <w:lang w:bidi="ar-SA"/>
        </w:rPr>
        <w:t>، بما في ذلك المساهمات العادي</w:t>
      </w:r>
      <w:r w:rsidRPr="00616CD6">
        <w:rPr>
          <w:sz w:val="26"/>
          <w:szCs w:val="26"/>
          <w:rtl/>
          <w:lang w:bidi="ar-SA"/>
        </w:rPr>
        <w:t>ة، واعتمد</w:t>
      </w:r>
      <w:r w:rsidRPr="00616CD6">
        <w:rPr>
          <w:rFonts w:hint="cs"/>
          <w:sz w:val="26"/>
          <w:szCs w:val="26"/>
          <w:rtl/>
          <w:lang w:bidi="ar-SA"/>
        </w:rPr>
        <w:t>وا</w:t>
      </w:r>
      <w:r w:rsidR="007451E3" w:rsidRPr="00616CD6">
        <w:rPr>
          <w:sz w:val="26"/>
          <w:szCs w:val="26"/>
          <w:rtl/>
          <w:lang w:bidi="ar-SA"/>
        </w:rPr>
        <w:t xml:space="preserve"> ميزانية مؤقتة للصندوق متعدد الأطراف لفترة الثلاث سنوات 2021-2023 </w:t>
      </w:r>
      <w:r w:rsidRPr="00616CD6">
        <w:rPr>
          <w:rFonts w:hint="cs"/>
          <w:sz w:val="26"/>
          <w:szCs w:val="26"/>
          <w:rtl/>
          <w:lang w:bidi="ar-SA"/>
        </w:rPr>
        <w:t>قدرها</w:t>
      </w:r>
      <w:r w:rsidRPr="00616CD6">
        <w:rPr>
          <w:sz w:val="26"/>
          <w:szCs w:val="26"/>
          <w:rtl/>
          <w:lang w:bidi="ar-SA"/>
        </w:rPr>
        <w:t xml:space="preserve"> 268 مليون دولار أمريكي</w:t>
      </w:r>
      <w:r w:rsidR="007451E3" w:rsidRPr="00616CD6">
        <w:rPr>
          <w:sz w:val="26"/>
          <w:szCs w:val="26"/>
          <w:rtl/>
          <w:lang w:bidi="ar-SA"/>
        </w:rPr>
        <w:t>، مع إعطاء الأولوية لتلك الأموال</w:t>
      </w:r>
      <w:r w:rsidRPr="00616CD6">
        <w:rPr>
          <w:rFonts w:hint="cs"/>
          <w:sz w:val="26"/>
          <w:szCs w:val="26"/>
          <w:rtl/>
          <w:lang w:bidi="ar-SA"/>
        </w:rPr>
        <w:t xml:space="preserve"> المخصصة</w:t>
      </w:r>
      <w:r w:rsidR="007451E3" w:rsidRPr="00616CD6">
        <w:rPr>
          <w:sz w:val="26"/>
          <w:szCs w:val="26"/>
          <w:rtl/>
          <w:lang w:bidi="ar-SA"/>
        </w:rPr>
        <w:t xml:space="preserve"> لعام 2021 كجزء</w:t>
      </w:r>
      <w:r w:rsidRPr="00616CD6">
        <w:rPr>
          <w:sz w:val="26"/>
          <w:szCs w:val="26"/>
          <w:rtl/>
          <w:lang w:bidi="ar-SA"/>
        </w:rPr>
        <w:t xml:space="preserve"> من فترة الثلاث سنوات 2021-2023، حتى يحين الوقت الذي </w:t>
      </w:r>
      <w:r w:rsidRPr="00616CD6">
        <w:rPr>
          <w:rFonts w:hint="cs"/>
          <w:sz w:val="26"/>
          <w:szCs w:val="26"/>
          <w:rtl/>
          <w:lang w:bidi="ar-SA"/>
        </w:rPr>
        <w:t>ي</w:t>
      </w:r>
      <w:r w:rsidR="007451E3" w:rsidRPr="00616CD6">
        <w:rPr>
          <w:sz w:val="26"/>
          <w:szCs w:val="26"/>
          <w:rtl/>
          <w:lang w:bidi="ar-SA"/>
        </w:rPr>
        <w:t>عتمد فيه الأطراف قرارًا نهائيًا بشأن تجديد الموا</w:t>
      </w:r>
      <w:r w:rsidRPr="00616CD6">
        <w:rPr>
          <w:sz w:val="26"/>
          <w:szCs w:val="26"/>
          <w:rtl/>
          <w:lang w:bidi="ar-SA"/>
        </w:rPr>
        <w:t xml:space="preserve">رد، بما في ذلك </w:t>
      </w:r>
      <w:r w:rsidR="007451E3" w:rsidRPr="00616CD6">
        <w:rPr>
          <w:sz w:val="26"/>
          <w:szCs w:val="26"/>
          <w:rtl/>
          <w:lang w:bidi="ar-SA"/>
        </w:rPr>
        <w:t xml:space="preserve">ميزانية </w:t>
      </w:r>
      <w:r w:rsidRPr="00616CD6">
        <w:rPr>
          <w:rFonts w:hint="cs"/>
          <w:sz w:val="26"/>
          <w:szCs w:val="26"/>
          <w:rtl/>
          <w:lang w:bidi="ar-SA"/>
        </w:rPr>
        <w:t>معدلة</w:t>
      </w:r>
      <w:r w:rsidRPr="00616CD6">
        <w:rPr>
          <w:sz w:val="26"/>
          <w:szCs w:val="26"/>
          <w:rtl/>
          <w:lang w:bidi="ar-SA"/>
        </w:rPr>
        <w:t xml:space="preserve"> لفترة الثلاث سنوات 2021-2023</w:t>
      </w:r>
      <w:r w:rsidR="007451E3" w:rsidRPr="00616CD6">
        <w:rPr>
          <w:sz w:val="26"/>
          <w:szCs w:val="26"/>
          <w:rtl/>
          <w:lang w:bidi="ar-SA"/>
        </w:rPr>
        <w:t xml:space="preserve">، </w:t>
      </w:r>
      <w:r w:rsidRPr="00616CD6">
        <w:rPr>
          <w:rFonts w:hint="cs"/>
          <w:sz w:val="26"/>
          <w:szCs w:val="26"/>
          <w:rtl/>
          <w:lang w:bidi="ar-SA"/>
        </w:rPr>
        <w:t>مع العلم</w:t>
      </w:r>
      <w:r w:rsidR="007451E3" w:rsidRPr="00616CD6">
        <w:rPr>
          <w:sz w:val="26"/>
          <w:szCs w:val="26"/>
          <w:rtl/>
          <w:lang w:bidi="ar-SA"/>
        </w:rPr>
        <w:t xml:space="preserve"> </w:t>
      </w:r>
      <w:r w:rsidRPr="00616CD6">
        <w:rPr>
          <w:rFonts w:hint="cs"/>
          <w:sz w:val="26"/>
          <w:szCs w:val="26"/>
          <w:rtl/>
          <w:lang w:bidi="ar-SA"/>
        </w:rPr>
        <w:t>ب</w:t>
      </w:r>
      <w:r w:rsidR="007451E3" w:rsidRPr="00616CD6">
        <w:rPr>
          <w:sz w:val="26"/>
          <w:szCs w:val="26"/>
          <w:rtl/>
          <w:lang w:bidi="ar-SA"/>
        </w:rPr>
        <w:t>أن الميزانية المؤقتة ستقدم من المساهمات المتوقعة المستحقة للصندوق متعدد الأطراف ومصادر أخرى لفترة الثلاث سنوات 2018-2020 (المقرر 32/1).</w:t>
      </w:r>
    </w:p>
    <w:p w14:paraId="6809CEE7" w14:textId="77777777" w:rsidR="007451E3" w:rsidRPr="00616CD6" w:rsidRDefault="00CB625D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كلف</w:t>
      </w:r>
      <w:r w:rsidR="007451E3" w:rsidRPr="00616CD6">
        <w:rPr>
          <w:sz w:val="26"/>
          <w:szCs w:val="26"/>
          <w:rtl/>
          <w:lang w:bidi="ar-SA"/>
        </w:rPr>
        <w:t xml:space="preserve"> الأطراف أيضا لأمانة الأوزون بتنظيم اجتماع استثنائي للأطراف في عام 2021 لتمكين الأطراف من اتخاذ قرار بشأن تجديد موارد الصندوق متعدد الأطراف لفترة الثلاث سنوات 2021-2023 إذا سمحت الظروف المتعلقة بالجائحة العالمية بذلك. (المقرر 32/2).</w:t>
      </w:r>
    </w:p>
    <w:p w14:paraId="5B5355A0" w14:textId="77777777" w:rsidR="007451E3" w:rsidRPr="00616CD6" w:rsidRDefault="00AB28CE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rtl/>
          <w:lang w:bidi="ar-SA"/>
        </w:rPr>
      </w:pPr>
      <w:r w:rsidRPr="00616CD6">
        <w:rPr>
          <w:sz w:val="26"/>
          <w:szCs w:val="26"/>
          <w:rtl/>
          <w:lang w:bidi="ar-SA"/>
        </w:rPr>
        <w:t>بالتزامن مع إعداد هذه الوثيقة، كان</w:t>
      </w:r>
      <w:r w:rsidR="007451E3" w:rsidRPr="00616CD6">
        <w:rPr>
          <w:sz w:val="26"/>
          <w:szCs w:val="26"/>
          <w:rtl/>
          <w:lang w:bidi="ar-SA"/>
        </w:rPr>
        <w:t xml:space="preserve"> الأطراف في </w:t>
      </w:r>
      <w:r w:rsidRPr="00616CD6">
        <w:rPr>
          <w:sz w:val="26"/>
          <w:szCs w:val="26"/>
          <w:rtl/>
          <w:lang w:bidi="ar-SA"/>
        </w:rPr>
        <w:t xml:space="preserve">بروتوكول مونتريال </w:t>
      </w:r>
      <w:r w:rsidRPr="00616CD6">
        <w:rPr>
          <w:rFonts w:hint="cs"/>
          <w:sz w:val="26"/>
          <w:szCs w:val="26"/>
          <w:rtl/>
          <w:lang w:bidi="ar-SA"/>
        </w:rPr>
        <w:t xml:space="preserve">يقدون </w:t>
      </w:r>
      <w:r w:rsidR="007451E3" w:rsidRPr="00616CD6">
        <w:rPr>
          <w:sz w:val="26"/>
          <w:szCs w:val="26"/>
          <w:rtl/>
          <w:lang w:bidi="ar-SA"/>
        </w:rPr>
        <w:t>الجزء التحضيري</w:t>
      </w:r>
      <w:r w:rsidRPr="00616CD6">
        <w:rPr>
          <w:rStyle w:val="FootnoteReference"/>
          <w:sz w:val="26"/>
          <w:szCs w:val="26"/>
          <w:rtl/>
          <w:lang w:bidi="ar-SA"/>
        </w:rPr>
        <w:footnoteReference w:id="10"/>
      </w:r>
      <w:r w:rsidR="007451E3" w:rsidRPr="00616CD6">
        <w:rPr>
          <w:sz w:val="26"/>
          <w:szCs w:val="26"/>
          <w:rtl/>
          <w:lang w:bidi="ar-SA"/>
        </w:rPr>
        <w:t xml:space="preserve"> من الاجتماع الثاني عشر المشترك لمؤتمر الأطراف </w:t>
      </w:r>
      <w:r w:rsidRPr="00616CD6">
        <w:rPr>
          <w:rFonts w:hint="cs"/>
          <w:sz w:val="26"/>
          <w:szCs w:val="26"/>
          <w:rtl/>
          <w:lang w:bidi="ar-SA"/>
        </w:rPr>
        <w:t>ل</w:t>
      </w:r>
      <w:r w:rsidR="007451E3" w:rsidRPr="00616CD6">
        <w:rPr>
          <w:sz w:val="26"/>
          <w:szCs w:val="26"/>
          <w:rtl/>
          <w:lang w:bidi="ar-SA"/>
        </w:rPr>
        <w:t>اتفاقية فيينا والاجتماع الثالث والثلاثين للأطراف في بروتوكول مونتريال.</w:t>
      </w:r>
      <w:r w:rsidRPr="00616CD6">
        <w:rPr>
          <w:rStyle w:val="FootnoteReference"/>
          <w:sz w:val="26"/>
          <w:szCs w:val="26"/>
          <w:rtl/>
          <w:lang w:bidi="ar-SA"/>
        </w:rPr>
        <w:footnoteReference w:id="11"/>
      </w:r>
      <w:r w:rsidR="007451E3" w:rsidRPr="00616CD6">
        <w:rPr>
          <w:sz w:val="26"/>
          <w:szCs w:val="26"/>
          <w:rtl/>
          <w:lang w:bidi="ar-SA"/>
        </w:rPr>
        <w:t xml:space="preserve"> </w:t>
      </w:r>
      <w:r w:rsidRPr="00616CD6">
        <w:rPr>
          <w:rFonts w:hint="cs"/>
          <w:sz w:val="26"/>
          <w:szCs w:val="26"/>
          <w:rtl/>
          <w:lang w:bidi="ar-SA"/>
        </w:rPr>
        <w:t>و</w:t>
      </w:r>
      <w:r w:rsidR="007451E3" w:rsidRPr="00616CD6">
        <w:rPr>
          <w:sz w:val="26"/>
          <w:szCs w:val="26"/>
          <w:rtl/>
          <w:lang w:bidi="ar-SA"/>
        </w:rPr>
        <w:t>في ختام المناقشات بشأن المس</w:t>
      </w:r>
      <w:r w:rsidRPr="00616CD6">
        <w:rPr>
          <w:sz w:val="26"/>
          <w:szCs w:val="26"/>
          <w:rtl/>
          <w:lang w:bidi="ar-SA"/>
        </w:rPr>
        <w:t>ائل المتعلقة ببروتوكول مونتريال، قدم</w:t>
      </w:r>
      <w:r w:rsidR="007451E3" w:rsidRPr="00616CD6">
        <w:rPr>
          <w:sz w:val="26"/>
          <w:szCs w:val="26"/>
          <w:rtl/>
          <w:lang w:bidi="ar-SA"/>
        </w:rPr>
        <w:t xml:space="preserve"> الأطراف إلى الجزء رفيع المستوى م</w:t>
      </w:r>
      <w:r w:rsidR="007B09F2" w:rsidRPr="00616CD6">
        <w:rPr>
          <w:sz w:val="26"/>
          <w:szCs w:val="26"/>
          <w:rtl/>
          <w:lang w:bidi="ar-SA"/>
        </w:rPr>
        <w:t>شر</w:t>
      </w:r>
      <w:r w:rsidR="007B09F2" w:rsidRPr="00616CD6">
        <w:rPr>
          <w:rFonts w:hint="cs"/>
          <w:sz w:val="26"/>
          <w:szCs w:val="26"/>
          <w:rtl/>
          <w:lang w:bidi="ar-SA"/>
        </w:rPr>
        <w:t>و</w:t>
      </w:r>
      <w:r w:rsidR="007451E3" w:rsidRPr="00616CD6">
        <w:rPr>
          <w:sz w:val="26"/>
          <w:szCs w:val="26"/>
          <w:rtl/>
          <w:lang w:bidi="ar-SA"/>
        </w:rPr>
        <w:t>ع</w:t>
      </w:r>
      <w:r w:rsidR="007B09F2" w:rsidRPr="00616CD6">
        <w:rPr>
          <w:rFonts w:hint="cs"/>
          <w:sz w:val="26"/>
          <w:szCs w:val="26"/>
          <w:rtl/>
          <w:lang w:bidi="ar-SA"/>
        </w:rPr>
        <w:t>ات</w:t>
      </w:r>
      <w:r w:rsidR="007B09F2" w:rsidRPr="00616CD6">
        <w:rPr>
          <w:sz w:val="26"/>
          <w:szCs w:val="26"/>
          <w:rtl/>
          <w:lang w:bidi="ar-SA"/>
        </w:rPr>
        <w:t xml:space="preserve"> المقررات الثلاث</w:t>
      </w:r>
      <w:r w:rsidR="007451E3" w:rsidRPr="00616CD6">
        <w:rPr>
          <w:sz w:val="26"/>
          <w:szCs w:val="26"/>
          <w:rtl/>
          <w:lang w:bidi="ar-SA"/>
        </w:rPr>
        <w:t xml:space="preserve"> التالية:</w:t>
      </w:r>
    </w:p>
    <w:p w14:paraId="2708AF92" w14:textId="77777777" w:rsidR="007451E3" w:rsidRPr="00616CD6" w:rsidRDefault="007451E3" w:rsidP="00517464">
      <w:pPr>
        <w:pStyle w:val="StyleHeader4Para4Left0Firstline0"/>
        <w:numPr>
          <w:ilvl w:val="0"/>
          <w:numId w:val="15"/>
        </w:numPr>
        <w:bidi/>
        <w:ind w:left="1080" w:hanging="54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المساهمات في الصندوق متعدد الأطراف لتنفيذ بروتوكول مونتري</w:t>
      </w:r>
      <w:r w:rsidR="008A288D" w:rsidRPr="00616CD6">
        <w:rPr>
          <w:sz w:val="26"/>
          <w:szCs w:val="26"/>
          <w:rtl/>
          <w:lang w:bidi="ar-SA"/>
        </w:rPr>
        <w:t>ال لفترة الثلاث سنوات 2021-2023</w:t>
      </w:r>
      <w:r w:rsidRPr="00616CD6">
        <w:rPr>
          <w:sz w:val="26"/>
          <w:szCs w:val="26"/>
          <w:rtl/>
          <w:lang w:bidi="ar-SA"/>
        </w:rPr>
        <w:t>، المقدمة من أسترال</w:t>
      </w:r>
      <w:r w:rsidR="008A288D" w:rsidRPr="00616CD6">
        <w:rPr>
          <w:sz w:val="26"/>
          <w:szCs w:val="26"/>
          <w:rtl/>
          <w:lang w:bidi="ar-SA"/>
        </w:rPr>
        <w:t>يا والاتحاد الأوروبي ونيوزيلندا</w:t>
      </w:r>
      <w:r w:rsidRPr="00616CD6">
        <w:rPr>
          <w:sz w:val="26"/>
          <w:szCs w:val="26"/>
          <w:rtl/>
          <w:lang w:bidi="ar-SA"/>
        </w:rPr>
        <w:t>، لاعتماد مستوى المساهمات الإرشادية لعدد من الأطراف</w:t>
      </w:r>
      <w:r w:rsidR="008A288D" w:rsidRPr="00616CD6">
        <w:rPr>
          <w:rStyle w:val="FootnoteReference"/>
          <w:sz w:val="26"/>
          <w:szCs w:val="26"/>
          <w:rtl/>
          <w:lang w:bidi="ar-SA"/>
        </w:rPr>
        <w:footnoteReference w:id="12"/>
      </w:r>
      <w:r w:rsidR="008A288D" w:rsidRPr="00616CD6">
        <w:rPr>
          <w:sz w:val="26"/>
          <w:szCs w:val="26"/>
          <w:rtl/>
          <w:lang w:bidi="ar-SA"/>
        </w:rPr>
        <w:t xml:space="preserve"> لعام 2022 مؤقتًا ريثما </w:t>
      </w:r>
      <w:r w:rsidR="008A288D" w:rsidRPr="00616CD6">
        <w:rPr>
          <w:rFonts w:hint="cs"/>
          <w:sz w:val="26"/>
          <w:szCs w:val="26"/>
          <w:rtl/>
          <w:lang w:bidi="ar-SA"/>
        </w:rPr>
        <w:t>ي</w:t>
      </w:r>
      <w:r w:rsidRPr="00616CD6">
        <w:rPr>
          <w:sz w:val="26"/>
          <w:szCs w:val="26"/>
          <w:rtl/>
          <w:lang w:bidi="ar-SA"/>
        </w:rPr>
        <w:t xml:space="preserve">تخذ </w:t>
      </w:r>
      <w:r w:rsidR="008A288D" w:rsidRPr="00616CD6">
        <w:rPr>
          <w:sz w:val="26"/>
          <w:szCs w:val="26"/>
          <w:rtl/>
          <w:lang w:bidi="ar-SA"/>
        </w:rPr>
        <w:t xml:space="preserve">الأطراف قرارا نهائيا بشأن </w:t>
      </w:r>
      <w:r w:rsidRPr="00616CD6">
        <w:rPr>
          <w:sz w:val="26"/>
          <w:szCs w:val="26"/>
          <w:rtl/>
          <w:lang w:bidi="ar-SA"/>
        </w:rPr>
        <w:t xml:space="preserve">ميزانية </w:t>
      </w:r>
      <w:r w:rsidR="008A288D" w:rsidRPr="00616CD6">
        <w:rPr>
          <w:rFonts w:hint="cs"/>
          <w:sz w:val="26"/>
          <w:szCs w:val="26"/>
          <w:rtl/>
          <w:lang w:bidi="ar-SA"/>
        </w:rPr>
        <w:t>معدلة</w:t>
      </w:r>
      <w:r w:rsidRPr="00616CD6">
        <w:rPr>
          <w:sz w:val="26"/>
          <w:szCs w:val="26"/>
          <w:rtl/>
          <w:lang w:bidi="ar-SA"/>
        </w:rPr>
        <w:t xml:space="preserve"> للصندوق متعدد الأطر</w:t>
      </w:r>
      <w:r w:rsidR="008A288D" w:rsidRPr="00616CD6">
        <w:rPr>
          <w:sz w:val="26"/>
          <w:szCs w:val="26"/>
          <w:rtl/>
          <w:lang w:bidi="ar-SA"/>
        </w:rPr>
        <w:t xml:space="preserve">اف لفترة الثلاث سنوات 2021-2023؛ وأن أي مساهمات </w:t>
      </w:r>
      <w:r w:rsidR="008A288D" w:rsidRPr="00616CD6">
        <w:rPr>
          <w:rFonts w:hint="cs"/>
          <w:sz w:val="26"/>
          <w:szCs w:val="26"/>
          <w:rtl/>
          <w:lang w:bidi="ar-SA"/>
        </w:rPr>
        <w:t>ي</w:t>
      </w:r>
      <w:r w:rsidRPr="00616CD6">
        <w:rPr>
          <w:sz w:val="26"/>
          <w:szCs w:val="26"/>
          <w:rtl/>
          <w:lang w:bidi="ar-SA"/>
        </w:rPr>
        <w:t>قدمها الأطراف قبل اتخاذ قرار نهائي بشأن الميزانية المعدلة للصندوق لفترة الثلاث سنوات 2021-2023 لن تخل بالم</w:t>
      </w:r>
      <w:r w:rsidR="008A288D" w:rsidRPr="00616CD6">
        <w:rPr>
          <w:sz w:val="26"/>
          <w:szCs w:val="26"/>
          <w:rtl/>
          <w:lang w:bidi="ar-SA"/>
        </w:rPr>
        <w:t>ستوى العام لتجديد الموارد أو ب</w:t>
      </w:r>
      <w:r w:rsidRPr="00616CD6">
        <w:rPr>
          <w:sz w:val="26"/>
          <w:szCs w:val="26"/>
          <w:rtl/>
          <w:lang w:bidi="ar-SA"/>
        </w:rPr>
        <w:t xml:space="preserve">مستوى مساهمات الأطراف </w:t>
      </w:r>
      <w:r w:rsidR="008A288D" w:rsidRPr="00616CD6">
        <w:rPr>
          <w:sz w:val="26"/>
          <w:szCs w:val="26"/>
          <w:rtl/>
          <w:lang w:bidi="ar-SA"/>
        </w:rPr>
        <w:t>المتفق عليه</w:t>
      </w:r>
      <w:r w:rsidRPr="00616CD6">
        <w:rPr>
          <w:sz w:val="26"/>
          <w:szCs w:val="26"/>
          <w:rtl/>
          <w:lang w:bidi="ar-SA"/>
        </w:rPr>
        <w:t>؛</w:t>
      </w:r>
    </w:p>
    <w:p w14:paraId="134442B8" w14:textId="77777777" w:rsidR="007451E3" w:rsidRPr="00616CD6" w:rsidRDefault="00CB625D" w:rsidP="00517464">
      <w:pPr>
        <w:pStyle w:val="StyleHeader4Para4Left0Firstline0"/>
        <w:numPr>
          <w:ilvl w:val="0"/>
          <w:numId w:val="15"/>
        </w:numPr>
        <w:bidi/>
        <w:ind w:left="1080" w:hanging="54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="007451E3" w:rsidRPr="00616CD6">
        <w:rPr>
          <w:sz w:val="26"/>
          <w:szCs w:val="26"/>
          <w:rtl/>
          <w:lang w:bidi="ar-SA"/>
        </w:rPr>
        <w:t>الميزانية المؤقتة المحدثة للصندوق متعدد الأطراف لتنفيذ بروتوكول مونتري</w:t>
      </w:r>
      <w:r w:rsidRPr="00616CD6">
        <w:rPr>
          <w:sz w:val="26"/>
          <w:szCs w:val="26"/>
          <w:rtl/>
          <w:lang w:bidi="ar-SA"/>
        </w:rPr>
        <w:t>ال لفترة الثلاث سنوات 2021-2023، المقدمة من كندا</w:t>
      </w:r>
      <w:r w:rsidR="007451E3" w:rsidRPr="00616CD6">
        <w:rPr>
          <w:sz w:val="26"/>
          <w:szCs w:val="26"/>
          <w:rtl/>
          <w:lang w:bidi="ar-SA"/>
        </w:rPr>
        <w:t xml:space="preserve">، لاعتماد ميزانية مؤقتة محدثة للصندوق لفترة الثلاث سنوات 2021-2023 </w:t>
      </w:r>
      <w:r w:rsidRPr="00616CD6">
        <w:rPr>
          <w:rFonts w:hint="cs"/>
          <w:sz w:val="26"/>
          <w:szCs w:val="26"/>
          <w:rtl/>
          <w:lang w:bidi="ar-SA"/>
        </w:rPr>
        <w:t>بقيمة</w:t>
      </w:r>
      <w:r w:rsidR="007451E3" w:rsidRPr="00616CD6">
        <w:rPr>
          <w:sz w:val="26"/>
          <w:szCs w:val="26"/>
          <w:rtl/>
          <w:lang w:bidi="ar-SA"/>
        </w:rPr>
        <w:t xml:space="preserve"> 400 مليون دولار أمريكي </w:t>
      </w:r>
      <w:r w:rsidRPr="00616CD6">
        <w:rPr>
          <w:rFonts w:hint="cs"/>
          <w:sz w:val="26"/>
          <w:szCs w:val="26"/>
          <w:rtl/>
          <w:lang w:bidi="ar-SA"/>
        </w:rPr>
        <w:t>إلى أن يعتمد</w:t>
      </w:r>
      <w:r w:rsidR="007451E3" w:rsidRPr="00616CD6">
        <w:rPr>
          <w:sz w:val="26"/>
          <w:szCs w:val="26"/>
          <w:rtl/>
          <w:lang w:bidi="ar-SA"/>
        </w:rPr>
        <w:t xml:space="preserve"> الأطراف قر</w:t>
      </w:r>
      <w:r w:rsidRPr="00616CD6">
        <w:rPr>
          <w:sz w:val="26"/>
          <w:szCs w:val="26"/>
          <w:rtl/>
          <w:lang w:bidi="ar-SA"/>
        </w:rPr>
        <w:t>ارًا نهائيًا بشأن تجديد الموارد</w:t>
      </w:r>
      <w:r w:rsidR="007451E3" w:rsidRPr="00616CD6">
        <w:rPr>
          <w:sz w:val="26"/>
          <w:szCs w:val="26"/>
          <w:rtl/>
          <w:lang w:bidi="ar-SA"/>
        </w:rPr>
        <w:t xml:space="preserve">، بما في ذلك ميزانية </w:t>
      </w:r>
      <w:r w:rsidRPr="00616CD6">
        <w:rPr>
          <w:rFonts w:hint="cs"/>
          <w:sz w:val="26"/>
          <w:szCs w:val="26"/>
          <w:rtl/>
          <w:lang w:bidi="ar-SA"/>
        </w:rPr>
        <w:t>معدلة</w:t>
      </w:r>
      <w:r w:rsidRPr="00616CD6">
        <w:rPr>
          <w:sz w:val="26"/>
          <w:szCs w:val="26"/>
          <w:rtl/>
          <w:lang w:bidi="ar-SA"/>
        </w:rPr>
        <w:t xml:space="preserve"> لفترة الثلاث سنوات 2021-2023</w:t>
      </w:r>
      <w:r w:rsidR="007451E3" w:rsidRPr="00616CD6">
        <w:rPr>
          <w:sz w:val="26"/>
          <w:szCs w:val="26"/>
          <w:rtl/>
          <w:lang w:bidi="ar-SA"/>
        </w:rPr>
        <w:t xml:space="preserve">، </w:t>
      </w:r>
      <w:r w:rsidRPr="00616CD6">
        <w:rPr>
          <w:rFonts w:hint="cs"/>
          <w:sz w:val="26"/>
          <w:szCs w:val="26"/>
          <w:rtl/>
          <w:lang w:bidi="ar-SA"/>
        </w:rPr>
        <w:t>مع العلم</w:t>
      </w:r>
      <w:r w:rsidR="007451E3" w:rsidRPr="00616CD6">
        <w:rPr>
          <w:sz w:val="26"/>
          <w:szCs w:val="26"/>
          <w:rtl/>
          <w:lang w:bidi="ar-SA"/>
        </w:rPr>
        <w:t xml:space="preserve"> بأن</w:t>
      </w:r>
      <w:r w:rsidRPr="00616CD6">
        <w:rPr>
          <w:rFonts w:hint="cs"/>
          <w:sz w:val="26"/>
          <w:szCs w:val="26"/>
          <w:rtl/>
          <w:lang w:bidi="ar-SA"/>
        </w:rPr>
        <w:t>ه يتم توفير</w:t>
      </w:r>
      <w:r w:rsidR="007451E3" w:rsidRPr="00616CD6">
        <w:rPr>
          <w:sz w:val="26"/>
          <w:szCs w:val="26"/>
          <w:rtl/>
          <w:lang w:bidi="ar-SA"/>
        </w:rPr>
        <w:t xml:space="preserve"> الميزانية المؤقتة المحدثة م</w:t>
      </w:r>
      <w:r w:rsidRPr="00616CD6">
        <w:rPr>
          <w:sz w:val="26"/>
          <w:szCs w:val="26"/>
          <w:rtl/>
          <w:lang w:bidi="ar-SA"/>
        </w:rPr>
        <w:t>ن المساهمات المستحقة للصندوق ومصادر أخرى لفترة الثلاث سنوات؛</w:t>
      </w:r>
    </w:p>
    <w:p w14:paraId="3CC035AE" w14:textId="77777777" w:rsidR="007451E3" w:rsidRPr="00616CD6" w:rsidRDefault="00CB625D" w:rsidP="00517464">
      <w:pPr>
        <w:pStyle w:val="StyleHeader4Para4Left0Firstline0"/>
        <w:numPr>
          <w:ilvl w:val="0"/>
          <w:numId w:val="15"/>
        </w:numPr>
        <w:bidi/>
        <w:ind w:left="1080" w:hanging="540"/>
        <w:rPr>
          <w:sz w:val="26"/>
          <w:szCs w:val="26"/>
          <w:rtl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="007451E3" w:rsidRPr="00616CD6">
        <w:rPr>
          <w:sz w:val="26"/>
          <w:szCs w:val="26"/>
          <w:rtl/>
          <w:lang w:bidi="ar-SA"/>
        </w:rPr>
        <w:t>الاجتماع</w:t>
      </w:r>
      <w:r w:rsidRPr="00616CD6">
        <w:rPr>
          <w:sz w:val="26"/>
          <w:szCs w:val="26"/>
          <w:rtl/>
          <w:lang w:bidi="ar-SA"/>
        </w:rPr>
        <w:t xml:space="preserve"> الاستثنائي للأطراف في عام 2022، المقدم من النرويج</w:t>
      </w:r>
      <w:r w:rsidR="007451E3" w:rsidRPr="00616CD6">
        <w:rPr>
          <w:sz w:val="26"/>
          <w:szCs w:val="26"/>
          <w:rtl/>
          <w:lang w:bidi="ar-SA"/>
        </w:rPr>
        <w:t xml:space="preserve">، </w:t>
      </w:r>
      <w:r w:rsidRPr="00616CD6">
        <w:rPr>
          <w:rFonts w:hint="cs"/>
          <w:sz w:val="26"/>
          <w:szCs w:val="26"/>
          <w:rtl/>
          <w:lang w:bidi="ar-SA"/>
        </w:rPr>
        <w:t>لتكليف</w:t>
      </w:r>
      <w:r w:rsidRPr="00616CD6">
        <w:rPr>
          <w:sz w:val="26"/>
          <w:szCs w:val="26"/>
          <w:rtl/>
          <w:lang w:bidi="ar-SA"/>
        </w:rPr>
        <w:t xml:space="preserve"> </w:t>
      </w:r>
      <w:r w:rsidR="007451E3" w:rsidRPr="00616CD6">
        <w:rPr>
          <w:sz w:val="26"/>
          <w:szCs w:val="26"/>
          <w:rtl/>
          <w:lang w:bidi="ar-SA"/>
        </w:rPr>
        <w:t>أمانة الأوزون بتنظيم اجتم</w:t>
      </w:r>
      <w:r w:rsidRPr="00616CD6">
        <w:rPr>
          <w:sz w:val="26"/>
          <w:szCs w:val="26"/>
          <w:rtl/>
          <w:lang w:bidi="ar-SA"/>
        </w:rPr>
        <w:t>اع استثنائي للأطراف في عام 2022</w:t>
      </w:r>
      <w:r w:rsidR="007451E3" w:rsidRPr="00616CD6">
        <w:rPr>
          <w:sz w:val="26"/>
          <w:szCs w:val="26"/>
          <w:rtl/>
          <w:lang w:bidi="ar-SA"/>
        </w:rPr>
        <w:t>، لتمكين الأطراف من اتخاذ قرار بشأن تجديد موارد الصند</w:t>
      </w:r>
      <w:r w:rsidRPr="00616CD6">
        <w:rPr>
          <w:sz w:val="26"/>
          <w:szCs w:val="26"/>
          <w:rtl/>
          <w:lang w:bidi="ar-SA"/>
        </w:rPr>
        <w:t>وق لفترة الثلاث سنوات 2021-2023</w:t>
      </w:r>
      <w:r w:rsidR="007451E3" w:rsidRPr="00616CD6">
        <w:rPr>
          <w:sz w:val="26"/>
          <w:szCs w:val="26"/>
          <w:rtl/>
          <w:lang w:bidi="ar-SA"/>
        </w:rPr>
        <w:t>.</w:t>
      </w:r>
    </w:p>
    <w:p w14:paraId="34D82DD4" w14:textId="77777777" w:rsidR="002D4924" w:rsidRPr="00616CD6" w:rsidRDefault="00CB625D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 xml:space="preserve">مع مراعاة </w:t>
      </w:r>
      <w:r w:rsidR="002D4924" w:rsidRPr="00616CD6">
        <w:rPr>
          <w:sz w:val="26"/>
          <w:szCs w:val="26"/>
          <w:rtl/>
          <w:lang w:bidi="ar-SA"/>
        </w:rPr>
        <w:t xml:space="preserve">مناقشات </w:t>
      </w:r>
      <w:r w:rsidRPr="00616CD6">
        <w:rPr>
          <w:sz w:val="26"/>
          <w:szCs w:val="26"/>
          <w:rtl/>
          <w:lang w:bidi="ar-SA"/>
        </w:rPr>
        <w:t xml:space="preserve">الأطراف </w:t>
      </w:r>
      <w:r w:rsidR="002D4924" w:rsidRPr="00616CD6">
        <w:rPr>
          <w:sz w:val="26"/>
          <w:szCs w:val="26"/>
          <w:rtl/>
          <w:lang w:bidi="ar-SA"/>
        </w:rPr>
        <w:t xml:space="preserve">الجارية بشأن تجديد الموارد ومناقشات </w:t>
      </w:r>
      <w:r w:rsidRPr="00616CD6">
        <w:rPr>
          <w:rFonts w:hint="cs"/>
          <w:sz w:val="26"/>
          <w:szCs w:val="26"/>
          <w:rtl/>
          <w:lang w:bidi="ar-SA"/>
        </w:rPr>
        <w:t>وقرارات</w:t>
      </w:r>
      <w:r w:rsidR="002D4924" w:rsidRPr="00616CD6">
        <w:rPr>
          <w:sz w:val="26"/>
          <w:szCs w:val="26"/>
          <w:rtl/>
          <w:lang w:bidi="ar-SA"/>
        </w:rPr>
        <w:t xml:space="preserve"> اللجنة التنفيذية بشأن نظام التكاليف الإدار</w:t>
      </w:r>
      <w:r w:rsidRPr="00616CD6">
        <w:rPr>
          <w:sz w:val="26"/>
          <w:szCs w:val="26"/>
          <w:rtl/>
          <w:lang w:bidi="ar-SA"/>
        </w:rPr>
        <w:t>ية لفترة الثلاث سنوات 2021-2023</w:t>
      </w:r>
      <w:r w:rsidR="002D4924" w:rsidRPr="00616CD6">
        <w:rPr>
          <w:sz w:val="26"/>
          <w:szCs w:val="26"/>
          <w:rtl/>
          <w:lang w:bidi="ar-SA"/>
        </w:rPr>
        <w:t xml:space="preserve">، ترى الأمانة أنه يمكن الحفاظ على تمويل الوحدة الأساسية لعام 2022 </w:t>
      </w:r>
      <w:r w:rsidRPr="00616CD6">
        <w:rPr>
          <w:rFonts w:hint="cs"/>
          <w:sz w:val="26"/>
          <w:szCs w:val="26"/>
          <w:rtl/>
          <w:lang w:bidi="ar-SA"/>
        </w:rPr>
        <w:t>وفقا</w:t>
      </w:r>
      <w:r w:rsidRPr="00616CD6">
        <w:rPr>
          <w:sz w:val="26"/>
          <w:szCs w:val="26"/>
          <w:rtl/>
          <w:lang w:bidi="ar-SA"/>
        </w:rPr>
        <w:t xml:space="preserve"> </w:t>
      </w:r>
      <w:r w:rsidRPr="00616CD6">
        <w:rPr>
          <w:rFonts w:hint="cs"/>
          <w:sz w:val="26"/>
          <w:szCs w:val="26"/>
          <w:rtl/>
          <w:lang w:bidi="ar-SA"/>
        </w:rPr>
        <w:t>ل</w:t>
      </w:r>
      <w:r w:rsidR="002D4924" w:rsidRPr="00616CD6">
        <w:rPr>
          <w:sz w:val="26"/>
          <w:szCs w:val="26"/>
          <w:rtl/>
          <w:lang w:bidi="ar-SA"/>
        </w:rPr>
        <w:t>لقرار 79/41 (ج).</w:t>
      </w:r>
      <w:r w:rsidR="002D4924" w:rsidRPr="00616CD6">
        <w:rPr>
          <w:sz w:val="26"/>
          <w:szCs w:val="26"/>
          <w:lang w:bidi="ar-SA"/>
        </w:rPr>
        <w:cr/>
      </w:r>
    </w:p>
    <w:p w14:paraId="6462DAC8" w14:textId="77777777" w:rsidR="002D4924" w:rsidRPr="00616CD6" w:rsidRDefault="003F367D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بالإضافة إلى ذلك</w:t>
      </w:r>
      <w:r w:rsidR="002D4924" w:rsidRPr="00616CD6">
        <w:rPr>
          <w:sz w:val="26"/>
          <w:szCs w:val="26"/>
          <w:rtl/>
          <w:lang w:bidi="ar-SA"/>
        </w:rPr>
        <w:t>، تقدم الأمانة تحليل نظام التكاليف الإدارية وتمويل الوح</w:t>
      </w:r>
      <w:r w:rsidRPr="00616CD6">
        <w:rPr>
          <w:sz w:val="26"/>
          <w:szCs w:val="26"/>
          <w:rtl/>
          <w:lang w:bidi="ar-SA"/>
        </w:rPr>
        <w:t xml:space="preserve">دة الأساسية (المقرر 86/92 (ج)) </w:t>
      </w:r>
      <w:r w:rsidRPr="00616CD6">
        <w:rPr>
          <w:rFonts w:hint="cs"/>
          <w:sz w:val="26"/>
          <w:szCs w:val="26"/>
          <w:rtl/>
          <w:lang w:bidi="ar-SA"/>
        </w:rPr>
        <w:t xml:space="preserve">كي </w:t>
      </w:r>
      <w:r w:rsidR="002D4924" w:rsidRPr="00616CD6">
        <w:rPr>
          <w:sz w:val="26"/>
          <w:szCs w:val="26"/>
          <w:rtl/>
          <w:lang w:bidi="ar-SA"/>
        </w:rPr>
        <w:t>تنظر فيه اللجنة التنفيذية في اجتماعها الثامن والثمانين</w:t>
      </w:r>
      <w:r w:rsidRPr="00616CD6">
        <w:rPr>
          <w:rFonts w:hint="cs"/>
          <w:sz w:val="26"/>
          <w:szCs w:val="26"/>
          <w:rtl/>
          <w:lang w:bidi="ar-SA"/>
        </w:rPr>
        <w:t>،</w:t>
      </w:r>
      <w:r w:rsidRPr="00616CD6">
        <w:rPr>
          <w:rStyle w:val="FootnoteReference"/>
          <w:sz w:val="26"/>
          <w:szCs w:val="26"/>
          <w:rtl/>
          <w:lang w:bidi="ar-SA"/>
        </w:rPr>
        <w:footnoteReference w:id="13"/>
      </w:r>
      <w:r w:rsidR="002D4924" w:rsidRPr="00616CD6">
        <w:rPr>
          <w:sz w:val="26"/>
          <w:szCs w:val="26"/>
          <w:rtl/>
          <w:lang w:bidi="ar-SA"/>
        </w:rPr>
        <w:t xml:space="preserve"> </w:t>
      </w:r>
      <w:r w:rsidRPr="00616CD6">
        <w:rPr>
          <w:rFonts w:hint="cs"/>
          <w:sz w:val="26"/>
          <w:szCs w:val="26"/>
          <w:rtl/>
          <w:lang w:bidi="ar-SA"/>
        </w:rPr>
        <w:t>و</w:t>
      </w:r>
      <w:r w:rsidR="002D4924" w:rsidRPr="00616CD6">
        <w:rPr>
          <w:sz w:val="26"/>
          <w:szCs w:val="26"/>
          <w:rtl/>
          <w:lang w:bidi="ar-SA"/>
        </w:rPr>
        <w:t>تقدم هذه ا</w:t>
      </w:r>
      <w:r w:rsidRPr="00616CD6">
        <w:rPr>
          <w:sz w:val="26"/>
          <w:szCs w:val="26"/>
          <w:rtl/>
          <w:lang w:bidi="ar-SA"/>
        </w:rPr>
        <w:t>لوثيقة تحليلاً لتكاليف دعم البر</w:t>
      </w:r>
      <w:r w:rsidR="002D4924" w:rsidRPr="00616CD6">
        <w:rPr>
          <w:sz w:val="26"/>
          <w:szCs w:val="26"/>
          <w:rtl/>
          <w:lang w:bidi="ar-SA"/>
        </w:rPr>
        <w:t xml:space="preserve">امج المتاحة للوكالات </w:t>
      </w:r>
      <w:r w:rsidRPr="00616CD6">
        <w:rPr>
          <w:sz w:val="26"/>
          <w:szCs w:val="26"/>
          <w:rtl/>
          <w:lang w:bidi="ar-SA"/>
        </w:rPr>
        <w:t>لإدارة عملياتها وتقدم تقديرات لفترة الثلاث</w:t>
      </w:r>
      <w:r w:rsidRPr="00616CD6">
        <w:rPr>
          <w:rFonts w:hint="cs"/>
          <w:sz w:val="26"/>
          <w:szCs w:val="26"/>
          <w:rtl/>
          <w:lang w:bidi="ar-SA"/>
        </w:rPr>
        <w:t xml:space="preserve"> سنوات</w:t>
      </w:r>
      <w:r w:rsidR="002D4924" w:rsidRPr="00616CD6">
        <w:rPr>
          <w:sz w:val="26"/>
          <w:szCs w:val="26"/>
          <w:rtl/>
          <w:lang w:bidi="ar-SA"/>
        </w:rPr>
        <w:t xml:space="preserve"> 2021-2023. </w:t>
      </w:r>
      <w:r w:rsidRPr="00616CD6">
        <w:rPr>
          <w:rFonts w:hint="cs"/>
          <w:sz w:val="26"/>
          <w:szCs w:val="26"/>
          <w:rtl/>
          <w:lang w:bidi="ar-SA"/>
        </w:rPr>
        <w:t>و</w:t>
      </w:r>
      <w:r w:rsidR="002D4924" w:rsidRPr="00616CD6">
        <w:rPr>
          <w:sz w:val="26"/>
          <w:szCs w:val="26"/>
          <w:rtl/>
          <w:lang w:bidi="ar-SA"/>
        </w:rPr>
        <w:t>بناءً على قرارات ال</w:t>
      </w:r>
      <w:r w:rsidRPr="00616CD6">
        <w:rPr>
          <w:sz w:val="26"/>
          <w:szCs w:val="26"/>
          <w:rtl/>
          <w:lang w:bidi="ar-SA"/>
        </w:rPr>
        <w:t xml:space="preserve">لجنة التنفيذية بشأن </w:t>
      </w:r>
      <w:r w:rsidRPr="00616CD6">
        <w:rPr>
          <w:sz w:val="26"/>
          <w:szCs w:val="26"/>
          <w:rtl/>
          <w:lang w:bidi="ar-SA"/>
        </w:rPr>
        <w:lastRenderedPageBreak/>
        <w:t xml:space="preserve">هذه المسألة، سيتم إدراج </w:t>
      </w:r>
      <w:r w:rsidR="002D4924" w:rsidRPr="00616CD6">
        <w:rPr>
          <w:sz w:val="26"/>
          <w:szCs w:val="26"/>
          <w:rtl/>
          <w:lang w:bidi="ar-SA"/>
        </w:rPr>
        <w:t>تغييرات في ميزا</w:t>
      </w:r>
      <w:r w:rsidRPr="00616CD6">
        <w:rPr>
          <w:sz w:val="26"/>
          <w:szCs w:val="26"/>
          <w:rtl/>
          <w:lang w:bidi="ar-SA"/>
        </w:rPr>
        <w:t>نيات الوحدات الأساسية لعام 2022، إن وجدت</w:t>
      </w:r>
      <w:r w:rsidR="002D4924" w:rsidRPr="00616CD6">
        <w:rPr>
          <w:sz w:val="26"/>
          <w:szCs w:val="26"/>
          <w:rtl/>
          <w:lang w:bidi="ar-SA"/>
        </w:rPr>
        <w:t>، في التمويل النهائي المعتمد للوحدة الأساسية لعام 2022.</w:t>
      </w:r>
    </w:p>
    <w:p w14:paraId="3F701069" w14:textId="77777777" w:rsidR="002D4924" w:rsidRPr="00616CD6" w:rsidRDefault="003F367D" w:rsidP="002D4924">
      <w:pPr>
        <w:pStyle w:val="StyleHeader4Para4Left0Firstline0"/>
        <w:numPr>
          <w:ilvl w:val="0"/>
          <w:numId w:val="0"/>
        </w:numPr>
        <w:bidi/>
        <w:rPr>
          <w:b/>
          <w:bCs/>
          <w:sz w:val="26"/>
          <w:szCs w:val="26"/>
          <w:lang w:bidi="ar-SA"/>
        </w:rPr>
      </w:pPr>
      <w:r w:rsidRPr="00616CD6">
        <w:rPr>
          <w:rFonts w:hint="cs"/>
          <w:b/>
          <w:bCs/>
          <w:sz w:val="26"/>
          <w:szCs w:val="26"/>
          <w:rtl/>
          <w:lang w:bidi="ar-SA"/>
        </w:rPr>
        <w:t>ال</w:t>
      </w:r>
      <w:r w:rsidR="002D4924" w:rsidRPr="00616CD6">
        <w:rPr>
          <w:b/>
          <w:bCs/>
          <w:sz w:val="26"/>
          <w:szCs w:val="26"/>
          <w:rtl/>
          <w:lang w:bidi="ar-SA"/>
        </w:rPr>
        <w:t>توصية</w:t>
      </w:r>
    </w:p>
    <w:p w14:paraId="4932593F" w14:textId="77777777" w:rsidR="002D4924" w:rsidRPr="00616CD6" w:rsidRDefault="002D4924" w:rsidP="0070667E">
      <w:pPr>
        <w:pStyle w:val="StyleHeader4Para4Left0Firstline0"/>
        <w:numPr>
          <w:ilvl w:val="0"/>
          <w:numId w:val="10"/>
        </w:numPr>
        <w:tabs>
          <w:tab w:val="right" w:pos="713"/>
        </w:tabs>
        <w:bidi/>
        <w:ind w:left="4" w:firstLine="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قد ترغب اللجنة التنفيذية في:</w:t>
      </w:r>
    </w:p>
    <w:p w14:paraId="2B969C35" w14:textId="77777777" w:rsidR="002D4924" w:rsidRPr="00616CD6" w:rsidRDefault="008149D1" w:rsidP="00517464">
      <w:pPr>
        <w:pStyle w:val="StyleHeader4Para4Left0Firstline0"/>
        <w:numPr>
          <w:ilvl w:val="0"/>
          <w:numId w:val="16"/>
        </w:numPr>
        <w:bidi/>
        <w:ind w:left="990" w:hanging="45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الإحاطة علما بما يلي</w:t>
      </w:r>
      <w:r w:rsidR="002D4924" w:rsidRPr="00616CD6">
        <w:rPr>
          <w:sz w:val="26"/>
          <w:szCs w:val="26"/>
          <w:rtl/>
          <w:lang w:bidi="ar-SA"/>
        </w:rPr>
        <w:t>:</w:t>
      </w:r>
    </w:p>
    <w:p w14:paraId="4BF35A52" w14:textId="77777777" w:rsidR="002D4924" w:rsidRPr="00616CD6" w:rsidRDefault="002D4924" w:rsidP="00517464">
      <w:pPr>
        <w:pStyle w:val="StyleHeader4Para4Left0Firstline0"/>
        <w:numPr>
          <w:ilvl w:val="0"/>
          <w:numId w:val="17"/>
        </w:numPr>
        <w:bidi/>
        <w:ind w:left="1530" w:hanging="54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تقرير عن تكاليف الوحدة الأساسية لعام 2022 لبرنامج الأمم المتحدة الإنمائي</w:t>
      </w:r>
      <w:r w:rsidR="00E02DE0" w:rsidRPr="00616CD6">
        <w:rPr>
          <w:rFonts w:hint="cs"/>
          <w:sz w:val="26"/>
          <w:szCs w:val="26"/>
          <w:rtl/>
          <w:lang w:bidi="ar-SA"/>
        </w:rPr>
        <w:t xml:space="preserve"> (اليوئنديبي)</w:t>
      </w:r>
      <w:r w:rsidRPr="00616CD6">
        <w:rPr>
          <w:sz w:val="26"/>
          <w:szCs w:val="26"/>
          <w:rtl/>
          <w:lang w:bidi="ar-SA"/>
        </w:rPr>
        <w:t xml:space="preserve"> ومنظمة الأمم المتحدة للتنمية الصناعية</w:t>
      </w:r>
      <w:r w:rsidR="00E02DE0" w:rsidRPr="00616CD6">
        <w:rPr>
          <w:rFonts w:hint="cs"/>
          <w:sz w:val="26"/>
          <w:szCs w:val="26"/>
          <w:rtl/>
          <w:lang w:bidi="ar-SA"/>
        </w:rPr>
        <w:t xml:space="preserve"> (اليونيدو)</w:t>
      </w:r>
      <w:r w:rsidRPr="00616CD6">
        <w:rPr>
          <w:sz w:val="26"/>
          <w:szCs w:val="26"/>
          <w:rtl/>
          <w:lang w:bidi="ar-SA"/>
        </w:rPr>
        <w:t xml:space="preserve"> والبنك الدولي على النحو الوارد في الوثيقة </w:t>
      </w:r>
      <w:r w:rsidR="00E02DE0" w:rsidRPr="00616CD6">
        <w:rPr>
          <w:sz w:val="26"/>
          <w:szCs w:val="26"/>
        </w:rPr>
        <w:t>UNEP/</w:t>
      </w:r>
      <w:proofErr w:type="spellStart"/>
      <w:r w:rsidR="00E02DE0" w:rsidRPr="00616CD6">
        <w:rPr>
          <w:sz w:val="26"/>
          <w:szCs w:val="26"/>
        </w:rPr>
        <w:t>OzL.Pro</w:t>
      </w:r>
      <w:proofErr w:type="spellEnd"/>
      <w:r w:rsidR="00E02DE0" w:rsidRPr="00616CD6">
        <w:rPr>
          <w:sz w:val="26"/>
          <w:szCs w:val="26"/>
        </w:rPr>
        <w:t>/</w:t>
      </w:r>
      <w:proofErr w:type="spellStart"/>
      <w:r w:rsidR="00E02DE0" w:rsidRPr="00616CD6">
        <w:rPr>
          <w:sz w:val="26"/>
          <w:szCs w:val="26"/>
        </w:rPr>
        <w:t>ExCom</w:t>
      </w:r>
      <w:proofErr w:type="spellEnd"/>
      <w:r w:rsidR="00E02DE0" w:rsidRPr="00616CD6">
        <w:rPr>
          <w:sz w:val="26"/>
          <w:szCs w:val="26"/>
        </w:rPr>
        <w:t>/88/35</w:t>
      </w:r>
      <w:r w:rsidRPr="00616CD6">
        <w:rPr>
          <w:sz w:val="26"/>
          <w:szCs w:val="26"/>
          <w:rtl/>
          <w:lang w:bidi="ar-SA"/>
        </w:rPr>
        <w:t>؛</w:t>
      </w:r>
    </w:p>
    <w:p w14:paraId="51DCD70D" w14:textId="77777777" w:rsidR="002D4924" w:rsidRPr="00616CD6" w:rsidRDefault="00E02DE0" w:rsidP="00517464">
      <w:pPr>
        <w:pStyle w:val="StyleHeader4Para4Left0Firstline0"/>
        <w:numPr>
          <w:ilvl w:val="0"/>
          <w:numId w:val="17"/>
        </w:numPr>
        <w:bidi/>
        <w:ind w:left="1530" w:hanging="540"/>
        <w:rPr>
          <w:sz w:val="26"/>
          <w:szCs w:val="26"/>
          <w:rtl/>
          <w:lang w:bidi="ar-SA"/>
        </w:rPr>
      </w:pPr>
      <w:r w:rsidRPr="00616CD6">
        <w:rPr>
          <w:sz w:val="26"/>
          <w:szCs w:val="26"/>
          <w:rtl/>
          <w:lang w:bidi="ar-SA"/>
        </w:rPr>
        <w:t>مع التقدير</w:t>
      </w:r>
      <w:r w:rsidR="002D4924" w:rsidRPr="00616CD6">
        <w:rPr>
          <w:sz w:val="26"/>
          <w:szCs w:val="26"/>
          <w:rtl/>
          <w:lang w:bidi="ar-SA"/>
        </w:rPr>
        <w:t xml:space="preserve">، أن عمليات الوحدة الأساسية </w:t>
      </w:r>
      <w:r w:rsidR="00D745E7" w:rsidRPr="00616CD6">
        <w:rPr>
          <w:rFonts w:hint="cs"/>
          <w:sz w:val="26"/>
          <w:szCs w:val="26"/>
          <w:rtl/>
          <w:lang w:bidi="ar-SA"/>
        </w:rPr>
        <w:t>لليوئنديبي واليونيدو</w:t>
      </w:r>
      <w:r w:rsidR="002D4924" w:rsidRPr="00616CD6">
        <w:rPr>
          <w:sz w:val="26"/>
          <w:szCs w:val="26"/>
          <w:rtl/>
          <w:lang w:bidi="ar-SA"/>
        </w:rPr>
        <w:t xml:space="preserve"> والبنك الدولي كانت أقل من المستويات المدرجة في ميزانيتها وأن </w:t>
      </w:r>
      <w:r w:rsidR="00D745E7" w:rsidRPr="00616CD6">
        <w:rPr>
          <w:rFonts w:hint="cs"/>
          <w:sz w:val="26"/>
          <w:szCs w:val="26"/>
          <w:rtl/>
          <w:lang w:bidi="ar-SA"/>
        </w:rPr>
        <w:t>اليوئنديبي</w:t>
      </w:r>
      <w:r w:rsidR="002D4924" w:rsidRPr="00616CD6">
        <w:rPr>
          <w:sz w:val="26"/>
          <w:szCs w:val="26"/>
          <w:rtl/>
          <w:lang w:bidi="ar-SA"/>
        </w:rPr>
        <w:t xml:space="preserve"> واليونيدو سيعيدان أرصدة غير مستخدمة</w:t>
      </w:r>
      <w:r w:rsidR="00D745E7" w:rsidRPr="00616CD6">
        <w:rPr>
          <w:sz w:val="26"/>
          <w:szCs w:val="26"/>
          <w:rtl/>
          <w:lang w:bidi="ar-SA"/>
        </w:rPr>
        <w:t xml:space="preserve"> قدرها</w:t>
      </w:r>
      <w:r w:rsidR="002D4924" w:rsidRPr="00616CD6">
        <w:rPr>
          <w:sz w:val="26"/>
          <w:szCs w:val="26"/>
          <w:rtl/>
          <w:lang w:bidi="ar-SA"/>
        </w:rPr>
        <w:t xml:space="preserve"> </w:t>
      </w:r>
      <w:r w:rsidR="00D745E7" w:rsidRPr="00616CD6">
        <w:rPr>
          <w:rFonts w:hint="cs"/>
          <w:sz w:val="26"/>
          <w:szCs w:val="26"/>
          <w:rtl/>
          <w:lang w:bidi="ar-SA"/>
        </w:rPr>
        <w:t xml:space="preserve">32,78 </w:t>
      </w:r>
      <w:r w:rsidR="002D4924" w:rsidRPr="00616CD6">
        <w:rPr>
          <w:sz w:val="26"/>
          <w:szCs w:val="26"/>
          <w:rtl/>
          <w:lang w:bidi="ar-SA"/>
        </w:rPr>
        <w:t>دولارًا أمريكيًا و</w:t>
      </w:r>
      <w:r w:rsidR="00D745E7" w:rsidRPr="00616CD6">
        <w:rPr>
          <w:rFonts w:hint="cs"/>
          <w:sz w:val="26"/>
          <w:szCs w:val="26"/>
          <w:rtl/>
          <w:lang w:bidi="ar-SA"/>
        </w:rPr>
        <w:t xml:space="preserve"> 49,404</w:t>
      </w:r>
      <w:r w:rsidR="002D4924" w:rsidRPr="00616CD6">
        <w:rPr>
          <w:sz w:val="26"/>
          <w:szCs w:val="26"/>
          <w:rtl/>
          <w:lang w:bidi="ar-SA"/>
        </w:rPr>
        <w:t xml:space="preserve"> </w:t>
      </w:r>
      <w:r w:rsidR="00D745E7" w:rsidRPr="00616CD6">
        <w:rPr>
          <w:sz w:val="26"/>
          <w:szCs w:val="26"/>
          <w:rtl/>
          <w:lang w:bidi="ar-SA"/>
        </w:rPr>
        <w:t>دولارا أمريكي</w:t>
      </w:r>
      <w:r w:rsidR="00D745E7" w:rsidRPr="00616CD6">
        <w:rPr>
          <w:rFonts w:hint="cs"/>
          <w:sz w:val="26"/>
          <w:szCs w:val="26"/>
          <w:rtl/>
          <w:lang w:bidi="ar-SA"/>
        </w:rPr>
        <w:t>ا</w:t>
      </w:r>
      <w:r w:rsidR="00D745E7" w:rsidRPr="00616CD6">
        <w:rPr>
          <w:sz w:val="26"/>
          <w:szCs w:val="26"/>
          <w:rtl/>
          <w:lang w:bidi="ar-SA"/>
        </w:rPr>
        <w:t>، على التوالي</w:t>
      </w:r>
      <w:r w:rsidR="002D4924" w:rsidRPr="00616CD6">
        <w:rPr>
          <w:sz w:val="26"/>
          <w:szCs w:val="26"/>
          <w:rtl/>
          <w:lang w:bidi="ar-SA"/>
        </w:rPr>
        <w:t>، و</w:t>
      </w:r>
      <w:r w:rsidR="00D745E7" w:rsidRPr="00616CD6">
        <w:rPr>
          <w:rFonts w:hint="cs"/>
          <w:sz w:val="26"/>
          <w:szCs w:val="26"/>
          <w:rtl/>
          <w:lang w:bidi="ar-SA"/>
        </w:rPr>
        <w:t xml:space="preserve">أن </w:t>
      </w:r>
      <w:r w:rsidR="002D4924" w:rsidRPr="00616CD6">
        <w:rPr>
          <w:sz w:val="26"/>
          <w:szCs w:val="26"/>
          <w:rtl/>
          <w:lang w:bidi="ar-SA"/>
        </w:rPr>
        <w:t>البنك الدولي</w:t>
      </w:r>
      <w:r w:rsidR="00D745E7" w:rsidRPr="00616CD6">
        <w:rPr>
          <w:sz w:val="26"/>
          <w:szCs w:val="26"/>
          <w:rtl/>
          <w:lang w:bidi="ar-SA"/>
        </w:rPr>
        <w:t xml:space="preserve"> أعاد</w:t>
      </w:r>
      <w:r w:rsidR="002D4924" w:rsidRPr="00616CD6">
        <w:rPr>
          <w:sz w:val="26"/>
          <w:szCs w:val="26"/>
          <w:rtl/>
          <w:lang w:bidi="ar-SA"/>
        </w:rPr>
        <w:t xml:space="preserve"> الأرصدة غير المستخدمة </w:t>
      </w:r>
      <w:r w:rsidR="00D745E7" w:rsidRPr="00616CD6">
        <w:rPr>
          <w:rFonts w:hint="cs"/>
          <w:sz w:val="26"/>
          <w:szCs w:val="26"/>
          <w:rtl/>
          <w:lang w:bidi="ar-SA"/>
        </w:rPr>
        <w:t>وقدرها</w:t>
      </w:r>
      <w:r w:rsidR="002D4924" w:rsidRPr="00616CD6">
        <w:rPr>
          <w:sz w:val="26"/>
          <w:szCs w:val="26"/>
          <w:rtl/>
          <w:lang w:bidi="ar-SA"/>
        </w:rPr>
        <w:t xml:space="preserve"> </w:t>
      </w:r>
      <w:r w:rsidR="00D745E7" w:rsidRPr="00616CD6">
        <w:rPr>
          <w:rFonts w:hint="cs"/>
          <w:sz w:val="26"/>
          <w:szCs w:val="26"/>
          <w:rtl/>
          <w:lang w:bidi="ar-SA"/>
        </w:rPr>
        <w:t xml:space="preserve">443,204 </w:t>
      </w:r>
      <w:r w:rsidR="002D4924" w:rsidRPr="00616CD6">
        <w:rPr>
          <w:sz w:val="26"/>
          <w:szCs w:val="26"/>
          <w:rtl/>
          <w:lang w:bidi="ar-SA"/>
        </w:rPr>
        <w:t>دولارات أمريكية للصندوق متعدد الأطر</w:t>
      </w:r>
      <w:r w:rsidR="00D745E7" w:rsidRPr="00616CD6">
        <w:rPr>
          <w:sz w:val="26"/>
          <w:szCs w:val="26"/>
          <w:rtl/>
          <w:lang w:bidi="ar-SA"/>
        </w:rPr>
        <w:t>اف في الاجتماع الثامن والثمانين</w:t>
      </w:r>
      <w:r w:rsidR="002D4924" w:rsidRPr="00616CD6">
        <w:rPr>
          <w:sz w:val="26"/>
          <w:szCs w:val="26"/>
          <w:rtl/>
          <w:lang w:bidi="ar-SA"/>
        </w:rPr>
        <w:t>؛</w:t>
      </w:r>
    </w:p>
    <w:p w14:paraId="2032F0B5" w14:textId="77777777" w:rsidR="002D4924" w:rsidRPr="00616CD6" w:rsidRDefault="006B16EB" w:rsidP="00517464">
      <w:pPr>
        <w:pStyle w:val="StyleHeader4Para4Left0Firstline0"/>
        <w:numPr>
          <w:ilvl w:val="0"/>
          <w:numId w:val="16"/>
        </w:numPr>
        <w:bidi/>
        <w:ind w:left="990" w:hanging="45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وأن تنظر</w:t>
      </w:r>
      <w:r w:rsidR="002D4924" w:rsidRPr="00616CD6">
        <w:rPr>
          <w:sz w:val="26"/>
          <w:szCs w:val="26"/>
          <w:rtl/>
          <w:lang w:bidi="ar-SA"/>
        </w:rPr>
        <w:t xml:space="preserve"> في الموافقة على ميزانيات الوحدات الأساسية المطلوبة لعام 2022 </w:t>
      </w:r>
      <w:r w:rsidR="002267A7" w:rsidRPr="00616CD6">
        <w:rPr>
          <w:rFonts w:hint="cs"/>
          <w:sz w:val="26"/>
          <w:szCs w:val="26"/>
          <w:rtl/>
          <w:lang w:bidi="ar-SA"/>
        </w:rPr>
        <w:t>لكل من</w:t>
      </w:r>
      <w:r w:rsidR="002D4924" w:rsidRPr="00616CD6">
        <w:rPr>
          <w:sz w:val="26"/>
          <w:szCs w:val="26"/>
          <w:rtl/>
          <w:lang w:bidi="ar-SA"/>
        </w:rPr>
        <w:t>:</w:t>
      </w:r>
    </w:p>
    <w:p w14:paraId="5D490135" w14:textId="77777777" w:rsidR="00A64C76" w:rsidRPr="00616CD6" w:rsidRDefault="00A64C76" w:rsidP="00517464">
      <w:pPr>
        <w:pStyle w:val="StyleHeader4Para4Left0Firstline0"/>
        <w:numPr>
          <w:ilvl w:val="0"/>
          <w:numId w:val="18"/>
        </w:numPr>
        <w:bidi/>
        <w:ind w:left="2070" w:hanging="540"/>
        <w:rPr>
          <w:sz w:val="26"/>
          <w:szCs w:val="26"/>
          <w:lang w:bidi="ar-SA"/>
        </w:rPr>
      </w:pPr>
      <w:r w:rsidRPr="00616CD6">
        <w:rPr>
          <w:sz w:val="26"/>
          <w:szCs w:val="26"/>
          <w:rtl/>
          <w:lang w:bidi="ar-SA"/>
        </w:rPr>
        <w:t>برنامج الأمم المتحدة الإنمائي</w:t>
      </w:r>
      <w:r w:rsidRPr="00616CD6">
        <w:rPr>
          <w:rFonts w:hint="cs"/>
          <w:sz w:val="26"/>
          <w:szCs w:val="26"/>
          <w:rtl/>
          <w:lang w:bidi="ar-SA"/>
        </w:rPr>
        <w:t xml:space="preserve"> (اليوئنديبي)</w:t>
      </w:r>
      <w:r w:rsidRPr="00616CD6">
        <w:rPr>
          <w:sz w:val="26"/>
          <w:szCs w:val="26"/>
          <w:rtl/>
          <w:lang w:bidi="ar-SA"/>
        </w:rPr>
        <w:t xml:space="preserve"> </w:t>
      </w:r>
      <w:r w:rsidRPr="00616CD6">
        <w:rPr>
          <w:rFonts w:hint="cs"/>
          <w:sz w:val="26"/>
          <w:szCs w:val="26"/>
          <w:rtl/>
          <w:lang w:bidi="ar-SA"/>
        </w:rPr>
        <w:t>بقيمة</w:t>
      </w:r>
      <w:r w:rsidRPr="00616CD6">
        <w:rPr>
          <w:sz w:val="26"/>
          <w:szCs w:val="26"/>
          <w:rtl/>
          <w:lang w:bidi="ar-SA"/>
        </w:rPr>
        <w:t xml:space="preserve"> </w:t>
      </w:r>
      <w:r w:rsidRPr="00616CD6">
        <w:rPr>
          <w:sz w:val="26"/>
          <w:szCs w:val="26"/>
        </w:rPr>
        <w:t>2,127,940</w:t>
      </w:r>
      <w:r w:rsidRPr="00616CD6">
        <w:rPr>
          <w:rFonts w:hint="cs"/>
          <w:sz w:val="26"/>
          <w:szCs w:val="26"/>
          <w:rtl/>
          <w:lang w:bidi="ar-SA"/>
        </w:rPr>
        <w:t xml:space="preserve"> </w:t>
      </w:r>
      <w:r w:rsidRPr="00616CD6">
        <w:rPr>
          <w:sz w:val="26"/>
          <w:szCs w:val="26"/>
          <w:rtl/>
          <w:lang w:bidi="ar-SA"/>
        </w:rPr>
        <w:t xml:space="preserve">دولارا </w:t>
      </w:r>
      <w:r w:rsidRPr="00616CD6">
        <w:rPr>
          <w:rFonts w:hint="cs"/>
          <w:sz w:val="26"/>
          <w:szCs w:val="26"/>
          <w:rtl/>
          <w:lang w:bidi="ar-SA"/>
        </w:rPr>
        <w:t>أمريكيا</w:t>
      </w:r>
      <w:r w:rsidRPr="00616CD6">
        <w:rPr>
          <w:sz w:val="26"/>
          <w:szCs w:val="26"/>
          <w:rtl/>
          <w:lang w:bidi="ar-SA"/>
        </w:rPr>
        <w:t>؛</w:t>
      </w:r>
    </w:p>
    <w:p w14:paraId="54C02399" w14:textId="77777777" w:rsidR="00A64C76" w:rsidRPr="00616CD6" w:rsidRDefault="00A64C76" w:rsidP="00517464">
      <w:pPr>
        <w:pStyle w:val="StyleHeader4Para4Left0Firstline0"/>
        <w:numPr>
          <w:ilvl w:val="0"/>
          <w:numId w:val="18"/>
        </w:numPr>
        <w:bidi/>
        <w:ind w:left="2070" w:hanging="54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Pr="00616CD6">
        <w:rPr>
          <w:sz w:val="26"/>
          <w:szCs w:val="26"/>
          <w:rtl/>
          <w:lang w:bidi="ar-SA"/>
        </w:rPr>
        <w:t xml:space="preserve">منظمة الأمم المتحدة للتنمية الصناعية </w:t>
      </w:r>
      <w:r w:rsidR="00D23C19" w:rsidRPr="00616CD6">
        <w:rPr>
          <w:rFonts w:hint="cs"/>
          <w:sz w:val="26"/>
          <w:szCs w:val="26"/>
          <w:rtl/>
          <w:lang w:bidi="ar-SA"/>
        </w:rPr>
        <w:t>(</w:t>
      </w:r>
      <w:r w:rsidRPr="00616CD6">
        <w:rPr>
          <w:sz w:val="26"/>
          <w:szCs w:val="26"/>
          <w:rtl/>
          <w:lang w:bidi="ar-SA"/>
        </w:rPr>
        <w:t>اليونيدو</w:t>
      </w:r>
      <w:r w:rsidRPr="00616CD6">
        <w:rPr>
          <w:rFonts w:hint="cs"/>
          <w:sz w:val="26"/>
          <w:szCs w:val="26"/>
          <w:rtl/>
          <w:lang w:bidi="ar-SA"/>
        </w:rPr>
        <w:t>) بقيمة</w:t>
      </w:r>
      <w:r w:rsidRPr="00616CD6">
        <w:rPr>
          <w:sz w:val="26"/>
          <w:szCs w:val="26"/>
          <w:rtl/>
          <w:lang w:bidi="ar-SA"/>
        </w:rPr>
        <w:t xml:space="preserve"> 2</w:t>
      </w:r>
      <w:r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036</w:t>
      </w:r>
      <w:r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154 دولار</w:t>
      </w:r>
      <w:r w:rsidRPr="00616CD6">
        <w:rPr>
          <w:rFonts w:hint="cs"/>
          <w:sz w:val="26"/>
          <w:szCs w:val="26"/>
          <w:rtl/>
          <w:lang w:bidi="ar-SA"/>
        </w:rPr>
        <w:t>ا</w:t>
      </w:r>
      <w:r w:rsidRPr="00616CD6">
        <w:rPr>
          <w:sz w:val="26"/>
          <w:szCs w:val="26"/>
          <w:rtl/>
          <w:lang w:bidi="ar-SA"/>
        </w:rPr>
        <w:t xml:space="preserve"> أمريكي</w:t>
      </w:r>
      <w:r w:rsidRPr="00616CD6">
        <w:rPr>
          <w:rFonts w:hint="cs"/>
          <w:sz w:val="26"/>
          <w:szCs w:val="26"/>
          <w:rtl/>
          <w:lang w:bidi="ar-SA"/>
        </w:rPr>
        <w:t>ا</w:t>
      </w:r>
      <w:r w:rsidRPr="00616CD6">
        <w:rPr>
          <w:sz w:val="26"/>
          <w:szCs w:val="26"/>
          <w:rtl/>
          <w:lang w:bidi="ar-SA"/>
        </w:rPr>
        <w:t xml:space="preserve">؛ </w:t>
      </w:r>
    </w:p>
    <w:p w14:paraId="6A227A26" w14:textId="77777777" w:rsidR="00A64C76" w:rsidRPr="00616CD6" w:rsidRDefault="00A64C76" w:rsidP="00517464">
      <w:pPr>
        <w:pStyle w:val="StyleHeader4Para4Left0Firstline0"/>
        <w:numPr>
          <w:ilvl w:val="0"/>
          <w:numId w:val="18"/>
        </w:numPr>
        <w:bidi/>
        <w:ind w:left="2070" w:hanging="54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Pr="00616CD6">
        <w:rPr>
          <w:sz w:val="26"/>
          <w:szCs w:val="26"/>
          <w:rtl/>
          <w:lang w:bidi="ar-SA"/>
        </w:rPr>
        <w:t xml:space="preserve">البنك الدولي </w:t>
      </w:r>
      <w:r w:rsidRPr="00616CD6">
        <w:rPr>
          <w:rFonts w:hint="cs"/>
          <w:sz w:val="26"/>
          <w:szCs w:val="26"/>
          <w:rtl/>
          <w:lang w:bidi="ar-SA"/>
        </w:rPr>
        <w:t>بقيمة</w:t>
      </w:r>
      <w:r w:rsidRPr="00616CD6">
        <w:rPr>
          <w:sz w:val="26"/>
          <w:szCs w:val="26"/>
          <w:rtl/>
          <w:lang w:bidi="ar-SA"/>
        </w:rPr>
        <w:t xml:space="preserve"> 1</w:t>
      </w:r>
      <w:r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735</w:t>
      </w:r>
      <w:r w:rsidRPr="00616CD6">
        <w:rPr>
          <w:rFonts w:hint="cs"/>
          <w:sz w:val="26"/>
          <w:szCs w:val="26"/>
          <w:rtl/>
          <w:lang w:bidi="ar-SA"/>
        </w:rPr>
        <w:t>,</w:t>
      </w:r>
      <w:r w:rsidRPr="00616CD6">
        <w:rPr>
          <w:sz w:val="26"/>
          <w:szCs w:val="26"/>
          <w:rtl/>
          <w:lang w:bidi="ar-SA"/>
        </w:rPr>
        <w:t>000 دولار</w:t>
      </w:r>
      <w:r w:rsidRPr="00616CD6">
        <w:rPr>
          <w:rFonts w:hint="cs"/>
          <w:sz w:val="26"/>
          <w:szCs w:val="26"/>
          <w:rtl/>
          <w:lang w:bidi="ar-SA"/>
        </w:rPr>
        <w:t>ا</w:t>
      </w:r>
      <w:r w:rsidRPr="00616CD6">
        <w:rPr>
          <w:sz w:val="26"/>
          <w:szCs w:val="26"/>
          <w:rtl/>
          <w:lang w:bidi="ar-SA"/>
        </w:rPr>
        <w:t xml:space="preserve"> أمريكي</w:t>
      </w:r>
      <w:r w:rsidRPr="00616CD6">
        <w:rPr>
          <w:rFonts w:hint="cs"/>
          <w:sz w:val="26"/>
          <w:szCs w:val="26"/>
          <w:rtl/>
          <w:lang w:bidi="ar-SA"/>
        </w:rPr>
        <w:t>ا</w:t>
      </w:r>
      <w:r w:rsidRPr="00616CD6">
        <w:rPr>
          <w:sz w:val="26"/>
          <w:szCs w:val="26"/>
          <w:rtl/>
          <w:lang w:bidi="ar-SA"/>
        </w:rPr>
        <w:t>؛</w:t>
      </w:r>
    </w:p>
    <w:p w14:paraId="47B4EE47" w14:textId="77777777" w:rsidR="00A64C76" w:rsidRPr="00616CD6" w:rsidRDefault="00C37C72" w:rsidP="00704774">
      <w:pPr>
        <w:pStyle w:val="StyleHeader4Para4Left0Firstline0"/>
        <w:numPr>
          <w:ilvl w:val="0"/>
          <w:numId w:val="16"/>
        </w:numPr>
        <w:bidi/>
        <w:ind w:left="990" w:hanging="450"/>
        <w:rPr>
          <w:sz w:val="26"/>
          <w:szCs w:val="26"/>
          <w:lang w:bidi="ar-SA"/>
        </w:rPr>
      </w:pPr>
      <w:r w:rsidRPr="00616CD6">
        <w:rPr>
          <w:rFonts w:hint="cs"/>
          <w:sz w:val="26"/>
          <w:szCs w:val="26"/>
          <w:rtl/>
          <w:lang w:bidi="ar-SA"/>
        </w:rPr>
        <w:t>و</w:t>
      </w:r>
      <w:r w:rsidR="00A64C76" w:rsidRPr="00616CD6">
        <w:rPr>
          <w:sz w:val="26"/>
          <w:szCs w:val="26"/>
          <w:rtl/>
          <w:lang w:bidi="ar-SA"/>
        </w:rPr>
        <w:t xml:space="preserve">أن </w:t>
      </w:r>
      <w:r w:rsidR="00521BFB" w:rsidRPr="00616CD6">
        <w:rPr>
          <w:rFonts w:hint="cs"/>
          <w:sz w:val="26"/>
          <w:szCs w:val="26"/>
          <w:rtl/>
          <w:lang w:bidi="ar-SA"/>
        </w:rPr>
        <w:t>تشير إلى</w:t>
      </w:r>
      <w:r w:rsidR="00A64C76" w:rsidRPr="00616CD6">
        <w:rPr>
          <w:sz w:val="26"/>
          <w:szCs w:val="26"/>
          <w:rtl/>
          <w:lang w:bidi="ar-SA"/>
        </w:rPr>
        <w:t xml:space="preserve"> </w:t>
      </w:r>
      <w:r w:rsidR="00521BFB" w:rsidRPr="00616CD6">
        <w:rPr>
          <w:rFonts w:hint="cs"/>
          <w:sz w:val="26"/>
          <w:szCs w:val="26"/>
          <w:rtl/>
          <w:lang w:bidi="ar-SA"/>
        </w:rPr>
        <w:t>إمكاني</w:t>
      </w:r>
      <w:r w:rsidR="00704774" w:rsidRPr="00616CD6">
        <w:rPr>
          <w:rFonts w:hint="cs"/>
          <w:sz w:val="26"/>
          <w:szCs w:val="26"/>
          <w:rtl/>
          <w:lang w:bidi="ar-SA"/>
        </w:rPr>
        <w:t>ة</w:t>
      </w:r>
      <w:r w:rsidR="00521BFB" w:rsidRPr="00616CD6">
        <w:rPr>
          <w:rFonts w:hint="cs"/>
          <w:sz w:val="26"/>
          <w:szCs w:val="26"/>
          <w:rtl/>
          <w:lang w:bidi="ar-SA"/>
        </w:rPr>
        <w:t xml:space="preserve"> تعديل </w:t>
      </w:r>
      <w:r w:rsidR="00A64C76" w:rsidRPr="00616CD6">
        <w:rPr>
          <w:sz w:val="26"/>
          <w:szCs w:val="26"/>
          <w:rtl/>
          <w:lang w:bidi="ar-SA"/>
        </w:rPr>
        <w:t>مستويات ميزانيات الوحدات الأساسية لعام 2022</w:t>
      </w:r>
      <w:r w:rsidR="00521BFB" w:rsidRPr="00616CD6">
        <w:rPr>
          <w:rFonts w:hint="cs"/>
          <w:sz w:val="26"/>
          <w:szCs w:val="26"/>
          <w:rtl/>
          <w:lang w:bidi="ar-SA"/>
        </w:rPr>
        <w:t xml:space="preserve"> المذكورة</w:t>
      </w:r>
      <w:r w:rsidR="00A64C76" w:rsidRPr="00616CD6">
        <w:rPr>
          <w:sz w:val="26"/>
          <w:szCs w:val="26"/>
          <w:rtl/>
          <w:lang w:bidi="ar-SA"/>
        </w:rPr>
        <w:t xml:space="preserve"> في الفقرة الفرعية (ب) أعلاه </w:t>
      </w:r>
      <w:r w:rsidR="00521BFB" w:rsidRPr="00616CD6">
        <w:rPr>
          <w:rFonts w:hint="cs"/>
          <w:sz w:val="26"/>
          <w:szCs w:val="26"/>
          <w:rtl/>
          <w:lang w:bidi="ar-SA"/>
        </w:rPr>
        <w:t xml:space="preserve">استنادا إلى </w:t>
      </w:r>
      <w:r w:rsidR="00A64C76" w:rsidRPr="00616CD6">
        <w:rPr>
          <w:sz w:val="26"/>
          <w:szCs w:val="26"/>
          <w:rtl/>
          <w:lang w:bidi="ar-SA"/>
        </w:rPr>
        <w:t>نتائج مناقشة تحليل نظام التكاليف الإدارية وتمويل الو</w:t>
      </w:r>
      <w:r w:rsidR="00521BFB" w:rsidRPr="00616CD6">
        <w:rPr>
          <w:sz w:val="26"/>
          <w:szCs w:val="26"/>
          <w:rtl/>
          <w:lang w:bidi="ar-SA"/>
        </w:rPr>
        <w:t>حدة الأساسية (المقرر 86/92 (ج))</w:t>
      </w:r>
      <w:r w:rsidR="00A64C76" w:rsidRPr="00616CD6">
        <w:rPr>
          <w:sz w:val="26"/>
          <w:szCs w:val="26"/>
          <w:rtl/>
          <w:lang w:bidi="ar-SA"/>
        </w:rPr>
        <w:t xml:space="preserve"> (</w:t>
      </w:r>
      <w:r w:rsidR="00521BFB" w:rsidRPr="00616CD6">
        <w:rPr>
          <w:sz w:val="26"/>
          <w:szCs w:val="26"/>
          <w:lang w:bidi="ar-SA"/>
        </w:rPr>
        <w:t>UNEP/</w:t>
      </w:r>
      <w:proofErr w:type="spellStart"/>
      <w:r w:rsidR="00521BFB" w:rsidRPr="00616CD6">
        <w:rPr>
          <w:sz w:val="26"/>
          <w:szCs w:val="26"/>
          <w:lang w:bidi="ar-SA"/>
        </w:rPr>
        <w:t>OzL.Pro</w:t>
      </w:r>
      <w:proofErr w:type="spellEnd"/>
      <w:r w:rsidR="00521BFB" w:rsidRPr="00616CD6">
        <w:rPr>
          <w:sz w:val="26"/>
          <w:szCs w:val="26"/>
          <w:lang w:bidi="ar-SA"/>
        </w:rPr>
        <w:t>/</w:t>
      </w:r>
      <w:proofErr w:type="spellStart"/>
      <w:r w:rsidR="00521BFB" w:rsidRPr="00616CD6">
        <w:rPr>
          <w:sz w:val="26"/>
          <w:szCs w:val="26"/>
          <w:lang w:bidi="ar-SA"/>
        </w:rPr>
        <w:t>ExCom</w:t>
      </w:r>
      <w:proofErr w:type="spellEnd"/>
      <w:r w:rsidR="00521BFB" w:rsidRPr="00616CD6">
        <w:rPr>
          <w:sz w:val="26"/>
          <w:szCs w:val="26"/>
          <w:lang w:bidi="ar-SA"/>
        </w:rPr>
        <w:t>/</w:t>
      </w:r>
      <w:r w:rsidR="00A64C76" w:rsidRPr="00616CD6">
        <w:rPr>
          <w:sz w:val="26"/>
          <w:szCs w:val="26"/>
          <w:lang w:bidi="ar-SA"/>
        </w:rPr>
        <w:t>88/70</w:t>
      </w:r>
      <w:r w:rsidR="00A64C76" w:rsidRPr="00616CD6">
        <w:rPr>
          <w:sz w:val="26"/>
          <w:szCs w:val="26"/>
          <w:rtl/>
          <w:lang w:bidi="ar-SA"/>
        </w:rPr>
        <w:t>) في الاجتماع الثامن والثمانين.</w:t>
      </w:r>
    </w:p>
    <w:p w14:paraId="0325F7E8" w14:textId="77777777" w:rsidR="00352E6A" w:rsidRDefault="00352E6A" w:rsidP="00A64C76">
      <w:pPr>
        <w:pStyle w:val="StyleHeader4Para4Left0Firstline0"/>
        <w:numPr>
          <w:ilvl w:val="0"/>
          <w:numId w:val="0"/>
        </w:numPr>
        <w:bidi/>
        <w:rPr>
          <w:sz w:val="24"/>
          <w:szCs w:val="24"/>
          <w:rtl/>
          <w:lang w:bidi="ar-SA"/>
        </w:rPr>
        <w:sectPr w:rsidR="00352E6A" w:rsidSect="00616C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850" w:right="1440" w:bottom="1135" w:left="1440" w:header="720" w:footer="706" w:gutter="0"/>
          <w:cols w:space="720"/>
          <w:titlePg/>
        </w:sectPr>
      </w:pPr>
    </w:p>
    <w:p w14:paraId="62A43826" w14:textId="77777777" w:rsidR="00C869B1" w:rsidRPr="006D0EB9" w:rsidRDefault="00C869B1" w:rsidP="00352E6A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lang w:val="en-US" w:bidi="ar-SA"/>
        </w:rPr>
      </w:pPr>
      <w:r w:rsidRPr="006D0EB9">
        <w:rPr>
          <w:b/>
          <w:bCs/>
          <w:sz w:val="24"/>
          <w:szCs w:val="24"/>
          <w:rtl/>
          <w:lang w:val="en-US" w:bidi="ar-SA"/>
        </w:rPr>
        <w:lastRenderedPageBreak/>
        <w:t>المرفق الأول</w:t>
      </w:r>
    </w:p>
    <w:p w14:paraId="510B04D7" w14:textId="77777777" w:rsidR="00C869B1" w:rsidRPr="007B043F" w:rsidRDefault="00C869B1" w:rsidP="007B043F">
      <w:pPr>
        <w:pStyle w:val="StyleHeader4Para4Left0Firstline0"/>
        <w:numPr>
          <w:ilvl w:val="0"/>
          <w:numId w:val="0"/>
        </w:numPr>
        <w:bidi/>
        <w:jc w:val="center"/>
        <w:rPr>
          <w:b/>
          <w:bCs/>
          <w:sz w:val="24"/>
          <w:szCs w:val="24"/>
          <w:lang w:val="en-US" w:bidi="ar-SA"/>
        </w:rPr>
      </w:pPr>
      <w:r w:rsidRPr="007B043F">
        <w:rPr>
          <w:b/>
          <w:bCs/>
          <w:sz w:val="24"/>
          <w:szCs w:val="24"/>
          <w:rtl/>
          <w:lang w:val="en-US" w:bidi="ar-SA"/>
        </w:rPr>
        <w:t xml:space="preserve">بيانات ميزانية الوحدة الأساسية والتكاليف الإدارية الأخرى للفترة من 2012 إلى 2022 </w:t>
      </w:r>
      <w:r w:rsidR="00F92771" w:rsidRPr="007B043F">
        <w:rPr>
          <w:rFonts w:hint="cs"/>
          <w:b/>
          <w:bCs/>
          <w:sz w:val="24"/>
          <w:szCs w:val="24"/>
          <w:rtl/>
          <w:lang w:val="en-US" w:bidi="ar-SA"/>
        </w:rPr>
        <w:t>لليوئنديبي واليونيدو</w:t>
      </w:r>
      <w:r w:rsidRPr="007B043F">
        <w:rPr>
          <w:b/>
          <w:bCs/>
          <w:sz w:val="24"/>
          <w:szCs w:val="24"/>
          <w:rtl/>
          <w:lang w:val="en-US" w:bidi="ar-SA"/>
        </w:rPr>
        <w:t xml:space="preserve"> والبنك الدولي (بالدولار الأمريكي)</w:t>
      </w:r>
    </w:p>
    <w:p w14:paraId="2EC58054" w14:textId="77777777" w:rsidR="007E5D09" w:rsidRPr="007B043F" w:rsidRDefault="00517733" w:rsidP="00C869B1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rtl/>
          <w:lang w:val="en-US" w:bidi="ar-SA"/>
        </w:rPr>
      </w:pPr>
      <w:r>
        <w:rPr>
          <w:rFonts w:hint="cs"/>
          <w:b/>
          <w:bCs/>
          <w:sz w:val="24"/>
          <w:szCs w:val="24"/>
          <w:rtl/>
          <w:lang w:val="en-US" w:bidi="ar-SA"/>
        </w:rPr>
        <w:t>برنامج الأمم المتحدة الإنمائي (</w:t>
      </w:r>
      <w:r w:rsidR="007B043F" w:rsidRPr="007B043F">
        <w:rPr>
          <w:rFonts w:hint="cs"/>
          <w:b/>
          <w:bCs/>
          <w:sz w:val="24"/>
          <w:szCs w:val="24"/>
          <w:rtl/>
          <w:lang w:val="en-US" w:bidi="ar-SA"/>
        </w:rPr>
        <w:t>اليوئنديبي</w:t>
      </w:r>
      <w:r>
        <w:rPr>
          <w:rFonts w:hint="cs"/>
          <w:b/>
          <w:bCs/>
          <w:sz w:val="24"/>
          <w:szCs w:val="24"/>
          <w:rtl/>
          <w:lang w:val="en-US" w:bidi="ar-SA"/>
        </w:rPr>
        <w:t>)</w:t>
      </w:r>
    </w:p>
    <w:tbl>
      <w:tblPr>
        <w:bidiVisual/>
        <w:tblW w:w="14294" w:type="dxa"/>
        <w:tblInd w:w="-750" w:type="dxa"/>
        <w:tblLook w:val="04A0" w:firstRow="1" w:lastRow="0" w:firstColumn="1" w:lastColumn="0" w:noHBand="0" w:noVBand="1"/>
      </w:tblPr>
      <w:tblGrid>
        <w:gridCol w:w="3828"/>
        <w:gridCol w:w="856"/>
        <w:gridCol w:w="856"/>
        <w:gridCol w:w="856"/>
        <w:gridCol w:w="856"/>
        <w:gridCol w:w="856"/>
        <w:gridCol w:w="856"/>
        <w:gridCol w:w="933"/>
        <w:gridCol w:w="856"/>
        <w:gridCol w:w="856"/>
        <w:gridCol w:w="919"/>
        <w:gridCol w:w="910"/>
        <w:gridCol w:w="856"/>
      </w:tblGrid>
      <w:tr w:rsidR="00BB67DF" w:rsidRPr="00A81A77" w14:paraId="67A78567" w14:textId="77777777" w:rsidTr="00AF5BEB">
        <w:trPr>
          <w:trHeight w:val="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D048" w14:textId="77777777" w:rsidR="00BB67DF" w:rsidRPr="00E128D9" w:rsidRDefault="00F52083" w:rsidP="00F52083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en-CA"/>
              </w:rPr>
              <w:t>بند التكلفة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5C15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6A1E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EE98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140F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714C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2F2C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9E86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57F7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7E0B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2144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3387" w14:textId="77777777" w:rsidR="00BB67DF" w:rsidRPr="00A81A77" w:rsidRDefault="00BB67DF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2022</w:t>
            </w:r>
          </w:p>
        </w:tc>
      </w:tr>
      <w:tr w:rsidR="00BA7D19" w:rsidRPr="00A81A77" w14:paraId="6B19675A" w14:textId="77777777" w:rsidTr="00AF5BEB">
        <w:trPr>
          <w:trHeight w:val="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A593" w14:textId="77777777" w:rsidR="00BA7D19" w:rsidRPr="00A81A77" w:rsidRDefault="00BA7D19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B41E" w14:textId="77777777" w:rsidR="00BA7D19" w:rsidRPr="00A81A77" w:rsidRDefault="00BA7D19" w:rsidP="00064720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DA30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1D83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D54C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B2FA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1004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3236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0368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72B1" w14:textId="77777777" w:rsidR="00BA7D19" w:rsidRDefault="00BA7D19" w:rsidP="0006472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B5D6" w14:textId="77777777" w:rsidR="00BA7D19" w:rsidRPr="00A81A77" w:rsidRDefault="00BA7D19" w:rsidP="00064720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الميزانية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9BCC" w14:textId="77777777" w:rsidR="00BA7D19" w:rsidRPr="00A81A77" w:rsidRDefault="00BA7D19" w:rsidP="00064720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التقديرية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BEC6" w14:textId="77777777" w:rsidR="00BA7D19" w:rsidRPr="00A81A77" w:rsidRDefault="00BA7D19" w:rsidP="00064720">
            <w:pPr>
              <w:bidi/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en-CA"/>
              </w:rPr>
              <w:t>المقترحة</w:t>
            </w:r>
          </w:p>
        </w:tc>
      </w:tr>
      <w:tr w:rsidR="00BB67DF" w:rsidRPr="00A81A77" w14:paraId="744371FA" w14:textId="77777777" w:rsidTr="00AF5BEB">
        <w:trPr>
          <w:trHeight w:val="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D517" w14:textId="77777777" w:rsidR="00BB67DF" w:rsidRPr="00A81A77" w:rsidRDefault="00E30195" w:rsidP="00E30195">
            <w:pPr>
              <w:bidi/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en-CA"/>
              </w:rPr>
              <w:t>ألف- الوحدة الأساسية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B4B1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9BE8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D033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1DA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F36B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6EF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A194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CE5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8485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DF86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DF3D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EC8C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tr w:rsidR="00E128D9" w:rsidRPr="00A81A77" w14:paraId="23350559" w14:textId="77777777" w:rsidTr="00AF5BEB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69B9" w14:textId="77777777" w:rsidR="00E128D9" w:rsidRPr="00377AF2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العاملون في الوحدة الأساسية والموظفون المتعاقدون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93E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2,171,918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73F6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2,076,816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888C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2,050,914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371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1,991,859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DA67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2,043,505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56B2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2,305,838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A3C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2,375,437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330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2,379,866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50F0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2,316,147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F18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2,524,800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FEC4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2,385,632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6651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2,457,201</w:t>
            </w:r>
          </w:p>
        </w:tc>
      </w:tr>
      <w:tr w:rsidR="00E128D9" w:rsidRPr="00A81A77" w14:paraId="1575485D" w14:textId="77777777" w:rsidTr="00AF5BEB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EB97" w14:textId="77777777" w:rsidR="00E128D9" w:rsidRPr="00377AF2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السفر (الموظفون والاستشاريون)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EBE7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261,674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D3E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249,131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6711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163,639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AD5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168,418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15AF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155,061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935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173,099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0FE6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176,170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EF41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182,129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E76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17,032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CA81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150,000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977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CF6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150,000</w:t>
            </w:r>
          </w:p>
        </w:tc>
      </w:tr>
      <w:tr w:rsidR="00E128D9" w:rsidRPr="00A81A77" w14:paraId="62B3DDFB" w14:textId="77777777" w:rsidTr="00AF5BEB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E15D" w14:textId="77777777" w:rsidR="00E128D9" w:rsidRPr="00377AF2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94D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104,805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A139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101,236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F7B9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105,219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6340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109,380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6F6F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159,872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BF5A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162,982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CB3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164,998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EFFF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153,176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DC82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130,925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3D05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168,877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C1D5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130,925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DA21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130,925</w:t>
            </w:r>
          </w:p>
        </w:tc>
      </w:tr>
      <w:tr w:rsidR="00E128D9" w:rsidRPr="00A81A77" w14:paraId="7C4124F0" w14:textId="77777777" w:rsidTr="00AF5BEB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D6A7" w14:textId="77777777" w:rsidR="00E128D9" w:rsidRPr="00377AF2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المعدات والإمدادات والتكاليف الأخرى (أجهزة الكمبيوتر والإمدادات وغيرها)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90CC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25,052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A92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17,781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48F4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16,967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8F09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19,442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104F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16,485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577A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9,196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C6A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12,146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AF25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8,351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DF2E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15,777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BF27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140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6115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10,000</w:t>
            </w:r>
          </w:p>
        </w:tc>
      </w:tr>
      <w:tr w:rsidR="00E128D9" w:rsidRPr="00A81A77" w14:paraId="08252294" w14:textId="77777777" w:rsidTr="00AF5BEB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01DF" w14:textId="77777777" w:rsidR="00E128D9" w:rsidRPr="002D311B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الخدمات التعاقدية (الشركات)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BD6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CA47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18,461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CAC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22,955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F7B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16,175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BF77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1166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24,547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2F60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13,510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4DFE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24,300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D420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1,648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BB1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8D8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AA9C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25,000</w:t>
            </w:r>
          </w:p>
        </w:tc>
      </w:tr>
      <w:tr w:rsidR="00E128D9" w:rsidRPr="00A81A77" w14:paraId="565446DF" w14:textId="77777777" w:rsidTr="00AF5BEB">
        <w:trPr>
          <w:trHeight w:val="1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3DA4" w14:textId="77777777" w:rsidR="00E128D9" w:rsidRPr="002D311B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تكاليف الخدمات المركزية لموظفي الوحدة الأساسية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870E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258,332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130F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384,704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DA4C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311,137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8A20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317,160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B27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251,317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161E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308,375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32EB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381,004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6026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240,968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788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251,221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D45F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079E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20B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250,000</w:t>
            </w:r>
          </w:p>
        </w:tc>
      </w:tr>
      <w:tr w:rsidR="00E128D9" w:rsidRPr="00A81A77" w14:paraId="0F1177D1" w14:textId="77777777" w:rsidTr="00AF5BEB">
        <w:trPr>
          <w:trHeight w:val="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BCAA" w14:textId="77777777" w:rsidR="00E128D9" w:rsidRPr="002D311B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الناقص و- = الفائض)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B5EE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-837,220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1BCB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-849,676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F44A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-658,389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A7E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-595,905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2DC5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-585,526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CB24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-929,036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DF33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-1,053,880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6712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-904,918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DDB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-601,414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9234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-1,015,528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2B97B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-673,909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8B29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-895,186</w:t>
            </w:r>
          </w:p>
        </w:tc>
      </w:tr>
      <w:tr w:rsidR="00E128D9" w:rsidRPr="00A81A77" w14:paraId="09AB591F" w14:textId="77777777" w:rsidTr="00AF5BEB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5130" w14:textId="77777777" w:rsidR="00E128D9" w:rsidRPr="002D311B" w:rsidRDefault="00E128D9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6420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D041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2309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C672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C36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24E8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A4A1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8A34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E54D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-32,878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90EB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47F6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71E0" w14:textId="77777777" w:rsidR="00E128D9" w:rsidRPr="00A81A77" w:rsidRDefault="00E128D9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tr w:rsidR="00BB67DF" w:rsidRPr="00A81A77" w14:paraId="7451B5AD" w14:textId="77777777" w:rsidTr="00AF5BEB">
        <w:trPr>
          <w:trHeight w:val="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BD53" w14:textId="77777777" w:rsidR="00BB67DF" w:rsidRPr="00A81A77" w:rsidRDefault="00E128D9" w:rsidP="00E128D9">
            <w:pPr>
              <w:bidi/>
              <w:rPr>
                <w:b/>
                <w:bCs/>
                <w:sz w:val="16"/>
                <w:szCs w:val="16"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ألف- المجموع الفرعي لتكاليف الوحدة الأساسية*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E270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1,984,561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8887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1,998,453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7278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2,012,442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2DC1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2,026,529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F585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2,040,715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FD4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2,055,000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40EB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2,069,385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363D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2,083,871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84D9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2,098,458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45A2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2,113,148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38A9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2,113,148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78F3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2,127,940</w:t>
            </w:r>
          </w:p>
        </w:tc>
      </w:tr>
      <w:tr w:rsidR="00BB67DF" w:rsidRPr="00A81A77" w14:paraId="4B72C9C3" w14:textId="77777777" w:rsidTr="00AF5BEB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9EE9" w14:textId="77777777" w:rsidR="00BB67DF" w:rsidRPr="00E128D9" w:rsidRDefault="00E128D9" w:rsidP="002E15AC">
            <w:pPr>
              <w:bidi/>
              <w:jc w:val="left"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تكاليف دعم الوكالة / التنفيذ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5497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201D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CABC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4BBD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6967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62CA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DF6F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8F80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E3BD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9305" w14:textId="77777777" w:rsidR="00BB67DF" w:rsidRPr="00A81A77" w:rsidRDefault="00BB67DF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DF1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2,787,057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8A4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3,023,126</w:t>
            </w:r>
          </w:p>
        </w:tc>
      </w:tr>
      <w:tr w:rsidR="00BB67DF" w:rsidRPr="00A81A77" w14:paraId="3CF09C5D" w14:textId="77777777" w:rsidTr="00AF5BEB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240C" w14:textId="77777777" w:rsidR="00BB67DF" w:rsidRPr="00A81A77" w:rsidRDefault="00E128D9" w:rsidP="00E128D9">
            <w:pPr>
              <w:bidi/>
              <w:rPr>
                <w:sz w:val="16"/>
                <w:szCs w:val="16"/>
                <w:rtl/>
                <w:lang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تكاليف المكاتب القطرية والتنفيذ الوطني،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8A8C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1,828,279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DA73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2,442,896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5374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1,694,992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75B6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1,775,969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A88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1,472,814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FB9D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1,749,877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9532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2,214,588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83DE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488,288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BA49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1,077,150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45CE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742,500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CE05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742,500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7C04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742,500</w:t>
            </w:r>
          </w:p>
        </w:tc>
      </w:tr>
      <w:tr w:rsidR="00BB67DF" w:rsidRPr="00A81A77" w14:paraId="7B8A2CE4" w14:textId="77777777" w:rsidTr="00AF5BEB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7FD0" w14:textId="77777777" w:rsidR="00BB67DF" w:rsidRPr="00E128D9" w:rsidRDefault="00E128D9" w:rsidP="00E128D9">
            <w:pPr>
              <w:bidi/>
              <w:rPr>
                <w:sz w:val="16"/>
                <w:szCs w:val="16"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دعم الوكالة المنفذة (داخليا)،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3B35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612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48C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E30B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F44A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85D0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89E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96E3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52DD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BE4D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7DE5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7FA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EBC1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</w:tr>
      <w:tr w:rsidR="00BB67DF" w:rsidRPr="00A81A77" w14:paraId="7F4338B3" w14:textId="77777777" w:rsidTr="00AF5BEB">
        <w:trPr>
          <w:trHeight w:val="1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28AD" w14:textId="77777777" w:rsidR="00BB67DF" w:rsidRPr="00A81A77" w:rsidRDefault="00E128D9" w:rsidP="00E128D9">
            <w:pPr>
              <w:bidi/>
              <w:rPr>
                <w:sz w:val="16"/>
                <w:szCs w:val="16"/>
                <w:lang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الوسائط المالية،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6CCF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13B2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6CFB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A071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DEEC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5B4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B86F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3D15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48C3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3D8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31F8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CD5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</w:tr>
      <w:tr w:rsidR="00BB67DF" w:rsidRPr="00A81A77" w14:paraId="4FC9D9BC" w14:textId="77777777" w:rsidTr="00AF5BEB">
        <w:trPr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0C7" w14:textId="77777777" w:rsidR="00BB67DF" w:rsidRPr="00E128D9" w:rsidRDefault="00E128D9" w:rsidP="00E128D9">
            <w:pPr>
              <w:bidi/>
              <w:rPr>
                <w:sz w:val="16"/>
                <w:szCs w:val="16"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الخدمات المركزية لموظفي الوحدة الأساسية (بما في ذلك النفقات الثابتة)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158A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216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5730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C66B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EBFC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F8CB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39D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F2DB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7E1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EAE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2F09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66B5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tr w:rsidR="00CF5804" w:rsidRPr="00A81A77" w14:paraId="26CDB3F9" w14:textId="77777777" w:rsidTr="00AF5BEB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F30B" w14:textId="77777777" w:rsidR="00CF5804" w:rsidRPr="00FE26D1" w:rsidRDefault="00CF5804" w:rsidP="00E76AE6">
            <w:pPr>
              <w:bidi/>
              <w:jc w:val="left"/>
              <w:rPr>
                <w:color w:val="000000"/>
                <w:sz w:val="20"/>
                <w:lang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استعادة التكلفة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9622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258,332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657A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384,704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CBF8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311,137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A9FB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317,160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E78F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251,317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4FEF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308,375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6EBF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381,004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7705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240,968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C84B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251,221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B80B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4CD3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F16E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250,000</w:t>
            </w:r>
          </w:p>
        </w:tc>
      </w:tr>
      <w:tr w:rsidR="00CF5804" w:rsidRPr="00A81A77" w14:paraId="36689A1D" w14:textId="77777777" w:rsidTr="00AF5BEB">
        <w:trPr>
          <w:trHeight w:val="1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14F9" w14:textId="77777777" w:rsidR="00CF5804" w:rsidRPr="001A4901" w:rsidRDefault="00CF5804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الفائض و- = الناقص)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732A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837,220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02DF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849,676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2570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658,389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2069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595,905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5D8B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585,526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9202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929,036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1F3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1,053,880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DE58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904,918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B25B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601,414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2579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1,015,528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79B0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673,909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099D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895,186</w:t>
            </w:r>
          </w:p>
        </w:tc>
      </w:tr>
      <w:tr w:rsidR="00CF5804" w:rsidRPr="00A81A77" w14:paraId="444CB65D" w14:textId="77777777" w:rsidTr="00AF5BEB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0859" w14:textId="77777777" w:rsidR="00CF5804" w:rsidRPr="00C620F0" w:rsidRDefault="00CF5804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المشروع (- = الذي سيخصم وبالتالي سيلغى)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38EA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4924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C5A4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FD11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62DF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DBDA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280A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EC69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5DC0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4DEA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E891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E55B" w14:textId="77777777" w:rsidR="00CF5804" w:rsidRPr="00A81A77" w:rsidRDefault="00CF5804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</w:tr>
      <w:tr w:rsidR="00BB67DF" w:rsidRPr="00A81A77" w14:paraId="054997FD" w14:textId="77777777" w:rsidTr="00AF5BEB">
        <w:trPr>
          <w:trHeight w:val="2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F39D" w14:textId="77777777" w:rsidR="00BB67DF" w:rsidRPr="00C85D70" w:rsidRDefault="00F12737" w:rsidP="00F12737">
            <w:pPr>
              <w:bidi/>
              <w:jc w:val="left"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المجموع الفرعي لتكاليف دعم الوكالة / تكاليف التنفيذ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A21A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802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E23E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433B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1F0E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2,309,657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0FDD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2,987,288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5878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3,649,473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BC80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1,634,174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4A3A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1,929,785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50BD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2,008,028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8F1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1,666,409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8DEC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1,887,686</w:t>
            </w:r>
          </w:p>
        </w:tc>
      </w:tr>
      <w:tr w:rsidR="00BB67DF" w:rsidRPr="00A81A77" w14:paraId="75F0AAA3" w14:textId="77777777" w:rsidTr="00AF5BEB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850C" w14:textId="77777777" w:rsidR="00BC0F30" w:rsidRPr="00A81A77" w:rsidRDefault="00BC0F30" w:rsidP="00BC0F30">
            <w:pPr>
              <w:bidi/>
              <w:rPr>
                <w:b/>
                <w:bCs/>
                <w:sz w:val="16"/>
                <w:szCs w:val="16"/>
                <w:rtl/>
                <w:lang w:eastAsia="en-CA" w:bidi="ar-SA"/>
              </w:rPr>
            </w:pPr>
            <w:bookmarkStart w:id="0" w:name="_GoBack" w:colFirst="8" w:colLast="8"/>
            <w:r>
              <w:rPr>
                <w:rFonts w:hint="cs"/>
                <w:b/>
                <w:bCs/>
                <w:sz w:val="16"/>
                <w:szCs w:val="16"/>
                <w:rtl/>
                <w:lang w:eastAsia="en-CA" w:bidi="ar-SA"/>
              </w:rPr>
              <w:t>إجمالي تكاليف الدعم الإداري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09C8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4,909,004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134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5,675,729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BFAC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4,676,959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03C6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4,715,563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980C" w14:textId="77777777" w:rsidR="00BB67DF" w:rsidRPr="00A81A77" w:rsidRDefault="00BB67DF" w:rsidP="00716BCE">
            <w:pPr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EB64" w14:textId="77777777" w:rsidR="00BB67DF" w:rsidRPr="00A81A77" w:rsidRDefault="00BB67DF" w:rsidP="00716BCE">
            <w:pPr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056F" w14:textId="77777777" w:rsidR="00BB67DF" w:rsidRPr="00A81A77" w:rsidRDefault="00BB67DF" w:rsidP="00716BCE">
            <w:pPr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76AD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E5D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C26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87A5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A214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bookmarkEnd w:id="0"/>
      <w:tr w:rsidR="00BB67DF" w:rsidRPr="00A81A77" w14:paraId="41FF6A2C" w14:textId="77777777" w:rsidTr="00AF5BEB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1319" w14:textId="77777777" w:rsidR="00BC0F30" w:rsidRPr="00BC0F30" w:rsidRDefault="00BC0F30" w:rsidP="00BC0F30">
            <w:pPr>
              <w:bidi/>
              <w:rPr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sz w:val="16"/>
                <w:szCs w:val="16"/>
                <w:rtl/>
                <w:lang w:val="en-US" w:eastAsia="en-CA" w:bidi="ar-SA"/>
              </w:rPr>
              <w:t>تكاليف الإشراف التي تكبدتها وحدة إدارة ورصد المشروع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5E81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47,028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4C1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47,801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BDEF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53,814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60C6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56,970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7BCD" w14:textId="77777777" w:rsidR="00BB67DF" w:rsidRPr="00A81A77" w:rsidRDefault="00BB67DF" w:rsidP="00716BCE">
            <w:pPr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224A" w14:textId="77777777" w:rsidR="00BB67DF" w:rsidRPr="00A81A77" w:rsidRDefault="00BB67DF" w:rsidP="00716BCE">
            <w:pPr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6146" w14:textId="77777777" w:rsidR="00BB67DF" w:rsidRPr="00A81A77" w:rsidRDefault="00BB67DF" w:rsidP="00716BCE">
            <w:pPr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5F4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E4B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61E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62B1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F952" w14:textId="77777777" w:rsidR="00BB67DF" w:rsidRPr="00A81A77" w:rsidRDefault="00BB67DF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tr w:rsidR="00BB67DF" w:rsidRPr="00A81A77" w14:paraId="234C27CE" w14:textId="77777777" w:rsidTr="00AF5BEB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FA57" w14:textId="77777777" w:rsidR="00BC0F30" w:rsidRPr="00BC0F30" w:rsidRDefault="00BC0F30" w:rsidP="00BC0F30">
            <w:pPr>
              <w:bidi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val="en-US" w:eastAsia="en-CA" w:bidi="ar-SA"/>
              </w:rPr>
              <w:t>المجموع الكلي (ألف + باء)**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E313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4,956,032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3954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5,723,531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14CD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4,730,773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A24F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4,772,532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A67D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4,350,371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D191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5,042,289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7E71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5,718,858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9BEE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3,718,046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BC00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4,028,243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0ADD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4,121,176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A956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3,779,557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150C" w14:textId="77777777" w:rsidR="00BB67DF" w:rsidRPr="00A81A77" w:rsidRDefault="00BB67DF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4,015,626</w:t>
            </w:r>
          </w:p>
        </w:tc>
      </w:tr>
      <w:tr w:rsidR="00BB67DF" w:rsidRPr="00A81A77" w14:paraId="2AF055E3" w14:textId="77777777" w:rsidTr="00AF5BEB">
        <w:trPr>
          <w:trHeight w:val="1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D763" w14:textId="77777777" w:rsidR="00A950FF" w:rsidRPr="00A950FF" w:rsidRDefault="00A950FF" w:rsidP="00A950FF">
            <w:pPr>
              <w:bidi/>
              <w:jc w:val="left"/>
              <w:rPr>
                <w:color w:val="000000"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val="en-US" w:eastAsia="en-CA" w:bidi="ar-SA"/>
              </w:rPr>
              <w:t>صافي تكاليف دعم الوكالة زائد تكاليف الوحدة الأساسية***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CABA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4,499,632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2A3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4,501,941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4CE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3,633,827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14A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4,456,969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566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5,029,025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B03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4,550,866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4D95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5,007,070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F84A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2,829,316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FA56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4,236,224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8BB6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01F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4,203,082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848" w14:textId="77777777" w:rsidR="00BB67DF" w:rsidRPr="00A81A77" w:rsidRDefault="00BB67DF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B67DF" w:rsidRPr="00A81A77" w14:paraId="01B9495D" w14:textId="77777777" w:rsidTr="00AF5BEB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B63C" w14:textId="77777777" w:rsidR="00BB67DF" w:rsidRPr="00A81A77" w:rsidRDefault="00A950FF" w:rsidP="00A950FF">
            <w:pPr>
              <w:bidi/>
              <w:jc w:val="left"/>
              <w:rPr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إجمالي التكاليف الإدارية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14A7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4,956,032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4A59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5,723,531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F97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4,730,773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3BA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4,772,532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889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4,350,371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42D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5,042,289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351D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5,718,858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46F1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3,718,046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683D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4,028,243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BA16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43D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3,779,557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E42" w14:textId="77777777" w:rsidR="00BB67DF" w:rsidRPr="00A81A77" w:rsidRDefault="00BB67DF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B67DF" w:rsidRPr="00A81A77" w14:paraId="42D0DB4B" w14:textId="77777777" w:rsidTr="00AF5BEB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3107" w14:textId="77777777" w:rsidR="00BB67DF" w:rsidRPr="00A950FF" w:rsidRDefault="00A950FF" w:rsidP="00A950FF">
            <w:pPr>
              <w:bidi/>
              <w:jc w:val="left"/>
              <w:rPr>
                <w:color w:val="000000"/>
                <w:sz w:val="16"/>
                <w:szCs w:val="16"/>
                <w:lang w:val="en-US" w:eastAsia="en-C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الرصيد لكل سنة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B4E3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-456,400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CB1" w14:textId="77777777" w:rsidR="00BB67DF" w:rsidRPr="00A81A77" w:rsidRDefault="00BB67DF" w:rsidP="00716BCE">
            <w:pPr>
              <w:ind w:left="-118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-1,221,590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7CED" w14:textId="77777777" w:rsidR="00BB67DF" w:rsidRPr="00A81A77" w:rsidRDefault="00BB67DF" w:rsidP="00716BCE">
            <w:pPr>
              <w:ind w:left="-118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-1,096,946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8D00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-315,563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3169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678,654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F03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-491,423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D614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-711,788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6487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-888,730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6FC6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207,981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02E1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46A3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423,525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6F9" w14:textId="77777777" w:rsidR="00BB67DF" w:rsidRPr="00A81A77" w:rsidRDefault="00BB67DF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B67DF" w:rsidRPr="00A81A77" w14:paraId="01DED321" w14:textId="77777777" w:rsidTr="00AF5BEB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A81B" w14:textId="77777777" w:rsidR="00BB67DF" w:rsidRPr="00A81A77" w:rsidRDefault="00A950FF" w:rsidP="00A950FF">
            <w:pPr>
              <w:bidi/>
              <w:jc w:val="left"/>
              <w:rPr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الرصيد الجاري****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082D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2,746,670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D32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1,525,079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F82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428,133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779F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112,570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EDD9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791,223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6490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299,801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D422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-411,987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04CD" w14:textId="77777777" w:rsidR="00BB67DF" w:rsidRPr="00A81A77" w:rsidRDefault="00BB67DF" w:rsidP="00716BCE">
            <w:pPr>
              <w:ind w:left="-114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-1,300,717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E41" w14:textId="77777777" w:rsidR="00BB67DF" w:rsidRPr="00A81A77" w:rsidRDefault="00BB67DF" w:rsidP="00716BCE">
            <w:pPr>
              <w:ind w:left="-123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-1,092,736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AF07" w14:textId="77777777" w:rsidR="00BB67DF" w:rsidRPr="00A81A77" w:rsidRDefault="00BB67DF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6A1A" w14:textId="77777777" w:rsidR="00BB67DF" w:rsidRPr="00A81A77" w:rsidRDefault="00BB67DF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-669,211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0A8" w14:textId="77777777" w:rsidR="00BB67DF" w:rsidRPr="00A81A77" w:rsidRDefault="00BB67DF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</w:tbl>
    <w:p w14:paraId="5C564126" w14:textId="77777777" w:rsidR="00C63385" w:rsidRPr="00FC5469" w:rsidRDefault="00C63385" w:rsidP="00146E20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 w:rsidRPr="00FC5469">
        <w:rPr>
          <w:rtl/>
          <w:lang w:val="en-US" w:bidi="ar-SA"/>
        </w:rPr>
        <w:t xml:space="preserve">* تكلفة الوحدة الأساسية أعلى من الإجمالي الفرعي المسموح به </w:t>
      </w:r>
      <w:r w:rsidRPr="00FC5469">
        <w:rPr>
          <w:rFonts w:hint="cs"/>
          <w:rtl/>
          <w:lang w:val="en-US" w:bidi="ar-SA"/>
        </w:rPr>
        <w:t>وقدره</w:t>
      </w:r>
      <w:r w:rsidRPr="00FC5469">
        <w:rPr>
          <w:rtl/>
          <w:lang w:val="en-US" w:bidi="ar-SA"/>
        </w:rPr>
        <w:t xml:space="preserve"> 1،984،561 دولارًا أمريكيًا في عام 2012، و 1،998،453 دولارًا أمريكيًا في عام 2013، و 2،012،442 دولارًا أمريكيًا في عام 2014، و 2،026،529 دولارًا أمريكيًا في عام 2015، و 2،040،715 دولارًا أمريكيًا في عام 2016، و 2،055،000 دولار أمريكي في عام 2017، و 2،069،385 دولار أمريكي في عام 2018،</w:t>
      </w:r>
      <w:r w:rsidRPr="00FC5469">
        <w:rPr>
          <w:rFonts w:hint="cs"/>
          <w:rtl/>
          <w:lang w:val="en-US" w:bidi="ar-SA"/>
        </w:rPr>
        <w:t xml:space="preserve"> و</w:t>
      </w:r>
      <w:r w:rsidRPr="00FC5469">
        <w:rPr>
          <w:rtl/>
          <w:lang w:val="en-US" w:bidi="ar-SA"/>
        </w:rPr>
        <w:t xml:space="preserve"> 2،083،871 دولارًا أمريكيًا </w:t>
      </w:r>
      <w:r w:rsidRPr="00FC5469">
        <w:rPr>
          <w:rtl/>
          <w:lang w:val="en-US" w:bidi="ar-SA"/>
        </w:rPr>
        <w:lastRenderedPageBreak/>
        <w:t xml:space="preserve">في عام 2019، و 2،098،458 دولارًا أمريكيًا في عام 2020، و 2،113،148 دولارًا أمريكيًا في عام 2021. لذلك، تم إدخال بند تسوية وتعديل سلبي للوصول إلى الحد الأقصى المطلوب. كما يتم </w:t>
      </w:r>
      <w:r w:rsidRPr="00FC5469">
        <w:rPr>
          <w:rFonts w:hint="cs"/>
          <w:rtl/>
          <w:lang w:val="en-US" w:bidi="ar-SA"/>
        </w:rPr>
        <w:t>تقديم</w:t>
      </w:r>
      <w:r w:rsidRPr="00FC5469">
        <w:rPr>
          <w:rtl/>
          <w:lang w:val="en-US" w:bidi="ar-SA"/>
        </w:rPr>
        <w:t xml:space="preserve"> تعديل إيجابي مقابل في إطار تكاليف دعم الوكالة / </w:t>
      </w:r>
      <w:r w:rsidRPr="00FC5469">
        <w:rPr>
          <w:rFonts w:hint="cs"/>
          <w:rtl/>
          <w:lang w:val="en-US" w:bidi="ar-SA"/>
        </w:rPr>
        <w:t>ال</w:t>
      </w:r>
      <w:r w:rsidRPr="00FC5469">
        <w:rPr>
          <w:rtl/>
          <w:lang w:val="en-US" w:bidi="ar-SA"/>
        </w:rPr>
        <w:t xml:space="preserve">تنفيذ </w:t>
      </w:r>
      <w:r w:rsidRPr="00FC5469">
        <w:rPr>
          <w:rFonts w:hint="cs"/>
          <w:rtl/>
          <w:lang w:val="en-US" w:bidi="ar-SA"/>
        </w:rPr>
        <w:t>كي يضمن توضيح</w:t>
      </w:r>
      <w:r w:rsidRPr="00FC5469">
        <w:rPr>
          <w:rtl/>
          <w:lang w:val="en-US" w:bidi="ar-SA"/>
        </w:rPr>
        <w:t xml:space="preserve"> إجمالي التكاليف المتكبدة للتكاليف الإدارية المبلغ الذي تجاوزته الوكالة أيضًا.</w:t>
      </w:r>
    </w:p>
    <w:p w14:paraId="740E366E" w14:textId="77777777" w:rsidR="00C63385" w:rsidRPr="00FC5469" w:rsidRDefault="00C63385" w:rsidP="00146E20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 w:rsidRPr="00FC5469">
        <w:rPr>
          <w:rtl/>
          <w:lang w:val="en-US" w:bidi="ar-SA"/>
        </w:rPr>
        <w:t xml:space="preserve">** يعكس إجمالي المبلغ السنوي المقدم من الصندوق متعدد الأطراف. </w:t>
      </w:r>
      <w:r w:rsidR="00146E20" w:rsidRPr="00FC5469">
        <w:rPr>
          <w:rFonts w:hint="cs"/>
          <w:rtl/>
          <w:lang w:val="en-US" w:bidi="ar-SA"/>
        </w:rPr>
        <w:t xml:space="preserve">وفي </w:t>
      </w:r>
      <w:r w:rsidRPr="00FC5469">
        <w:rPr>
          <w:rtl/>
          <w:lang w:val="en-US" w:bidi="ar-SA"/>
        </w:rPr>
        <w:t>ال</w:t>
      </w:r>
      <w:r w:rsidR="00146E20" w:rsidRPr="00FC5469">
        <w:rPr>
          <w:rtl/>
          <w:lang w:val="en-US" w:bidi="ar-SA"/>
        </w:rPr>
        <w:t xml:space="preserve">انتقال إلى نموذج الإبلاغ </w:t>
      </w:r>
      <w:r w:rsidR="00146E20" w:rsidRPr="00FC5469">
        <w:rPr>
          <w:rFonts w:hint="cs"/>
          <w:rtl/>
          <w:lang w:val="en-US" w:bidi="ar-SA"/>
        </w:rPr>
        <w:t>المعدل</w:t>
      </w:r>
      <w:r w:rsidRPr="00FC5469">
        <w:rPr>
          <w:rtl/>
          <w:lang w:val="en-US" w:bidi="ar-SA"/>
        </w:rPr>
        <w:t>، تنعكس بنود الميزانية "إجمالي تكاليف الدعم ال</w:t>
      </w:r>
      <w:r w:rsidR="00146E20" w:rsidRPr="00FC5469">
        <w:rPr>
          <w:rtl/>
          <w:lang w:val="en-US" w:bidi="ar-SA"/>
        </w:rPr>
        <w:t>إداري" و "تكاليف الإشراف التي ت</w:t>
      </w:r>
      <w:r w:rsidRPr="00FC5469">
        <w:rPr>
          <w:rtl/>
          <w:lang w:val="en-US" w:bidi="ar-SA"/>
        </w:rPr>
        <w:t>كبد</w:t>
      </w:r>
      <w:r w:rsidR="00146E20" w:rsidRPr="00FC5469">
        <w:rPr>
          <w:rFonts w:hint="cs"/>
          <w:rtl/>
          <w:lang w:val="en-US" w:bidi="ar-SA"/>
        </w:rPr>
        <w:t>ت</w:t>
      </w:r>
      <w:r w:rsidRPr="00FC5469">
        <w:rPr>
          <w:rtl/>
          <w:lang w:val="en-US" w:bidi="ar-SA"/>
        </w:rPr>
        <w:t xml:space="preserve">ها وحدة بروتوكول مونتريال" من أجل إظهار الاتجاهات في </w:t>
      </w:r>
      <w:r w:rsidR="00146E20" w:rsidRPr="00FC5469">
        <w:rPr>
          <w:rtl/>
          <w:lang w:val="en-US" w:bidi="ar-SA"/>
        </w:rPr>
        <w:t>الفترة بين عامي 2011 و 2015. وس</w:t>
      </w:r>
      <w:r w:rsidR="00146E20" w:rsidRPr="00FC5469">
        <w:rPr>
          <w:rFonts w:hint="cs"/>
          <w:rtl/>
          <w:lang w:val="en-US" w:bidi="ar-SA"/>
        </w:rPr>
        <w:t>ي</w:t>
      </w:r>
      <w:r w:rsidRPr="00FC5469">
        <w:rPr>
          <w:rtl/>
          <w:lang w:val="en-US" w:bidi="ar-SA"/>
        </w:rPr>
        <w:t xml:space="preserve">تم </w:t>
      </w:r>
      <w:r w:rsidR="00146E20" w:rsidRPr="00FC5469">
        <w:rPr>
          <w:rFonts w:hint="cs"/>
          <w:rtl/>
          <w:lang w:val="en-US" w:bidi="ar-SA"/>
        </w:rPr>
        <w:t>حذف</w:t>
      </w:r>
      <w:r w:rsidR="00146E20" w:rsidRPr="00FC5469">
        <w:rPr>
          <w:rtl/>
          <w:lang w:val="en-US" w:bidi="ar-SA"/>
        </w:rPr>
        <w:t xml:space="preserve"> هذه البن</w:t>
      </w:r>
      <w:r w:rsidR="00FC5469" w:rsidRPr="00FC5469">
        <w:rPr>
          <w:rtl/>
          <w:lang w:val="en-US" w:bidi="ar-SA"/>
        </w:rPr>
        <w:t>ود</w:t>
      </w:r>
      <w:r w:rsidR="00146E20" w:rsidRPr="00FC5469">
        <w:rPr>
          <w:rtl/>
          <w:lang w:val="en-US" w:bidi="ar-SA"/>
        </w:rPr>
        <w:t xml:space="preserve"> </w:t>
      </w:r>
      <w:r w:rsidR="00146E20" w:rsidRPr="00FC5469">
        <w:rPr>
          <w:rFonts w:hint="cs"/>
          <w:rtl/>
          <w:lang w:val="en-US" w:bidi="ar-SA"/>
        </w:rPr>
        <w:t>مع مرور الوقت</w:t>
      </w:r>
      <w:r w:rsidRPr="00FC5469">
        <w:rPr>
          <w:rtl/>
          <w:lang w:val="en-US" w:bidi="ar-SA"/>
        </w:rPr>
        <w:t>.</w:t>
      </w:r>
    </w:p>
    <w:p w14:paraId="604B12D2" w14:textId="77777777" w:rsidR="00C63385" w:rsidRPr="00FC5469" w:rsidRDefault="00C63385" w:rsidP="00146E20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 w:rsidRPr="00FC5469">
        <w:rPr>
          <w:rtl/>
          <w:lang w:val="en-US" w:bidi="ar-SA"/>
        </w:rPr>
        <w:t>*</w:t>
      </w:r>
      <w:r w:rsidR="00146E20" w:rsidRPr="00FC5469">
        <w:rPr>
          <w:rtl/>
          <w:lang w:val="en-US" w:bidi="ar-SA"/>
        </w:rPr>
        <w:t>** لعام 2021</w:t>
      </w:r>
      <w:r w:rsidRPr="00FC5469">
        <w:rPr>
          <w:rtl/>
          <w:lang w:val="en-US" w:bidi="ar-SA"/>
        </w:rPr>
        <w:t>، بما في ذلك تكاليف دعم الوكالة المعتم</w:t>
      </w:r>
      <w:r w:rsidR="00146E20" w:rsidRPr="00FC5469">
        <w:rPr>
          <w:rtl/>
          <w:lang w:val="en-US" w:bidi="ar-SA"/>
        </w:rPr>
        <w:t>دة في الاجتماع السابع والثمانين</w:t>
      </w:r>
      <w:r w:rsidRPr="00FC5469">
        <w:rPr>
          <w:rtl/>
          <w:lang w:val="en-US" w:bidi="ar-SA"/>
        </w:rPr>
        <w:t xml:space="preserve">، وقيمة تكاليف دعم الوكالة وتكاليف الوحدة الأساسية من </w:t>
      </w:r>
      <w:r w:rsidR="00146E20" w:rsidRPr="00FC5469">
        <w:rPr>
          <w:rFonts w:hint="cs"/>
          <w:rtl/>
          <w:lang w:val="en-US" w:bidi="ar-SA"/>
        </w:rPr>
        <w:t>الطلبات المقدمة</w:t>
      </w:r>
      <w:r w:rsidRPr="00FC5469">
        <w:rPr>
          <w:rtl/>
          <w:lang w:val="en-US" w:bidi="ar-SA"/>
        </w:rPr>
        <w:t xml:space="preserve"> إلى الاجتماع الثامن والثمانين.</w:t>
      </w:r>
    </w:p>
    <w:p w14:paraId="3B1DDBAE" w14:textId="77777777" w:rsidR="00C63385" w:rsidRPr="00FC5469" w:rsidRDefault="00C63385" w:rsidP="00146E20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val="en-US" w:bidi="ar-SA"/>
        </w:rPr>
      </w:pPr>
      <w:r w:rsidRPr="00FC5469">
        <w:rPr>
          <w:rtl/>
          <w:lang w:val="en-US" w:bidi="ar-SA"/>
        </w:rPr>
        <w:t>**** لا يشمل أي رصيد من السنوات السابقة لعام 2002.</w:t>
      </w:r>
    </w:p>
    <w:p w14:paraId="03817071" w14:textId="77777777" w:rsidR="00146E20" w:rsidRDefault="00146E20" w:rsidP="00C63385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rtl/>
          <w:lang w:val="en-US" w:bidi="ar-SA"/>
        </w:rPr>
      </w:pPr>
    </w:p>
    <w:p w14:paraId="17C34471" w14:textId="77777777" w:rsidR="002A6DA7" w:rsidRPr="00146E20" w:rsidRDefault="00517733" w:rsidP="00146E20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rtl/>
          <w:lang w:val="en-US" w:bidi="ar-SA"/>
        </w:rPr>
      </w:pPr>
      <w:r>
        <w:rPr>
          <w:rFonts w:hint="cs"/>
          <w:b/>
          <w:bCs/>
          <w:sz w:val="24"/>
          <w:szCs w:val="24"/>
          <w:rtl/>
          <w:lang w:val="en-US" w:bidi="ar-SA"/>
        </w:rPr>
        <w:t>منظمة الأمم المتحدة للتنمية الصناعية (</w:t>
      </w:r>
      <w:r w:rsidR="002A6DA7" w:rsidRPr="00146E20">
        <w:rPr>
          <w:rFonts w:hint="cs"/>
          <w:b/>
          <w:bCs/>
          <w:sz w:val="24"/>
          <w:szCs w:val="24"/>
          <w:rtl/>
          <w:lang w:val="en-US" w:bidi="ar-SA"/>
        </w:rPr>
        <w:t>اليونيدو</w:t>
      </w:r>
      <w:r>
        <w:rPr>
          <w:rFonts w:hint="cs"/>
          <w:b/>
          <w:bCs/>
          <w:sz w:val="24"/>
          <w:szCs w:val="24"/>
          <w:rtl/>
          <w:lang w:val="en-US" w:bidi="ar-SA"/>
        </w:rPr>
        <w:t>)</w:t>
      </w:r>
    </w:p>
    <w:tbl>
      <w:tblPr>
        <w:bidiVisual/>
        <w:tblW w:w="13842" w:type="dxa"/>
        <w:tblInd w:w="11" w:type="dxa"/>
        <w:tblLook w:val="04A0" w:firstRow="1" w:lastRow="0" w:firstColumn="1" w:lastColumn="0" w:noHBand="0" w:noVBand="1"/>
      </w:tblPr>
      <w:tblGrid>
        <w:gridCol w:w="3415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31"/>
        <w:gridCol w:w="936"/>
      </w:tblGrid>
      <w:tr w:rsidR="002A6DA7" w:rsidRPr="00A81A77" w14:paraId="6AB0F6DE" w14:textId="77777777" w:rsidTr="00532D4A">
        <w:trPr>
          <w:trHeight w:val="50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6F07" w14:textId="77777777" w:rsidR="002A6DA7" w:rsidRPr="00E85760" w:rsidRDefault="00E55F02" w:rsidP="00E55F02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بند التكلفة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406C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6A1E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D68A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5D94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AA8B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5DAE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B095" w14:textId="77777777" w:rsidR="002A6DA7" w:rsidRPr="00A81A77" w:rsidRDefault="002A6DA7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0BD5" w14:textId="77777777" w:rsidR="002A6DA7" w:rsidRPr="00A81A77" w:rsidRDefault="002A6DA7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E410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2020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130D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C060" w14:textId="77777777" w:rsidR="002A6DA7" w:rsidRPr="00A81A77" w:rsidRDefault="002A6DA7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2022</w:t>
            </w:r>
          </w:p>
        </w:tc>
      </w:tr>
      <w:tr w:rsidR="00E85760" w:rsidRPr="00A81A77" w14:paraId="6FD3D92F" w14:textId="77777777" w:rsidTr="00532D4A">
        <w:trPr>
          <w:trHeight w:val="82"/>
          <w:tblHeader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943E" w14:textId="77777777" w:rsidR="00E85760" w:rsidRPr="00A81A77" w:rsidRDefault="00E85760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D016" w14:textId="77777777" w:rsidR="00E85760" w:rsidRPr="00A81A77" w:rsidRDefault="00E85760" w:rsidP="00E85760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B35D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A253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EBB8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A13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B16B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1748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2BF2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A4C8" w14:textId="77777777" w:rsidR="00E85760" w:rsidRDefault="00E85760" w:rsidP="00E85760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332C" w14:textId="77777777" w:rsidR="00E85760" w:rsidRPr="00A81A77" w:rsidRDefault="00E85760" w:rsidP="00E85760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الميزانية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E066" w14:textId="77777777" w:rsidR="00E85760" w:rsidRPr="00A81A77" w:rsidRDefault="00E85760" w:rsidP="00E85760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التقديرية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727B" w14:textId="77777777" w:rsidR="00E85760" w:rsidRPr="00A81A77" w:rsidRDefault="00E85760" w:rsidP="00E85760">
            <w:pPr>
              <w:bidi/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en-CA"/>
              </w:rPr>
              <w:t>المقترحة</w:t>
            </w:r>
          </w:p>
        </w:tc>
      </w:tr>
      <w:tr w:rsidR="00E76AE6" w:rsidRPr="00A81A77" w14:paraId="56C388F3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CDB2" w14:textId="77777777" w:rsidR="00E76AE6" w:rsidRPr="00A81A77" w:rsidRDefault="00E76AE6" w:rsidP="00E76AE6">
            <w:pPr>
              <w:bidi/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en-CA"/>
              </w:rPr>
              <w:t>ألف- الوحدة الأساسية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F59E" w14:textId="77777777" w:rsidR="00E76AE6" w:rsidRPr="00A81A77" w:rsidRDefault="00E76AE6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5A9B" w14:textId="77777777" w:rsidR="00E76AE6" w:rsidRPr="00A81A77" w:rsidRDefault="00E76AE6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CC98" w14:textId="77777777" w:rsidR="00E76AE6" w:rsidRPr="00A81A77" w:rsidRDefault="00E76AE6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A65B" w14:textId="77777777" w:rsidR="00E76AE6" w:rsidRPr="00A81A77" w:rsidRDefault="00E76AE6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C150" w14:textId="77777777" w:rsidR="00E76AE6" w:rsidRPr="00A81A77" w:rsidRDefault="00E76AE6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BBC8" w14:textId="77777777" w:rsidR="00E76AE6" w:rsidRPr="00A81A77" w:rsidRDefault="00E76AE6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B775" w14:textId="77777777" w:rsidR="00E76AE6" w:rsidRPr="00A81A77" w:rsidRDefault="00E76AE6" w:rsidP="00716BCE">
            <w:pPr>
              <w:jc w:val="lef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C824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CF3E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3FE9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A4F0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561D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12997DEE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BA34" w14:textId="77777777" w:rsidR="00E76AE6" w:rsidRPr="00377AF2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العاملون في الوحدة الأساسية والموظفون المتعاقدون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3442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1,550,900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99D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1,445,700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EE4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1,380,600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0E90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1,293,800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7730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1,383,600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543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1,501,300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8B6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1,307,624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1549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1,351,602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58B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1,416,184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BA4B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1,294,600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C55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1,289,700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31E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1,395,100</w:t>
            </w:r>
          </w:p>
        </w:tc>
      </w:tr>
      <w:tr w:rsidR="00E76AE6" w:rsidRPr="00A81A77" w14:paraId="2A5DDDDD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D57A" w14:textId="77777777" w:rsidR="00E76AE6" w:rsidRPr="00377AF2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السفر (الموظفون والاستشاريون)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5DC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175,100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2E1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284,000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659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161,800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7E3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147,700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150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161,100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13A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157,800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9A2C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196,736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862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137,864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EC2B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16,004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0656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121,700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ED7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522A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200,000</w:t>
            </w:r>
          </w:p>
        </w:tc>
      </w:tr>
      <w:tr w:rsidR="00E76AE6" w:rsidRPr="00A81A77" w14:paraId="2922EA1F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417F" w14:textId="77777777" w:rsidR="00E76AE6" w:rsidRPr="00377AF2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99A7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89,300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6087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99,400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F21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71,800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F88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75,400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5E5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76,200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FC82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76,600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088D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80,548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F6D9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84,323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8C57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84,131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D792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73,900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E072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73,300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382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71,800</w:t>
            </w:r>
          </w:p>
        </w:tc>
      </w:tr>
      <w:tr w:rsidR="00E76AE6" w:rsidRPr="00A81A77" w14:paraId="420F6551" w14:textId="77777777" w:rsidTr="00E85760">
        <w:trPr>
          <w:trHeight w:val="9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5D96" w14:textId="77777777" w:rsidR="00E76AE6" w:rsidRPr="00377AF2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المعدات والإمدادات والتكاليف الأخرى (أجهزة الكمبيوتر والإمدادات وغيرها)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116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30,900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0C1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51,800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90F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41,100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660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52,600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B06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30,900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FA93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48,000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9CFC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33,842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699B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63,164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3506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33,721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1F9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B9C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34,800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AE0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49,800</w:t>
            </w:r>
          </w:p>
        </w:tc>
      </w:tr>
      <w:tr w:rsidR="00E76AE6" w:rsidRPr="00A81A77" w14:paraId="78621B4F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B59B" w14:textId="77777777" w:rsidR="00E76AE6" w:rsidRPr="002D311B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الخدمات التعاقدية (الشركات)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EBB4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1D8D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76C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6261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17,500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D6CA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DC0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A773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B561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6,356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1279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2,455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6355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16,700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704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F057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19,000</w:t>
            </w:r>
          </w:p>
        </w:tc>
      </w:tr>
      <w:tr w:rsidR="00E76AE6" w:rsidRPr="00A81A77" w14:paraId="49D84F6F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A081" w14:textId="77777777" w:rsidR="00E76AE6" w:rsidRPr="002D311B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تكاليف الخدمات المركزية لموظفي الوحدة الأساسية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69FA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414,200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71F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498,800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CC67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454,200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6EE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447,300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35F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432,900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239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471,600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300B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442,123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0E2D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464,626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E20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496,559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5FB1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467,100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DCC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421,900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58B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541,200</w:t>
            </w:r>
          </w:p>
        </w:tc>
      </w:tr>
      <w:tr w:rsidR="00E76AE6" w:rsidRPr="00A81A77" w14:paraId="259DD408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4113" w14:textId="77777777" w:rsidR="00E76AE6" w:rsidRPr="002D311B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الناقص و- = الفائض)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310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-276,539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72B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-381,947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D7E1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-99,058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C72D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-7,771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EDAD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-44,985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E800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-205,200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4641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7,931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0801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-24,066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C06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49,404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893B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9DC2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202,300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0919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-240,746</w:t>
            </w:r>
          </w:p>
        </w:tc>
      </w:tr>
      <w:tr w:rsidR="00E76AE6" w:rsidRPr="00A81A77" w14:paraId="120AD6B0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097A" w14:textId="77777777" w:rsidR="00E76AE6" w:rsidRPr="002D311B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6D9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9672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63AA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38D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5FE9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0BE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F88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-7,931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6DA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AC02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-49,404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AABB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B840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53CE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</w:tr>
      <w:tr w:rsidR="00E76AE6" w:rsidRPr="00A81A77" w14:paraId="7B701AE7" w14:textId="77777777" w:rsidTr="00E85760">
        <w:trPr>
          <w:trHeight w:val="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D10A" w14:textId="77777777" w:rsidR="00E76AE6" w:rsidRPr="00A81A77" w:rsidRDefault="00E76AE6" w:rsidP="00E76AE6">
            <w:pPr>
              <w:bidi/>
              <w:rPr>
                <w:b/>
                <w:bCs/>
                <w:sz w:val="16"/>
                <w:szCs w:val="16"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ألف- المجموع الفرعي لتكاليف الوحدة الأساسية*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41D4" w14:textId="77777777" w:rsidR="00E76AE6" w:rsidRPr="00A81A77" w:rsidRDefault="00E76AE6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1,984,561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29A6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1,998,453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91A9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2,012,442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B765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2,026,529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5D9B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2,040,715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DAD4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2,055,000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B07C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2,061,454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6B1A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2,083,870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870F" w14:textId="77777777" w:rsidR="00E76AE6" w:rsidRPr="00F7504D" w:rsidRDefault="00E76AE6" w:rsidP="00716BCE">
            <w:pPr>
              <w:jc w:val="right"/>
              <w:rPr>
                <w:b/>
                <w:sz w:val="16"/>
                <w:szCs w:val="16"/>
                <w:lang w:eastAsia="en-CA"/>
              </w:rPr>
            </w:pPr>
            <w:r w:rsidRPr="00F7504D">
              <w:rPr>
                <w:b/>
                <w:sz w:val="16"/>
                <w:szCs w:val="16"/>
                <w:lang w:eastAsia="en-CA"/>
              </w:rPr>
              <w:t>2,049,054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1049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2,022,000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7F17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2,022,000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3C2C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2,036,154</w:t>
            </w:r>
          </w:p>
        </w:tc>
      </w:tr>
      <w:tr w:rsidR="00E76AE6" w:rsidRPr="00A81A77" w14:paraId="51F827D6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1598" w14:textId="77777777" w:rsidR="00E76AE6" w:rsidRPr="00E128D9" w:rsidRDefault="00E76AE6" w:rsidP="00AF08B7">
            <w:pPr>
              <w:bidi/>
              <w:jc w:val="left"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تكاليف دعم الوكالة / التنفيذ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1D7F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4A3B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A301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5AF1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B9E0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968D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6055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9729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EA85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B600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F4FE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D89B1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5D99322E" w14:textId="77777777" w:rsidTr="00E85760">
        <w:trPr>
          <w:trHeight w:val="2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2318" w14:textId="77777777" w:rsidR="00E76AE6" w:rsidRPr="00A81A77" w:rsidRDefault="00E76AE6" w:rsidP="00E76AE6">
            <w:pPr>
              <w:bidi/>
              <w:rPr>
                <w:sz w:val="16"/>
                <w:szCs w:val="16"/>
                <w:lang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تكاليف المكاتب القطرية والتنفيذ الوطني،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2E34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1,818,300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5C9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3,602,000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665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1,814,900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2FF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1,327,500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EE53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1,145,400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A69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584,300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0C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729,854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985F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1,339,603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36D3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814,755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0CF9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1,444,000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A1D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916,900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B3C4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906,800</w:t>
            </w:r>
          </w:p>
        </w:tc>
      </w:tr>
      <w:tr w:rsidR="00E76AE6" w:rsidRPr="00A81A77" w14:paraId="11476BE2" w14:textId="77777777" w:rsidTr="00E85760">
        <w:trPr>
          <w:trHeight w:val="1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EF98" w14:textId="77777777" w:rsidR="00E76AE6" w:rsidRPr="00E128D9" w:rsidRDefault="00E76AE6" w:rsidP="00E76AE6">
            <w:pPr>
              <w:bidi/>
              <w:rPr>
                <w:sz w:val="16"/>
                <w:szCs w:val="16"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دعم الوكالة المنفذة (داخليا)،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6EBD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2,900,900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1E4D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3,302,800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6169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2,913,500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F980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2,289,600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5CD1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1,600,400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BC67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1,703,200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ACA3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1,354,611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AE4D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1,386,593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8595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1,352,699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7526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1,586,200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32B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762,100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25E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1,686,200</w:t>
            </w:r>
          </w:p>
        </w:tc>
      </w:tr>
      <w:tr w:rsidR="00E76AE6" w:rsidRPr="00A81A77" w14:paraId="52E92FD4" w14:textId="77777777" w:rsidTr="00E85760">
        <w:trPr>
          <w:trHeight w:val="7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89D3" w14:textId="77777777" w:rsidR="00E76AE6" w:rsidRPr="00A81A77" w:rsidRDefault="00E76AE6" w:rsidP="00E76AE6">
            <w:pPr>
              <w:bidi/>
              <w:rPr>
                <w:sz w:val="16"/>
                <w:szCs w:val="16"/>
                <w:lang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الوسائط المالية،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63D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9A4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82B2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B0C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41B1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121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FB8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B387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0613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046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ED2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2C02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</w:tr>
      <w:tr w:rsidR="00E76AE6" w:rsidRPr="00A81A77" w14:paraId="40EE19DF" w14:textId="77777777" w:rsidTr="00E85760">
        <w:trPr>
          <w:trHeight w:val="14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AF75" w14:textId="77777777" w:rsidR="00E76AE6" w:rsidRPr="00E128D9" w:rsidRDefault="00E76AE6" w:rsidP="00E76AE6">
            <w:pPr>
              <w:bidi/>
              <w:rPr>
                <w:sz w:val="16"/>
                <w:szCs w:val="16"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الخدمات المركزية لموظفي الوحدة الأساسية (بما في ذلك النفقات الثابتة)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F45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A453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C67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938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7DA3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A1E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9333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F08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658C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AB6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D4CD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7C29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61A61FE8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45D9" w14:textId="77777777" w:rsidR="00E76AE6" w:rsidRPr="00FE26D1" w:rsidRDefault="00E76AE6" w:rsidP="00E76AE6">
            <w:pPr>
              <w:bidi/>
              <w:jc w:val="left"/>
              <w:rPr>
                <w:color w:val="000000"/>
                <w:sz w:val="20"/>
                <w:lang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استعادة التكلفة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546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9A3B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A6B7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C02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73C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855E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7C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D44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1B4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662E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E86C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5EC9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</w:tr>
      <w:tr w:rsidR="00E76AE6" w:rsidRPr="00A81A77" w14:paraId="24B57416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EDC9" w14:textId="77777777" w:rsidR="00E76AE6" w:rsidRPr="001A4901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الفائض و- = الناقص)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FE1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276,539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18B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381,947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CB79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99,058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CD1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7,771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564D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44,985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A03D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205,200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1CF2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797C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24,066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506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6EC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0589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-202,300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1251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240,746</w:t>
            </w:r>
          </w:p>
        </w:tc>
      </w:tr>
      <w:tr w:rsidR="00E76AE6" w:rsidRPr="00A81A77" w14:paraId="20263933" w14:textId="77777777" w:rsidTr="00E85760">
        <w:trPr>
          <w:trHeight w:val="9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2E7B" w14:textId="77777777" w:rsidR="00E76AE6" w:rsidRPr="00C620F0" w:rsidRDefault="00E76AE6" w:rsidP="00E76AE6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المشروع (- = الذي سيخصم وبالتالي سيلغى)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1142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CC05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CBAC0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36E8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567F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-187,800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157C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-134,800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1D9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-136,283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517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-38,099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4F2D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1803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FA70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823D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0</w:t>
            </w:r>
          </w:p>
        </w:tc>
      </w:tr>
      <w:tr w:rsidR="00E76AE6" w:rsidRPr="00A81A77" w14:paraId="2C52D3D8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279A" w14:textId="77777777" w:rsidR="00E76AE6" w:rsidRPr="00C85D70" w:rsidRDefault="00E76AE6" w:rsidP="00E76AE6">
            <w:pPr>
              <w:bidi/>
              <w:jc w:val="left"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المجموع الفرعي لتكاليف دعم الوكالة /</w:t>
            </w:r>
            <w:r w:rsidR="00551507"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تكاليف التنفيذ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231F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56EC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5C8D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4545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3CD0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2,602,985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BC0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2,357,900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7377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1,948,182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7758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2,712,163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5704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F7504D">
              <w:rPr>
                <w:b/>
                <w:bCs/>
                <w:sz w:val="16"/>
                <w:szCs w:val="16"/>
                <w:lang w:eastAsia="en-CA"/>
              </w:rPr>
              <w:t>2,167,455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0B98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3,030,200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A992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1,476,700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40B3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2,833,746</w:t>
            </w:r>
          </w:p>
        </w:tc>
      </w:tr>
      <w:tr w:rsidR="00E76AE6" w:rsidRPr="00A81A77" w14:paraId="2418E6B5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BD85" w14:textId="77777777" w:rsidR="00E76AE6" w:rsidRPr="00A81A77" w:rsidRDefault="00E76AE6" w:rsidP="00E76AE6">
            <w:pPr>
              <w:bidi/>
              <w:rPr>
                <w:b/>
                <w:bCs/>
                <w:sz w:val="16"/>
                <w:szCs w:val="16"/>
                <w:rtl/>
                <w:lang w:eastAsia="en-CA" w:bidi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en-CA" w:bidi="ar-SA"/>
              </w:rPr>
              <w:t>إجمالي تكاليف الدعم الإداري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45B3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6,980,300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A836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9,285,200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1032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6,839,900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37F7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5,651,400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C47D" w14:textId="77777777" w:rsidR="00E76AE6" w:rsidRPr="00A81A77" w:rsidRDefault="00E76AE6" w:rsidP="00716BCE">
            <w:pPr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CD60" w14:textId="77777777" w:rsidR="00E76AE6" w:rsidRPr="00A81A77" w:rsidRDefault="00E76AE6" w:rsidP="00716BCE">
            <w:pPr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86CE" w14:textId="77777777" w:rsidR="00E76AE6" w:rsidRPr="00A81A77" w:rsidRDefault="00E76AE6" w:rsidP="00716BCE">
            <w:pPr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901B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6500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A151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84FA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61E1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6A9BEC13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6BCB" w14:textId="77777777" w:rsidR="00E76AE6" w:rsidRPr="00BC0F30" w:rsidRDefault="00AF08B7" w:rsidP="00E76AE6">
            <w:pPr>
              <w:bidi/>
              <w:rPr>
                <w:sz w:val="16"/>
                <w:szCs w:val="16"/>
                <w:rtl/>
                <w:lang w:val="en-US" w:eastAsia="en-CA" w:bidi="ar-SA"/>
              </w:rPr>
            </w:pPr>
            <w:r w:rsidRPr="00AF08B7">
              <w:rPr>
                <w:sz w:val="16"/>
                <w:szCs w:val="16"/>
                <w:rtl/>
                <w:lang w:val="en-US" w:eastAsia="en-CA" w:bidi="ar-SA"/>
              </w:rPr>
              <w:lastRenderedPageBreak/>
              <w:t>ناقص التكاليف المتعلقة بالمشروع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33DF" w14:textId="77777777" w:rsidR="00E76AE6" w:rsidRPr="00A81A77" w:rsidRDefault="00E76AE6" w:rsidP="00716BCE">
            <w:pPr>
              <w:ind w:left="-117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-1,798,710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C5C8" w14:textId="77777777" w:rsidR="00E76AE6" w:rsidRPr="00A81A77" w:rsidRDefault="00E76AE6" w:rsidP="00716BCE">
            <w:pPr>
              <w:ind w:left="-117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-2,464,200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657" w14:textId="77777777" w:rsidR="00E76AE6" w:rsidRPr="00A81A77" w:rsidRDefault="00E76AE6" w:rsidP="00716BCE">
            <w:pPr>
              <w:ind w:left="-126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-2,308,000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0BE6" w14:textId="77777777" w:rsidR="00E76AE6" w:rsidRPr="00A81A77" w:rsidRDefault="00E76AE6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-977,800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266E" w14:textId="77777777" w:rsidR="00E76AE6" w:rsidRPr="00A81A77" w:rsidRDefault="00E76AE6" w:rsidP="00716BCE">
            <w:pPr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4CC9" w14:textId="77777777" w:rsidR="00E76AE6" w:rsidRPr="00A81A77" w:rsidRDefault="00E76AE6" w:rsidP="00716BCE">
            <w:pPr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9A8D" w14:textId="77777777" w:rsidR="00E76AE6" w:rsidRPr="00A81A77" w:rsidRDefault="00E76AE6" w:rsidP="00716BCE">
            <w:pPr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03C3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4973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930C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1E23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D20C" w14:textId="77777777" w:rsidR="00E76AE6" w:rsidRPr="00A81A77" w:rsidRDefault="00E76AE6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75696334" w14:textId="77777777" w:rsidTr="00E85760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8D4F" w14:textId="77777777" w:rsidR="00E76AE6" w:rsidRPr="00BC0F30" w:rsidRDefault="00E76AE6" w:rsidP="00E76AE6">
            <w:pPr>
              <w:bidi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val="en-US" w:eastAsia="en-CA" w:bidi="ar-SA"/>
              </w:rPr>
              <w:t>المجموع الكلي (ألف + باء)**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0BEF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5,181,590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8998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6,821,000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67C8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4,531,900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3C26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4,673,600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4523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4,643,700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268E" w14:textId="77777777" w:rsidR="00E76AE6" w:rsidRPr="00A81A77" w:rsidRDefault="00E76AE6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4,412,900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036F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4,009,636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277BD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4,796,033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7343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F7504D">
              <w:rPr>
                <w:b/>
                <w:bCs/>
                <w:sz w:val="16"/>
                <w:szCs w:val="16"/>
                <w:lang w:eastAsia="en-CA"/>
              </w:rPr>
              <w:t>4,216,509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B6DE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5,052,200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4135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3,498,700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70EE" w14:textId="77777777" w:rsidR="00E76AE6" w:rsidRPr="00A81A77" w:rsidRDefault="00E76AE6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4,869,900</w:t>
            </w:r>
          </w:p>
        </w:tc>
      </w:tr>
      <w:tr w:rsidR="00E76AE6" w:rsidRPr="00A81A77" w14:paraId="35BF60CE" w14:textId="77777777" w:rsidTr="00E76AE6">
        <w:trPr>
          <w:trHeight w:val="7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EC2" w14:textId="77777777" w:rsidR="00E76AE6" w:rsidRPr="00A950FF" w:rsidRDefault="00E76AE6" w:rsidP="00E76AE6">
            <w:pPr>
              <w:bidi/>
              <w:jc w:val="left"/>
              <w:rPr>
                <w:color w:val="000000"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val="en-US" w:eastAsia="en-CA" w:bidi="ar-SA"/>
              </w:rPr>
              <w:t>صافي تكاليف دعم الوكالة زائد تكاليف الوحدة الأساسية***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45D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4,369,868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D1CD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4,216,594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5BA5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3,996,254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AF4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4,706,844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AEB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4,581,895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17B9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3,411,570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DB50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4,378,967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745E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3,469,402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E7A2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3,142,479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EF25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283E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3,841,253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CF81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1AC59EDE" w14:textId="77777777" w:rsidTr="00E76AE6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899E" w14:textId="77777777" w:rsidR="00E76AE6" w:rsidRPr="00A81A77" w:rsidRDefault="00E76AE6" w:rsidP="00E76AE6">
            <w:pPr>
              <w:bidi/>
              <w:jc w:val="left"/>
              <w:rPr>
                <w:color w:val="000000"/>
                <w:sz w:val="16"/>
                <w:szCs w:val="16"/>
                <w:rtl/>
                <w:lang w:eastAsia="en-CA" w:bidi="ar-S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إجمالي التكاليف الإدارية</w:t>
            </w:r>
            <w:r w:rsidR="00AF08B7"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 xml:space="preserve"> شاملا التكاليف المتعلقة بالمشروع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308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5,181,590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01AF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6,821,000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663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4,531,900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75C4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4,673,600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D0F8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4,643,700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A217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4,412,900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510D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4,009,636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53EF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4,796,033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ED76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4,216,509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A89A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E286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3,498,700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32EE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1262A4CC" w14:textId="77777777" w:rsidTr="00E76AE6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6C4A" w14:textId="77777777" w:rsidR="00E76AE6" w:rsidRPr="00A950FF" w:rsidRDefault="00E76AE6" w:rsidP="00E76AE6">
            <w:pPr>
              <w:bidi/>
              <w:jc w:val="left"/>
              <w:rPr>
                <w:color w:val="000000"/>
                <w:sz w:val="16"/>
                <w:szCs w:val="16"/>
                <w:lang w:val="en-US" w:eastAsia="en-C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الرصيد لكل سنة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0ADB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-811,722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4155" w14:textId="77777777" w:rsidR="00E76AE6" w:rsidRPr="00A81A77" w:rsidRDefault="00E76AE6" w:rsidP="00716BCE">
            <w:pPr>
              <w:ind w:left="-117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-2,604,406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488C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-535,646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0791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33,244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FDF2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-61,805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1691" w14:textId="77777777" w:rsidR="00E76AE6" w:rsidRPr="00A81A77" w:rsidRDefault="00E76AE6" w:rsidP="00716BCE">
            <w:pPr>
              <w:ind w:left="-145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-1,001,330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707F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369,331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9E57" w14:textId="77777777" w:rsidR="00E76AE6" w:rsidRPr="00A81A77" w:rsidRDefault="00E76AE6" w:rsidP="00716BCE">
            <w:pPr>
              <w:ind w:left="-154"/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-1,326,631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4026" w14:textId="77777777" w:rsidR="00E76AE6" w:rsidRPr="00A81A77" w:rsidRDefault="00E76AE6" w:rsidP="00716BCE">
            <w:pPr>
              <w:ind w:left="-77"/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-1,074,030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FC1F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1717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342,553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A16C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  <w:tr w:rsidR="00E76AE6" w:rsidRPr="00A81A77" w14:paraId="0A5E51D8" w14:textId="77777777" w:rsidTr="00E76AE6">
        <w:trPr>
          <w:trHeight w:val="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3A0" w14:textId="77777777" w:rsidR="00E76AE6" w:rsidRPr="00A81A77" w:rsidRDefault="00E76AE6" w:rsidP="00E76AE6">
            <w:pPr>
              <w:bidi/>
              <w:jc w:val="left"/>
              <w:rPr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الرصيد الجاري****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4FD7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1,057,129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8EFF" w14:textId="77777777" w:rsidR="00E76AE6" w:rsidRPr="00A81A77" w:rsidRDefault="00E76AE6" w:rsidP="00716BCE">
            <w:pPr>
              <w:ind w:left="-117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-1,547,277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A6B2" w14:textId="77777777" w:rsidR="00E76AE6" w:rsidRPr="00A81A77" w:rsidRDefault="00E76AE6" w:rsidP="00716BCE">
            <w:pPr>
              <w:ind w:left="-126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-2,082,924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079B" w14:textId="77777777" w:rsidR="00E76AE6" w:rsidRPr="00A81A77" w:rsidRDefault="00E76AE6" w:rsidP="00716BCE">
            <w:pPr>
              <w:ind w:left="-267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-2,049,680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9269" w14:textId="77777777" w:rsidR="00E76AE6" w:rsidRPr="00A81A77" w:rsidRDefault="00E76AE6" w:rsidP="00716BCE">
            <w:pPr>
              <w:ind w:left="-135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-2,111,485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9C77" w14:textId="77777777" w:rsidR="00E76AE6" w:rsidRPr="00A81A77" w:rsidRDefault="00E76AE6" w:rsidP="00716BCE">
            <w:pPr>
              <w:ind w:left="-145"/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-3,112,815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3E4C" w14:textId="77777777" w:rsidR="00E76AE6" w:rsidRPr="00A81A77" w:rsidRDefault="00E76AE6" w:rsidP="00716BCE">
            <w:pPr>
              <w:ind w:left="-154"/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-2,743,484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C4DF" w14:textId="77777777" w:rsidR="00E76AE6" w:rsidRPr="00A81A77" w:rsidRDefault="00E76AE6" w:rsidP="00716BCE">
            <w:pPr>
              <w:ind w:left="-156"/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-4,070,115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81FF" w14:textId="77777777" w:rsidR="00E76AE6" w:rsidRPr="00A81A77" w:rsidRDefault="00E76AE6" w:rsidP="00716BCE">
            <w:pPr>
              <w:ind w:left="-77"/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-5,144,145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C517" w14:textId="77777777" w:rsidR="00E76AE6" w:rsidRPr="00A81A77" w:rsidRDefault="00E76AE6" w:rsidP="00716BCE">
            <w:pPr>
              <w:ind w:left="-90"/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D8B2" w14:textId="77777777" w:rsidR="00E76AE6" w:rsidRPr="00A81A77" w:rsidRDefault="00E76AE6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F7504D">
              <w:rPr>
                <w:sz w:val="16"/>
                <w:szCs w:val="16"/>
                <w:lang w:eastAsia="en-CA"/>
              </w:rPr>
              <w:t>-4,801,592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2099" w14:textId="77777777" w:rsidR="00E76AE6" w:rsidRPr="00A81A77" w:rsidRDefault="00E76AE6" w:rsidP="00716BCE">
            <w:pPr>
              <w:jc w:val="lef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 </w:t>
            </w:r>
          </w:p>
        </w:tc>
      </w:tr>
    </w:tbl>
    <w:p w14:paraId="5F769127" w14:textId="77777777" w:rsidR="002A6DA7" w:rsidRPr="00676456" w:rsidRDefault="002A6DA7" w:rsidP="00E76AE6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 w:rsidRPr="00E76AE6">
        <w:rPr>
          <w:rtl/>
          <w:lang w:val="en-US" w:bidi="ar-SA"/>
        </w:rPr>
        <w:t xml:space="preserve">* تكلفة الوحدة الأساسية أعلى من الإجمالي الفرعي المسموح به </w:t>
      </w:r>
      <w:r w:rsidR="00E76AE6">
        <w:rPr>
          <w:rFonts w:hint="cs"/>
          <w:rtl/>
          <w:lang w:val="en-US" w:bidi="ar-SA"/>
        </w:rPr>
        <w:t>وقدره</w:t>
      </w:r>
      <w:r w:rsidRPr="00E76AE6">
        <w:rPr>
          <w:rtl/>
          <w:lang w:val="en-US" w:bidi="ar-SA"/>
        </w:rPr>
        <w:t xml:space="preserve"> 1،984،5</w:t>
      </w:r>
      <w:r w:rsidR="00E76AE6">
        <w:rPr>
          <w:rtl/>
          <w:lang w:val="en-US" w:bidi="ar-SA"/>
        </w:rPr>
        <w:t>61 دولارًا أمريكيًا في عام 2012</w:t>
      </w:r>
      <w:r w:rsidRPr="00E76AE6">
        <w:rPr>
          <w:rtl/>
          <w:lang w:val="en-US" w:bidi="ar-SA"/>
        </w:rPr>
        <w:t>، و 1،998،4</w:t>
      </w:r>
      <w:r w:rsidR="00E76AE6">
        <w:rPr>
          <w:rtl/>
          <w:lang w:val="en-US" w:bidi="ar-SA"/>
        </w:rPr>
        <w:t>53 دولارًا أمريكيًا في عام 2013</w:t>
      </w:r>
      <w:r w:rsidRPr="00E76AE6">
        <w:rPr>
          <w:rtl/>
          <w:lang w:val="en-US" w:bidi="ar-SA"/>
        </w:rPr>
        <w:t xml:space="preserve">، و 2،012،442 دولارًا أمريكيًا </w:t>
      </w:r>
      <w:r w:rsidR="00E76AE6">
        <w:rPr>
          <w:rtl/>
          <w:lang w:val="en-US" w:bidi="ar-SA"/>
        </w:rPr>
        <w:t>في عام 2014</w:t>
      </w:r>
      <w:r w:rsidRPr="00E76AE6">
        <w:rPr>
          <w:rtl/>
          <w:lang w:val="en-US" w:bidi="ar-SA"/>
        </w:rPr>
        <w:t>، و 2،026،5</w:t>
      </w:r>
      <w:r w:rsidR="00E76AE6">
        <w:rPr>
          <w:rtl/>
          <w:lang w:val="en-US" w:bidi="ar-SA"/>
        </w:rPr>
        <w:t>29 دولارًا أمريكيًا في عام 2015</w:t>
      </w:r>
      <w:r w:rsidRPr="00E76AE6">
        <w:rPr>
          <w:rtl/>
          <w:lang w:val="en-US" w:bidi="ar-SA"/>
        </w:rPr>
        <w:t>، و 2،040،7</w:t>
      </w:r>
      <w:r w:rsidR="00E76AE6">
        <w:rPr>
          <w:rtl/>
          <w:lang w:val="en-US" w:bidi="ar-SA"/>
        </w:rPr>
        <w:t>15 دولارًا أمريكيًا في عام 2016</w:t>
      </w:r>
      <w:r w:rsidRPr="00E76AE6">
        <w:rPr>
          <w:rtl/>
          <w:lang w:val="en-US" w:bidi="ar-SA"/>
        </w:rPr>
        <w:t>، و 2،0</w:t>
      </w:r>
      <w:r w:rsidR="00E76AE6">
        <w:rPr>
          <w:rtl/>
          <w:lang w:val="en-US" w:bidi="ar-SA"/>
        </w:rPr>
        <w:t>55،000 دولار أمريكي في عام 2017</w:t>
      </w:r>
      <w:r w:rsidRPr="00E76AE6">
        <w:rPr>
          <w:rtl/>
          <w:lang w:val="en-US" w:bidi="ar-SA"/>
        </w:rPr>
        <w:t>، و 2،083،870</w:t>
      </w:r>
      <w:r w:rsidR="00E76AE6">
        <w:rPr>
          <w:rtl/>
          <w:lang w:val="en-US" w:bidi="ar-SA"/>
        </w:rPr>
        <w:t xml:space="preserve"> دولار أمريكي في عام 2019. لذلك</w:t>
      </w:r>
      <w:r w:rsidRPr="00E76AE6">
        <w:rPr>
          <w:rtl/>
          <w:lang w:val="en-US" w:bidi="ar-SA"/>
        </w:rPr>
        <w:t xml:space="preserve">، تم إدخال </w:t>
      </w:r>
      <w:r w:rsidR="00E76AE6">
        <w:rPr>
          <w:rFonts w:hint="cs"/>
          <w:rtl/>
          <w:lang w:val="en-US" w:bidi="ar-SA"/>
        </w:rPr>
        <w:t>بند تسوية</w:t>
      </w:r>
      <w:r w:rsidRPr="00E76AE6">
        <w:rPr>
          <w:rtl/>
          <w:lang w:val="en-US" w:bidi="ar-SA"/>
        </w:rPr>
        <w:t xml:space="preserve"> وتعديل سلبي للوصول إلى </w:t>
      </w:r>
      <w:r w:rsidR="00E76AE6">
        <w:rPr>
          <w:rFonts w:hint="cs"/>
          <w:rtl/>
          <w:lang w:val="en-US" w:bidi="ar-SA"/>
        </w:rPr>
        <w:t>الحد الأقصى</w:t>
      </w:r>
      <w:r w:rsidRPr="00E76AE6">
        <w:rPr>
          <w:rtl/>
          <w:lang w:val="en-US" w:bidi="ar-SA"/>
        </w:rPr>
        <w:t xml:space="preserve"> المطلوب. </w:t>
      </w:r>
      <w:r w:rsidR="00E76AE6" w:rsidRPr="00676456">
        <w:rPr>
          <w:rtl/>
          <w:lang w:val="en-US" w:bidi="ar-SA"/>
        </w:rPr>
        <w:t xml:space="preserve">كما يتم </w:t>
      </w:r>
      <w:r w:rsidR="00E76AE6" w:rsidRPr="00676456">
        <w:rPr>
          <w:rFonts w:hint="cs"/>
          <w:rtl/>
          <w:lang w:val="en-US" w:bidi="ar-SA"/>
        </w:rPr>
        <w:t>تقديم</w:t>
      </w:r>
      <w:r w:rsidR="00E76AE6" w:rsidRPr="00676456">
        <w:rPr>
          <w:rtl/>
          <w:lang w:val="en-US" w:bidi="ar-SA"/>
        </w:rPr>
        <w:t xml:space="preserve"> تعديل إيجابي مقابل في إطار تكاليف دعم الوكالة / </w:t>
      </w:r>
      <w:r w:rsidR="00E76AE6" w:rsidRPr="00676456">
        <w:rPr>
          <w:rFonts w:hint="cs"/>
          <w:rtl/>
          <w:lang w:val="en-US" w:bidi="ar-SA"/>
        </w:rPr>
        <w:t>ال</w:t>
      </w:r>
      <w:r w:rsidR="00E76AE6" w:rsidRPr="00676456">
        <w:rPr>
          <w:rtl/>
          <w:lang w:val="en-US" w:bidi="ar-SA"/>
        </w:rPr>
        <w:t xml:space="preserve">تنفيذ </w:t>
      </w:r>
      <w:r w:rsidR="00E76AE6" w:rsidRPr="00676456">
        <w:rPr>
          <w:rFonts w:hint="cs"/>
          <w:rtl/>
          <w:lang w:val="en-US" w:bidi="ar-SA"/>
        </w:rPr>
        <w:t>كي يضمن توضيح</w:t>
      </w:r>
      <w:r w:rsidR="00E76AE6" w:rsidRPr="00676456">
        <w:rPr>
          <w:rtl/>
          <w:lang w:val="en-US" w:bidi="ar-SA"/>
        </w:rPr>
        <w:t xml:space="preserve"> إجمالي التكاليف المتكبدة للتكاليف الإدارية المبلغ الذي تجاوزته الوكالة أيضًا</w:t>
      </w:r>
      <w:r w:rsidRPr="00676456">
        <w:rPr>
          <w:rtl/>
          <w:lang w:val="en-US" w:bidi="ar-SA"/>
        </w:rPr>
        <w:t>.</w:t>
      </w:r>
    </w:p>
    <w:p w14:paraId="62AB5C28" w14:textId="77777777" w:rsidR="002A6DA7" w:rsidRPr="008A3F8D" w:rsidRDefault="002A6DA7" w:rsidP="00FC5469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 w:rsidRPr="008A3F8D">
        <w:rPr>
          <w:rtl/>
          <w:lang w:val="en-US" w:bidi="ar-SA"/>
        </w:rPr>
        <w:t xml:space="preserve">** يعكس إجمالي المبلغ السنوي المقدم من الصندوق متعدد الأطراف. </w:t>
      </w:r>
      <w:r w:rsidR="00FC5469" w:rsidRPr="008A3F8D">
        <w:rPr>
          <w:rFonts w:hint="cs"/>
          <w:rtl/>
          <w:lang w:val="en-US" w:bidi="ar-SA"/>
        </w:rPr>
        <w:t>و</w:t>
      </w:r>
      <w:r w:rsidRPr="008A3F8D">
        <w:rPr>
          <w:rtl/>
          <w:lang w:val="en-US" w:bidi="ar-SA"/>
        </w:rPr>
        <w:t xml:space="preserve">في الانتقال إلى </w:t>
      </w:r>
      <w:r w:rsidR="00FC5469" w:rsidRPr="008A3F8D">
        <w:rPr>
          <w:rFonts w:hint="cs"/>
          <w:rtl/>
          <w:lang w:val="en-US" w:bidi="ar-SA"/>
        </w:rPr>
        <w:t>نموذج</w:t>
      </w:r>
      <w:r w:rsidRPr="008A3F8D">
        <w:rPr>
          <w:rtl/>
          <w:lang w:val="en-US" w:bidi="ar-SA"/>
        </w:rPr>
        <w:t xml:space="preserve"> التقارير </w:t>
      </w:r>
      <w:r w:rsidR="00FC5469" w:rsidRPr="008A3F8D">
        <w:rPr>
          <w:rFonts w:hint="cs"/>
          <w:rtl/>
          <w:lang w:val="en-US" w:bidi="ar-SA"/>
        </w:rPr>
        <w:t>المعدل</w:t>
      </w:r>
      <w:r w:rsidRPr="008A3F8D">
        <w:rPr>
          <w:rtl/>
          <w:lang w:val="en-US" w:bidi="ar-SA"/>
        </w:rPr>
        <w:t xml:space="preserve"> ، تنعكس بنود الميزانية "إجمالي تكاليف الدعم الإداري" و "</w:t>
      </w:r>
      <w:r w:rsidR="00FC5469" w:rsidRPr="008A3F8D">
        <w:rPr>
          <w:rFonts w:hint="cs"/>
          <w:rtl/>
          <w:lang w:val="en-US" w:bidi="ar-SA"/>
        </w:rPr>
        <w:t xml:space="preserve">ناقص </w:t>
      </w:r>
      <w:r w:rsidR="00FC5469" w:rsidRPr="008A3F8D">
        <w:rPr>
          <w:rtl/>
          <w:lang w:val="en-US" w:bidi="ar-SA"/>
        </w:rPr>
        <w:t>التكاليف المتعلقة بالمشروع</w:t>
      </w:r>
      <w:r w:rsidRPr="008A3F8D">
        <w:rPr>
          <w:rtl/>
          <w:lang w:val="en-US" w:bidi="ar-SA"/>
        </w:rPr>
        <w:t xml:space="preserve">" من أجل </w:t>
      </w:r>
      <w:r w:rsidR="00FC5469" w:rsidRPr="008A3F8D">
        <w:rPr>
          <w:rtl/>
          <w:lang w:val="en-US" w:bidi="ar-SA"/>
        </w:rPr>
        <w:t>إظهار الاتجاهات في الفترة بين عامي 2011 و 2015. وس</w:t>
      </w:r>
      <w:r w:rsidR="00FC5469" w:rsidRPr="008A3F8D">
        <w:rPr>
          <w:rFonts w:hint="cs"/>
          <w:rtl/>
          <w:lang w:val="en-US" w:bidi="ar-SA"/>
        </w:rPr>
        <w:t>ي</w:t>
      </w:r>
      <w:r w:rsidR="00FC5469" w:rsidRPr="008A3F8D">
        <w:rPr>
          <w:rtl/>
          <w:lang w:val="en-US" w:bidi="ar-SA"/>
        </w:rPr>
        <w:t xml:space="preserve">تم </w:t>
      </w:r>
      <w:r w:rsidR="00FC5469" w:rsidRPr="008A3F8D">
        <w:rPr>
          <w:rFonts w:hint="cs"/>
          <w:rtl/>
          <w:lang w:val="en-US" w:bidi="ar-SA"/>
        </w:rPr>
        <w:t>حذف</w:t>
      </w:r>
      <w:r w:rsidR="00FC5469" w:rsidRPr="008A3F8D">
        <w:rPr>
          <w:rtl/>
          <w:lang w:val="en-US" w:bidi="ar-SA"/>
        </w:rPr>
        <w:t xml:space="preserve"> هذه البنود </w:t>
      </w:r>
      <w:r w:rsidR="00FC5469" w:rsidRPr="008A3F8D">
        <w:rPr>
          <w:rFonts w:hint="cs"/>
          <w:rtl/>
          <w:lang w:val="en-US" w:bidi="ar-SA"/>
        </w:rPr>
        <w:t>مع مرور الوقت</w:t>
      </w:r>
      <w:r w:rsidRPr="008A3F8D">
        <w:rPr>
          <w:rtl/>
          <w:lang w:val="en-US" w:bidi="ar-SA"/>
        </w:rPr>
        <w:t>.</w:t>
      </w:r>
    </w:p>
    <w:p w14:paraId="62FB6650" w14:textId="77777777" w:rsidR="002A6DA7" w:rsidRPr="00E76AE6" w:rsidRDefault="00FC5469" w:rsidP="00FC5469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>
        <w:rPr>
          <w:rtl/>
          <w:lang w:val="en-US" w:bidi="ar-SA"/>
        </w:rPr>
        <w:t>*** لعام 2021</w:t>
      </w:r>
      <w:r w:rsidR="002A6DA7" w:rsidRPr="00E76AE6">
        <w:rPr>
          <w:rtl/>
          <w:lang w:val="en-US" w:bidi="ar-SA"/>
        </w:rPr>
        <w:t>، بما في ذلك تكاليف دعم الوكالة المعتم</w:t>
      </w:r>
      <w:r>
        <w:rPr>
          <w:rtl/>
          <w:lang w:val="en-US" w:bidi="ar-SA"/>
        </w:rPr>
        <w:t>دة في الاجتماع السابع والثمانين</w:t>
      </w:r>
      <w:r w:rsidR="002A6DA7" w:rsidRPr="00E76AE6">
        <w:rPr>
          <w:rtl/>
          <w:lang w:val="en-US" w:bidi="ar-SA"/>
        </w:rPr>
        <w:t xml:space="preserve">، وقيمة تكاليف دعم الوكالة وتكاليف الوحدة الأساسية من </w:t>
      </w:r>
      <w:r>
        <w:rPr>
          <w:rFonts w:hint="cs"/>
          <w:rtl/>
          <w:lang w:val="en-US" w:bidi="ar-SA"/>
        </w:rPr>
        <w:t>الطلبات المقدمة</w:t>
      </w:r>
      <w:r w:rsidR="002A6DA7" w:rsidRPr="00E76AE6">
        <w:rPr>
          <w:rtl/>
          <w:lang w:val="en-US" w:bidi="ar-SA"/>
        </w:rPr>
        <w:t xml:space="preserve"> إلى الاجتماع الثامن والثمانين.</w:t>
      </w:r>
    </w:p>
    <w:p w14:paraId="6190E799" w14:textId="77777777" w:rsidR="008F35C6" w:rsidRDefault="002A6DA7" w:rsidP="001F04C5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val="en-US" w:bidi="ar-SA"/>
        </w:rPr>
      </w:pPr>
      <w:r w:rsidRPr="00E76AE6">
        <w:rPr>
          <w:rtl/>
          <w:lang w:val="en-US" w:bidi="ar-SA"/>
        </w:rPr>
        <w:t xml:space="preserve">**** قدرت الأمانة رصيدًا جاريًا في عام 2007 منذ عام 2002 </w:t>
      </w:r>
      <w:r w:rsidR="00627A41">
        <w:rPr>
          <w:rFonts w:hint="cs"/>
          <w:rtl/>
          <w:lang w:val="en-US" w:bidi="ar-SA"/>
        </w:rPr>
        <w:t>قدره</w:t>
      </w:r>
      <w:r w:rsidR="00627A41">
        <w:rPr>
          <w:rtl/>
          <w:lang w:val="en-US" w:bidi="ar-SA"/>
        </w:rPr>
        <w:t xml:space="preserve"> 2،127،930 دولارًا أمريكيًا</w:t>
      </w:r>
      <w:r w:rsidRPr="00E76AE6">
        <w:rPr>
          <w:rtl/>
          <w:lang w:val="en-US" w:bidi="ar-SA"/>
        </w:rPr>
        <w:t>، ولكن رصيد اليونيدو البالغ 1،828،243 دولارًا أمريكيًا يُستخدم بدلاً من حساب الأمانة.</w:t>
      </w:r>
    </w:p>
    <w:p w14:paraId="0F11BEF0" w14:textId="77777777" w:rsidR="001F04C5" w:rsidRPr="001F04C5" w:rsidRDefault="001F04C5" w:rsidP="001F04C5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val="en-US" w:bidi="ar-SA"/>
        </w:rPr>
      </w:pPr>
    </w:p>
    <w:p w14:paraId="36D6B54F" w14:textId="77777777" w:rsidR="00726C19" w:rsidRPr="008F35C6" w:rsidRDefault="00726C19" w:rsidP="001F04C5">
      <w:pPr>
        <w:pStyle w:val="StyleHeader4Para4Left0Firstline0"/>
        <w:numPr>
          <w:ilvl w:val="0"/>
          <w:numId w:val="0"/>
        </w:numPr>
        <w:bidi/>
        <w:rPr>
          <w:b/>
          <w:bCs/>
          <w:sz w:val="24"/>
          <w:szCs w:val="24"/>
          <w:rtl/>
          <w:lang w:val="en-US" w:bidi="ar-SA"/>
        </w:rPr>
      </w:pPr>
      <w:r w:rsidRPr="008F35C6">
        <w:rPr>
          <w:rFonts w:hint="cs"/>
          <w:b/>
          <w:bCs/>
          <w:sz w:val="24"/>
          <w:szCs w:val="24"/>
          <w:rtl/>
          <w:lang w:val="en-US" w:bidi="ar-SA"/>
        </w:rPr>
        <w:t>البنك الدولي</w:t>
      </w:r>
    </w:p>
    <w:tbl>
      <w:tblPr>
        <w:bidiVisual/>
        <w:tblW w:w="13552" w:type="dxa"/>
        <w:tblLook w:val="04A0" w:firstRow="1" w:lastRow="0" w:firstColumn="1" w:lastColumn="0" w:noHBand="0" w:noVBand="1"/>
      </w:tblPr>
      <w:tblGrid>
        <w:gridCol w:w="3114"/>
        <w:gridCol w:w="856"/>
        <w:gridCol w:w="862"/>
        <w:gridCol w:w="857"/>
        <w:gridCol w:w="856"/>
        <w:gridCol w:w="856"/>
        <w:gridCol w:w="857"/>
        <w:gridCol w:w="960"/>
        <w:gridCol w:w="856"/>
        <w:gridCol w:w="856"/>
        <w:gridCol w:w="856"/>
        <w:gridCol w:w="910"/>
        <w:gridCol w:w="856"/>
      </w:tblGrid>
      <w:tr w:rsidR="00726C19" w:rsidRPr="00A81A77" w14:paraId="26CB334C" w14:textId="77777777" w:rsidTr="00532D4A">
        <w:trPr>
          <w:trHeight w:val="58"/>
          <w:tblHeader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7369" w14:textId="77777777" w:rsidR="00726C19" w:rsidRPr="00A81A77" w:rsidRDefault="006D0C54" w:rsidP="006D0C54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rtl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بند التكلفة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6992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EB7F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85D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8E98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096E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7AE1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F33D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3B6A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4F33B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2020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C7DF" w14:textId="77777777" w:rsidR="00726C19" w:rsidRPr="00A81A77" w:rsidRDefault="00726C19" w:rsidP="00716BC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91A5" w14:textId="77777777" w:rsidR="00726C19" w:rsidRPr="00A81A77" w:rsidRDefault="00726C19" w:rsidP="00716BCE">
            <w:pPr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2022</w:t>
            </w:r>
          </w:p>
        </w:tc>
      </w:tr>
      <w:tr w:rsidR="0029252F" w:rsidRPr="00A81A77" w14:paraId="18BD4B0A" w14:textId="77777777" w:rsidTr="00532D4A">
        <w:trPr>
          <w:trHeight w:val="82"/>
          <w:tblHeader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A19B" w14:textId="77777777" w:rsidR="0029252F" w:rsidRPr="00A81A77" w:rsidRDefault="0029252F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9D97" w14:textId="77777777" w:rsidR="0029252F" w:rsidRPr="00A81A77" w:rsidRDefault="0029252F" w:rsidP="005F4183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5B02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3B90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C300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BFFA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9FBA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8E77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65AA5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0700B" w14:textId="77777777" w:rsidR="0029252F" w:rsidRDefault="0029252F" w:rsidP="005F4183">
            <w:pPr>
              <w:jc w:val="center"/>
            </w:pPr>
            <w:r w:rsidRPr="00E9374B"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الفعلية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1276" w14:textId="77777777" w:rsidR="0029252F" w:rsidRPr="00A81A77" w:rsidRDefault="0029252F" w:rsidP="005F4183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الميزانية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291C" w14:textId="77777777" w:rsidR="0029252F" w:rsidRPr="00A81A77" w:rsidRDefault="0029252F" w:rsidP="005F4183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التقديرية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F4E9" w14:textId="77777777" w:rsidR="0029252F" w:rsidRPr="00A81A77" w:rsidRDefault="0029252F" w:rsidP="005F4183">
            <w:pPr>
              <w:bidi/>
              <w:jc w:val="center"/>
              <w:rPr>
                <w:b/>
                <w:bCs/>
                <w:sz w:val="16"/>
                <w:szCs w:val="16"/>
                <w:lang w:eastAsia="en-C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eastAsia="en-CA"/>
              </w:rPr>
              <w:t>المقترحة</w:t>
            </w:r>
          </w:p>
        </w:tc>
      </w:tr>
      <w:tr w:rsidR="00726C19" w:rsidRPr="00A81A77" w14:paraId="36DAD789" w14:textId="77777777" w:rsidTr="0029252F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4818C" w14:textId="77777777" w:rsidR="00726C19" w:rsidRPr="00A81A77" w:rsidRDefault="001071E2" w:rsidP="001071E2">
            <w:pPr>
              <w:bidi/>
              <w:jc w:val="left"/>
              <w:rPr>
                <w:b/>
                <w:bCs/>
                <w:color w:val="000000"/>
                <w:sz w:val="16"/>
                <w:szCs w:val="16"/>
                <w:rtl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eastAsia="en-CA"/>
              </w:rPr>
              <w:t>ألف- الوحدة الأساسية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A9334" w14:textId="77777777" w:rsidR="00726C19" w:rsidRPr="00A81A77" w:rsidRDefault="00726C19" w:rsidP="001071E2">
            <w:pPr>
              <w:bidi/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E0656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95DFEB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C0992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7FFA8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78CCD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153DD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B1263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3648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4B96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94C2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9318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1071E2" w:rsidRPr="00A81A77" w14:paraId="033C1758" w14:textId="77777777" w:rsidTr="0029252F">
        <w:trPr>
          <w:trHeight w:val="6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781E" w14:textId="77777777" w:rsidR="001071E2" w:rsidRPr="00377AF2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العاملون في الوحدة الأساسية والموظفون المتعاقدون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C61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1,184,796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BDEC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984,571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BE8F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1,022,179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33C9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827,111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9CEE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1,089,481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3A6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1,086,340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DA2F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1,226,215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42992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1,250,888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A07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1,055,231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4B6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1,235,000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80A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1,235,000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A49F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1,235,000</w:t>
            </w:r>
          </w:p>
        </w:tc>
      </w:tr>
      <w:tr w:rsidR="001071E2" w:rsidRPr="00A81A77" w14:paraId="13A89A54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4B8F" w14:textId="77777777" w:rsidR="001071E2" w:rsidRPr="00377AF2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السفر (الموظفون والاستشاريون)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7674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205,425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383F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111,021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CF9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155,778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5DEE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205,498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272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216,356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3679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178,550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8CF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180,873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16EE4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151,281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2ED2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13,481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E9DC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5FE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2FF5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200,000</w:t>
            </w:r>
          </w:p>
        </w:tc>
      </w:tr>
      <w:tr w:rsidR="001071E2" w:rsidRPr="00A81A77" w14:paraId="24A8BAD9" w14:textId="77777777" w:rsidTr="0029252F">
        <w:trPr>
          <w:trHeight w:val="9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5791" w14:textId="77777777" w:rsidR="001071E2" w:rsidRPr="00377AF2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المكان (الإيجار والتكاليف العامة)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D215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55,607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6512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56,906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222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44,130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12DC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403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1,027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491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583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813C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161C" w14:textId="77777777" w:rsidR="001071E2" w:rsidRPr="00A81A77" w:rsidRDefault="001071E2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EEF7" w14:textId="77777777" w:rsidR="001071E2" w:rsidRPr="00A81A77" w:rsidRDefault="001071E2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3573" w14:textId="77777777" w:rsidR="001071E2" w:rsidRPr="00A81A77" w:rsidRDefault="001071E2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4DB4" w14:textId="77777777" w:rsidR="001071E2" w:rsidRPr="00A81A77" w:rsidRDefault="001071E2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1071E2" w:rsidRPr="00A81A77" w14:paraId="32F50794" w14:textId="77777777" w:rsidTr="0029252F">
        <w:trPr>
          <w:trHeight w:val="1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E31B" w14:textId="77777777" w:rsidR="001071E2" w:rsidRPr="00377AF2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المعدات والإمدادات والتكاليف الأخرى (أجهزة الكمبيوتر والإمدادات وغيرها)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7F9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92,303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A1C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31,169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7A22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55,508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233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19,618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165F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33,178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4475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FF6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1,637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C6736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7D6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8D46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85A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4B1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1071E2" w:rsidRPr="00A81A77" w14:paraId="1BEC366A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7827" w14:textId="77777777" w:rsidR="001071E2" w:rsidRPr="002D311B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الخدمات التعاقدية (الشركات)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63A2" w14:textId="77777777" w:rsidR="001071E2" w:rsidRPr="001071E2" w:rsidRDefault="001071E2" w:rsidP="00716BCE">
            <w:pPr>
              <w:jc w:val="right"/>
              <w:rPr>
                <w:color w:val="000000"/>
                <w:sz w:val="16"/>
                <w:szCs w:val="16"/>
                <w:lang w:val="en-US"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25,769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143E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13,389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78EC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14,828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CCE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49,989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90B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96,839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2A3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189,400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DA2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73,389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8A16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38,983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AB76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10,292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B80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85,000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403B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85,000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0727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85,000</w:t>
            </w:r>
          </w:p>
        </w:tc>
      </w:tr>
      <w:tr w:rsidR="001071E2" w:rsidRPr="00A81A77" w14:paraId="1AB276FE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52C7" w14:textId="77777777" w:rsidR="001071E2" w:rsidRPr="002D311B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تكاليف الخدمات المركزية لموظفي الوحدة الأساسية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8711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156,762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6ACC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113,539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E2D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90,624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817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210,909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8FD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225,643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725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210,378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4CC5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245,946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A014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249,954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CC5E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212,792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FD01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215,000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D472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255,000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0562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215,000</w:t>
            </w:r>
          </w:p>
        </w:tc>
      </w:tr>
      <w:tr w:rsidR="001071E2" w:rsidRPr="00A81A77" w14:paraId="1FCDAFFF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A173" w14:textId="77777777" w:rsidR="001071E2" w:rsidRPr="002D311B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الناقص و- = الفائض)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94F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A50F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238A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EF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A820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62,476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D38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60,070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BE35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6,940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EBAC4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43,894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BDE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443,204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2D4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B4B9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150,000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D734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1071E2" w:rsidRPr="00A81A77" w14:paraId="7AECCC9B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95C4" w14:textId="77777777" w:rsidR="001071E2" w:rsidRPr="002D311B" w:rsidRDefault="001071E2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إعادة الأموال (- = الأموال المعادة)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48A8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-3,981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47AC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-414,405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6807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-341,953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A684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-411,441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E4D9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-62,476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634D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-60,070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4E39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-6940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3C4F6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-43,894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EC8F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-443,204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DF99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CC85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-150,000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DF49" w14:textId="77777777" w:rsidR="001071E2" w:rsidRPr="00A81A77" w:rsidRDefault="001071E2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1071E2" w:rsidRPr="00A81A77" w14:paraId="24CC9B52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5563" w14:textId="77777777" w:rsidR="001071E2" w:rsidRPr="00A81A77" w:rsidRDefault="001071E2" w:rsidP="005F4183">
            <w:pPr>
              <w:bidi/>
              <w:rPr>
                <w:b/>
                <w:bCs/>
                <w:sz w:val="16"/>
                <w:szCs w:val="16"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ألف- المجموع الفرعي لتكاليف الوحدة الأساسية*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9333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1,716,681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FC5F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896,190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911D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1,041,094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061D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902,118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54AF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1,662,524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A8B8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1,664,930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914F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1,728,060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3DEB" w14:textId="77777777" w:rsidR="001071E2" w:rsidRPr="00A81A77" w:rsidRDefault="001071E2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1,691,106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3F62" w14:textId="77777777" w:rsidR="001071E2" w:rsidRPr="00A81A77" w:rsidRDefault="001071E2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1,291,796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525E" w14:textId="77777777" w:rsidR="001071E2" w:rsidRPr="00A81A77" w:rsidRDefault="001071E2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1,735,000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A9B9" w14:textId="77777777" w:rsidR="001071E2" w:rsidRPr="00A81A77" w:rsidRDefault="001071E2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1,585,000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2CA5" w14:textId="77777777" w:rsidR="001071E2" w:rsidRPr="00A81A77" w:rsidRDefault="001071E2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1,735,000</w:t>
            </w:r>
          </w:p>
        </w:tc>
      </w:tr>
      <w:tr w:rsidR="00726C19" w:rsidRPr="00A81A77" w14:paraId="5241219B" w14:textId="77777777" w:rsidTr="0029252F">
        <w:trPr>
          <w:trHeight w:val="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F6969" w14:textId="77777777" w:rsidR="00726C19" w:rsidRPr="001071E2" w:rsidRDefault="001071E2" w:rsidP="006D0C54">
            <w:pPr>
              <w:tabs>
                <w:tab w:val="left" w:pos="2898"/>
              </w:tabs>
              <w:jc w:val="left"/>
              <w:rPr>
                <w:b/>
                <w:bCs/>
                <w:color w:val="000000"/>
                <w:sz w:val="16"/>
                <w:szCs w:val="16"/>
                <w:lang w:val="en-US"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تكاليف دعم الوكالة / التنفيذ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BCC11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089BC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0B7CF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830C1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32A91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4B6F9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C2E13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04A8C" w14:textId="77777777" w:rsidR="00726C19" w:rsidRPr="00A81A77" w:rsidRDefault="00726C19" w:rsidP="00716BCE">
            <w:pPr>
              <w:jc w:val="lef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A6D1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5E1E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7598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3A1D" w14:textId="77777777" w:rsidR="00726C19" w:rsidRPr="00A81A77" w:rsidRDefault="00726C1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92B79" w:rsidRPr="00A81A77" w14:paraId="200855ED" w14:textId="77777777" w:rsidTr="0029252F">
        <w:trPr>
          <w:trHeight w:val="3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248E" w14:textId="77777777" w:rsidR="00F92B79" w:rsidRPr="00A81A77" w:rsidRDefault="00F92B79" w:rsidP="005F4183">
            <w:pPr>
              <w:bidi/>
              <w:rPr>
                <w:sz w:val="16"/>
                <w:szCs w:val="16"/>
                <w:lang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سداد تكاليف المكاتب القطرية والتنفيذ الوطني،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2EFC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1,829,418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336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1,611,939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65DC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1,298,103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7D4B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1,210,733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6DF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1,249,361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FCF6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1,491,814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429B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2,114,429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31AF6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1,258,437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2383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1,172,183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31C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2,000,000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98CC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800,000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A239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2,000,000</w:t>
            </w:r>
          </w:p>
        </w:tc>
      </w:tr>
      <w:tr w:rsidR="00F92B79" w:rsidRPr="00A81A77" w14:paraId="5B3FE7AD" w14:textId="77777777" w:rsidTr="0029252F">
        <w:trPr>
          <w:trHeight w:val="21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2A41" w14:textId="77777777" w:rsidR="00F92B79" w:rsidRPr="00E128D9" w:rsidRDefault="00F92B79" w:rsidP="005F4183">
            <w:pPr>
              <w:bidi/>
              <w:rPr>
                <w:sz w:val="16"/>
                <w:szCs w:val="16"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دعم الوكالة المنفذة (داخليا)،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F28D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FDA3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3E10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E2B9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B729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8593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1E89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54835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FC50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417B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034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440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F92B79" w:rsidRPr="00A81A77" w14:paraId="75FB2CA0" w14:textId="77777777" w:rsidTr="0029252F">
        <w:trPr>
          <w:trHeight w:val="11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C7B7" w14:textId="77777777" w:rsidR="00F92B79" w:rsidRPr="00A81A77" w:rsidRDefault="00F92B79" w:rsidP="005F4183">
            <w:pPr>
              <w:bidi/>
              <w:rPr>
                <w:sz w:val="16"/>
                <w:szCs w:val="16"/>
                <w:lang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الوسائط المالية، بما في ذلك النفقات الثابتة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9896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121,740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BEB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10,000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4FA8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85DF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8B70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0FD8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A83C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DECAC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6B63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73D5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7511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D9F9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F92B79" w:rsidRPr="00A81A77" w14:paraId="6C2D7B30" w14:textId="77777777" w:rsidTr="0029252F">
        <w:trPr>
          <w:trHeight w:val="19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EA0A" w14:textId="77777777" w:rsidR="00F92B79" w:rsidRPr="00E128D9" w:rsidRDefault="00F92B79" w:rsidP="005F4183">
            <w:pPr>
              <w:bidi/>
              <w:rPr>
                <w:sz w:val="16"/>
                <w:szCs w:val="16"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lastRenderedPageBreak/>
              <w:t>تكاليف الخدمات المركزية لموظفي الوحدة الأساسية (بما في ذلك النفقات الثابتة)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5B78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02A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B3E1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8CF7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C27D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F851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437F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C3395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A9CE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1309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19E3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D63C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F92B79" w:rsidRPr="00A81A77" w14:paraId="48F02F1C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C48B" w14:textId="77777777" w:rsidR="00F92B79" w:rsidRPr="00FE26D1" w:rsidRDefault="00F92B79" w:rsidP="005F4183">
            <w:pPr>
              <w:bidi/>
              <w:jc w:val="left"/>
              <w:rPr>
                <w:color w:val="000000"/>
                <w:sz w:val="20"/>
                <w:lang w:eastAsia="en-CA"/>
              </w:rPr>
            </w:pPr>
            <w:r>
              <w:rPr>
                <w:rFonts w:hint="cs"/>
                <w:color w:val="000000"/>
                <w:sz w:val="20"/>
                <w:rtl/>
                <w:lang w:eastAsia="en-CA"/>
              </w:rPr>
              <w:t>استعادة التكلفة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D5C0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E4A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42C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3537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5AEC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BE57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E8B3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CE46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56C5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B53B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875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74C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F92B79" w:rsidRPr="00A81A77" w14:paraId="53FF21CD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3018" w14:textId="77777777" w:rsidR="00F92B79" w:rsidRPr="001A4901" w:rsidRDefault="00F92B79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التسويات (+ = الفائض و- = الناقص)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EA47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6C4D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9CE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A548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7574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A2C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A820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C7738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5D88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2177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C43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969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0</w:t>
            </w:r>
          </w:p>
        </w:tc>
      </w:tr>
      <w:tr w:rsidR="00F92B79" w:rsidRPr="00A81A77" w14:paraId="215C1FEE" w14:textId="77777777" w:rsidTr="0029252F">
        <w:trPr>
          <w:trHeight w:val="14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893E" w14:textId="77777777" w:rsidR="00F92B79" w:rsidRPr="00C620F0" w:rsidRDefault="00F92B79" w:rsidP="005F4183">
            <w:pPr>
              <w:bidi/>
              <w:jc w:val="left"/>
              <w:rPr>
                <w:color w:val="000000"/>
                <w:sz w:val="20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eastAsia="en-CA" w:bidi="ar-SA"/>
              </w:rPr>
              <w:t>تكاليف المشروع (- = الذي سيخصم وبالتالي سيلغى)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0336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19D7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242C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885F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7CED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76D2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57B0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AEF73" w14:textId="77777777" w:rsidR="00F92B79" w:rsidRPr="00A81A77" w:rsidRDefault="00F92B79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F9ED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C933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63AD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9587" w14:textId="77777777" w:rsidR="00F92B79" w:rsidRPr="00A81A77" w:rsidRDefault="00F92B79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726C19" w:rsidRPr="00A81A77" w14:paraId="1A0B03C0" w14:textId="77777777" w:rsidTr="0029252F">
        <w:trPr>
          <w:trHeight w:val="19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B6AB" w14:textId="77777777" w:rsidR="00726C19" w:rsidRPr="00A81A77" w:rsidRDefault="00551507" w:rsidP="00551507">
            <w:pPr>
              <w:bidi/>
              <w:jc w:val="left"/>
              <w:rPr>
                <w:b/>
                <w:bCs/>
                <w:color w:val="000000"/>
                <w:sz w:val="16"/>
                <w:szCs w:val="16"/>
                <w:lang w:eastAsia="en-CA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eastAsia="en-CA" w:bidi="ar-SA"/>
              </w:rPr>
              <w:t>باء- المجموع الفرعي لتكاليف دعم الوكالة / تكاليف التنفيذ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9A5D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85E7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B786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80E6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BCB8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1,249,361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850E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1,491,814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5C59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2,114,429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2C29C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1,258,437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B350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1,172,183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D956" w14:textId="77777777" w:rsidR="00726C19" w:rsidRPr="00A81A77" w:rsidRDefault="00726C19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2,000,000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607B" w14:textId="77777777" w:rsidR="00726C19" w:rsidRPr="00A81A77" w:rsidRDefault="00726C19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800,000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16EB" w14:textId="77777777" w:rsidR="00726C19" w:rsidRPr="00A81A77" w:rsidRDefault="00726C19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2,000,000</w:t>
            </w:r>
          </w:p>
        </w:tc>
      </w:tr>
      <w:tr w:rsidR="00551507" w:rsidRPr="00A81A77" w14:paraId="2BC161C9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9014" w14:textId="77777777" w:rsidR="00551507" w:rsidRPr="00BC0F30" w:rsidRDefault="00551507" w:rsidP="005F4183">
            <w:pPr>
              <w:bidi/>
              <w:rPr>
                <w:b/>
                <w:bCs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val="en-US" w:eastAsia="en-CA" w:bidi="ar-SA"/>
              </w:rPr>
              <w:t>المجموع الكلي (ألف + باء)**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1300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3,667,839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C8A2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2,518,129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BC66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2,339,197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952E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2,112,851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F6EF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2,911,885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CD8B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3,156,744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3978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3,842,489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8C14" w14:textId="77777777" w:rsidR="00551507" w:rsidRPr="00A81A77" w:rsidRDefault="00551507" w:rsidP="00716BCE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color w:val="000000"/>
                <w:sz w:val="16"/>
                <w:szCs w:val="16"/>
                <w:lang w:eastAsia="en-CA"/>
              </w:rPr>
              <w:t>2,949,544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D327" w14:textId="77777777" w:rsidR="00551507" w:rsidRPr="00A81A77" w:rsidRDefault="00551507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2,463,979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4A9F" w14:textId="77777777" w:rsidR="00551507" w:rsidRPr="00A81A77" w:rsidRDefault="00551507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3,735,000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C3A" w14:textId="77777777" w:rsidR="00551507" w:rsidRPr="00A81A77" w:rsidRDefault="00551507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2,385,000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7E70" w14:textId="77777777" w:rsidR="00551507" w:rsidRPr="00A81A77" w:rsidRDefault="00551507" w:rsidP="00716BCE">
            <w:pPr>
              <w:jc w:val="right"/>
              <w:rPr>
                <w:b/>
                <w:bCs/>
                <w:sz w:val="16"/>
                <w:szCs w:val="16"/>
                <w:lang w:eastAsia="en-CA"/>
              </w:rPr>
            </w:pPr>
            <w:r w:rsidRPr="00A81A77">
              <w:rPr>
                <w:b/>
                <w:bCs/>
                <w:sz w:val="16"/>
                <w:szCs w:val="16"/>
                <w:lang w:eastAsia="en-CA"/>
              </w:rPr>
              <w:t>3,735,000</w:t>
            </w:r>
          </w:p>
        </w:tc>
      </w:tr>
      <w:tr w:rsidR="00551507" w:rsidRPr="00A81A77" w14:paraId="6E2B2541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05B" w14:textId="77777777" w:rsidR="00551507" w:rsidRPr="00A950FF" w:rsidRDefault="00551507" w:rsidP="005F4183">
            <w:pPr>
              <w:bidi/>
              <w:jc w:val="left"/>
              <w:rPr>
                <w:color w:val="000000"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val="en-US" w:eastAsia="en-CA" w:bidi="ar-SA"/>
              </w:rPr>
              <w:t>صافي تكاليف دعم الوكالة زائد تكاليف الوحدة الأساسية***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0FB6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2,136,706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8BFE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4,139,161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3EB4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2,975,314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5868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5,458,181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5F87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2,549,351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9E67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1,882,431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9F86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3,251,742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A3CF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1,915,543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04A8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1,879,691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6D4E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4618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2,412,800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CAC1" w14:textId="77777777" w:rsidR="00551507" w:rsidRPr="00A81A77" w:rsidRDefault="00551507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51507" w:rsidRPr="00A81A77" w14:paraId="310763DB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1F9" w14:textId="77777777" w:rsidR="00551507" w:rsidRPr="00A81A77" w:rsidRDefault="00551507" w:rsidP="005F4183">
            <w:pPr>
              <w:bidi/>
              <w:jc w:val="left"/>
              <w:rPr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إجمالي التكاليف الإدارية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B8A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3,667,839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BCF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2,518,129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A366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2,339,197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9AC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2,112,851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D840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2,911,885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501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3,156,744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0002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3,842,489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FBA2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2,949,544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4474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2,463,979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DE60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03F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2,385,000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13A4" w14:textId="77777777" w:rsidR="00551507" w:rsidRPr="00A81A77" w:rsidRDefault="00551507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51507" w:rsidRPr="00A81A77" w14:paraId="6F21F342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3FB" w14:textId="77777777" w:rsidR="00551507" w:rsidRPr="00A950FF" w:rsidRDefault="00551507" w:rsidP="005F4183">
            <w:pPr>
              <w:bidi/>
              <w:jc w:val="left"/>
              <w:rPr>
                <w:color w:val="000000"/>
                <w:sz w:val="16"/>
                <w:szCs w:val="16"/>
                <w:rtl/>
                <w:lang w:val="en-US" w:eastAsia="en-CA" w:bidi="ar-S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الرصيد لكل سنة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93C" w14:textId="77777777" w:rsidR="00551507" w:rsidRPr="00A81A77" w:rsidRDefault="00551507" w:rsidP="00716BCE">
            <w:pPr>
              <w:ind w:left="-161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-1,531,133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6D5A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1,621,032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545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636,117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5E28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3,345,330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96B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-362,534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57F" w14:textId="77777777" w:rsidR="00551507" w:rsidRPr="00A81A77" w:rsidRDefault="00551507" w:rsidP="00716BCE">
            <w:pPr>
              <w:ind w:left="-192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-1,274,313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AFF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-590,747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4A8" w14:textId="77777777" w:rsidR="00551507" w:rsidRPr="00A81A77" w:rsidRDefault="00551507" w:rsidP="00716BCE">
            <w:pPr>
              <w:ind w:left="-174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-1,034,001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777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-584,288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902D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747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27,800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3571" w14:textId="77777777" w:rsidR="00551507" w:rsidRPr="00A81A77" w:rsidRDefault="00551507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51507" w:rsidRPr="00A81A77" w14:paraId="663A1BAF" w14:textId="77777777" w:rsidTr="0029252F">
        <w:trPr>
          <w:trHeight w:val="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88F" w14:textId="77777777" w:rsidR="00551507" w:rsidRPr="00A81A77" w:rsidRDefault="00551507" w:rsidP="005F4183">
            <w:pPr>
              <w:bidi/>
              <w:jc w:val="left"/>
              <w:rPr>
                <w:color w:val="000000"/>
                <w:sz w:val="16"/>
                <w:szCs w:val="16"/>
                <w:lang w:eastAsia="en-CA"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  <w:lang w:eastAsia="en-CA"/>
              </w:rPr>
              <w:t>الرصيد الجاري****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B9E8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-9,162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FD2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1,611,870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C8D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2,247,987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F14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5,593,317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4A6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5,230,783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FACF" w14:textId="77777777" w:rsidR="00551507" w:rsidRPr="00A81A77" w:rsidRDefault="00551507" w:rsidP="00716BCE">
            <w:pPr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3,956,470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47A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3,365,723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4121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2,331,723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602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1,747,435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0DB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B23" w14:textId="77777777" w:rsidR="00551507" w:rsidRPr="00A81A77" w:rsidRDefault="00551507" w:rsidP="00716BCE">
            <w:pPr>
              <w:jc w:val="right"/>
              <w:rPr>
                <w:sz w:val="16"/>
                <w:szCs w:val="16"/>
                <w:lang w:eastAsia="en-CA"/>
              </w:rPr>
            </w:pPr>
            <w:r w:rsidRPr="00A81A77">
              <w:rPr>
                <w:sz w:val="16"/>
                <w:szCs w:val="16"/>
                <w:lang w:eastAsia="en-CA"/>
              </w:rPr>
              <w:t>1,775,235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A5CB" w14:textId="77777777" w:rsidR="00551507" w:rsidRPr="00A81A77" w:rsidRDefault="00551507" w:rsidP="00716BCE">
            <w:pPr>
              <w:jc w:val="left"/>
              <w:rPr>
                <w:color w:val="000000"/>
                <w:sz w:val="16"/>
                <w:szCs w:val="16"/>
                <w:lang w:eastAsia="en-CA"/>
              </w:rPr>
            </w:pPr>
            <w:r w:rsidRPr="00A81A77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</w:tbl>
    <w:p w14:paraId="5E44F897" w14:textId="77777777" w:rsidR="00726C19" w:rsidRPr="00CB3904" w:rsidRDefault="00CB3904" w:rsidP="00CB3904">
      <w:pPr>
        <w:pStyle w:val="StyleHeader4Para4Left0Firstline0"/>
        <w:numPr>
          <w:ilvl w:val="0"/>
          <w:numId w:val="0"/>
        </w:numPr>
        <w:bidi/>
        <w:spacing w:after="0"/>
        <w:rPr>
          <w:lang w:val="en-US" w:bidi="ar-SA"/>
        </w:rPr>
      </w:pPr>
      <w:r>
        <w:rPr>
          <w:rtl/>
          <w:lang w:val="en-US" w:bidi="ar-SA"/>
        </w:rPr>
        <w:t>* لعام 2021</w:t>
      </w:r>
      <w:r w:rsidR="00726C19" w:rsidRPr="00CB3904">
        <w:rPr>
          <w:rtl/>
          <w:lang w:val="en-US" w:bidi="ar-SA"/>
        </w:rPr>
        <w:t>، بما في ذلك تكاليف دعم الوكالة المعتم</w:t>
      </w:r>
      <w:r>
        <w:rPr>
          <w:rtl/>
          <w:lang w:val="en-US" w:bidi="ar-SA"/>
        </w:rPr>
        <w:t>دة في الاجتماع السابع والثمانين</w:t>
      </w:r>
      <w:r w:rsidR="00726C19" w:rsidRPr="00CB3904">
        <w:rPr>
          <w:rtl/>
          <w:lang w:val="en-US" w:bidi="ar-SA"/>
        </w:rPr>
        <w:t xml:space="preserve">، وقيمة تكاليف دعم الوكالة وتكاليف الوحدة الأساسية من </w:t>
      </w:r>
      <w:r>
        <w:rPr>
          <w:rFonts w:hint="cs"/>
          <w:rtl/>
          <w:lang w:val="en-US" w:bidi="ar-SA"/>
        </w:rPr>
        <w:t>الطلبات المقدمة</w:t>
      </w:r>
      <w:r w:rsidR="00726C19" w:rsidRPr="00CB3904">
        <w:rPr>
          <w:rtl/>
          <w:lang w:val="en-US" w:bidi="ar-SA"/>
        </w:rPr>
        <w:t xml:space="preserve"> إلى الاجتماع الثامن والثمانين.</w:t>
      </w:r>
    </w:p>
    <w:p w14:paraId="1701A7E7" w14:textId="77777777" w:rsidR="00726C19" w:rsidRPr="00CB3904" w:rsidRDefault="00726C19" w:rsidP="00CB3904">
      <w:pPr>
        <w:pStyle w:val="StyleHeader4Para4Left0Firstline0"/>
        <w:numPr>
          <w:ilvl w:val="0"/>
          <w:numId w:val="0"/>
        </w:numPr>
        <w:bidi/>
        <w:spacing w:after="0"/>
        <w:rPr>
          <w:rtl/>
          <w:lang w:val="en-US" w:bidi="ar-SA"/>
        </w:rPr>
      </w:pPr>
      <w:r w:rsidRPr="00CB3904">
        <w:rPr>
          <w:rtl/>
          <w:lang w:val="en-US" w:bidi="ar-SA"/>
        </w:rPr>
        <w:t>** لا يشمل أي رصيد للسنوات السابقة لعام 2002.</w:t>
      </w:r>
    </w:p>
    <w:p w14:paraId="69E2D275" w14:textId="77777777" w:rsidR="00D151D0" w:rsidRDefault="00D151D0" w:rsidP="00D151D0">
      <w:pPr>
        <w:pStyle w:val="Heading3"/>
        <w:numPr>
          <w:ilvl w:val="0"/>
          <w:numId w:val="0"/>
        </w:num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0667E" w:rsidRPr="00E2441A" w14:paraId="663E60C2" w14:textId="77777777" w:rsidTr="00890D70">
        <w:trPr>
          <w:jc w:val="center"/>
        </w:trPr>
        <w:tc>
          <w:tcPr>
            <w:tcW w:w="1915" w:type="dxa"/>
          </w:tcPr>
          <w:p w14:paraId="3DFA6080" w14:textId="77777777" w:rsidR="0070667E" w:rsidRPr="00E2441A" w:rsidRDefault="0070667E" w:rsidP="00890D70"/>
        </w:tc>
        <w:tc>
          <w:tcPr>
            <w:tcW w:w="1915" w:type="dxa"/>
          </w:tcPr>
          <w:p w14:paraId="4954F0A8" w14:textId="77777777" w:rsidR="0070667E" w:rsidRPr="00E2441A" w:rsidRDefault="0070667E" w:rsidP="00890D70"/>
        </w:tc>
        <w:tc>
          <w:tcPr>
            <w:tcW w:w="1915" w:type="dxa"/>
            <w:tcBorders>
              <w:bottom w:val="single" w:sz="4" w:space="0" w:color="auto"/>
            </w:tcBorders>
          </w:tcPr>
          <w:p w14:paraId="5AA134EC" w14:textId="77777777" w:rsidR="0070667E" w:rsidRPr="00E2441A" w:rsidRDefault="0070667E" w:rsidP="00890D70"/>
        </w:tc>
        <w:tc>
          <w:tcPr>
            <w:tcW w:w="1915" w:type="dxa"/>
          </w:tcPr>
          <w:p w14:paraId="75781E0B" w14:textId="77777777" w:rsidR="0070667E" w:rsidRPr="00E2441A" w:rsidRDefault="0070667E" w:rsidP="00890D70"/>
        </w:tc>
        <w:tc>
          <w:tcPr>
            <w:tcW w:w="1916" w:type="dxa"/>
          </w:tcPr>
          <w:p w14:paraId="1C2583CF" w14:textId="77777777" w:rsidR="0070667E" w:rsidRPr="00E2441A" w:rsidRDefault="0070667E" w:rsidP="00890D70"/>
        </w:tc>
      </w:tr>
    </w:tbl>
    <w:p w14:paraId="0212D40A" w14:textId="77777777" w:rsidR="0070667E" w:rsidRPr="00E2441A" w:rsidRDefault="0070667E" w:rsidP="0070667E"/>
    <w:p w14:paraId="275D23C7" w14:textId="77777777" w:rsidR="0070667E" w:rsidRPr="009B0D30" w:rsidRDefault="0070667E" w:rsidP="0070667E"/>
    <w:p w14:paraId="3DB0C572" w14:textId="77777777" w:rsidR="00614DB1" w:rsidRDefault="00614DB1" w:rsidP="00BC3AA4">
      <w:pPr>
        <w:pStyle w:val="Heading3"/>
        <w:numPr>
          <w:ilvl w:val="0"/>
          <w:numId w:val="0"/>
        </w:numPr>
        <w:rPr>
          <w:lang w:val="en-US"/>
        </w:rPr>
        <w:sectPr w:rsidR="00614DB1" w:rsidSect="00C032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 w:code="1"/>
          <w:pgMar w:top="1440" w:right="1440" w:bottom="1276" w:left="850" w:header="720" w:footer="706" w:gutter="0"/>
          <w:pgNumType w:start="1"/>
          <w:cols w:space="720"/>
          <w:titlePg/>
        </w:sectPr>
      </w:pPr>
    </w:p>
    <w:p w14:paraId="41937251" w14:textId="77777777" w:rsidR="007E5D09" w:rsidRPr="00BC3AA4" w:rsidRDefault="007E5D09" w:rsidP="00BC3AA4">
      <w:pPr>
        <w:pStyle w:val="Heading3"/>
        <w:numPr>
          <w:ilvl w:val="0"/>
          <w:numId w:val="0"/>
        </w:numPr>
        <w:rPr>
          <w:rtl/>
          <w:lang w:val="en-US"/>
        </w:rPr>
      </w:pPr>
    </w:p>
    <w:sectPr w:rsidR="007E5D09" w:rsidRPr="00BC3AA4" w:rsidSect="006D0EB9">
      <w:headerReference w:type="first" r:id="rId22"/>
      <w:footerReference w:type="first" r:id="rId23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4B9E" w14:textId="77777777" w:rsidR="00574284" w:rsidRDefault="00574284">
      <w:r>
        <w:separator/>
      </w:r>
    </w:p>
  </w:endnote>
  <w:endnote w:type="continuationSeparator" w:id="0">
    <w:p w14:paraId="169772D6" w14:textId="77777777" w:rsidR="00574284" w:rsidRDefault="0057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93FC" w14:textId="5E2329E0" w:rsidR="005F4183" w:rsidRDefault="005F418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0327B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5EE3" w14:textId="4372AD36" w:rsidR="005F4183" w:rsidRDefault="005F418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0327B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6E2" w14:textId="77777777" w:rsidR="00532D4A" w:rsidRDefault="00532D4A" w:rsidP="00532D4A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  <w:rtl/>
      </w:rPr>
    </w:pPr>
    <w:r>
      <w:rPr>
        <w:rFonts w:cs="Arabic Transparent" w:hint="cs"/>
        <w:rtl/>
      </w:rPr>
      <w:t>إن وثائق ما قبل دورات اللجنة التنفيذية للصندوق المتعدد الأطراف لتنفيذ بروتوكول مونتريال</w:t>
    </w:r>
    <w:r>
      <w:rPr>
        <w:rFonts w:cs="Arabic Transparent"/>
      </w:rPr>
      <w:t xml:space="preserve"> </w:t>
    </w:r>
  </w:p>
  <w:p w14:paraId="5DB4D58D" w14:textId="74D815DC" w:rsidR="00532D4A" w:rsidRPr="00532D4A" w:rsidRDefault="00532D4A" w:rsidP="00532D4A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bidi/>
      <w:jc w:val="center"/>
      <w:rPr>
        <w:rFonts w:cs="Arabic Transparent"/>
      </w:rPr>
    </w:pPr>
    <w:r>
      <w:rPr>
        <w:rFonts w:cs="Arabic Transparent" w:hint="cs"/>
        <w:rtl/>
      </w:rPr>
      <w:t>قد تصدر دون إخلال بأي قرار تتخذه اللجنة التنفيذية بعد صدورها.</w:t>
    </w:r>
    <w:r>
      <w:rPr>
        <w:rFonts w:cs="Arabic Transparent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B28B" w14:textId="1CDDC813" w:rsidR="00C0327B" w:rsidRDefault="00C0327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87A8" w14:textId="1165E07C" w:rsidR="00C0327B" w:rsidRDefault="00C0327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4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EAEEC" w14:textId="6C72769C" w:rsidR="00532D4A" w:rsidRDefault="00532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2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837FA" w14:textId="77777777" w:rsidR="00532D4A" w:rsidRDefault="00532D4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AD3F" w14:textId="315DA5D4" w:rsidR="00532D4A" w:rsidRDefault="00532D4A">
    <w:pPr>
      <w:pStyle w:val="Footer"/>
      <w:jc w:val="center"/>
    </w:pPr>
  </w:p>
  <w:p w14:paraId="4EFD030E" w14:textId="77777777" w:rsidR="00532D4A" w:rsidRDefault="0053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B31C" w14:textId="77777777" w:rsidR="00574284" w:rsidRDefault="00574284">
      <w:r>
        <w:separator/>
      </w:r>
    </w:p>
  </w:footnote>
  <w:footnote w:type="continuationSeparator" w:id="0">
    <w:p w14:paraId="2339C1E5" w14:textId="77777777" w:rsidR="00574284" w:rsidRDefault="00574284">
      <w:r>
        <w:continuationSeparator/>
      </w:r>
    </w:p>
  </w:footnote>
  <w:footnote w:id="1">
    <w:p w14:paraId="3BD6F3FD" w14:textId="77777777" w:rsidR="005F4183" w:rsidRPr="00C0337B" w:rsidRDefault="005F4183" w:rsidP="00716BCE">
      <w:pPr>
        <w:pStyle w:val="FootnoteText"/>
        <w:bidi/>
        <w:rPr>
          <w:rtl/>
          <w:lang w:val="en-US" w:bidi="ar-SY"/>
        </w:rPr>
      </w:pPr>
      <w:r>
        <w:rPr>
          <w:rStyle w:val="FootnoteReference"/>
        </w:rPr>
        <w:footnoteRef/>
      </w:r>
      <w:r>
        <w:rPr>
          <w:rFonts w:hint="cs"/>
          <w:rtl/>
          <w:lang w:val="en-US" w:bidi="ar-SY"/>
        </w:rPr>
        <w:t xml:space="preserve"> </w:t>
      </w:r>
      <w:r>
        <w:rPr>
          <w:rFonts w:hint="cs"/>
          <w:rtl/>
          <w:lang w:val="en-US" w:bidi="ar-BH"/>
        </w:rPr>
        <w:t>ستعقد اجتماعات عبر الانترنت وعملية الموافقة فيما بي</w:t>
      </w:r>
      <w:r>
        <w:rPr>
          <w:rFonts w:hint="cs"/>
          <w:rtl/>
          <w:lang w:val="en-US" w:bidi="ar-SA"/>
        </w:rPr>
        <w:t xml:space="preserve">ن الدورات في </w:t>
      </w:r>
      <w:r w:rsidRPr="007D141D">
        <w:rPr>
          <w:rFonts w:hint="cs"/>
          <w:rtl/>
          <w:lang w:val="en-US" w:bidi="ar-SA"/>
        </w:rPr>
        <w:t xml:space="preserve">نوفمبر/ </w:t>
      </w:r>
      <w:r w:rsidRPr="007D141D">
        <w:rPr>
          <w:rtl/>
          <w:lang w:val="en-US" w:bidi="ar-SA"/>
        </w:rPr>
        <w:t>تشرين الثاني</w:t>
      </w:r>
      <w:r w:rsidRPr="007D141D">
        <w:rPr>
          <w:rFonts w:hint="cs"/>
          <w:rtl/>
          <w:lang w:val="en-US" w:bidi="ar-SA"/>
        </w:rPr>
        <w:t xml:space="preserve"> وديسمبر/ كانو</w:t>
      </w:r>
      <w:r w:rsidRPr="007D141D">
        <w:rPr>
          <w:rtl/>
          <w:lang w:val="en-US" w:bidi="ar-SA"/>
        </w:rPr>
        <w:t>ن ا</w:t>
      </w:r>
      <w:r w:rsidRPr="007D141D">
        <w:rPr>
          <w:rFonts w:hint="cs"/>
          <w:rtl/>
          <w:lang w:val="en-US" w:bidi="ar-SA"/>
        </w:rPr>
        <w:t xml:space="preserve">لأول </w:t>
      </w:r>
      <w:r>
        <w:rPr>
          <w:rFonts w:hint="cs"/>
          <w:rtl/>
          <w:lang w:val="en-US" w:bidi="ar-SA"/>
        </w:rPr>
        <w:t>بسبب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 xml:space="preserve"> فيروس  كورونا</w:t>
      </w:r>
      <w:r>
        <w:rPr>
          <w:rFonts w:hint="eastAsia"/>
          <w:rtl/>
          <w:lang w:val="en-US" w:bidi="ar-SA"/>
        </w:rPr>
        <w:t> </w:t>
      </w:r>
      <w:r>
        <w:rPr>
          <w:rFonts w:hint="cs"/>
          <w:rtl/>
          <w:lang w:val="en-US" w:bidi="ar-SA"/>
        </w:rPr>
        <w:t xml:space="preserve"> (كوفيد</w:t>
      </w:r>
      <w:r>
        <w:rPr>
          <w:rtl/>
          <w:lang w:val="en-US" w:bidi="ar-SA"/>
        </w:rPr>
        <w:noBreakHyphen/>
      </w:r>
      <w:r>
        <w:rPr>
          <w:rFonts w:hint="cs"/>
          <w:rtl/>
          <w:lang w:val="en-US" w:bidi="ar-SA"/>
        </w:rPr>
        <w:t>19)</w:t>
      </w:r>
      <w:r w:rsidR="00243B10">
        <w:rPr>
          <w:rFonts w:hint="cs"/>
          <w:rtl/>
          <w:lang w:val="en-US" w:bidi="ar-SY"/>
        </w:rPr>
        <w:t>.</w:t>
      </w:r>
    </w:p>
  </w:footnote>
  <w:footnote w:id="2">
    <w:p w14:paraId="405AF77E" w14:textId="77777777" w:rsidR="005F4183" w:rsidRDefault="005F4183" w:rsidP="003E3989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Pr="007E1B34">
        <w:rPr>
          <w:rtl/>
          <w:lang w:bidi="ar-SA"/>
        </w:rPr>
        <w:t>تم تغي</w:t>
      </w:r>
      <w:r>
        <w:rPr>
          <w:rtl/>
          <w:lang w:bidi="ar-SA"/>
        </w:rPr>
        <w:t xml:space="preserve">ير تخصيص التكاليف الإدارية </w:t>
      </w:r>
      <w:r>
        <w:rPr>
          <w:rFonts w:hint="cs"/>
          <w:rtl/>
          <w:lang w:bidi="ar-SA"/>
        </w:rPr>
        <w:t xml:space="preserve">لليوئنديبي </w:t>
      </w:r>
      <w:r w:rsidRPr="007E1B34">
        <w:rPr>
          <w:rtl/>
          <w:lang w:bidi="ar-SA"/>
        </w:rPr>
        <w:t>واليونيدو والبنك الدولي في نوفمبر</w:t>
      </w:r>
      <w:r>
        <w:rPr>
          <w:rFonts w:hint="cs"/>
          <w:rtl/>
          <w:lang w:bidi="ar-SA"/>
        </w:rPr>
        <w:t xml:space="preserve">/ </w:t>
      </w:r>
      <w:r w:rsidRPr="007E1B34">
        <w:rPr>
          <w:rtl/>
          <w:lang w:bidi="ar-SA"/>
        </w:rPr>
        <w:t xml:space="preserve">تشرين الثاني 1998 (المقرر 26/41) من معدل ثابت قدره 13 في المائة مطبق على جميع </w:t>
      </w:r>
      <w:r>
        <w:rPr>
          <w:rtl/>
          <w:lang w:bidi="ar-SA"/>
        </w:rPr>
        <w:t>المشر</w:t>
      </w:r>
      <w:r>
        <w:rPr>
          <w:rFonts w:hint="cs"/>
          <w:rtl/>
          <w:lang w:bidi="ar-SA"/>
        </w:rPr>
        <w:t>و</w:t>
      </w:r>
      <w:r w:rsidRPr="007E1B34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7E1B34">
        <w:rPr>
          <w:rtl/>
          <w:lang w:bidi="ar-SA"/>
        </w:rPr>
        <w:t xml:space="preserve"> إلى جدول متدرج. </w:t>
      </w:r>
      <w:r>
        <w:rPr>
          <w:rFonts w:hint="cs"/>
          <w:rtl/>
          <w:lang w:bidi="ar-SA"/>
        </w:rPr>
        <w:t>و</w:t>
      </w:r>
      <w:r w:rsidRPr="007E1B34">
        <w:rPr>
          <w:rtl/>
          <w:lang w:bidi="ar-SA"/>
        </w:rPr>
        <w:t>تم تغ</w:t>
      </w:r>
      <w:r>
        <w:rPr>
          <w:rtl/>
          <w:lang w:bidi="ar-SA"/>
        </w:rPr>
        <w:t>يير التكاليف مرة أخرى في ديسمبر</w:t>
      </w:r>
      <w:r w:rsidRPr="007E1B34">
        <w:rPr>
          <w:rtl/>
          <w:lang w:bidi="ar-SA"/>
        </w:rPr>
        <w:t xml:space="preserve">/ كانون الأول 2002 إلى نطاق أقل يتضمن منحة الوحدة الأساسية </w:t>
      </w:r>
      <w:r>
        <w:rPr>
          <w:rFonts w:hint="cs"/>
          <w:rtl/>
          <w:lang w:bidi="ar-SA"/>
        </w:rPr>
        <w:t>وقدرها</w:t>
      </w:r>
      <w:r w:rsidRPr="007E1B34">
        <w:rPr>
          <w:rtl/>
          <w:lang w:bidi="ar-SA"/>
        </w:rPr>
        <w:t xml:space="preserve"> 1.5 مليون دولار أمريكي لكل وكالة (المقرر 38/68). </w:t>
      </w:r>
      <w:r>
        <w:rPr>
          <w:rFonts w:hint="cs"/>
          <w:rtl/>
          <w:lang w:bidi="ar-SA"/>
        </w:rPr>
        <w:t>و</w:t>
      </w:r>
      <w:r w:rsidRPr="007E1B34">
        <w:rPr>
          <w:rtl/>
          <w:lang w:bidi="ar-SA"/>
        </w:rPr>
        <w:t xml:space="preserve">حدثت زيادات سنوية لمعظم الوكالات منذ الاجتماع السادس والأربعين. </w:t>
      </w:r>
      <w:r>
        <w:rPr>
          <w:rFonts w:hint="cs"/>
          <w:rtl/>
          <w:lang w:bidi="ar-SA"/>
        </w:rPr>
        <w:t>و</w:t>
      </w:r>
      <w:r w:rsidRPr="007E1B34">
        <w:rPr>
          <w:rtl/>
          <w:lang w:bidi="ar-SA"/>
        </w:rPr>
        <w:t>ط</w:t>
      </w:r>
      <w:r>
        <w:rPr>
          <w:rFonts w:hint="cs"/>
          <w:rtl/>
          <w:lang w:bidi="ar-SA"/>
        </w:rPr>
        <w:t>ا</w:t>
      </w:r>
      <w:r w:rsidRPr="007E1B34">
        <w:rPr>
          <w:rtl/>
          <w:lang w:bidi="ar-SA"/>
        </w:rPr>
        <w:t>لب المقرر 41/94</w:t>
      </w:r>
      <w:r>
        <w:rPr>
          <w:rtl/>
          <w:lang w:bidi="ar-SA"/>
        </w:rPr>
        <w:t xml:space="preserve"> (د)</w:t>
      </w:r>
      <w:r w:rsidRPr="007E1B34">
        <w:rPr>
          <w:rtl/>
          <w:lang w:bidi="ar-SA"/>
        </w:rPr>
        <w:t xml:space="preserve"> الأمانة </w:t>
      </w:r>
      <w:r>
        <w:rPr>
          <w:rFonts w:hint="cs"/>
          <w:rtl/>
          <w:lang w:bidi="ar-SA"/>
        </w:rPr>
        <w:t>ب</w:t>
      </w:r>
      <w:r w:rsidRPr="007E1B34">
        <w:rPr>
          <w:rtl/>
          <w:lang w:bidi="ar-SA"/>
        </w:rPr>
        <w:t>إجراء استعراض سنوي لنظام التكاليف الإدارية. ومدد المقرر 56/41 عمل المقرر 38/68 ونظا</w:t>
      </w:r>
      <w:r>
        <w:rPr>
          <w:rtl/>
          <w:lang w:bidi="ar-SA"/>
        </w:rPr>
        <w:t>م التكاليف الإدارية ليطبق على فترة الثلاث</w:t>
      </w:r>
      <w:r>
        <w:rPr>
          <w:rFonts w:hint="cs"/>
          <w:rtl/>
          <w:lang w:bidi="ar-SA"/>
        </w:rPr>
        <w:t xml:space="preserve"> سنوات</w:t>
      </w:r>
      <w:r w:rsidRPr="007E1B34">
        <w:rPr>
          <w:rtl/>
          <w:lang w:bidi="ar-SA"/>
        </w:rPr>
        <w:t xml:space="preserve"> 2009-2011.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في الاجتماع السابع والس</w:t>
      </w:r>
      <w:r>
        <w:rPr>
          <w:rFonts w:hint="cs"/>
          <w:rtl/>
          <w:lang w:bidi="ar-SA"/>
        </w:rPr>
        <w:t>ت</w:t>
      </w:r>
      <w:r>
        <w:rPr>
          <w:rtl/>
          <w:lang w:bidi="ar-SA"/>
        </w:rPr>
        <w:t>ين</w:t>
      </w:r>
      <w:r w:rsidRPr="007E1B34">
        <w:rPr>
          <w:rtl/>
          <w:lang w:bidi="ar-SA"/>
        </w:rPr>
        <w:t>، قررت اللجنة</w:t>
      </w:r>
      <w:r>
        <w:rPr>
          <w:rtl/>
          <w:lang w:bidi="ar-SA"/>
        </w:rPr>
        <w:t xml:space="preserve"> تطبيق نظام تكاليف إدارية جديد </w:t>
      </w:r>
      <w:r w:rsidRPr="007E1B34">
        <w:rPr>
          <w:rtl/>
          <w:lang w:bidi="ar-SA"/>
        </w:rPr>
        <w:t xml:space="preserve">لفترة </w:t>
      </w:r>
      <w:r>
        <w:rPr>
          <w:rFonts w:hint="cs"/>
          <w:rtl/>
          <w:lang w:bidi="ar-SA"/>
        </w:rPr>
        <w:t xml:space="preserve">الثلاث سنوات </w:t>
      </w:r>
      <w:r w:rsidRPr="007E1B34">
        <w:rPr>
          <w:rtl/>
          <w:lang w:bidi="ar-SA"/>
        </w:rPr>
        <w:t xml:space="preserve">2012-2014 على </w:t>
      </w:r>
      <w:r>
        <w:rPr>
          <w:rFonts w:hint="cs"/>
          <w:rtl/>
          <w:lang w:bidi="ar-SA"/>
        </w:rPr>
        <w:t xml:space="preserve">اليوئنديبي </w:t>
      </w:r>
      <w:r>
        <w:rPr>
          <w:rtl/>
          <w:lang w:bidi="ar-SA"/>
        </w:rPr>
        <w:t>واليونيدو والبنك الدولي</w:t>
      </w:r>
      <w:r w:rsidRPr="007E1B34">
        <w:rPr>
          <w:rtl/>
          <w:lang w:bidi="ar-SA"/>
        </w:rPr>
        <w:t xml:space="preserve">، </w:t>
      </w:r>
      <w:r>
        <w:rPr>
          <w:rFonts w:hint="cs"/>
          <w:rtl/>
          <w:lang w:bidi="ar-SA"/>
        </w:rPr>
        <w:t xml:space="preserve">الذي </w:t>
      </w:r>
      <w:r w:rsidRPr="007E1B34">
        <w:rPr>
          <w:rtl/>
          <w:lang w:bidi="ar-SA"/>
        </w:rPr>
        <w:t xml:space="preserve">يتألف من تمويل سنوي للوحدة الأساسية يمكن النظر في زيادة سنوية </w:t>
      </w:r>
      <w:r>
        <w:rPr>
          <w:rFonts w:hint="cs"/>
          <w:rtl/>
          <w:lang w:bidi="ar-SA"/>
        </w:rPr>
        <w:t xml:space="preserve">له </w:t>
      </w:r>
      <w:r w:rsidRPr="007E1B34">
        <w:rPr>
          <w:rtl/>
          <w:lang w:bidi="ar-SA"/>
        </w:rPr>
        <w:t xml:space="preserve">تصل إلى 0.7 </w:t>
      </w:r>
      <w:r>
        <w:rPr>
          <w:rtl/>
          <w:lang w:bidi="ar-SA"/>
        </w:rPr>
        <w:t>في المائة تخضع للمراجعة السنوية، و</w:t>
      </w:r>
      <w:r w:rsidRPr="007E1B34">
        <w:rPr>
          <w:rtl/>
          <w:lang w:bidi="ar-SA"/>
        </w:rPr>
        <w:t xml:space="preserve">تطبيق </w:t>
      </w:r>
      <w:r w:rsidR="00070CBE">
        <w:rPr>
          <w:rtl/>
          <w:lang w:bidi="ar-SA"/>
        </w:rPr>
        <w:t xml:space="preserve">رسوم الوكالة التالية على أساس تمويل </w:t>
      </w:r>
      <w:r w:rsidRPr="007E1B34">
        <w:rPr>
          <w:rtl/>
          <w:lang w:bidi="ar-SA"/>
        </w:rPr>
        <w:t>كل وكالة: رسوم وكالة بنسبة 7 في المائة للمشروعات التي تزيد</w:t>
      </w:r>
      <w:r w:rsidR="00AE4719">
        <w:rPr>
          <w:rFonts w:hint="cs"/>
          <w:rtl/>
          <w:lang w:bidi="ar-SA"/>
        </w:rPr>
        <w:t xml:space="preserve"> فيها</w:t>
      </w:r>
      <w:r w:rsidRPr="007E1B34">
        <w:rPr>
          <w:rtl/>
          <w:lang w:bidi="ar-SA"/>
        </w:rPr>
        <w:t xml:space="preserve"> تكلفة </w:t>
      </w:r>
      <w:r w:rsidR="00AE4719">
        <w:rPr>
          <w:rFonts w:hint="cs"/>
          <w:rtl/>
          <w:lang w:bidi="ar-SA"/>
        </w:rPr>
        <w:t>ال</w:t>
      </w:r>
      <w:r w:rsidR="00AE4719">
        <w:rPr>
          <w:rtl/>
          <w:lang w:bidi="ar-SA"/>
        </w:rPr>
        <w:t>مشروع عن 250</w:t>
      </w:r>
      <w:r w:rsidR="007148B9">
        <w:rPr>
          <w:rFonts w:hint="cs"/>
          <w:rtl/>
          <w:lang w:bidi="ar-SA"/>
        </w:rPr>
        <w:t>,</w:t>
      </w:r>
      <w:r w:rsidR="00AE4719">
        <w:rPr>
          <w:rtl/>
          <w:lang w:bidi="ar-SA"/>
        </w:rPr>
        <w:t xml:space="preserve">000 دولار أمريكي، </w:t>
      </w:r>
      <w:r w:rsidR="00AE4719">
        <w:rPr>
          <w:rFonts w:hint="cs"/>
          <w:rtl/>
          <w:lang w:bidi="ar-SA"/>
        </w:rPr>
        <w:t xml:space="preserve">وكذلك </w:t>
      </w:r>
      <w:r w:rsidRPr="007E1B34">
        <w:rPr>
          <w:rtl/>
          <w:lang w:bidi="ar-SA"/>
        </w:rPr>
        <w:t>مشروعات</w:t>
      </w:r>
      <w:r w:rsidR="00AE4719">
        <w:rPr>
          <w:rtl/>
          <w:lang w:bidi="ar-SA"/>
        </w:rPr>
        <w:t xml:space="preserve"> التعزيز المؤسسي وإعداد المشروع</w:t>
      </w:r>
      <w:r w:rsidRPr="007E1B34">
        <w:rPr>
          <w:rtl/>
          <w:lang w:bidi="ar-SA"/>
        </w:rPr>
        <w:t>؛ رس</w:t>
      </w:r>
      <w:r w:rsidR="00AE4719">
        <w:rPr>
          <w:rtl/>
          <w:lang w:bidi="ar-SA"/>
        </w:rPr>
        <w:t>وم وكالة بنسبة 9 في المائة للمشر</w:t>
      </w:r>
      <w:r w:rsidR="00AE4719">
        <w:rPr>
          <w:rFonts w:hint="cs"/>
          <w:rtl/>
          <w:lang w:bidi="ar-SA"/>
        </w:rPr>
        <w:t>و</w:t>
      </w:r>
      <w:r w:rsidRPr="007E1B34">
        <w:rPr>
          <w:rtl/>
          <w:lang w:bidi="ar-SA"/>
        </w:rPr>
        <w:t>ع</w:t>
      </w:r>
      <w:r w:rsidR="00AE4719">
        <w:rPr>
          <w:rFonts w:hint="cs"/>
          <w:rtl/>
          <w:lang w:bidi="ar-SA"/>
        </w:rPr>
        <w:t>ات</w:t>
      </w:r>
      <w:r w:rsidRPr="007E1B34">
        <w:rPr>
          <w:rtl/>
          <w:lang w:bidi="ar-SA"/>
        </w:rPr>
        <w:t xml:space="preserve"> التي تبلغ</w:t>
      </w:r>
      <w:r w:rsidR="00AE4719" w:rsidRPr="00AE4719">
        <w:rPr>
          <w:rtl/>
          <w:lang w:bidi="ar-SA"/>
        </w:rPr>
        <w:t xml:space="preserve"> </w:t>
      </w:r>
      <w:r w:rsidR="00AE4719" w:rsidRPr="007E1B34">
        <w:rPr>
          <w:rtl/>
          <w:lang w:bidi="ar-SA"/>
        </w:rPr>
        <w:t>فيها</w:t>
      </w:r>
      <w:r w:rsidRPr="007E1B34">
        <w:rPr>
          <w:rtl/>
          <w:lang w:bidi="ar-SA"/>
        </w:rPr>
        <w:t xml:space="preserve"> تكلفة المشروع أو تقل عن</w:t>
      </w:r>
      <w:r w:rsidR="00AE4719">
        <w:rPr>
          <w:rFonts w:hint="cs"/>
          <w:rtl/>
          <w:lang w:bidi="ar-SA"/>
        </w:rPr>
        <w:t xml:space="preserve"> 250,000</w:t>
      </w:r>
      <w:r w:rsidR="00AE4719">
        <w:rPr>
          <w:rtl/>
          <w:lang w:bidi="ar-SA"/>
        </w:rPr>
        <w:t xml:space="preserve"> دولار أمريكي</w:t>
      </w:r>
      <w:r w:rsidRPr="007E1B34">
        <w:rPr>
          <w:rtl/>
          <w:lang w:bidi="ar-SA"/>
        </w:rPr>
        <w:t xml:space="preserve">؛ </w:t>
      </w:r>
      <w:r w:rsidR="00AE4719">
        <w:rPr>
          <w:rFonts w:hint="cs"/>
          <w:rtl/>
          <w:lang w:bidi="ar-SA"/>
        </w:rPr>
        <w:t>و</w:t>
      </w:r>
      <w:r w:rsidRPr="007E1B34">
        <w:rPr>
          <w:rtl/>
          <w:lang w:bidi="ar-SA"/>
        </w:rPr>
        <w:t>رسم</w:t>
      </w:r>
      <w:r w:rsidR="00AE4719">
        <w:rPr>
          <w:rtl/>
          <w:lang w:bidi="ar-SA"/>
        </w:rPr>
        <w:t xml:space="preserve"> وكالة لا يزيد عن 6.5 في المائة</w:t>
      </w:r>
      <w:r w:rsidRPr="007E1B34">
        <w:rPr>
          <w:rtl/>
          <w:lang w:bidi="ar-SA"/>
        </w:rPr>
        <w:t xml:space="preserve">، يتم تحديده على أساس كل حالة على حدة </w:t>
      </w:r>
      <w:r w:rsidR="00AE4719">
        <w:rPr>
          <w:rFonts w:hint="cs"/>
          <w:rtl/>
          <w:lang w:bidi="ar-SA"/>
        </w:rPr>
        <w:t xml:space="preserve">لمشروعات </w:t>
      </w:r>
      <w:r w:rsidRPr="007E1B34">
        <w:rPr>
          <w:rtl/>
          <w:lang w:bidi="ar-SA"/>
        </w:rPr>
        <w:t xml:space="preserve">في قطاع الإنتاج (المقرر 67/15 (ب)). </w:t>
      </w:r>
      <w:r w:rsidR="003E3989">
        <w:rPr>
          <w:rFonts w:hint="cs"/>
          <w:rtl/>
          <w:lang w:bidi="ar-SA"/>
        </w:rPr>
        <w:t>و</w:t>
      </w:r>
      <w:r w:rsidR="003E3989">
        <w:rPr>
          <w:rtl/>
          <w:lang w:bidi="ar-SA"/>
        </w:rPr>
        <w:t>في الاجتماع الثالث والسبعين</w:t>
      </w:r>
      <w:r w:rsidRPr="007E1B34">
        <w:rPr>
          <w:rtl/>
          <w:lang w:bidi="ar-SA"/>
        </w:rPr>
        <w:t>، قررت اللجنة تطبيق نظام التكاليف الإدارية الحالي لل</w:t>
      </w:r>
      <w:r w:rsidR="003E3989">
        <w:rPr>
          <w:rtl/>
          <w:lang w:bidi="ar-SA"/>
        </w:rPr>
        <w:t>وكالات الثنائية والمنفذة خلال فترة الثلاث</w:t>
      </w:r>
      <w:r w:rsidR="003E3989">
        <w:rPr>
          <w:rFonts w:hint="cs"/>
          <w:rtl/>
          <w:lang w:bidi="ar-SA"/>
        </w:rPr>
        <w:t xml:space="preserve"> سنوات</w:t>
      </w:r>
      <w:r w:rsidR="003E3989">
        <w:rPr>
          <w:rtl/>
          <w:lang w:bidi="ar-SA"/>
        </w:rPr>
        <w:t xml:space="preserve"> 2015-2017</w:t>
      </w:r>
      <w:r w:rsidRPr="007E1B34">
        <w:rPr>
          <w:rtl/>
          <w:lang w:bidi="ar-SA"/>
        </w:rPr>
        <w:t>؛ لاستعراض نظام الت</w:t>
      </w:r>
      <w:r w:rsidR="003E3989">
        <w:rPr>
          <w:rtl/>
          <w:lang w:bidi="ar-SA"/>
        </w:rPr>
        <w:t xml:space="preserve">كاليف الإدارية وميزانية تمويل </w:t>
      </w:r>
      <w:r w:rsidRPr="007E1B34">
        <w:rPr>
          <w:rtl/>
          <w:lang w:bidi="ar-SA"/>
        </w:rPr>
        <w:t>وحد</w:t>
      </w:r>
      <w:r w:rsidR="003E3989">
        <w:rPr>
          <w:rFonts w:hint="cs"/>
          <w:rtl/>
          <w:lang w:bidi="ar-SA"/>
        </w:rPr>
        <w:t>اتها</w:t>
      </w:r>
      <w:r w:rsidR="003E3989">
        <w:rPr>
          <w:rtl/>
          <w:lang w:bidi="ar-SA"/>
        </w:rPr>
        <w:t xml:space="preserve"> الأساسية في </w:t>
      </w:r>
      <w:r w:rsidR="003E3989">
        <w:rPr>
          <w:rFonts w:hint="cs"/>
          <w:rtl/>
          <w:lang w:bidi="ar-SA"/>
        </w:rPr>
        <w:t xml:space="preserve">أول </w:t>
      </w:r>
      <w:r w:rsidR="003E3989">
        <w:rPr>
          <w:rtl/>
          <w:lang w:bidi="ar-SA"/>
        </w:rPr>
        <w:t xml:space="preserve">اجتماع </w:t>
      </w:r>
      <w:r w:rsidR="003E3989">
        <w:rPr>
          <w:rFonts w:hint="cs"/>
          <w:rtl/>
          <w:lang w:bidi="ar-SA"/>
        </w:rPr>
        <w:t xml:space="preserve">في </w:t>
      </w:r>
      <w:r w:rsidRPr="007E1B34">
        <w:rPr>
          <w:rtl/>
          <w:lang w:bidi="ar-SA"/>
        </w:rPr>
        <w:t xml:space="preserve">عام 2017 (المقرر 73/62 (ب) و (ج)). </w:t>
      </w:r>
      <w:r w:rsidR="003E3989">
        <w:rPr>
          <w:rFonts w:hint="cs"/>
          <w:rtl/>
          <w:lang w:bidi="ar-SA"/>
        </w:rPr>
        <w:t>و</w:t>
      </w:r>
      <w:r w:rsidR="003E3989">
        <w:rPr>
          <w:rtl/>
          <w:lang w:bidi="ar-SA"/>
        </w:rPr>
        <w:t xml:space="preserve"> الاجتماع التاسع والسبعين</w:t>
      </w:r>
      <w:r w:rsidRPr="007E1B34">
        <w:rPr>
          <w:rtl/>
          <w:lang w:bidi="ar-SA"/>
        </w:rPr>
        <w:t>، قررت اللجنة تطبيق نظام التكاليف الإدارية الحالي للوكالات المنفذة خ</w:t>
      </w:r>
      <w:r w:rsidR="003E3989">
        <w:rPr>
          <w:rtl/>
          <w:lang w:bidi="ar-SA"/>
        </w:rPr>
        <w:t>لال فترة الثلاث سنوات 2018 2020</w:t>
      </w:r>
      <w:r w:rsidRPr="007E1B34">
        <w:rPr>
          <w:rtl/>
          <w:lang w:bidi="ar-SA"/>
        </w:rPr>
        <w:t xml:space="preserve">؛ </w:t>
      </w:r>
      <w:r w:rsidR="003E3989">
        <w:rPr>
          <w:rFonts w:hint="cs"/>
          <w:rtl/>
          <w:lang w:bidi="ar-SA"/>
        </w:rPr>
        <w:t>ومطالبة اليوئنديبي واليونيدو</w:t>
      </w:r>
      <w:r w:rsidRPr="007E1B34">
        <w:rPr>
          <w:rtl/>
          <w:lang w:bidi="ar-SA"/>
        </w:rPr>
        <w:t xml:space="preserve"> والبنك الدولي </w:t>
      </w:r>
      <w:r w:rsidR="003E3989">
        <w:rPr>
          <w:rFonts w:hint="cs"/>
          <w:rtl/>
          <w:lang w:bidi="ar-SA"/>
        </w:rPr>
        <w:t>ب</w:t>
      </w:r>
      <w:r w:rsidR="003E3989">
        <w:rPr>
          <w:rtl/>
          <w:lang w:bidi="ar-SA"/>
        </w:rPr>
        <w:t>تقديم تقاريره</w:t>
      </w:r>
      <w:r w:rsidR="003E3989">
        <w:rPr>
          <w:rFonts w:hint="cs"/>
          <w:rtl/>
          <w:lang w:bidi="ar-SA"/>
        </w:rPr>
        <w:t>م</w:t>
      </w:r>
      <w:r w:rsidRPr="007E1B34">
        <w:rPr>
          <w:rtl/>
          <w:lang w:bidi="ar-SA"/>
        </w:rPr>
        <w:t xml:space="preserve"> السنوية عن تمويل الوحدة الأساسية باستخدام </w:t>
      </w:r>
      <w:r w:rsidR="003E3989">
        <w:rPr>
          <w:rFonts w:hint="cs"/>
          <w:rtl/>
          <w:lang w:bidi="ar-SA"/>
        </w:rPr>
        <w:t>نموذج</w:t>
      </w:r>
      <w:r w:rsidRPr="007E1B34">
        <w:rPr>
          <w:rtl/>
          <w:lang w:bidi="ar-SA"/>
        </w:rPr>
        <w:t xml:space="preserve"> </w:t>
      </w:r>
      <w:r w:rsidR="003E3989">
        <w:rPr>
          <w:rFonts w:hint="cs"/>
          <w:rtl/>
          <w:lang w:bidi="ar-SA"/>
        </w:rPr>
        <w:t>ا</w:t>
      </w:r>
      <w:r w:rsidRPr="007E1B34">
        <w:rPr>
          <w:rtl/>
          <w:lang w:bidi="ar-SA"/>
        </w:rPr>
        <w:t>لإبلاغ</w:t>
      </w:r>
      <w:r w:rsidR="003E3989">
        <w:rPr>
          <w:rFonts w:hint="cs"/>
          <w:rtl/>
          <w:lang w:bidi="ar-SA"/>
        </w:rPr>
        <w:t xml:space="preserve"> المعدل</w:t>
      </w:r>
      <w:r w:rsidRPr="007E1B34">
        <w:rPr>
          <w:rtl/>
          <w:lang w:bidi="ar-SA"/>
        </w:rPr>
        <w:t xml:space="preserve"> (المقرر 79/41 (ج) و (هـ)).</w:t>
      </w:r>
    </w:p>
  </w:footnote>
  <w:footnote w:id="3">
    <w:p w14:paraId="7CD57AA8" w14:textId="77777777" w:rsidR="005F4183" w:rsidRDefault="005F4183" w:rsidP="003E3989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</w:t>
      </w:r>
      <w:r w:rsidRPr="007E1B34">
        <w:rPr>
          <w:rtl/>
          <w:lang w:bidi="ar-SA"/>
        </w:rPr>
        <w:t xml:space="preserve">استخدمت الوكالات </w:t>
      </w:r>
      <w:r w:rsidR="003E3989">
        <w:rPr>
          <w:rFonts w:hint="cs"/>
          <w:rtl/>
          <w:lang w:bidi="ar-SA"/>
        </w:rPr>
        <w:t>النموذج</w:t>
      </w:r>
      <w:r w:rsidRPr="007E1B34">
        <w:rPr>
          <w:rtl/>
          <w:lang w:bidi="ar-SA"/>
        </w:rPr>
        <w:t xml:space="preserve"> </w:t>
      </w:r>
      <w:r w:rsidR="003E3989">
        <w:rPr>
          <w:rFonts w:hint="cs"/>
          <w:rtl/>
          <w:lang w:bidi="ar-SA"/>
        </w:rPr>
        <w:t>المعدل للإبلاغ عن</w:t>
      </w:r>
      <w:r w:rsidRPr="007E1B34">
        <w:rPr>
          <w:rtl/>
          <w:lang w:bidi="ar-SA"/>
        </w:rPr>
        <w:t xml:space="preserve"> التكاليف الإدارية الوارد في </w:t>
      </w:r>
      <w:r w:rsidR="003E3989">
        <w:rPr>
          <w:rFonts w:hint="cs"/>
          <w:rtl/>
          <w:lang w:bidi="ar-SA"/>
        </w:rPr>
        <w:t>المرفق</w:t>
      </w:r>
      <w:r w:rsidR="003E3989">
        <w:rPr>
          <w:rtl/>
          <w:lang w:bidi="ar-SA"/>
        </w:rPr>
        <w:t xml:space="preserve"> الثامن عشر </w:t>
      </w:r>
      <w:r w:rsidR="003E3989">
        <w:rPr>
          <w:rFonts w:hint="cs"/>
          <w:rtl/>
          <w:lang w:bidi="ar-SA"/>
        </w:rPr>
        <w:t>با</w:t>
      </w:r>
      <w:r w:rsidRPr="007E1B34">
        <w:rPr>
          <w:rtl/>
          <w:lang w:bidi="ar-SA"/>
        </w:rPr>
        <w:t xml:space="preserve">لوثيقة </w:t>
      </w:r>
      <w:r w:rsidR="003E3989" w:rsidRPr="0004191D">
        <w:t>UNEP/</w:t>
      </w:r>
      <w:proofErr w:type="spellStart"/>
      <w:r w:rsidR="003E3989" w:rsidRPr="0004191D">
        <w:t>OzL.Pro</w:t>
      </w:r>
      <w:proofErr w:type="spellEnd"/>
      <w:r w:rsidR="003E3989" w:rsidRPr="0004191D">
        <w:t>/</w:t>
      </w:r>
      <w:proofErr w:type="spellStart"/>
      <w:r w:rsidR="003E3989" w:rsidRPr="0004191D">
        <w:t>ExCom</w:t>
      </w:r>
      <w:proofErr w:type="spellEnd"/>
      <w:r w:rsidR="003E3989" w:rsidRPr="0004191D">
        <w:t>/79/51</w:t>
      </w:r>
      <w:r w:rsidRPr="007E1B34">
        <w:rPr>
          <w:rtl/>
          <w:lang w:bidi="ar-SA"/>
        </w:rPr>
        <w:t>، عملاً بالمقرر 79/41 (هـ).</w:t>
      </w:r>
      <w:r>
        <w:rPr>
          <w:rFonts w:hint="cs"/>
          <w:rtl/>
          <w:lang w:bidi="ar-SA"/>
        </w:rPr>
        <w:t xml:space="preserve">  </w:t>
      </w:r>
    </w:p>
  </w:footnote>
  <w:footnote w:id="4">
    <w:p w14:paraId="24CF6FBA" w14:textId="77777777" w:rsidR="005F4183" w:rsidRDefault="005F4183" w:rsidP="007D15F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="00271D08" w:rsidRPr="00271D08">
        <w:rPr>
          <w:rtl/>
          <w:lang w:bidi="ar-SA"/>
        </w:rPr>
        <w:t xml:space="preserve">قدم </w:t>
      </w:r>
      <w:r w:rsidR="00A63C72">
        <w:rPr>
          <w:rFonts w:hint="cs"/>
          <w:rtl/>
          <w:lang w:bidi="ar-SA"/>
        </w:rPr>
        <w:t>اليوئنديبي</w:t>
      </w:r>
      <w:r w:rsidR="00A63C72">
        <w:rPr>
          <w:rtl/>
          <w:lang w:bidi="ar-SA"/>
        </w:rPr>
        <w:t xml:space="preserve"> في الأصل طلبًا </w:t>
      </w:r>
      <w:r w:rsidR="00A63C72">
        <w:rPr>
          <w:rFonts w:hint="cs"/>
          <w:rtl/>
          <w:lang w:bidi="ar-SA"/>
        </w:rPr>
        <w:t>ل</w:t>
      </w:r>
      <w:r w:rsidR="00271D08" w:rsidRPr="00271D08">
        <w:rPr>
          <w:rtl/>
          <w:lang w:bidi="ar-SA"/>
        </w:rPr>
        <w:t xml:space="preserve">مبلغ </w:t>
      </w:r>
      <w:r w:rsidR="00A63C72">
        <w:rPr>
          <w:rFonts w:hint="cs"/>
          <w:rtl/>
          <w:lang w:bidi="ar-SA"/>
        </w:rPr>
        <w:t xml:space="preserve">قدره </w:t>
      </w:r>
      <w:r w:rsidR="00271D08" w:rsidRPr="00271D08">
        <w:rPr>
          <w:rtl/>
          <w:lang w:bidi="ar-SA"/>
        </w:rPr>
        <w:t>2</w:t>
      </w:r>
      <w:r w:rsidR="00A63C72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444</w:t>
      </w:r>
      <w:r w:rsidR="00A63C72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 xml:space="preserve">912 دولارًا أمريكيًا لوحدته الأساسية لعام 2022 مدفوعًا بشكل أساسي بموظفين إضافيين للتعامل مع أنشطة </w:t>
      </w:r>
      <w:r w:rsidR="00A63C72">
        <w:rPr>
          <w:rFonts w:hint="cs"/>
          <w:rtl/>
          <w:lang w:bidi="ar-SA"/>
        </w:rPr>
        <w:t>التخفيض التدريجي للمواد الهيدروفلوروكربونية</w:t>
      </w:r>
      <w:r w:rsidR="00A63C72">
        <w:rPr>
          <w:rtl/>
          <w:lang w:bidi="ar-SA"/>
        </w:rPr>
        <w:t>. وأثناء عملية الاستعراض</w:t>
      </w:r>
      <w:r w:rsidR="00271D08" w:rsidRPr="00271D08">
        <w:rPr>
          <w:rtl/>
          <w:lang w:bidi="ar-SA"/>
        </w:rPr>
        <w:t xml:space="preserve">، أبلغت الأمانة </w:t>
      </w:r>
      <w:r w:rsidR="00A63C72">
        <w:rPr>
          <w:rFonts w:hint="cs"/>
          <w:rtl/>
          <w:lang w:bidi="ar-SA"/>
        </w:rPr>
        <w:t>اليوئنديبي</w:t>
      </w:r>
      <w:r w:rsidR="00A63C72">
        <w:rPr>
          <w:rtl/>
          <w:lang w:bidi="ar-SA"/>
        </w:rPr>
        <w:t xml:space="preserve"> </w:t>
      </w:r>
      <w:r w:rsidR="00A63C72">
        <w:rPr>
          <w:rFonts w:hint="cs"/>
          <w:rtl/>
          <w:lang w:bidi="ar-SA"/>
        </w:rPr>
        <w:t>ب</w:t>
      </w:r>
      <w:r w:rsidR="00271D08" w:rsidRPr="00271D08">
        <w:rPr>
          <w:rtl/>
          <w:lang w:bidi="ar-SA"/>
        </w:rPr>
        <w:t>أن السياسات الحالية بشأن تمويل الوحدة الأساسية لا تسمح بالنظر في زيادة</w:t>
      </w:r>
      <w:r w:rsidR="00A63C72">
        <w:rPr>
          <w:rtl/>
          <w:lang w:bidi="ar-SA"/>
        </w:rPr>
        <w:t xml:space="preserve"> تتجاوز 0.7 في المائة. وبعد ذلك</w:t>
      </w:r>
      <w:r w:rsidR="00271D08" w:rsidRPr="00271D08">
        <w:rPr>
          <w:rtl/>
          <w:lang w:bidi="ar-SA"/>
        </w:rPr>
        <w:t xml:space="preserve">، عدل </w:t>
      </w:r>
      <w:r w:rsidR="00A63C72">
        <w:rPr>
          <w:rFonts w:hint="cs"/>
          <w:rtl/>
          <w:lang w:bidi="ar-SA"/>
        </w:rPr>
        <w:t>اليوئنديبي</w:t>
      </w:r>
      <w:r w:rsidR="00A63C72">
        <w:rPr>
          <w:rtl/>
          <w:lang w:bidi="ar-SA"/>
        </w:rPr>
        <w:t xml:space="preserve"> </w:t>
      </w:r>
      <w:r w:rsidR="00271D08" w:rsidRPr="00271D08">
        <w:rPr>
          <w:rtl/>
          <w:lang w:bidi="ar-SA"/>
        </w:rPr>
        <w:t xml:space="preserve">طلب التمويل </w:t>
      </w:r>
      <w:r w:rsidR="007D15F0">
        <w:rPr>
          <w:rFonts w:hint="cs"/>
          <w:rtl/>
          <w:lang w:bidi="ar-SA"/>
        </w:rPr>
        <w:t>وفقا</w:t>
      </w:r>
      <w:r w:rsidR="00271D08" w:rsidRPr="00271D08">
        <w:rPr>
          <w:rtl/>
          <w:lang w:bidi="ar-SA"/>
        </w:rPr>
        <w:t xml:space="preserve"> لذلك.</w:t>
      </w:r>
    </w:p>
  </w:footnote>
  <w:footnote w:id="5">
    <w:p w14:paraId="44FDED3D" w14:textId="77777777" w:rsidR="005F4183" w:rsidRDefault="005F4183" w:rsidP="00D870D3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7D15F0">
        <w:rPr>
          <w:rFonts w:hint="cs"/>
          <w:rtl/>
          <w:lang w:bidi="ar-SA"/>
        </w:rPr>
        <w:t xml:space="preserve"> </w:t>
      </w:r>
      <w:r w:rsidR="00271D08" w:rsidRPr="00271D08">
        <w:rPr>
          <w:rtl/>
          <w:lang w:bidi="ar-SA"/>
        </w:rPr>
        <w:t>في خمس مناسبات</w:t>
      </w:r>
      <w:r w:rsidR="007D15F0">
        <w:rPr>
          <w:rtl/>
          <w:lang w:bidi="ar-SA"/>
        </w:rPr>
        <w:t xml:space="preserve"> على مدار السنوات التسع الماضية</w:t>
      </w:r>
      <w:r w:rsidR="00271D08" w:rsidRPr="00271D08">
        <w:rPr>
          <w:rtl/>
          <w:lang w:bidi="ar-SA"/>
        </w:rPr>
        <w:t>، تجاوز مستوى تكاليف الوحدة الأساسية أكثر من 800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000 دولار أمريكي: 837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2</w:t>
      </w:r>
      <w:r w:rsidR="007D15F0">
        <w:rPr>
          <w:rtl/>
          <w:lang w:bidi="ar-SA"/>
        </w:rPr>
        <w:t>20 دولارًا أمريكيًا في عام 2012</w:t>
      </w:r>
      <w:r w:rsidR="00271D08" w:rsidRPr="00271D08">
        <w:rPr>
          <w:rtl/>
          <w:lang w:bidi="ar-SA"/>
        </w:rPr>
        <w:t>، و 849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6</w:t>
      </w:r>
      <w:r w:rsidR="007D15F0">
        <w:rPr>
          <w:rtl/>
          <w:lang w:bidi="ar-SA"/>
        </w:rPr>
        <w:t>76 دولارًا أمريكيًا في عام 2013</w:t>
      </w:r>
      <w:r w:rsidR="00271D08" w:rsidRPr="00271D08">
        <w:rPr>
          <w:rtl/>
          <w:lang w:bidi="ar-SA"/>
        </w:rPr>
        <w:t>، و 929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0</w:t>
      </w:r>
      <w:r w:rsidR="007D15F0">
        <w:rPr>
          <w:rtl/>
          <w:lang w:bidi="ar-SA"/>
        </w:rPr>
        <w:t>36 دولارًا أمريكيًا في عام 2017</w:t>
      </w:r>
      <w:r w:rsidR="00271D08" w:rsidRPr="00271D08">
        <w:rPr>
          <w:rtl/>
          <w:lang w:bidi="ar-SA"/>
        </w:rPr>
        <w:t>، و 1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053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8</w:t>
      </w:r>
      <w:r w:rsidR="007D15F0">
        <w:rPr>
          <w:rtl/>
          <w:lang w:bidi="ar-SA"/>
        </w:rPr>
        <w:t>80 دولارًا أمريكيًا في عام 2018</w:t>
      </w:r>
      <w:r w:rsidR="00271D08" w:rsidRPr="00271D08">
        <w:rPr>
          <w:rtl/>
          <w:lang w:bidi="ar-SA"/>
        </w:rPr>
        <w:t>، و 904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9</w:t>
      </w:r>
      <w:r w:rsidR="007D15F0">
        <w:rPr>
          <w:rtl/>
          <w:lang w:bidi="ar-SA"/>
        </w:rPr>
        <w:t>18 دولارًا أمريكيًا في عام 2019</w:t>
      </w:r>
      <w:r w:rsidR="00271D08" w:rsidRPr="00271D08">
        <w:rPr>
          <w:rtl/>
          <w:lang w:bidi="ar-SA"/>
        </w:rPr>
        <w:t>، و 601</w:t>
      </w:r>
      <w:r w:rsidR="007D15F0">
        <w:rPr>
          <w:rFonts w:hint="cs"/>
          <w:rtl/>
          <w:lang w:bidi="ar-SA"/>
        </w:rPr>
        <w:t>,</w:t>
      </w:r>
      <w:r w:rsidR="00271D08" w:rsidRPr="00271D08">
        <w:rPr>
          <w:rtl/>
          <w:lang w:bidi="ar-SA"/>
        </w:rPr>
        <w:t>414 دولارًا أمريكيًا في عام 2020.</w:t>
      </w:r>
      <w:r w:rsidR="005337AC">
        <w:rPr>
          <w:rFonts w:hint="cs"/>
          <w:rtl/>
          <w:lang w:bidi="ar-SA"/>
        </w:rPr>
        <w:t xml:space="preserve"> </w:t>
      </w:r>
      <w:r w:rsidR="00271D08" w:rsidRPr="00271D08">
        <w:rPr>
          <w:rtl/>
          <w:lang w:bidi="ar-SA"/>
        </w:rPr>
        <w:t xml:space="preserve"> </w:t>
      </w:r>
      <w:r w:rsidR="005337AC">
        <w:rPr>
          <w:rFonts w:hint="cs"/>
          <w:rtl/>
          <w:lang w:bidi="ar-SA"/>
        </w:rPr>
        <w:t>و</w:t>
      </w:r>
      <w:r w:rsidR="005337AC">
        <w:rPr>
          <w:rtl/>
          <w:lang w:bidi="ar-SA"/>
        </w:rPr>
        <w:t>في عام 2021</w:t>
      </w:r>
      <w:r w:rsidR="00271D08" w:rsidRPr="00271D08">
        <w:rPr>
          <w:rtl/>
          <w:lang w:bidi="ar-SA"/>
        </w:rPr>
        <w:t xml:space="preserve">، سيتجاوز </w:t>
      </w:r>
      <w:r w:rsidR="00D870D3">
        <w:rPr>
          <w:rFonts w:hint="cs"/>
          <w:rtl/>
          <w:lang w:bidi="ar-SA"/>
        </w:rPr>
        <w:t>اليوئنديبي</w:t>
      </w:r>
      <w:r w:rsidR="00D870D3">
        <w:rPr>
          <w:rtl/>
          <w:lang w:bidi="ar-SA"/>
        </w:rPr>
        <w:t xml:space="preserve"> </w:t>
      </w:r>
      <w:r w:rsidR="00271D08" w:rsidRPr="00271D08">
        <w:rPr>
          <w:rtl/>
          <w:lang w:bidi="ar-SA"/>
        </w:rPr>
        <w:t xml:space="preserve">تكاليفه </w:t>
      </w:r>
      <w:r w:rsidR="00D870D3">
        <w:rPr>
          <w:rFonts w:hint="cs"/>
          <w:rtl/>
          <w:lang w:bidi="ar-SA"/>
        </w:rPr>
        <w:t>بقيمة</w:t>
      </w:r>
      <w:r w:rsidR="00271D08" w:rsidRPr="00271D08">
        <w:rPr>
          <w:rtl/>
          <w:lang w:bidi="ar-SA"/>
        </w:rPr>
        <w:t xml:space="preserve"> 673</w:t>
      </w:r>
      <w:r w:rsidR="00D870D3">
        <w:rPr>
          <w:rFonts w:hint="cs"/>
          <w:rtl/>
          <w:lang w:bidi="ar-SA"/>
        </w:rPr>
        <w:t>,</w:t>
      </w:r>
      <w:r w:rsidR="00D870D3">
        <w:rPr>
          <w:rtl/>
          <w:lang w:bidi="ar-SA"/>
        </w:rPr>
        <w:t>909 دولار</w:t>
      </w:r>
      <w:r w:rsidR="00D870D3">
        <w:rPr>
          <w:rFonts w:hint="cs"/>
          <w:rtl/>
          <w:lang w:bidi="ar-SA"/>
        </w:rPr>
        <w:t>ا</w:t>
      </w:r>
      <w:r w:rsidR="00D870D3">
        <w:rPr>
          <w:rtl/>
          <w:lang w:bidi="ar-SA"/>
        </w:rPr>
        <w:t xml:space="preserve"> أمريكي</w:t>
      </w:r>
      <w:r w:rsidR="00D870D3">
        <w:rPr>
          <w:rFonts w:hint="cs"/>
          <w:rtl/>
          <w:lang w:bidi="ar-SA"/>
        </w:rPr>
        <w:t>ا</w:t>
      </w:r>
      <w:r w:rsidR="00271D08" w:rsidRPr="00271D08">
        <w:rPr>
          <w:rtl/>
          <w:lang w:bidi="ar-SA"/>
        </w:rPr>
        <w:t xml:space="preserve"> (حوالي 31.9 في المائة عن الميزانية).</w:t>
      </w:r>
    </w:p>
  </w:footnote>
  <w:footnote w:id="6">
    <w:p w14:paraId="5C831F9D" w14:textId="77777777" w:rsidR="005F4183" w:rsidRDefault="005F4183" w:rsidP="001055EE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 w:rsidR="00D870D3">
        <w:rPr>
          <w:rFonts w:hint="cs"/>
          <w:rtl/>
          <w:lang w:bidi="ar-SA"/>
        </w:rPr>
        <w:t xml:space="preserve"> </w:t>
      </w:r>
      <w:r w:rsidR="00271D08" w:rsidRPr="00271D08">
        <w:rPr>
          <w:rtl/>
          <w:lang w:bidi="ar-SA"/>
        </w:rPr>
        <w:t xml:space="preserve">لم </w:t>
      </w:r>
      <w:r w:rsidR="001055EE">
        <w:rPr>
          <w:rFonts w:hint="cs"/>
          <w:rtl/>
          <w:lang w:bidi="ar-SA"/>
        </w:rPr>
        <w:t>تملك</w:t>
      </w:r>
      <w:r w:rsidR="00271D08" w:rsidRPr="00271D08">
        <w:rPr>
          <w:rtl/>
          <w:lang w:bidi="ar-SA"/>
        </w:rPr>
        <w:t xml:space="preserve"> اليونيدو قط نظام محاسبة مناسب لمركز التكلفة يمكن أن يسهل الإبلاغ على أساس البيانات الفعلية مع متابعة مراجعة الحسابات. </w:t>
      </w:r>
      <w:r w:rsidR="001055EE">
        <w:rPr>
          <w:rFonts w:hint="cs"/>
          <w:rtl/>
          <w:lang w:bidi="ar-SA"/>
        </w:rPr>
        <w:t>وذكرت</w:t>
      </w:r>
      <w:r w:rsidR="00271D08" w:rsidRPr="00271D08">
        <w:rPr>
          <w:rtl/>
          <w:lang w:bidi="ar-SA"/>
        </w:rPr>
        <w:t xml:space="preserve"> </w:t>
      </w:r>
      <w:r w:rsidR="001055EE">
        <w:rPr>
          <w:rtl/>
          <w:lang w:bidi="ar-SA"/>
        </w:rPr>
        <w:t>اليونيدو</w:t>
      </w:r>
      <w:r w:rsidR="00271D08" w:rsidRPr="00271D08">
        <w:rPr>
          <w:rtl/>
          <w:lang w:bidi="ar-SA"/>
        </w:rPr>
        <w:t xml:space="preserve"> أن المواءمة قد أُنشئت في عام 2017</w:t>
      </w:r>
      <w:r w:rsidR="001055EE">
        <w:rPr>
          <w:rtl/>
          <w:lang w:bidi="ar-SA"/>
        </w:rPr>
        <w:t xml:space="preserve"> لتعكس إجمالي التكاليف الإدارية</w:t>
      </w:r>
      <w:r w:rsidR="00271D08" w:rsidRPr="00271D08">
        <w:rPr>
          <w:rtl/>
          <w:lang w:bidi="ar-SA"/>
        </w:rPr>
        <w:t xml:space="preserve">، بما في ذلك </w:t>
      </w:r>
      <w:r w:rsidR="001055EE">
        <w:rPr>
          <w:rFonts w:hint="cs"/>
          <w:rtl/>
          <w:lang w:bidi="ar-SA"/>
        </w:rPr>
        <w:t xml:space="preserve">تلك </w:t>
      </w:r>
      <w:r w:rsidR="001055EE">
        <w:rPr>
          <w:rtl/>
          <w:lang w:bidi="ar-SA"/>
        </w:rPr>
        <w:t>التكاليف التي قد يُطلق عليها</w:t>
      </w:r>
      <w:r w:rsidR="00271D08" w:rsidRPr="00271D08">
        <w:rPr>
          <w:rtl/>
          <w:lang w:bidi="ar-SA"/>
        </w:rPr>
        <w:t>،</w:t>
      </w:r>
      <w:r w:rsidR="001055EE">
        <w:rPr>
          <w:rtl/>
          <w:lang w:bidi="ar-SA"/>
        </w:rPr>
        <w:t xml:space="preserve"> وفقًا لمنهجية اليونيدو الحالية</w:t>
      </w:r>
      <w:r w:rsidR="00271D08" w:rsidRPr="00271D08">
        <w:rPr>
          <w:rtl/>
          <w:lang w:bidi="ar-SA"/>
        </w:rPr>
        <w:t>، التكاليف الإدارية المحتملة المتعلقة بالمشروع.</w:t>
      </w:r>
    </w:p>
  </w:footnote>
  <w:footnote w:id="7">
    <w:p w14:paraId="2D60BDCD" w14:textId="77777777" w:rsidR="005F4183" w:rsidRDefault="005F4183" w:rsidP="001055EE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</w:t>
      </w:r>
      <w:r w:rsidR="00271D08" w:rsidRPr="00271D08">
        <w:rPr>
          <w:rtl/>
          <w:lang w:bidi="ar-SA"/>
        </w:rPr>
        <w:t xml:space="preserve">طُلب </w:t>
      </w:r>
      <w:r w:rsidR="001055EE">
        <w:rPr>
          <w:rFonts w:hint="cs"/>
          <w:rtl/>
          <w:lang w:bidi="ar-SA"/>
        </w:rPr>
        <w:t>من</w:t>
      </w:r>
      <w:r w:rsidR="00271D08" w:rsidRPr="00271D08">
        <w:rPr>
          <w:rtl/>
          <w:lang w:bidi="ar-SA"/>
        </w:rPr>
        <w:t xml:space="preserve"> اليونيدو أن تقدم افتراضات لنم</w:t>
      </w:r>
      <w:r w:rsidR="001055EE">
        <w:rPr>
          <w:rtl/>
          <w:lang w:bidi="ar-SA"/>
        </w:rPr>
        <w:t>وذج التكاليف الإدارية الخاص بها</w:t>
      </w:r>
      <w:r w:rsidR="00271D08" w:rsidRPr="00271D08">
        <w:rPr>
          <w:rtl/>
          <w:lang w:bidi="ar-SA"/>
        </w:rPr>
        <w:t xml:space="preserve">، </w:t>
      </w:r>
      <w:r w:rsidR="001055EE">
        <w:rPr>
          <w:rtl/>
          <w:lang w:bidi="ar-SA"/>
        </w:rPr>
        <w:t>وفي الطلبات المستقبلية لتمويل وحد</w:t>
      </w:r>
      <w:r w:rsidR="001055EE">
        <w:rPr>
          <w:rFonts w:hint="cs"/>
          <w:rtl/>
          <w:lang w:bidi="ar-SA"/>
        </w:rPr>
        <w:t>تها</w:t>
      </w:r>
      <w:r w:rsidR="00271D08" w:rsidRPr="00271D08">
        <w:rPr>
          <w:rtl/>
          <w:lang w:bidi="ar-SA"/>
        </w:rPr>
        <w:t xml:space="preserve"> الأساسية لتقديم معلومات التكلفة الإدارية التي تميز الأنشطة المتعلقة بالمشروع</w:t>
      </w:r>
      <w:r w:rsidR="001055EE">
        <w:rPr>
          <w:rtl/>
          <w:lang w:bidi="ar-SA"/>
        </w:rPr>
        <w:t xml:space="preserve"> عن التكاليف الإدارية. وبعد ذلك</w:t>
      </w:r>
      <w:r w:rsidR="00271D08" w:rsidRPr="00271D08">
        <w:rPr>
          <w:rtl/>
          <w:lang w:bidi="ar-SA"/>
        </w:rPr>
        <w:t>، ومن خلال المقرر 59/28 (ج) ، أحاطت اللجنة التنفيذية علما بمنهجية تحديد التكاليف المتعلقة بالمشروع في تقرير اليونيدو السنوي عن التكاليف الإدارية (</w:t>
      </w:r>
      <w:r w:rsidR="00271D08" w:rsidRPr="00271D08">
        <w:rPr>
          <w:lang w:bidi="ar-SA"/>
        </w:rPr>
        <w:t xml:space="preserve">UNEP / </w:t>
      </w:r>
      <w:proofErr w:type="spellStart"/>
      <w:r w:rsidR="00271D08" w:rsidRPr="00271D08">
        <w:rPr>
          <w:lang w:bidi="ar-SA"/>
        </w:rPr>
        <w:t>OzL.Pro</w:t>
      </w:r>
      <w:proofErr w:type="spellEnd"/>
      <w:r w:rsidR="00271D08" w:rsidRPr="00271D08">
        <w:rPr>
          <w:lang w:bidi="ar-SA"/>
        </w:rPr>
        <w:t xml:space="preserve"> / </w:t>
      </w:r>
      <w:proofErr w:type="spellStart"/>
      <w:r w:rsidR="00271D08" w:rsidRPr="00271D08">
        <w:rPr>
          <w:lang w:bidi="ar-SA"/>
        </w:rPr>
        <w:t>ExCom</w:t>
      </w:r>
      <w:proofErr w:type="spellEnd"/>
      <w:r w:rsidR="00271D08" w:rsidRPr="00271D08">
        <w:rPr>
          <w:lang w:bidi="ar-SA"/>
        </w:rPr>
        <w:t xml:space="preserve"> / 60/51</w:t>
      </w:r>
      <w:r w:rsidR="00271D08" w:rsidRPr="00271D08">
        <w:rPr>
          <w:rtl/>
          <w:lang w:bidi="ar-SA"/>
        </w:rPr>
        <w:t>).</w:t>
      </w:r>
      <w:r w:rsidR="00271D08" w:rsidRPr="00271D08">
        <w:rPr>
          <w:rtl/>
        </w:rPr>
        <w:t xml:space="preserve"> </w:t>
      </w:r>
      <w:r w:rsidR="00271D08" w:rsidRPr="00271D08">
        <w:rPr>
          <w:rtl/>
          <w:lang w:bidi="ar-SA"/>
        </w:rPr>
        <w:t>وطُلب إلى الي</w:t>
      </w:r>
      <w:r w:rsidR="001055EE">
        <w:rPr>
          <w:rtl/>
          <w:lang w:bidi="ar-SA"/>
        </w:rPr>
        <w:t xml:space="preserve">ونيدو أن تقدم افتراضات لنموذج </w:t>
      </w:r>
      <w:r w:rsidR="00271D08" w:rsidRPr="00271D08">
        <w:rPr>
          <w:rtl/>
          <w:lang w:bidi="ar-SA"/>
        </w:rPr>
        <w:t>تكاليف</w:t>
      </w:r>
      <w:r w:rsidR="001055EE">
        <w:rPr>
          <w:rFonts w:hint="cs"/>
          <w:rtl/>
          <w:lang w:bidi="ar-SA"/>
        </w:rPr>
        <w:t>ها</w:t>
      </w:r>
      <w:r w:rsidR="001055EE">
        <w:rPr>
          <w:rtl/>
          <w:lang w:bidi="ar-SA"/>
        </w:rPr>
        <w:t xml:space="preserve"> الإدارية</w:t>
      </w:r>
      <w:r w:rsidR="00271D08" w:rsidRPr="00271D08">
        <w:rPr>
          <w:rtl/>
          <w:lang w:bidi="ar-SA"/>
        </w:rPr>
        <w:t>، وفي الطلبات المستقبلية لتمويل الوحدة الأساسية لتقديم معلومات التكلفة الإدارية التي تميز الأنشطة المتعلقة بالمشروع</w:t>
      </w:r>
      <w:r w:rsidR="001055EE">
        <w:rPr>
          <w:rtl/>
          <w:lang w:bidi="ar-SA"/>
        </w:rPr>
        <w:t xml:space="preserve"> عن التكاليف الإدارية. وبعد ذلك، من خلال المقرر 59/28 (ج)، أح</w:t>
      </w:r>
      <w:r w:rsidR="001055EE">
        <w:rPr>
          <w:rFonts w:hint="cs"/>
          <w:rtl/>
          <w:lang w:bidi="ar-SA"/>
        </w:rPr>
        <w:t>ي</w:t>
      </w:r>
      <w:r w:rsidR="00271D08" w:rsidRPr="00271D08">
        <w:rPr>
          <w:rtl/>
          <w:lang w:bidi="ar-SA"/>
        </w:rPr>
        <w:t>طت اللجنة التنفيذية علما بمنهجية تحديد التكاليف المتعلقة بالمشروع في تقرير اليونيدو السنوي عن التكاليف الإدارية (</w:t>
      </w:r>
      <w:r w:rsidR="001055EE">
        <w:rPr>
          <w:lang w:bidi="ar-SA"/>
        </w:rPr>
        <w:t>UNEP/</w:t>
      </w:r>
      <w:proofErr w:type="spellStart"/>
      <w:r w:rsidR="001055EE">
        <w:rPr>
          <w:lang w:bidi="ar-SA"/>
        </w:rPr>
        <w:t>OzL.Pro</w:t>
      </w:r>
      <w:proofErr w:type="spellEnd"/>
      <w:r w:rsidR="001055EE">
        <w:rPr>
          <w:lang w:bidi="ar-SA"/>
        </w:rPr>
        <w:t>/</w:t>
      </w:r>
      <w:proofErr w:type="spellStart"/>
      <w:r w:rsidR="001055EE">
        <w:rPr>
          <w:lang w:bidi="ar-SA"/>
        </w:rPr>
        <w:t>ExCom</w:t>
      </w:r>
      <w:proofErr w:type="spellEnd"/>
      <w:r w:rsidR="001055EE">
        <w:rPr>
          <w:lang w:bidi="ar-SA"/>
        </w:rPr>
        <w:t>/</w:t>
      </w:r>
      <w:r w:rsidR="00271D08" w:rsidRPr="00271D08">
        <w:rPr>
          <w:lang w:bidi="ar-SA"/>
        </w:rPr>
        <w:t>60/51</w:t>
      </w:r>
      <w:r w:rsidR="00271D08" w:rsidRPr="00271D08">
        <w:rPr>
          <w:rtl/>
          <w:lang w:bidi="ar-SA"/>
        </w:rPr>
        <w:t>).</w:t>
      </w:r>
    </w:p>
  </w:footnote>
  <w:footnote w:id="8">
    <w:p w14:paraId="735E2D4C" w14:textId="77777777" w:rsidR="005F4183" w:rsidRDefault="005F4183" w:rsidP="00C42822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</w:t>
      </w:r>
      <w:r w:rsidR="00FB6D45" w:rsidRPr="00FB6D45">
        <w:rPr>
          <w:rtl/>
          <w:lang w:bidi="ar-SA"/>
        </w:rPr>
        <w:t>الاجتماع الثاني والأربعون للفريق ا</w:t>
      </w:r>
      <w:r w:rsidR="00C42822">
        <w:rPr>
          <w:rtl/>
          <w:lang w:bidi="ar-SA"/>
        </w:rPr>
        <w:t>لعامل المفتوح العضوية (مونتريال، كندا، من 13 إلى 17 يولي</w:t>
      </w:r>
      <w:r w:rsidR="00C42822">
        <w:rPr>
          <w:rFonts w:hint="cs"/>
          <w:rtl/>
          <w:lang w:bidi="ar-SA"/>
        </w:rPr>
        <w:t>ه/ تموز</w:t>
      </w:r>
      <w:r w:rsidR="00C42822">
        <w:rPr>
          <w:rtl/>
          <w:lang w:bidi="ar-SA"/>
        </w:rPr>
        <w:t xml:space="preserve"> 2020)</w:t>
      </w:r>
      <w:r w:rsidR="00FB6D45" w:rsidRPr="00FB6D45">
        <w:rPr>
          <w:rtl/>
          <w:lang w:bidi="ar-SA"/>
        </w:rPr>
        <w:t>، والاجتماع الثاني عشر المشترك لمؤتمر الأطراف في اتفاقية فيينا لحماية طبقة الأو</w:t>
      </w:r>
      <w:r w:rsidR="00C42822">
        <w:rPr>
          <w:rtl/>
          <w:lang w:bidi="ar-SA"/>
        </w:rPr>
        <w:t xml:space="preserve">زون والاجتماع الثاني والثلاثون </w:t>
      </w:r>
      <w:r w:rsidR="00C42822">
        <w:rPr>
          <w:rFonts w:hint="cs"/>
          <w:rtl/>
          <w:lang w:bidi="ar-SA"/>
        </w:rPr>
        <w:t>ل</w:t>
      </w:r>
      <w:r w:rsidR="00FB6D45" w:rsidRPr="00FB6D45">
        <w:rPr>
          <w:rtl/>
          <w:lang w:bidi="ar-SA"/>
        </w:rPr>
        <w:t>لأطراف في بروتوكول مونتريال بشأن المواد</w:t>
      </w:r>
      <w:r w:rsidR="00C42822">
        <w:rPr>
          <w:rtl/>
          <w:lang w:bidi="ar-SA"/>
        </w:rPr>
        <w:t xml:space="preserve"> المستنفدة لطبقة الأوزون (طشقند، أوزبكستان</w:t>
      </w:r>
      <w:r w:rsidR="00FB6D45" w:rsidRPr="00FB6D45">
        <w:rPr>
          <w:rtl/>
          <w:lang w:bidi="ar-SA"/>
        </w:rPr>
        <w:t>،</w:t>
      </w:r>
      <w:r w:rsidR="00C42822">
        <w:rPr>
          <w:rFonts w:hint="cs"/>
          <w:rtl/>
          <w:lang w:bidi="ar-SA"/>
        </w:rPr>
        <w:t xml:space="preserve"> من</w:t>
      </w:r>
      <w:r w:rsidR="00FB6D45" w:rsidRPr="00FB6D45">
        <w:rPr>
          <w:rtl/>
          <w:lang w:bidi="ar-SA"/>
        </w:rPr>
        <w:t xml:space="preserve"> 23 إلى 27 نوفمبر</w:t>
      </w:r>
      <w:r w:rsidR="00C42822">
        <w:rPr>
          <w:rFonts w:hint="cs"/>
          <w:rtl/>
          <w:lang w:bidi="ar-SA"/>
        </w:rPr>
        <w:t>/ تشرين الثاني</w:t>
      </w:r>
      <w:r w:rsidR="00FB6D45" w:rsidRPr="00FB6D45">
        <w:rPr>
          <w:rtl/>
          <w:lang w:bidi="ar-SA"/>
        </w:rPr>
        <w:t xml:space="preserve"> 2020).</w:t>
      </w:r>
    </w:p>
  </w:footnote>
  <w:footnote w:id="9">
    <w:p w14:paraId="7EFCB5EA" w14:textId="77777777" w:rsidR="005F4183" w:rsidRDefault="005F4183" w:rsidP="00C42822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="007C5924">
        <w:rPr>
          <w:rtl/>
          <w:lang w:bidi="ar-SA"/>
        </w:rPr>
        <w:t>اجتماع عبر الإنترنت</w:t>
      </w:r>
      <w:r w:rsidR="00FB6D45" w:rsidRPr="00FB6D45">
        <w:rPr>
          <w:rtl/>
          <w:lang w:bidi="ar-SA"/>
        </w:rPr>
        <w:t>، عُقد في الفترة من 23 إلى 27 نوفمبر</w:t>
      </w:r>
      <w:r w:rsidR="007C5924">
        <w:rPr>
          <w:rFonts w:hint="cs"/>
          <w:rtl/>
          <w:lang w:bidi="ar-SA"/>
        </w:rPr>
        <w:t>/ / تشرين الثاني</w:t>
      </w:r>
      <w:r w:rsidR="00FB6D45" w:rsidRPr="00FB6D45">
        <w:rPr>
          <w:rtl/>
          <w:lang w:bidi="ar-SA"/>
        </w:rPr>
        <w:t xml:space="preserve"> 2020.</w:t>
      </w:r>
    </w:p>
  </w:footnote>
  <w:footnote w:id="10">
    <w:p w14:paraId="3FDBD535" w14:textId="77777777" w:rsidR="005F4183" w:rsidRDefault="005F4183" w:rsidP="00C42822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="007C5924">
        <w:rPr>
          <w:rtl/>
          <w:lang w:bidi="ar-SA"/>
        </w:rPr>
        <w:t>عبر الإنترنت</w:t>
      </w:r>
      <w:r w:rsidR="00FB6D45" w:rsidRPr="00FB6D45">
        <w:rPr>
          <w:rtl/>
          <w:lang w:bidi="ar-SA"/>
        </w:rPr>
        <w:t>، من 23 إلى 29 أكتوبر</w:t>
      </w:r>
      <w:r w:rsidR="007C5924">
        <w:rPr>
          <w:rFonts w:hint="cs"/>
          <w:rtl/>
          <w:lang w:bidi="ar-SA"/>
        </w:rPr>
        <w:t>/ تشرين الأول</w:t>
      </w:r>
      <w:r w:rsidR="00FB6D45" w:rsidRPr="00FB6D45">
        <w:rPr>
          <w:rtl/>
          <w:lang w:bidi="ar-SA"/>
        </w:rPr>
        <w:t xml:space="preserve"> 2021.</w:t>
      </w:r>
    </w:p>
  </w:footnote>
  <w:footnote w:id="11">
    <w:p w14:paraId="6F8F2E30" w14:textId="77777777" w:rsidR="005F4183" w:rsidRDefault="005F4183" w:rsidP="00C42822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="007C5924">
        <w:rPr>
          <w:rtl/>
          <w:lang w:bidi="ar-SA"/>
        </w:rPr>
        <w:t>عبر الإنترنت</w:t>
      </w:r>
      <w:r w:rsidR="00FB6D45" w:rsidRPr="00FB6D45">
        <w:rPr>
          <w:rtl/>
          <w:lang w:bidi="ar-SA"/>
        </w:rPr>
        <w:t>، 29 أكتوبر</w:t>
      </w:r>
      <w:r w:rsidR="007C5924">
        <w:rPr>
          <w:rFonts w:hint="cs"/>
          <w:rtl/>
          <w:lang w:bidi="ar-SA"/>
        </w:rPr>
        <w:t>/ / تشرين الأول</w:t>
      </w:r>
      <w:r w:rsidR="00FB6D45" w:rsidRPr="00FB6D45">
        <w:rPr>
          <w:rtl/>
          <w:lang w:bidi="ar-SA"/>
        </w:rPr>
        <w:t xml:space="preserve"> 2021.</w:t>
      </w:r>
    </w:p>
  </w:footnote>
  <w:footnote w:id="12">
    <w:p w14:paraId="62EBE2C5" w14:textId="77777777" w:rsidR="005F4183" w:rsidRDefault="005F4183" w:rsidP="00A60909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 w:rsidR="00A60909">
        <w:rPr>
          <w:rFonts w:hint="cs"/>
          <w:rtl/>
          <w:lang w:bidi="ar-SA"/>
        </w:rPr>
        <w:t xml:space="preserve"> </w:t>
      </w:r>
      <w:r w:rsidR="00A60909">
        <w:rPr>
          <w:rtl/>
          <w:lang w:bidi="ar-SA"/>
        </w:rPr>
        <w:t>أستراليا</w:t>
      </w:r>
      <w:r w:rsidR="00D9412D" w:rsidRPr="00D9412D">
        <w:rPr>
          <w:rtl/>
          <w:lang w:bidi="ar-SA"/>
        </w:rPr>
        <w:t>، النمسا</w:t>
      </w:r>
      <w:r w:rsidR="00A60909">
        <w:rPr>
          <w:rtl/>
          <w:lang w:bidi="ar-SA"/>
        </w:rPr>
        <w:t>، بلجيكا، بلغاريا، كرواتيا، قبرص، التشيك، الدنمارك، إستونيا، فنلندا، فرنسا، ألمانيا، اليونان، المجر</w:t>
      </w:r>
      <w:r w:rsidR="00D9412D" w:rsidRPr="00D9412D">
        <w:rPr>
          <w:rtl/>
          <w:lang w:bidi="ar-SA"/>
        </w:rPr>
        <w:t xml:space="preserve">، </w:t>
      </w:r>
      <w:r w:rsidR="00A60909" w:rsidRPr="00D9412D">
        <w:rPr>
          <w:rFonts w:hint="cs"/>
          <w:rtl/>
          <w:lang w:bidi="ar-SA"/>
        </w:rPr>
        <w:t>إيرلندا</w:t>
      </w:r>
      <w:r w:rsidR="00A60909">
        <w:rPr>
          <w:rtl/>
          <w:lang w:bidi="ar-SA"/>
        </w:rPr>
        <w:t>، إيطاليا، لاتفيا، ليتوانيا، لوكسمبورغ، مالطا، هولندا، النرويج، نيوزيلندا، بولندا، البرتغال، رومانيا، سلوفاكيا، سلوفينيا</w:t>
      </w:r>
      <w:r w:rsidR="00D9412D" w:rsidRPr="00D9412D">
        <w:rPr>
          <w:rtl/>
          <w:lang w:bidi="ar-SA"/>
        </w:rPr>
        <w:t>،</w:t>
      </w:r>
      <w:r w:rsidR="00A60909">
        <w:rPr>
          <w:rtl/>
          <w:lang w:bidi="ar-SA"/>
        </w:rPr>
        <w:t xml:space="preserve"> إسبانيا، السويد</w:t>
      </w:r>
      <w:r w:rsidR="00D9412D" w:rsidRPr="00D9412D">
        <w:rPr>
          <w:rtl/>
          <w:lang w:bidi="ar-SA"/>
        </w:rPr>
        <w:t xml:space="preserve">، المملكة المتحدة لبريطانيا العظمى </w:t>
      </w:r>
      <w:r w:rsidR="00A60909" w:rsidRPr="00D9412D">
        <w:rPr>
          <w:rFonts w:hint="cs"/>
          <w:rtl/>
          <w:lang w:bidi="ar-SA"/>
        </w:rPr>
        <w:t>وإيرلندا</w:t>
      </w:r>
      <w:r w:rsidR="00D9412D" w:rsidRPr="00D9412D">
        <w:rPr>
          <w:rtl/>
          <w:lang w:bidi="ar-SA"/>
        </w:rPr>
        <w:t xml:space="preserve"> الشمالية.</w:t>
      </w:r>
    </w:p>
  </w:footnote>
  <w:footnote w:id="13">
    <w:p w14:paraId="0E6778CF" w14:textId="77777777" w:rsidR="005F4183" w:rsidRPr="002B6A8C" w:rsidRDefault="005F4183" w:rsidP="00A60909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rPr>
          <w:rFonts w:hint="cs"/>
          <w:rtl/>
          <w:lang w:bidi="ar-SA"/>
        </w:rPr>
        <w:t xml:space="preserve">  </w:t>
      </w:r>
      <w:r w:rsidR="002B6A8C">
        <w:rPr>
          <w:rFonts w:hint="cs"/>
          <w:rtl/>
          <w:lang w:bidi="ar-SA"/>
        </w:rPr>
        <w:t xml:space="preserve">الوثيقة </w:t>
      </w:r>
      <w:r w:rsidR="002B6A8C" w:rsidRPr="00D70F3E">
        <w:t>UNEP/</w:t>
      </w:r>
      <w:proofErr w:type="spellStart"/>
      <w:r w:rsidR="002B6A8C" w:rsidRPr="00D70F3E">
        <w:t>OzL.Pro</w:t>
      </w:r>
      <w:proofErr w:type="spellEnd"/>
      <w:r w:rsidR="002B6A8C" w:rsidRPr="00D70F3E">
        <w:t>/</w:t>
      </w:r>
      <w:proofErr w:type="spellStart"/>
      <w:r w:rsidR="002B6A8C" w:rsidRPr="00D70F3E">
        <w:t>ExCom</w:t>
      </w:r>
      <w:proofErr w:type="spellEnd"/>
      <w:r w:rsidR="002B6A8C" w:rsidRPr="00D70F3E">
        <w:t>/88/</w:t>
      </w:r>
      <w:r w:rsidR="002B6A8C">
        <w:t>68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6DD1" w14:textId="2D4CCFCC" w:rsidR="005F4183" w:rsidRDefault="004670C4" w:rsidP="00352E6A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532D4A">
      <w:t>UNEP/</w:t>
    </w:r>
    <w:proofErr w:type="spellStart"/>
    <w:r w:rsidR="00532D4A">
      <w:t>OzL.Pro</w:t>
    </w:r>
    <w:proofErr w:type="spellEnd"/>
    <w:r w:rsidR="00532D4A">
      <w:t>/</w:t>
    </w:r>
    <w:proofErr w:type="spellStart"/>
    <w:r w:rsidR="00532D4A">
      <w:t>ExCom</w:t>
    </w:r>
    <w:proofErr w:type="spellEnd"/>
    <w:r w:rsidR="00532D4A">
      <w:t>/88/35</w:t>
    </w:r>
    <w:r>
      <w:fldChar w:fldCharType="end"/>
    </w:r>
  </w:p>
  <w:p w14:paraId="638E0EAF" w14:textId="25AB3BE0" w:rsidR="00616CD6" w:rsidRDefault="00616C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37ED" w14:textId="77777777" w:rsidR="004670C4" w:rsidRPr="0033525D" w:rsidRDefault="004670C4" w:rsidP="00532D4A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/88/35</w:t>
    </w:r>
    <w:r>
      <w:fldChar w:fldCharType="end"/>
    </w:r>
  </w:p>
  <w:p w14:paraId="17897AA8" w14:textId="76B1BF2B" w:rsidR="005F4183" w:rsidRDefault="005F4183">
    <w:pPr>
      <w:pStyle w:val="Header"/>
    </w:pPr>
  </w:p>
  <w:p w14:paraId="1BFFCC5C" w14:textId="77777777" w:rsidR="00616CD6" w:rsidRDefault="00616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C019" w14:textId="77777777" w:rsidR="002E3298" w:rsidRPr="002E3298" w:rsidRDefault="002E3298" w:rsidP="004670C4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51AB" w14:textId="77777777" w:rsidR="00532D4A" w:rsidRDefault="00532D4A" w:rsidP="00C0327B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/88/35</w:t>
    </w:r>
    <w:r>
      <w:fldChar w:fldCharType="end"/>
    </w:r>
  </w:p>
  <w:p w14:paraId="548CCAA3" w14:textId="6047594D" w:rsidR="00532D4A" w:rsidRDefault="00C0327B" w:rsidP="00C0327B">
    <w:pPr>
      <w:jc w:val="right"/>
    </w:pPr>
    <w:r>
      <w:t>Annex I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3A39" w14:textId="3773657C" w:rsidR="00C0327B" w:rsidRDefault="00C0327B" w:rsidP="00532D4A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/88/35</w:t>
    </w:r>
    <w:r>
      <w:fldChar w:fldCharType="end"/>
    </w:r>
  </w:p>
  <w:p w14:paraId="44996550" w14:textId="2FA7C3AE" w:rsidR="00C0327B" w:rsidRDefault="00C0327B" w:rsidP="00C0327B">
    <w:pPr>
      <w:jc w:val="left"/>
    </w:pPr>
    <w:r>
      <w:t>Annex I</w:t>
    </w:r>
  </w:p>
  <w:p w14:paraId="4BD08847" w14:textId="77777777" w:rsidR="00C0327B" w:rsidRDefault="00C0327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2E70" w14:textId="15FA3FAF" w:rsidR="00532D4A" w:rsidRDefault="00532D4A" w:rsidP="00C0327B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/88/35</w:t>
    </w:r>
    <w:r>
      <w:fldChar w:fldCharType="end"/>
    </w:r>
  </w:p>
  <w:p w14:paraId="6C45639B" w14:textId="4A8F721A" w:rsidR="00532D4A" w:rsidRPr="00C0327B" w:rsidRDefault="00C0327B" w:rsidP="00C0327B">
    <w:pPr>
      <w:pStyle w:val="StyleHeader4Para4Left0Firstline0"/>
      <w:numPr>
        <w:ilvl w:val="0"/>
        <w:numId w:val="0"/>
      </w:numPr>
      <w:bidi/>
      <w:jc w:val="right"/>
      <w:rPr>
        <w:sz w:val="24"/>
        <w:szCs w:val="24"/>
        <w:lang w:val="en-US" w:bidi="ar-SA"/>
      </w:rPr>
    </w:pPr>
    <w:r w:rsidRPr="00C0327B">
      <w:rPr>
        <w:sz w:val="24"/>
        <w:szCs w:val="24"/>
        <w:lang w:val="en-US" w:bidi="ar-SA"/>
      </w:rPr>
      <w:t>Annex I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CFC0" w14:textId="77777777" w:rsidR="00532D4A" w:rsidRPr="002E3298" w:rsidRDefault="00532D4A" w:rsidP="004670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" w15:restartNumberingAfterBreak="0">
    <w:nsid w:val="00271861"/>
    <w:multiLevelType w:val="hybridMultilevel"/>
    <w:tmpl w:val="00E0F4F6"/>
    <w:lvl w:ilvl="0" w:tplc="76260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6F3"/>
    <w:multiLevelType w:val="hybridMultilevel"/>
    <w:tmpl w:val="2AD24450"/>
    <w:lvl w:ilvl="0" w:tplc="5A909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B1A"/>
    <w:multiLevelType w:val="hybridMultilevel"/>
    <w:tmpl w:val="81DC71CA"/>
    <w:lvl w:ilvl="0" w:tplc="774E86A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6" w15:restartNumberingAfterBreak="0">
    <w:nsid w:val="39912494"/>
    <w:multiLevelType w:val="hybridMultilevel"/>
    <w:tmpl w:val="B59CCE84"/>
    <w:lvl w:ilvl="0" w:tplc="774E86A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322F"/>
    <w:multiLevelType w:val="hybridMultilevel"/>
    <w:tmpl w:val="FDBA6618"/>
    <w:lvl w:ilvl="0" w:tplc="774E86A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D0A67"/>
    <w:multiLevelType w:val="hybridMultilevel"/>
    <w:tmpl w:val="0BFE5070"/>
    <w:lvl w:ilvl="0" w:tplc="774E86A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5611702"/>
    <w:multiLevelType w:val="hybridMultilevel"/>
    <w:tmpl w:val="891463D4"/>
    <w:lvl w:ilvl="0" w:tplc="76260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568"/>
    <w:multiLevelType w:val="hybridMultilevel"/>
    <w:tmpl w:val="413E74A2"/>
    <w:lvl w:ilvl="0" w:tplc="774E86A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31BEF"/>
    <w:multiLevelType w:val="hybridMultilevel"/>
    <w:tmpl w:val="BC7C6A7C"/>
    <w:lvl w:ilvl="0" w:tplc="774E86A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6"/>
  </w:num>
  <w:num w:numId="16">
    <w:abstractNumId w:val="8"/>
  </w:num>
  <w:num w:numId="17">
    <w:abstractNumId w:val="11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1B"/>
    <w:rsid w:val="00004EC6"/>
    <w:rsid w:val="000129BD"/>
    <w:rsid w:val="0001328C"/>
    <w:rsid w:val="00013372"/>
    <w:rsid w:val="00017133"/>
    <w:rsid w:val="00040C8B"/>
    <w:rsid w:val="0004254A"/>
    <w:rsid w:val="000477FB"/>
    <w:rsid w:val="000709A5"/>
    <w:rsid w:val="00070CBE"/>
    <w:rsid w:val="000861FE"/>
    <w:rsid w:val="000C2FE8"/>
    <w:rsid w:val="00101F99"/>
    <w:rsid w:val="001055EE"/>
    <w:rsid w:val="001071E2"/>
    <w:rsid w:val="00111CA8"/>
    <w:rsid w:val="001216D1"/>
    <w:rsid w:val="001228CE"/>
    <w:rsid w:val="001368D3"/>
    <w:rsid w:val="00140C87"/>
    <w:rsid w:val="00146E20"/>
    <w:rsid w:val="00157FDF"/>
    <w:rsid w:val="00166C49"/>
    <w:rsid w:val="00182A78"/>
    <w:rsid w:val="00183E36"/>
    <w:rsid w:val="001A4901"/>
    <w:rsid w:val="001A7A8C"/>
    <w:rsid w:val="001C4003"/>
    <w:rsid w:val="001D2B45"/>
    <w:rsid w:val="001E71A5"/>
    <w:rsid w:val="001F04C5"/>
    <w:rsid w:val="001F4BB3"/>
    <w:rsid w:val="002267A7"/>
    <w:rsid w:val="0023682E"/>
    <w:rsid w:val="00241B8D"/>
    <w:rsid w:val="00243B10"/>
    <w:rsid w:val="002625DB"/>
    <w:rsid w:val="00267012"/>
    <w:rsid w:val="00271D08"/>
    <w:rsid w:val="0027378D"/>
    <w:rsid w:val="00280FF6"/>
    <w:rsid w:val="0029252F"/>
    <w:rsid w:val="00295833"/>
    <w:rsid w:val="002A6DA7"/>
    <w:rsid w:val="002B23AB"/>
    <w:rsid w:val="002B535E"/>
    <w:rsid w:val="002B6A8C"/>
    <w:rsid w:val="002C4C1B"/>
    <w:rsid w:val="002D311B"/>
    <w:rsid w:val="002D4924"/>
    <w:rsid w:val="002E15AC"/>
    <w:rsid w:val="002E2A6A"/>
    <w:rsid w:val="002E3298"/>
    <w:rsid w:val="002E6A6F"/>
    <w:rsid w:val="002E7EF7"/>
    <w:rsid w:val="002F505F"/>
    <w:rsid w:val="0030280D"/>
    <w:rsid w:val="003055D3"/>
    <w:rsid w:val="0032521A"/>
    <w:rsid w:val="0033115A"/>
    <w:rsid w:val="0033586B"/>
    <w:rsid w:val="00352E6A"/>
    <w:rsid w:val="0035441C"/>
    <w:rsid w:val="00364A53"/>
    <w:rsid w:val="00377AF2"/>
    <w:rsid w:val="003B35D2"/>
    <w:rsid w:val="003E1CF0"/>
    <w:rsid w:val="003E3989"/>
    <w:rsid w:val="003F2852"/>
    <w:rsid w:val="003F367D"/>
    <w:rsid w:val="003F5ADB"/>
    <w:rsid w:val="004322F1"/>
    <w:rsid w:val="00433DC5"/>
    <w:rsid w:val="004421B4"/>
    <w:rsid w:val="00451D92"/>
    <w:rsid w:val="004670C4"/>
    <w:rsid w:val="00484498"/>
    <w:rsid w:val="00490CA8"/>
    <w:rsid w:val="00491F72"/>
    <w:rsid w:val="004C5B74"/>
    <w:rsid w:val="004F5F58"/>
    <w:rsid w:val="005135D3"/>
    <w:rsid w:val="00517464"/>
    <w:rsid w:val="00517733"/>
    <w:rsid w:val="00521BFB"/>
    <w:rsid w:val="00532D4A"/>
    <w:rsid w:val="005337AC"/>
    <w:rsid w:val="00540407"/>
    <w:rsid w:val="0054593B"/>
    <w:rsid w:val="00546951"/>
    <w:rsid w:val="00551507"/>
    <w:rsid w:val="00574284"/>
    <w:rsid w:val="00594221"/>
    <w:rsid w:val="005A511D"/>
    <w:rsid w:val="005B65DF"/>
    <w:rsid w:val="005C7D4A"/>
    <w:rsid w:val="005E4646"/>
    <w:rsid w:val="005F05FC"/>
    <w:rsid w:val="005F4183"/>
    <w:rsid w:val="00614DB1"/>
    <w:rsid w:val="00616CD6"/>
    <w:rsid w:val="00624AEF"/>
    <w:rsid w:val="00627A41"/>
    <w:rsid w:val="0063757C"/>
    <w:rsid w:val="00643A33"/>
    <w:rsid w:val="006516D7"/>
    <w:rsid w:val="00656519"/>
    <w:rsid w:val="00662A73"/>
    <w:rsid w:val="00676456"/>
    <w:rsid w:val="006B16EB"/>
    <w:rsid w:val="006B516B"/>
    <w:rsid w:val="006D0C54"/>
    <w:rsid w:val="006D0EB9"/>
    <w:rsid w:val="006D6858"/>
    <w:rsid w:val="006F2A2C"/>
    <w:rsid w:val="00703FB2"/>
    <w:rsid w:val="00704774"/>
    <w:rsid w:val="0070667E"/>
    <w:rsid w:val="007148B9"/>
    <w:rsid w:val="00716BCE"/>
    <w:rsid w:val="00726C19"/>
    <w:rsid w:val="007451E3"/>
    <w:rsid w:val="007456E2"/>
    <w:rsid w:val="007573AF"/>
    <w:rsid w:val="00786775"/>
    <w:rsid w:val="00791A1A"/>
    <w:rsid w:val="007B043F"/>
    <w:rsid w:val="007B0992"/>
    <w:rsid w:val="007B09F2"/>
    <w:rsid w:val="007C5924"/>
    <w:rsid w:val="007D141D"/>
    <w:rsid w:val="007D15F0"/>
    <w:rsid w:val="007D567C"/>
    <w:rsid w:val="007E1B34"/>
    <w:rsid w:val="007E5D09"/>
    <w:rsid w:val="007F7CCC"/>
    <w:rsid w:val="008149D1"/>
    <w:rsid w:val="0082284B"/>
    <w:rsid w:val="0083010A"/>
    <w:rsid w:val="00862549"/>
    <w:rsid w:val="00874E2D"/>
    <w:rsid w:val="00880596"/>
    <w:rsid w:val="00885865"/>
    <w:rsid w:val="00887D75"/>
    <w:rsid w:val="00891159"/>
    <w:rsid w:val="008A008E"/>
    <w:rsid w:val="008A288D"/>
    <w:rsid w:val="008A3F8D"/>
    <w:rsid w:val="008E3DF3"/>
    <w:rsid w:val="008E7F42"/>
    <w:rsid w:val="008F35C6"/>
    <w:rsid w:val="00906880"/>
    <w:rsid w:val="0091455A"/>
    <w:rsid w:val="00934923"/>
    <w:rsid w:val="00956D0C"/>
    <w:rsid w:val="00983FD1"/>
    <w:rsid w:val="009858AB"/>
    <w:rsid w:val="009B33E5"/>
    <w:rsid w:val="009B7DF8"/>
    <w:rsid w:val="009C4571"/>
    <w:rsid w:val="009C46B2"/>
    <w:rsid w:val="009E6143"/>
    <w:rsid w:val="00A336E6"/>
    <w:rsid w:val="00A37C94"/>
    <w:rsid w:val="00A44778"/>
    <w:rsid w:val="00A60909"/>
    <w:rsid w:val="00A63C72"/>
    <w:rsid w:val="00A64530"/>
    <w:rsid w:val="00A64C76"/>
    <w:rsid w:val="00A7188F"/>
    <w:rsid w:val="00A755B6"/>
    <w:rsid w:val="00A950FF"/>
    <w:rsid w:val="00A9731B"/>
    <w:rsid w:val="00AB28CE"/>
    <w:rsid w:val="00AB4886"/>
    <w:rsid w:val="00AC0991"/>
    <w:rsid w:val="00AE4719"/>
    <w:rsid w:val="00AF08B7"/>
    <w:rsid w:val="00AF0F9D"/>
    <w:rsid w:val="00AF5BEB"/>
    <w:rsid w:val="00B00B80"/>
    <w:rsid w:val="00B11DB6"/>
    <w:rsid w:val="00B22024"/>
    <w:rsid w:val="00B33FA9"/>
    <w:rsid w:val="00B40E87"/>
    <w:rsid w:val="00B72D06"/>
    <w:rsid w:val="00B76CF9"/>
    <w:rsid w:val="00B8112F"/>
    <w:rsid w:val="00B81E83"/>
    <w:rsid w:val="00B92648"/>
    <w:rsid w:val="00B97A86"/>
    <w:rsid w:val="00BA7D19"/>
    <w:rsid w:val="00BB67DF"/>
    <w:rsid w:val="00BC0F30"/>
    <w:rsid w:val="00BC3AA4"/>
    <w:rsid w:val="00BD6717"/>
    <w:rsid w:val="00BE19DB"/>
    <w:rsid w:val="00C0327B"/>
    <w:rsid w:val="00C0337B"/>
    <w:rsid w:val="00C06877"/>
    <w:rsid w:val="00C244DA"/>
    <w:rsid w:val="00C323F6"/>
    <w:rsid w:val="00C32706"/>
    <w:rsid w:val="00C37C72"/>
    <w:rsid w:val="00C42822"/>
    <w:rsid w:val="00C55EF2"/>
    <w:rsid w:val="00C620F0"/>
    <w:rsid w:val="00C62856"/>
    <w:rsid w:val="00C63385"/>
    <w:rsid w:val="00C7500C"/>
    <w:rsid w:val="00C85D70"/>
    <w:rsid w:val="00C869B1"/>
    <w:rsid w:val="00C93975"/>
    <w:rsid w:val="00CA5194"/>
    <w:rsid w:val="00CB3904"/>
    <w:rsid w:val="00CB625D"/>
    <w:rsid w:val="00CF2223"/>
    <w:rsid w:val="00CF5804"/>
    <w:rsid w:val="00D03D9B"/>
    <w:rsid w:val="00D151D0"/>
    <w:rsid w:val="00D23C19"/>
    <w:rsid w:val="00D32C37"/>
    <w:rsid w:val="00D44AD8"/>
    <w:rsid w:val="00D45C4D"/>
    <w:rsid w:val="00D74304"/>
    <w:rsid w:val="00D745E7"/>
    <w:rsid w:val="00D83458"/>
    <w:rsid w:val="00D870D3"/>
    <w:rsid w:val="00D9412D"/>
    <w:rsid w:val="00D964EE"/>
    <w:rsid w:val="00DB74C3"/>
    <w:rsid w:val="00DC22FB"/>
    <w:rsid w:val="00DC38EA"/>
    <w:rsid w:val="00DE0484"/>
    <w:rsid w:val="00DE2C8B"/>
    <w:rsid w:val="00E02DE0"/>
    <w:rsid w:val="00E128D9"/>
    <w:rsid w:val="00E1360E"/>
    <w:rsid w:val="00E1617C"/>
    <w:rsid w:val="00E26135"/>
    <w:rsid w:val="00E30195"/>
    <w:rsid w:val="00E328B7"/>
    <w:rsid w:val="00E47914"/>
    <w:rsid w:val="00E55F02"/>
    <w:rsid w:val="00E76AE6"/>
    <w:rsid w:val="00E80F0E"/>
    <w:rsid w:val="00E85760"/>
    <w:rsid w:val="00EB3DB3"/>
    <w:rsid w:val="00EC108E"/>
    <w:rsid w:val="00ED652E"/>
    <w:rsid w:val="00F02E1B"/>
    <w:rsid w:val="00F12737"/>
    <w:rsid w:val="00F41CE5"/>
    <w:rsid w:val="00F47F0A"/>
    <w:rsid w:val="00F52083"/>
    <w:rsid w:val="00F526C7"/>
    <w:rsid w:val="00F541AD"/>
    <w:rsid w:val="00F55D3D"/>
    <w:rsid w:val="00F75B50"/>
    <w:rsid w:val="00F92771"/>
    <w:rsid w:val="00F92B79"/>
    <w:rsid w:val="00FB6D45"/>
    <w:rsid w:val="00FC5469"/>
    <w:rsid w:val="00FD6398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15902"/>
  <w15:docId w15:val="{E3E2DB39-5E3D-4167-A52E-52026E11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6"/>
      </w:numPr>
    </w:pPr>
  </w:style>
  <w:style w:type="numbering" w:styleId="ArticleSection">
    <w:name w:val="Outline List 3"/>
    <w:basedOn w:val="NoList"/>
    <w:semiHidden/>
    <w:pPr>
      <w:numPr>
        <w:numId w:val="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4"/>
      <w:lang w:val="en-GB" w:bidi="ar-DZ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8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3600" w:hanging="36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aliases w:val="Char1,Char1 Char Char, Char1, Char1 Char Char,Fußnotentextf"/>
    <w:basedOn w:val="Normal"/>
    <w:link w:val="FootnoteTextChar"/>
    <w:unhideWhenUsed/>
    <w:qFormat/>
    <w:rsid w:val="00C0337B"/>
    <w:rPr>
      <w:sz w:val="20"/>
    </w:rPr>
  </w:style>
  <w:style w:type="character" w:customStyle="1" w:styleId="FootnoteTextChar">
    <w:name w:val="Footnote Text Char"/>
    <w:aliases w:val="Char1 Char,Char1 Char Char Char, Char1 Char, Char1 Char Char Char,Fußnotentextf Char"/>
    <w:basedOn w:val="DefaultParagraphFont"/>
    <w:link w:val="FootnoteText"/>
    <w:rsid w:val="00C0337B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C033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311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E3298"/>
    <w:rPr>
      <w:sz w:val="24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as\Desktop\A88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UNEP/OzL.Pro/ExCom/88/35</Document_x0020_Number>
    <DocumentType xmlns="48d2d36d-b4e3-478b-a344-cdbeebaca89a">Pre-session</Doc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D9FAD523F8946A9A809FFA43FA4BD" ma:contentTypeVersion="2" ma:contentTypeDescription="Create a new document." ma:contentTypeScope="" ma:versionID="9f091bdf76256a17cc493f600be46c5b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352f80ee2244741f7e7f9b92aaa31388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8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D78A9-3DB3-40CC-9E9C-72AA683D7701}"/>
</file>

<file path=customXml/itemProps2.xml><?xml version="1.0" encoding="utf-8"?>
<ds:datastoreItem xmlns:ds="http://schemas.openxmlformats.org/officeDocument/2006/customXml" ds:itemID="{805157EC-9B7E-4D00-A2A8-7B25D24DAB12}"/>
</file>

<file path=customXml/itemProps3.xml><?xml version="1.0" encoding="utf-8"?>
<ds:datastoreItem xmlns:ds="http://schemas.openxmlformats.org/officeDocument/2006/customXml" ds:itemID="{FC9BD332-E8CD-4EC4-83F3-2EB826FBCB69}"/>
</file>

<file path=customXml/itemProps4.xml><?xml version="1.0" encoding="utf-8"?>
<ds:datastoreItem xmlns:ds="http://schemas.openxmlformats.org/officeDocument/2006/customXml" ds:itemID="{CE088CE8-74A8-48B6-AA23-1D3B8DA18C8E}"/>
</file>

<file path=docProps/app.xml><?xml version="1.0" encoding="utf-8"?>
<Properties xmlns="http://schemas.openxmlformats.org/officeDocument/2006/extended-properties" xmlns:vt="http://schemas.openxmlformats.org/officeDocument/2006/docPropsVTypes">
  <Template>A88-template</Template>
  <TotalTime>13</TotalTime>
  <Pages>17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كاليف الوحدة الأساسية لبرنامج الأمم المتحدة الإنمائي (اليوئنديبي) </vt:lpstr>
    </vt:vector>
  </TitlesOfParts>
  <Company>UNMFS</Company>
  <LinksUpToDate>false</LinksUpToDate>
  <CharactersWithSpaces>39847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كاليف الوحدة الأساسية لبرنامج الأمم المتحدة الإنمائي (اليوئنديبي)</dc:title>
  <dc:creator>Yas</dc:creator>
  <cp:lastModifiedBy>HBE</cp:lastModifiedBy>
  <cp:revision>5</cp:revision>
  <cp:lastPrinted>2001-05-26T16:40:00Z</cp:lastPrinted>
  <dcterms:created xsi:type="dcterms:W3CDTF">2021-11-19T16:30:00Z</dcterms:created>
  <dcterms:modified xsi:type="dcterms:W3CDTF">2021-11-27T02:24:00Z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UNEP/OzL.Pro/ExCom/88/35</vt:lpwstr>
  </property>
  <property fmtid="{D5CDD505-2E9C-101B-9397-08002B2CF9AE}" pid="3" name="Revision date">
    <vt:lpwstr>11/1/2021</vt:lpwstr>
  </property>
  <property fmtid="{D5CDD505-2E9C-101B-9397-08002B2CF9AE}" pid="4" name="ContentTypeId">
    <vt:lpwstr>0x010100488D9FAD523F8946A9A809FFA43FA4BD</vt:lpwstr>
  </property>
</Properties>
</file>